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29 October </w:t>
      </w:r>
      <w:r w:rsidRPr="00C9722B">
        <w:rPr>
          <w:rFonts w:cs="Arial"/>
          <w:b/>
          <w:sz w:val="24"/>
          <w:szCs w:val="24"/>
        </w:rPr>
        <w:t xml:space="preserve">2014 from </w:t>
      </w:r>
      <w:r w:rsidR="00876A26" w:rsidRPr="00C9722B">
        <w:rPr>
          <w:rFonts w:cs="Arial"/>
          <w:b/>
          <w:sz w:val="24"/>
          <w:szCs w:val="24"/>
        </w:rPr>
        <w:t>1.</w:t>
      </w:r>
      <w:r w:rsidR="00942CA1">
        <w:rPr>
          <w:rFonts w:asciiTheme="minorHAnsi" w:hAnsiTheme="minorHAnsi" w:cstheme="minorHAnsi"/>
          <w:b/>
          <w:sz w:val="24"/>
          <w:szCs w:val="24"/>
        </w:rPr>
        <w:t>00p</w:t>
      </w:r>
      <w:r w:rsidR="00876A26" w:rsidRPr="00C9722B">
        <w:rPr>
          <w:rFonts w:asciiTheme="minorHAnsi" w:hAnsiTheme="minorHAnsi" w:cstheme="minorHAnsi"/>
          <w:b/>
          <w:sz w:val="24"/>
          <w:szCs w:val="24"/>
        </w:rPr>
        <w:t xml:space="preserve">m – </w:t>
      </w:r>
      <w:r w:rsidR="00942CA1">
        <w:rPr>
          <w:rFonts w:asciiTheme="minorHAnsi" w:hAnsiTheme="minorHAnsi" w:cstheme="minorHAnsi"/>
          <w:b/>
          <w:sz w:val="24"/>
          <w:szCs w:val="24"/>
        </w:rPr>
        <w:t>2.30pm</w:t>
      </w:r>
      <w:r w:rsidRPr="00C9722B">
        <w:rPr>
          <w:rFonts w:asciiTheme="minorHAnsi" w:hAnsiTheme="minorHAnsi" w:cstheme="minorHAnsi"/>
          <w:b/>
          <w:sz w:val="24"/>
          <w:szCs w:val="24"/>
        </w:rPr>
        <w:t xml:space="preserve"> </w:t>
      </w:r>
      <w:r w:rsidR="00942CA1">
        <w:rPr>
          <w:rFonts w:asciiTheme="minorHAnsi" w:hAnsiTheme="minorHAnsi" w:cstheme="minorHAnsi"/>
          <w:b/>
          <w:sz w:val="24"/>
          <w:szCs w:val="24"/>
        </w:rPr>
        <w:t xml:space="preserve">via videoconference between </w:t>
      </w:r>
      <w:r w:rsidR="00A349D7">
        <w:rPr>
          <w:rFonts w:asciiTheme="minorHAnsi" w:hAnsiTheme="minorHAnsi" w:cstheme="minorHAnsi"/>
          <w:b/>
          <w:sz w:val="24"/>
          <w:szCs w:val="24"/>
        </w:rPr>
        <w:t>HRA 1, Skipton House</w:t>
      </w:r>
      <w:r w:rsidR="00942CA1">
        <w:rPr>
          <w:rFonts w:asciiTheme="minorHAnsi" w:hAnsiTheme="minorHAnsi" w:cstheme="minorHAnsi"/>
          <w:b/>
          <w:sz w:val="24"/>
          <w:szCs w:val="24"/>
        </w:rPr>
        <w:t xml:space="preserve"> and the Manchester HRA Centre</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A349D7">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bookmarkStart w:id="0" w:name="_GoBack"/>
            <w:bookmarkEnd w:id="0"/>
          </w:p>
          <w:p w:rsidR="001A4130" w:rsidRDefault="001A4130" w:rsidP="008B2F48">
            <w:pPr>
              <w:rPr>
                <w:rFonts w:cs="Arial"/>
                <w:b/>
              </w:rPr>
            </w:pPr>
          </w:p>
          <w:p w:rsidR="00B869CC" w:rsidRPr="00B869CC" w:rsidRDefault="00B869CC" w:rsidP="008B2F48">
            <w:pPr>
              <w:rPr>
                <w:rFonts w:cs="Arial"/>
              </w:rPr>
            </w:pPr>
            <w:r w:rsidRPr="00B869CC">
              <w:rPr>
                <w:rFonts w:cs="Arial"/>
              </w:rPr>
              <w:t>Tom Smith</w:t>
            </w:r>
          </w:p>
          <w:p w:rsidR="00B869CC" w:rsidRPr="00EE0650" w:rsidRDefault="00B869CC" w:rsidP="008B2F48">
            <w:pPr>
              <w:rPr>
                <w:rFonts w:cs="Arial"/>
                <w:b/>
              </w:rPr>
            </w:pPr>
          </w:p>
        </w:tc>
        <w:tc>
          <w:tcPr>
            <w:tcW w:w="943" w:type="dxa"/>
            <w:vMerge w:val="restart"/>
            <w:vAlign w:val="center"/>
          </w:tcPr>
          <w:p w:rsidR="00130ED3" w:rsidRDefault="00A349D7" w:rsidP="00A349D7">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E6C5B"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DE6C5B"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635885" w:rsidP="006E6D03">
            <w:pPr>
              <w:rPr>
                <w:rFonts w:cs="Arial"/>
                <w:b/>
              </w:rPr>
            </w:pPr>
            <w:r>
              <w:rPr>
                <w:rFonts w:cs="Arial"/>
                <w:b/>
              </w:rPr>
              <w:t xml:space="preserve">Key Performance Indicator report Quarter </w:t>
            </w:r>
            <w:r w:rsidR="00942CA1">
              <w:rPr>
                <w:rFonts w:cs="Arial"/>
                <w:b/>
              </w:rPr>
              <w:t>2</w:t>
            </w:r>
            <w:r>
              <w:rPr>
                <w:rFonts w:cs="Arial"/>
                <w:b/>
              </w:rPr>
              <w:t xml:space="preserve"> 2014/15</w:t>
            </w:r>
          </w:p>
          <w:p w:rsidR="00635885" w:rsidRDefault="00635885" w:rsidP="006E6D03">
            <w:pPr>
              <w:rPr>
                <w:rFonts w:cs="Arial"/>
                <w:b/>
              </w:rPr>
            </w:pPr>
          </w:p>
        </w:tc>
        <w:tc>
          <w:tcPr>
            <w:tcW w:w="943" w:type="dxa"/>
          </w:tcPr>
          <w:p w:rsidR="00781EDE" w:rsidRDefault="00635885" w:rsidP="006E6D03">
            <w:pPr>
              <w:jc w:val="center"/>
              <w:rPr>
                <w:rFonts w:cs="Arial"/>
              </w:rPr>
            </w:pPr>
            <w:r>
              <w:rPr>
                <w:rFonts w:cs="Arial"/>
              </w:rPr>
              <w:t>20</w:t>
            </w:r>
          </w:p>
        </w:tc>
        <w:tc>
          <w:tcPr>
            <w:tcW w:w="1305" w:type="dxa"/>
          </w:tcPr>
          <w:p w:rsidR="00781EDE" w:rsidRPr="00531EDB" w:rsidRDefault="009262B0" w:rsidP="00AF19D5">
            <w:pPr>
              <w:jc w:val="center"/>
              <w:rPr>
                <w:rFonts w:cs="Arial"/>
                <w:b/>
              </w:rPr>
            </w:pPr>
            <w:r>
              <w:rPr>
                <w:rFonts w:cs="Arial"/>
                <w:b/>
              </w:rPr>
              <w:t>B</w:t>
            </w:r>
          </w:p>
        </w:tc>
      </w:tr>
      <w:tr w:rsidR="006338F2" w:rsidTr="00B61BEC">
        <w:trPr>
          <w:trHeight w:val="70"/>
        </w:trPr>
        <w:tc>
          <w:tcPr>
            <w:tcW w:w="710" w:type="dxa"/>
          </w:tcPr>
          <w:p w:rsidR="006338F2" w:rsidRPr="00415B4C" w:rsidRDefault="006338F2" w:rsidP="00AF19D5">
            <w:pPr>
              <w:pStyle w:val="ListParagraph"/>
              <w:numPr>
                <w:ilvl w:val="0"/>
                <w:numId w:val="3"/>
              </w:numPr>
              <w:tabs>
                <w:tab w:val="left" w:pos="360"/>
              </w:tabs>
              <w:ind w:left="0" w:firstLine="0"/>
              <w:jc w:val="center"/>
              <w:rPr>
                <w:rFonts w:cs="Arial"/>
                <w:b/>
              </w:rPr>
            </w:pPr>
          </w:p>
        </w:tc>
        <w:tc>
          <w:tcPr>
            <w:tcW w:w="6780" w:type="dxa"/>
          </w:tcPr>
          <w:p w:rsidR="00B61BEC" w:rsidRDefault="00B869CC" w:rsidP="00B61BEC">
            <w:pPr>
              <w:rPr>
                <w:rFonts w:cs="Arial"/>
                <w:b/>
              </w:rPr>
            </w:pPr>
            <w:r>
              <w:rPr>
                <w:rFonts w:cs="Arial"/>
                <w:b/>
              </w:rPr>
              <w:t xml:space="preserve">HRA </w:t>
            </w:r>
            <w:r w:rsidRPr="00B869CC">
              <w:rPr>
                <w:rFonts w:cs="Arial"/>
                <w:b/>
              </w:rPr>
              <w:t>Estates Strategy</w:t>
            </w:r>
          </w:p>
          <w:p w:rsidR="00DF08B0" w:rsidRPr="00B869CC" w:rsidRDefault="00DF08B0" w:rsidP="00B61BEC">
            <w:pPr>
              <w:rPr>
                <w:rFonts w:cs="Arial"/>
                <w:b/>
              </w:rPr>
            </w:pPr>
          </w:p>
        </w:tc>
        <w:tc>
          <w:tcPr>
            <w:tcW w:w="943" w:type="dxa"/>
          </w:tcPr>
          <w:p w:rsidR="006338F2" w:rsidRDefault="00B869CC" w:rsidP="006E6D03">
            <w:pPr>
              <w:jc w:val="center"/>
              <w:rPr>
                <w:rFonts w:cs="Arial"/>
              </w:rPr>
            </w:pPr>
            <w:r>
              <w:rPr>
                <w:rFonts w:cs="Arial"/>
              </w:rPr>
              <w:t>20</w:t>
            </w:r>
          </w:p>
        </w:tc>
        <w:tc>
          <w:tcPr>
            <w:tcW w:w="1305" w:type="dxa"/>
          </w:tcPr>
          <w:p w:rsidR="006338F2" w:rsidRDefault="00DF08B0" w:rsidP="00AF19D5">
            <w:pPr>
              <w:jc w:val="center"/>
              <w:rPr>
                <w:rFonts w:cs="Arial"/>
                <w:b/>
              </w:rPr>
            </w:pPr>
            <w:r>
              <w:rPr>
                <w:rFonts w:cs="Arial"/>
                <w:b/>
              </w:rPr>
              <w:t>C</w:t>
            </w:r>
          </w:p>
        </w:tc>
      </w:tr>
      <w:tr w:rsidR="00690D65" w:rsidTr="00F72F2F">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690D65" w:rsidRDefault="000B2532" w:rsidP="00690D65">
            <w:pPr>
              <w:rPr>
                <w:rFonts w:cstheme="minorHAnsi"/>
                <w:b/>
              </w:rPr>
            </w:pPr>
            <w:r>
              <w:rPr>
                <w:rFonts w:cstheme="minorHAnsi"/>
                <w:b/>
              </w:rPr>
              <w:t>Finance Report</w:t>
            </w:r>
            <w:r w:rsidR="00942CA1">
              <w:rPr>
                <w:rFonts w:cstheme="minorHAnsi"/>
                <w:b/>
              </w:rPr>
              <w:t xml:space="preserve"> September</w:t>
            </w:r>
            <w:r>
              <w:rPr>
                <w:rFonts w:cstheme="minorHAnsi"/>
                <w:b/>
              </w:rPr>
              <w:t xml:space="preserve"> 2014</w:t>
            </w:r>
          </w:p>
          <w:p w:rsidR="000B2532" w:rsidRPr="00F15E89" w:rsidRDefault="000B2532" w:rsidP="00690D65">
            <w:pPr>
              <w:rPr>
                <w:rFonts w:cstheme="minorHAnsi"/>
                <w:b/>
              </w:rPr>
            </w:pPr>
          </w:p>
        </w:tc>
        <w:tc>
          <w:tcPr>
            <w:tcW w:w="943" w:type="dxa"/>
          </w:tcPr>
          <w:p w:rsidR="00690D65" w:rsidRDefault="00D67682" w:rsidP="006E6D03">
            <w:pPr>
              <w:jc w:val="center"/>
              <w:rPr>
                <w:rFonts w:cs="Arial"/>
              </w:rPr>
            </w:pPr>
            <w:r>
              <w:rPr>
                <w:rFonts w:cs="Arial"/>
              </w:rPr>
              <w:t>10</w:t>
            </w:r>
          </w:p>
        </w:tc>
        <w:tc>
          <w:tcPr>
            <w:tcW w:w="1305" w:type="dxa"/>
          </w:tcPr>
          <w:p w:rsidR="00690D65" w:rsidRPr="00531EDB" w:rsidRDefault="00DF08B0" w:rsidP="00AF19D5">
            <w:pPr>
              <w:jc w:val="center"/>
              <w:rPr>
                <w:rFonts w:cs="Arial"/>
                <w:b/>
              </w:rPr>
            </w:pPr>
            <w:r>
              <w:rPr>
                <w:rFonts w:cs="Arial"/>
                <w:b/>
              </w:rPr>
              <w:t>D</w:t>
            </w:r>
          </w:p>
        </w:tc>
      </w:tr>
      <w:tr w:rsidR="00D67682" w:rsidTr="00F72F2F">
        <w:tc>
          <w:tcPr>
            <w:tcW w:w="710" w:type="dxa"/>
          </w:tcPr>
          <w:p w:rsidR="00D67682" w:rsidRPr="00415B4C" w:rsidRDefault="00D67682" w:rsidP="00AF19D5">
            <w:pPr>
              <w:pStyle w:val="ListParagraph"/>
              <w:numPr>
                <w:ilvl w:val="0"/>
                <w:numId w:val="3"/>
              </w:numPr>
              <w:tabs>
                <w:tab w:val="left" w:pos="360"/>
              </w:tabs>
              <w:ind w:left="0" w:firstLine="0"/>
              <w:jc w:val="center"/>
              <w:rPr>
                <w:rFonts w:cs="Arial"/>
                <w:b/>
              </w:rPr>
            </w:pPr>
          </w:p>
        </w:tc>
        <w:tc>
          <w:tcPr>
            <w:tcW w:w="6780" w:type="dxa"/>
          </w:tcPr>
          <w:p w:rsidR="00D67682" w:rsidRDefault="00AF3C0D" w:rsidP="00942CA1">
            <w:pPr>
              <w:rPr>
                <w:rFonts w:cstheme="minorHAnsi"/>
                <w:b/>
              </w:rPr>
            </w:pPr>
            <w:r>
              <w:rPr>
                <w:rFonts w:cstheme="minorHAnsi"/>
                <w:b/>
              </w:rPr>
              <w:t>National Information Board Strategy</w:t>
            </w:r>
          </w:p>
          <w:p w:rsidR="00AF3C0D" w:rsidRDefault="00AF3C0D" w:rsidP="00942CA1">
            <w:pPr>
              <w:rPr>
                <w:rFonts w:cstheme="minorHAnsi"/>
                <w:b/>
              </w:rPr>
            </w:pPr>
          </w:p>
        </w:tc>
        <w:tc>
          <w:tcPr>
            <w:tcW w:w="943" w:type="dxa"/>
          </w:tcPr>
          <w:p w:rsidR="00D67682" w:rsidRDefault="00AF3C0D" w:rsidP="006E6D03">
            <w:pPr>
              <w:jc w:val="center"/>
              <w:rPr>
                <w:rFonts w:cs="Arial"/>
              </w:rPr>
            </w:pPr>
            <w:r>
              <w:rPr>
                <w:rFonts w:cs="Arial"/>
              </w:rPr>
              <w:t>10</w:t>
            </w:r>
          </w:p>
        </w:tc>
        <w:tc>
          <w:tcPr>
            <w:tcW w:w="1305" w:type="dxa"/>
          </w:tcPr>
          <w:p w:rsidR="00D67682" w:rsidRPr="00AF3C0D" w:rsidRDefault="009262B0" w:rsidP="00AF19D5">
            <w:pPr>
              <w:jc w:val="center"/>
              <w:rPr>
                <w:rFonts w:cs="Arial"/>
              </w:rPr>
            </w:pPr>
            <w:r>
              <w:rPr>
                <w:rFonts w:cs="Arial"/>
              </w:rPr>
              <w:t>Verbal</w:t>
            </w:r>
          </w:p>
        </w:tc>
      </w:tr>
      <w:tr w:rsidR="00026127" w:rsidTr="00736A4B">
        <w:tc>
          <w:tcPr>
            <w:tcW w:w="9738" w:type="dxa"/>
            <w:gridSpan w:val="4"/>
            <w:shd w:val="clear" w:color="auto" w:fill="D9D9D9" w:themeFill="background1" w:themeFillShade="D9"/>
          </w:tcPr>
          <w:p w:rsidR="00AB51B4" w:rsidRPr="00B218A0" w:rsidRDefault="00026127">
            <w:pPr>
              <w:rPr>
                <w:rFonts w:cs="Arial"/>
                <w:i/>
              </w:rPr>
            </w:pPr>
            <w:r w:rsidRPr="00F47D2D">
              <w:rPr>
                <w:rFonts w:cs="Arial"/>
                <w:i/>
              </w:rPr>
              <w:t>Items to note</w:t>
            </w:r>
          </w:p>
        </w:tc>
      </w:tr>
      <w:tr w:rsidR="00781EDE" w:rsidTr="00AB51B4">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F1049">
            <w:pPr>
              <w:rPr>
                <w:rFonts w:cs="Arial"/>
                <w:b/>
              </w:rPr>
            </w:pPr>
            <w:r>
              <w:rPr>
                <w:rFonts w:cs="Arial"/>
                <w:b/>
              </w:rPr>
              <w:t>Out of session item</w:t>
            </w:r>
            <w:r w:rsidR="007E6557">
              <w:rPr>
                <w:rFonts w:cs="Arial"/>
                <w:b/>
              </w:rPr>
              <w:t>s</w:t>
            </w:r>
            <w:r>
              <w:rPr>
                <w:rFonts w:cs="Arial"/>
                <w:b/>
              </w:rPr>
              <w:t xml:space="preserve"> to note</w:t>
            </w:r>
          </w:p>
          <w:p w:rsidR="00781EDE" w:rsidRDefault="00781EDE" w:rsidP="004F1049">
            <w:pPr>
              <w:rPr>
                <w:rFonts w:cs="Arial"/>
                <w:b/>
              </w:rPr>
            </w:pPr>
          </w:p>
          <w:p w:rsidR="00781EDE" w:rsidRDefault="00B869CC" w:rsidP="00942CA1">
            <w:pPr>
              <w:pStyle w:val="ListParagraph"/>
              <w:numPr>
                <w:ilvl w:val="0"/>
                <w:numId w:val="17"/>
              </w:numPr>
              <w:rPr>
                <w:rFonts w:cs="Arial"/>
              </w:rPr>
            </w:pPr>
            <w:r>
              <w:rPr>
                <w:rFonts w:cs="Arial"/>
              </w:rPr>
              <w:t>The Finance report for August 2014, referenced during the last meeting, was circulated to the Board for information.</w:t>
            </w:r>
          </w:p>
          <w:p w:rsidR="00B869CC" w:rsidRDefault="00B869CC" w:rsidP="00B869CC">
            <w:pPr>
              <w:pStyle w:val="ListParagraph"/>
              <w:rPr>
                <w:rFonts w:cs="Arial"/>
              </w:rPr>
            </w:pPr>
          </w:p>
          <w:p w:rsidR="00B869CC" w:rsidRDefault="00B869CC" w:rsidP="00942CA1">
            <w:pPr>
              <w:pStyle w:val="ListParagraph"/>
              <w:numPr>
                <w:ilvl w:val="0"/>
                <w:numId w:val="17"/>
              </w:numPr>
              <w:rPr>
                <w:rFonts w:cs="Arial"/>
              </w:rPr>
            </w:pPr>
            <w:r>
              <w:rPr>
                <w:rFonts w:cs="Arial"/>
              </w:rPr>
              <w:t>A letter from Una O’Brien CB, Permanent Secretary at the Department of Health, regarding pre-election contacts – terms of engagement, was circulated to the Board for information.</w:t>
            </w:r>
          </w:p>
          <w:p w:rsidR="00B869CC" w:rsidRPr="00B869CC" w:rsidRDefault="00B869CC" w:rsidP="00B869CC">
            <w:pPr>
              <w:pStyle w:val="ListParagraph"/>
              <w:rPr>
                <w:rFonts w:cs="Arial"/>
              </w:rPr>
            </w:pPr>
          </w:p>
          <w:p w:rsidR="00B869CC" w:rsidRDefault="00B869CC" w:rsidP="00942CA1">
            <w:pPr>
              <w:pStyle w:val="ListParagraph"/>
              <w:numPr>
                <w:ilvl w:val="0"/>
                <w:numId w:val="17"/>
              </w:numPr>
              <w:rPr>
                <w:rFonts w:cs="Arial"/>
              </w:rPr>
            </w:pPr>
            <w:r>
              <w:rPr>
                <w:rFonts w:cs="Arial"/>
              </w:rPr>
              <w:t xml:space="preserve">The ‘Seeking informed consent for simple and efficient trials in the NHS’ </w:t>
            </w:r>
            <w:r w:rsidR="0082470A">
              <w:rPr>
                <w:rFonts w:cs="Arial"/>
              </w:rPr>
              <w:t>proposal was circulated to the Board for information and final comment.</w:t>
            </w:r>
          </w:p>
          <w:p w:rsidR="00B869CC" w:rsidRPr="00B869CC" w:rsidRDefault="00B869CC" w:rsidP="00B869CC">
            <w:pPr>
              <w:rPr>
                <w:rFonts w:cs="Arial"/>
              </w:rPr>
            </w:pPr>
          </w:p>
        </w:tc>
        <w:tc>
          <w:tcPr>
            <w:tcW w:w="943" w:type="dxa"/>
            <w:vAlign w:val="center"/>
          </w:tcPr>
          <w:p w:rsidR="00781EDE" w:rsidRDefault="00781EDE" w:rsidP="00AB51B4">
            <w:pPr>
              <w:jc w:val="center"/>
              <w:rPr>
                <w:rFonts w:cs="Arial"/>
              </w:rPr>
            </w:pPr>
            <w:r>
              <w:rPr>
                <w:rFonts w:cs="Arial"/>
              </w:rPr>
              <w:t>5</w:t>
            </w:r>
          </w:p>
        </w:tc>
        <w:tc>
          <w:tcPr>
            <w:tcW w:w="1305" w:type="dxa"/>
          </w:tcPr>
          <w:p w:rsidR="00781EDE" w:rsidRDefault="00B218A0" w:rsidP="00AF19D5">
            <w:pPr>
              <w:jc w:val="center"/>
              <w:rPr>
                <w:rFonts w:cs="Arial"/>
              </w:rPr>
            </w:pPr>
            <w:r>
              <w:rPr>
                <w:rFonts w:cs="Arial"/>
              </w:rPr>
              <w:t>Verbal</w:t>
            </w:r>
          </w:p>
        </w:tc>
      </w:tr>
      <w:tr w:rsidR="00781EDE" w:rsidTr="00BD50BE">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D68EA">
            <w:pPr>
              <w:rPr>
                <w:rFonts w:cs="Arial"/>
                <w:b/>
              </w:rPr>
            </w:pPr>
            <w:r>
              <w:rPr>
                <w:rFonts w:cs="Arial"/>
                <w:b/>
              </w:rPr>
              <w:t>Any other business</w:t>
            </w:r>
          </w:p>
          <w:p w:rsidR="00781EDE" w:rsidRDefault="00781EDE" w:rsidP="004D68EA">
            <w:pPr>
              <w:rPr>
                <w:rFonts w:cs="Arial"/>
                <w:b/>
              </w:rPr>
            </w:pPr>
          </w:p>
        </w:tc>
        <w:tc>
          <w:tcPr>
            <w:tcW w:w="943" w:type="dxa"/>
            <w:vAlign w:val="center"/>
          </w:tcPr>
          <w:p w:rsidR="00781EDE" w:rsidRDefault="003741A6" w:rsidP="00BD50BE">
            <w:pPr>
              <w:jc w:val="center"/>
              <w:rPr>
                <w:rFonts w:cs="Arial"/>
              </w:rPr>
            </w:pPr>
            <w:r>
              <w:rPr>
                <w:rFonts w:cs="Arial"/>
              </w:rPr>
              <w:t>10</w:t>
            </w:r>
          </w:p>
        </w:tc>
        <w:tc>
          <w:tcPr>
            <w:tcW w:w="1305" w:type="dxa"/>
          </w:tcPr>
          <w:p w:rsidR="00781EDE" w:rsidRPr="00130ED3" w:rsidRDefault="00781EDE" w:rsidP="00AF19D5">
            <w:pPr>
              <w:jc w:val="center"/>
              <w:rPr>
                <w:rFonts w:cs="Arial"/>
              </w:rPr>
            </w:pPr>
            <w:r>
              <w:rPr>
                <w:rFonts w:cs="Arial"/>
              </w:rPr>
              <w:t>Verbal</w:t>
            </w:r>
          </w:p>
        </w:tc>
      </w:tr>
      <w:tr w:rsidR="00781EDE" w:rsidTr="00F72F2F">
        <w:tc>
          <w:tcPr>
            <w:tcW w:w="710" w:type="dxa"/>
          </w:tcPr>
          <w:p w:rsidR="00781EDE" w:rsidRPr="006E73FF" w:rsidRDefault="00781EDE" w:rsidP="006E6D03">
            <w:pPr>
              <w:pStyle w:val="ListParagraph"/>
              <w:numPr>
                <w:ilvl w:val="0"/>
                <w:numId w:val="3"/>
              </w:numPr>
              <w:tabs>
                <w:tab w:val="left" w:pos="360"/>
              </w:tabs>
              <w:ind w:left="0" w:firstLine="0"/>
              <w:jc w:val="center"/>
              <w:rPr>
                <w:rFonts w:cs="Arial"/>
                <w:b/>
              </w:rPr>
            </w:pPr>
          </w:p>
        </w:tc>
        <w:tc>
          <w:tcPr>
            <w:tcW w:w="6780" w:type="dxa"/>
          </w:tcPr>
          <w:p w:rsidR="00781EDE" w:rsidRPr="006E73FF" w:rsidRDefault="00781EDE" w:rsidP="006E6D03">
            <w:pPr>
              <w:rPr>
                <w:rFonts w:cs="Arial"/>
                <w:b/>
              </w:rPr>
            </w:pPr>
            <w:r w:rsidRPr="006E73FF">
              <w:rPr>
                <w:rFonts w:cs="Arial"/>
                <w:b/>
              </w:rPr>
              <w:t>Questions from the public</w:t>
            </w:r>
          </w:p>
          <w:p w:rsidR="00781EDE" w:rsidRPr="006E73FF" w:rsidRDefault="00781EDE" w:rsidP="006E6D03">
            <w:pPr>
              <w:rPr>
                <w:rFonts w:cs="Arial"/>
                <w:b/>
              </w:rPr>
            </w:pPr>
          </w:p>
        </w:tc>
        <w:tc>
          <w:tcPr>
            <w:tcW w:w="943" w:type="dxa"/>
          </w:tcPr>
          <w:p w:rsidR="00781EDE" w:rsidRPr="006E73FF" w:rsidRDefault="003741A6" w:rsidP="006E6D03">
            <w:pPr>
              <w:jc w:val="center"/>
              <w:rPr>
                <w:rFonts w:cs="Arial"/>
              </w:rPr>
            </w:pPr>
            <w:r>
              <w:rPr>
                <w:rFonts w:cs="Arial"/>
              </w:rPr>
              <w:t>5</w:t>
            </w:r>
          </w:p>
        </w:tc>
        <w:tc>
          <w:tcPr>
            <w:tcW w:w="1305" w:type="dxa"/>
          </w:tcPr>
          <w:p w:rsidR="00781EDE" w:rsidRPr="006E73FF" w:rsidRDefault="00781EDE" w:rsidP="006E6D03">
            <w:pPr>
              <w:jc w:val="center"/>
              <w:rPr>
                <w:rFonts w:cs="Arial"/>
              </w:rPr>
            </w:pPr>
            <w:r w:rsidRPr="006E73FF">
              <w:rPr>
                <w:rFonts w:cs="Arial"/>
              </w:rPr>
              <w:t>Verbal</w:t>
            </w:r>
          </w:p>
          <w:p w:rsidR="00781EDE" w:rsidRPr="006E73FF" w:rsidRDefault="00781EDE"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p>
          <w:p w:rsidR="00026127" w:rsidRDefault="00026127" w:rsidP="004D68EA">
            <w:pPr>
              <w:rPr>
                <w:rFonts w:cs="Arial"/>
                <w:b/>
              </w:rPr>
            </w:pPr>
          </w:p>
          <w:p w:rsidR="00781EDE" w:rsidRDefault="00B869CC" w:rsidP="00A349D7">
            <w:pPr>
              <w:rPr>
                <w:rFonts w:cs="Arial"/>
              </w:rPr>
            </w:pPr>
            <w:r>
              <w:rPr>
                <w:rFonts w:cs="Arial"/>
              </w:rPr>
              <w:t>26/11/2014</w:t>
            </w:r>
          </w:p>
          <w:p w:rsidR="00A349D7" w:rsidRDefault="00A349D7" w:rsidP="00A349D7">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p>
    <w:sectPr w:rsidR="005B2B7D" w:rsidRPr="000452D5"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0782A">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0782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82470A">
              <w:rPr>
                <w:sz w:val="18"/>
                <w:szCs w:val="18"/>
              </w:rPr>
              <w:t>10.29</w:t>
            </w:r>
            <w:r w:rsidR="002E77B7">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0782A">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0782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1F3455">
          <w:rPr>
            <w:sz w:val="18"/>
            <w:szCs w:val="18"/>
          </w:rPr>
          <w:t>2014.</w:t>
        </w:r>
        <w:r w:rsidR="0082470A">
          <w:rPr>
            <w:sz w:val="18"/>
            <w:szCs w:val="18"/>
          </w:rPr>
          <w:t>10.29</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1"/>
  </w:num>
  <w:num w:numId="5">
    <w:abstractNumId w:val="7"/>
  </w:num>
  <w:num w:numId="6">
    <w:abstractNumId w:val="0"/>
  </w:num>
  <w:num w:numId="7">
    <w:abstractNumId w:val="12"/>
  </w:num>
  <w:num w:numId="8">
    <w:abstractNumId w:val="10"/>
  </w:num>
  <w:num w:numId="9">
    <w:abstractNumId w:val="1"/>
  </w:num>
  <w:num w:numId="10">
    <w:abstractNumId w:val="6"/>
  </w:num>
  <w:num w:numId="11">
    <w:abstractNumId w:val="18"/>
  </w:num>
  <w:num w:numId="12">
    <w:abstractNumId w:val="9"/>
  </w:num>
  <w:num w:numId="13">
    <w:abstractNumId w:val="20"/>
  </w:num>
  <w:num w:numId="14">
    <w:abstractNumId w:val="13"/>
  </w:num>
  <w:num w:numId="15">
    <w:abstractNumId w:val="3"/>
  </w:num>
  <w:num w:numId="16">
    <w:abstractNumId w:val="15"/>
  </w:num>
  <w:num w:numId="17">
    <w:abstractNumId w:val="4"/>
  </w:num>
  <w:num w:numId="18">
    <w:abstractNumId w:val="17"/>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127"/>
    <w:rsid w:val="00026A84"/>
    <w:rsid w:val="0003184B"/>
    <w:rsid w:val="00033305"/>
    <w:rsid w:val="00034A4D"/>
    <w:rsid w:val="000452D5"/>
    <w:rsid w:val="00046B0F"/>
    <w:rsid w:val="0004770A"/>
    <w:rsid w:val="00062FBE"/>
    <w:rsid w:val="00064850"/>
    <w:rsid w:val="00064E58"/>
    <w:rsid w:val="00074BD3"/>
    <w:rsid w:val="000804CD"/>
    <w:rsid w:val="000B15C8"/>
    <w:rsid w:val="000B2532"/>
    <w:rsid w:val="000C270F"/>
    <w:rsid w:val="000C7FA6"/>
    <w:rsid w:val="000D0492"/>
    <w:rsid w:val="000D2DCF"/>
    <w:rsid w:val="000E5BF9"/>
    <w:rsid w:val="000F4214"/>
    <w:rsid w:val="000F42F4"/>
    <w:rsid w:val="00120252"/>
    <w:rsid w:val="00121504"/>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ABB"/>
    <w:rsid w:val="002D178C"/>
    <w:rsid w:val="002D7186"/>
    <w:rsid w:val="002E479D"/>
    <w:rsid w:val="002E77B7"/>
    <w:rsid w:val="002F0375"/>
    <w:rsid w:val="002F0D44"/>
    <w:rsid w:val="002F5FD4"/>
    <w:rsid w:val="0031271D"/>
    <w:rsid w:val="0032081B"/>
    <w:rsid w:val="00320889"/>
    <w:rsid w:val="00341AD0"/>
    <w:rsid w:val="003741A6"/>
    <w:rsid w:val="003871A8"/>
    <w:rsid w:val="00390009"/>
    <w:rsid w:val="0039487C"/>
    <w:rsid w:val="0039663F"/>
    <w:rsid w:val="00396E72"/>
    <w:rsid w:val="003970DC"/>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4F1049"/>
    <w:rsid w:val="00504D4E"/>
    <w:rsid w:val="005060C9"/>
    <w:rsid w:val="00531EDB"/>
    <w:rsid w:val="00541A0C"/>
    <w:rsid w:val="00546E59"/>
    <w:rsid w:val="00592583"/>
    <w:rsid w:val="005A3DB2"/>
    <w:rsid w:val="005A56B1"/>
    <w:rsid w:val="005B0DDA"/>
    <w:rsid w:val="005B2B7D"/>
    <w:rsid w:val="005B7B0D"/>
    <w:rsid w:val="005C764F"/>
    <w:rsid w:val="005F52E1"/>
    <w:rsid w:val="00610BD1"/>
    <w:rsid w:val="00630CBD"/>
    <w:rsid w:val="006338F2"/>
    <w:rsid w:val="00635885"/>
    <w:rsid w:val="00651EEC"/>
    <w:rsid w:val="006620CF"/>
    <w:rsid w:val="00675409"/>
    <w:rsid w:val="00683A2A"/>
    <w:rsid w:val="00690D65"/>
    <w:rsid w:val="00692E21"/>
    <w:rsid w:val="00697209"/>
    <w:rsid w:val="00697D41"/>
    <w:rsid w:val="006A203A"/>
    <w:rsid w:val="006A3060"/>
    <w:rsid w:val="006B3203"/>
    <w:rsid w:val="006B6D16"/>
    <w:rsid w:val="006C10F9"/>
    <w:rsid w:val="006D283D"/>
    <w:rsid w:val="006D443A"/>
    <w:rsid w:val="006E1069"/>
    <w:rsid w:val="006E5DA5"/>
    <w:rsid w:val="006E73FF"/>
    <w:rsid w:val="006F4BB3"/>
    <w:rsid w:val="006F54D7"/>
    <w:rsid w:val="0070737D"/>
    <w:rsid w:val="007077FA"/>
    <w:rsid w:val="00720950"/>
    <w:rsid w:val="00721AC5"/>
    <w:rsid w:val="00736A4B"/>
    <w:rsid w:val="0077062D"/>
    <w:rsid w:val="0077472D"/>
    <w:rsid w:val="00781EDE"/>
    <w:rsid w:val="007C0C1D"/>
    <w:rsid w:val="007C1CB5"/>
    <w:rsid w:val="007E5168"/>
    <w:rsid w:val="007E6557"/>
    <w:rsid w:val="007F2209"/>
    <w:rsid w:val="007F5CD3"/>
    <w:rsid w:val="00801C56"/>
    <w:rsid w:val="00815E6E"/>
    <w:rsid w:val="0082470A"/>
    <w:rsid w:val="0083064C"/>
    <w:rsid w:val="00831FD6"/>
    <w:rsid w:val="00837224"/>
    <w:rsid w:val="0084253E"/>
    <w:rsid w:val="00844085"/>
    <w:rsid w:val="0085029B"/>
    <w:rsid w:val="00854CB9"/>
    <w:rsid w:val="00865C82"/>
    <w:rsid w:val="008765F4"/>
    <w:rsid w:val="00876A26"/>
    <w:rsid w:val="008770B5"/>
    <w:rsid w:val="00886163"/>
    <w:rsid w:val="00886312"/>
    <w:rsid w:val="008A3B3B"/>
    <w:rsid w:val="008A5344"/>
    <w:rsid w:val="008A67E2"/>
    <w:rsid w:val="008B2F48"/>
    <w:rsid w:val="008C282E"/>
    <w:rsid w:val="008C3923"/>
    <w:rsid w:val="008C3A68"/>
    <w:rsid w:val="008D3835"/>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11711"/>
    <w:rsid w:val="00A13562"/>
    <w:rsid w:val="00A20222"/>
    <w:rsid w:val="00A349D7"/>
    <w:rsid w:val="00A91D19"/>
    <w:rsid w:val="00AB30E2"/>
    <w:rsid w:val="00AB51B4"/>
    <w:rsid w:val="00AB625F"/>
    <w:rsid w:val="00AC5250"/>
    <w:rsid w:val="00AE0BB5"/>
    <w:rsid w:val="00AE252E"/>
    <w:rsid w:val="00AE70C4"/>
    <w:rsid w:val="00AF19D5"/>
    <w:rsid w:val="00AF3C0D"/>
    <w:rsid w:val="00AF6005"/>
    <w:rsid w:val="00AF69AF"/>
    <w:rsid w:val="00B020E9"/>
    <w:rsid w:val="00B13540"/>
    <w:rsid w:val="00B16A19"/>
    <w:rsid w:val="00B218A0"/>
    <w:rsid w:val="00B25C4C"/>
    <w:rsid w:val="00B31C86"/>
    <w:rsid w:val="00B335D2"/>
    <w:rsid w:val="00B34641"/>
    <w:rsid w:val="00B41E51"/>
    <w:rsid w:val="00B51250"/>
    <w:rsid w:val="00B52FE2"/>
    <w:rsid w:val="00B60B81"/>
    <w:rsid w:val="00B61BEC"/>
    <w:rsid w:val="00B70FE8"/>
    <w:rsid w:val="00B745F3"/>
    <w:rsid w:val="00B77B47"/>
    <w:rsid w:val="00B86922"/>
    <w:rsid w:val="00B869CC"/>
    <w:rsid w:val="00B87D4F"/>
    <w:rsid w:val="00B90344"/>
    <w:rsid w:val="00B93139"/>
    <w:rsid w:val="00BA60C7"/>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36A71"/>
    <w:rsid w:val="00C37D18"/>
    <w:rsid w:val="00C54EE0"/>
    <w:rsid w:val="00C6224B"/>
    <w:rsid w:val="00C813D2"/>
    <w:rsid w:val="00C84E10"/>
    <w:rsid w:val="00C8518F"/>
    <w:rsid w:val="00C93CC8"/>
    <w:rsid w:val="00C9722B"/>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86253"/>
    <w:rsid w:val="00D94169"/>
    <w:rsid w:val="00DA1271"/>
    <w:rsid w:val="00DA69CF"/>
    <w:rsid w:val="00DA728E"/>
    <w:rsid w:val="00DB04F1"/>
    <w:rsid w:val="00DB0A75"/>
    <w:rsid w:val="00DB75AE"/>
    <w:rsid w:val="00DC4C98"/>
    <w:rsid w:val="00DD2DE4"/>
    <w:rsid w:val="00DD62AE"/>
    <w:rsid w:val="00DE6C5B"/>
    <w:rsid w:val="00DF08B0"/>
    <w:rsid w:val="00DF0DDE"/>
    <w:rsid w:val="00DF3EE7"/>
    <w:rsid w:val="00DF5F25"/>
    <w:rsid w:val="00E00414"/>
    <w:rsid w:val="00E04B60"/>
    <w:rsid w:val="00E05AF8"/>
    <w:rsid w:val="00E0782A"/>
    <w:rsid w:val="00E30CF7"/>
    <w:rsid w:val="00E53D13"/>
    <w:rsid w:val="00E701E8"/>
    <w:rsid w:val="00E70959"/>
    <w:rsid w:val="00E70CAE"/>
    <w:rsid w:val="00E83E27"/>
    <w:rsid w:val="00E876E2"/>
    <w:rsid w:val="00E97468"/>
    <w:rsid w:val="00EA0DE4"/>
    <w:rsid w:val="00ED1B36"/>
    <w:rsid w:val="00EE0650"/>
    <w:rsid w:val="00EE5006"/>
    <w:rsid w:val="00EF41BE"/>
    <w:rsid w:val="00EF6DCF"/>
    <w:rsid w:val="00F05855"/>
    <w:rsid w:val="00F137C0"/>
    <w:rsid w:val="00F14DC2"/>
    <w:rsid w:val="00F24B43"/>
    <w:rsid w:val="00F3283C"/>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C04EE"/>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11</cp:revision>
  <cp:lastPrinted>2014-10-23T15:00:00Z</cp:lastPrinted>
  <dcterms:created xsi:type="dcterms:W3CDTF">2014-10-02T09:48:00Z</dcterms:created>
  <dcterms:modified xsi:type="dcterms:W3CDTF">2014-10-23T15:02:00Z</dcterms:modified>
</cp:coreProperties>
</file>