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Pr>
          <w:rFonts w:ascii="Arial" w:hAnsi="Arial" w:cs="Arial"/>
          <w:b/>
          <w:lang w:val="en-GB"/>
        </w:rPr>
        <w:tab/>
      </w:r>
      <w:r w:rsidR="00E34821">
        <w:rPr>
          <w:rFonts w:ascii="Arial" w:hAnsi="Arial" w:cs="Arial"/>
          <w:b/>
          <w:noProof/>
          <w:lang w:val="en-GB" w:eastAsia="en-GB"/>
        </w:rPr>
        <w:drawing>
          <wp:inline distT="0" distB="0" distL="0" distR="0" wp14:anchorId="6B1E0FE4" wp14:editId="7B549722">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DF3EE3" w:rsidP="00DF3EE3">
            <w:pPr>
              <w:jc w:val="center"/>
              <w:rPr>
                <w:rFonts w:asciiTheme="minorHAnsi" w:hAnsiTheme="minorHAnsi" w:cstheme="minorHAnsi"/>
                <w:b/>
                <w:sz w:val="44"/>
                <w:szCs w:val="44"/>
                <w:lang w:eastAsia="en-US"/>
              </w:rPr>
            </w:pP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DF3EE3" w:rsidRDefault="00DF3EE3" w:rsidP="00DF3EE3">
            <w:pPr>
              <w:jc w:val="center"/>
              <w:rPr>
                <w:rFonts w:asciiTheme="minorHAnsi" w:hAnsiTheme="minorHAnsi" w:cstheme="minorHAnsi"/>
                <w:b/>
                <w:sz w:val="44"/>
                <w:szCs w:val="44"/>
                <w:lang w:eastAsia="en-US"/>
              </w:rPr>
            </w:pP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lang w:eastAsia="en-US"/>
        </w:rPr>
      </w:pPr>
    </w:p>
    <w:p w:rsidR="00613941" w:rsidRDefault="00613941" w:rsidP="00DF3EE3">
      <w:pPr>
        <w:jc w:val="center"/>
        <w:rPr>
          <w:rFonts w:asciiTheme="minorHAnsi" w:eastAsiaTheme="minorHAnsi" w:hAnsiTheme="minorHAnsi" w:cstheme="minorHAnsi"/>
          <w:b/>
          <w:sz w:val="44"/>
          <w:szCs w:val="44"/>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HRA EMT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rPr>
          <w:trHeight w:val="689"/>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tcPr>
          <w:p w:rsidR="008B70B1" w:rsidRDefault="00954A12" w:rsidP="00B21BB6">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28 April</w:t>
            </w:r>
            <w:r w:rsidR="00B3402D">
              <w:rPr>
                <w:rFonts w:asciiTheme="minorHAnsi" w:eastAsiaTheme="minorHAnsi" w:hAnsiTheme="minorHAnsi" w:cstheme="minorHAnsi"/>
                <w:lang w:eastAsia="en-US"/>
              </w:rPr>
              <w:t xml:space="preserve"> 2014</w:t>
            </w:r>
            <w:r w:rsidR="007948D4">
              <w:rPr>
                <w:rFonts w:asciiTheme="minorHAnsi" w:eastAsiaTheme="minorHAnsi" w:hAnsiTheme="minorHAnsi" w:cstheme="minorHAnsi"/>
                <w:lang w:eastAsia="en-US"/>
              </w:rPr>
              <w:t xml:space="preserve"> – verbal update given.</w:t>
            </w:r>
          </w:p>
          <w:p w:rsidR="007948D4" w:rsidRPr="00DF3EE3" w:rsidRDefault="007948D4" w:rsidP="00C247A6">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Written report sent out by correspondence </w:t>
            </w:r>
            <w:r w:rsidR="00C247A6">
              <w:rPr>
                <w:rFonts w:asciiTheme="minorHAnsi" w:eastAsiaTheme="minorHAnsi" w:hAnsiTheme="minorHAnsi" w:cstheme="minorHAnsi"/>
                <w:lang w:eastAsia="en-US"/>
              </w:rPr>
              <w:t>30</w:t>
            </w:r>
            <w:r w:rsidRPr="007948D4">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April 2014 for board meeting on 12</w:t>
            </w:r>
            <w:r w:rsidRPr="007948D4">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May.</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B3402D">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954A12">
              <w:rPr>
                <w:rFonts w:asciiTheme="minorHAnsi" w:hAnsiTheme="minorHAnsi" w:cstheme="minorHAnsi"/>
              </w:rPr>
              <w:t>as at 31 March</w:t>
            </w:r>
            <w:r w:rsidR="00E21205">
              <w:rPr>
                <w:rFonts w:asciiTheme="minorHAnsi" w:hAnsiTheme="minorHAnsi" w:cstheme="minorHAnsi"/>
              </w:rPr>
              <w:t xml:space="preserve"> 2014 </w:t>
            </w:r>
            <w:r w:rsidR="003179D5">
              <w:rPr>
                <w:rFonts w:asciiTheme="minorHAnsi" w:hAnsiTheme="minorHAnsi" w:cstheme="minorHAnsi"/>
              </w:rPr>
              <w:t>for financial year 2013/14</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613941" w:rsidRPr="00DF3EE3" w:rsidRDefault="00DF3EE3" w:rsidP="00E2120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report on the financial position of the Authority for the </w:t>
            </w:r>
            <w:r w:rsidR="00844B51">
              <w:rPr>
                <w:rFonts w:asciiTheme="minorHAnsi" w:eastAsiaTheme="minorHAnsi" w:hAnsiTheme="minorHAnsi" w:cstheme="minorHAnsi"/>
                <w:lang w:eastAsia="en-US"/>
              </w:rPr>
              <w:t xml:space="preserve">month ended </w:t>
            </w:r>
            <w:r w:rsidR="00954A12">
              <w:rPr>
                <w:rFonts w:asciiTheme="minorHAnsi" w:eastAsiaTheme="minorHAnsi" w:hAnsiTheme="minorHAnsi" w:cstheme="minorHAnsi"/>
                <w:lang w:eastAsia="en-US"/>
              </w:rPr>
              <w:t>March</w:t>
            </w:r>
            <w:r w:rsidR="00B3402D">
              <w:rPr>
                <w:rFonts w:asciiTheme="minorHAnsi" w:eastAsiaTheme="minorHAnsi" w:hAnsiTheme="minorHAnsi" w:cstheme="minorHAnsi"/>
                <w:lang w:eastAsia="en-US"/>
              </w:rPr>
              <w:t xml:space="preserve"> </w:t>
            </w:r>
            <w:r w:rsidR="00E21205">
              <w:rPr>
                <w:rFonts w:asciiTheme="minorHAnsi" w:eastAsiaTheme="minorHAnsi" w:hAnsiTheme="minorHAnsi" w:cstheme="minorHAnsi"/>
                <w:lang w:eastAsia="en-US"/>
              </w:rPr>
              <w:t>2014</w:t>
            </w:r>
            <w:r>
              <w:rPr>
                <w:rFonts w:asciiTheme="minorHAnsi" w:eastAsiaTheme="minorHAnsi" w:hAnsiTheme="minorHAnsi" w:cstheme="minorHAnsi"/>
                <w:lang w:eastAsia="en-US"/>
              </w:rPr>
              <w:t>.</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6320" w:type="dxa"/>
          </w:tcPr>
          <w:p w:rsidR="00613941" w:rsidRPr="00DF3EE3" w:rsidRDefault="00DF3EE3" w:rsidP="00E21205">
            <w:pPr>
              <w:spacing w:after="200" w:line="276" w:lineRule="auto"/>
              <w:rPr>
                <w:rFonts w:asciiTheme="minorHAnsi" w:eastAsiaTheme="minorHAnsi" w:hAnsiTheme="minorHAnsi" w:cstheme="minorHAnsi"/>
                <w:lang w:eastAsia="en-US"/>
              </w:rPr>
            </w:pPr>
            <w:r w:rsidRPr="00DF3EE3">
              <w:rPr>
                <w:rFonts w:asciiTheme="minorHAnsi" w:eastAsiaTheme="minorHAnsi" w:hAnsiTheme="minorHAnsi" w:cstheme="minorHAnsi"/>
                <w:lang w:eastAsia="en-US"/>
              </w:rPr>
              <w:t xml:space="preserve">To ensure the </w:t>
            </w:r>
            <w:r>
              <w:rPr>
                <w:rFonts w:asciiTheme="minorHAnsi" w:eastAsiaTheme="minorHAnsi" w:hAnsiTheme="minorHAnsi" w:cstheme="minorHAnsi"/>
                <w:lang w:eastAsia="en-US"/>
              </w:rPr>
              <w:t>EMT</w:t>
            </w:r>
            <w:r w:rsidRPr="00DF3EE3">
              <w:rPr>
                <w:rFonts w:asciiTheme="minorHAnsi" w:eastAsiaTheme="minorHAnsi" w:hAnsiTheme="minorHAnsi" w:cstheme="minorHAnsi"/>
                <w:lang w:eastAsia="en-US"/>
              </w:rPr>
              <w:t xml:space="preserve"> </w:t>
            </w:r>
            <w:r w:rsidR="00AD76CF">
              <w:rPr>
                <w:rFonts w:asciiTheme="minorHAnsi" w:eastAsiaTheme="minorHAnsi" w:hAnsiTheme="minorHAnsi" w:cstheme="minorHAnsi"/>
                <w:lang w:eastAsia="en-US"/>
              </w:rPr>
              <w:t xml:space="preserve">and the Board in due course, </w:t>
            </w:r>
            <w:r w:rsidRPr="00DF3EE3">
              <w:rPr>
                <w:rFonts w:asciiTheme="minorHAnsi" w:eastAsiaTheme="minorHAnsi" w:hAnsiTheme="minorHAnsi" w:cstheme="minorHAnsi"/>
                <w:lang w:eastAsia="en-US"/>
              </w:rPr>
              <w:t>are aware of the financial position of the HRA</w:t>
            </w:r>
            <w:r>
              <w:rPr>
                <w:rFonts w:asciiTheme="minorHAnsi" w:eastAsiaTheme="minorHAnsi" w:hAnsiTheme="minorHAnsi" w:cstheme="minorHAnsi"/>
                <w:lang w:eastAsia="en-US"/>
              </w:rPr>
              <w:t xml:space="preserve"> at the end of</w:t>
            </w:r>
            <w:r w:rsidR="00954A12">
              <w:rPr>
                <w:rFonts w:asciiTheme="minorHAnsi" w:eastAsiaTheme="minorHAnsi" w:hAnsiTheme="minorHAnsi" w:cstheme="minorHAnsi"/>
                <w:lang w:eastAsia="en-US"/>
              </w:rPr>
              <w:t xml:space="preserve"> March</w:t>
            </w:r>
            <w:r w:rsidR="00E21205">
              <w:rPr>
                <w:rFonts w:asciiTheme="minorHAnsi" w:eastAsiaTheme="minorHAnsi" w:hAnsiTheme="minorHAnsi" w:cstheme="minorHAnsi"/>
                <w:lang w:eastAsia="en-US"/>
              </w:rPr>
              <w:t xml:space="preserve"> 2014</w:t>
            </w:r>
            <w:r>
              <w:rPr>
                <w:rFonts w:asciiTheme="minorHAnsi" w:eastAsiaTheme="minorHAnsi" w:hAnsiTheme="minorHAnsi" w:cstheme="minorHAnsi"/>
                <w:lang w:eastAsia="en-US"/>
              </w:rPr>
              <w:t>.</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F3EE3"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3179D5">
              <w:rPr>
                <w:rFonts w:asciiTheme="minorHAnsi" w:eastAsiaTheme="minorHAnsi" w:hAnsiTheme="minorHAnsi" w:cstheme="minorHAnsi"/>
                <w:lang w:eastAsia="en-US"/>
              </w:rPr>
              <w:t>s the financi</w:t>
            </w:r>
            <w:r w:rsidR="001516FA">
              <w:rPr>
                <w:rFonts w:asciiTheme="minorHAnsi" w:eastAsiaTheme="minorHAnsi" w:hAnsiTheme="minorHAnsi" w:cstheme="minorHAnsi"/>
                <w:lang w:eastAsia="en-US"/>
              </w:rPr>
              <w:t>a</w:t>
            </w:r>
            <w:r w:rsidR="00E6420E">
              <w:rPr>
                <w:rFonts w:asciiTheme="minorHAnsi" w:eastAsiaTheme="minorHAnsi" w:hAnsiTheme="minorHAnsi" w:cstheme="minorHAnsi"/>
                <w:lang w:eastAsia="en-US"/>
              </w:rPr>
              <w:t xml:space="preserve">l </w:t>
            </w:r>
            <w:r w:rsidR="00646BC4">
              <w:rPr>
                <w:rFonts w:asciiTheme="minorHAnsi" w:eastAsiaTheme="minorHAnsi" w:hAnsiTheme="minorHAnsi" w:cstheme="minorHAnsi"/>
                <w:lang w:eastAsia="en-US"/>
              </w:rPr>
              <w:t>pos</w:t>
            </w:r>
            <w:r w:rsidR="008B70B1">
              <w:rPr>
                <w:rFonts w:asciiTheme="minorHAnsi" w:eastAsiaTheme="minorHAnsi" w:hAnsiTheme="minorHAnsi" w:cstheme="minorHAnsi"/>
                <w:lang w:eastAsia="en-US"/>
              </w:rPr>
              <w:t xml:space="preserve">ition as at the end of </w:t>
            </w:r>
            <w:r w:rsidR="00954A12">
              <w:rPr>
                <w:rFonts w:asciiTheme="minorHAnsi" w:eastAsiaTheme="minorHAnsi" w:hAnsiTheme="minorHAnsi" w:cstheme="minorHAnsi"/>
                <w:lang w:eastAsia="en-US"/>
              </w:rPr>
              <w:t>March</w:t>
            </w:r>
            <w:r w:rsidR="00B3402D">
              <w:rPr>
                <w:rFonts w:asciiTheme="minorHAnsi" w:eastAsiaTheme="minorHAnsi" w:hAnsiTheme="minorHAnsi" w:cstheme="minorHAnsi"/>
                <w:lang w:eastAsia="en-US"/>
              </w:rPr>
              <w:t xml:space="preserve"> </w:t>
            </w:r>
            <w:r w:rsidR="00E21205">
              <w:rPr>
                <w:rFonts w:asciiTheme="minorHAnsi" w:eastAsiaTheme="minorHAnsi" w:hAnsiTheme="minorHAnsi" w:cstheme="minorHAnsi"/>
                <w:lang w:eastAsia="en-US"/>
              </w:rPr>
              <w:t>2014</w:t>
            </w:r>
            <w:r w:rsidR="003449ED">
              <w:rPr>
                <w:rFonts w:asciiTheme="minorHAnsi" w:eastAsiaTheme="minorHAnsi" w:hAnsiTheme="minorHAnsi" w:cstheme="minorHAnsi"/>
                <w:lang w:eastAsia="en-US"/>
              </w:rPr>
              <w:t xml:space="preserve">. </w:t>
            </w:r>
          </w:p>
          <w:p w:rsidR="003179D5" w:rsidRDefault="00613941" w:rsidP="003179D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There are no matters of </w:t>
            </w:r>
            <w:r w:rsidR="00297100">
              <w:rPr>
                <w:rFonts w:asciiTheme="minorHAnsi" w:eastAsiaTheme="minorHAnsi" w:hAnsiTheme="minorHAnsi" w:cstheme="minorHAnsi"/>
                <w:lang w:eastAsia="en-US"/>
              </w:rPr>
              <w:t xml:space="preserve">significant </w:t>
            </w:r>
            <w:r>
              <w:rPr>
                <w:rFonts w:asciiTheme="minorHAnsi" w:eastAsiaTheme="minorHAnsi" w:hAnsiTheme="minorHAnsi" w:cstheme="minorHAnsi"/>
                <w:lang w:eastAsia="en-US"/>
              </w:rPr>
              <w:t>concern for</w:t>
            </w:r>
            <w:r w:rsidR="003C0EA6">
              <w:rPr>
                <w:rFonts w:asciiTheme="minorHAnsi" w:eastAsiaTheme="minorHAnsi" w:hAnsiTheme="minorHAnsi" w:cstheme="minorHAnsi"/>
                <w:lang w:eastAsia="en-US"/>
              </w:rPr>
              <w:t xml:space="preserve"> the EMT or the board to note at this stage of the financial year</w:t>
            </w:r>
            <w:r w:rsidR="00115E84">
              <w:rPr>
                <w:rFonts w:asciiTheme="minorHAnsi" w:eastAsiaTheme="minorHAnsi" w:hAnsiTheme="minorHAnsi" w:cstheme="minorHAnsi"/>
                <w:lang w:eastAsia="en-US"/>
              </w:rPr>
              <w:t xml:space="preserve"> in terms of the overall position</w:t>
            </w:r>
            <w:r w:rsidR="003C0EA6">
              <w:rPr>
                <w:rFonts w:asciiTheme="minorHAnsi" w:eastAsiaTheme="minorHAnsi" w:hAnsiTheme="minorHAnsi" w:cstheme="minorHAnsi"/>
                <w:lang w:eastAsia="en-US"/>
              </w:rPr>
              <w:t>.</w:t>
            </w:r>
            <w:r w:rsidR="00467624">
              <w:rPr>
                <w:rFonts w:asciiTheme="minorHAnsi" w:eastAsiaTheme="minorHAnsi" w:hAnsiTheme="minorHAnsi" w:cstheme="minorHAnsi"/>
                <w:lang w:eastAsia="en-US"/>
              </w:rPr>
              <w:t xml:space="preserve">  </w:t>
            </w:r>
            <w:proofErr w:type="gramStart"/>
            <w:r w:rsidR="00467624">
              <w:rPr>
                <w:rFonts w:asciiTheme="minorHAnsi" w:eastAsiaTheme="minorHAnsi" w:hAnsiTheme="minorHAnsi" w:cstheme="minorHAnsi"/>
                <w:lang w:eastAsia="en-US"/>
              </w:rPr>
              <w:t>The underspend</w:t>
            </w:r>
            <w:proofErr w:type="gramEnd"/>
            <w:r w:rsidR="00467624">
              <w:rPr>
                <w:rFonts w:asciiTheme="minorHAnsi" w:eastAsiaTheme="minorHAnsi" w:hAnsiTheme="minorHAnsi" w:cstheme="minorHAnsi"/>
                <w:lang w:eastAsia="en-US"/>
              </w:rPr>
              <w:t xml:space="preserve"> was predicted</w:t>
            </w:r>
            <w:r w:rsidR="008876BF">
              <w:rPr>
                <w:rFonts w:asciiTheme="minorHAnsi" w:eastAsiaTheme="minorHAnsi" w:hAnsiTheme="minorHAnsi" w:cstheme="minorHAnsi"/>
                <w:lang w:eastAsia="en-US"/>
              </w:rPr>
              <w:t xml:space="preserve"> from early on</w:t>
            </w:r>
            <w:r w:rsidR="00467624">
              <w:rPr>
                <w:rFonts w:asciiTheme="minorHAnsi" w:eastAsiaTheme="minorHAnsi" w:hAnsiTheme="minorHAnsi" w:cstheme="minorHAnsi"/>
                <w:lang w:eastAsia="en-US"/>
              </w:rPr>
              <w:t>, however the extent of it</w:t>
            </w:r>
            <w:r w:rsidR="008876BF">
              <w:rPr>
                <w:rFonts w:asciiTheme="minorHAnsi" w:eastAsiaTheme="minorHAnsi" w:hAnsiTheme="minorHAnsi" w:cstheme="minorHAnsi"/>
                <w:lang w:eastAsia="en-US"/>
              </w:rPr>
              <w:t xml:space="preserve"> was</w:t>
            </w:r>
            <w:r w:rsidR="00467624">
              <w:rPr>
                <w:rFonts w:asciiTheme="minorHAnsi" w:eastAsiaTheme="minorHAnsi" w:hAnsiTheme="minorHAnsi" w:cstheme="minorHAnsi"/>
                <w:lang w:eastAsia="en-US"/>
              </w:rPr>
              <w:t xml:space="preserve"> </w:t>
            </w:r>
            <w:r w:rsidR="008876BF">
              <w:rPr>
                <w:rFonts w:asciiTheme="minorHAnsi" w:eastAsiaTheme="minorHAnsi" w:hAnsiTheme="minorHAnsi" w:cstheme="minorHAnsi"/>
                <w:lang w:eastAsia="en-US"/>
              </w:rPr>
              <w:t>larger than expected.  Some learning points have been discussed with the finance team</w:t>
            </w:r>
            <w:proofErr w:type="gramStart"/>
            <w:r w:rsidR="008876BF">
              <w:rPr>
                <w:rFonts w:asciiTheme="minorHAnsi" w:eastAsiaTheme="minorHAnsi" w:hAnsiTheme="minorHAnsi" w:cstheme="minorHAnsi"/>
                <w:lang w:eastAsia="en-US"/>
              </w:rPr>
              <w:t>,  EMT</w:t>
            </w:r>
            <w:proofErr w:type="gramEnd"/>
            <w:r w:rsidR="008876BF">
              <w:rPr>
                <w:rFonts w:asciiTheme="minorHAnsi" w:eastAsiaTheme="minorHAnsi" w:hAnsiTheme="minorHAnsi" w:cstheme="minorHAnsi"/>
                <w:lang w:eastAsia="en-US"/>
              </w:rPr>
              <w:t xml:space="preserve"> </w:t>
            </w:r>
            <w:r w:rsidR="00467624">
              <w:rPr>
                <w:rFonts w:asciiTheme="minorHAnsi" w:eastAsiaTheme="minorHAnsi" w:hAnsiTheme="minorHAnsi" w:cstheme="minorHAnsi"/>
                <w:lang w:eastAsia="en-US"/>
              </w:rPr>
              <w:t xml:space="preserve">and </w:t>
            </w:r>
            <w:r w:rsidR="008876BF">
              <w:rPr>
                <w:rFonts w:asciiTheme="minorHAnsi" w:eastAsiaTheme="minorHAnsi" w:hAnsiTheme="minorHAnsi" w:cstheme="minorHAnsi"/>
                <w:lang w:eastAsia="en-US"/>
              </w:rPr>
              <w:t>training will be provided to budget manager</w:t>
            </w:r>
            <w:r w:rsidR="00C247A6">
              <w:rPr>
                <w:rFonts w:asciiTheme="minorHAnsi" w:eastAsiaTheme="minorHAnsi" w:hAnsiTheme="minorHAnsi" w:cstheme="minorHAnsi"/>
                <w:lang w:eastAsia="en-US"/>
              </w:rPr>
              <w:t>s</w:t>
            </w:r>
            <w:r w:rsidR="008876BF">
              <w:rPr>
                <w:rFonts w:asciiTheme="minorHAnsi" w:eastAsiaTheme="minorHAnsi" w:hAnsiTheme="minorHAnsi" w:cstheme="minorHAnsi"/>
                <w:lang w:eastAsia="en-US"/>
              </w:rPr>
              <w:t xml:space="preserve">. </w:t>
            </w:r>
          </w:p>
          <w:p w:rsidR="00B75EB4" w:rsidRDefault="00B75EB4" w:rsidP="003179D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Key items to note</w:t>
            </w:r>
          </w:p>
          <w:p w:rsidR="00467624" w:rsidRDefault="00B75EB4" w:rsidP="00B75EB4">
            <w:pPr>
              <w:pStyle w:val="ListParagraph"/>
              <w:numPr>
                <w:ilvl w:val="0"/>
                <w:numId w:val="9"/>
              </w:numPr>
              <w:spacing w:after="200" w:line="276" w:lineRule="auto"/>
              <w:rPr>
                <w:rFonts w:asciiTheme="minorHAnsi" w:eastAsiaTheme="minorHAnsi" w:hAnsiTheme="minorHAnsi" w:cstheme="minorHAnsi"/>
                <w:lang w:eastAsia="en-US"/>
              </w:rPr>
            </w:pPr>
            <w:r w:rsidRPr="00467624">
              <w:rPr>
                <w:rFonts w:asciiTheme="minorHAnsi" w:eastAsiaTheme="minorHAnsi" w:hAnsiTheme="minorHAnsi" w:cstheme="minorHAnsi"/>
                <w:lang w:eastAsia="en-US"/>
              </w:rPr>
              <w:t xml:space="preserve">Underspend </w:t>
            </w:r>
            <w:r w:rsidR="00954A12" w:rsidRPr="00467624">
              <w:rPr>
                <w:rFonts w:asciiTheme="minorHAnsi" w:eastAsiaTheme="minorHAnsi" w:hAnsiTheme="minorHAnsi" w:cstheme="minorHAnsi"/>
                <w:lang w:eastAsia="en-US"/>
              </w:rPr>
              <w:t>at the end of the year</w:t>
            </w:r>
            <w:r w:rsidRPr="00467624">
              <w:rPr>
                <w:rFonts w:asciiTheme="minorHAnsi" w:eastAsiaTheme="minorHAnsi" w:hAnsiTheme="minorHAnsi" w:cstheme="minorHAnsi"/>
                <w:lang w:eastAsia="en-US"/>
              </w:rPr>
              <w:t xml:space="preserve"> £</w:t>
            </w:r>
            <w:r w:rsidR="004458A7" w:rsidRPr="00467624">
              <w:rPr>
                <w:rFonts w:asciiTheme="minorHAnsi" w:eastAsiaTheme="minorHAnsi" w:hAnsiTheme="minorHAnsi" w:cstheme="minorHAnsi"/>
                <w:lang w:eastAsia="en-US"/>
              </w:rPr>
              <w:t>937</w:t>
            </w:r>
            <w:r w:rsidRPr="00467624">
              <w:rPr>
                <w:rFonts w:asciiTheme="minorHAnsi" w:eastAsiaTheme="minorHAnsi" w:hAnsiTheme="minorHAnsi" w:cstheme="minorHAnsi"/>
                <w:lang w:eastAsia="en-US"/>
              </w:rPr>
              <w:t>k</w:t>
            </w:r>
            <w:r w:rsidR="00954A12" w:rsidRPr="00467624">
              <w:rPr>
                <w:rFonts w:asciiTheme="minorHAnsi" w:eastAsiaTheme="minorHAnsi" w:hAnsiTheme="minorHAnsi" w:cstheme="minorHAnsi"/>
                <w:lang w:eastAsia="en-US"/>
              </w:rPr>
              <w:t xml:space="preserve"> </w:t>
            </w:r>
            <w:r w:rsidR="00C247A6">
              <w:rPr>
                <w:rFonts w:asciiTheme="minorHAnsi" w:eastAsiaTheme="minorHAnsi" w:hAnsiTheme="minorHAnsi" w:cstheme="minorHAnsi"/>
                <w:lang w:eastAsia="en-US"/>
              </w:rPr>
              <w:t xml:space="preserve">made up of £914k </w:t>
            </w:r>
            <w:r w:rsidR="00D0058C">
              <w:rPr>
                <w:rFonts w:asciiTheme="minorHAnsi" w:eastAsiaTheme="minorHAnsi" w:hAnsiTheme="minorHAnsi" w:cstheme="minorHAnsi"/>
                <w:lang w:eastAsia="en-US"/>
              </w:rPr>
              <w:t>underspend</w:t>
            </w:r>
            <w:r w:rsidR="00C247A6">
              <w:rPr>
                <w:rFonts w:asciiTheme="minorHAnsi" w:eastAsiaTheme="minorHAnsi" w:hAnsiTheme="minorHAnsi" w:cstheme="minorHAnsi"/>
                <w:lang w:eastAsia="en-US"/>
              </w:rPr>
              <w:t xml:space="preserve"> against expenditure budgets and £23k more income than planned.</w:t>
            </w:r>
          </w:p>
          <w:p w:rsidR="004458A7" w:rsidRDefault="00B21BB6" w:rsidP="00B75EB4">
            <w:pPr>
              <w:pStyle w:val="ListParagraph"/>
              <w:numPr>
                <w:ilvl w:val="0"/>
                <w:numId w:val="9"/>
              </w:numPr>
              <w:spacing w:after="200" w:line="276" w:lineRule="auto"/>
              <w:rPr>
                <w:rFonts w:asciiTheme="minorHAnsi" w:eastAsiaTheme="minorHAnsi" w:hAnsiTheme="minorHAnsi" w:cstheme="minorHAnsi"/>
                <w:lang w:eastAsia="en-US"/>
              </w:rPr>
            </w:pPr>
            <w:proofErr w:type="gramStart"/>
            <w:r w:rsidRPr="00467624">
              <w:rPr>
                <w:rFonts w:asciiTheme="minorHAnsi" w:eastAsiaTheme="minorHAnsi" w:hAnsiTheme="minorHAnsi" w:cstheme="minorHAnsi"/>
                <w:lang w:eastAsia="en-US"/>
              </w:rPr>
              <w:t xml:space="preserve">The </w:t>
            </w:r>
            <w:r w:rsidR="00D0058C">
              <w:rPr>
                <w:rFonts w:asciiTheme="minorHAnsi" w:eastAsiaTheme="minorHAnsi" w:hAnsiTheme="minorHAnsi" w:cstheme="minorHAnsi"/>
                <w:lang w:eastAsia="en-US"/>
              </w:rPr>
              <w:t>underspend</w:t>
            </w:r>
            <w:proofErr w:type="gramEnd"/>
            <w:r w:rsidR="009C594C" w:rsidRPr="00467624">
              <w:rPr>
                <w:rFonts w:asciiTheme="minorHAnsi" w:eastAsiaTheme="minorHAnsi" w:hAnsiTheme="minorHAnsi" w:cstheme="minorHAnsi"/>
                <w:lang w:eastAsia="en-US"/>
              </w:rPr>
              <w:t xml:space="preserve"> </w:t>
            </w:r>
            <w:r w:rsidR="004458A7" w:rsidRPr="00467624">
              <w:rPr>
                <w:rFonts w:asciiTheme="minorHAnsi" w:eastAsiaTheme="minorHAnsi" w:hAnsiTheme="minorHAnsi" w:cstheme="minorHAnsi"/>
                <w:lang w:eastAsia="en-US"/>
              </w:rPr>
              <w:t>at the end of the year had moved significantly from forecast due</w:t>
            </w:r>
            <w:r w:rsidR="00467624">
              <w:rPr>
                <w:rFonts w:asciiTheme="minorHAnsi" w:eastAsiaTheme="minorHAnsi" w:hAnsiTheme="minorHAnsi" w:cstheme="minorHAnsi"/>
                <w:lang w:eastAsia="en-US"/>
              </w:rPr>
              <w:t xml:space="preserve"> to </w:t>
            </w:r>
            <w:r w:rsidR="007948D4">
              <w:rPr>
                <w:rFonts w:asciiTheme="minorHAnsi" w:eastAsiaTheme="minorHAnsi" w:hAnsiTheme="minorHAnsi" w:cstheme="minorHAnsi"/>
                <w:lang w:eastAsia="en-US"/>
              </w:rPr>
              <w:t xml:space="preserve">a number of </w:t>
            </w:r>
            <w:r w:rsidR="00467624">
              <w:rPr>
                <w:rFonts w:asciiTheme="minorHAnsi" w:eastAsiaTheme="minorHAnsi" w:hAnsiTheme="minorHAnsi" w:cstheme="minorHAnsi"/>
                <w:lang w:eastAsia="en-US"/>
              </w:rPr>
              <w:t>reasons</w:t>
            </w:r>
            <w:r w:rsidR="007948D4">
              <w:rPr>
                <w:rFonts w:asciiTheme="minorHAnsi" w:eastAsiaTheme="minorHAnsi" w:hAnsiTheme="minorHAnsi" w:cstheme="minorHAnsi"/>
                <w:lang w:eastAsia="en-US"/>
              </w:rPr>
              <w:t xml:space="preserve"> which are detailed in the report.</w:t>
            </w:r>
          </w:p>
          <w:p w:rsidR="00B75EB4" w:rsidRPr="001059BA" w:rsidRDefault="00B75EB4" w:rsidP="00B75EB4">
            <w:pPr>
              <w:pStyle w:val="ListParagraph"/>
              <w:numPr>
                <w:ilvl w:val="0"/>
                <w:numId w:val="9"/>
              </w:numPr>
              <w:spacing w:after="200" w:line="276" w:lineRule="auto"/>
              <w:rPr>
                <w:rFonts w:asciiTheme="minorHAnsi" w:eastAsiaTheme="minorHAnsi" w:hAnsiTheme="minorHAnsi" w:cstheme="minorHAnsi"/>
                <w:lang w:eastAsia="en-US"/>
              </w:rPr>
            </w:pPr>
            <w:r w:rsidRPr="001059BA">
              <w:rPr>
                <w:rFonts w:asciiTheme="minorHAnsi" w:eastAsiaTheme="minorHAnsi" w:hAnsiTheme="minorHAnsi" w:cstheme="minorHAnsi"/>
                <w:lang w:eastAsia="en-US"/>
              </w:rPr>
              <w:t>The position regarding travel costs</w:t>
            </w:r>
            <w:r w:rsidR="002D2375" w:rsidRPr="001059BA">
              <w:rPr>
                <w:rFonts w:asciiTheme="minorHAnsi" w:eastAsiaTheme="minorHAnsi" w:hAnsiTheme="minorHAnsi" w:cstheme="minorHAnsi"/>
                <w:lang w:eastAsia="en-US"/>
              </w:rPr>
              <w:t>;</w:t>
            </w:r>
          </w:p>
          <w:p w:rsidR="00B75EB4" w:rsidRDefault="00B75EB4" w:rsidP="00B75EB4">
            <w:pPr>
              <w:pStyle w:val="ListParagraph"/>
              <w:numPr>
                <w:ilvl w:val="0"/>
                <w:numId w:val="9"/>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Fairly static headcount over the year </w:t>
            </w:r>
            <w:r w:rsidR="002D2375">
              <w:rPr>
                <w:rFonts w:asciiTheme="minorHAnsi" w:eastAsiaTheme="minorHAnsi" w:hAnsiTheme="minorHAnsi" w:cstheme="minorHAnsi"/>
                <w:lang w:eastAsia="en-US"/>
              </w:rPr>
              <w:t>;</w:t>
            </w:r>
          </w:p>
          <w:p w:rsidR="00814DFD" w:rsidRDefault="00814DFD" w:rsidP="00B75EB4">
            <w:pPr>
              <w:pStyle w:val="ListParagraph"/>
              <w:numPr>
                <w:ilvl w:val="0"/>
                <w:numId w:val="9"/>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addition of A</w:t>
            </w:r>
            <w:r w:rsidR="008D1704">
              <w:rPr>
                <w:rFonts w:asciiTheme="minorHAnsi" w:eastAsiaTheme="minorHAnsi" w:hAnsiTheme="minorHAnsi" w:cstheme="minorHAnsi"/>
                <w:lang w:eastAsia="en-US"/>
              </w:rPr>
              <w:t>ppendix B to provide</w:t>
            </w:r>
            <w:r>
              <w:rPr>
                <w:rFonts w:asciiTheme="minorHAnsi" w:eastAsiaTheme="minorHAnsi" w:hAnsiTheme="minorHAnsi" w:cstheme="minorHAnsi"/>
                <w:lang w:eastAsia="en-US"/>
              </w:rPr>
              <w:t xml:space="preserve"> to the Board of the non- pay expenditure to date</w:t>
            </w:r>
            <w:r w:rsidR="008D1704">
              <w:rPr>
                <w:rFonts w:asciiTheme="minorHAnsi" w:eastAsiaTheme="minorHAnsi" w:hAnsiTheme="minorHAnsi" w:cstheme="minorHAnsi"/>
                <w:lang w:eastAsia="en-US"/>
              </w:rPr>
              <w:t xml:space="preserve"> – for information and comments</w:t>
            </w:r>
            <w:r>
              <w:rPr>
                <w:rFonts w:asciiTheme="minorHAnsi" w:eastAsiaTheme="minorHAnsi" w:hAnsiTheme="minorHAnsi" w:cstheme="minorHAnsi"/>
                <w:lang w:eastAsia="en-US"/>
              </w:rPr>
              <w:t>.</w:t>
            </w:r>
          </w:p>
          <w:p w:rsidR="00B75EB4" w:rsidRPr="008C1699" w:rsidRDefault="00B75EB4" w:rsidP="00B75EB4">
            <w:pPr>
              <w:pStyle w:val="ListParagraph"/>
              <w:numPr>
                <w:ilvl w:val="0"/>
                <w:numId w:val="9"/>
              </w:numPr>
              <w:spacing w:after="200" w:line="276" w:lineRule="auto"/>
              <w:rPr>
                <w:rFonts w:asciiTheme="minorHAnsi" w:eastAsiaTheme="minorHAnsi" w:hAnsiTheme="minorHAnsi" w:cstheme="minorHAnsi"/>
                <w:lang w:eastAsia="en-US"/>
              </w:rPr>
            </w:pPr>
            <w:r w:rsidRPr="008C1699">
              <w:rPr>
                <w:rFonts w:asciiTheme="minorHAnsi" w:eastAsiaTheme="minorHAnsi" w:hAnsiTheme="minorHAnsi" w:cstheme="minorHAnsi"/>
                <w:lang w:eastAsia="en-US"/>
              </w:rPr>
              <w:t>Better payment performance has met the duty to pay 9</w:t>
            </w:r>
            <w:r w:rsidR="007948D4">
              <w:rPr>
                <w:rFonts w:asciiTheme="minorHAnsi" w:eastAsiaTheme="minorHAnsi" w:hAnsiTheme="minorHAnsi" w:cstheme="minorHAnsi"/>
                <w:lang w:eastAsia="en-US"/>
              </w:rPr>
              <w:t>5</w:t>
            </w:r>
            <w:r w:rsidRPr="008C1699">
              <w:rPr>
                <w:rFonts w:asciiTheme="minorHAnsi" w:eastAsiaTheme="minorHAnsi" w:hAnsiTheme="minorHAnsi" w:cstheme="minorHAnsi"/>
                <w:lang w:eastAsia="en-US"/>
              </w:rPr>
              <w:t>% of invoices in 30 days</w:t>
            </w:r>
            <w:r w:rsidR="000D5B3D" w:rsidRPr="008C1699">
              <w:rPr>
                <w:rFonts w:asciiTheme="minorHAnsi" w:eastAsiaTheme="minorHAnsi" w:hAnsiTheme="minorHAnsi" w:cstheme="minorHAnsi"/>
                <w:lang w:eastAsia="en-US"/>
              </w:rPr>
              <w:t xml:space="preserve"> achieving </w:t>
            </w:r>
            <w:r w:rsidR="002441AD" w:rsidRPr="008C1699">
              <w:rPr>
                <w:rFonts w:asciiTheme="minorHAnsi" w:eastAsiaTheme="minorHAnsi" w:hAnsiTheme="minorHAnsi" w:cstheme="minorHAnsi"/>
                <w:lang w:eastAsia="en-US"/>
              </w:rPr>
              <w:t>9</w:t>
            </w:r>
            <w:r w:rsidR="003F3BB4" w:rsidRPr="008C1699">
              <w:rPr>
                <w:rFonts w:asciiTheme="minorHAnsi" w:eastAsiaTheme="minorHAnsi" w:hAnsiTheme="minorHAnsi" w:cstheme="minorHAnsi"/>
                <w:lang w:eastAsia="en-US"/>
              </w:rPr>
              <w:t>7%</w:t>
            </w:r>
            <w:r w:rsidR="000D5B3D" w:rsidRPr="008C1699">
              <w:rPr>
                <w:rFonts w:asciiTheme="minorHAnsi" w:eastAsiaTheme="minorHAnsi" w:hAnsiTheme="minorHAnsi" w:cstheme="minorHAnsi"/>
                <w:lang w:eastAsia="en-US"/>
              </w:rPr>
              <w:t xml:space="preserve">. </w:t>
            </w:r>
            <w:r w:rsidRPr="008C1699">
              <w:rPr>
                <w:rFonts w:asciiTheme="minorHAnsi" w:eastAsiaTheme="minorHAnsi" w:hAnsiTheme="minorHAnsi" w:cstheme="minorHAnsi"/>
                <w:lang w:eastAsia="en-US"/>
              </w:rPr>
              <w:t>We are still some way from achieving 60% within 10 days (a</w:t>
            </w:r>
            <w:r w:rsidR="000D5B3D" w:rsidRPr="008C1699">
              <w:rPr>
                <w:rFonts w:asciiTheme="minorHAnsi" w:eastAsiaTheme="minorHAnsi" w:hAnsiTheme="minorHAnsi" w:cstheme="minorHAnsi"/>
                <w:lang w:eastAsia="en-US"/>
              </w:rPr>
              <w:t xml:space="preserve"> stretched</w:t>
            </w:r>
            <w:r w:rsidRPr="008C1699">
              <w:rPr>
                <w:rFonts w:asciiTheme="minorHAnsi" w:eastAsiaTheme="minorHAnsi" w:hAnsiTheme="minorHAnsi" w:cstheme="minorHAnsi"/>
                <w:lang w:eastAsia="en-US"/>
              </w:rPr>
              <w:t xml:space="preserve"> internal target only) currently only 3</w:t>
            </w:r>
            <w:r w:rsidR="00931495">
              <w:rPr>
                <w:rFonts w:asciiTheme="minorHAnsi" w:eastAsiaTheme="minorHAnsi" w:hAnsiTheme="minorHAnsi" w:cstheme="minorHAnsi"/>
                <w:lang w:eastAsia="en-US"/>
              </w:rPr>
              <w:t>8</w:t>
            </w:r>
            <w:r w:rsidRPr="008C1699">
              <w:rPr>
                <w:rFonts w:asciiTheme="minorHAnsi" w:eastAsiaTheme="minorHAnsi" w:hAnsiTheme="minorHAnsi" w:cstheme="minorHAnsi"/>
                <w:lang w:eastAsia="en-US"/>
              </w:rPr>
              <w:t>%</w:t>
            </w:r>
            <w:r w:rsidR="002D2375" w:rsidRPr="008C1699">
              <w:rPr>
                <w:rFonts w:asciiTheme="minorHAnsi" w:eastAsiaTheme="minorHAnsi" w:hAnsiTheme="minorHAnsi" w:cstheme="minorHAnsi"/>
                <w:lang w:eastAsia="en-US"/>
              </w:rPr>
              <w:t xml:space="preserve"> </w:t>
            </w:r>
            <w:r w:rsidR="00931495">
              <w:rPr>
                <w:rFonts w:asciiTheme="minorHAnsi" w:eastAsiaTheme="minorHAnsi" w:hAnsiTheme="minorHAnsi" w:cstheme="minorHAnsi"/>
                <w:lang w:eastAsia="en-US"/>
              </w:rPr>
              <w:t>(number of invoices) and 48</w:t>
            </w:r>
            <w:r w:rsidR="008C1699" w:rsidRPr="008C1699">
              <w:rPr>
                <w:rFonts w:asciiTheme="minorHAnsi" w:eastAsiaTheme="minorHAnsi" w:hAnsiTheme="minorHAnsi" w:cstheme="minorHAnsi"/>
                <w:lang w:eastAsia="en-US"/>
              </w:rPr>
              <w:t xml:space="preserve">% (based on value) </w:t>
            </w:r>
            <w:r w:rsidR="002D2375" w:rsidRPr="008C1699">
              <w:rPr>
                <w:rFonts w:asciiTheme="minorHAnsi" w:eastAsiaTheme="minorHAnsi" w:hAnsiTheme="minorHAnsi" w:cstheme="minorHAnsi"/>
                <w:lang w:eastAsia="en-US"/>
              </w:rPr>
              <w:t xml:space="preserve">and </w:t>
            </w:r>
            <w:r w:rsidR="008C1699" w:rsidRPr="008C1699">
              <w:rPr>
                <w:rFonts w:asciiTheme="minorHAnsi" w:eastAsiaTheme="minorHAnsi" w:hAnsiTheme="minorHAnsi" w:cstheme="minorHAnsi"/>
                <w:lang w:eastAsia="en-US"/>
              </w:rPr>
              <w:t xml:space="preserve">further </w:t>
            </w:r>
            <w:r w:rsidR="002D2375" w:rsidRPr="008C1699">
              <w:rPr>
                <w:rFonts w:asciiTheme="minorHAnsi" w:eastAsiaTheme="minorHAnsi" w:hAnsiTheme="minorHAnsi" w:cstheme="minorHAnsi"/>
                <w:lang w:eastAsia="en-US"/>
              </w:rPr>
              <w:t>actions underway</w:t>
            </w:r>
            <w:r w:rsidR="000D5B3D" w:rsidRPr="008C1699">
              <w:rPr>
                <w:rFonts w:asciiTheme="minorHAnsi" w:eastAsiaTheme="minorHAnsi" w:hAnsiTheme="minorHAnsi" w:cstheme="minorHAnsi"/>
                <w:lang w:eastAsia="en-US"/>
              </w:rPr>
              <w:t xml:space="preserve"> to improve</w:t>
            </w:r>
            <w:r w:rsidRPr="008C1699">
              <w:rPr>
                <w:rFonts w:asciiTheme="minorHAnsi" w:eastAsiaTheme="minorHAnsi" w:hAnsiTheme="minorHAnsi" w:cstheme="minorHAnsi"/>
                <w:lang w:eastAsia="en-US"/>
              </w:rPr>
              <w:t>.</w:t>
            </w:r>
            <w:r w:rsidR="00D55E1F">
              <w:rPr>
                <w:rFonts w:asciiTheme="minorHAnsi" w:eastAsiaTheme="minorHAnsi" w:hAnsiTheme="minorHAnsi" w:cstheme="minorHAnsi"/>
                <w:lang w:eastAsia="en-US"/>
              </w:rPr>
              <w:t xml:space="preserve">  However this should be seen in the context of 90% of invoices being paid within 20 days, which is good with an ambition to improve on this even more.</w:t>
            </w:r>
          </w:p>
          <w:p w:rsidR="007948D4" w:rsidRDefault="007948D4" w:rsidP="00B75EB4">
            <w:pPr>
              <w:pStyle w:val="ListParagraph"/>
              <w:numPr>
                <w:ilvl w:val="0"/>
                <w:numId w:val="9"/>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Capital plan position.</w:t>
            </w:r>
          </w:p>
          <w:p w:rsidR="00B75EB4" w:rsidRPr="007948D4" w:rsidRDefault="00B27E7E" w:rsidP="00B75EB4">
            <w:pPr>
              <w:pStyle w:val="ListParagraph"/>
              <w:numPr>
                <w:ilvl w:val="0"/>
                <w:numId w:val="9"/>
              </w:numPr>
              <w:spacing w:after="200" w:line="276" w:lineRule="auto"/>
              <w:rPr>
                <w:rFonts w:asciiTheme="minorHAnsi" w:eastAsiaTheme="minorHAnsi" w:hAnsiTheme="minorHAnsi" w:cstheme="minorHAnsi"/>
                <w:lang w:eastAsia="en-US"/>
              </w:rPr>
            </w:pPr>
            <w:r w:rsidRPr="007948D4">
              <w:rPr>
                <w:rFonts w:asciiTheme="minorHAnsi" w:eastAsiaTheme="minorHAnsi" w:hAnsiTheme="minorHAnsi" w:cstheme="minorHAnsi"/>
                <w:lang w:eastAsia="en-US"/>
              </w:rPr>
              <w:t>Cash position of £4.3</w:t>
            </w:r>
            <w:r w:rsidR="00B75EB4" w:rsidRPr="007948D4">
              <w:rPr>
                <w:rFonts w:asciiTheme="minorHAnsi" w:eastAsiaTheme="minorHAnsi" w:hAnsiTheme="minorHAnsi" w:cstheme="minorHAnsi"/>
                <w:lang w:eastAsia="en-US"/>
              </w:rPr>
              <w:t>million with liabil</w:t>
            </w:r>
            <w:r w:rsidRPr="007948D4">
              <w:rPr>
                <w:rFonts w:asciiTheme="minorHAnsi" w:eastAsiaTheme="minorHAnsi" w:hAnsiTheme="minorHAnsi" w:cstheme="minorHAnsi"/>
                <w:lang w:eastAsia="en-US"/>
              </w:rPr>
              <w:t>ities/payables outstanding of £2</w:t>
            </w:r>
            <w:r w:rsidR="002441AD" w:rsidRPr="007948D4">
              <w:rPr>
                <w:rFonts w:asciiTheme="minorHAnsi" w:eastAsiaTheme="minorHAnsi" w:hAnsiTheme="minorHAnsi" w:cstheme="minorHAnsi"/>
                <w:lang w:eastAsia="en-US"/>
              </w:rPr>
              <w:t>.</w:t>
            </w:r>
            <w:r w:rsidR="00574331" w:rsidRPr="007948D4">
              <w:rPr>
                <w:rFonts w:asciiTheme="minorHAnsi" w:eastAsiaTheme="minorHAnsi" w:hAnsiTheme="minorHAnsi" w:cstheme="minorHAnsi"/>
                <w:lang w:eastAsia="en-US"/>
              </w:rPr>
              <w:t>3</w:t>
            </w:r>
            <w:r w:rsidR="00B75EB4" w:rsidRPr="007948D4">
              <w:rPr>
                <w:rFonts w:asciiTheme="minorHAnsi" w:eastAsiaTheme="minorHAnsi" w:hAnsiTheme="minorHAnsi" w:cstheme="minorHAnsi"/>
                <w:lang w:eastAsia="en-US"/>
              </w:rPr>
              <w:t>million</w:t>
            </w:r>
            <w:r w:rsidRPr="007948D4">
              <w:rPr>
                <w:rFonts w:asciiTheme="minorHAnsi" w:eastAsiaTheme="minorHAnsi" w:hAnsiTheme="minorHAnsi" w:cstheme="minorHAnsi"/>
                <w:lang w:eastAsia="en-US"/>
              </w:rPr>
              <w:t xml:space="preserve">.  </w:t>
            </w:r>
          </w:p>
          <w:p w:rsidR="00F64C33" w:rsidRPr="00DF3EE3" w:rsidRDefault="00AD76CF" w:rsidP="00AF37DF">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EMT is asked to approve the report</w:t>
            </w:r>
            <w:r w:rsidR="00B75EB4">
              <w:rPr>
                <w:rFonts w:asciiTheme="minorHAnsi" w:eastAsiaTheme="minorHAnsi" w:hAnsiTheme="minorHAnsi" w:cstheme="minorHAnsi"/>
                <w:lang w:eastAsia="en-US"/>
              </w:rPr>
              <w:t>.</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DF3EE3" w:rsidRPr="00DF3EE3" w:rsidRDefault="007948D4" w:rsidP="00B75EB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After approval.</w:t>
            </w:r>
          </w:p>
        </w:tc>
      </w:tr>
    </w:tbl>
    <w:p w:rsidR="00DF3EE3" w:rsidRPr="00DF3EE3" w:rsidRDefault="00DF3EE3" w:rsidP="00DF3EE3">
      <w:pPr>
        <w:spacing w:line="276" w:lineRule="auto"/>
        <w:rPr>
          <w:rFonts w:asciiTheme="minorHAnsi" w:eastAsiaTheme="minorHAnsi" w:hAnsiTheme="minorHAnsi" w:cstheme="minorHAnsi"/>
          <w:b/>
          <w:lang w:eastAsia="en-US"/>
        </w:rPr>
      </w:pPr>
    </w:p>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DF3EE3" w:rsidRPr="00DF3EE3" w:rsidRDefault="00DF3EE3"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Debbie Corrigan</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tcPr>
          <w:p w:rsidR="00DF3EE3" w:rsidRPr="00AF37DF" w:rsidRDefault="00954A12" w:rsidP="007948D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2</w:t>
            </w:r>
            <w:r w:rsidR="007948D4">
              <w:rPr>
                <w:rFonts w:asciiTheme="minorHAnsi" w:eastAsiaTheme="minorHAnsi" w:hAnsiTheme="minorHAnsi" w:cstheme="minorHAnsi"/>
                <w:lang w:eastAsia="en-US"/>
              </w:rPr>
              <w:t>9</w:t>
            </w:r>
            <w:r>
              <w:rPr>
                <w:rFonts w:asciiTheme="minorHAnsi" w:eastAsiaTheme="minorHAnsi" w:hAnsiTheme="minorHAnsi" w:cstheme="minorHAnsi"/>
                <w:lang w:eastAsia="en-US"/>
              </w:rPr>
              <w:t xml:space="preserve"> April</w:t>
            </w:r>
            <w:r w:rsidR="008B70B1">
              <w:rPr>
                <w:rFonts w:asciiTheme="minorHAnsi" w:eastAsiaTheme="minorHAnsi" w:hAnsiTheme="minorHAnsi" w:cstheme="minorHAnsi"/>
                <w:lang w:eastAsia="en-US"/>
              </w:rPr>
              <w:t xml:space="preserve"> 2014</w:t>
            </w:r>
          </w:p>
        </w:tc>
      </w:tr>
    </w:tbl>
    <w:p w:rsidR="00DF3EE3" w:rsidRDefault="00DF3EE3" w:rsidP="00DF3EE3">
      <w:pPr>
        <w:tabs>
          <w:tab w:val="left" w:pos="1980"/>
        </w:tabs>
        <w:rPr>
          <w:rFonts w:asciiTheme="minorHAnsi" w:eastAsiaTheme="minorHAnsi" w:hAnsiTheme="minorHAnsi" w:cstheme="minorHAnsi"/>
          <w:b/>
          <w:lang w:eastAsia="en-US"/>
        </w:rPr>
      </w:pPr>
    </w:p>
    <w:p w:rsidR="000E694D" w:rsidRDefault="000E694D" w:rsidP="00DF3EE3">
      <w:pPr>
        <w:tabs>
          <w:tab w:val="left" w:pos="1980"/>
        </w:tabs>
        <w:rPr>
          <w:rFonts w:asciiTheme="minorHAnsi" w:eastAsiaTheme="minorHAnsi" w:hAnsiTheme="minorHAnsi" w:cstheme="minorHAnsi"/>
          <w:b/>
          <w:lang w:eastAsia="en-US"/>
        </w:rPr>
      </w:pPr>
    </w:p>
    <w:p w:rsidR="007948D4" w:rsidRDefault="007948D4" w:rsidP="00DF3EE3">
      <w:pPr>
        <w:tabs>
          <w:tab w:val="left" w:pos="1980"/>
        </w:tabs>
        <w:rPr>
          <w:rFonts w:asciiTheme="minorHAnsi" w:eastAsiaTheme="minorHAnsi" w:hAnsiTheme="minorHAnsi" w:cstheme="minorHAnsi"/>
          <w:b/>
          <w:lang w:eastAsia="en-US"/>
        </w:rPr>
      </w:pPr>
    </w:p>
    <w:p w:rsidR="007948D4" w:rsidRDefault="007948D4" w:rsidP="00DF3EE3">
      <w:pPr>
        <w:tabs>
          <w:tab w:val="left" w:pos="1980"/>
        </w:tabs>
        <w:rPr>
          <w:rFonts w:asciiTheme="minorHAnsi" w:eastAsiaTheme="minorHAnsi" w:hAnsiTheme="minorHAnsi" w:cstheme="minorHAnsi"/>
          <w:b/>
          <w:lang w:eastAsia="en-US"/>
        </w:rPr>
      </w:pPr>
    </w:p>
    <w:p w:rsidR="007948D4" w:rsidRDefault="007948D4" w:rsidP="00DF3EE3">
      <w:pPr>
        <w:tabs>
          <w:tab w:val="left" w:pos="1980"/>
        </w:tabs>
        <w:rPr>
          <w:rFonts w:asciiTheme="minorHAnsi" w:eastAsiaTheme="minorHAnsi" w:hAnsiTheme="minorHAnsi" w:cstheme="minorHAnsi"/>
          <w:b/>
          <w:lang w:eastAsia="en-US"/>
        </w:rPr>
      </w:pPr>
    </w:p>
    <w:p w:rsidR="007948D4" w:rsidRDefault="007948D4" w:rsidP="00DF3EE3">
      <w:pPr>
        <w:tabs>
          <w:tab w:val="left" w:pos="1980"/>
        </w:tabs>
        <w:rPr>
          <w:rFonts w:asciiTheme="minorHAnsi" w:eastAsiaTheme="minorHAnsi" w:hAnsiTheme="minorHAnsi" w:cstheme="minorHAnsi"/>
          <w:b/>
          <w:lang w:eastAsia="en-US"/>
        </w:rPr>
      </w:pPr>
    </w:p>
    <w:p w:rsidR="007948D4" w:rsidRDefault="007948D4" w:rsidP="00DF3EE3">
      <w:pPr>
        <w:tabs>
          <w:tab w:val="left" w:pos="1980"/>
        </w:tabs>
        <w:rPr>
          <w:rFonts w:asciiTheme="minorHAnsi" w:eastAsiaTheme="minorHAnsi" w:hAnsiTheme="minorHAnsi" w:cstheme="minorHAnsi"/>
          <w:b/>
          <w:lang w:eastAsia="en-US"/>
        </w:rPr>
      </w:pPr>
    </w:p>
    <w:p w:rsidR="007948D4" w:rsidRDefault="007948D4" w:rsidP="00DF3EE3">
      <w:pPr>
        <w:tabs>
          <w:tab w:val="left" w:pos="1980"/>
        </w:tabs>
        <w:rPr>
          <w:rFonts w:asciiTheme="minorHAnsi" w:eastAsiaTheme="minorHAnsi" w:hAnsiTheme="minorHAnsi" w:cstheme="minorHAnsi"/>
          <w:b/>
          <w:lang w:eastAsia="en-US"/>
        </w:rPr>
      </w:pPr>
    </w:p>
    <w:p w:rsidR="007948D4" w:rsidRDefault="007948D4" w:rsidP="00DF3EE3">
      <w:pPr>
        <w:tabs>
          <w:tab w:val="left" w:pos="1980"/>
        </w:tabs>
        <w:rPr>
          <w:rFonts w:asciiTheme="minorHAnsi" w:eastAsiaTheme="minorHAnsi" w:hAnsiTheme="minorHAnsi" w:cstheme="minorHAnsi"/>
          <w:b/>
          <w:lang w:eastAsia="en-US"/>
        </w:rPr>
      </w:pPr>
    </w:p>
    <w:p w:rsidR="007948D4" w:rsidRDefault="007948D4" w:rsidP="00DF3EE3">
      <w:pPr>
        <w:tabs>
          <w:tab w:val="left" w:pos="1980"/>
        </w:tabs>
        <w:rPr>
          <w:rFonts w:asciiTheme="minorHAnsi" w:eastAsiaTheme="minorHAnsi" w:hAnsiTheme="minorHAnsi" w:cstheme="minorHAnsi"/>
          <w:b/>
          <w:lang w:eastAsia="en-US"/>
        </w:rPr>
      </w:pPr>
    </w:p>
    <w:p w:rsidR="007948D4" w:rsidRDefault="007948D4" w:rsidP="00DF3EE3">
      <w:pPr>
        <w:tabs>
          <w:tab w:val="left" w:pos="1980"/>
        </w:tabs>
        <w:rPr>
          <w:rFonts w:asciiTheme="minorHAnsi" w:eastAsiaTheme="minorHAnsi" w:hAnsiTheme="minorHAnsi" w:cstheme="minorHAnsi"/>
          <w:b/>
          <w:lang w:eastAsia="en-US"/>
        </w:rPr>
      </w:pPr>
    </w:p>
    <w:p w:rsidR="00AD76CF" w:rsidRDefault="00AD76CF" w:rsidP="00AD76CF">
      <w:pPr>
        <w:rPr>
          <w:rFonts w:ascii="Arial" w:hAnsi="Arial" w:cs="Arial"/>
          <w:b/>
          <w:sz w:val="22"/>
          <w:szCs w:val="22"/>
          <w:lang w:val="en-US"/>
        </w:rPr>
      </w:pPr>
      <w:r w:rsidRPr="00AD76CF">
        <w:rPr>
          <w:rFonts w:ascii="Arial" w:hAnsi="Arial" w:cs="Arial"/>
          <w:b/>
          <w:sz w:val="22"/>
          <w:szCs w:val="22"/>
        </w:rPr>
        <w:lastRenderedPageBreak/>
        <w:t xml:space="preserve">Finance Report - </w:t>
      </w:r>
      <w:r w:rsidRPr="00AD76CF">
        <w:rPr>
          <w:rFonts w:ascii="Arial" w:hAnsi="Arial" w:cs="Arial"/>
          <w:b/>
          <w:sz w:val="22"/>
          <w:szCs w:val="22"/>
          <w:lang w:val="en-US"/>
        </w:rPr>
        <w:t>Financial Year 201</w:t>
      </w:r>
      <w:r w:rsidR="003179D5">
        <w:rPr>
          <w:rFonts w:ascii="Arial" w:hAnsi="Arial" w:cs="Arial"/>
          <w:b/>
          <w:sz w:val="22"/>
          <w:szCs w:val="22"/>
          <w:lang w:val="en-US"/>
        </w:rPr>
        <w:t>3</w:t>
      </w:r>
      <w:r w:rsidRPr="00AD76CF">
        <w:rPr>
          <w:rFonts w:ascii="Arial" w:hAnsi="Arial" w:cs="Arial"/>
          <w:b/>
          <w:sz w:val="22"/>
          <w:szCs w:val="22"/>
          <w:lang w:val="en-US"/>
        </w:rPr>
        <w:t>/1</w:t>
      </w:r>
      <w:r w:rsidR="003179D5">
        <w:rPr>
          <w:rFonts w:ascii="Arial" w:hAnsi="Arial" w:cs="Arial"/>
          <w:b/>
          <w:sz w:val="22"/>
          <w:szCs w:val="22"/>
          <w:lang w:val="en-US"/>
        </w:rPr>
        <w:t>4</w:t>
      </w:r>
    </w:p>
    <w:p w:rsidR="00AD76CF" w:rsidRPr="00AD76CF" w:rsidRDefault="00AD76CF" w:rsidP="00AD76CF">
      <w:pPr>
        <w:rPr>
          <w:rFonts w:ascii="Arial" w:hAnsi="Arial" w:cs="Arial"/>
          <w:b/>
          <w:sz w:val="22"/>
          <w:szCs w:val="22"/>
        </w:rPr>
      </w:pPr>
      <w:r>
        <w:rPr>
          <w:rFonts w:ascii="Arial" w:hAnsi="Arial" w:cs="Arial"/>
          <w:b/>
          <w:sz w:val="22"/>
          <w:szCs w:val="22"/>
          <w:lang w:val="en-US"/>
        </w:rPr>
        <w:t xml:space="preserve">Health </w:t>
      </w:r>
      <w:r w:rsidR="00646BC4">
        <w:rPr>
          <w:rFonts w:ascii="Arial" w:hAnsi="Arial" w:cs="Arial"/>
          <w:b/>
          <w:sz w:val="22"/>
          <w:szCs w:val="22"/>
          <w:lang w:val="en-US"/>
        </w:rPr>
        <w:t>Resea</w:t>
      </w:r>
      <w:r w:rsidR="005B62D4">
        <w:rPr>
          <w:rFonts w:ascii="Arial" w:hAnsi="Arial" w:cs="Arial"/>
          <w:b/>
          <w:sz w:val="22"/>
          <w:szCs w:val="22"/>
          <w:lang w:val="en-US"/>
        </w:rPr>
        <w:t>rch</w:t>
      </w:r>
      <w:r w:rsidR="00954A12">
        <w:rPr>
          <w:rFonts w:ascii="Arial" w:hAnsi="Arial" w:cs="Arial"/>
          <w:b/>
          <w:sz w:val="22"/>
          <w:szCs w:val="22"/>
          <w:lang w:val="en-US"/>
        </w:rPr>
        <w:t xml:space="preserve"> Authority as at 31 March</w:t>
      </w:r>
      <w:r w:rsidR="00B3402D">
        <w:rPr>
          <w:rFonts w:ascii="Arial" w:hAnsi="Arial" w:cs="Arial"/>
          <w:b/>
          <w:sz w:val="22"/>
          <w:szCs w:val="22"/>
          <w:lang w:val="en-US"/>
        </w:rPr>
        <w:t xml:space="preserve"> 2014</w:t>
      </w:r>
    </w:p>
    <w:p w:rsidR="00AD76CF" w:rsidRPr="00AD76CF" w:rsidRDefault="00AD76CF" w:rsidP="00AD76CF">
      <w:pPr>
        <w:jc w:val="center"/>
        <w:rPr>
          <w:rFonts w:ascii="Arial" w:hAnsi="Arial" w:cs="Arial"/>
          <w:b/>
          <w:sz w:val="22"/>
          <w:szCs w:val="22"/>
        </w:rPr>
      </w:pPr>
    </w:p>
    <w:p w:rsidR="00AD76CF" w:rsidRPr="00AD76CF" w:rsidRDefault="00AD76CF" w:rsidP="00AD76CF">
      <w:pPr>
        <w:numPr>
          <w:ilvl w:val="0"/>
          <w:numId w:val="3"/>
        </w:numPr>
        <w:jc w:val="both"/>
        <w:rPr>
          <w:rFonts w:ascii="Arial" w:hAnsi="Arial" w:cs="Arial"/>
          <w:b/>
          <w:sz w:val="22"/>
          <w:szCs w:val="22"/>
        </w:rPr>
      </w:pPr>
      <w:r w:rsidRPr="00AD76CF">
        <w:rPr>
          <w:rFonts w:ascii="Arial" w:hAnsi="Arial" w:cs="Arial"/>
          <w:b/>
          <w:sz w:val="22"/>
          <w:szCs w:val="22"/>
        </w:rPr>
        <w:t>Introduction</w:t>
      </w:r>
    </w:p>
    <w:p w:rsidR="00AD76CF" w:rsidRPr="00AD76CF" w:rsidRDefault="00AD76CF" w:rsidP="00AD76CF">
      <w:pPr>
        <w:ind w:left="-360"/>
        <w:jc w:val="both"/>
        <w:rPr>
          <w:rFonts w:ascii="Arial" w:hAnsi="Arial" w:cs="Arial"/>
          <w:b/>
          <w:sz w:val="22"/>
          <w:szCs w:val="22"/>
        </w:rPr>
      </w:pPr>
    </w:p>
    <w:p w:rsidR="00AD76CF" w:rsidRPr="00AD76CF" w:rsidRDefault="00AD76CF" w:rsidP="00AD76CF">
      <w:pPr>
        <w:jc w:val="both"/>
        <w:rPr>
          <w:rFonts w:ascii="Arial" w:hAnsi="Arial" w:cs="Arial"/>
          <w:sz w:val="22"/>
          <w:szCs w:val="22"/>
        </w:rPr>
      </w:pPr>
      <w:r w:rsidRPr="00AD76CF">
        <w:rPr>
          <w:rFonts w:ascii="Arial" w:hAnsi="Arial" w:cs="Arial"/>
          <w:sz w:val="22"/>
          <w:szCs w:val="22"/>
        </w:rPr>
        <w:t xml:space="preserve">This report outlines the financial position of the Authority in respect of revenue and capital expenditure for the </w:t>
      </w:r>
      <w:r w:rsidR="00954A12">
        <w:rPr>
          <w:rFonts w:ascii="Arial" w:hAnsi="Arial" w:cs="Arial"/>
          <w:sz w:val="22"/>
          <w:szCs w:val="22"/>
        </w:rPr>
        <w:t>month ended 31 March</w:t>
      </w:r>
      <w:r w:rsidR="005B62D4">
        <w:rPr>
          <w:rFonts w:ascii="Arial" w:hAnsi="Arial" w:cs="Arial"/>
          <w:sz w:val="22"/>
          <w:szCs w:val="22"/>
        </w:rPr>
        <w:t xml:space="preserve"> 2014</w:t>
      </w:r>
      <w:r w:rsidR="007948D4">
        <w:rPr>
          <w:rFonts w:ascii="Arial" w:hAnsi="Arial" w:cs="Arial"/>
          <w:sz w:val="22"/>
          <w:szCs w:val="22"/>
        </w:rPr>
        <w:t xml:space="preserve"> and the full year 2013/14</w:t>
      </w:r>
      <w:r w:rsidR="003179D5">
        <w:rPr>
          <w:rFonts w:ascii="Arial" w:hAnsi="Arial" w:cs="Arial"/>
          <w:sz w:val="22"/>
          <w:szCs w:val="22"/>
        </w:rPr>
        <w:t xml:space="preserve">. </w:t>
      </w:r>
      <w:r w:rsidRPr="00AD76CF">
        <w:rPr>
          <w:rFonts w:ascii="Arial" w:hAnsi="Arial" w:cs="Arial"/>
          <w:sz w:val="22"/>
          <w:szCs w:val="22"/>
        </w:rPr>
        <w:t xml:space="preserve">  </w:t>
      </w:r>
    </w:p>
    <w:p w:rsidR="00AD76CF" w:rsidRPr="00AD76CF" w:rsidRDefault="00AD76CF" w:rsidP="00AD76CF">
      <w:pPr>
        <w:jc w:val="both"/>
        <w:rPr>
          <w:rFonts w:ascii="Arial" w:hAnsi="Arial" w:cs="Arial"/>
          <w:sz w:val="22"/>
          <w:szCs w:val="22"/>
        </w:rPr>
      </w:pPr>
    </w:p>
    <w:p w:rsidR="00AD76CF" w:rsidRPr="00841ADE" w:rsidRDefault="00AD76CF" w:rsidP="00AD76CF">
      <w:pPr>
        <w:jc w:val="both"/>
        <w:rPr>
          <w:rFonts w:ascii="Arial" w:hAnsi="Arial" w:cs="Arial"/>
          <w:b/>
          <w:sz w:val="22"/>
          <w:szCs w:val="22"/>
        </w:rPr>
      </w:pPr>
      <w:r w:rsidRPr="00AD76CF">
        <w:rPr>
          <w:rFonts w:ascii="Arial" w:hAnsi="Arial" w:cs="Arial"/>
          <w:b/>
          <w:sz w:val="22"/>
          <w:szCs w:val="22"/>
        </w:rPr>
        <w:t xml:space="preserve">2. </w:t>
      </w:r>
      <w:r w:rsidRPr="00841ADE">
        <w:rPr>
          <w:rFonts w:ascii="Arial" w:hAnsi="Arial" w:cs="Arial"/>
          <w:b/>
          <w:sz w:val="22"/>
          <w:szCs w:val="22"/>
        </w:rPr>
        <w:t>Revenue Resource Limit</w:t>
      </w:r>
    </w:p>
    <w:p w:rsidR="00AD76CF" w:rsidRPr="00AD76CF" w:rsidRDefault="00AD76CF" w:rsidP="00AD76CF">
      <w:pPr>
        <w:jc w:val="both"/>
        <w:rPr>
          <w:rFonts w:ascii="Arial" w:hAnsi="Arial" w:cs="Arial"/>
          <w:b/>
          <w:sz w:val="22"/>
          <w:szCs w:val="22"/>
          <w:u w:val="single"/>
        </w:rPr>
      </w:pPr>
    </w:p>
    <w:p w:rsidR="00A53CE8" w:rsidRPr="009C594C" w:rsidRDefault="00B2011F" w:rsidP="00AD76CF">
      <w:pPr>
        <w:jc w:val="both"/>
        <w:rPr>
          <w:rFonts w:ascii="Arial" w:hAnsi="Arial" w:cs="Arial"/>
          <w:sz w:val="22"/>
          <w:szCs w:val="22"/>
        </w:rPr>
      </w:pPr>
      <w:r w:rsidRPr="009C594C">
        <w:rPr>
          <w:rFonts w:ascii="Arial" w:hAnsi="Arial" w:cs="Arial"/>
          <w:sz w:val="22"/>
          <w:szCs w:val="22"/>
        </w:rPr>
        <w:t xml:space="preserve">The HRA </w:t>
      </w:r>
      <w:r w:rsidR="003179D5" w:rsidRPr="009C594C">
        <w:rPr>
          <w:rFonts w:ascii="Arial" w:hAnsi="Arial" w:cs="Arial"/>
          <w:sz w:val="22"/>
          <w:szCs w:val="22"/>
        </w:rPr>
        <w:t xml:space="preserve">initial grant in aid/ </w:t>
      </w:r>
      <w:r w:rsidRPr="009C594C">
        <w:rPr>
          <w:rFonts w:ascii="Arial" w:hAnsi="Arial" w:cs="Arial"/>
          <w:sz w:val="22"/>
          <w:szCs w:val="22"/>
        </w:rPr>
        <w:t>opening revenue resource limit was confirmed at £9.</w:t>
      </w:r>
      <w:r w:rsidR="003179D5" w:rsidRPr="009C594C">
        <w:rPr>
          <w:rFonts w:ascii="Arial" w:hAnsi="Arial" w:cs="Arial"/>
          <w:sz w:val="22"/>
          <w:szCs w:val="22"/>
        </w:rPr>
        <w:t>4</w:t>
      </w:r>
      <w:r w:rsidRPr="009C594C">
        <w:rPr>
          <w:rFonts w:ascii="Arial" w:hAnsi="Arial" w:cs="Arial"/>
          <w:sz w:val="22"/>
          <w:szCs w:val="22"/>
        </w:rPr>
        <w:t>6</w:t>
      </w:r>
      <w:r w:rsidR="00613941" w:rsidRPr="009C594C">
        <w:rPr>
          <w:rFonts w:ascii="Arial" w:hAnsi="Arial" w:cs="Arial"/>
          <w:sz w:val="22"/>
          <w:szCs w:val="22"/>
        </w:rPr>
        <w:t>m</w:t>
      </w:r>
      <w:r w:rsidRPr="009C594C">
        <w:rPr>
          <w:rFonts w:ascii="Arial" w:hAnsi="Arial" w:cs="Arial"/>
          <w:sz w:val="22"/>
          <w:szCs w:val="22"/>
        </w:rPr>
        <w:t xml:space="preserve"> </w:t>
      </w:r>
      <w:r w:rsidR="003179D5" w:rsidRPr="009C594C">
        <w:rPr>
          <w:rFonts w:ascii="Arial" w:hAnsi="Arial" w:cs="Arial"/>
          <w:sz w:val="22"/>
          <w:szCs w:val="22"/>
        </w:rPr>
        <w:t>following approval of the HRA business plan for 2013/14</w:t>
      </w:r>
      <w:r w:rsidR="008C1699">
        <w:rPr>
          <w:rFonts w:ascii="Arial" w:hAnsi="Arial" w:cs="Arial"/>
          <w:sz w:val="22"/>
          <w:szCs w:val="22"/>
        </w:rPr>
        <w:t xml:space="preserve"> and </w:t>
      </w:r>
      <w:r w:rsidR="007948D4">
        <w:rPr>
          <w:rFonts w:ascii="Arial" w:hAnsi="Arial" w:cs="Arial"/>
          <w:sz w:val="22"/>
          <w:szCs w:val="22"/>
        </w:rPr>
        <w:t>did</w:t>
      </w:r>
      <w:r w:rsidR="008C1699">
        <w:rPr>
          <w:rFonts w:ascii="Arial" w:hAnsi="Arial" w:cs="Arial"/>
          <w:sz w:val="22"/>
          <w:szCs w:val="22"/>
        </w:rPr>
        <w:t xml:space="preserve"> not change</w:t>
      </w:r>
      <w:r w:rsidR="003179D5" w:rsidRPr="009C594C">
        <w:rPr>
          <w:rFonts w:ascii="Arial" w:hAnsi="Arial" w:cs="Arial"/>
          <w:sz w:val="22"/>
          <w:szCs w:val="22"/>
        </w:rPr>
        <w:t>.  The whole of this sum has been classified as administration funding under HM Treasury definitions and this sum represents the HRA annual statutory funding from the Department of Health</w:t>
      </w:r>
      <w:r w:rsidR="008C6ADC" w:rsidRPr="009C594C">
        <w:rPr>
          <w:rFonts w:ascii="Arial" w:hAnsi="Arial" w:cs="Arial"/>
          <w:sz w:val="22"/>
          <w:szCs w:val="22"/>
        </w:rPr>
        <w:t xml:space="preserve"> (DH)</w:t>
      </w:r>
      <w:r w:rsidR="007948D4">
        <w:rPr>
          <w:rFonts w:ascii="Arial" w:hAnsi="Arial" w:cs="Arial"/>
          <w:sz w:val="22"/>
          <w:szCs w:val="22"/>
        </w:rPr>
        <w:t xml:space="preserve"> for the year.</w:t>
      </w:r>
      <w:r w:rsidR="003179D5" w:rsidRPr="009C594C">
        <w:rPr>
          <w:rFonts w:ascii="Arial" w:hAnsi="Arial" w:cs="Arial"/>
          <w:sz w:val="22"/>
          <w:szCs w:val="22"/>
        </w:rPr>
        <w:t xml:space="preserve"> This sum excludes income from other government departments or income from the devolved administrations, the planning assumptions for which amount to a sum of £220k. </w:t>
      </w:r>
    </w:p>
    <w:p w:rsidR="00A53CE8" w:rsidRPr="00497F63" w:rsidRDefault="00A53CE8" w:rsidP="00AD76CF">
      <w:pPr>
        <w:jc w:val="both"/>
        <w:rPr>
          <w:rFonts w:ascii="Arial" w:hAnsi="Arial" w:cs="Arial"/>
          <w:sz w:val="22"/>
          <w:szCs w:val="22"/>
          <w:highlight w:val="yellow"/>
        </w:rPr>
      </w:pPr>
    </w:p>
    <w:p w:rsidR="00A53CE8" w:rsidRDefault="00297100" w:rsidP="00AD76CF">
      <w:pPr>
        <w:jc w:val="both"/>
        <w:rPr>
          <w:rFonts w:ascii="Arial" w:hAnsi="Arial" w:cs="Arial"/>
          <w:sz w:val="22"/>
          <w:szCs w:val="22"/>
        </w:rPr>
      </w:pPr>
      <w:r>
        <w:rPr>
          <w:rFonts w:ascii="Arial" w:hAnsi="Arial" w:cs="Arial"/>
          <w:sz w:val="22"/>
          <w:szCs w:val="22"/>
        </w:rPr>
        <w:t xml:space="preserve">The </w:t>
      </w:r>
      <w:r w:rsidR="007948D4">
        <w:rPr>
          <w:rFonts w:ascii="Arial" w:hAnsi="Arial" w:cs="Arial"/>
          <w:sz w:val="22"/>
          <w:szCs w:val="22"/>
        </w:rPr>
        <w:t>revenue cash limit was also confirmed as £9.46m</w:t>
      </w:r>
      <w:r>
        <w:rPr>
          <w:rFonts w:ascii="Arial" w:hAnsi="Arial" w:cs="Arial"/>
          <w:sz w:val="22"/>
          <w:szCs w:val="22"/>
        </w:rPr>
        <w:t xml:space="preserve"> and </w:t>
      </w:r>
      <w:r w:rsidR="00A53CE8" w:rsidRPr="009C594C">
        <w:rPr>
          <w:rFonts w:ascii="Arial" w:hAnsi="Arial" w:cs="Arial"/>
          <w:sz w:val="22"/>
          <w:szCs w:val="22"/>
        </w:rPr>
        <w:t xml:space="preserve">equal </w:t>
      </w:r>
      <w:r w:rsidR="007948D4">
        <w:rPr>
          <w:rFonts w:ascii="Arial" w:hAnsi="Arial" w:cs="Arial"/>
          <w:sz w:val="22"/>
          <w:szCs w:val="22"/>
        </w:rPr>
        <w:t xml:space="preserve">to </w:t>
      </w:r>
      <w:r w:rsidR="00A53CE8" w:rsidRPr="009C594C">
        <w:rPr>
          <w:rFonts w:ascii="Arial" w:hAnsi="Arial" w:cs="Arial"/>
          <w:sz w:val="22"/>
          <w:szCs w:val="22"/>
        </w:rPr>
        <w:t>the revenue resource limit.</w:t>
      </w:r>
      <w:r>
        <w:rPr>
          <w:rFonts w:ascii="Arial" w:hAnsi="Arial" w:cs="Arial"/>
          <w:sz w:val="22"/>
          <w:szCs w:val="22"/>
        </w:rPr>
        <w:t xml:space="preserve"> </w:t>
      </w:r>
    </w:p>
    <w:p w:rsidR="00B2011F" w:rsidRDefault="00B2011F" w:rsidP="00AD76CF">
      <w:pPr>
        <w:jc w:val="both"/>
        <w:rPr>
          <w:rFonts w:ascii="Arial" w:hAnsi="Arial" w:cs="Arial"/>
          <w:sz w:val="22"/>
          <w:szCs w:val="22"/>
        </w:rPr>
      </w:pPr>
    </w:p>
    <w:p w:rsidR="00AD76CF" w:rsidRPr="00AD76CF" w:rsidRDefault="00AD76CF" w:rsidP="00AD76CF">
      <w:pPr>
        <w:ind w:left="-360"/>
        <w:rPr>
          <w:rFonts w:ascii="Arial" w:hAnsi="Arial" w:cs="Arial"/>
          <w:b/>
          <w:sz w:val="22"/>
          <w:szCs w:val="22"/>
        </w:rPr>
      </w:pPr>
      <w:r w:rsidRPr="00AD76CF">
        <w:rPr>
          <w:rFonts w:ascii="Arial" w:hAnsi="Arial" w:cs="Arial"/>
          <w:b/>
          <w:sz w:val="22"/>
          <w:szCs w:val="22"/>
        </w:rPr>
        <w:t xml:space="preserve">     3</w:t>
      </w:r>
      <w:r w:rsidR="001516FA">
        <w:rPr>
          <w:rFonts w:ascii="Arial" w:hAnsi="Arial" w:cs="Arial"/>
          <w:b/>
          <w:sz w:val="22"/>
          <w:szCs w:val="22"/>
        </w:rPr>
        <w:t xml:space="preserve">. Revenue Position </w:t>
      </w:r>
      <w:r w:rsidR="00E6420E">
        <w:rPr>
          <w:rFonts w:ascii="Arial" w:hAnsi="Arial" w:cs="Arial"/>
          <w:b/>
          <w:sz w:val="22"/>
          <w:szCs w:val="22"/>
        </w:rPr>
        <w:t xml:space="preserve">at </w:t>
      </w:r>
      <w:r w:rsidR="00954A12">
        <w:rPr>
          <w:rFonts w:ascii="Arial" w:hAnsi="Arial" w:cs="Arial"/>
          <w:b/>
          <w:sz w:val="22"/>
          <w:szCs w:val="22"/>
        </w:rPr>
        <w:t>31 March</w:t>
      </w:r>
      <w:r w:rsidR="005B62D4">
        <w:rPr>
          <w:rFonts w:ascii="Arial" w:hAnsi="Arial" w:cs="Arial"/>
          <w:b/>
          <w:sz w:val="22"/>
          <w:szCs w:val="22"/>
        </w:rPr>
        <w:t xml:space="preserve"> 2014</w:t>
      </w:r>
    </w:p>
    <w:p w:rsidR="00AD76CF" w:rsidRPr="00AD76CF" w:rsidRDefault="00AD76CF" w:rsidP="00AD76CF">
      <w:pPr>
        <w:ind w:left="-360"/>
        <w:jc w:val="both"/>
        <w:rPr>
          <w:rFonts w:ascii="Arial" w:hAnsi="Arial" w:cs="Arial"/>
          <w:b/>
          <w:sz w:val="22"/>
          <w:szCs w:val="22"/>
        </w:rPr>
      </w:pPr>
    </w:p>
    <w:p w:rsidR="00AD76CF" w:rsidRDefault="00AD76CF" w:rsidP="00AD76CF">
      <w:pPr>
        <w:jc w:val="both"/>
        <w:rPr>
          <w:rFonts w:ascii="Arial" w:hAnsi="Arial" w:cs="Arial"/>
          <w:sz w:val="22"/>
          <w:szCs w:val="22"/>
        </w:rPr>
      </w:pPr>
      <w:r w:rsidRPr="00AD76CF">
        <w:rPr>
          <w:rFonts w:ascii="Arial" w:hAnsi="Arial" w:cs="Arial"/>
          <w:sz w:val="22"/>
          <w:szCs w:val="22"/>
        </w:rPr>
        <w:t xml:space="preserve">The revenue position of the </w:t>
      </w:r>
      <w:r w:rsidR="00877858">
        <w:rPr>
          <w:rFonts w:ascii="Arial" w:hAnsi="Arial" w:cs="Arial"/>
          <w:sz w:val="22"/>
          <w:szCs w:val="22"/>
        </w:rPr>
        <w:t xml:space="preserve">Authority </w:t>
      </w:r>
      <w:r w:rsidRPr="00AD76CF">
        <w:rPr>
          <w:rFonts w:ascii="Arial" w:hAnsi="Arial" w:cs="Arial"/>
          <w:sz w:val="22"/>
          <w:szCs w:val="22"/>
        </w:rPr>
        <w:t xml:space="preserve">is </w:t>
      </w:r>
      <w:r w:rsidR="00877858">
        <w:rPr>
          <w:rFonts w:ascii="Arial" w:hAnsi="Arial" w:cs="Arial"/>
          <w:sz w:val="22"/>
          <w:szCs w:val="22"/>
        </w:rPr>
        <w:t xml:space="preserve">summarised below with further performance </w:t>
      </w:r>
      <w:r w:rsidRPr="00AD76CF">
        <w:rPr>
          <w:rFonts w:ascii="Arial" w:hAnsi="Arial" w:cs="Arial"/>
          <w:sz w:val="22"/>
          <w:szCs w:val="22"/>
        </w:rPr>
        <w:t xml:space="preserve">detail </w:t>
      </w:r>
      <w:proofErr w:type="gramStart"/>
      <w:r w:rsidR="00877858">
        <w:rPr>
          <w:rFonts w:ascii="Arial" w:hAnsi="Arial" w:cs="Arial"/>
          <w:sz w:val="22"/>
          <w:szCs w:val="22"/>
        </w:rPr>
        <w:t xml:space="preserve">in </w:t>
      </w:r>
      <w:r w:rsidRPr="00AD76CF">
        <w:rPr>
          <w:rFonts w:ascii="Arial" w:hAnsi="Arial" w:cs="Arial"/>
          <w:sz w:val="22"/>
          <w:szCs w:val="22"/>
        </w:rPr>
        <w:t xml:space="preserve"> Appendix</w:t>
      </w:r>
      <w:proofErr w:type="gramEnd"/>
      <w:r w:rsidRPr="00AD76CF">
        <w:rPr>
          <w:rFonts w:ascii="Arial" w:hAnsi="Arial" w:cs="Arial"/>
          <w:sz w:val="22"/>
          <w:szCs w:val="22"/>
        </w:rPr>
        <w:t xml:space="preserve"> </w:t>
      </w:r>
      <w:r w:rsidR="00015D1D">
        <w:rPr>
          <w:rFonts w:ascii="Arial" w:hAnsi="Arial" w:cs="Arial"/>
          <w:sz w:val="22"/>
          <w:szCs w:val="22"/>
        </w:rPr>
        <w:t>A</w:t>
      </w:r>
      <w:r w:rsidRPr="00AD76CF">
        <w:rPr>
          <w:rFonts w:ascii="Arial" w:hAnsi="Arial" w:cs="Arial"/>
          <w:sz w:val="22"/>
          <w:szCs w:val="22"/>
        </w:rPr>
        <w:t xml:space="preserve">. </w:t>
      </w:r>
      <w:r w:rsidR="00841ADE">
        <w:rPr>
          <w:rFonts w:ascii="Arial" w:hAnsi="Arial" w:cs="Arial"/>
          <w:sz w:val="22"/>
          <w:szCs w:val="22"/>
        </w:rPr>
        <w:t xml:space="preserve"> </w:t>
      </w:r>
      <w:r w:rsidR="004458A7">
        <w:rPr>
          <w:rFonts w:ascii="Arial" w:hAnsi="Arial" w:cs="Arial"/>
          <w:sz w:val="22"/>
          <w:szCs w:val="22"/>
        </w:rPr>
        <w:t>The Authority has spent £8</w:t>
      </w:r>
      <w:r w:rsidR="00826F20">
        <w:rPr>
          <w:rFonts w:ascii="Arial" w:hAnsi="Arial" w:cs="Arial"/>
          <w:sz w:val="22"/>
          <w:szCs w:val="22"/>
        </w:rPr>
        <w:t>.</w:t>
      </w:r>
      <w:r w:rsidR="00234F1A">
        <w:rPr>
          <w:rFonts w:ascii="Arial" w:hAnsi="Arial" w:cs="Arial"/>
          <w:sz w:val="22"/>
          <w:szCs w:val="22"/>
        </w:rPr>
        <w:t>8</w:t>
      </w:r>
      <w:r w:rsidR="00E82F54">
        <w:rPr>
          <w:rFonts w:ascii="Arial" w:hAnsi="Arial" w:cs="Arial"/>
          <w:sz w:val="22"/>
          <w:szCs w:val="22"/>
        </w:rPr>
        <w:t xml:space="preserve">million year to date and </w:t>
      </w:r>
      <w:r w:rsidRPr="00AD76CF">
        <w:rPr>
          <w:rFonts w:ascii="Arial" w:hAnsi="Arial" w:cs="Arial"/>
          <w:sz w:val="22"/>
          <w:szCs w:val="22"/>
        </w:rPr>
        <w:t>underspent by £</w:t>
      </w:r>
      <w:r w:rsidR="00954A12">
        <w:rPr>
          <w:rFonts w:ascii="Arial" w:hAnsi="Arial" w:cs="Arial"/>
          <w:sz w:val="22"/>
          <w:szCs w:val="22"/>
        </w:rPr>
        <w:t>937</w:t>
      </w:r>
      <w:r w:rsidR="00841ADE">
        <w:rPr>
          <w:rFonts w:ascii="Arial" w:hAnsi="Arial" w:cs="Arial"/>
          <w:sz w:val="22"/>
          <w:szCs w:val="22"/>
        </w:rPr>
        <w:t>k</w:t>
      </w:r>
      <w:r w:rsidR="00954A12">
        <w:rPr>
          <w:rFonts w:ascii="Arial" w:hAnsi="Arial" w:cs="Arial"/>
          <w:sz w:val="22"/>
          <w:szCs w:val="22"/>
        </w:rPr>
        <w:t xml:space="preserve">, compared with a £402k </w:t>
      </w:r>
      <w:r w:rsidR="00D0058C">
        <w:rPr>
          <w:rFonts w:ascii="Arial" w:hAnsi="Arial" w:cs="Arial"/>
          <w:sz w:val="22"/>
          <w:szCs w:val="22"/>
        </w:rPr>
        <w:t>underspend</w:t>
      </w:r>
      <w:r w:rsidR="00954A12">
        <w:rPr>
          <w:rFonts w:ascii="Arial" w:hAnsi="Arial" w:cs="Arial"/>
          <w:sz w:val="22"/>
          <w:szCs w:val="22"/>
        </w:rPr>
        <w:t xml:space="preserve"> in February</w:t>
      </w:r>
      <w:r w:rsidR="007517B3">
        <w:rPr>
          <w:rFonts w:ascii="Arial" w:hAnsi="Arial" w:cs="Arial"/>
          <w:sz w:val="22"/>
          <w:szCs w:val="22"/>
        </w:rPr>
        <w:t>.</w:t>
      </w:r>
    </w:p>
    <w:p w:rsidR="00841ADE" w:rsidRPr="00AD76CF" w:rsidRDefault="00841ADE" w:rsidP="00AD76CF">
      <w:pPr>
        <w:jc w:val="both"/>
        <w:rPr>
          <w:rFonts w:ascii="Arial" w:hAnsi="Arial" w:cs="Arial"/>
          <w:sz w:val="22"/>
          <w:szCs w:val="22"/>
        </w:rPr>
      </w:pPr>
    </w:p>
    <w:tbl>
      <w:tblPr>
        <w:tblW w:w="9390" w:type="dxa"/>
        <w:tblInd w:w="93" w:type="dxa"/>
        <w:tblLook w:val="04A0" w:firstRow="1" w:lastRow="0" w:firstColumn="1" w:lastColumn="0" w:noHBand="0" w:noVBand="1"/>
      </w:tblPr>
      <w:tblGrid>
        <w:gridCol w:w="266"/>
        <w:gridCol w:w="4821"/>
        <w:gridCol w:w="1404"/>
        <w:gridCol w:w="1001"/>
        <w:gridCol w:w="1089"/>
        <w:gridCol w:w="1017"/>
      </w:tblGrid>
      <w:tr w:rsidR="00954A12" w:rsidRPr="00954A12" w:rsidTr="00954A12">
        <w:trPr>
          <w:trHeight w:val="300"/>
        </w:trPr>
        <w:tc>
          <w:tcPr>
            <w:tcW w:w="4895" w:type="dxa"/>
            <w:gridSpan w:val="2"/>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b/>
                <w:bCs/>
                <w:color w:val="000000"/>
                <w:sz w:val="22"/>
                <w:szCs w:val="22"/>
              </w:rPr>
            </w:pPr>
            <w:r w:rsidRPr="00954A12">
              <w:rPr>
                <w:rFonts w:ascii="Calibri" w:hAnsi="Calibri" w:cs="Calibri"/>
                <w:b/>
                <w:bCs/>
                <w:color w:val="000000"/>
                <w:sz w:val="22"/>
                <w:szCs w:val="22"/>
              </w:rPr>
              <w:t>Summary of financial outturn 31 March 2014</w:t>
            </w:r>
          </w:p>
        </w:tc>
        <w:tc>
          <w:tcPr>
            <w:tcW w:w="1404"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c>
          <w:tcPr>
            <w:tcW w:w="1001"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c>
          <w:tcPr>
            <w:tcW w:w="1089"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c>
          <w:tcPr>
            <w:tcW w:w="1001"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r>
      <w:tr w:rsidR="00954A12" w:rsidRPr="00954A12" w:rsidTr="00954A12">
        <w:trPr>
          <w:trHeight w:val="300"/>
        </w:trPr>
        <w:tc>
          <w:tcPr>
            <w:tcW w:w="74"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c>
          <w:tcPr>
            <w:tcW w:w="4821"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c>
          <w:tcPr>
            <w:tcW w:w="1404"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c>
          <w:tcPr>
            <w:tcW w:w="1001"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c>
          <w:tcPr>
            <w:tcW w:w="1089"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c>
          <w:tcPr>
            <w:tcW w:w="1001"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r>
      <w:tr w:rsidR="00954A12" w:rsidRPr="00954A12" w:rsidTr="00954A12">
        <w:trPr>
          <w:trHeight w:val="675"/>
        </w:trPr>
        <w:tc>
          <w:tcPr>
            <w:tcW w:w="74" w:type="dxa"/>
            <w:tcBorders>
              <w:top w:val="single" w:sz="4" w:space="0" w:color="auto"/>
              <w:left w:val="single" w:sz="4" w:space="0" w:color="auto"/>
              <w:bottom w:val="nil"/>
              <w:right w:val="nil"/>
            </w:tcBorders>
            <w:shd w:val="clear" w:color="000000" w:fill="56008C"/>
            <w:noWrap/>
            <w:vAlign w:val="bottom"/>
            <w:hideMark/>
          </w:tcPr>
          <w:p w:rsidR="00954A12" w:rsidRPr="00954A12" w:rsidRDefault="00954A12" w:rsidP="00954A12">
            <w:pPr>
              <w:rPr>
                <w:rFonts w:ascii="Calibri" w:hAnsi="Calibri" w:cs="Calibri"/>
                <w:color w:val="FFFFFF"/>
                <w:sz w:val="22"/>
                <w:szCs w:val="22"/>
              </w:rPr>
            </w:pPr>
            <w:r w:rsidRPr="00954A12">
              <w:rPr>
                <w:rFonts w:ascii="Calibri" w:hAnsi="Calibri" w:cs="Calibri"/>
                <w:color w:val="FFFFFF"/>
                <w:sz w:val="22"/>
                <w:szCs w:val="22"/>
              </w:rPr>
              <w:t> </w:t>
            </w:r>
          </w:p>
        </w:tc>
        <w:tc>
          <w:tcPr>
            <w:tcW w:w="4821" w:type="dxa"/>
            <w:vMerge w:val="restart"/>
            <w:tcBorders>
              <w:top w:val="single" w:sz="4" w:space="0" w:color="auto"/>
              <w:left w:val="nil"/>
              <w:bottom w:val="nil"/>
              <w:right w:val="nil"/>
            </w:tcBorders>
            <w:shd w:val="clear" w:color="000000" w:fill="56008C"/>
            <w:noWrap/>
            <w:vAlign w:val="bottom"/>
            <w:hideMark/>
          </w:tcPr>
          <w:p w:rsidR="00954A12" w:rsidRPr="00954A12" w:rsidRDefault="00954A12" w:rsidP="00954A12">
            <w:pPr>
              <w:rPr>
                <w:rFonts w:ascii="Calibri" w:hAnsi="Calibri" w:cs="Calibri"/>
                <w:b/>
                <w:bCs/>
                <w:color w:val="FFFFFF"/>
                <w:sz w:val="22"/>
                <w:szCs w:val="22"/>
              </w:rPr>
            </w:pPr>
            <w:r w:rsidRPr="00954A12">
              <w:rPr>
                <w:rFonts w:ascii="Calibri" w:hAnsi="Calibri" w:cs="Calibri"/>
                <w:b/>
                <w:bCs/>
                <w:color w:val="FFFFFF"/>
                <w:sz w:val="22"/>
                <w:szCs w:val="22"/>
              </w:rPr>
              <w:t>Description</w:t>
            </w:r>
          </w:p>
        </w:tc>
        <w:tc>
          <w:tcPr>
            <w:tcW w:w="1404" w:type="dxa"/>
            <w:vMerge w:val="restart"/>
            <w:tcBorders>
              <w:top w:val="single" w:sz="4" w:space="0" w:color="auto"/>
              <w:left w:val="nil"/>
              <w:bottom w:val="nil"/>
              <w:right w:val="nil"/>
            </w:tcBorders>
            <w:shd w:val="clear" w:color="000000" w:fill="56008C"/>
            <w:vAlign w:val="bottom"/>
            <w:hideMark/>
          </w:tcPr>
          <w:p w:rsidR="00954A12" w:rsidRPr="00954A12" w:rsidRDefault="00954A12" w:rsidP="00954A12">
            <w:pPr>
              <w:jc w:val="center"/>
              <w:rPr>
                <w:rFonts w:ascii="Calibri" w:hAnsi="Calibri" w:cs="Calibri"/>
                <w:b/>
                <w:bCs/>
                <w:color w:val="FFFFFF"/>
                <w:sz w:val="22"/>
                <w:szCs w:val="22"/>
              </w:rPr>
            </w:pPr>
            <w:r w:rsidRPr="00954A12">
              <w:rPr>
                <w:rFonts w:ascii="Calibri" w:hAnsi="Calibri" w:cs="Calibri"/>
                <w:b/>
                <w:bCs/>
                <w:color w:val="FFFFFF"/>
                <w:sz w:val="22"/>
                <w:szCs w:val="22"/>
              </w:rPr>
              <w:t>Initial Annual Budget</w:t>
            </w:r>
          </w:p>
        </w:tc>
        <w:tc>
          <w:tcPr>
            <w:tcW w:w="1001" w:type="dxa"/>
            <w:tcBorders>
              <w:top w:val="single" w:sz="4" w:space="0" w:color="auto"/>
              <w:left w:val="nil"/>
              <w:bottom w:val="nil"/>
              <w:right w:val="nil"/>
            </w:tcBorders>
            <w:shd w:val="clear" w:color="000000" w:fill="56008C"/>
            <w:vAlign w:val="bottom"/>
            <w:hideMark/>
          </w:tcPr>
          <w:p w:rsidR="00954A12" w:rsidRPr="00954A12" w:rsidRDefault="00954A12" w:rsidP="00954A12">
            <w:pPr>
              <w:jc w:val="center"/>
              <w:rPr>
                <w:rFonts w:ascii="Calibri" w:hAnsi="Calibri" w:cs="Calibri"/>
                <w:b/>
                <w:bCs/>
                <w:color w:val="FFFFFF"/>
                <w:sz w:val="22"/>
                <w:szCs w:val="22"/>
              </w:rPr>
            </w:pPr>
            <w:r w:rsidRPr="00954A12">
              <w:rPr>
                <w:rFonts w:ascii="Calibri" w:hAnsi="Calibri" w:cs="Calibri"/>
                <w:b/>
                <w:bCs/>
                <w:color w:val="FFFFFF"/>
                <w:sz w:val="22"/>
                <w:szCs w:val="22"/>
              </w:rPr>
              <w:t>Budget for period to</w:t>
            </w:r>
          </w:p>
        </w:tc>
        <w:tc>
          <w:tcPr>
            <w:tcW w:w="1089" w:type="dxa"/>
            <w:tcBorders>
              <w:top w:val="single" w:sz="4" w:space="0" w:color="auto"/>
              <w:left w:val="nil"/>
              <w:bottom w:val="nil"/>
              <w:right w:val="nil"/>
            </w:tcBorders>
            <w:shd w:val="clear" w:color="000000" w:fill="56008C"/>
            <w:vAlign w:val="bottom"/>
            <w:hideMark/>
          </w:tcPr>
          <w:p w:rsidR="00954A12" w:rsidRPr="00954A12" w:rsidRDefault="00954A12" w:rsidP="00954A12">
            <w:pPr>
              <w:jc w:val="center"/>
              <w:rPr>
                <w:rFonts w:ascii="Calibri" w:hAnsi="Calibri" w:cs="Calibri"/>
                <w:b/>
                <w:bCs/>
                <w:color w:val="FFFFFF"/>
                <w:sz w:val="22"/>
                <w:szCs w:val="22"/>
              </w:rPr>
            </w:pPr>
            <w:r w:rsidRPr="00954A12">
              <w:rPr>
                <w:rFonts w:ascii="Calibri" w:hAnsi="Calibri" w:cs="Calibri"/>
                <w:b/>
                <w:bCs/>
                <w:color w:val="FFFFFF"/>
                <w:sz w:val="22"/>
                <w:szCs w:val="22"/>
              </w:rPr>
              <w:t xml:space="preserve">Outturn as at </w:t>
            </w:r>
          </w:p>
        </w:tc>
        <w:tc>
          <w:tcPr>
            <w:tcW w:w="1001" w:type="dxa"/>
            <w:vMerge w:val="restart"/>
            <w:tcBorders>
              <w:top w:val="single" w:sz="4" w:space="0" w:color="auto"/>
              <w:left w:val="nil"/>
              <w:bottom w:val="nil"/>
              <w:right w:val="single" w:sz="4" w:space="0" w:color="auto"/>
            </w:tcBorders>
            <w:shd w:val="clear" w:color="000000" w:fill="56008C"/>
            <w:vAlign w:val="bottom"/>
            <w:hideMark/>
          </w:tcPr>
          <w:p w:rsidR="00954A12" w:rsidRPr="00954A12" w:rsidRDefault="00954A12" w:rsidP="00954A12">
            <w:pPr>
              <w:jc w:val="center"/>
              <w:rPr>
                <w:rFonts w:ascii="Calibri" w:hAnsi="Calibri" w:cs="Calibri"/>
                <w:b/>
                <w:bCs/>
                <w:color w:val="FFFFFF"/>
                <w:sz w:val="22"/>
                <w:szCs w:val="22"/>
              </w:rPr>
            </w:pPr>
            <w:r w:rsidRPr="00954A12">
              <w:rPr>
                <w:rFonts w:ascii="Calibri" w:hAnsi="Calibri" w:cs="Calibri"/>
                <w:b/>
                <w:bCs/>
                <w:color w:val="FFFFFF"/>
                <w:sz w:val="22"/>
                <w:szCs w:val="22"/>
              </w:rPr>
              <w:t>Variance</w:t>
            </w:r>
          </w:p>
        </w:tc>
      </w:tr>
      <w:tr w:rsidR="00954A12" w:rsidRPr="00954A12" w:rsidTr="00954A12">
        <w:trPr>
          <w:trHeight w:val="600"/>
        </w:trPr>
        <w:tc>
          <w:tcPr>
            <w:tcW w:w="74" w:type="dxa"/>
            <w:tcBorders>
              <w:top w:val="nil"/>
              <w:left w:val="single" w:sz="4" w:space="0" w:color="auto"/>
              <w:bottom w:val="nil"/>
              <w:right w:val="nil"/>
            </w:tcBorders>
            <w:shd w:val="clear" w:color="000000" w:fill="56008C"/>
            <w:noWrap/>
            <w:vAlign w:val="bottom"/>
            <w:hideMark/>
          </w:tcPr>
          <w:p w:rsidR="00954A12" w:rsidRPr="00954A12" w:rsidRDefault="00954A12" w:rsidP="00954A12">
            <w:pPr>
              <w:rPr>
                <w:rFonts w:ascii="Calibri" w:hAnsi="Calibri" w:cs="Calibri"/>
                <w:color w:val="FFFFFF"/>
                <w:sz w:val="22"/>
                <w:szCs w:val="22"/>
              </w:rPr>
            </w:pPr>
            <w:r w:rsidRPr="00954A12">
              <w:rPr>
                <w:rFonts w:ascii="Calibri" w:hAnsi="Calibri" w:cs="Calibri"/>
                <w:color w:val="FFFFFF"/>
                <w:sz w:val="22"/>
                <w:szCs w:val="22"/>
              </w:rPr>
              <w:t> </w:t>
            </w:r>
          </w:p>
        </w:tc>
        <w:tc>
          <w:tcPr>
            <w:tcW w:w="4821" w:type="dxa"/>
            <w:vMerge/>
            <w:tcBorders>
              <w:top w:val="single" w:sz="4" w:space="0" w:color="auto"/>
              <w:left w:val="nil"/>
              <w:bottom w:val="nil"/>
              <w:right w:val="nil"/>
            </w:tcBorders>
            <w:vAlign w:val="center"/>
            <w:hideMark/>
          </w:tcPr>
          <w:p w:rsidR="00954A12" w:rsidRPr="00954A12" w:rsidRDefault="00954A12" w:rsidP="00954A12">
            <w:pPr>
              <w:rPr>
                <w:rFonts w:ascii="Calibri" w:hAnsi="Calibri" w:cs="Calibri"/>
                <w:b/>
                <w:bCs/>
                <w:color w:val="FFFFFF"/>
                <w:sz w:val="22"/>
                <w:szCs w:val="22"/>
              </w:rPr>
            </w:pPr>
          </w:p>
        </w:tc>
        <w:tc>
          <w:tcPr>
            <w:tcW w:w="1404" w:type="dxa"/>
            <w:vMerge/>
            <w:tcBorders>
              <w:top w:val="single" w:sz="4" w:space="0" w:color="auto"/>
              <w:left w:val="nil"/>
              <w:bottom w:val="nil"/>
              <w:right w:val="nil"/>
            </w:tcBorders>
            <w:vAlign w:val="center"/>
            <w:hideMark/>
          </w:tcPr>
          <w:p w:rsidR="00954A12" w:rsidRPr="00954A12" w:rsidRDefault="00954A12" w:rsidP="00954A12">
            <w:pPr>
              <w:rPr>
                <w:rFonts w:ascii="Calibri" w:hAnsi="Calibri" w:cs="Calibri"/>
                <w:b/>
                <w:bCs/>
                <w:color w:val="FFFFFF"/>
                <w:sz w:val="22"/>
                <w:szCs w:val="22"/>
              </w:rPr>
            </w:pPr>
          </w:p>
        </w:tc>
        <w:tc>
          <w:tcPr>
            <w:tcW w:w="1001" w:type="dxa"/>
            <w:tcBorders>
              <w:top w:val="nil"/>
              <w:left w:val="nil"/>
              <w:bottom w:val="nil"/>
              <w:right w:val="nil"/>
            </w:tcBorders>
            <w:shd w:val="clear" w:color="000000" w:fill="56008C"/>
            <w:vAlign w:val="bottom"/>
            <w:hideMark/>
          </w:tcPr>
          <w:p w:rsidR="00954A12" w:rsidRPr="00954A12" w:rsidRDefault="00954A12" w:rsidP="00954A12">
            <w:pPr>
              <w:jc w:val="center"/>
              <w:rPr>
                <w:rFonts w:ascii="Calibri" w:hAnsi="Calibri" w:cs="Calibri"/>
                <w:b/>
                <w:bCs/>
                <w:color w:val="FFFFFF"/>
                <w:sz w:val="22"/>
                <w:szCs w:val="22"/>
              </w:rPr>
            </w:pPr>
            <w:r w:rsidRPr="00954A12">
              <w:rPr>
                <w:rFonts w:ascii="Calibri" w:hAnsi="Calibri" w:cs="Calibri"/>
                <w:b/>
                <w:bCs/>
                <w:color w:val="FFFFFF"/>
                <w:sz w:val="22"/>
                <w:szCs w:val="22"/>
              </w:rPr>
              <w:t>31 March 2014</w:t>
            </w:r>
          </w:p>
        </w:tc>
        <w:tc>
          <w:tcPr>
            <w:tcW w:w="1089" w:type="dxa"/>
            <w:tcBorders>
              <w:top w:val="nil"/>
              <w:left w:val="nil"/>
              <w:bottom w:val="nil"/>
              <w:right w:val="nil"/>
            </w:tcBorders>
            <w:shd w:val="clear" w:color="000000" w:fill="56008C"/>
            <w:vAlign w:val="bottom"/>
            <w:hideMark/>
          </w:tcPr>
          <w:p w:rsidR="00954A12" w:rsidRPr="00954A12" w:rsidRDefault="00954A12" w:rsidP="00954A12">
            <w:pPr>
              <w:jc w:val="center"/>
              <w:rPr>
                <w:rFonts w:ascii="Calibri" w:hAnsi="Calibri" w:cs="Calibri"/>
                <w:b/>
                <w:bCs/>
                <w:color w:val="FFFFFF"/>
                <w:sz w:val="22"/>
                <w:szCs w:val="22"/>
              </w:rPr>
            </w:pPr>
            <w:r w:rsidRPr="00954A12">
              <w:rPr>
                <w:rFonts w:ascii="Calibri" w:hAnsi="Calibri" w:cs="Calibri"/>
                <w:b/>
                <w:bCs/>
                <w:color w:val="FFFFFF"/>
                <w:sz w:val="22"/>
                <w:szCs w:val="22"/>
              </w:rPr>
              <w:t>31 March 2014</w:t>
            </w:r>
          </w:p>
        </w:tc>
        <w:tc>
          <w:tcPr>
            <w:tcW w:w="1001" w:type="dxa"/>
            <w:vMerge/>
            <w:tcBorders>
              <w:top w:val="single" w:sz="4" w:space="0" w:color="auto"/>
              <w:left w:val="nil"/>
              <w:bottom w:val="nil"/>
              <w:right w:val="single" w:sz="4" w:space="0" w:color="auto"/>
            </w:tcBorders>
            <w:vAlign w:val="center"/>
            <w:hideMark/>
          </w:tcPr>
          <w:p w:rsidR="00954A12" w:rsidRPr="00954A12" w:rsidRDefault="00954A12" w:rsidP="00954A12">
            <w:pPr>
              <w:rPr>
                <w:rFonts w:ascii="Calibri" w:hAnsi="Calibri" w:cs="Calibri"/>
                <w:b/>
                <w:bCs/>
                <w:color w:val="FFFFFF"/>
                <w:sz w:val="22"/>
                <w:szCs w:val="22"/>
              </w:rPr>
            </w:pPr>
          </w:p>
        </w:tc>
      </w:tr>
      <w:tr w:rsidR="00954A12" w:rsidRPr="00954A12" w:rsidTr="00954A12">
        <w:trPr>
          <w:trHeight w:val="300"/>
        </w:trPr>
        <w:tc>
          <w:tcPr>
            <w:tcW w:w="74" w:type="dxa"/>
            <w:tcBorders>
              <w:top w:val="nil"/>
              <w:left w:val="single" w:sz="4" w:space="0" w:color="auto"/>
              <w:bottom w:val="nil"/>
              <w:right w:val="nil"/>
            </w:tcBorders>
            <w:shd w:val="clear" w:color="000000" w:fill="56008C"/>
            <w:noWrap/>
            <w:vAlign w:val="bottom"/>
            <w:hideMark/>
          </w:tcPr>
          <w:p w:rsidR="00954A12" w:rsidRPr="00954A12" w:rsidRDefault="00954A12" w:rsidP="00954A12">
            <w:pPr>
              <w:rPr>
                <w:rFonts w:ascii="Calibri" w:hAnsi="Calibri" w:cs="Calibri"/>
                <w:color w:val="FFFFFF"/>
                <w:sz w:val="22"/>
                <w:szCs w:val="22"/>
              </w:rPr>
            </w:pPr>
            <w:r w:rsidRPr="00954A12">
              <w:rPr>
                <w:rFonts w:ascii="Calibri" w:hAnsi="Calibri" w:cs="Calibri"/>
                <w:color w:val="FFFFFF"/>
                <w:sz w:val="22"/>
                <w:szCs w:val="22"/>
              </w:rPr>
              <w:t> </w:t>
            </w:r>
          </w:p>
        </w:tc>
        <w:tc>
          <w:tcPr>
            <w:tcW w:w="4821" w:type="dxa"/>
            <w:tcBorders>
              <w:top w:val="nil"/>
              <w:left w:val="nil"/>
              <w:bottom w:val="nil"/>
              <w:right w:val="nil"/>
            </w:tcBorders>
            <w:shd w:val="clear" w:color="000000" w:fill="56008C"/>
            <w:noWrap/>
            <w:vAlign w:val="bottom"/>
            <w:hideMark/>
          </w:tcPr>
          <w:p w:rsidR="00954A12" w:rsidRPr="00954A12" w:rsidRDefault="00954A12" w:rsidP="00954A12">
            <w:pPr>
              <w:rPr>
                <w:rFonts w:ascii="Calibri" w:hAnsi="Calibri" w:cs="Calibri"/>
                <w:b/>
                <w:bCs/>
                <w:color w:val="FFFFFF"/>
                <w:sz w:val="22"/>
                <w:szCs w:val="22"/>
              </w:rPr>
            </w:pPr>
            <w:r w:rsidRPr="00954A12">
              <w:rPr>
                <w:rFonts w:ascii="Calibri" w:hAnsi="Calibri" w:cs="Calibri"/>
                <w:b/>
                <w:bCs/>
                <w:color w:val="FFFFFF"/>
                <w:sz w:val="22"/>
                <w:szCs w:val="22"/>
              </w:rPr>
              <w:t> </w:t>
            </w:r>
          </w:p>
        </w:tc>
        <w:tc>
          <w:tcPr>
            <w:tcW w:w="1404" w:type="dxa"/>
            <w:tcBorders>
              <w:top w:val="nil"/>
              <w:left w:val="nil"/>
              <w:bottom w:val="nil"/>
              <w:right w:val="nil"/>
            </w:tcBorders>
            <w:shd w:val="clear" w:color="000000" w:fill="56008C"/>
            <w:noWrap/>
            <w:vAlign w:val="bottom"/>
            <w:hideMark/>
          </w:tcPr>
          <w:p w:rsidR="00954A12" w:rsidRPr="00954A12" w:rsidRDefault="00954A12" w:rsidP="00954A12">
            <w:pPr>
              <w:jc w:val="center"/>
              <w:rPr>
                <w:rFonts w:ascii="Calibri" w:hAnsi="Calibri" w:cs="Calibri"/>
                <w:b/>
                <w:bCs/>
                <w:color w:val="FFFFFF"/>
                <w:sz w:val="22"/>
                <w:szCs w:val="22"/>
              </w:rPr>
            </w:pPr>
            <w:r w:rsidRPr="00954A12">
              <w:rPr>
                <w:rFonts w:ascii="Calibri" w:hAnsi="Calibri" w:cs="Calibri"/>
                <w:b/>
                <w:bCs/>
                <w:color w:val="FFFFFF"/>
                <w:sz w:val="22"/>
                <w:szCs w:val="22"/>
              </w:rPr>
              <w:t>(£'000)</w:t>
            </w:r>
          </w:p>
        </w:tc>
        <w:tc>
          <w:tcPr>
            <w:tcW w:w="1001" w:type="dxa"/>
            <w:tcBorders>
              <w:top w:val="nil"/>
              <w:left w:val="nil"/>
              <w:bottom w:val="nil"/>
              <w:right w:val="nil"/>
            </w:tcBorders>
            <w:shd w:val="clear" w:color="000000" w:fill="56008C"/>
            <w:noWrap/>
            <w:vAlign w:val="bottom"/>
            <w:hideMark/>
          </w:tcPr>
          <w:p w:rsidR="00954A12" w:rsidRPr="00954A12" w:rsidRDefault="00954A12" w:rsidP="00954A12">
            <w:pPr>
              <w:jc w:val="center"/>
              <w:rPr>
                <w:rFonts w:ascii="Calibri" w:hAnsi="Calibri" w:cs="Calibri"/>
                <w:b/>
                <w:bCs/>
                <w:color w:val="FFFFFF"/>
                <w:sz w:val="22"/>
                <w:szCs w:val="22"/>
              </w:rPr>
            </w:pPr>
            <w:r w:rsidRPr="00954A12">
              <w:rPr>
                <w:rFonts w:ascii="Calibri" w:hAnsi="Calibri" w:cs="Calibri"/>
                <w:b/>
                <w:bCs/>
                <w:color w:val="FFFFFF"/>
                <w:sz w:val="22"/>
                <w:szCs w:val="22"/>
              </w:rPr>
              <w:t>(£'000)</w:t>
            </w:r>
          </w:p>
        </w:tc>
        <w:tc>
          <w:tcPr>
            <w:tcW w:w="1089" w:type="dxa"/>
            <w:tcBorders>
              <w:top w:val="nil"/>
              <w:left w:val="nil"/>
              <w:bottom w:val="nil"/>
              <w:right w:val="nil"/>
            </w:tcBorders>
            <w:shd w:val="clear" w:color="000000" w:fill="56008C"/>
            <w:noWrap/>
            <w:vAlign w:val="bottom"/>
            <w:hideMark/>
          </w:tcPr>
          <w:p w:rsidR="00954A12" w:rsidRPr="00954A12" w:rsidRDefault="00954A12" w:rsidP="00954A12">
            <w:pPr>
              <w:jc w:val="center"/>
              <w:rPr>
                <w:rFonts w:ascii="Calibri" w:hAnsi="Calibri" w:cs="Calibri"/>
                <w:b/>
                <w:bCs/>
                <w:color w:val="FFFFFF"/>
                <w:sz w:val="22"/>
                <w:szCs w:val="22"/>
              </w:rPr>
            </w:pPr>
            <w:r w:rsidRPr="00954A12">
              <w:rPr>
                <w:rFonts w:ascii="Calibri" w:hAnsi="Calibri" w:cs="Calibri"/>
                <w:b/>
                <w:bCs/>
                <w:color w:val="FFFFFF"/>
                <w:sz w:val="22"/>
                <w:szCs w:val="22"/>
              </w:rPr>
              <w:t>(£'000)</w:t>
            </w:r>
          </w:p>
        </w:tc>
        <w:tc>
          <w:tcPr>
            <w:tcW w:w="1001" w:type="dxa"/>
            <w:tcBorders>
              <w:top w:val="nil"/>
              <w:left w:val="nil"/>
              <w:bottom w:val="nil"/>
              <w:right w:val="single" w:sz="4" w:space="0" w:color="auto"/>
            </w:tcBorders>
            <w:shd w:val="clear" w:color="000000" w:fill="56008C"/>
            <w:noWrap/>
            <w:vAlign w:val="bottom"/>
            <w:hideMark/>
          </w:tcPr>
          <w:p w:rsidR="00954A12" w:rsidRPr="00954A12" w:rsidRDefault="00954A12" w:rsidP="00954A12">
            <w:pPr>
              <w:jc w:val="center"/>
              <w:rPr>
                <w:rFonts w:ascii="Calibri" w:hAnsi="Calibri" w:cs="Calibri"/>
                <w:b/>
                <w:bCs/>
                <w:color w:val="FFFFFF"/>
                <w:sz w:val="22"/>
                <w:szCs w:val="22"/>
              </w:rPr>
            </w:pPr>
            <w:r w:rsidRPr="00954A12">
              <w:rPr>
                <w:rFonts w:ascii="Calibri" w:hAnsi="Calibri" w:cs="Calibri"/>
                <w:b/>
                <w:bCs/>
                <w:color w:val="FFFFFF"/>
                <w:sz w:val="22"/>
                <w:szCs w:val="22"/>
              </w:rPr>
              <w:t>(£'000)</w:t>
            </w:r>
          </w:p>
        </w:tc>
      </w:tr>
      <w:tr w:rsidR="00954A12" w:rsidRPr="00954A12" w:rsidTr="00954A12">
        <w:trPr>
          <w:trHeight w:val="300"/>
        </w:trPr>
        <w:tc>
          <w:tcPr>
            <w:tcW w:w="4895" w:type="dxa"/>
            <w:gridSpan w:val="2"/>
            <w:tcBorders>
              <w:top w:val="nil"/>
              <w:left w:val="single" w:sz="4" w:space="0" w:color="auto"/>
              <w:bottom w:val="nil"/>
              <w:right w:val="nil"/>
            </w:tcBorders>
            <w:shd w:val="clear" w:color="auto" w:fill="auto"/>
            <w:noWrap/>
            <w:vAlign w:val="bottom"/>
            <w:hideMark/>
          </w:tcPr>
          <w:p w:rsidR="00954A12" w:rsidRPr="00954A12" w:rsidRDefault="00954A12" w:rsidP="00954A12">
            <w:pPr>
              <w:rPr>
                <w:rFonts w:ascii="Calibri" w:hAnsi="Calibri" w:cs="Calibri"/>
                <w:b/>
                <w:bCs/>
                <w:color w:val="000000"/>
                <w:sz w:val="22"/>
                <w:szCs w:val="22"/>
              </w:rPr>
            </w:pPr>
            <w:r w:rsidRPr="00954A12">
              <w:rPr>
                <w:rFonts w:ascii="Calibri" w:hAnsi="Calibri" w:cs="Calibri"/>
                <w:b/>
                <w:bCs/>
                <w:color w:val="000000"/>
                <w:sz w:val="22"/>
                <w:szCs w:val="22"/>
              </w:rPr>
              <w:t>Income</w:t>
            </w:r>
          </w:p>
        </w:tc>
        <w:tc>
          <w:tcPr>
            <w:tcW w:w="1404"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c>
          <w:tcPr>
            <w:tcW w:w="1001"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c>
          <w:tcPr>
            <w:tcW w:w="1089"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c>
          <w:tcPr>
            <w:tcW w:w="1001" w:type="dxa"/>
            <w:tcBorders>
              <w:top w:val="nil"/>
              <w:left w:val="nil"/>
              <w:bottom w:val="nil"/>
              <w:right w:val="single" w:sz="4" w:space="0" w:color="auto"/>
            </w:tcBorders>
            <w:shd w:val="clear" w:color="auto" w:fill="auto"/>
            <w:noWrap/>
            <w:vAlign w:val="bottom"/>
            <w:hideMark/>
          </w:tcPr>
          <w:p w:rsidR="00954A12" w:rsidRPr="00954A12" w:rsidRDefault="00954A12" w:rsidP="00954A12">
            <w:pPr>
              <w:rPr>
                <w:rFonts w:ascii="Calibri" w:hAnsi="Calibri" w:cs="Calibri"/>
                <w:color w:val="000000"/>
                <w:sz w:val="22"/>
                <w:szCs w:val="22"/>
              </w:rPr>
            </w:pPr>
            <w:r w:rsidRPr="00954A12">
              <w:rPr>
                <w:rFonts w:ascii="Calibri" w:hAnsi="Calibri" w:cs="Calibri"/>
                <w:color w:val="000000"/>
                <w:sz w:val="22"/>
                <w:szCs w:val="22"/>
              </w:rPr>
              <w:t> </w:t>
            </w:r>
          </w:p>
        </w:tc>
      </w:tr>
      <w:tr w:rsidR="00954A12" w:rsidRPr="00954A12" w:rsidTr="00954A12">
        <w:trPr>
          <w:trHeight w:val="300"/>
        </w:trPr>
        <w:tc>
          <w:tcPr>
            <w:tcW w:w="74" w:type="dxa"/>
            <w:tcBorders>
              <w:top w:val="nil"/>
              <w:left w:val="single" w:sz="4" w:space="0" w:color="auto"/>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r w:rsidRPr="00954A12">
              <w:rPr>
                <w:rFonts w:ascii="Calibri" w:hAnsi="Calibri" w:cs="Calibri"/>
                <w:color w:val="000000"/>
                <w:sz w:val="22"/>
                <w:szCs w:val="22"/>
              </w:rPr>
              <w:t> </w:t>
            </w:r>
          </w:p>
        </w:tc>
        <w:tc>
          <w:tcPr>
            <w:tcW w:w="4821"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r w:rsidRPr="00954A12">
              <w:rPr>
                <w:rFonts w:ascii="Calibri" w:hAnsi="Calibri" w:cs="Calibri"/>
                <w:color w:val="000000"/>
                <w:sz w:val="22"/>
                <w:szCs w:val="22"/>
              </w:rPr>
              <w:t>HRA income</w:t>
            </w:r>
          </w:p>
        </w:tc>
        <w:tc>
          <w:tcPr>
            <w:tcW w:w="1404"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220</w:t>
            </w:r>
          </w:p>
        </w:tc>
        <w:tc>
          <w:tcPr>
            <w:tcW w:w="1001"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235</w:t>
            </w:r>
          </w:p>
        </w:tc>
        <w:tc>
          <w:tcPr>
            <w:tcW w:w="1089"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258</w:t>
            </w:r>
          </w:p>
        </w:tc>
        <w:tc>
          <w:tcPr>
            <w:tcW w:w="1001" w:type="dxa"/>
            <w:tcBorders>
              <w:top w:val="nil"/>
              <w:left w:val="nil"/>
              <w:bottom w:val="nil"/>
              <w:right w:val="single" w:sz="4" w:space="0" w:color="auto"/>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23</w:t>
            </w:r>
          </w:p>
        </w:tc>
      </w:tr>
      <w:tr w:rsidR="00954A12" w:rsidRPr="00954A12" w:rsidTr="00954A12">
        <w:trPr>
          <w:trHeight w:val="300"/>
        </w:trPr>
        <w:tc>
          <w:tcPr>
            <w:tcW w:w="74" w:type="dxa"/>
            <w:tcBorders>
              <w:top w:val="nil"/>
              <w:left w:val="single" w:sz="4" w:space="0" w:color="auto"/>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r w:rsidRPr="00954A12">
              <w:rPr>
                <w:rFonts w:ascii="Calibri" w:hAnsi="Calibri" w:cs="Calibri"/>
                <w:color w:val="000000"/>
                <w:sz w:val="22"/>
                <w:szCs w:val="22"/>
              </w:rPr>
              <w:t> </w:t>
            </w:r>
          </w:p>
        </w:tc>
        <w:tc>
          <w:tcPr>
            <w:tcW w:w="4821"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r w:rsidRPr="00954A12">
              <w:rPr>
                <w:rFonts w:ascii="Calibri" w:hAnsi="Calibri" w:cs="Calibri"/>
                <w:color w:val="000000"/>
                <w:sz w:val="22"/>
                <w:szCs w:val="22"/>
              </w:rPr>
              <w:t>Grant in aid</w:t>
            </w:r>
          </w:p>
        </w:tc>
        <w:tc>
          <w:tcPr>
            <w:tcW w:w="1404"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9445</w:t>
            </w:r>
          </w:p>
        </w:tc>
        <w:tc>
          <w:tcPr>
            <w:tcW w:w="1001"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9460</w:t>
            </w:r>
          </w:p>
        </w:tc>
        <w:tc>
          <w:tcPr>
            <w:tcW w:w="1089"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8523</w:t>
            </w:r>
          </w:p>
        </w:tc>
        <w:tc>
          <w:tcPr>
            <w:tcW w:w="1001" w:type="dxa"/>
            <w:tcBorders>
              <w:top w:val="nil"/>
              <w:left w:val="nil"/>
              <w:bottom w:val="nil"/>
              <w:right w:val="single" w:sz="4" w:space="0" w:color="auto"/>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-937</w:t>
            </w:r>
          </w:p>
        </w:tc>
      </w:tr>
      <w:tr w:rsidR="00954A12" w:rsidRPr="00954A12" w:rsidTr="00954A12">
        <w:trPr>
          <w:trHeight w:val="300"/>
        </w:trPr>
        <w:tc>
          <w:tcPr>
            <w:tcW w:w="74" w:type="dxa"/>
            <w:tcBorders>
              <w:top w:val="nil"/>
              <w:left w:val="single" w:sz="4" w:space="0" w:color="auto"/>
              <w:bottom w:val="nil"/>
              <w:right w:val="nil"/>
            </w:tcBorders>
            <w:shd w:val="clear" w:color="auto" w:fill="auto"/>
            <w:noWrap/>
            <w:vAlign w:val="bottom"/>
            <w:hideMark/>
          </w:tcPr>
          <w:p w:rsidR="00954A12" w:rsidRPr="00954A12" w:rsidRDefault="00954A12" w:rsidP="00954A12">
            <w:pPr>
              <w:rPr>
                <w:rFonts w:ascii="Calibri" w:hAnsi="Calibri" w:cs="Calibri"/>
                <w:b/>
                <w:bCs/>
                <w:color w:val="000000"/>
                <w:sz w:val="22"/>
                <w:szCs w:val="22"/>
              </w:rPr>
            </w:pPr>
            <w:r w:rsidRPr="00954A12">
              <w:rPr>
                <w:rFonts w:ascii="Calibri" w:hAnsi="Calibri" w:cs="Calibri"/>
                <w:b/>
                <w:bCs/>
                <w:color w:val="000000"/>
                <w:sz w:val="22"/>
                <w:szCs w:val="22"/>
              </w:rPr>
              <w:t> </w:t>
            </w:r>
          </w:p>
        </w:tc>
        <w:tc>
          <w:tcPr>
            <w:tcW w:w="4821"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b/>
                <w:bCs/>
                <w:color w:val="000000"/>
                <w:sz w:val="22"/>
                <w:szCs w:val="22"/>
              </w:rPr>
            </w:pPr>
            <w:r w:rsidRPr="00954A12">
              <w:rPr>
                <w:rFonts w:ascii="Calibri" w:hAnsi="Calibri" w:cs="Calibri"/>
                <w:b/>
                <w:bCs/>
                <w:color w:val="000000"/>
                <w:sz w:val="22"/>
                <w:szCs w:val="22"/>
              </w:rPr>
              <w:t>Total</w:t>
            </w:r>
          </w:p>
        </w:tc>
        <w:tc>
          <w:tcPr>
            <w:tcW w:w="1404"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b/>
                <w:bCs/>
                <w:color w:val="000000"/>
                <w:sz w:val="22"/>
                <w:szCs w:val="22"/>
              </w:rPr>
            </w:pPr>
            <w:r w:rsidRPr="00954A12">
              <w:rPr>
                <w:rFonts w:ascii="Calibri" w:hAnsi="Calibri" w:cs="Calibri"/>
                <w:b/>
                <w:bCs/>
                <w:color w:val="000000"/>
                <w:sz w:val="22"/>
                <w:szCs w:val="22"/>
              </w:rPr>
              <w:t>9665</w:t>
            </w:r>
          </w:p>
        </w:tc>
        <w:tc>
          <w:tcPr>
            <w:tcW w:w="1001"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b/>
                <w:bCs/>
                <w:color w:val="000000"/>
                <w:sz w:val="22"/>
                <w:szCs w:val="22"/>
              </w:rPr>
            </w:pPr>
            <w:r w:rsidRPr="00954A12">
              <w:rPr>
                <w:rFonts w:ascii="Calibri" w:hAnsi="Calibri" w:cs="Calibri"/>
                <w:b/>
                <w:bCs/>
                <w:color w:val="000000"/>
                <w:sz w:val="22"/>
                <w:szCs w:val="22"/>
              </w:rPr>
              <w:t>9695</w:t>
            </w:r>
          </w:p>
        </w:tc>
        <w:tc>
          <w:tcPr>
            <w:tcW w:w="1089"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b/>
                <w:bCs/>
                <w:color w:val="000000"/>
                <w:sz w:val="22"/>
                <w:szCs w:val="22"/>
              </w:rPr>
            </w:pPr>
            <w:r w:rsidRPr="00954A12">
              <w:rPr>
                <w:rFonts w:ascii="Calibri" w:hAnsi="Calibri" w:cs="Calibri"/>
                <w:b/>
                <w:bCs/>
                <w:color w:val="000000"/>
                <w:sz w:val="22"/>
                <w:szCs w:val="22"/>
              </w:rPr>
              <w:t>8781</w:t>
            </w:r>
          </w:p>
        </w:tc>
        <w:tc>
          <w:tcPr>
            <w:tcW w:w="1001" w:type="dxa"/>
            <w:tcBorders>
              <w:top w:val="nil"/>
              <w:left w:val="nil"/>
              <w:bottom w:val="nil"/>
              <w:right w:val="single" w:sz="4" w:space="0" w:color="auto"/>
            </w:tcBorders>
            <w:shd w:val="clear" w:color="auto" w:fill="auto"/>
            <w:noWrap/>
            <w:vAlign w:val="bottom"/>
            <w:hideMark/>
          </w:tcPr>
          <w:p w:rsidR="00954A12" w:rsidRPr="00954A12" w:rsidRDefault="00954A12" w:rsidP="00954A12">
            <w:pPr>
              <w:jc w:val="right"/>
              <w:rPr>
                <w:rFonts w:ascii="Calibri" w:hAnsi="Calibri" w:cs="Calibri"/>
                <w:b/>
                <w:bCs/>
                <w:color w:val="000000"/>
                <w:sz w:val="22"/>
                <w:szCs w:val="22"/>
              </w:rPr>
            </w:pPr>
            <w:r w:rsidRPr="00954A12">
              <w:rPr>
                <w:rFonts w:ascii="Calibri" w:hAnsi="Calibri" w:cs="Calibri"/>
                <w:b/>
                <w:bCs/>
                <w:color w:val="000000"/>
                <w:sz w:val="22"/>
                <w:szCs w:val="22"/>
              </w:rPr>
              <w:t>-914</w:t>
            </w:r>
          </w:p>
        </w:tc>
      </w:tr>
      <w:tr w:rsidR="00954A12" w:rsidRPr="00954A12" w:rsidTr="00954A12">
        <w:trPr>
          <w:trHeight w:val="300"/>
        </w:trPr>
        <w:tc>
          <w:tcPr>
            <w:tcW w:w="4895" w:type="dxa"/>
            <w:gridSpan w:val="2"/>
            <w:tcBorders>
              <w:top w:val="nil"/>
              <w:left w:val="single" w:sz="4" w:space="0" w:color="auto"/>
              <w:bottom w:val="nil"/>
              <w:right w:val="nil"/>
            </w:tcBorders>
            <w:shd w:val="clear" w:color="auto" w:fill="auto"/>
            <w:noWrap/>
            <w:vAlign w:val="bottom"/>
            <w:hideMark/>
          </w:tcPr>
          <w:p w:rsidR="00954A12" w:rsidRPr="00954A12" w:rsidRDefault="00954A12" w:rsidP="00954A12">
            <w:pPr>
              <w:rPr>
                <w:rFonts w:ascii="Calibri" w:hAnsi="Calibri" w:cs="Calibri"/>
                <w:b/>
                <w:bCs/>
                <w:color w:val="000000"/>
                <w:sz w:val="22"/>
                <w:szCs w:val="22"/>
              </w:rPr>
            </w:pPr>
            <w:r w:rsidRPr="00954A12">
              <w:rPr>
                <w:rFonts w:ascii="Calibri" w:hAnsi="Calibri" w:cs="Calibri"/>
                <w:b/>
                <w:bCs/>
                <w:color w:val="000000"/>
                <w:sz w:val="22"/>
                <w:szCs w:val="22"/>
              </w:rPr>
              <w:t>Expenditure</w:t>
            </w:r>
          </w:p>
        </w:tc>
        <w:tc>
          <w:tcPr>
            <w:tcW w:w="1404"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c>
          <w:tcPr>
            <w:tcW w:w="1001"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c>
          <w:tcPr>
            <w:tcW w:w="1089"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c>
          <w:tcPr>
            <w:tcW w:w="1001" w:type="dxa"/>
            <w:tcBorders>
              <w:top w:val="nil"/>
              <w:left w:val="nil"/>
              <w:bottom w:val="nil"/>
              <w:right w:val="single" w:sz="4" w:space="0" w:color="auto"/>
            </w:tcBorders>
            <w:shd w:val="clear" w:color="auto" w:fill="auto"/>
            <w:noWrap/>
            <w:vAlign w:val="bottom"/>
            <w:hideMark/>
          </w:tcPr>
          <w:p w:rsidR="00954A12" w:rsidRPr="00954A12" w:rsidRDefault="00954A12" w:rsidP="00954A12">
            <w:pPr>
              <w:rPr>
                <w:rFonts w:ascii="Calibri" w:hAnsi="Calibri" w:cs="Calibri"/>
                <w:color w:val="000000"/>
                <w:sz w:val="22"/>
                <w:szCs w:val="22"/>
              </w:rPr>
            </w:pPr>
            <w:r w:rsidRPr="00954A12">
              <w:rPr>
                <w:rFonts w:ascii="Calibri" w:hAnsi="Calibri" w:cs="Calibri"/>
                <w:color w:val="000000"/>
                <w:sz w:val="22"/>
                <w:szCs w:val="22"/>
              </w:rPr>
              <w:t> </w:t>
            </w:r>
          </w:p>
        </w:tc>
      </w:tr>
      <w:tr w:rsidR="00954A12" w:rsidRPr="00954A12" w:rsidTr="00954A12">
        <w:trPr>
          <w:trHeight w:val="300"/>
        </w:trPr>
        <w:tc>
          <w:tcPr>
            <w:tcW w:w="74" w:type="dxa"/>
            <w:tcBorders>
              <w:top w:val="nil"/>
              <w:left w:val="single" w:sz="4" w:space="0" w:color="auto"/>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r w:rsidRPr="00954A12">
              <w:rPr>
                <w:rFonts w:ascii="Calibri" w:hAnsi="Calibri" w:cs="Calibri"/>
                <w:color w:val="000000"/>
                <w:sz w:val="22"/>
                <w:szCs w:val="22"/>
              </w:rPr>
              <w:t> </w:t>
            </w:r>
          </w:p>
        </w:tc>
        <w:tc>
          <w:tcPr>
            <w:tcW w:w="4821"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r w:rsidRPr="00954A12">
              <w:rPr>
                <w:rFonts w:ascii="Calibri" w:hAnsi="Calibri" w:cs="Calibri"/>
                <w:color w:val="000000"/>
                <w:sz w:val="22"/>
                <w:szCs w:val="22"/>
              </w:rPr>
              <w:t>National Research Ethics Service - Operations</w:t>
            </w:r>
          </w:p>
        </w:tc>
        <w:tc>
          <w:tcPr>
            <w:tcW w:w="1404"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4,042</w:t>
            </w:r>
          </w:p>
        </w:tc>
        <w:tc>
          <w:tcPr>
            <w:tcW w:w="1001"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4,231</w:t>
            </w:r>
          </w:p>
        </w:tc>
        <w:tc>
          <w:tcPr>
            <w:tcW w:w="1089"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4,110</w:t>
            </w:r>
          </w:p>
        </w:tc>
        <w:tc>
          <w:tcPr>
            <w:tcW w:w="1001" w:type="dxa"/>
            <w:tcBorders>
              <w:top w:val="nil"/>
              <w:left w:val="nil"/>
              <w:bottom w:val="nil"/>
              <w:right w:val="single" w:sz="4" w:space="0" w:color="auto"/>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-121</w:t>
            </w:r>
          </w:p>
        </w:tc>
      </w:tr>
      <w:tr w:rsidR="00954A12" w:rsidRPr="00954A12" w:rsidTr="00954A12">
        <w:trPr>
          <w:trHeight w:val="300"/>
        </w:trPr>
        <w:tc>
          <w:tcPr>
            <w:tcW w:w="74" w:type="dxa"/>
            <w:tcBorders>
              <w:top w:val="nil"/>
              <w:left w:val="single" w:sz="4" w:space="0" w:color="auto"/>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r w:rsidRPr="00954A12">
              <w:rPr>
                <w:rFonts w:ascii="Calibri" w:hAnsi="Calibri" w:cs="Calibri"/>
                <w:color w:val="000000"/>
                <w:sz w:val="22"/>
                <w:szCs w:val="22"/>
              </w:rPr>
              <w:t> </w:t>
            </w:r>
          </w:p>
        </w:tc>
        <w:tc>
          <w:tcPr>
            <w:tcW w:w="4821"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r w:rsidRPr="00954A12">
              <w:rPr>
                <w:rFonts w:ascii="Calibri" w:hAnsi="Calibri" w:cs="Calibri"/>
                <w:color w:val="000000"/>
                <w:sz w:val="22"/>
                <w:szCs w:val="22"/>
              </w:rPr>
              <w:t>Chief Executive team, Board, Collaboration and Development</w:t>
            </w:r>
          </w:p>
        </w:tc>
        <w:tc>
          <w:tcPr>
            <w:tcW w:w="1404"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1,339</w:t>
            </w:r>
          </w:p>
        </w:tc>
        <w:tc>
          <w:tcPr>
            <w:tcW w:w="1001"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1,382</w:t>
            </w:r>
          </w:p>
        </w:tc>
        <w:tc>
          <w:tcPr>
            <w:tcW w:w="1089"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1,319</w:t>
            </w:r>
          </w:p>
        </w:tc>
        <w:tc>
          <w:tcPr>
            <w:tcW w:w="1001" w:type="dxa"/>
            <w:tcBorders>
              <w:top w:val="nil"/>
              <w:left w:val="nil"/>
              <w:bottom w:val="nil"/>
              <w:right w:val="single" w:sz="4" w:space="0" w:color="auto"/>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-63</w:t>
            </w:r>
          </w:p>
        </w:tc>
      </w:tr>
      <w:tr w:rsidR="00954A12" w:rsidRPr="00954A12" w:rsidTr="00954A12">
        <w:trPr>
          <w:trHeight w:val="300"/>
        </w:trPr>
        <w:tc>
          <w:tcPr>
            <w:tcW w:w="74" w:type="dxa"/>
            <w:tcBorders>
              <w:top w:val="nil"/>
              <w:left w:val="single" w:sz="4" w:space="0" w:color="auto"/>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r w:rsidRPr="00954A12">
              <w:rPr>
                <w:rFonts w:ascii="Calibri" w:hAnsi="Calibri" w:cs="Calibri"/>
                <w:color w:val="000000"/>
                <w:sz w:val="22"/>
                <w:szCs w:val="22"/>
              </w:rPr>
              <w:t> </w:t>
            </w:r>
          </w:p>
        </w:tc>
        <w:tc>
          <w:tcPr>
            <w:tcW w:w="4821"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r w:rsidRPr="00954A12">
              <w:rPr>
                <w:rFonts w:ascii="Calibri" w:hAnsi="Calibri" w:cs="Calibri"/>
                <w:color w:val="000000"/>
                <w:sz w:val="22"/>
                <w:szCs w:val="22"/>
              </w:rPr>
              <w:t>Corporate Services (</w:t>
            </w:r>
            <w:proofErr w:type="spellStart"/>
            <w:r w:rsidRPr="00954A12">
              <w:rPr>
                <w:rFonts w:ascii="Calibri" w:hAnsi="Calibri" w:cs="Calibri"/>
                <w:color w:val="000000"/>
                <w:sz w:val="22"/>
                <w:szCs w:val="22"/>
              </w:rPr>
              <w:t>incl</w:t>
            </w:r>
            <w:proofErr w:type="spellEnd"/>
            <w:r w:rsidRPr="00954A12">
              <w:rPr>
                <w:rFonts w:ascii="Calibri" w:hAnsi="Calibri" w:cs="Calibri"/>
                <w:color w:val="000000"/>
                <w:sz w:val="22"/>
                <w:szCs w:val="22"/>
              </w:rPr>
              <w:t xml:space="preserve"> reserves)</w:t>
            </w:r>
          </w:p>
        </w:tc>
        <w:tc>
          <w:tcPr>
            <w:tcW w:w="1404"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3,164</w:t>
            </w:r>
          </w:p>
        </w:tc>
        <w:tc>
          <w:tcPr>
            <w:tcW w:w="1001"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3,126</w:t>
            </w:r>
          </w:p>
        </w:tc>
        <w:tc>
          <w:tcPr>
            <w:tcW w:w="1089"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2,489</w:t>
            </w:r>
          </w:p>
        </w:tc>
        <w:tc>
          <w:tcPr>
            <w:tcW w:w="1001" w:type="dxa"/>
            <w:tcBorders>
              <w:top w:val="nil"/>
              <w:left w:val="nil"/>
              <w:bottom w:val="nil"/>
              <w:right w:val="single" w:sz="4" w:space="0" w:color="auto"/>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-637</w:t>
            </w:r>
          </w:p>
        </w:tc>
      </w:tr>
      <w:tr w:rsidR="00954A12" w:rsidRPr="00954A12" w:rsidTr="00954A12">
        <w:trPr>
          <w:trHeight w:val="300"/>
        </w:trPr>
        <w:tc>
          <w:tcPr>
            <w:tcW w:w="74" w:type="dxa"/>
            <w:tcBorders>
              <w:top w:val="nil"/>
              <w:left w:val="single" w:sz="4" w:space="0" w:color="auto"/>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r w:rsidRPr="00954A12">
              <w:rPr>
                <w:rFonts w:ascii="Calibri" w:hAnsi="Calibri" w:cs="Calibri"/>
                <w:color w:val="000000"/>
                <w:sz w:val="22"/>
                <w:szCs w:val="22"/>
              </w:rPr>
              <w:t> </w:t>
            </w:r>
          </w:p>
        </w:tc>
        <w:tc>
          <w:tcPr>
            <w:tcW w:w="4821"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r w:rsidRPr="00954A12">
              <w:rPr>
                <w:rFonts w:ascii="Calibri" w:hAnsi="Calibri" w:cs="Calibri"/>
                <w:color w:val="000000"/>
                <w:sz w:val="22"/>
                <w:szCs w:val="22"/>
              </w:rPr>
              <w:t xml:space="preserve">Improvement - </w:t>
            </w:r>
            <w:proofErr w:type="spellStart"/>
            <w:r w:rsidRPr="00954A12">
              <w:rPr>
                <w:rFonts w:ascii="Calibri" w:hAnsi="Calibri" w:cs="Calibri"/>
                <w:color w:val="000000"/>
                <w:sz w:val="22"/>
                <w:szCs w:val="22"/>
              </w:rPr>
              <w:t>Comms</w:t>
            </w:r>
            <w:proofErr w:type="spellEnd"/>
            <w:r w:rsidRPr="00954A12">
              <w:rPr>
                <w:rFonts w:ascii="Calibri" w:hAnsi="Calibri" w:cs="Calibri"/>
                <w:color w:val="000000"/>
                <w:sz w:val="22"/>
                <w:szCs w:val="22"/>
              </w:rPr>
              <w:t>, P&amp; P I,NREAP and Quality</w:t>
            </w:r>
          </w:p>
        </w:tc>
        <w:tc>
          <w:tcPr>
            <w:tcW w:w="1404"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1,120</w:t>
            </w:r>
          </w:p>
        </w:tc>
        <w:tc>
          <w:tcPr>
            <w:tcW w:w="1001"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956</w:t>
            </w:r>
          </w:p>
        </w:tc>
        <w:tc>
          <w:tcPr>
            <w:tcW w:w="1089"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863</w:t>
            </w:r>
          </w:p>
        </w:tc>
        <w:tc>
          <w:tcPr>
            <w:tcW w:w="1001" w:type="dxa"/>
            <w:tcBorders>
              <w:top w:val="nil"/>
              <w:left w:val="nil"/>
              <w:bottom w:val="nil"/>
              <w:right w:val="single" w:sz="4" w:space="0" w:color="auto"/>
            </w:tcBorders>
            <w:shd w:val="clear" w:color="auto" w:fill="auto"/>
            <w:noWrap/>
            <w:vAlign w:val="bottom"/>
            <w:hideMark/>
          </w:tcPr>
          <w:p w:rsidR="00954A12" w:rsidRPr="00954A12" w:rsidRDefault="00954A12" w:rsidP="00954A12">
            <w:pPr>
              <w:jc w:val="right"/>
              <w:rPr>
                <w:rFonts w:ascii="Calibri" w:hAnsi="Calibri" w:cs="Calibri"/>
                <w:color w:val="000000"/>
                <w:sz w:val="22"/>
                <w:szCs w:val="22"/>
              </w:rPr>
            </w:pPr>
            <w:r w:rsidRPr="00954A12">
              <w:rPr>
                <w:rFonts w:ascii="Calibri" w:hAnsi="Calibri" w:cs="Calibri"/>
                <w:color w:val="000000"/>
                <w:sz w:val="22"/>
                <w:szCs w:val="22"/>
              </w:rPr>
              <w:t>-93</w:t>
            </w:r>
          </w:p>
        </w:tc>
      </w:tr>
      <w:tr w:rsidR="00954A12" w:rsidRPr="00954A12" w:rsidTr="00954A12">
        <w:trPr>
          <w:trHeight w:val="300"/>
        </w:trPr>
        <w:tc>
          <w:tcPr>
            <w:tcW w:w="74" w:type="dxa"/>
            <w:tcBorders>
              <w:top w:val="nil"/>
              <w:left w:val="single" w:sz="4" w:space="0" w:color="auto"/>
              <w:bottom w:val="nil"/>
              <w:right w:val="nil"/>
            </w:tcBorders>
            <w:shd w:val="clear" w:color="auto" w:fill="auto"/>
            <w:noWrap/>
            <w:vAlign w:val="bottom"/>
            <w:hideMark/>
          </w:tcPr>
          <w:p w:rsidR="00954A12" w:rsidRPr="00954A12" w:rsidRDefault="00954A12" w:rsidP="00954A12">
            <w:pPr>
              <w:rPr>
                <w:rFonts w:ascii="Calibri" w:hAnsi="Calibri" w:cs="Calibri"/>
                <w:b/>
                <w:bCs/>
                <w:color w:val="000000"/>
                <w:sz w:val="22"/>
                <w:szCs w:val="22"/>
              </w:rPr>
            </w:pPr>
            <w:r w:rsidRPr="00954A12">
              <w:rPr>
                <w:rFonts w:ascii="Calibri" w:hAnsi="Calibri" w:cs="Calibri"/>
                <w:b/>
                <w:bCs/>
                <w:color w:val="000000"/>
                <w:sz w:val="22"/>
                <w:szCs w:val="22"/>
              </w:rPr>
              <w:t> </w:t>
            </w:r>
          </w:p>
        </w:tc>
        <w:tc>
          <w:tcPr>
            <w:tcW w:w="4821"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b/>
                <w:bCs/>
                <w:color w:val="000000"/>
                <w:sz w:val="22"/>
                <w:szCs w:val="22"/>
              </w:rPr>
            </w:pPr>
            <w:r w:rsidRPr="00954A12">
              <w:rPr>
                <w:rFonts w:ascii="Calibri" w:hAnsi="Calibri" w:cs="Calibri"/>
                <w:b/>
                <w:bCs/>
                <w:color w:val="000000"/>
                <w:sz w:val="22"/>
                <w:szCs w:val="22"/>
              </w:rPr>
              <w:t>Total</w:t>
            </w:r>
          </w:p>
        </w:tc>
        <w:tc>
          <w:tcPr>
            <w:tcW w:w="1404"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b/>
                <w:bCs/>
                <w:color w:val="000000"/>
                <w:sz w:val="22"/>
                <w:szCs w:val="22"/>
              </w:rPr>
            </w:pPr>
            <w:r w:rsidRPr="00954A12">
              <w:rPr>
                <w:rFonts w:ascii="Calibri" w:hAnsi="Calibri" w:cs="Calibri"/>
                <w:b/>
                <w:bCs/>
                <w:color w:val="000000"/>
                <w:sz w:val="22"/>
                <w:szCs w:val="22"/>
              </w:rPr>
              <w:t>9,665</w:t>
            </w:r>
          </w:p>
        </w:tc>
        <w:tc>
          <w:tcPr>
            <w:tcW w:w="1001"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b/>
                <w:bCs/>
                <w:color w:val="000000"/>
                <w:sz w:val="22"/>
                <w:szCs w:val="22"/>
              </w:rPr>
            </w:pPr>
            <w:r w:rsidRPr="00954A12">
              <w:rPr>
                <w:rFonts w:ascii="Calibri" w:hAnsi="Calibri" w:cs="Calibri"/>
                <w:b/>
                <w:bCs/>
                <w:color w:val="000000"/>
                <w:sz w:val="22"/>
                <w:szCs w:val="22"/>
              </w:rPr>
              <w:t>9,695</w:t>
            </w:r>
          </w:p>
        </w:tc>
        <w:tc>
          <w:tcPr>
            <w:tcW w:w="1089" w:type="dxa"/>
            <w:tcBorders>
              <w:top w:val="nil"/>
              <w:left w:val="nil"/>
              <w:bottom w:val="nil"/>
              <w:right w:val="nil"/>
            </w:tcBorders>
            <w:shd w:val="clear" w:color="auto" w:fill="auto"/>
            <w:noWrap/>
            <w:vAlign w:val="bottom"/>
            <w:hideMark/>
          </w:tcPr>
          <w:p w:rsidR="00954A12" w:rsidRPr="00954A12" w:rsidRDefault="00954A12" w:rsidP="00954A12">
            <w:pPr>
              <w:jc w:val="right"/>
              <w:rPr>
                <w:rFonts w:ascii="Calibri" w:hAnsi="Calibri" w:cs="Calibri"/>
                <w:b/>
                <w:bCs/>
                <w:color w:val="000000"/>
                <w:sz w:val="22"/>
                <w:szCs w:val="22"/>
              </w:rPr>
            </w:pPr>
            <w:r w:rsidRPr="00954A12">
              <w:rPr>
                <w:rFonts w:ascii="Calibri" w:hAnsi="Calibri" w:cs="Calibri"/>
                <w:b/>
                <w:bCs/>
                <w:color w:val="000000"/>
                <w:sz w:val="22"/>
                <w:szCs w:val="22"/>
              </w:rPr>
              <w:t>8,781</w:t>
            </w:r>
          </w:p>
        </w:tc>
        <w:tc>
          <w:tcPr>
            <w:tcW w:w="1001" w:type="dxa"/>
            <w:tcBorders>
              <w:top w:val="nil"/>
              <w:left w:val="nil"/>
              <w:bottom w:val="nil"/>
              <w:right w:val="single" w:sz="4" w:space="0" w:color="auto"/>
            </w:tcBorders>
            <w:shd w:val="clear" w:color="auto" w:fill="auto"/>
            <w:noWrap/>
            <w:vAlign w:val="bottom"/>
            <w:hideMark/>
          </w:tcPr>
          <w:p w:rsidR="00954A12" w:rsidRPr="00954A12" w:rsidRDefault="00954A12" w:rsidP="00954A12">
            <w:pPr>
              <w:jc w:val="right"/>
              <w:rPr>
                <w:rFonts w:ascii="Calibri" w:hAnsi="Calibri" w:cs="Calibri"/>
                <w:b/>
                <w:bCs/>
                <w:color w:val="000000"/>
                <w:sz w:val="22"/>
                <w:szCs w:val="22"/>
              </w:rPr>
            </w:pPr>
            <w:r w:rsidRPr="00954A12">
              <w:rPr>
                <w:rFonts w:ascii="Calibri" w:hAnsi="Calibri" w:cs="Calibri"/>
                <w:b/>
                <w:bCs/>
                <w:color w:val="000000"/>
                <w:sz w:val="22"/>
                <w:szCs w:val="22"/>
              </w:rPr>
              <w:t>-914</w:t>
            </w:r>
          </w:p>
        </w:tc>
      </w:tr>
      <w:tr w:rsidR="00954A12" w:rsidRPr="00954A12" w:rsidTr="00954A12">
        <w:trPr>
          <w:trHeight w:val="300"/>
        </w:trPr>
        <w:tc>
          <w:tcPr>
            <w:tcW w:w="74" w:type="dxa"/>
            <w:tcBorders>
              <w:top w:val="nil"/>
              <w:left w:val="single" w:sz="4" w:space="0" w:color="auto"/>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r w:rsidRPr="00954A12">
              <w:rPr>
                <w:rFonts w:ascii="Calibri" w:hAnsi="Calibri" w:cs="Calibri"/>
                <w:color w:val="000000"/>
                <w:sz w:val="22"/>
                <w:szCs w:val="22"/>
              </w:rPr>
              <w:t> </w:t>
            </w:r>
          </w:p>
        </w:tc>
        <w:tc>
          <w:tcPr>
            <w:tcW w:w="4821"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c>
          <w:tcPr>
            <w:tcW w:w="1404"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c>
          <w:tcPr>
            <w:tcW w:w="1001"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c>
          <w:tcPr>
            <w:tcW w:w="1089" w:type="dxa"/>
            <w:tcBorders>
              <w:top w:val="nil"/>
              <w:left w:val="nil"/>
              <w:bottom w:val="nil"/>
              <w:right w:val="nil"/>
            </w:tcBorders>
            <w:shd w:val="clear" w:color="auto" w:fill="auto"/>
            <w:noWrap/>
            <w:vAlign w:val="bottom"/>
            <w:hideMark/>
          </w:tcPr>
          <w:p w:rsidR="00954A12" w:rsidRPr="00954A12" w:rsidRDefault="00954A12" w:rsidP="00954A12">
            <w:pPr>
              <w:rPr>
                <w:rFonts w:ascii="Calibri" w:hAnsi="Calibri" w:cs="Calibri"/>
                <w:color w:val="000000"/>
                <w:sz w:val="22"/>
                <w:szCs w:val="22"/>
              </w:rPr>
            </w:pPr>
          </w:p>
        </w:tc>
        <w:tc>
          <w:tcPr>
            <w:tcW w:w="1001" w:type="dxa"/>
            <w:tcBorders>
              <w:top w:val="nil"/>
              <w:left w:val="nil"/>
              <w:bottom w:val="nil"/>
              <w:right w:val="single" w:sz="4" w:space="0" w:color="auto"/>
            </w:tcBorders>
            <w:shd w:val="clear" w:color="auto" w:fill="auto"/>
            <w:noWrap/>
            <w:vAlign w:val="bottom"/>
            <w:hideMark/>
          </w:tcPr>
          <w:p w:rsidR="00954A12" w:rsidRPr="00954A12" w:rsidRDefault="00954A12" w:rsidP="00954A12">
            <w:pPr>
              <w:rPr>
                <w:rFonts w:ascii="Calibri" w:hAnsi="Calibri" w:cs="Calibri"/>
                <w:color w:val="000000"/>
                <w:sz w:val="22"/>
                <w:szCs w:val="22"/>
              </w:rPr>
            </w:pPr>
            <w:r w:rsidRPr="00954A12">
              <w:rPr>
                <w:rFonts w:ascii="Calibri" w:hAnsi="Calibri" w:cs="Calibri"/>
                <w:color w:val="000000"/>
                <w:sz w:val="22"/>
                <w:szCs w:val="22"/>
              </w:rPr>
              <w:t> </w:t>
            </w:r>
          </w:p>
        </w:tc>
      </w:tr>
      <w:tr w:rsidR="00954A12" w:rsidRPr="00954A12" w:rsidTr="00954A12">
        <w:trPr>
          <w:trHeight w:val="300"/>
        </w:trPr>
        <w:tc>
          <w:tcPr>
            <w:tcW w:w="4895" w:type="dxa"/>
            <w:gridSpan w:val="2"/>
            <w:tcBorders>
              <w:top w:val="nil"/>
              <w:left w:val="single" w:sz="4" w:space="0" w:color="auto"/>
              <w:bottom w:val="single" w:sz="4" w:space="0" w:color="auto"/>
              <w:right w:val="nil"/>
            </w:tcBorders>
            <w:shd w:val="clear" w:color="auto" w:fill="auto"/>
            <w:noWrap/>
            <w:vAlign w:val="bottom"/>
            <w:hideMark/>
          </w:tcPr>
          <w:p w:rsidR="00954A12" w:rsidRPr="00954A12" w:rsidRDefault="00954A12" w:rsidP="00954A12">
            <w:pPr>
              <w:rPr>
                <w:rFonts w:ascii="Calibri" w:hAnsi="Calibri" w:cs="Calibri"/>
                <w:b/>
                <w:bCs/>
                <w:color w:val="000000"/>
                <w:sz w:val="22"/>
                <w:szCs w:val="22"/>
              </w:rPr>
            </w:pPr>
            <w:r w:rsidRPr="00954A12">
              <w:rPr>
                <w:rFonts w:ascii="Calibri" w:hAnsi="Calibri" w:cs="Calibri"/>
                <w:b/>
                <w:bCs/>
                <w:color w:val="000000"/>
                <w:sz w:val="22"/>
                <w:szCs w:val="22"/>
              </w:rPr>
              <w:t>Surplus/Deficit</w:t>
            </w:r>
          </w:p>
        </w:tc>
        <w:tc>
          <w:tcPr>
            <w:tcW w:w="1404" w:type="dxa"/>
            <w:tcBorders>
              <w:top w:val="nil"/>
              <w:left w:val="nil"/>
              <w:bottom w:val="single" w:sz="4" w:space="0" w:color="auto"/>
              <w:right w:val="nil"/>
            </w:tcBorders>
            <w:shd w:val="clear" w:color="auto" w:fill="auto"/>
            <w:noWrap/>
            <w:vAlign w:val="bottom"/>
            <w:hideMark/>
          </w:tcPr>
          <w:p w:rsidR="00954A12" w:rsidRPr="00954A12" w:rsidRDefault="00954A12" w:rsidP="00954A12">
            <w:pPr>
              <w:jc w:val="right"/>
              <w:rPr>
                <w:rFonts w:ascii="Calibri" w:hAnsi="Calibri" w:cs="Calibri"/>
                <w:b/>
                <w:bCs/>
                <w:color w:val="000000"/>
                <w:sz w:val="22"/>
                <w:szCs w:val="22"/>
              </w:rPr>
            </w:pPr>
            <w:r w:rsidRPr="00954A12">
              <w:rPr>
                <w:rFonts w:ascii="Calibri" w:hAnsi="Calibri" w:cs="Calibri"/>
                <w:b/>
                <w:bCs/>
                <w:color w:val="000000"/>
                <w:sz w:val="22"/>
                <w:szCs w:val="22"/>
              </w:rPr>
              <w:t>0</w:t>
            </w:r>
          </w:p>
        </w:tc>
        <w:tc>
          <w:tcPr>
            <w:tcW w:w="1001" w:type="dxa"/>
            <w:tcBorders>
              <w:top w:val="nil"/>
              <w:left w:val="nil"/>
              <w:bottom w:val="single" w:sz="4" w:space="0" w:color="auto"/>
              <w:right w:val="nil"/>
            </w:tcBorders>
            <w:shd w:val="clear" w:color="auto" w:fill="auto"/>
            <w:noWrap/>
            <w:vAlign w:val="bottom"/>
            <w:hideMark/>
          </w:tcPr>
          <w:p w:rsidR="00954A12" w:rsidRPr="00954A12" w:rsidRDefault="00954A12" w:rsidP="00954A12">
            <w:pPr>
              <w:jc w:val="right"/>
              <w:rPr>
                <w:rFonts w:ascii="Calibri" w:hAnsi="Calibri" w:cs="Calibri"/>
                <w:b/>
                <w:bCs/>
                <w:color w:val="000000"/>
                <w:sz w:val="22"/>
                <w:szCs w:val="22"/>
              </w:rPr>
            </w:pPr>
            <w:r w:rsidRPr="00954A12">
              <w:rPr>
                <w:rFonts w:ascii="Calibri" w:hAnsi="Calibri" w:cs="Calibri"/>
                <w:b/>
                <w:bCs/>
                <w:color w:val="000000"/>
                <w:sz w:val="22"/>
                <w:szCs w:val="22"/>
              </w:rPr>
              <w:t>0</w:t>
            </w:r>
          </w:p>
        </w:tc>
        <w:tc>
          <w:tcPr>
            <w:tcW w:w="1089" w:type="dxa"/>
            <w:tcBorders>
              <w:top w:val="nil"/>
              <w:left w:val="nil"/>
              <w:bottom w:val="single" w:sz="4" w:space="0" w:color="auto"/>
              <w:right w:val="nil"/>
            </w:tcBorders>
            <w:shd w:val="clear" w:color="auto" w:fill="auto"/>
            <w:noWrap/>
            <w:vAlign w:val="bottom"/>
            <w:hideMark/>
          </w:tcPr>
          <w:p w:rsidR="00954A12" w:rsidRPr="00954A12" w:rsidRDefault="00954A12" w:rsidP="00954A12">
            <w:pPr>
              <w:jc w:val="right"/>
              <w:rPr>
                <w:rFonts w:ascii="Calibri" w:hAnsi="Calibri" w:cs="Calibri"/>
                <w:b/>
                <w:bCs/>
                <w:color w:val="000000"/>
                <w:sz w:val="22"/>
                <w:szCs w:val="22"/>
              </w:rPr>
            </w:pPr>
            <w:r w:rsidRPr="00954A12">
              <w:rPr>
                <w:rFonts w:ascii="Calibri" w:hAnsi="Calibri" w:cs="Calibri"/>
                <w:b/>
                <w:bCs/>
                <w:color w:val="000000"/>
                <w:sz w:val="22"/>
                <w:szCs w:val="22"/>
              </w:rPr>
              <w:t>0</w:t>
            </w:r>
          </w:p>
        </w:tc>
        <w:tc>
          <w:tcPr>
            <w:tcW w:w="1001" w:type="dxa"/>
            <w:tcBorders>
              <w:top w:val="nil"/>
              <w:left w:val="nil"/>
              <w:bottom w:val="single" w:sz="4" w:space="0" w:color="auto"/>
              <w:right w:val="single" w:sz="4" w:space="0" w:color="auto"/>
            </w:tcBorders>
            <w:shd w:val="clear" w:color="auto" w:fill="auto"/>
            <w:noWrap/>
            <w:vAlign w:val="bottom"/>
            <w:hideMark/>
          </w:tcPr>
          <w:p w:rsidR="00954A12" w:rsidRPr="00954A12" w:rsidRDefault="00954A12" w:rsidP="00954A12">
            <w:pPr>
              <w:jc w:val="right"/>
              <w:rPr>
                <w:rFonts w:ascii="Calibri" w:hAnsi="Calibri" w:cs="Calibri"/>
                <w:b/>
                <w:bCs/>
                <w:color w:val="000000"/>
                <w:sz w:val="22"/>
                <w:szCs w:val="22"/>
              </w:rPr>
            </w:pPr>
            <w:r w:rsidRPr="00954A12">
              <w:rPr>
                <w:rFonts w:ascii="Calibri" w:hAnsi="Calibri" w:cs="Calibri"/>
                <w:b/>
                <w:bCs/>
                <w:color w:val="000000"/>
                <w:sz w:val="22"/>
                <w:szCs w:val="22"/>
              </w:rPr>
              <w:t>0</w:t>
            </w:r>
          </w:p>
        </w:tc>
      </w:tr>
    </w:tbl>
    <w:p w:rsidR="00613941" w:rsidRDefault="00613941">
      <w:pPr>
        <w:spacing w:after="200" w:line="276" w:lineRule="auto"/>
        <w:rPr>
          <w:rFonts w:ascii="Arial" w:hAnsi="Arial" w:cs="Arial"/>
          <w:sz w:val="22"/>
          <w:szCs w:val="22"/>
        </w:rPr>
      </w:pPr>
    </w:p>
    <w:p w:rsidR="004916BD" w:rsidRDefault="004916BD">
      <w:pPr>
        <w:spacing w:after="200" w:line="276" w:lineRule="auto"/>
        <w:rPr>
          <w:rFonts w:ascii="Arial" w:hAnsi="Arial" w:cs="Arial"/>
          <w:sz w:val="22"/>
          <w:szCs w:val="22"/>
        </w:rPr>
      </w:pPr>
      <w:r>
        <w:rPr>
          <w:rFonts w:ascii="Arial" w:hAnsi="Arial" w:cs="Arial"/>
          <w:sz w:val="22"/>
          <w:szCs w:val="22"/>
        </w:rPr>
        <w:t xml:space="preserve">The main points to note in the outturn expenditure position </w:t>
      </w:r>
      <w:r w:rsidR="00754060">
        <w:rPr>
          <w:rFonts w:ascii="Arial" w:hAnsi="Arial" w:cs="Arial"/>
          <w:sz w:val="22"/>
          <w:szCs w:val="22"/>
        </w:rPr>
        <w:t>as at 3</w:t>
      </w:r>
      <w:r w:rsidR="00881A60">
        <w:rPr>
          <w:rFonts w:ascii="Arial" w:hAnsi="Arial" w:cs="Arial"/>
          <w:sz w:val="22"/>
          <w:szCs w:val="22"/>
        </w:rPr>
        <w:t>1 March</w:t>
      </w:r>
      <w:r w:rsidR="00826F20">
        <w:rPr>
          <w:rFonts w:ascii="Arial" w:hAnsi="Arial" w:cs="Arial"/>
          <w:sz w:val="22"/>
          <w:szCs w:val="22"/>
        </w:rPr>
        <w:t xml:space="preserve"> 2014</w:t>
      </w:r>
      <w:r w:rsidR="006B7621">
        <w:rPr>
          <w:rFonts w:ascii="Arial" w:hAnsi="Arial" w:cs="Arial"/>
          <w:sz w:val="22"/>
          <w:szCs w:val="22"/>
        </w:rPr>
        <w:t xml:space="preserve"> </w:t>
      </w:r>
      <w:r w:rsidRPr="000F15BA">
        <w:rPr>
          <w:rFonts w:ascii="Arial" w:hAnsi="Arial" w:cs="Arial"/>
          <w:sz w:val="22"/>
          <w:szCs w:val="22"/>
        </w:rPr>
        <w:t>of £</w:t>
      </w:r>
      <w:r w:rsidR="00881A60">
        <w:rPr>
          <w:rFonts w:ascii="Arial" w:hAnsi="Arial" w:cs="Arial"/>
          <w:sz w:val="22"/>
          <w:szCs w:val="22"/>
        </w:rPr>
        <w:t>8,781</w:t>
      </w:r>
      <w:r w:rsidRPr="000F15BA">
        <w:rPr>
          <w:rFonts w:ascii="Arial" w:hAnsi="Arial" w:cs="Arial"/>
          <w:sz w:val="22"/>
          <w:szCs w:val="22"/>
        </w:rPr>
        <w:t>k</w:t>
      </w:r>
      <w:r>
        <w:rPr>
          <w:rFonts w:ascii="Arial" w:hAnsi="Arial" w:cs="Arial"/>
          <w:sz w:val="22"/>
          <w:szCs w:val="22"/>
        </w:rPr>
        <w:t xml:space="preserve"> are that</w:t>
      </w:r>
      <w:r w:rsidR="00861C72">
        <w:rPr>
          <w:rFonts w:ascii="Arial" w:hAnsi="Arial" w:cs="Arial"/>
          <w:sz w:val="22"/>
          <w:szCs w:val="22"/>
        </w:rPr>
        <w:t>:</w:t>
      </w:r>
    </w:p>
    <w:p w:rsidR="006D14D3" w:rsidRDefault="00881A60" w:rsidP="006D14D3">
      <w:pPr>
        <w:pStyle w:val="ListParagraph"/>
        <w:numPr>
          <w:ilvl w:val="0"/>
          <w:numId w:val="6"/>
        </w:numPr>
        <w:spacing w:after="200" w:line="276" w:lineRule="auto"/>
        <w:rPr>
          <w:rFonts w:ascii="Arial" w:hAnsi="Arial" w:cs="Arial"/>
          <w:sz w:val="22"/>
          <w:szCs w:val="22"/>
        </w:rPr>
      </w:pPr>
      <w:r>
        <w:rPr>
          <w:rFonts w:ascii="Arial" w:hAnsi="Arial" w:cs="Arial"/>
          <w:sz w:val="22"/>
          <w:szCs w:val="22"/>
        </w:rPr>
        <w:t>A total of 9</w:t>
      </w:r>
      <w:r w:rsidR="00C247A6">
        <w:rPr>
          <w:rFonts w:ascii="Arial" w:hAnsi="Arial" w:cs="Arial"/>
          <w:sz w:val="22"/>
          <w:szCs w:val="22"/>
        </w:rPr>
        <w:t>1</w:t>
      </w:r>
      <w:r w:rsidR="00834D31">
        <w:rPr>
          <w:rFonts w:ascii="Arial" w:hAnsi="Arial" w:cs="Arial"/>
          <w:sz w:val="22"/>
          <w:szCs w:val="22"/>
        </w:rPr>
        <w:t>% of the total expenditu</w:t>
      </w:r>
      <w:r>
        <w:rPr>
          <w:rFonts w:ascii="Arial" w:hAnsi="Arial" w:cs="Arial"/>
          <w:sz w:val="22"/>
          <w:szCs w:val="22"/>
        </w:rPr>
        <w:t xml:space="preserve">re budget has been spent within </w:t>
      </w:r>
      <w:r w:rsidR="00E82F54">
        <w:rPr>
          <w:rFonts w:ascii="Arial" w:hAnsi="Arial" w:cs="Arial"/>
          <w:sz w:val="22"/>
          <w:szCs w:val="22"/>
        </w:rPr>
        <w:t xml:space="preserve">the year </w:t>
      </w:r>
      <w:r w:rsidR="00834D31">
        <w:rPr>
          <w:rFonts w:ascii="Arial" w:hAnsi="Arial" w:cs="Arial"/>
          <w:sz w:val="22"/>
          <w:szCs w:val="22"/>
        </w:rPr>
        <w:t>with s</w:t>
      </w:r>
      <w:r w:rsidR="004916BD" w:rsidRPr="002D25C2">
        <w:rPr>
          <w:rFonts w:ascii="Arial" w:hAnsi="Arial" w:cs="Arial"/>
          <w:sz w:val="22"/>
          <w:szCs w:val="22"/>
        </w:rPr>
        <w:t>taff costs amount</w:t>
      </w:r>
      <w:r w:rsidR="00834D31">
        <w:rPr>
          <w:rFonts w:ascii="Arial" w:hAnsi="Arial" w:cs="Arial"/>
          <w:sz w:val="22"/>
          <w:szCs w:val="22"/>
        </w:rPr>
        <w:t>ing</w:t>
      </w:r>
      <w:r w:rsidR="004916BD" w:rsidRPr="002D25C2">
        <w:rPr>
          <w:rFonts w:ascii="Arial" w:hAnsi="Arial" w:cs="Arial"/>
          <w:sz w:val="22"/>
          <w:szCs w:val="22"/>
        </w:rPr>
        <w:t xml:space="preserve"> to £</w:t>
      </w:r>
      <w:r>
        <w:rPr>
          <w:rFonts w:ascii="Arial" w:hAnsi="Arial" w:cs="Arial"/>
          <w:sz w:val="22"/>
          <w:szCs w:val="22"/>
        </w:rPr>
        <w:t>5,547</w:t>
      </w:r>
      <w:r w:rsidR="004916BD" w:rsidRPr="002D25C2">
        <w:rPr>
          <w:rFonts w:ascii="Arial" w:hAnsi="Arial" w:cs="Arial"/>
          <w:sz w:val="22"/>
          <w:szCs w:val="22"/>
        </w:rPr>
        <w:t>k (</w:t>
      </w:r>
      <w:r>
        <w:rPr>
          <w:rFonts w:ascii="Arial" w:hAnsi="Arial" w:cs="Arial"/>
          <w:sz w:val="22"/>
          <w:szCs w:val="22"/>
        </w:rPr>
        <w:t>63</w:t>
      </w:r>
      <w:r w:rsidR="004916BD" w:rsidRPr="002D25C2">
        <w:rPr>
          <w:rFonts w:ascii="Arial" w:hAnsi="Arial" w:cs="Arial"/>
          <w:sz w:val="22"/>
          <w:szCs w:val="22"/>
        </w:rPr>
        <w:t>%)</w:t>
      </w:r>
      <w:r w:rsidR="00834D31">
        <w:rPr>
          <w:rFonts w:ascii="Arial" w:hAnsi="Arial" w:cs="Arial"/>
          <w:sz w:val="22"/>
          <w:szCs w:val="22"/>
        </w:rPr>
        <w:t xml:space="preserve"> of the total year to date spend.</w:t>
      </w:r>
    </w:p>
    <w:p w:rsidR="00EC64D7" w:rsidRPr="006D14D3" w:rsidRDefault="00EC64D7" w:rsidP="00EC64D7">
      <w:pPr>
        <w:pStyle w:val="ListParagraph"/>
        <w:spacing w:after="200" w:line="276" w:lineRule="auto"/>
        <w:rPr>
          <w:rFonts w:ascii="Arial" w:hAnsi="Arial" w:cs="Arial"/>
          <w:sz w:val="22"/>
          <w:szCs w:val="22"/>
        </w:rPr>
      </w:pPr>
    </w:p>
    <w:p w:rsidR="008C6ADC" w:rsidRDefault="00826F20" w:rsidP="008C6ADC">
      <w:pPr>
        <w:pStyle w:val="ListParagraph"/>
        <w:numPr>
          <w:ilvl w:val="0"/>
          <w:numId w:val="6"/>
        </w:numPr>
        <w:spacing w:after="200" w:line="276" w:lineRule="auto"/>
        <w:rPr>
          <w:rFonts w:ascii="Arial" w:hAnsi="Arial" w:cs="Arial"/>
          <w:sz w:val="22"/>
          <w:szCs w:val="22"/>
        </w:rPr>
      </w:pPr>
      <w:r>
        <w:rPr>
          <w:rFonts w:ascii="Arial" w:hAnsi="Arial" w:cs="Arial"/>
          <w:sz w:val="22"/>
          <w:szCs w:val="22"/>
        </w:rPr>
        <w:t xml:space="preserve">The largest variance is </w:t>
      </w:r>
      <w:r w:rsidR="00EC64D7">
        <w:rPr>
          <w:rFonts w:ascii="Arial" w:hAnsi="Arial" w:cs="Arial"/>
          <w:sz w:val="22"/>
          <w:szCs w:val="22"/>
        </w:rPr>
        <w:t>a £637</w:t>
      </w:r>
      <w:r w:rsidR="008C6ADC" w:rsidRPr="00AF2EE1">
        <w:rPr>
          <w:rFonts w:ascii="Arial" w:hAnsi="Arial" w:cs="Arial"/>
          <w:sz w:val="22"/>
          <w:szCs w:val="22"/>
        </w:rPr>
        <w:t xml:space="preserve">k </w:t>
      </w:r>
      <w:r w:rsidR="00D0058C">
        <w:rPr>
          <w:rFonts w:ascii="Arial" w:hAnsi="Arial" w:cs="Arial"/>
          <w:sz w:val="22"/>
          <w:szCs w:val="22"/>
        </w:rPr>
        <w:t>underspend</w:t>
      </w:r>
      <w:r>
        <w:rPr>
          <w:rFonts w:ascii="Arial" w:hAnsi="Arial" w:cs="Arial"/>
          <w:sz w:val="22"/>
          <w:szCs w:val="22"/>
        </w:rPr>
        <w:t xml:space="preserve"> within the Corporate services </w:t>
      </w:r>
      <w:r w:rsidR="00C60C6D">
        <w:rPr>
          <w:rFonts w:ascii="Arial" w:hAnsi="Arial" w:cs="Arial"/>
          <w:sz w:val="22"/>
          <w:szCs w:val="22"/>
        </w:rPr>
        <w:t>Division</w:t>
      </w:r>
      <w:r w:rsidR="002C274E">
        <w:rPr>
          <w:rFonts w:ascii="Arial" w:hAnsi="Arial" w:cs="Arial"/>
          <w:sz w:val="22"/>
          <w:szCs w:val="22"/>
        </w:rPr>
        <w:t xml:space="preserve"> which can be explained as follows</w:t>
      </w:r>
      <w:r w:rsidR="008C6ADC" w:rsidRPr="00AF2EE1">
        <w:rPr>
          <w:rFonts w:ascii="Arial" w:hAnsi="Arial" w:cs="Arial"/>
          <w:sz w:val="22"/>
          <w:szCs w:val="22"/>
        </w:rPr>
        <w:t xml:space="preserve">. </w:t>
      </w:r>
    </w:p>
    <w:p w:rsidR="008B70B1" w:rsidRDefault="008B70B1" w:rsidP="008B70B1">
      <w:pPr>
        <w:pStyle w:val="ListParagraph"/>
        <w:spacing w:after="200" w:line="276" w:lineRule="auto"/>
        <w:rPr>
          <w:rFonts w:ascii="Arial" w:hAnsi="Arial" w:cs="Arial"/>
          <w:sz w:val="22"/>
          <w:szCs w:val="22"/>
        </w:rPr>
      </w:pPr>
    </w:p>
    <w:p w:rsidR="002C274E" w:rsidRDefault="00D0058C" w:rsidP="002C274E">
      <w:pPr>
        <w:pStyle w:val="ListParagraph"/>
        <w:numPr>
          <w:ilvl w:val="0"/>
          <w:numId w:val="15"/>
        </w:numPr>
        <w:spacing w:after="200" w:line="276" w:lineRule="auto"/>
        <w:rPr>
          <w:rFonts w:ascii="Arial" w:hAnsi="Arial" w:cs="Arial"/>
          <w:sz w:val="22"/>
          <w:szCs w:val="22"/>
        </w:rPr>
      </w:pPr>
      <w:r>
        <w:rPr>
          <w:rFonts w:ascii="Arial" w:hAnsi="Arial" w:cs="Arial"/>
          <w:sz w:val="22"/>
          <w:szCs w:val="22"/>
        </w:rPr>
        <w:t>Underspend</w:t>
      </w:r>
      <w:r w:rsidR="002C274E">
        <w:rPr>
          <w:rFonts w:ascii="Arial" w:hAnsi="Arial" w:cs="Arial"/>
          <w:sz w:val="22"/>
          <w:szCs w:val="22"/>
        </w:rPr>
        <w:t xml:space="preserve"> of £460k in finance largely due to unallocated reserves of £448k.  The reasons for this are:</w:t>
      </w:r>
    </w:p>
    <w:p w:rsidR="002C274E" w:rsidRPr="002C274E" w:rsidRDefault="002C274E" w:rsidP="002C274E">
      <w:pPr>
        <w:pStyle w:val="ListParagraph"/>
        <w:numPr>
          <w:ilvl w:val="1"/>
          <w:numId w:val="15"/>
        </w:numPr>
        <w:spacing w:after="200" w:line="276" w:lineRule="auto"/>
        <w:rPr>
          <w:rFonts w:ascii="Arial" w:hAnsi="Arial" w:cs="Arial"/>
          <w:sz w:val="22"/>
          <w:szCs w:val="22"/>
        </w:rPr>
      </w:pPr>
      <w:r w:rsidRPr="002C274E">
        <w:rPr>
          <w:rFonts w:ascii="Arial" w:hAnsi="Arial" w:cs="Arial"/>
          <w:sz w:val="22"/>
          <w:szCs w:val="22"/>
        </w:rPr>
        <w:t xml:space="preserve">Significantly lower level of redundancies as a result of the decision to reconfigure the London Research Ethics Committee Centre due to staff securing alternative employment.  </w:t>
      </w:r>
      <w:r>
        <w:rPr>
          <w:rFonts w:ascii="Arial" w:hAnsi="Arial" w:cs="Arial"/>
          <w:sz w:val="22"/>
          <w:szCs w:val="22"/>
        </w:rPr>
        <w:t xml:space="preserve">£113k not required.  £27k cost against a potential £140k.  </w:t>
      </w:r>
      <w:r w:rsidRPr="002C274E">
        <w:rPr>
          <w:rFonts w:ascii="Arial" w:hAnsi="Arial" w:cs="Arial"/>
          <w:sz w:val="22"/>
          <w:szCs w:val="22"/>
        </w:rPr>
        <w:t>Risk flagged.</w:t>
      </w:r>
    </w:p>
    <w:p w:rsidR="002C274E" w:rsidRPr="002C274E" w:rsidRDefault="002C274E" w:rsidP="002C274E">
      <w:pPr>
        <w:pStyle w:val="ListParagraph"/>
        <w:numPr>
          <w:ilvl w:val="1"/>
          <w:numId w:val="15"/>
        </w:numPr>
        <w:spacing w:after="200" w:line="276" w:lineRule="auto"/>
        <w:rPr>
          <w:rFonts w:ascii="Arial" w:hAnsi="Arial" w:cs="Arial"/>
          <w:sz w:val="22"/>
          <w:szCs w:val="22"/>
        </w:rPr>
      </w:pPr>
      <w:r w:rsidRPr="002C274E">
        <w:rPr>
          <w:rFonts w:ascii="Arial" w:hAnsi="Arial" w:cs="Arial"/>
          <w:sz w:val="22"/>
          <w:szCs w:val="22"/>
        </w:rPr>
        <w:t xml:space="preserve">The HRA submitted a business case for an HRA Assessment and Approval in October 2013 which if approved would increase the WTE of the organisation by a further 80.  Planning assumptions were made which earmarked reserves for deployment in the final quarter of the financial year.  These were to include resources to support recruitment ready for a prompt start in the new financial year if not before,  resources to secure premises with associated furnishing, IT connectivity costs, IT equipment for new starters together with the necessary support costs and any necessary premises alterations.  The final decision on the case was not made until late March 2014. </w:t>
      </w:r>
      <w:r w:rsidR="001B12BA">
        <w:rPr>
          <w:rFonts w:ascii="Arial" w:hAnsi="Arial" w:cs="Arial"/>
          <w:sz w:val="22"/>
          <w:szCs w:val="22"/>
        </w:rPr>
        <w:t>£100k to £150k.</w:t>
      </w:r>
      <w:r w:rsidRPr="002C274E">
        <w:rPr>
          <w:rFonts w:ascii="Arial" w:hAnsi="Arial" w:cs="Arial"/>
          <w:sz w:val="22"/>
          <w:szCs w:val="22"/>
        </w:rPr>
        <w:t xml:space="preserve"> Risk flagged.</w:t>
      </w:r>
    </w:p>
    <w:p w:rsidR="002C274E" w:rsidRPr="002C274E" w:rsidRDefault="002C274E" w:rsidP="002C274E">
      <w:pPr>
        <w:pStyle w:val="ListParagraph"/>
        <w:numPr>
          <w:ilvl w:val="1"/>
          <w:numId w:val="15"/>
        </w:numPr>
        <w:spacing w:after="200" w:line="276" w:lineRule="auto"/>
        <w:rPr>
          <w:rFonts w:ascii="Arial" w:hAnsi="Arial" w:cs="Arial"/>
          <w:sz w:val="22"/>
          <w:szCs w:val="22"/>
        </w:rPr>
      </w:pPr>
      <w:r w:rsidRPr="002C274E">
        <w:rPr>
          <w:rFonts w:ascii="Arial" w:hAnsi="Arial" w:cs="Arial"/>
          <w:sz w:val="22"/>
          <w:szCs w:val="22"/>
        </w:rPr>
        <w:t xml:space="preserve">Late agreement on final charges and a one off reduction in costs for a key contract to supply IT services with the Department for Health.  </w:t>
      </w:r>
      <w:r>
        <w:rPr>
          <w:rFonts w:ascii="Arial" w:hAnsi="Arial" w:cs="Arial"/>
          <w:sz w:val="22"/>
          <w:szCs w:val="22"/>
        </w:rPr>
        <w:t xml:space="preserve">Prudent earmarking of additional costs not required. </w:t>
      </w:r>
      <w:r w:rsidRPr="002C274E">
        <w:rPr>
          <w:rFonts w:ascii="Arial" w:hAnsi="Arial" w:cs="Arial"/>
          <w:sz w:val="22"/>
          <w:szCs w:val="22"/>
        </w:rPr>
        <w:t>Risk flagged.</w:t>
      </w:r>
      <w:r>
        <w:rPr>
          <w:rFonts w:ascii="Arial" w:hAnsi="Arial" w:cs="Arial"/>
          <w:sz w:val="22"/>
          <w:szCs w:val="22"/>
        </w:rPr>
        <w:t xml:space="preserve">  £</w:t>
      </w:r>
      <w:r w:rsidR="00BA72BF">
        <w:rPr>
          <w:rFonts w:ascii="Arial" w:hAnsi="Arial" w:cs="Arial"/>
          <w:sz w:val="22"/>
          <w:szCs w:val="22"/>
        </w:rPr>
        <w:t>78</w:t>
      </w:r>
      <w:r>
        <w:rPr>
          <w:rFonts w:ascii="Arial" w:hAnsi="Arial" w:cs="Arial"/>
          <w:sz w:val="22"/>
          <w:szCs w:val="22"/>
        </w:rPr>
        <w:t>k</w:t>
      </w:r>
      <w:r w:rsidR="00E31839">
        <w:rPr>
          <w:rFonts w:ascii="Arial" w:hAnsi="Arial" w:cs="Arial"/>
          <w:sz w:val="22"/>
          <w:szCs w:val="22"/>
        </w:rPr>
        <w:t xml:space="preserve"> to £54k.</w:t>
      </w:r>
    </w:p>
    <w:p w:rsidR="002C274E" w:rsidRPr="002C274E" w:rsidRDefault="002C274E" w:rsidP="002C274E">
      <w:pPr>
        <w:pStyle w:val="ListParagraph"/>
        <w:numPr>
          <w:ilvl w:val="1"/>
          <w:numId w:val="15"/>
        </w:numPr>
        <w:spacing w:after="200" w:line="276" w:lineRule="auto"/>
        <w:rPr>
          <w:rFonts w:ascii="Arial" w:hAnsi="Arial" w:cs="Arial"/>
          <w:sz w:val="22"/>
          <w:szCs w:val="22"/>
        </w:rPr>
      </w:pPr>
      <w:r w:rsidRPr="002C274E">
        <w:rPr>
          <w:rFonts w:ascii="Arial" w:hAnsi="Arial" w:cs="Arial"/>
          <w:sz w:val="22"/>
          <w:szCs w:val="22"/>
        </w:rPr>
        <w:t>Successful delivery of a project to develop an HRA intranet at a lower level of cost than budget.</w:t>
      </w:r>
      <w:r>
        <w:rPr>
          <w:rFonts w:ascii="Arial" w:hAnsi="Arial" w:cs="Arial"/>
          <w:sz w:val="22"/>
          <w:szCs w:val="22"/>
        </w:rPr>
        <w:t xml:space="preserve">  £20k</w:t>
      </w:r>
    </w:p>
    <w:p w:rsidR="002C274E" w:rsidRDefault="002C274E" w:rsidP="001B12BA">
      <w:pPr>
        <w:pStyle w:val="ListParagraph"/>
        <w:numPr>
          <w:ilvl w:val="1"/>
          <w:numId w:val="15"/>
        </w:numPr>
        <w:spacing w:after="200" w:line="276" w:lineRule="auto"/>
        <w:rPr>
          <w:rFonts w:ascii="Arial" w:hAnsi="Arial" w:cs="Arial"/>
          <w:sz w:val="22"/>
          <w:szCs w:val="22"/>
        </w:rPr>
      </w:pPr>
      <w:r w:rsidRPr="002C274E">
        <w:rPr>
          <w:rFonts w:ascii="Arial" w:hAnsi="Arial" w:cs="Arial"/>
          <w:sz w:val="22"/>
          <w:szCs w:val="22"/>
        </w:rPr>
        <w:t xml:space="preserve">Late confirmation by HMRC which meant that earmarked reserves set aside for retrospective costs associated with the changes in the VAT Contracted Out rules for temporary staffing would no longer be required.  The changes are now confirmed as coming into effect from 1st April 2014.  Original prudent position to accrue for impact in 2013/14 discussed with other parts </w:t>
      </w:r>
      <w:proofErr w:type="gramStart"/>
      <w:r w:rsidRPr="002C274E">
        <w:rPr>
          <w:rFonts w:ascii="Arial" w:hAnsi="Arial" w:cs="Arial"/>
          <w:sz w:val="22"/>
          <w:szCs w:val="22"/>
        </w:rPr>
        <w:t>of  NHS</w:t>
      </w:r>
      <w:proofErr w:type="gramEnd"/>
      <w:r w:rsidRPr="002C274E">
        <w:rPr>
          <w:rFonts w:ascii="Arial" w:hAnsi="Arial" w:cs="Arial"/>
          <w:sz w:val="22"/>
          <w:szCs w:val="22"/>
        </w:rPr>
        <w:t xml:space="preserve"> before decision to release.</w:t>
      </w:r>
      <w:r w:rsidR="001B12BA">
        <w:rPr>
          <w:rFonts w:ascii="Arial" w:hAnsi="Arial" w:cs="Arial"/>
          <w:sz w:val="22"/>
          <w:szCs w:val="22"/>
        </w:rPr>
        <w:t xml:space="preserve">  £60k</w:t>
      </w:r>
    </w:p>
    <w:p w:rsidR="001B12BA" w:rsidRPr="001B12BA" w:rsidRDefault="001B12BA" w:rsidP="001B12BA">
      <w:pPr>
        <w:pStyle w:val="ListParagraph"/>
        <w:numPr>
          <w:ilvl w:val="1"/>
          <w:numId w:val="15"/>
        </w:numPr>
        <w:spacing w:after="200" w:line="276" w:lineRule="auto"/>
        <w:rPr>
          <w:rFonts w:ascii="Arial" w:hAnsi="Arial" w:cs="Arial"/>
          <w:sz w:val="22"/>
          <w:szCs w:val="22"/>
        </w:rPr>
      </w:pPr>
      <w:r>
        <w:rPr>
          <w:rFonts w:ascii="Arial" w:hAnsi="Arial" w:cs="Arial"/>
          <w:sz w:val="22"/>
          <w:szCs w:val="22"/>
        </w:rPr>
        <w:t>Office environment improvement costs not required - £9k</w:t>
      </w:r>
    </w:p>
    <w:p w:rsidR="002C274E" w:rsidRDefault="002C274E" w:rsidP="001B12BA">
      <w:pPr>
        <w:pStyle w:val="ListParagraph"/>
        <w:spacing w:after="200" w:line="276" w:lineRule="auto"/>
        <w:rPr>
          <w:rFonts w:ascii="Arial" w:hAnsi="Arial" w:cs="Arial"/>
          <w:sz w:val="22"/>
          <w:szCs w:val="22"/>
        </w:rPr>
      </w:pPr>
    </w:p>
    <w:p w:rsidR="001B12BA" w:rsidRDefault="001B12BA" w:rsidP="001B12BA">
      <w:pPr>
        <w:pStyle w:val="ListParagraph"/>
        <w:numPr>
          <w:ilvl w:val="0"/>
          <w:numId w:val="7"/>
        </w:numPr>
        <w:spacing w:after="200" w:line="276" w:lineRule="auto"/>
        <w:ind w:left="709" w:hanging="425"/>
        <w:rPr>
          <w:rFonts w:ascii="Arial" w:hAnsi="Arial" w:cs="Arial"/>
          <w:sz w:val="22"/>
          <w:szCs w:val="22"/>
        </w:rPr>
      </w:pPr>
      <w:r>
        <w:rPr>
          <w:rFonts w:ascii="Arial" w:hAnsi="Arial" w:cs="Arial"/>
          <w:sz w:val="22"/>
          <w:szCs w:val="22"/>
        </w:rPr>
        <w:t xml:space="preserve">Further </w:t>
      </w:r>
      <w:r w:rsidR="00D0058C">
        <w:rPr>
          <w:rFonts w:ascii="Arial" w:hAnsi="Arial" w:cs="Arial"/>
          <w:sz w:val="22"/>
          <w:szCs w:val="22"/>
        </w:rPr>
        <w:t>underspend</w:t>
      </w:r>
      <w:r>
        <w:rPr>
          <w:rFonts w:ascii="Arial" w:hAnsi="Arial" w:cs="Arial"/>
          <w:sz w:val="22"/>
          <w:szCs w:val="22"/>
        </w:rPr>
        <w:t xml:space="preserve"> reasons include:</w:t>
      </w:r>
    </w:p>
    <w:p w:rsidR="00994215" w:rsidRPr="001B12BA" w:rsidRDefault="001B12BA" w:rsidP="001B12BA">
      <w:pPr>
        <w:pStyle w:val="ListParagraph"/>
        <w:numPr>
          <w:ilvl w:val="1"/>
          <w:numId w:val="7"/>
        </w:numPr>
        <w:spacing w:after="200" w:line="276" w:lineRule="auto"/>
        <w:ind w:left="1418" w:hanging="284"/>
        <w:rPr>
          <w:rFonts w:ascii="Arial" w:hAnsi="Arial" w:cs="Arial"/>
          <w:sz w:val="22"/>
          <w:szCs w:val="22"/>
        </w:rPr>
      </w:pPr>
      <w:proofErr w:type="gramStart"/>
      <w:r>
        <w:rPr>
          <w:rFonts w:ascii="Arial" w:hAnsi="Arial" w:cs="Arial"/>
          <w:sz w:val="22"/>
          <w:szCs w:val="22"/>
        </w:rPr>
        <w:t>G</w:t>
      </w:r>
      <w:r w:rsidR="00994215" w:rsidRPr="001B12BA">
        <w:rPr>
          <w:rFonts w:ascii="Arial" w:hAnsi="Arial" w:cs="Arial"/>
          <w:sz w:val="22"/>
          <w:szCs w:val="22"/>
        </w:rPr>
        <w:t xml:space="preserve">rowth in the forecast </w:t>
      </w:r>
      <w:r w:rsidR="00D0058C">
        <w:rPr>
          <w:rFonts w:ascii="Arial" w:hAnsi="Arial" w:cs="Arial"/>
          <w:sz w:val="22"/>
          <w:szCs w:val="22"/>
        </w:rPr>
        <w:t>underspend</w:t>
      </w:r>
      <w:proofErr w:type="gramEnd"/>
      <w:r w:rsidR="00994215" w:rsidRPr="001B12BA">
        <w:rPr>
          <w:rFonts w:ascii="Arial" w:hAnsi="Arial" w:cs="Arial"/>
          <w:sz w:val="22"/>
          <w:szCs w:val="22"/>
        </w:rPr>
        <w:t xml:space="preserve"> within training to </w:t>
      </w:r>
      <w:r w:rsidR="0042146B" w:rsidRPr="001B12BA">
        <w:rPr>
          <w:rFonts w:ascii="Arial" w:hAnsi="Arial" w:cs="Arial"/>
          <w:sz w:val="22"/>
          <w:szCs w:val="22"/>
        </w:rPr>
        <w:t>£85k (movement of £38</w:t>
      </w:r>
      <w:r w:rsidR="00994215" w:rsidRPr="001B12BA">
        <w:rPr>
          <w:rFonts w:ascii="Arial" w:hAnsi="Arial" w:cs="Arial"/>
          <w:sz w:val="22"/>
          <w:szCs w:val="22"/>
        </w:rPr>
        <w:t>k).</w:t>
      </w:r>
      <w:r w:rsidR="00814DFD" w:rsidRPr="001B12BA">
        <w:rPr>
          <w:rFonts w:ascii="Arial" w:hAnsi="Arial" w:cs="Arial"/>
          <w:sz w:val="22"/>
          <w:szCs w:val="22"/>
        </w:rPr>
        <w:t xml:space="preserve">  The causes of </w:t>
      </w:r>
      <w:proofErr w:type="gramStart"/>
      <w:r w:rsidR="00814DFD" w:rsidRPr="001B12BA">
        <w:rPr>
          <w:rFonts w:ascii="Arial" w:hAnsi="Arial" w:cs="Arial"/>
          <w:sz w:val="22"/>
          <w:szCs w:val="22"/>
        </w:rPr>
        <w:t>the underspend</w:t>
      </w:r>
      <w:proofErr w:type="gramEnd"/>
      <w:r w:rsidR="00814DFD" w:rsidRPr="001B12BA">
        <w:rPr>
          <w:rFonts w:ascii="Arial" w:hAnsi="Arial" w:cs="Arial"/>
          <w:sz w:val="22"/>
          <w:szCs w:val="22"/>
        </w:rPr>
        <w:t xml:space="preserve"> have been identified and the outcome will affect the approach to the budget for 2014/15.</w:t>
      </w:r>
    </w:p>
    <w:p w:rsidR="0042146B" w:rsidRPr="00412F67" w:rsidRDefault="0042146B" w:rsidP="001B12BA">
      <w:pPr>
        <w:pStyle w:val="ListParagraph"/>
        <w:numPr>
          <w:ilvl w:val="1"/>
          <w:numId w:val="7"/>
        </w:numPr>
        <w:spacing w:after="200" w:line="276" w:lineRule="auto"/>
        <w:ind w:left="1418" w:hanging="284"/>
        <w:rPr>
          <w:rFonts w:ascii="Arial" w:hAnsi="Arial" w:cs="Arial"/>
          <w:sz w:val="22"/>
          <w:szCs w:val="22"/>
        </w:rPr>
      </w:pPr>
      <w:r>
        <w:rPr>
          <w:rFonts w:ascii="Arial" w:hAnsi="Arial" w:cs="Arial"/>
          <w:sz w:val="22"/>
          <w:szCs w:val="22"/>
        </w:rPr>
        <w:t xml:space="preserve">There is </w:t>
      </w:r>
      <w:proofErr w:type="gramStart"/>
      <w:r>
        <w:rPr>
          <w:rFonts w:ascii="Arial" w:hAnsi="Arial" w:cs="Arial"/>
          <w:sz w:val="22"/>
          <w:szCs w:val="22"/>
        </w:rPr>
        <w:t xml:space="preserve">an </w:t>
      </w:r>
      <w:r w:rsidR="00D0058C">
        <w:rPr>
          <w:rFonts w:ascii="Arial" w:hAnsi="Arial" w:cs="Arial"/>
          <w:sz w:val="22"/>
          <w:szCs w:val="22"/>
        </w:rPr>
        <w:t>underspend</w:t>
      </w:r>
      <w:proofErr w:type="gramEnd"/>
      <w:r>
        <w:rPr>
          <w:rFonts w:ascii="Arial" w:hAnsi="Arial" w:cs="Arial"/>
          <w:sz w:val="22"/>
          <w:szCs w:val="22"/>
        </w:rPr>
        <w:t xml:space="preserve"> </w:t>
      </w:r>
      <w:r w:rsidR="00AE471C">
        <w:rPr>
          <w:rFonts w:ascii="Arial" w:hAnsi="Arial" w:cs="Arial"/>
          <w:sz w:val="22"/>
          <w:szCs w:val="22"/>
        </w:rPr>
        <w:t>within Head Office (</w:t>
      </w:r>
      <w:r>
        <w:rPr>
          <w:rFonts w:ascii="Arial" w:hAnsi="Arial" w:cs="Arial"/>
          <w:sz w:val="22"/>
          <w:szCs w:val="22"/>
        </w:rPr>
        <w:t xml:space="preserve">£73k).  The </w:t>
      </w:r>
      <w:r w:rsidR="00D0058C">
        <w:rPr>
          <w:rFonts w:ascii="Arial" w:hAnsi="Arial" w:cs="Arial"/>
          <w:sz w:val="22"/>
          <w:szCs w:val="22"/>
        </w:rPr>
        <w:t>underspend</w:t>
      </w:r>
      <w:r>
        <w:rPr>
          <w:rFonts w:ascii="Arial" w:hAnsi="Arial" w:cs="Arial"/>
          <w:sz w:val="22"/>
          <w:szCs w:val="22"/>
        </w:rPr>
        <w:t xml:space="preserve">s are in relation to stationery (£21k), Legal fees (£15k), Computer hardware purchase (£11k) and costs of London premises facilities management (£23k).  These </w:t>
      </w:r>
      <w:r w:rsidR="00D0058C">
        <w:rPr>
          <w:rFonts w:ascii="Arial" w:hAnsi="Arial" w:cs="Arial"/>
          <w:sz w:val="22"/>
          <w:szCs w:val="22"/>
        </w:rPr>
        <w:t>underspend</w:t>
      </w:r>
      <w:r>
        <w:rPr>
          <w:rFonts w:ascii="Arial" w:hAnsi="Arial" w:cs="Arial"/>
          <w:sz w:val="22"/>
          <w:szCs w:val="22"/>
        </w:rPr>
        <w:t>s will be considered as part of the budget setting process for 2014/15.</w:t>
      </w:r>
    </w:p>
    <w:p w:rsidR="00307FB7" w:rsidRDefault="00307FB7" w:rsidP="001B12BA">
      <w:pPr>
        <w:pStyle w:val="ListParagraph"/>
        <w:numPr>
          <w:ilvl w:val="0"/>
          <w:numId w:val="7"/>
        </w:numPr>
        <w:spacing w:after="200" w:line="276" w:lineRule="auto"/>
        <w:ind w:hanging="306"/>
        <w:rPr>
          <w:rFonts w:ascii="Arial" w:hAnsi="Arial" w:cs="Arial"/>
          <w:sz w:val="22"/>
          <w:szCs w:val="22"/>
        </w:rPr>
      </w:pPr>
      <w:r>
        <w:rPr>
          <w:rFonts w:ascii="Arial" w:hAnsi="Arial" w:cs="Arial"/>
          <w:sz w:val="22"/>
          <w:szCs w:val="22"/>
        </w:rPr>
        <w:t>A further area to highlight is the undersp</w:t>
      </w:r>
      <w:r w:rsidRPr="00FD47B4">
        <w:rPr>
          <w:rFonts w:ascii="Arial" w:hAnsi="Arial" w:cs="Arial"/>
          <w:sz w:val="22"/>
          <w:szCs w:val="22"/>
        </w:rPr>
        <w:t xml:space="preserve">end within </w:t>
      </w:r>
      <w:r>
        <w:rPr>
          <w:rFonts w:ascii="Arial" w:hAnsi="Arial" w:cs="Arial"/>
          <w:sz w:val="22"/>
          <w:szCs w:val="22"/>
        </w:rPr>
        <w:t>the</w:t>
      </w:r>
      <w:r w:rsidR="0042146B">
        <w:rPr>
          <w:rFonts w:ascii="Arial" w:hAnsi="Arial" w:cs="Arial"/>
          <w:sz w:val="22"/>
          <w:szCs w:val="22"/>
        </w:rPr>
        <w:t xml:space="preserve"> NRES Operations Division of £121</w:t>
      </w:r>
      <w:r>
        <w:rPr>
          <w:rFonts w:ascii="Arial" w:hAnsi="Arial" w:cs="Arial"/>
          <w:sz w:val="22"/>
          <w:szCs w:val="22"/>
        </w:rPr>
        <w:t>k</w:t>
      </w:r>
      <w:r w:rsidR="00994215">
        <w:rPr>
          <w:rFonts w:ascii="Arial" w:hAnsi="Arial" w:cs="Arial"/>
          <w:sz w:val="22"/>
          <w:szCs w:val="22"/>
        </w:rPr>
        <w:t xml:space="preserve"> </w:t>
      </w:r>
      <w:r>
        <w:rPr>
          <w:rFonts w:ascii="Arial" w:hAnsi="Arial" w:cs="Arial"/>
          <w:sz w:val="22"/>
          <w:szCs w:val="22"/>
        </w:rPr>
        <w:t>these mostly relate to</w:t>
      </w:r>
      <w:r w:rsidR="0042146B">
        <w:rPr>
          <w:rFonts w:ascii="Arial" w:hAnsi="Arial" w:cs="Arial"/>
          <w:sz w:val="22"/>
          <w:szCs w:val="22"/>
        </w:rPr>
        <w:t xml:space="preserve"> the  HRA offices in London (£58k) and Manchester (£57</w:t>
      </w:r>
      <w:r>
        <w:rPr>
          <w:rFonts w:ascii="Arial" w:hAnsi="Arial" w:cs="Arial"/>
          <w:sz w:val="22"/>
          <w:szCs w:val="22"/>
        </w:rPr>
        <w:t>k)</w:t>
      </w:r>
    </w:p>
    <w:p w:rsidR="00307FB7" w:rsidRDefault="00307FB7" w:rsidP="001B12BA">
      <w:pPr>
        <w:pStyle w:val="ListParagraph"/>
        <w:numPr>
          <w:ilvl w:val="0"/>
          <w:numId w:val="14"/>
        </w:numPr>
        <w:spacing w:after="200" w:line="276" w:lineRule="auto"/>
        <w:ind w:left="2835" w:hanging="425"/>
        <w:rPr>
          <w:rFonts w:ascii="Arial" w:hAnsi="Arial" w:cs="Arial"/>
          <w:sz w:val="22"/>
          <w:szCs w:val="22"/>
        </w:rPr>
      </w:pPr>
      <w:proofErr w:type="gramStart"/>
      <w:r>
        <w:rPr>
          <w:rFonts w:ascii="Arial" w:hAnsi="Arial" w:cs="Arial"/>
          <w:sz w:val="22"/>
          <w:szCs w:val="22"/>
        </w:rPr>
        <w:t xml:space="preserve">The </w:t>
      </w:r>
      <w:r w:rsidR="00D0058C">
        <w:rPr>
          <w:rFonts w:ascii="Arial" w:hAnsi="Arial" w:cs="Arial"/>
          <w:sz w:val="22"/>
          <w:szCs w:val="22"/>
        </w:rPr>
        <w:t>underspend</w:t>
      </w:r>
      <w:proofErr w:type="gramEnd"/>
      <w:r>
        <w:rPr>
          <w:rFonts w:ascii="Arial" w:hAnsi="Arial" w:cs="Arial"/>
          <w:sz w:val="22"/>
          <w:szCs w:val="22"/>
        </w:rPr>
        <w:t xml:space="preserve"> within the HRA Office Manchester is in relation to an overall reduction in printing costs</w:t>
      </w:r>
      <w:r w:rsidR="0042146B">
        <w:rPr>
          <w:rFonts w:ascii="Arial" w:hAnsi="Arial" w:cs="Arial"/>
          <w:sz w:val="22"/>
          <w:szCs w:val="22"/>
        </w:rPr>
        <w:t xml:space="preserve"> (£11.5</w:t>
      </w:r>
      <w:r>
        <w:rPr>
          <w:rFonts w:ascii="Arial" w:hAnsi="Arial" w:cs="Arial"/>
          <w:sz w:val="22"/>
          <w:szCs w:val="22"/>
        </w:rPr>
        <w:t xml:space="preserve">k), an underspend within staff costs </w:t>
      </w:r>
      <w:r w:rsidR="0042146B">
        <w:rPr>
          <w:rFonts w:ascii="Arial" w:hAnsi="Arial" w:cs="Arial"/>
          <w:sz w:val="22"/>
          <w:szCs w:val="22"/>
        </w:rPr>
        <w:t>(22</w:t>
      </w:r>
      <w:r w:rsidR="002B41F8">
        <w:rPr>
          <w:rFonts w:ascii="Arial" w:hAnsi="Arial" w:cs="Arial"/>
          <w:sz w:val="22"/>
          <w:szCs w:val="22"/>
        </w:rPr>
        <w:t xml:space="preserve">k) </w:t>
      </w:r>
      <w:r>
        <w:rPr>
          <w:rFonts w:ascii="Arial" w:hAnsi="Arial" w:cs="Arial"/>
          <w:sz w:val="22"/>
          <w:szCs w:val="22"/>
        </w:rPr>
        <w:t>and an underspend within meeting expense costs (£</w:t>
      </w:r>
      <w:r w:rsidR="002B41F8">
        <w:rPr>
          <w:rFonts w:ascii="Arial" w:hAnsi="Arial" w:cs="Arial"/>
          <w:sz w:val="22"/>
          <w:szCs w:val="22"/>
        </w:rPr>
        <w:t>7.5</w:t>
      </w:r>
      <w:r>
        <w:rPr>
          <w:rFonts w:ascii="Arial" w:hAnsi="Arial" w:cs="Arial"/>
          <w:sz w:val="22"/>
          <w:szCs w:val="22"/>
        </w:rPr>
        <w:t>k)</w:t>
      </w:r>
      <w:r w:rsidR="002B41F8">
        <w:rPr>
          <w:rFonts w:ascii="Arial" w:hAnsi="Arial" w:cs="Arial"/>
          <w:sz w:val="22"/>
          <w:szCs w:val="22"/>
        </w:rPr>
        <w:t xml:space="preserve"> and Chairs Allowance costs (£12k)</w:t>
      </w:r>
      <w:r>
        <w:rPr>
          <w:rFonts w:ascii="Arial" w:hAnsi="Arial" w:cs="Arial"/>
          <w:sz w:val="22"/>
          <w:szCs w:val="22"/>
        </w:rPr>
        <w:t xml:space="preserve">.  </w:t>
      </w:r>
      <w:r w:rsidR="00D33CFD">
        <w:rPr>
          <w:rFonts w:ascii="Arial" w:hAnsi="Arial" w:cs="Arial"/>
          <w:sz w:val="22"/>
          <w:szCs w:val="22"/>
        </w:rPr>
        <w:t>These underspends have been considered as part of the budget setting process for 2014/15.</w:t>
      </w:r>
    </w:p>
    <w:p w:rsidR="00307FB7" w:rsidRPr="00A22A03" w:rsidRDefault="00307FB7" w:rsidP="001B12BA">
      <w:pPr>
        <w:pStyle w:val="ListParagraph"/>
        <w:numPr>
          <w:ilvl w:val="0"/>
          <w:numId w:val="14"/>
        </w:numPr>
        <w:spacing w:after="200" w:line="276" w:lineRule="auto"/>
        <w:ind w:hanging="99"/>
        <w:rPr>
          <w:rFonts w:ascii="Arial" w:hAnsi="Arial" w:cs="Arial"/>
          <w:sz w:val="22"/>
          <w:szCs w:val="22"/>
        </w:rPr>
      </w:pPr>
      <w:r>
        <w:rPr>
          <w:rFonts w:ascii="Arial" w:hAnsi="Arial" w:cs="Arial"/>
          <w:sz w:val="22"/>
          <w:szCs w:val="22"/>
        </w:rPr>
        <w:lastRenderedPageBreak/>
        <w:t xml:space="preserve">Within the HRA Office London there is </w:t>
      </w:r>
      <w:proofErr w:type="gramStart"/>
      <w:r>
        <w:rPr>
          <w:rFonts w:ascii="Arial" w:hAnsi="Arial" w:cs="Arial"/>
          <w:sz w:val="22"/>
          <w:szCs w:val="22"/>
        </w:rPr>
        <w:t xml:space="preserve">an </w:t>
      </w:r>
      <w:r w:rsidR="00D0058C">
        <w:rPr>
          <w:rFonts w:ascii="Arial" w:hAnsi="Arial" w:cs="Arial"/>
          <w:sz w:val="22"/>
          <w:szCs w:val="22"/>
        </w:rPr>
        <w:t>underspend</w:t>
      </w:r>
      <w:proofErr w:type="gramEnd"/>
      <w:r w:rsidR="0042146B">
        <w:rPr>
          <w:rFonts w:ascii="Arial" w:hAnsi="Arial" w:cs="Arial"/>
          <w:sz w:val="22"/>
          <w:szCs w:val="22"/>
        </w:rPr>
        <w:t xml:space="preserve"> within meeting expenses (£19</w:t>
      </w:r>
      <w:r>
        <w:rPr>
          <w:rFonts w:ascii="Arial" w:hAnsi="Arial" w:cs="Arial"/>
          <w:sz w:val="22"/>
          <w:szCs w:val="22"/>
        </w:rPr>
        <w:t>k), stationery</w:t>
      </w:r>
      <w:r w:rsidR="0042146B">
        <w:rPr>
          <w:rFonts w:ascii="Arial" w:hAnsi="Arial" w:cs="Arial"/>
          <w:sz w:val="22"/>
          <w:szCs w:val="22"/>
        </w:rPr>
        <w:t xml:space="preserve"> and postage</w:t>
      </w:r>
      <w:r>
        <w:rPr>
          <w:rFonts w:ascii="Arial" w:hAnsi="Arial" w:cs="Arial"/>
          <w:sz w:val="22"/>
          <w:szCs w:val="22"/>
        </w:rPr>
        <w:t xml:space="preserve"> </w:t>
      </w:r>
      <w:r w:rsidR="0042146B">
        <w:rPr>
          <w:rFonts w:ascii="Arial" w:hAnsi="Arial" w:cs="Arial"/>
          <w:sz w:val="22"/>
          <w:szCs w:val="22"/>
        </w:rPr>
        <w:t>(£16k), and some staff costs (£23</w:t>
      </w:r>
      <w:r>
        <w:rPr>
          <w:rFonts w:ascii="Arial" w:hAnsi="Arial" w:cs="Arial"/>
          <w:sz w:val="22"/>
          <w:szCs w:val="22"/>
        </w:rPr>
        <w:t xml:space="preserve">k) </w:t>
      </w:r>
      <w:r w:rsidR="00D33CFD">
        <w:rPr>
          <w:rFonts w:ascii="Arial" w:hAnsi="Arial" w:cs="Arial"/>
          <w:sz w:val="22"/>
          <w:szCs w:val="22"/>
        </w:rPr>
        <w:t xml:space="preserve">mostly </w:t>
      </w:r>
      <w:r>
        <w:rPr>
          <w:rFonts w:ascii="Arial" w:hAnsi="Arial" w:cs="Arial"/>
          <w:sz w:val="22"/>
          <w:szCs w:val="22"/>
        </w:rPr>
        <w:t>from the early part of the financial year.  Work is in progress reviewing these budget areas to assess the future budget requirement</w:t>
      </w:r>
      <w:r w:rsidR="00994215">
        <w:rPr>
          <w:rFonts w:ascii="Arial" w:hAnsi="Arial" w:cs="Arial"/>
          <w:sz w:val="22"/>
          <w:szCs w:val="22"/>
        </w:rPr>
        <w:t xml:space="preserve"> for 14/15</w:t>
      </w:r>
      <w:r>
        <w:rPr>
          <w:rFonts w:ascii="Arial" w:hAnsi="Arial" w:cs="Arial"/>
          <w:sz w:val="22"/>
          <w:szCs w:val="22"/>
        </w:rPr>
        <w:t>.</w:t>
      </w:r>
    </w:p>
    <w:p w:rsidR="00E82F54" w:rsidRDefault="00E82F54" w:rsidP="00E82F54">
      <w:pPr>
        <w:pStyle w:val="ListParagraph"/>
        <w:spacing w:after="200" w:line="276" w:lineRule="auto"/>
        <w:ind w:left="1440"/>
        <w:rPr>
          <w:rFonts w:ascii="Arial" w:hAnsi="Arial" w:cs="Arial"/>
          <w:sz w:val="22"/>
          <w:szCs w:val="22"/>
        </w:rPr>
      </w:pPr>
    </w:p>
    <w:p w:rsidR="00B65461" w:rsidRPr="000E66A4" w:rsidRDefault="001B12BA" w:rsidP="00B65461">
      <w:pPr>
        <w:pStyle w:val="ListParagraph"/>
        <w:numPr>
          <w:ilvl w:val="0"/>
          <w:numId w:val="6"/>
        </w:numPr>
        <w:spacing w:after="200" w:line="276" w:lineRule="auto"/>
        <w:ind w:left="709" w:hanging="317"/>
        <w:rPr>
          <w:rFonts w:ascii="Arial" w:hAnsi="Arial" w:cs="Arial"/>
          <w:sz w:val="22"/>
          <w:szCs w:val="22"/>
        </w:rPr>
      </w:pPr>
      <w:r>
        <w:rPr>
          <w:rFonts w:ascii="Arial" w:hAnsi="Arial" w:cs="Arial"/>
          <w:sz w:val="22"/>
          <w:szCs w:val="22"/>
        </w:rPr>
        <w:t xml:space="preserve">March </w:t>
      </w:r>
      <w:r w:rsidR="000E66A4" w:rsidRPr="000E66A4">
        <w:rPr>
          <w:rFonts w:ascii="Arial" w:hAnsi="Arial" w:cs="Arial"/>
          <w:sz w:val="22"/>
          <w:szCs w:val="22"/>
        </w:rPr>
        <w:t xml:space="preserve">has produced a better payments practice code achievement of 97% </w:t>
      </w:r>
      <w:r w:rsidR="00AD27CB" w:rsidRPr="000E66A4">
        <w:rPr>
          <w:rFonts w:ascii="Arial" w:hAnsi="Arial" w:cs="Arial"/>
          <w:sz w:val="22"/>
          <w:szCs w:val="22"/>
        </w:rPr>
        <w:t xml:space="preserve">based on invoice numbers </w:t>
      </w:r>
      <w:r w:rsidR="000E66A4" w:rsidRPr="000E66A4">
        <w:rPr>
          <w:rFonts w:ascii="Arial" w:hAnsi="Arial" w:cs="Arial"/>
          <w:sz w:val="22"/>
          <w:szCs w:val="22"/>
        </w:rPr>
        <w:t>and</w:t>
      </w:r>
      <w:r w:rsidR="00AD27CB" w:rsidRPr="000E66A4">
        <w:rPr>
          <w:rFonts w:ascii="Arial" w:hAnsi="Arial" w:cs="Arial"/>
          <w:sz w:val="22"/>
          <w:szCs w:val="22"/>
        </w:rPr>
        <w:t xml:space="preserve"> </w:t>
      </w:r>
      <w:r w:rsidR="00574331">
        <w:rPr>
          <w:rFonts w:ascii="Arial" w:hAnsi="Arial" w:cs="Arial"/>
          <w:sz w:val="22"/>
          <w:szCs w:val="22"/>
        </w:rPr>
        <w:t xml:space="preserve">98% based on </w:t>
      </w:r>
      <w:r w:rsidR="00AD27CB" w:rsidRPr="000E66A4">
        <w:rPr>
          <w:rFonts w:ascii="Arial" w:hAnsi="Arial" w:cs="Arial"/>
          <w:sz w:val="22"/>
          <w:szCs w:val="22"/>
        </w:rPr>
        <w:t xml:space="preserve">value.  </w:t>
      </w:r>
      <w:r w:rsidR="00B65461" w:rsidRPr="000E66A4">
        <w:rPr>
          <w:rFonts w:ascii="Arial" w:hAnsi="Arial" w:cs="Arial"/>
          <w:sz w:val="22"/>
          <w:szCs w:val="22"/>
        </w:rPr>
        <w:t>This is still within the target set to maintain the 95% rate</w:t>
      </w:r>
      <w:r w:rsidR="000E66A4" w:rsidRPr="000E66A4">
        <w:rPr>
          <w:rFonts w:ascii="Arial" w:hAnsi="Arial" w:cs="Arial"/>
          <w:sz w:val="22"/>
          <w:szCs w:val="22"/>
        </w:rPr>
        <w:t xml:space="preserve"> of payments made within 30 days of receipt of a valid invoice</w:t>
      </w:r>
      <w:r w:rsidR="00B65461" w:rsidRPr="000E66A4">
        <w:rPr>
          <w:rFonts w:ascii="Arial" w:hAnsi="Arial" w:cs="Arial"/>
          <w:sz w:val="22"/>
          <w:szCs w:val="22"/>
        </w:rPr>
        <w:t>.</w:t>
      </w:r>
    </w:p>
    <w:p w:rsidR="00B65461" w:rsidRPr="00C931C3" w:rsidRDefault="00B65461" w:rsidP="00B65461">
      <w:pPr>
        <w:pStyle w:val="ListParagraph"/>
        <w:spacing w:after="200" w:line="276" w:lineRule="auto"/>
        <w:ind w:left="851" w:hanging="425"/>
        <w:rPr>
          <w:rFonts w:ascii="Arial" w:hAnsi="Arial" w:cs="Arial"/>
          <w:sz w:val="22"/>
          <w:szCs w:val="22"/>
          <w:highlight w:val="yellow"/>
        </w:rPr>
      </w:pPr>
    </w:p>
    <w:p w:rsidR="00D831E5" w:rsidRPr="000E66A4" w:rsidRDefault="00B65461" w:rsidP="00B65461">
      <w:pPr>
        <w:pStyle w:val="ListParagraph"/>
        <w:numPr>
          <w:ilvl w:val="0"/>
          <w:numId w:val="6"/>
        </w:numPr>
        <w:spacing w:after="200" w:line="276" w:lineRule="auto"/>
        <w:ind w:left="709" w:hanging="283"/>
        <w:rPr>
          <w:rFonts w:ascii="Arial" w:hAnsi="Arial" w:cs="Arial"/>
          <w:sz w:val="22"/>
          <w:szCs w:val="22"/>
        </w:rPr>
      </w:pPr>
      <w:r w:rsidRPr="000E66A4">
        <w:rPr>
          <w:rFonts w:ascii="Arial" w:hAnsi="Arial" w:cs="Arial"/>
          <w:sz w:val="22"/>
          <w:szCs w:val="22"/>
        </w:rPr>
        <w:t>A stretching internal finance department target has been set to aim to increase the number of payments within 10 days to 60%.  To date 3</w:t>
      </w:r>
      <w:r w:rsidR="00D0058C">
        <w:rPr>
          <w:rFonts w:ascii="Arial" w:hAnsi="Arial" w:cs="Arial"/>
          <w:sz w:val="22"/>
          <w:szCs w:val="22"/>
        </w:rPr>
        <w:t>8</w:t>
      </w:r>
      <w:r w:rsidRPr="000E66A4">
        <w:rPr>
          <w:rFonts w:ascii="Arial" w:hAnsi="Arial" w:cs="Arial"/>
          <w:sz w:val="22"/>
          <w:szCs w:val="22"/>
        </w:rPr>
        <w:t>% of invoices are being paid within 10 days (</w:t>
      </w:r>
      <w:r w:rsidR="00D0058C">
        <w:rPr>
          <w:rFonts w:ascii="Arial" w:hAnsi="Arial" w:cs="Arial"/>
          <w:sz w:val="22"/>
          <w:szCs w:val="22"/>
        </w:rPr>
        <w:t>48</w:t>
      </w:r>
      <w:r w:rsidRPr="000E66A4">
        <w:rPr>
          <w:rFonts w:ascii="Arial" w:hAnsi="Arial" w:cs="Arial"/>
          <w:sz w:val="22"/>
          <w:szCs w:val="22"/>
        </w:rPr>
        <w:t xml:space="preserve">% based on invoice value).  Statistics have been provided on a divisional basis to try to improve the position and communications </w:t>
      </w:r>
      <w:r w:rsidR="000E66A4">
        <w:rPr>
          <w:rFonts w:ascii="Arial" w:hAnsi="Arial" w:cs="Arial"/>
          <w:sz w:val="22"/>
          <w:szCs w:val="22"/>
        </w:rPr>
        <w:t xml:space="preserve">have been </w:t>
      </w:r>
      <w:r w:rsidRPr="000E66A4">
        <w:rPr>
          <w:rFonts w:ascii="Arial" w:hAnsi="Arial" w:cs="Arial"/>
          <w:sz w:val="22"/>
          <w:szCs w:val="22"/>
        </w:rPr>
        <w:t>sent to all managers.</w:t>
      </w:r>
    </w:p>
    <w:p w:rsidR="006D14D3" w:rsidRPr="006D14D3" w:rsidRDefault="006D14D3" w:rsidP="006D14D3">
      <w:pPr>
        <w:pStyle w:val="ListParagraph"/>
        <w:spacing w:after="200" w:line="276" w:lineRule="auto"/>
        <w:ind w:left="1440"/>
        <w:rPr>
          <w:rFonts w:ascii="Arial" w:hAnsi="Arial" w:cs="Arial"/>
          <w:sz w:val="22"/>
          <w:szCs w:val="22"/>
        </w:rPr>
      </w:pPr>
    </w:p>
    <w:p w:rsidR="00F64C33" w:rsidRPr="00820C02" w:rsidRDefault="006874A4" w:rsidP="00820C02">
      <w:pPr>
        <w:pStyle w:val="ListParagraph"/>
        <w:numPr>
          <w:ilvl w:val="0"/>
          <w:numId w:val="6"/>
        </w:numPr>
        <w:spacing w:after="200" w:line="276" w:lineRule="auto"/>
        <w:rPr>
          <w:rFonts w:ascii="Arial" w:hAnsi="Arial" w:cs="Arial"/>
          <w:sz w:val="22"/>
          <w:szCs w:val="22"/>
        </w:rPr>
      </w:pPr>
      <w:r w:rsidRPr="00BF2643">
        <w:rPr>
          <w:rFonts w:ascii="Arial" w:hAnsi="Arial" w:cs="Arial"/>
          <w:sz w:val="22"/>
          <w:szCs w:val="22"/>
        </w:rPr>
        <w:t xml:space="preserve">Travel is an area where a managed reduction in costs was planned to coincide with the roll out of video conferencing.  </w:t>
      </w:r>
      <w:r w:rsidR="001A2303">
        <w:rPr>
          <w:rFonts w:ascii="Arial" w:hAnsi="Arial" w:cs="Arial"/>
          <w:sz w:val="22"/>
          <w:szCs w:val="22"/>
        </w:rPr>
        <w:t xml:space="preserve">The project went live in October for all planned sites with the exception of Jarrow.  </w:t>
      </w:r>
      <w:r w:rsidR="001B12BA">
        <w:rPr>
          <w:rFonts w:ascii="Arial" w:hAnsi="Arial" w:cs="Arial"/>
          <w:sz w:val="22"/>
          <w:szCs w:val="22"/>
        </w:rPr>
        <w:t xml:space="preserve">The final </w:t>
      </w:r>
      <w:proofErr w:type="spellStart"/>
      <w:r w:rsidR="001B12BA">
        <w:rPr>
          <w:rFonts w:ascii="Arial" w:hAnsi="Arial" w:cs="Arial"/>
          <w:sz w:val="22"/>
          <w:szCs w:val="22"/>
        </w:rPr>
        <w:t>year end</w:t>
      </w:r>
      <w:proofErr w:type="spellEnd"/>
      <w:r w:rsidR="001B12BA">
        <w:rPr>
          <w:rFonts w:ascii="Arial" w:hAnsi="Arial" w:cs="Arial"/>
          <w:sz w:val="22"/>
          <w:szCs w:val="22"/>
        </w:rPr>
        <w:t xml:space="preserve"> figures show that we have marginally reduced expenditure on travel compared to the base line of 2012/13 and that is </w:t>
      </w:r>
      <w:r w:rsidR="00D0058C">
        <w:rPr>
          <w:rFonts w:ascii="Arial" w:hAnsi="Arial" w:cs="Arial"/>
          <w:sz w:val="22"/>
          <w:szCs w:val="22"/>
        </w:rPr>
        <w:t xml:space="preserve">despite planned </w:t>
      </w:r>
      <w:r w:rsidR="001B12BA">
        <w:rPr>
          <w:rFonts w:ascii="Arial" w:hAnsi="Arial" w:cs="Arial"/>
          <w:sz w:val="22"/>
          <w:szCs w:val="22"/>
        </w:rPr>
        <w:t xml:space="preserve">additional travel </w:t>
      </w:r>
      <w:r w:rsidR="00D0058C">
        <w:rPr>
          <w:rFonts w:ascii="Arial" w:hAnsi="Arial" w:cs="Arial"/>
          <w:sz w:val="22"/>
          <w:szCs w:val="22"/>
        </w:rPr>
        <w:t xml:space="preserve">costs </w:t>
      </w:r>
      <w:r w:rsidR="00B430A1">
        <w:rPr>
          <w:rFonts w:ascii="Arial" w:hAnsi="Arial" w:cs="Arial"/>
          <w:sz w:val="22"/>
          <w:szCs w:val="22"/>
        </w:rPr>
        <w:t>to REC meeting</w:t>
      </w:r>
      <w:r w:rsidR="00D0058C">
        <w:rPr>
          <w:rFonts w:ascii="Arial" w:hAnsi="Arial" w:cs="Arial"/>
          <w:sz w:val="22"/>
          <w:szCs w:val="22"/>
        </w:rPr>
        <w:t>s</w:t>
      </w:r>
      <w:r w:rsidR="00B430A1">
        <w:rPr>
          <w:rFonts w:ascii="Arial" w:hAnsi="Arial" w:cs="Arial"/>
          <w:sz w:val="22"/>
          <w:szCs w:val="22"/>
        </w:rPr>
        <w:t xml:space="preserve"> </w:t>
      </w:r>
      <w:r w:rsidR="00D0058C">
        <w:rPr>
          <w:rFonts w:ascii="Arial" w:hAnsi="Arial" w:cs="Arial"/>
          <w:sz w:val="22"/>
          <w:szCs w:val="22"/>
        </w:rPr>
        <w:t xml:space="preserve">as a result of </w:t>
      </w:r>
      <w:r w:rsidR="001B12BA">
        <w:rPr>
          <w:rFonts w:ascii="Arial" w:hAnsi="Arial" w:cs="Arial"/>
          <w:sz w:val="22"/>
          <w:szCs w:val="22"/>
        </w:rPr>
        <w:t>reducing the</w:t>
      </w:r>
      <w:r w:rsidR="00B430A1">
        <w:rPr>
          <w:rFonts w:ascii="Arial" w:hAnsi="Arial" w:cs="Arial"/>
          <w:sz w:val="22"/>
          <w:szCs w:val="22"/>
        </w:rPr>
        <w:t xml:space="preserve"> number of REC centres, </w:t>
      </w:r>
      <w:r w:rsidR="00D0058C">
        <w:rPr>
          <w:rFonts w:ascii="Arial" w:hAnsi="Arial" w:cs="Arial"/>
          <w:sz w:val="22"/>
          <w:szCs w:val="22"/>
        </w:rPr>
        <w:t>and</w:t>
      </w:r>
      <w:r w:rsidR="00B430A1">
        <w:rPr>
          <w:rFonts w:ascii="Arial" w:hAnsi="Arial" w:cs="Arial"/>
          <w:sz w:val="22"/>
          <w:szCs w:val="22"/>
        </w:rPr>
        <w:t xml:space="preserve"> inflation increases on travel tickets.  </w:t>
      </w:r>
      <w:r w:rsidR="001B12BA">
        <w:rPr>
          <w:rFonts w:ascii="Arial" w:hAnsi="Arial" w:cs="Arial"/>
          <w:sz w:val="22"/>
          <w:szCs w:val="22"/>
        </w:rPr>
        <w:t xml:space="preserve"> </w:t>
      </w:r>
      <w:r w:rsidRPr="00BF2643">
        <w:rPr>
          <w:rFonts w:ascii="Arial" w:hAnsi="Arial" w:cs="Arial"/>
          <w:sz w:val="22"/>
          <w:szCs w:val="22"/>
        </w:rPr>
        <w:t>As an</w:t>
      </w:r>
      <w:r w:rsidR="00D925D5" w:rsidRPr="00BF2643">
        <w:rPr>
          <w:rFonts w:ascii="Arial" w:hAnsi="Arial" w:cs="Arial"/>
          <w:sz w:val="22"/>
          <w:szCs w:val="22"/>
        </w:rPr>
        <w:t xml:space="preserve"> organis</w:t>
      </w:r>
      <w:r w:rsidR="00E31CA4">
        <w:rPr>
          <w:rFonts w:ascii="Arial" w:hAnsi="Arial" w:cs="Arial"/>
          <w:sz w:val="22"/>
          <w:szCs w:val="22"/>
        </w:rPr>
        <w:t>ation we have spent £529</w:t>
      </w:r>
      <w:r w:rsidRPr="00BF2643">
        <w:rPr>
          <w:rFonts w:ascii="Arial" w:hAnsi="Arial" w:cs="Arial"/>
          <w:sz w:val="22"/>
          <w:szCs w:val="22"/>
        </w:rPr>
        <w:t xml:space="preserve">k on travel </w:t>
      </w:r>
      <w:r w:rsidR="00820C02">
        <w:rPr>
          <w:rFonts w:ascii="Arial" w:hAnsi="Arial" w:cs="Arial"/>
          <w:sz w:val="22"/>
          <w:szCs w:val="22"/>
        </w:rPr>
        <w:t>to support staff and members of our Research Ethics Committees</w:t>
      </w:r>
      <w:r w:rsidR="00820C02" w:rsidRPr="00820C02">
        <w:rPr>
          <w:rFonts w:ascii="Arial" w:hAnsi="Arial" w:cs="Arial"/>
          <w:sz w:val="22"/>
          <w:szCs w:val="22"/>
        </w:rPr>
        <w:t xml:space="preserve"> in </w:t>
      </w:r>
      <w:r w:rsidR="00B430A1">
        <w:rPr>
          <w:rFonts w:ascii="Arial" w:hAnsi="Arial" w:cs="Arial"/>
          <w:sz w:val="22"/>
          <w:szCs w:val="22"/>
        </w:rPr>
        <w:t xml:space="preserve">attendance at business meetings.  </w:t>
      </w:r>
      <w:r w:rsidR="00861C72" w:rsidRPr="00820C02">
        <w:rPr>
          <w:rFonts w:ascii="Arial" w:hAnsi="Arial" w:cs="Arial"/>
          <w:sz w:val="22"/>
          <w:szCs w:val="22"/>
        </w:rPr>
        <w:t>The table bel</w:t>
      </w:r>
      <w:r w:rsidR="00E31CA4">
        <w:rPr>
          <w:rFonts w:ascii="Arial" w:hAnsi="Arial" w:cs="Arial"/>
          <w:sz w:val="22"/>
          <w:szCs w:val="22"/>
        </w:rPr>
        <w:t>ow summarises performance to the year end</w:t>
      </w:r>
      <w:r w:rsidR="00861C72" w:rsidRPr="00820C02">
        <w:rPr>
          <w:rFonts w:ascii="Arial" w:hAnsi="Arial" w:cs="Arial"/>
          <w:sz w:val="22"/>
          <w:szCs w:val="22"/>
        </w:rPr>
        <w:t xml:space="preserve">.  </w:t>
      </w:r>
      <w:r w:rsidR="00B430A1">
        <w:rPr>
          <w:rFonts w:ascii="Arial" w:hAnsi="Arial" w:cs="Arial"/>
          <w:sz w:val="22"/>
          <w:szCs w:val="22"/>
        </w:rPr>
        <w:t xml:space="preserve"> We will build on this performance into 2014/15.</w:t>
      </w:r>
    </w:p>
    <w:p w:rsidR="000E66A4" w:rsidRPr="000E66A4" w:rsidRDefault="000E66A4" w:rsidP="000E66A4">
      <w:pPr>
        <w:pStyle w:val="ListParagraph"/>
        <w:rPr>
          <w:rFonts w:ascii="Arial" w:hAnsi="Arial" w:cs="Arial"/>
          <w:sz w:val="22"/>
          <w:szCs w:val="22"/>
        </w:rPr>
      </w:pPr>
    </w:p>
    <w:p w:rsidR="000E66A4" w:rsidRDefault="000E66A4" w:rsidP="000E66A4">
      <w:pPr>
        <w:spacing w:after="200" w:line="276" w:lineRule="auto"/>
        <w:rPr>
          <w:rFonts w:ascii="Arial" w:hAnsi="Arial" w:cs="Arial"/>
          <w:sz w:val="22"/>
          <w:szCs w:val="22"/>
        </w:rPr>
      </w:pPr>
    </w:p>
    <w:tbl>
      <w:tblPr>
        <w:tblW w:w="6224" w:type="dxa"/>
        <w:tblInd w:w="975" w:type="dxa"/>
        <w:tblLook w:val="04A0" w:firstRow="1" w:lastRow="0" w:firstColumn="1" w:lastColumn="0" w:noHBand="0" w:noVBand="1"/>
      </w:tblPr>
      <w:tblGrid>
        <w:gridCol w:w="3010"/>
        <w:gridCol w:w="1059"/>
        <w:gridCol w:w="1109"/>
        <w:gridCol w:w="1046"/>
      </w:tblGrid>
      <w:tr w:rsidR="00E31CA4" w:rsidRPr="00E31CA4" w:rsidTr="00E31CA4">
        <w:trPr>
          <w:trHeight w:val="1506"/>
        </w:trPr>
        <w:tc>
          <w:tcPr>
            <w:tcW w:w="3010" w:type="dxa"/>
            <w:tcBorders>
              <w:top w:val="single" w:sz="4" w:space="0" w:color="auto"/>
              <w:left w:val="single" w:sz="4" w:space="0" w:color="auto"/>
              <w:bottom w:val="nil"/>
              <w:right w:val="single" w:sz="4" w:space="0" w:color="auto"/>
            </w:tcBorders>
            <w:shd w:val="clear" w:color="000000" w:fill="56008C"/>
            <w:noWrap/>
            <w:vAlign w:val="bottom"/>
            <w:hideMark/>
          </w:tcPr>
          <w:p w:rsidR="00E31CA4" w:rsidRPr="00E31CA4" w:rsidRDefault="00E31CA4" w:rsidP="00E31CA4">
            <w:pPr>
              <w:rPr>
                <w:rFonts w:ascii="Calibri" w:hAnsi="Calibri" w:cs="Calibri"/>
                <w:b/>
                <w:bCs/>
                <w:color w:val="FFFFFF"/>
                <w:sz w:val="22"/>
                <w:szCs w:val="22"/>
              </w:rPr>
            </w:pPr>
            <w:r w:rsidRPr="00E31CA4">
              <w:rPr>
                <w:rFonts w:ascii="Calibri" w:hAnsi="Calibri" w:cs="Calibri"/>
                <w:b/>
                <w:bCs/>
                <w:color w:val="FFFFFF"/>
                <w:sz w:val="22"/>
                <w:szCs w:val="22"/>
              </w:rPr>
              <w:t>Travel costs across the HRA</w:t>
            </w:r>
          </w:p>
        </w:tc>
        <w:tc>
          <w:tcPr>
            <w:tcW w:w="1059" w:type="dxa"/>
            <w:tcBorders>
              <w:top w:val="single" w:sz="4" w:space="0" w:color="auto"/>
              <w:left w:val="nil"/>
              <w:bottom w:val="nil"/>
              <w:right w:val="single" w:sz="4" w:space="0" w:color="auto"/>
            </w:tcBorders>
            <w:shd w:val="clear" w:color="000000" w:fill="56008C"/>
            <w:vAlign w:val="bottom"/>
            <w:hideMark/>
          </w:tcPr>
          <w:p w:rsidR="00E31CA4" w:rsidRPr="00E31CA4" w:rsidRDefault="00E31CA4" w:rsidP="00E31CA4">
            <w:pPr>
              <w:jc w:val="center"/>
              <w:rPr>
                <w:rFonts w:ascii="Calibri" w:hAnsi="Calibri" w:cs="Calibri"/>
                <w:b/>
                <w:bCs/>
                <w:color w:val="FFFFFF"/>
                <w:sz w:val="22"/>
                <w:szCs w:val="22"/>
              </w:rPr>
            </w:pPr>
            <w:r w:rsidRPr="00E31CA4">
              <w:rPr>
                <w:rFonts w:ascii="Calibri" w:hAnsi="Calibri" w:cs="Calibri"/>
                <w:b/>
                <w:bCs/>
                <w:color w:val="FFFFFF"/>
                <w:sz w:val="22"/>
                <w:szCs w:val="22"/>
              </w:rPr>
              <w:t>Year to date spend</w:t>
            </w:r>
          </w:p>
        </w:tc>
        <w:tc>
          <w:tcPr>
            <w:tcW w:w="1109" w:type="dxa"/>
            <w:tcBorders>
              <w:top w:val="single" w:sz="4" w:space="0" w:color="auto"/>
              <w:left w:val="nil"/>
              <w:bottom w:val="nil"/>
              <w:right w:val="single" w:sz="4" w:space="0" w:color="auto"/>
            </w:tcBorders>
            <w:shd w:val="clear" w:color="000000" w:fill="56008C"/>
            <w:vAlign w:val="bottom"/>
            <w:hideMark/>
          </w:tcPr>
          <w:p w:rsidR="00E31CA4" w:rsidRPr="00E31CA4" w:rsidRDefault="00E31CA4" w:rsidP="00E31CA4">
            <w:pPr>
              <w:jc w:val="center"/>
              <w:rPr>
                <w:rFonts w:ascii="Calibri" w:hAnsi="Calibri" w:cs="Calibri"/>
                <w:b/>
                <w:bCs/>
                <w:color w:val="FFFFFF"/>
                <w:sz w:val="22"/>
                <w:szCs w:val="22"/>
              </w:rPr>
            </w:pPr>
            <w:r w:rsidRPr="00E31CA4">
              <w:rPr>
                <w:rFonts w:ascii="Calibri" w:hAnsi="Calibri" w:cs="Calibri"/>
                <w:b/>
                <w:bCs/>
                <w:color w:val="FFFFFF"/>
                <w:sz w:val="22"/>
                <w:szCs w:val="22"/>
              </w:rPr>
              <w:t>Year to date variance</w:t>
            </w:r>
          </w:p>
        </w:tc>
        <w:tc>
          <w:tcPr>
            <w:tcW w:w="1046" w:type="dxa"/>
            <w:tcBorders>
              <w:top w:val="single" w:sz="4" w:space="0" w:color="auto"/>
              <w:left w:val="nil"/>
              <w:bottom w:val="nil"/>
              <w:right w:val="single" w:sz="4" w:space="0" w:color="auto"/>
            </w:tcBorders>
            <w:shd w:val="clear" w:color="000000" w:fill="56008C"/>
            <w:vAlign w:val="bottom"/>
            <w:hideMark/>
          </w:tcPr>
          <w:p w:rsidR="00E31CA4" w:rsidRPr="00E31CA4" w:rsidRDefault="00E31CA4" w:rsidP="00E31CA4">
            <w:pPr>
              <w:jc w:val="center"/>
              <w:rPr>
                <w:rFonts w:ascii="Calibri" w:hAnsi="Calibri" w:cs="Calibri"/>
                <w:b/>
                <w:bCs/>
                <w:color w:val="FFFFFF"/>
                <w:sz w:val="22"/>
                <w:szCs w:val="22"/>
              </w:rPr>
            </w:pPr>
            <w:r w:rsidRPr="00E31CA4">
              <w:rPr>
                <w:rFonts w:ascii="Calibri" w:hAnsi="Calibri" w:cs="Calibri"/>
                <w:b/>
                <w:bCs/>
                <w:color w:val="FFFFFF"/>
                <w:sz w:val="22"/>
                <w:szCs w:val="22"/>
              </w:rPr>
              <w:t>% of total year to date spend</w:t>
            </w:r>
          </w:p>
        </w:tc>
      </w:tr>
      <w:tr w:rsidR="00E31CA4" w:rsidRPr="00E31CA4" w:rsidTr="00E31CA4">
        <w:trPr>
          <w:trHeight w:val="301"/>
        </w:trPr>
        <w:tc>
          <w:tcPr>
            <w:tcW w:w="3010" w:type="dxa"/>
            <w:tcBorders>
              <w:top w:val="nil"/>
              <w:left w:val="single" w:sz="4" w:space="0" w:color="auto"/>
              <w:bottom w:val="single" w:sz="4" w:space="0" w:color="auto"/>
              <w:right w:val="single" w:sz="4" w:space="0" w:color="auto"/>
            </w:tcBorders>
            <w:shd w:val="clear" w:color="000000" w:fill="56008C"/>
            <w:noWrap/>
            <w:vAlign w:val="bottom"/>
            <w:hideMark/>
          </w:tcPr>
          <w:p w:rsidR="00E31CA4" w:rsidRPr="00E31CA4" w:rsidRDefault="00E31CA4" w:rsidP="00E31CA4">
            <w:pPr>
              <w:rPr>
                <w:rFonts w:ascii="Calibri" w:hAnsi="Calibri" w:cs="Calibri"/>
                <w:b/>
                <w:bCs/>
                <w:color w:val="FFFFFF"/>
                <w:sz w:val="22"/>
                <w:szCs w:val="22"/>
              </w:rPr>
            </w:pPr>
            <w:r w:rsidRPr="00E31CA4">
              <w:rPr>
                <w:rFonts w:ascii="Calibri" w:hAnsi="Calibri" w:cs="Calibri"/>
                <w:b/>
                <w:bCs/>
                <w:color w:val="FFFFFF"/>
                <w:sz w:val="22"/>
                <w:szCs w:val="22"/>
              </w:rPr>
              <w:t> </w:t>
            </w:r>
          </w:p>
        </w:tc>
        <w:tc>
          <w:tcPr>
            <w:tcW w:w="1059" w:type="dxa"/>
            <w:tcBorders>
              <w:top w:val="nil"/>
              <w:left w:val="nil"/>
              <w:bottom w:val="single" w:sz="4" w:space="0" w:color="auto"/>
              <w:right w:val="single" w:sz="4" w:space="0" w:color="auto"/>
            </w:tcBorders>
            <w:shd w:val="clear" w:color="000000" w:fill="56008C"/>
            <w:noWrap/>
            <w:vAlign w:val="bottom"/>
            <w:hideMark/>
          </w:tcPr>
          <w:p w:rsidR="00E31CA4" w:rsidRPr="00E31CA4" w:rsidRDefault="00E31CA4" w:rsidP="00E31CA4">
            <w:pPr>
              <w:jc w:val="center"/>
              <w:rPr>
                <w:rFonts w:ascii="Calibri" w:hAnsi="Calibri" w:cs="Calibri"/>
                <w:b/>
                <w:bCs/>
                <w:color w:val="FFFFFF"/>
                <w:sz w:val="22"/>
                <w:szCs w:val="22"/>
              </w:rPr>
            </w:pPr>
            <w:r w:rsidRPr="00E31CA4">
              <w:rPr>
                <w:rFonts w:ascii="Calibri" w:hAnsi="Calibri" w:cs="Calibri"/>
                <w:b/>
                <w:bCs/>
                <w:color w:val="FFFFFF"/>
                <w:sz w:val="22"/>
                <w:szCs w:val="22"/>
              </w:rPr>
              <w:t>(£)</w:t>
            </w:r>
          </w:p>
        </w:tc>
        <w:tc>
          <w:tcPr>
            <w:tcW w:w="1109" w:type="dxa"/>
            <w:tcBorders>
              <w:top w:val="nil"/>
              <w:left w:val="nil"/>
              <w:bottom w:val="single" w:sz="4" w:space="0" w:color="auto"/>
              <w:right w:val="single" w:sz="4" w:space="0" w:color="auto"/>
            </w:tcBorders>
            <w:shd w:val="clear" w:color="000000" w:fill="56008C"/>
            <w:noWrap/>
            <w:vAlign w:val="bottom"/>
            <w:hideMark/>
          </w:tcPr>
          <w:p w:rsidR="00E31CA4" w:rsidRPr="00E31CA4" w:rsidRDefault="00E31CA4" w:rsidP="00E31CA4">
            <w:pPr>
              <w:jc w:val="center"/>
              <w:rPr>
                <w:rFonts w:ascii="Calibri" w:hAnsi="Calibri" w:cs="Calibri"/>
                <w:b/>
                <w:bCs/>
                <w:color w:val="FFFFFF"/>
                <w:sz w:val="22"/>
                <w:szCs w:val="22"/>
              </w:rPr>
            </w:pPr>
            <w:r w:rsidRPr="00E31CA4">
              <w:rPr>
                <w:rFonts w:ascii="Calibri" w:hAnsi="Calibri" w:cs="Calibri"/>
                <w:b/>
                <w:bCs/>
                <w:color w:val="FFFFFF"/>
                <w:sz w:val="22"/>
                <w:szCs w:val="22"/>
              </w:rPr>
              <w:t>(£)</w:t>
            </w:r>
          </w:p>
        </w:tc>
        <w:tc>
          <w:tcPr>
            <w:tcW w:w="1046" w:type="dxa"/>
            <w:tcBorders>
              <w:top w:val="nil"/>
              <w:left w:val="nil"/>
              <w:bottom w:val="single" w:sz="4" w:space="0" w:color="auto"/>
              <w:right w:val="single" w:sz="4" w:space="0" w:color="auto"/>
            </w:tcBorders>
            <w:shd w:val="clear" w:color="000000" w:fill="56008C"/>
            <w:noWrap/>
            <w:vAlign w:val="bottom"/>
            <w:hideMark/>
          </w:tcPr>
          <w:p w:rsidR="00E31CA4" w:rsidRPr="00E31CA4" w:rsidRDefault="00E31CA4" w:rsidP="00E31CA4">
            <w:pPr>
              <w:jc w:val="center"/>
              <w:rPr>
                <w:rFonts w:ascii="Calibri" w:hAnsi="Calibri" w:cs="Calibri"/>
                <w:b/>
                <w:bCs/>
                <w:color w:val="FFFFFF"/>
                <w:sz w:val="22"/>
                <w:szCs w:val="22"/>
              </w:rPr>
            </w:pPr>
            <w:r w:rsidRPr="00E31CA4">
              <w:rPr>
                <w:rFonts w:ascii="Calibri" w:hAnsi="Calibri" w:cs="Calibri"/>
                <w:b/>
                <w:bCs/>
                <w:color w:val="FFFFFF"/>
                <w:sz w:val="22"/>
                <w:szCs w:val="22"/>
              </w:rPr>
              <w:t>%</w:t>
            </w:r>
          </w:p>
        </w:tc>
      </w:tr>
      <w:tr w:rsidR="00E31CA4" w:rsidRPr="00E31CA4" w:rsidTr="00E31CA4">
        <w:trPr>
          <w:trHeight w:val="301"/>
        </w:trPr>
        <w:tc>
          <w:tcPr>
            <w:tcW w:w="3010" w:type="dxa"/>
            <w:tcBorders>
              <w:top w:val="nil"/>
              <w:left w:val="single" w:sz="4" w:space="0" w:color="auto"/>
              <w:bottom w:val="nil"/>
              <w:right w:val="single" w:sz="4" w:space="0" w:color="auto"/>
            </w:tcBorders>
            <w:shd w:val="clear" w:color="auto" w:fill="auto"/>
            <w:noWrap/>
            <w:vAlign w:val="bottom"/>
            <w:hideMark/>
          </w:tcPr>
          <w:p w:rsidR="00E31CA4" w:rsidRPr="00E31CA4" w:rsidRDefault="00E31CA4" w:rsidP="00E31CA4">
            <w:pPr>
              <w:rPr>
                <w:rFonts w:ascii="Calibri" w:hAnsi="Calibri" w:cs="Calibri"/>
                <w:color w:val="000000"/>
                <w:sz w:val="22"/>
                <w:szCs w:val="22"/>
              </w:rPr>
            </w:pPr>
            <w:r w:rsidRPr="00E31CA4">
              <w:rPr>
                <w:rFonts w:ascii="Calibri" w:hAnsi="Calibri" w:cs="Calibri"/>
                <w:color w:val="000000"/>
                <w:sz w:val="22"/>
                <w:szCs w:val="22"/>
              </w:rPr>
              <w:t>NRES Operations</w:t>
            </w:r>
          </w:p>
        </w:tc>
        <w:tc>
          <w:tcPr>
            <w:tcW w:w="1059" w:type="dxa"/>
            <w:tcBorders>
              <w:top w:val="nil"/>
              <w:left w:val="nil"/>
              <w:bottom w:val="nil"/>
              <w:right w:val="single" w:sz="4" w:space="0" w:color="auto"/>
            </w:tcBorders>
            <w:shd w:val="clear" w:color="auto" w:fill="auto"/>
            <w:noWrap/>
            <w:vAlign w:val="bottom"/>
            <w:hideMark/>
          </w:tcPr>
          <w:p w:rsidR="00E31CA4" w:rsidRPr="00E31CA4" w:rsidRDefault="00E31CA4" w:rsidP="00E31CA4">
            <w:pPr>
              <w:jc w:val="right"/>
              <w:rPr>
                <w:rFonts w:ascii="Calibri" w:hAnsi="Calibri" w:cs="Calibri"/>
                <w:color w:val="000000"/>
                <w:sz w:val="22"/>
                <w:szCs w:val="22"/>
              </w:rPr>
            </w:pPr>
            <w:r w:rsidRPr="00E31CA4">
              <w:rPr>
                <w:rFonts w:ascii="Calibri" w:hAnsi="Calibri" w:cs="Calibri"/>
                <w:color w:val="000000"/>
                <w:sz w:val="22"/>
                <w:szCs w:val="22"/>
              </w:rPr>
              <w:t>344,879</w:t>
            </w:r>
          </w:p>
        </w:tc>
        <w:tc>
          <w:tcPr>
            <w:tcW w:w="1109" w:type="dxa"/>
            <w:tcBorders>
              <w:top w:val="nil"/>
              <w:left w:val="nil"/>
              <w:bottom w:val="nil"/>
              <w:right w:val="single" w:sz="4" w:space="0" w:color="auto"/>
            </w:tcBorders>
            <w:shd w:val="clear" w:color="auto" w:fill="auto"/>
            <w:noWrap/>
            <w:vAlign w:val="bottom"/>
            <w:hideMark/>
          </w:tcPr>
          <w:p w:rsidR="00E31CA4" w:rsidRPr="00E31CA4" w:rsidRDefault="00E31CA4" w:rsidP="00E31CA4">
            <w:pPr>
              <w:jc w:val="right"/>
              <w:rPr>
                <w:rFonts w:ascii="Calibri" w:hAnsi="Calibri" w:cs="Calibri"/>
                <w:color w:val="000000"/>
                <w:sz w:val="22"/>
                <w:szCs w:val="22"/>
              </w:rPr>
            </w:pPr>
            <w:r w:rsidRPr="00E31CA4">
              <w:rPr>
                <w:rFonts w:ascii="Calibri" w:hAnsi="Calibri" w:cs="Calibri"/>
                <w:color w:val="000000"/>
                <w:sz w:val="22"/>
                <w:szCs w:val="22"/>
              </w:rPr>
              <w:t>56,950</w:t>
            </w:r>
          </w:p>
        </w:tc>
        <w:tc>
          <w:tcPr>
            <w:tcW w:w="1046" w:type="dxa"/>
            <w:tcBorders>
              <w:top w:val="nil"/>
              <w:left w:val="nil"/>
              <w:bottom w:val="nil"/>
              <w:right w:val="single" w:sz="4" w:space="0" w:color="auto"/>
            </w:tcBorders>
            <w:shd w:val="clear" w:color="auto" w:fill="auto"/>
            <w:noWrap/>
            <w:vAlign w:val="bottom"/>
            <w:hideMark/>
          </w:tcPr>
          <w:p w:rsidR="00E31CA4" w:rsidRPr="00E31CA4" w:rsidRDefault="00E31CA4" w:rsidP="00E31CA4">
            <w:pPr>
              <w:jc w:val="right"/>
              <w:rPr>
                <w:rFonts w:ascii="Calibri" w:hAnsi="Calibri" w:cs="Calibri"/>
                <w:color w:val="000000"/>
                <w:sz w:val="22"/>
                <w:szCs w:val="22"/>
              </w:rPr>
            </w:pPr>
            <w:r w:rsidRPr="00E31CA4">
              <w:rPr>
                <w:rFonts w:ascii="Calibri" w:hAnsi="Calibri" w:cs="Calibri"/>
                <w:color w:val="000000"/>
                <w:sz w:val="22"/>
                <w:szCs w:val="22"/>
              </w:rPr>
              <w:t>65%</w:t>
            </w:r>
          </w:p>
        </w:tc>
      </w:tr>
      <w:tr w:rsidR="00E31CA4" w:rsidRPr="00E31CA4" w:rsidTr="00E31CA4">
        <w:trPr>
          <w:trHeight w:val="301"/>
        </w:trPr>
        <w:tc>
          <w:tcPr>
            <w:tcW w:w="3010" w:type="dxa"/>
            <w:tcBorders>
              <w:top w:val="nil"/>
              <w:left w:val="single" w:sz="4" w:space="0" w:color="auto"/>
              <w:bottom w:val="nil"/>
              <w:right w:val="single" w:sz="4" w:space="0" w:color="auto"/>
            </w:tcBorders>
            <w:shd w:val="clear" w:color="auto" w:fill="auto"/>
            <w:noWrap/>
            <w:vAlign w:val="bottom"/>
            <w:hideMark/>
          </w:tcPr>
          <w:p w:rsidR="00E31CA4" w:rsidRPr="00E31CA4" w:rsidRDefault="00E31CA4" w:rsidP="00E31CA4">
            <w:pPr>
              <w:rPr>
                <w:rFonts w:ascii="Calibri" w:hAnsi="Calibri" w:cs="Calibri"/>
                <w:color w:val="000000"/>
                <w:sz w:val="22"/>
                <w:szCs w:val="22"/>
              </w:rPr>
            </w:pPr>
            <w:r w:rsidRPr="00E31CA4">
              <w:rPr>
                <w:rFonts w:ascii="Calibri" w:hAnsi="Calibri" w:cs="Calibri"/>
                <w:color w:val="000000"/>
                <w:sz w:val="22"/>
                <w:szCs w:val="22"/>
              </w:rPr>
              <w:t>Chief Executive, Board , C &amp; D</w:t>
            </w:r>
          </w:p>
        </w:tc>
        <w:tc>
          <w:tcPr>
            <w:tcW w:w="1059" w:type="dxa"/>
            <w:tcBorders>
              <w:top w:val="nil"/>
              <w:left w:val="nil"/>
              <w:bottom w:val="nil"/>
              <w:right w:val="single" w:sz="4" w:space="0" w:color="auto"/>
            </w:tcBorders>
            <w:shd w:val="clear" w:color="auto" w:fill="auto"/>
            <w:noWrap/>
            <w:vAlign w:val="bottom"/>
            <w:hideMark/>
          </w:tcPr>
          <w:p w:rsidR="00E31CA4" w:rsidRPr="00E31CA4" w:rsidRDefault="00E31CA4" w:rsidP="00E31CA4">
            <w:pPr>
              <w:jc w:val="right"/>
              <w:rPr>
                <w:rFonts w:ascii="Calibri" w:hAnsi="Calibri" w:cs="Calibri"/>
                <w:color w:val="000000"/>
                <w:sz w:val="22"/>
                <w:szCs w:val="22"/>
              </w:rPr>
            </w:pPr>
            <w:r w:rsidRPr="00E31CA4">
              <w:rPr>
                <w:rFonts w:ascii="Calibri" w:hAnsi="Calibri" w:cs="Calibri"/>
                <w:color w:val="000000"/>
                <w:sz w:val="22"/>
                <w:szCs w:val="22"/>
              </w:rPr>
              <w:t>69,977</w:t>
            </w:r>
          </w:p>
        </w:tc>
        <w:tc>
          <w:tcPr>
            <w:tcW w:w="1109" w:type="dxa"/>
            <w:tcBorders>
              <w:top w:val="nil"/>
              <w:left w:val="nil"/>
              <w:bottom w:val="nil"/>
              <w:right w:val="single" w:sz="4" w:space="0" w:color="auto"/>
            </w:tcBorders>
            <w:shd w:val="clear" w:color="auto" w:fill="auto"/>
            <w:noWrap/>
            <w:vAlign w:val="bottom"/>
            <w:hideMark/>
          </w:tcPr>
          <w:p w:rsidR="00E31CA4" w:rsidRPr="00E31CA4" w:rsidRDefault="00E31CA4" w:rsidP="00E31CA4">
            <w:pPr>
              <w:jc w:val="right"/>
              <w:rPr>
                <w:rFonts w:ascii="Calibri" w:hAnsi="Calibri" w:cs="Calibri"/>
                <w:color w:val="000000"/>
                <w:sz w:val="22"/>
                <w:szCs w:val="22"/>
              </w:rPr>
            </w:pPr>
            <w:r w:rsidRPr="00E31CA4">
              <w:rPr>
                <w:rFonts w:ascii="Calibri" w:hAnsi="Calibri" w:cs="Calibri"/>
                <w:color w:val="000000"/>
                <w:sz w:val="22"/>
                <w:szCs w:val="22"/>
              </w:rPr>
              <w:t>20,089</w:t>
            </w:r>
          </w:p>
        </w:tc>
        <w:tc>
          <w:tcPr>
            <w:tcW w:w="1046" w:type="dxa"/>
            <w:tcBorders>
              <w:top w:val="nil"/>
              <w:left w:val="nil"/>
              <w:bottom w:val="nil"/>
              <w:right w:val="single" w:sz="4" w:space="0" w:color="auto"/>
            </w:tcBorders>
            <w:shd w:val="clear" w:color="auto" w:fill="auto"/>
            <w:noWrap/>
            <w:vAlign w:val="bottom"/>
            <w:hideMark/>
          </w:tcPr>
          <w:p w:rsidR="00E31CA4" w:rsidRPr="00E31CA4" w:rsidRDefault="00E31CA4" w:rsidP="00E31CA4">
            <w:pPr>
              <w:jc w:val="right"/>
              <w:rPr>
                <w:rFonts w:ascii="Calibri" w:hAnsi="Calibri" w:cs="Calibri"/>
                <w:color w:val="000000"/>
                <w:sz w:val="22"/>
                <w:szCs w:val="22"/>
              </w:rPr>
            </w:pPr>
            <w:r w:rsidRPr="00E31CA4">
              <w:rPr>
                <w:rFonts w:ascii="Calibri" w:hAnsi="Calibri" w:cs="Calibri"/>
                <w:color w:val="000000"/>
                <w:sz w:val="22"/>
                <w:szCs w:val="22"/>
              </w:rPr>
              <w:t>13%</w:t>
            </w:r>
          </w:p>
        </w:tc>
      </w:tr>
      <w:tr w:rsidR="00E31CA4" w:rsidRPr="00E31CA4" w:rsidTr="00E31CA4">
        <w:trPr>
          <w:trHeight w:val="301"/>
        </w:trPr>
        <w:tc>
          <w:tcPr>
            <w:tcW w:w="3010" w:type="dxa"/>
            <w:tcBorders>
              <w:top w:val="nil"/>
              <w:left w:val="single" w:sz="4" w:space="0" w:color="auto"/>
              <w:bottom w:val="nil"/>
              <w:right w:val="single" w:sz="4" w:space="0" w:color="auto"/>
            </w:tcBorders>
            <w:shd w:val="clear" w:color="auto" w:fill="auto"/>
            <w:noWrap/>
            <w:vAlign w:val="bottom"/>
            <w:hideMark/>
          </w:tcPr>
          <w:p w:rsidR="00E31CA4" w:rsidRPr="00E31CA4" w:rsidRDefault="00E31CA4" w:rsidP="00E31CA4">
            <w:pPr>
              <w:rPr>
                <w:rFonts w:ascii="Calibri" w:hAnsi="Calibri" w:cs="Calibri"/>
                <w:color w:val="000000"/>
                <w:sz w:val="22"/>
                <w:szCs w:val="22"/>
              </w:rPr>
            </w:pPr>
            <w:r w:rsidRPr="00E31CA4">
              <w:rPr>
                <w:rFonts w:ascii="Calibri" w:hAnsi="Calibri" w:cs="Calibri"/>
                <w:color w:val="000000"/>
                <w:sz w:val="22"/>
                <w:szCs w:val="22"/>
              </w:rPr>
              <w:t>Corporate Services</w:t>
            </w:r>
          </w:p>
        </w:tc>
        <w:tc>
          <w:tcPr>
            <w:tcW w:w="1059" w:type="dxa"/>
            <w:tcBorders>
              <w:top w:val="nil"/>
              <w:left w:val="nil"/>
              <w:bottom w:val="nil"/>
              <w:right w:val="single" w:sz="4" w:space="0" w:color="auto"/>
            </w:tcBorders>
            <w:shd w:val="clear" w:color="auto" w:fill="auto"/>
            <w:noWrap/>
            <w:vAlign w:val="bottom"/>
            <w:hideMark/>
          </w:tcPr>
          <w:p w:rsidR="00E31CA4" w:rsidRPr="00E31CA4" w:rsidRDefault="00E31CA4" w:rsidP="00E31CA4">
            <w:pPr>
              <w:jc w:val="right"/>
              <w:rPr>
                <w:rFonts w:ascii="Calibri" w:hAnsi="Calibri" w:cs="Calibri"/>
                <w:color w:val="000000"/>
                <w:sz w:val="22"/>
                <w:szCs w:val="22"/>
              </w:rPr>
            </w:pPr>
            <w:r w:rsidRPr="00E31CA4">
              <w:rPr>
                <w:rFonts w:ascii="Calibri" w:hAnsi="Calibri" w:cs="Calibri"/>
                <w:color w:val="000000"/>
                <w:sz w:val="22"/>
                <w:szCs w:val="22"/>
              </w:rPr>
              <w:t>68,013</w:t>
            </w:r>
          </w:p>
        </w:tc>
        <w:tc>
          <w:tcPr>
            <w:tcW w:w="1109" w:type="dxa"/>
            <w:tcBorders>
              <w:top w:val="nil"/>
              <w:left w:val="nil"/>
              <w:bottom w:val="nil"/>
              <w:right w:val="single" w:sz="4" w:space="0" w:color="auto"/>
            </w:tcBorders>
            <w:shd w:val="clear" w:color="auto" w:fill="auto"/>
            <w:noWrap/>
            <w:vAlign w:val="bottom"/>
            <w:hideMark/>
          </w:tcPr>
          <w:p w:rsidR="00E31CA4" w:rsidRPr="00E31CA4" w:rsidRDefault="00E31CA4" w:rsidP="00E31CA4">
            <w:pPr>
              <w:jc w:val="right"/>
              <w:rPr>
                <w:rFonts w:ascii="Calibri" w:hAnsi="Calibri" w:cs="Calibri"/>
                <w:color w:val="000000"/>
                <w:sz w:val="22"/>
                <w:szCs w:val="22"/>
              </w:rPr>
            </w:pPr>
            <w:r w:rsidRPr="00E31CA4">
              <w:rPr>
                <w:rFonts w:ascii="Calibri" w:hAnsi="Calibri" w:cs="Calibri"/>
                <w:color w:val="000000"/>
                <w:sz w:val="22"/>
                <w:szCs w:val="22"/>
              </w:rPr>
              <w:t>3,447</w:t>
            </w:r>
          </w:p>
        </w:tc>
        <w:tc>
          <w:tcPr>
            <w:tcW w:w="1046" w:type="dxa"/>
            <w:tcBorders>
              <w:top w:val="nil"/>
              <w:left w:val="nil"/>
              <w:bottom w:val="nil"/>
              <w:right w:val="single" w:sz="4" w:space="0" w:color="auto"/>
            </w:tcBorders>
            <w:shd w:val="clear" w:color="auto" w:fill="auto"/>
            <w:noWrap/>
            <w:vAlign w:val="bottom"/>
            <w:hideMark/>
          </w:tcPr>
          <w:p w:rsidR="00E31CA4" w:rsidRPr="00E31CA4" w:rsidRDefault="00E31CA4" w:rsidP="00E31CA4">
            <w:pPr>
              <w:jc w:val="right"/>
              <w:rPr>
                <w:rFonts w:ascii="Calibri" w:hAnsi="Calibri" w:cs="Calibri"/>
                <w:color w:val="000000"/>
                <w:sz w:val="22"/>
                <w:szCs w:val="22"/>
              </w:rPr>
            </w:pPr>
            <w:r w:rsidRPr="00E31CA4">
              <w:rPr>
                <w:rFonts w:ascii="Calibri" w:hAnsi="Calibri" w:cs="Calibri"/>
                <w:color w:val="000000"/>
                <w:sz w:val="22"/>
                <w:szCs w:val="22"/>
              </w:rPr>
              <w:t>13%</w:t>
            </w:r>
          </w:p>
        </w:tc>
      </w:tr>
      <w:tr w:rsidR="00E31CA4" w:rsidRPr="00E31CA4" w:rsidTr="00E31CA4">
        <w:trPr>
          <w:trHeight w:val="301"/>
        </w:trPr>
        <w:tc>
          <w:tcPr>
            <w:tcW w:w="3010" w:type="dxa"/>
            <w:tcBorders>
              <w:top w:val="nil"/>
              <w:left w:val="single" w:sz="4" w:space="0" w:color="auto"/>
              <w:bottom w:val="nil"/>
              <w:right w:val="single" w:sz="4" w:space="0" w:color="auto"/>
            </w:tcBorders>
            <w:shd w:val="clear" w:color="auto" w:fill="auto"/>
            <w:noWrap/>
            <w:vAlign w:val="bottom"/>
            <w:hideMark/>
          </w:tcPr>
          <w:p w:rsidR="00E31CA4" w:rsidRPr="00E31CA4" w:rsidRDefault="00E31CA4" w:rsidP="00E31CA4">
            <w:pPr>
              <w:rPr>
                <w:rFonts w:ascii="Calibri" w:hAnsi="Calibri" w:cs="Calibri"/>
                <w:color w:val="000000"/>
                <w:sz w:val="22"/>
                <w:szCs w:val="22"/>
              </w:rPr>
            </w:pPr>
            <w:r w:rsidRPr="00E31CA4">
              <w:rPr>
                <w:rFonts w:ascii="Calibri" w:hAnsi="Calibri" w:cs="Calibri"/>
                <w:color w:val="000000"/>
                <w:sz w:val="22"/>
                <w:szCs w:val="22"/>
              </w:rPr>
              <w:t>Improvement</w:t>
            </w:r>
          </w:p>
        </w:tc>
        <w:tc>
          <w:tcPr>
            <w:tcW w:w="1059" w:type="dxa"/>
            <w:tcBorders>
              <w:top w:val="nil"/>
              <w:left w:val="nil"/>
              <w:bottom w:val="nil"/>
              <w:right w:val="single" w:sz="4" w:space="0" w:color="auto"/>
            </w:tcBorders>
            <w:shd w:val="clear" w:color="auto" w:fill="auto"/>
            <w:noWrap/>
            <w:vAlign w:val="bottom"/>
            <w:hideMark/>
          </w:tcPr>
          <w:p w:rsidR="00E31CA4" w:rsidRPr="00E31CA4" w:rsidRDefault="00E31CA4" w:rsidP="00E31CA4">
            <w:pPr>
              <w:jc w:val="right"/>
              <w:rPr>
                <w:rFonts w:ascii="Calibri" w:hAnsi="Calibri" w:cs="Calibri"/>
                <w:color w:val="000000"/>
                <w:sz w:val="22"/>
                <w:szCs w:val="22"/>
              </w:rPr>
            </w:pPr>
            <w:r w:rsidRPr="00E31CA4">
              <w:rPr>
                <w:rFonts w:ascii="Calibri" w:hAnsi="Calibri" w:cs="Calibri"/>
                <w:color w:val="000000"/>
                <w:sz w:val="22"/>
                <w:szCs w:val="22"/>
              </w:rPr>
              <w:t>47,076</w:t>
            </w:r>
          </w:p>
        </w:tc>
        <w:tc>
          <w:tcPr>
            <w:tcW w:w="1109" w:type="dxa"/>
            <w:tcBorders>
              <w:top w:val="nil"/>
              <w:left w:val="nil"/>
              <w:bottom w:val="nil"/>
              <w:right w:val="single" w:sz="4" w:space="0" w:color="auto"/>
            </w:tcBorders>
            <w:shd w:val="clear" w:color="auto" w:fill="auto"/>
            <w:noWrap/>
            <w:vAlign w:val="bottom"/>
            <w:hideMark/>
          </w:tcPr>
          <w:p w:rsidR="00E31CA4" w:rsidRPr="00E31CA4" w:rsidRDefault="00E31CA4" w:rsidP="00E31CA4">
            <w:pPr>
              <w:jc w:val="right"/>
              <w:rPr>
                <w:rFonts w:ascii="Calibri" w:hAnsi="Calibri" w:cs="Calibri"/>
                <w:color w:val="000000"/>
                <w:sz w:val="22"/>
                <w:szCs w:val="22"/>
              </w:rPr>
            </w:pPr>
            <w:r w:rsidRPr="00E31CA4">
              <w:rPr>
                <w:rFonts w:ascii="Calibri" w:hAnsi="Calibri" w:cs="Calibri"/>
                <w:color w:val="000000"/>
                <w:sz w:val="22"/>
                <w:szCs w:val="22"/>
              </w:rPr>
              <w:t>-25,134</w:t>
            </w:r>
          </w:p>
        </w:tc>
        <w:tc>
          <w:tcPr>
            <w:tcW w:w="1046" w:type="dxa"/>
            <w:tcBorders>
              <w:top w:val="nil"/>
              <w:left w:val="nil"/>
              <w:bottom w:val="nil"/>
              <w:right w:val="single" w:sz="4" w:space="0" w:color="auto"/>
            </w:tcBorders>
            <w:shd w:val="clear" w:color="auto" w:fill="auto"/>
            <w:noWrap/>
            <w:vAlign w:val="bottom"/>
            <w:hideMark/>
          </w:tcPr>
          <w:p w:rsidR="00E31CA4" w:rsidRPr="00E31CA4" w:rsidRDefault="00E31CA4" w:rsidP="00E31CA4">
            <w:pPr>
              <w:jc w:val="right"/>
              <w:rPr>
                <w:rFonts w:ascii="Calibri" w:hAnsi="Calibri" w:cs="Calibri"/>
                <w:color w:val="000000"/>
                <w:sz w:val="22"/>
                <w:szCs w:val="22"/>
              </w:rPr>
            </w:pPr>
            <w:r w:rsidRPr="00E31CA4">
              <w:rPr>
                <w:rFonts w:ascii="Calibri" w:hAnsi="Calibri" w:cs="Calibri"/>
                <w:color w:val="000000"/>
                <w:sz w:val="22"/>
                <w:szCs w:val="22"/>
              </w:rPr>
              <w:t>9%</w:t>
            </w:r>
          </w:p>
        </w:tc>
      </w:tr>
      <w:tr w:rsidR="00E31CA4" w:rsidRPr="00E31CA4" w:rsidTr="00E31CA4">
        <w:trPr>
          <w:trHeight w:val="301"/>
        </w:trPr>
        <w:tc>
          <w:tcPr>
            <w:tcW w:w="3010" w:type="dxa"/>
            <w:tcBorders>
              <w:top w:val="nil"/>
              <w:left w:val="single" w:sz="4" w:space="0" w:color="auto"/>
              <w:bottom w:val="single" w:sz="4" w:space="0" w:color="auto"/>
              <w:right w:val="single" w:sz="4" w:space="0" w:color="auto"/>
            </w:tcBorders>
            <w:shd w:val="clear" w:color="000000" w:fill="56008C"/>
            <w:noWrap/>
            <w:vAlign w:val="bottom"/>
            <w:hideMark/>
          </w:tcPr>
          <w:p w:rsidR="00E31CA4" w:rsidRPr="00E31CA4" w:rsidRDefault="00E31CA4" w:rsidP="00E31CA4">
            <w:pPr>
              <w:rPr>
                <w:rFonts w:ascii="Calibri" w:hAnsi="Calibri" w:cs="Calibri"/>
                <w:b/>
                <w:bCs/>
                <w:color w:val="FFFFFF"/>
                <w:sz w:val="22"/>
                <w:szCs w:val="22"/>
              </w:rPr>
            </w:pPr>
            <w:r w:rsidRPr="00E31CA4">
              <w:rPr>
                <w:rFonts w:ascii="Calibri" w:hAnsi="Calibri" w:cs="Calibri"/>
                <w:b/>
                <w:bCs/>
                <w:color w:val="FFFFFF"/>
                <w:sz w:val="22"/>
                <w:szCs w:val="22"/>
              </w:rPr>
              <w:t>Total</w:t>
            </w:r>
          </w:p>
        </w:tc>
        <w:tc>
          <w:tcPr>
            <w:tcW w:w="1059" w:type="dxa"/>
            <w:tcBorders>
              <w:top w:val="nil"/>
              <w:left w:val="nil"/>
              <w:bottom w:val="single" w:sz="4" w:space="0" w:color="auto"/>
              <w:right w:val="single" w:sz="4" w:space="0" w:color="auto"/>
            </w:tcBorders>
            <w:shd w:val="clear" w:color="000000" w:fill="56008C"/>
            <w:noWrap/>
            <w:vAlign w:val="bottom"/>
            <w:hideMark/>
          </w:tcPr>
          <w:p w:rsidR="00E31CA4" w:rsidRPr="00E31CA4" w:rsidRDefault="00E31CA4" w:rsidP="00E31CA4">
            <w:pPr>
              <w:jc w:val="right"/>
              <w:rPr>
                <w:rFonts w:ascii="Calibri" w:hAnsi="Calibri" w:cs="Calibri"/>
                <w:b/>
                <w:bCs/>
                <w:color w:val="FFFFFF"/>
                <w:sz w:val="22"/>
                <w:szCs w:val="22"/>
              </w:rPr>
            </w:pPr>
            <w:r w:rsidRPr="00E31CA4">
              <w:rPr>
                <w:rFonts w:ascii="Calibri" w:hAnsi="Calibri" w:cs="Calibri"/>
                <w:b/>
                <w:bCs/>
                <w:color w:val="FFFFFF"/>
                <w:sz w:val="22"/>
                <w:szCs w:val="22"/>
              </w:rPr>
              <w:t>529,944</w:t>
            </w:r>
          </w:p>
        </w:tc>
        <w:tc>
          <w:tcPr>
            <w:tcW w:w="1109" w:type="dxa"/>
            <w:tcBorders>
              <w:top w:val="nil"/>
              <w:left w:val="nil"/>
              <w:bottom w:val="single" w:sz="4" w:space="0" w:color="auto"/>
              <w:right w:val="single" w:sz="4" w:space="0" w:color="auto"/>
            </w:tcBorders>
            <w:shd w:val="clear" w:color="000000" w:fill="56008C"/>
            <w:noWrap/>
            <w:vAlign w:val="bottom"/>
            <w:hideMark/>
          </w:tcPr>
          <w:p w:rsidR="00E31CA4" w:rsidRPr="00E31CA4" w:rsidRDefault="00E31CA4" w:rsidP="00E31CA4">
            <w:pPr>
              <w:jc w:val="right"/>
              <w:rPr>
                <w:rFonts w:ascii="Calibri" w:hAnsi="Calibri" w:cs="Calibri"/>
                <w:b/>
                <w:bCs/>
                <w:color w:val="FFFFFF"/>
                <w:sz w:val="22"/>
                <w:szCs w:val="22"/>
              </w:rPr>
            </w:pPr>
            <w:r w:rsidRPr="00E31CA4">
              <w:rPr>
                <w:rFonts w:ascii="Calibri" w:hAnsi="Calibri" w:cs="Calibri"/>
                <w:b/>
                <w:bCs/>
                <w:color w:val="FFFFFF"/>
                <w:sz w:val="22"/>
                <w:szCs w:val="22"/>
              </w:rPr>
              <w:t>55,351</w:t>
            </w:r>
          </w:p>
        </w:tc>
        <w:tc>
          <w:tcPr>
            <w:tcW w:w="1046" w:type="dxa"/>
            <w:tcBorders>
              <w:top w:val="nil"/>
              <w:left w:val="nil"/>
              <w:bottom w:val="single" w:sz="4" w:space="0" w:color="auto"/>
              <w:right w:val="single" w:sz="4" w:space="0" w:color="auto"/>
            </w:tcBorders>
            <w:shd w:val="clear" w:color="000000" w:fill="56008C"/>
            <w:noWrap/>
            <w:vAlign w:val="bottom"/>
            <w:hideMark/>
          </w:tcPr>
          <w:p w:rsidR="00E31CA4" w:rsidRPr="00E31CA4" w:rsidRDefault="00E31CA4" w:rsidP="00E31CA4">
            <w:pPr>
              <w:rPr>
                <w:rFonts w:ascii="Calibri" w:hAnsi="Calibri" w:cs="Calibri"/>
                <w:b/>
                <w:bCs/>
                <w:color w:val="FFFFFF"/>
                <w:sz w:val="22"/>
                <w:szCs w:val="22"/>
              </w:rPr>
            </w:pPr>
            <w:r w:rsidRPr="00E31CA4">
              <w:rPr>
                <w:rFonts w:ascii="Calibri" w:hAnsi="Calibri" w:cs="Calibri"/>
                <w:b/>
                <w:bCs/>
                <w:color w:val="FFFFFF"/>
                <w:sz w:val="22"/>
                <w:szCs w:val="22"/>
              </w:rPr>
              <w:t> </w:t>
            </w:r>
          </w:p>
        </w:tc>
      </w:tr>
    </w:tbl>
    <w:p w:rsidR="000E66A4" w:rsidRDefault="000E66A4" w:rsidP="000E66A4">
      <w:pPr>
        <w:spacing w:after="200" w:line="276" w:lineRule="auto"/>
        <w:rPr>
          <w:rFonts w:ascii="Arial" w:hAnsi="Arial" w:cs="Arial"/>
          <w:sz w:val="22"/>
          <w:szCs w:val="22"/>
        </w:rPr>
      </w:pPr>
    </w:p>
    <w:p w:rsidR="006D14D3" w:rsidRDefault="001A2303" w:rsidP="006D14D3">
      <w:pPr>
        <w:pStyle w:val="ListParagraph"/>
        <w:numPr>
          <w:ilvl w:val="0"/>
          <w:numId w:val="6"/>
        </w:numPr>
        <w:spacing w:after="200" w:line="276" w:lineRule="auto"/>
        <w:rPr>
          <w:rFonts w:ascii="Arial" w:hAnsi="Arial" w:cs="Arial"/>
          <w:sz w:val="22"/>
          <w:szCs w:val="22"/>
        </w:rPr>
      </w:pPr>
      <w:r>
        <w:rPr>
          <w:rFonts w:ascii="Arial" w:hAnsi="Arial" w:cs="Arial"/>
          <w:sz w:val="22"/>
          <w:szCs w:val="22"/>
        </w:rPr>
        <w:t>P</w:t>
      </w:r>
      <w:r w:rsidR="00E31CA4">
        <w:rPr>
          <w:rFonts w:ascii="Arial" w:hAnsi="Arial" w:cs="Arial"/>
          <w:sz w:val="22"/>
          <w:szCs w:val="22"/>
        </w:rPr>
        <w:t>ay represents 63</w:t>
      </w:r>
      <w:r w:rsidR="006D14D3">
        <w:rPr>
          <w:rFonts w:ascii="Arial" w:hAnsi="Arial" w:cs="Arial"/>
          <w:sz w:val="22"/>
          <w:szCs w:val="22"/>
        </w:rPr>
        <w:t xml:space="preserve">% of the costs incurred </w:t>
      </w:r>
      <w:r w:rsidR="00E31CA4">
        <w:rPr>
          <w:rFonts w:ascii="Arial" w:hAnsi="Arial" w:cs="Arial"/>
          <w:sz w:val="22"/>
          <w:szCs w:val="22"/>
        </w:rPr>
        <w:t>in year</w:t>
      </w:r>
      <w:r w:rsidR="006D14D3">
        <w:rPr>
          <w:rFonts w:ascii="Arial" w:hAnsi="Arial" w:cs="Arial"/>
          <w:sz w:val="22"/>
          <w:szCs w:val="22"/>
        </w:rPr>
        <w:t>, the profile of our staff headcount is presented below for information</w:t>
      </w:r>
      <w:r w:rsidR="00B75EB4">
        <w:rPr>
          <w:rFonts w:ascii="Arial" w:hAnsi="Arial" w:cs="Arial"/>
          <w:sz w:val="22"/>
          <w:szCs w:val="22"/>
        </w:rPr>
        <w:t xml:space="preserve"> and shows a fairly static position throughout the year</w:t>
      </w:r>
      <w:r w:rsidR="002D2375">
        <w:rPr>
          <w:rFonts w:ascii="Arial" w:hAnsi="Arial" w:cs="Arial"/>
          <w:sz w:val="22"/>
          <w:szCs w:val="22"/>
        </w:rPr>
        <w:t xml:space="preserve"> </w:t>
      </w:r>
      <w:r w:rsidR="002B587B">
        <w:rPr>
          <w:rFonts w:ascii="Arial" w:hAnsi="Arial" w:cs="Arial"/>
          <w:sz w:val="22"/>
          <w:szCs w:val="22"/>
        </w:rPr>
        <w:t>overall and an increase in the proportion of permanently employed staff and reduction in the numbers of temporary staff</w:t>
      </w:r>
      <w:r w:rsidR="006D14D3">
        <w:rPr>
          <w:rFonts w:ascii="Arial" w:hAnsi="Arial" w:cs="Arial"/>
          <w:sz w:val="22"/>
          <w:szCs w:val="22"/>
        </w:rPr>
        <w:t>.</w:t>
      </w:r>
    </w:p>
    <w:p w:rsidR="00B430A1" w:rsidRDefault="00B430A1" w:rsidP="00B430A1">
      <w:pPr>
        <w:pStyle w:val="ListParagraph"/>
        <w:spacing w:after="200" w:line="276" w:lineRule="auto"/>
        <w:rPr>
          <w:rFonts w:ascii="Arial" w:hAnsi="Arial" w:cs="Arial"/>
          <w:sz w:val="22"/>
          <w:szCs w:val="22"/>
        </w:rPr>
      </w:pPr>
    </w:p>
    <w:p w:rsidR="00B430A1" w:rsidRDefault="00B430A1" w:rsidP="00B430A1">
      <w:pPr>
        <w:pStyle w:val="ListParagraph"/>
        <w:spacing w:after="200" w:line="276" w:lineRule="auto"/>
        <w:rPr>
          <w:rFonts w:ascii="Arial" w:hAnsi="Arial" w:cs="Arial"/>
          <w:sz w:val="22"/>
          <w:szCs w:val="22"/>
        </w:rPr>
      </w:pPr>
    </w:p>
    <w:p w:rsidR="00B430A1" w:rsidRDefault="00B430A1" w:rsidP="00B430A1">
      <w:pPr>
        <w:pStyle w:val="ListParagraph"/>
        <w:spacing w:after="200" w:line="276" w:lineRule="auto"/>
        <w:rPr>
          <w:rFonts w:ascii="Arial" w:hAnsi="Arial" w:cs="Arial"/>
          <w:sz w:val="22"/>
          <w:szCs w:val="22"/>
        </w:rPr>
      </w:pPr>
    </w:p>
    <w:p w:rsidR="00B430A1" w:rsidRDefault="00B430A1" w:rsidP="00B430A1">
      <w:pPr>
        <w:pStyle w:val="ListParagraph"/>
        <w:spacing w:after="200" w:line="276" w:lineRule="auto"/>
        <w:rPr>
          <w:rFonts w:ascii="Arial" w:hAnsi="Arial" w:cs="Arial"/>
          <w:sz w:val="22"/>
          <w:szCs w:val="22"/>
        </w:rPr>
      </w:pPr>
    </w:p>
    <w:p w:rsidR="008F0929" w:rsidRDefault="008F0929" w:rsidP="00B430A1">
      <w:pPr>
        <w:pStyle w:val="ListParagraph"/>
        <w:spacing w:after="200" w:line="276" w:lineRule="auto"/>
        <w:rPr>
          <w:rFonts w:ascii="Arial" w:hAnsi="Arial" w:cs="Arial"/>
          <w:sz w:val="22"/>
          <w:szCs w:val="22"/>
        </w:rPr>
      </w:pPr>
    </w:p>
    <w:p w:rsidR="00B430A1" w:rsidRDefault="00B430A1" w:rsidP="00B430A1">
      <w:pPr>
        <w:pStyle w:val="ListParagraph"/>
        <w:spacing w:after="200" w:line="276" w:lineRule="auto"/>
        <w:rPr>
          <w:rFonts w:ascii="Arial" w:hAnsi="Arial" w:cs="Arial"/>
          <w:sz w:val="22"/>
          <w:szCs w:val="22"/>
        </w:rPr>
      </w:pPr>
    </w:p>
    <w:p w:rsidR="006D14D3" w:rsidRDefault="006D14D3" w:rsidP="006D14D3">
      <w:pPr>
        <w:pStyle w:val="ListParagraph"/>
        <w:spacing w:after="200" w:line="276" w:lineRule="auto"/>
        <w:rPr>
          <w:rFonts w:ascii="Arial" w:hAnsi="Arial" w:cs="Arial"/>
          <w:b/>
          <w:sz w:val="22"/>
          <w:szCs w:val="22"/>
        </w:rPr>
      </w:pPr>
      <w:r w:rsidRPr="006D14D3">
        <w:rPr>
          <w:rFonts w:ascii="Arial" w:hAnsi="Arial" w:cs="Arial"/>
          <w:b/>
          <w:sz w:val="22"/>
          <w:szCs w:val="22"/>
        </w:rPr>
        <w:lastRenderedPageBreak/>
        <w:t xml:space="preserve">Chart to show actual staff </w:t>
      </w:r>
      <w:r w:rsidR="00A86A0C">
        <w:rPr>
          <w:rFonts w:ascii="Arial" w:hAnsi="Arial" w:cs="Arial"/>
          <w:b/>
          <w:sz w:val="22"/>
          <w:szCs w:val="22"/>
        </w:rPr>
        <w:t xml:space="preserve">headcount </w:t>
      </w:r>
      <w:r w:rsidRPr="006D14D3">
        <w:rPr>
          <w:rFonts w:ascii="Arial" w:hAnsi="Arial" w:cs="Arial"/>
          <w:b/>
          <w:sz w:val="22"/>
          <w:szCs w:val="22"/>
        </w:rPr>
        <w:t>2013/14</w:t>
      </w:r>
    </w:p>
    <w:p w:rsidR="00B75EB4" w:rsidRDefault="00B75EB4" w:rsidP="006D14D3">
      <w:pPr>
        <w:pStyle w:val="ListParagraph"/>
        <w:spacing w:after="200" w:line="276" w:lineRule="auto"/>
        <w:rPr>
          <w:rFonts w:ascii="Arial" w:hAnsi="Arial" w:cs="Arial"/>
          <w:b/>
          <w:sz w:val="22"/>
          <w:szCs w:val="22"/>
        </w:rPr>
      </w:pPr>
    </w:p>
    <w:p w:rsidR="00B75EB4" w:rsidRDefault="00E31CA4" w:rsidP="006D14D3">
      <w:pPr>
        <w:pStyle w:val="ListParagraph"/>
        <w:spacing w:after="200" w:line="276" w:lineRule="auto"/>
        <w:rPr>
          <w:rFonts w:ascii="Arial" w:hAnsi="Arial" w:cs="Arial"/>
          <w:b/>
          <w:sz w:val="22"/>
          <w:szCs w:val="22"/>
        </w:rPr>
      </w:pPr>
      <w:r>
        <w:rPr>
          <w:noProof/>
        </w:rPr>
        <w:drawing>
          <wp:inline distT="0" distB="0" distL="0" distR="0" wp14:anchorId="3E98969B" wp14:editId="7ED69AB0">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5EB4" w:rsidRDefault="00B75EB4" w:rsidP="006D14D3">
      <w:pPr>
        <w:pStyle w:val="ListParagraph"/>
        <w:spacing w:after="200" w:line="276" w:lineRule="auto"/>
        <w:rPr>
          <w:rFonts w:ascii="Arial" w:hAnsi="Arial" w:cs="Arial"/>
          <w:b/>
          <w:sz w:val="22"/>
          <w:szCs w:val="22"/>
        </w:rPr>
      </w:pPr>
    </w:p>
    <w:p w:rsidR="00D954B1" w:rsidRDefault="00D954B1" w:rsidP="006D14D3">
      <w:pPr>
        <w:pStyle w:val="ListParagraph"/>
        <w:spacing w:after="200" w:line="276" w:lineRule="auto"/>
        <w:rPr>
          <w:rFonts w:ascii="Arial" w:hAnsi="Arial" w:cs="Arial"/>
          <w:b/>
          <w:sz w:val="22"/>
          <w:szCs w:val="22"/>
        </w:rPr>
      </w:pPr>
    </w:p>
    <w:p w:rsidR="006D14D3" w:rsidRDefault="00B75EB4" w:rsidP="00716AC4">
      <w:pPr>
        <w:spacing w:after="200" w:line="276" w:lineRule="auto"/>
        <w:rPr>
          <w:rFonts w:ascii="Arial" w:hAnsi="Arial" w:cs="Arial"/>
          <w:b/>
          <w:sz w:val="22"/>
          <w:szCs w:val="22"/>
        </w:rPr>
      </w:pPr>
      <w:r>
        <w:rPr>
          <w:rFonts w:ascii="Arial" w:hAnsi="Arial" w:cs="Arial"/>
          <w:b/>
          <w:sz w:val="22"/>
          <w:szCs w:val="22"/>
        </w:rPr>
        <w:t>4. Month end faster close</w:t>
      </w:r>
    </w:p>
    <w:p w:rsidR="00B75EB4" w:rsidRPr="001A2303" w:rsidRDefault="001A2303" w:rsidP="00716AC4">
      <w:pPr>
        <w:spacing w:after="200" w:line="276" w:lineRule="auto"/>
        <w:rPr>
          <w:rFonts w:ascii="Arial" w:hAnsi="Arial" w:cs="Arial"/>
          <w:sz w:val="22"/>
          <w:szCs w:val="22"/>
        </w:rPr>
      </w:pPr>
      <w:r w:rsidRPr="001A2303">
        <w:rPr>
          <w:rFonts w:ascii="Arial" w:hAnsi="Arial" w:cs="Arial"/>
          <w:sz w:val="22"/>
          <w:szCs w:val="22"/>
        </w:rPr>
        <w:t>An internal f</w:t>
      </w:r>
      <w:r w:rsidR="00A86A0C" w:rsidRPr="001A2303">
        <w:rPr>
          <w:rFonts w:ascii="Arial" w:hAnsi="Arial" w:cs="Arial"/>
          <w:sz w:val="22"/>
          <w:szCs w:val="22"/>
        </w:rPr>
        <w:t xml:space="preserve">inance team objective </w:t>
      </w:r>
      <w:r w:rsidRPr="001A2303">
        <w:rPr>
          <w:rFonts w:ascii="Arial" w:hAnsi="Arial" w:cs="Arial"/>
          <w:sz w:val="22"/>
          <w:szCs w:val="22"/>
        </w:rPr>
        <w:t xml:space="preserve">was set </w:t>
      </w:r>
      <w:r w:rsidR="00A86A0C" w:rsidRPr="001A2303">
        <w:rPr>
          <w:rFonts w:ascii="Arial" w:hAnsi="Arial" w:cs="Arial"/>
          <w:sz w:val="22"/>
          <w:szCs w:val="22"/>
        </w:rPr>
        <w:t>to improve the corporate</w:t>
      </w:r>
      <w:r w:rsidRPr="001A2303">
        <w:rPr>
          <w:rFonts w:ascii="Arial" w:hAnsi="Arial" w:cs="Arial"/>
          <w:sz w:val="22"/>
          <w:szCs w:val="22"/>
        </w:rPr>
        <w:t xml:space="preserve"> governance and financial management support </w:t>
      </w:r>
      <w:r w:rsidR="008E7A72">
        <w:rPr>
          <w:rFonts w:ascii="Arial" w:hAnsi="Arial" w:cs="Arial"/>
          <w:sz w:val="22"/>
          <w:szCs w:val="22"/>
        </w:rPr>
        <w:t xml:space="preserve">the team </w:t>
      </w:r>
      <w:r w:rsidRPr="001A2303">
        <w:rPr>
          <w:rFonts w:ascii="Arial" w:hAnsi="Arial" w:cs="Arial"/>
          <w:sz w:val="22"/>
          <w:szCs w:val="22"/>
        </w:rPr>
        <w:t>provides</w:t>
      </w:r>
      <w:r w:rsidR="00A86A0C" w:rsidRPr="001A2303">
        <w:rPr>
          <w:rFonts w:ascii="Arial" w:hAnsi="Arial" w:cs="Arial"/>
          <w:sz w:val="22"/>
          <w:szCs w:val="22"/>
        </w:rPr>
        <w:t>:</w:t>
      </w:r>
    </w:p>
    <w:p w:rsidR="00A86A0C" w:rsidRPr="001A2303" w:rsidRDefault="00A86A0C" w:rsidP="00A86A0C">
      <w:pPr>
        <w:pStyle w:val="NormalWeb"/>
        <w:rPr>
          <w:rFonts w:ascii="Arial" w:hAnsi="Arial" w:cs="Arial"/>
          <w:i/>
          <w:sz w:val="22"/>
          <w:szCs w:val="22"/>
        </w:rPr>
      </w:pPr>
      <w:r w:rsidRPr="001A2303">
        <w:rPr>
          <w:rFonts w:ascii="Arial" w:hAnsi="Arial" w:cs="Arial"/>
          <w:i/>
          <w:sz w:val="22"/>
          <w:szCs w:val="22"/>
        </w:rPr>
        <w:t>To produce financial management monthly reports including cash flow, balance sheet, reconciled control accounts within 5 working days of month end aiming to be able to achieve within 4 working days of month end by the end of the calendar year. Actual achievement will be recorded on the monthly timetable.</w:t>
      </w:r>
    </w:p>
    <w:p w:rsidR="00480953" w:rsidRPr="00A86A0C" w:rsidRDefault="001A2303" w:rsidP="00716AC4">
      <w:pPr>
        <w:spacing w:after="200" w:line="276" w:lineRule="auto"/>
        <w:rPr>
          <w:rFonts w:ascii="Arial" w:hAnsi="Arial" w:cs="Arial"/>
          <w:sz w:val="22"/>
          <w:szCs w:val="22"/>
        </w:rPr>
      </w:pPr>
      <w:r>
        <w:rPr>
          <w:rFonts w:ascii="Arial" w:hAnsi="Arial" w:cs="Arial"/>
          <w:sz w:val="22"/>
          <w:szCs w:val="22"/>
        </w:rPr>
        <w:t>T</w:t>
      </w:r>
      <w:r w:rsidR="00F273CB">
        <w:rPr>
          <w:rFonts w:ascii="Arial" w:hAnsi="Arial" w:cs="Arial"/>
          <w:sz w:val="22"/>
          <w:szCs w:val="22"/>
        </w:rPr>
        <w:t xml:space="preserve">he finance team has worked steadily throughout the year to reduce the number of working days to complete month end to a target of 4 days.  This target was achieved in February </w:t>
      </w:r>
      <w:proofErr w:type="gramStart"/>
      <w:r w:rsidR="00F273CB">
        <w:rPr>
          <w:rFonts w:ascii="Arial" w:hAnsi="Arial" w:cs="Arial"/>
          <w:sz w:val="22"/>
          <w:szCs w:val="22"/>
        </w:rPr>
        <w:t>and  the</w:t>
      </w:r>
      <w:proofErr w:type="gramEnd"/>
      <w:r w:rsidR="00F273CB">
        <w:rPr>
          <w:rFonts w:ascii="Arial" w:hAnsi="Arial" w:cs="Arial"/>
          <w:sz w:val="22"/>
          <w:szCs w:val="22"/>
        </w:rPr>
        <w:t xml:space="preserve"> </w:t>
      </w:r>
      <w:r w:rsidR="00F16278">
        <w:rPr>
          <w:rFonts w:ascii="Arial" w:hAnsi="Arial" w:cs="Arial"/>
          <w:sz w:val="22"/>
          <w:szCs w:val="22"/>
        </w:rPr>
        <w:t xml:space="preserve">finance </w:t>
      </w:r>
      <w:r w:rsidR="00E31CA4">
        <w:rPr>
          <w:rFonts w:ascii="Arial" w:hAnsi="Arial" w:cs="Arial"/>
          <w:sz w:val="22"/>
          <w:szCs w:val="22"/>
        </w:rPr>
        <w:t>team met the agreed timetable deadlines set for the year end process</w:t>
      </w:r>
      <w:r w:rsidR="00F273CB">
        <w:rPr>
          <w:rFonts w:ascii="Arial" w:hAnsi="Arial" w:cs="Arial"/>
          <w:sz w:val="22"/>
          <w:szCs w:val="22"/>
        </w:rPr>
        <w:t>.</w:t>
      </w:r>
      <w:r w:rsidR="00F273CB" w:rsidRPr="00A86A0C">
        <w:rPr>
          <w:rFonts w:ascii="Arial" w:hAnsi="Arial" w:cs="Arial"/>
          <w:sz w:val="22"/>
          <w:szCs w:val="22"/>
        </w:rPr>
        <w:t xml:space="preserve"> </w:t>
      </w:r>
    </w:p>
    <w:p w:rsidR="00716AC4" w:rsidRPr="00716AC4" w:rsidRDefault="00B75EB4" w:rsidP="00716AC4">
      <w:pPr>
        <w:spacing w:after="200" w:line="276" w:lineRule="auto"/>
        <w:rPr>
          <w:rFonts w:ascii="Arial" w:hAnsi="Arial" w:cs="Arial"/>
          <w:b/>
          <w:sz w:val="22"/>
          <w:szCs w:val="22"/>
        </w:rPr>
      </w:pPr>
      <w:r>
        <w:rPr>
          <w:rFonts w:ascii="Arial" w:hAnsi="Arial" w:cs="Arial"/>
          <w:b/>
          <w:sz w:val="22"/>
          <w:szCs w:val="22"/>
        </w:rPr>
        <w:t>5</w:t>
      </w:r>
      <w:r w:rsidR="00716AC4" w:rsidRPr="00716AC4">
        <w:rPr>
          <w:rFonts w:ascii="Arial" w:hAnsi="Arial" w:cs="Arial"/>
          <w:b/>
          <w:sz w:val="22"/>
          <w:szCs w:val="22"/>
        </w:rPr>
        <w:t>.  Capital</w:t>
      </w:r>
    </w:p>
    <w:p w:rsidR="00716AC4" w:rsidRPr="00F15412" w:rsidRDefault="00716AC4" w:rsidP="00716AC4">
      <w:pPr>
        <w:jc w:val="both"/>
        <w:rPr>
          <w:rFonts w:ascii="Arial" w:hAnsi="Arial" w:cs="Arial"/>
          <w:sz w:val="22"/>
          <w:szCs w:val="22"/>
        </w:rPr>
      </w:pPr>
      <w:r w:rsidRPr="00F15412">
        <w:rPr>
          <w:rFonts w:ascii="Arial" w:hAnsi="Arial" w:cs="Arial"/>
          <w:sz w:val="22"/>
          <w:szCs w:val="22"/>
        </w:rPr>
        <w:t xml:space="preserve">The HRA opening capital resource </w:t>
      </w:r>
      <w:r w:rsidR="002D25C2" w:rsidRPr="00F15412">
        <w:rPr>
          <w:rFonts w:ascii="Arial" w:hAnsi="Arial" w:cs="Arial"/>
          <w:sz w:val="22"/>
          <w:szCs w:val="22"/>
        </w:rPr>
        <w:t xml:space="preserve">and </w:t>
      </w:r>
      <w:r w:rsidRPr="00F15412">
        <w:rPr>
          <w:rFonts w:ascii="Arial" w:hAnsi="Arial" w:cs="Arial"/>
          <w:sz w:val="22"/>
          <w:szCs w:val="22"/>
        </w:rPr>
        <w:t>cash limit</w:t>
      </w:r>
      <w:r w:rsidR="002D25C2" w:rsidRPr="00F15412">
        <w:rPr>
          <w:rFonts w:ascii="Arial" w:hAnsi="Arial" w:cs="Arial"/>
          <w:sz w:val="22"/>
          <w:szCs w:val="22"/>
        </w:rPr>
        <w:t>s</w:t>
      </w:r>
      <w:r w:rsidRPr="00F15412">
        <w:rPr>
          <w:rFonts w:ascii="Arial" w:hAnsi="Arial" w:cs="Arial"/>
          <w:sz w:val="22"/>
          <w:szCs w:val="22"/>
        </w:rPr>
        <w:t xml:space="preserve"> </w:t>
      </w:r>
      <w:r w:rsidR="006B7621" w:rsidRPr="00F15412">
        <w:rPr>
          <w:rFonts w:ascii="Arial" w:hAnsi="Arial" w:cs="Arial"/>
          <w:sz w:val="22"/>
          <w:szCs w:val="22"/>
        </w:rPr>
        <w:t>ha</w:t>
      </w:r>
      <w:r w:rsidR="002D25C2" w:rsidRPr="00F15412">
        <w:rPr>
          <w:rFonts w:ascii="Arial" w:hAnsi="Arial" w:cs="Arial"/>
          <w:sz w:val="22"/>
          <w:szCs w:val="22"/>
        </w:rPr>
        <w:t>ve</w:t>
      </w:r>
      <w:r w:rsidR="006B7621" w:rsidRPr="00F15412">
        <w:rPr>
          <w:rFonts w:ascii="Arial" w:hAnsi="Arial" w:cs="Arial"/>
          <w:sz w:val="22"/>
          <w:szCs w:val="22"/>
        </w:rPr>
        <w:t xml:space="preserve"> been </w:t>
      </w:r>
      <w:r w:rsidRPr="00F15412">
        <w:rPr>
          <w:rFonts w:ascii="Arial" w:hAnsi="Arial" w:cs="Arial"/>
          <w:sz w:val="22"/>
          <w:szCs w:val="22"/>
        </w:rPr>
        <w:t xml:space="preserve">confirmed </w:t>
      </w:r>
      <w:r w:rsidR="002D25C2" w:rsidRPr="00F15412">
        <w:rPr>
          <w:rFonts w:ascii="Arial" w:hAnsi="Arial" w:cs="Arial"/>
          <w:sz w:val="22"/>
          <w:szCs w:val="22"/>
        </w:rPr>
        <w:t xml:space="preserve">by DH </w:t>
      </w:r>
      <w:r w:rsidRPr="00F15412">
        <w:rPr>
          <w:rFonts w:ascii="Arial" w:hAnsi="Arial" w:cs="Arial"/>
          <w:sz w:val="22"/>
          <w:szCs w:val="22"/>
        </w:rPr>
        <w:t>at £</w:t>
      </w:r>
      <w:r w:rsidR="006B7621" w:rsidRPr="00F15412">
        <w:rPr>
          <w:rFonts w:ascii="Arial" w:hAnsi="Arial" w:cs="Arial"/>
          <w:sz w:val="22"/>
          <w:szCs w:val="22"/>
        </w:rPr>
        <w:t>1,050</w:t>
      </w:r>
      <w:r w:rsidRPr="00F15412">
        <w:rPr>
          <w:rFonts w:ascii="Arial" w:hAnsi="Arial" w:cs="Arial"/>
          <w:sz w:val="22"/>
          <w:szCs w:val="22"/>
        </w:rPr>
        <w:t xml:space="preserve">k respectively at the beginning of the financial year.  The table below sets out the </w:t>
      </w:r>
      <w:r w:rsidR="006B7621" w:rsidRPr="00F15412">
        <w:rPr>
          <w:rFonts w:ascii="Arial" w:hAnsi="Arial" w:cs="Arial"/>
          <w:sz w:val="22"/>
          <w:szCs w:val="22"/>
        </w:rPr>
        <w:t xml:space="preserve">initial position </w:t>
      </w:r>
      <w:r w:rsidRPr="00F15412">
        <w:rPr>
          <w:rFonts w:ascii="Arial" w:hAnsi="Arial" w:cs="Arial"/>
          <w:sz w:val="22"/>
          <w:szCs w:val="22"/>
        </w:rPr>
        <w:t>agree</w:t>
      </w:r>
      <w:r w:rsidR="00272C4C">
        <w:rPr>
          <w:rFonts w:ascii="Arial" w:hAnsi="Arial" w:cs="Arial"/>
          <w:sz w:val="22"/>
          <w:szCs w:val="22"/>
        </w:rPr>
        <w:t>d</w:t>
      </w:r>
      <w:r w:rsidR="00132DB0">
        <w:rPr>
          <w:rFonts w:ascii="Arial" w:hAnsi="Arial" w:cs="Arial"/>
          <w:sz w:val="22"/>
          <w:szCs w:val="22"/>
        </w:rPr>
        <w:t xml:space="preserve"> with the Department of Health,</w:t>
      </w:r>
      <w:r w:rsidR="00272C4C">
        <w:rPr>
          <w:rFonts w:ascii="Arial" w:hAnsi="Arial" w:cs="Arial"/>
          <w:sz w:val="22"/>
          <w:szCs w:val="22"/>
        </w:rPr>
        <w:t xml:space="preserve"> a likely </w:t>
      </w:r>
      <w:r w:rsidR="00D0058C">
        <w:rPr>
          <w:rFonts w:ascii="Arial" w:hAnsi="Arial" w:cs="Arial"/>
          <w:sz w:val="22"/>
          <w:szCs w:val="22"/>
        </w:rPr>
        <w:t>underspend</w:t>
      </w:r>
      <w:r w:rsidR="00272C4C">
        <w:rPr>
          <w:rFonts w:ascii="Arial" w:hAnsi="Arial" w:cs="Arial"/>
          <w:sz w:val="22"/>
          <w:szCs w:val="22"/>
        </w:rPr>
        <w:t xml:space="preserve"> has been flagged as part of the month 9 return process.</w:t>
      </w:r>
    </w:p>
    <w:tbl>
      <w:tblPr>
        <w:tblW w:w="5960" w:type="dxa"/>
        <w:tblInd w:w="93" w:type="dxa"/>
        <w:tblLook w:val="04A0" w:firstRow="1" w:lastRow="0" w:firstColumn="1" w:lastColumn="0" w:noHBand="0" w:noVBand="1"/>
      </w:tblPr>
      <w:tblGrid>
        <w:gridCol w:w="3555"/>
        <w:gridCol w:w="1145"/>
        <w:gridCol w:w="1260"/>
      </w:tblGrid>
      <w:tr w:rsidR="00716AC4" w:rsidRPr="001C2AB3" w:rsidTr="00716AC4">
        <w:trPr>
          <w:trHeight w:val="300"/>
        </w:trPr>
        <w:tc>
          <w:tcPr>
            <w:tcW w:w="4700" w:type="dxa"/>
            <w:gridSpan w:val="2"/>
            <w:tcBorders>
              <w:top w:val="nil"/>
              <w:left w:val="nil"/>
              <w:bottom w:val="nil"/>
              <w:right w:val="nil"/>
            </w:tcBorders>
            <w:shd w:val="clear" w:color="auto" w:fill="auto"/>
            <w:noWrap/>
            <w:vAlign w:val="bottom"/>
            <w:hideMark/>
          </w:tcPr>
          <w:p w:rsidR="00006A45" w:rsidRPr="00F15412" w:rsidRDefault="00006A45" w:rsidP="00716AC4">
            <w:pPr>
              <w:rPr>
                <w:rFonts w:ascii="Calibri" w:hAnsi="Calibri" w:cs="Calibri"/>
                <w:b/>
                <w:bCs/>
                <w:color w:val="000000"/>
                <w:sz w:val="22"/>
                <w:szCs w:val="22"/>
              </w:rPr>
            </w:pPr>
          </w:p>
          <w:p w:rsidR="00716AC4" w:rsidRPr="00F15412" w:rsidRDefault="00716AC4" w:rsidP="00716AC4">
            <w:pPr>
              <w:rPr>
                <w:rFonts w:ascii="Calibri" w:hAnsi="Calibri" w:cs="Calibri"/>
                <w:b/>
                <w:bCs/>
                <w:color w:val="000000"/>
                <w:sz w:val="22"/>
                <w:szCs w:val="22"/>
              </w:rPr>
            </w:pPr>
            <w:r w:rsidRPr="00F15412">
              <w:rPr>
                <w:rFonts w:ascii="Calibri" w:hAnsi="Calibri" w:cs="Calibri"/>
                <w:b/>
                <w:bCs/>
                <w:color w:val="000000"/>
                <w:sz w:val="22"/>
                <w:szCs w:val="22"/>
              </w:rPr>
              <w:t>Capital Resource and Capital Cash Limits</w:t>
            </w:r>
          </w:p>
        </w:tc>
        <w:tc>
          <w:tcPr>
            <w:tcW w:w="1260" w:type="dxa"/>
            <w:tcBorders>
              <w:top w:val="nil"/>
              <w:left w:val="nil"/>
              <w:bottom w:val="nil"/>
              <w:right w:val="nil"/>
            </w:tcBorders>
            <w:shd w:val="clear" w:color="auto" w:fill="auto"/>
            <w:noWrap/>
            <w:vAlign w:val="bottom"/>
            <w:hideMark/>
          </w:tcPr>
          <w:p w:rsidR="00716AC4" w:rsidRPr="00F15412" w:rsidRDefault="00716AC4" w:rsidP="00716AC4">
            <w:pPr>
              <w:rPr>
                <w:rFonts w:ascii="Calibri" w:hAnsi="Calibri" w:cs="Calibri"/>
                <w:color w:val="000000"/>
                <w:sz w:val="22"/>
                <w:szCs w:val="22"/>
              </w:rPr>
            </w:pPr>
          </w:p>
        </w:tc>
      </w:tr>
      <w:tr w:rsidR="00716AC4" w:rsidRPr="001C2AB3" w:rsidTr="00105649">
        <w:trPr>
          <w:trHeight w:val="300"/>
        </w:trPr>
        <w:tc>
          <w:tcPr>
            <w:tcW w:w="3555" w:type="dxa"/>
            <w:tcBorders>
              <w:top w:val="nil"/>
              <w:left w:val="nil"/>
              <w:bottom w:val="single" w:sz="4" w:space="0" w:color="auto"/>
              <w:right w:val="nil"/>
            </w:tcBorders>
            <w:shd w:val="clear" w:color="auto" w:fill="auto"/>
            <w:noWrap/>
            <w:vAlign w:val="bottom"/>
            <w:hideMark/>
          </w:tcPr>
          <w:p w:rsidR="00716AC4" w:rsidRPr="00F15412" w:rsidRDefault="00716AC4" w:rsidP="00716AC4">
            <w:pPr>
              <w:rPr>
                <w:rFonts w:ascii="Calibri" w:hAnsi="Calibri" w:cs="Calibri"/>
                <w:color w:val="000000"/>
                <w:sz w:val="22"/>
                <w:szCs w:val="22"/>
              </w:rPr>
            </w:pPr>
          </w:p>
        </w:tc>
        <w:tc>
          <w:tcPr>
            <w:tcW w:w="1145" w:type="dxa"/>
            <w:tcBorders>
              <w:top w:val="nil"/>
              <w:left w:val="nil"/>
              <w:bottom w:val="single" w:sz="4" w:space="0" w:color="auto"/>
              <w:right w:val="nil"/>
            </w:tcBorders>
            <w:shd w:val="clear" w:color="auto" w:fill="auto"/>
            <w:noWrap/>
            <w:vAlign w:val="bottom"/>
            <w:hideMark/>
          </w:tcPr>
          <w:p w:rsidR="00716AC4" w:rsidRPr="00F15412" w:rsidRDefault="00716AC4" w:rsidP="00716AC4">
            <w:pPr>
              <w:rPr>
                <w:rFonts w:ascii="Calibri" w:hAnsi="Calibri" w:cs="Calibri"/>
                <w:color w:val="000000"/>
                <w:sz w:val="22"/>
                <w:szCs w:val="22"/>
              </w:rPr>
            </w:pPr>
          </w:p>
        </w:tc>
        <w:tc>
          <w:tcPr>
            <w:tcW w:w="1260" w:type="dxa"/>
            <w:tcBorders>
              <w:top w:val="nil"/>
              <w:left w:val="nil"/>
              <w:bottom w:val="single" w:sz="4" w:space="0" w:color="auto"/>
              <w:right w:val="nil"/>
            </w:tcBorders>
            <w:shd w:val="clear" w:color="auto" w:fill="auto"/>
            <w:noWrap/>
            <w:vAlign w:val="bottom"/>
            <w:hideMark/>
          </w:tcPr>
          <w:p w:rsidR="00716AC4" w:rsidRPr="00F15412" w:rsidRDefault="00716AC4" w:rsidP="00716AC4">
            <w:pPr>
              <w:rPr>
                <w:rFonts w:ascii="Calibri" w:hAnsi="Calibri" w:cs="Calibri"/>
                <w:color w:val="000000"/>
                <w:sz w:val="22"/>
                <w:szCs w:val="22"/>
              </w:rPr>
            </w:pPr>
          </w:p>
        </w:tc>
      </w:tr>
      <w:tr w:rsidR="00105649" w:rsidRPr="00105649" w:rsidTr="00105649">
        <w:trPr>
          <w:trHeight w:val="300"/>
        </w:trPr>
        <w:tc>
          <w:tcPr>
            <w:tcW w:w="3555" w:type="dxa"/>
            <w:tcBorders>
              <w:top w:val="single" w:sz="4" w:space="0" w:color="auto"/>
              <w:left w:val="single" w:sz="4" w:space="0" w:color="auto"/>
              <w:right w:val="single" w:sz="4" w:space="0" w:color="auto"/>
            </w:tcBorders>
            <w:shd w:val="clear" w:color="000000" w:fill="50008C"/>
            <w:noWrap/>
            <w:vAlign w:val="bottom"/>
            <w:hideMark/>
          </w:tcPr>
          <w:p w:rsidR="00716AC4" w:rsidRPr="00105649" w:rsidRDefault="00716AC4" w:rsidP="00716AC4">
            <w:pPr>
              <w:jc w:val="center"/>
              <w:rPr>
                <w:rFonts w:ascii="Calibri" w:hAnsi="Calibri" w:cs="Calibri"/>
                <w:b/>
                <w:bCs/>
                <w:color w:val="FFFFFF" w:themeColor="background1"/>
                <w:sz w:val="22"/>
                <w:szCs w:val="22"/>
              </w:rPr>
            </w:pPr>
            <w:r w:rsidRPr="00105649">
              <w:rPr>
                <w:rFonts w:ascii="Calibri" w:hAnsi="Calibri" w:cs="Calibri"/>
                <w:b/>
                <w:bCs/>
                <w:color w:val="FFFFFF" w:themeColor="background1"/>
                <w:sz w:val="22"/>
                <w:szCs w:val="22"/>
              </w:rPr>
              <w:t>Details</w:t>
            </w:r>
          </w:p>
        </w:tc>
        <w:tc>
          <w:tcPr>
            <w:tcW w:w="1145" w:type="dxa"/>
            <w:tcBorders>
              <w:top w:val="single" w:sz="4" w:space="0" w:color="auto"/>
              <w:left w:val="nil"/>
              <w:right w:val="single" w:sz="4" w:space="0" w:color="auto"/>
            </w:tcBorders>
            <w:shd w:val="clear" w:color="000000" w:fill="50008C"/>
            <w:vAlign w:val="bottom"/>
            <w:hideMark/>
          </w:tcPr>
          <w:p w:rsidR="00716AC4" w:rsidRPr="00105649" w:rsidRDefault="00716AC4" w:rsidP="00716AC4">
            <w:pPr>
              <w:jc w:val="center"/>
              <w:rPr>
                <w:rFonts w:ascii="Calibri" w:hAnsi="Calibri" w:cs="Calibri"/>
                <w:b/>
                <w:bCs/>
                <w:color w:val="FFFFFF" w:themeColor="background1"/>
                <w:sz w:val="22"/>
                <w:szCs w:val="22"/>
              </w:rPr>
            </w:pPr>
            <w:r w:rsidRPr="00105649">
              <w:rPr>
                <w:rFonts w:ascii="Calibri" w:hAnsi="Calibri" w:cs="Calibri"/>
                <w:b/>
                <w:bCs/>
                <w:color w:val="FFFFFF" w:themeColor="background1"/>
                <w:sz w:val="22"/>
                <w:szCs w:val="22"/>
              </w:rPr>
              <w:t>Capital</w:t>
            </w:r>
          </w:p>
        </w:tc>
        <w:tc>
          <w:tcPr>
            <w:tcW w:w="1260" w:type="dxa"/>
            <w:tcBorders>
              <w:top w:val="single" w:sz="4" w:space="0" w:color="auto"/>
              <w:left w:val="nil"/>
              <w:right w:val="single" w:sz="4" w:space="0" w:color="auto"/>
            </w:tcBorders>
            <w:shd w:val="clear" w:color="000000" w:fill="50008C"/>
            <w:vAlign w:val="bottom"/>
            <w:hideMark/>
          </w:tcPr>
          <w:p w:rsidR="00716AC4" w:rsidRPr="00105649" w:rsidRDefault="00716AC4" w:rsidP="00716AC4">
            <w:pPr>
              <w:jc w:val="center"/>
              <w:rPr>
                <w:rFonts w:ascii="Calibri" w:hAnsi="Calibri" w:cs="Calibri"/>
                <w:b/>
                <w:bCs/>
                <w:color w:val="FFFFFF" w:themeColor="background1"/>
                <w:sz w:val="22"/>
                <w:szCs w:val="22"/>
              </w:rPr>
            </w:pPr>
            <w:r w:rsidRPr="00105649">
              <w:rPr>
                <w:rFonts w:ascii="Calibri" w:hAnsi="Calibri" w:cs="Calibri"/>
                <w:b/>
                <w:bCs/>
                <w:color w:val="FFFFFF" w:themeColor="background1"/>
                <w:sz w:val="22"/>
                <w:szCs w:val="22"/>
              </w:rPr>
              <w:t>Capital cash limit</w:t>
            </w:r>
          </w:p>
        </w:tc>
      </w:tr>
      <w:tr w:rsidR="00105649" w:rsidRPr="00105649" w:rsidTr="00105649">
        <w:trPr>
          <w:trHeight w:val="300"/>
        </w:trPr>
        <w:tc>
          <w:tcPr>
            <w:tcW w:w="3555" w:type="dxa"/>
            <w:tcBorders>
              <w:top w:val="nil"/>
              <w:left w:val="single" w:sz="4" w:space="0" w:color="auto"/>
              <w:bottom w:val="single" w:sz="4" w:space="0" w:color="auto"/>
              <w:right w:val="single" w:sz="4" w:space="0" w:color="auto"/>
            </w:tcBorders>
            <w:shd w:val="clear" w:color="000000" w:fill="50008C"/>
            <w:noWrap/>
            <w:vAlign w:val="bottom"/>
            <w:hideMark/>
          </w:tcPr>
          <w:p w:rsidR="00716AC4" w:rsidRPr="00105649" w:rsidRDefault="00716AC4" w:rsidP="00716AC4">
            <w:pPr>
              <w:jc w:val="center"/>
              <w:rPr>
                <w:rFonts w:ascii="Calibri" w:hAnsi="Calibri" w:cs="Calibri"/>
                <w:b/>
                <w:bCs/>
                <w:color w:val="FFFFFF" w:themeColor="background1"/>
                <w:sz w:val="22"/>
                <w:szCs w:val="22"/>
              </w:rPr>
            </w:pPr>
            <w:r w:rsidRPr="00105649">
              <w:rPr>
                <w:rFonts w:ascii="Calibri" w:hAnsi="Calibri" w:cs="Calibri"/>
                <w:b/>
                <w:bCs/>
                <w:color w:val="FFFFFF" w:themeColor="background1"/>
                <w:sz w:val="22"/>
                <w:szCs w:val="22"/>
              </w:rPr>
              <w:t> </w:t>
            </w:r>
          </w:p>
        </w:tc>
        <w:tc>
          <w:tcPr>
            <w:tcW w:w="1145" w:type="dxa"/>
            <w:tcBorders>
              <w:top w:val="nil"/>
              <w:left w:val="nil"/>
              <w:bottom w:val="single" w:sz="4" w:space="0" w:color="auto"/>
              <w:right w:val="single" w:sz="4" w:space="0" w:color="auto"/>
            </w:tcBorders>
            <w:shd w:val="clear" w:color="000000" w:fill="50008C"/>
            <w:noWrap/>
            <w:vAlign w:val="bottom"/>
            <w:hideMark/>
          </w:tcPr>
          <w:p w:rsidR="00716AC4" w:rsidRPr="00105649" w:rsidRDefault="00716AC4" w:rsidP="00716AC4">
            <w:pPr>
              <w:jc w:val="center"/>
              <w:rPr>
                <w:rFonts w:ascii="Calibri" w:hAnsi="Calibri" w:cs="Calibri"/>
                <w:b/>
                <w:bCs/>
                <w:color w:val="FFFFFF" w:themeColor="background1"/>
                <w:sz w:val="22"/>
                <w:szCs w:val="22"/>
              </w:rPr>
            </w:pPr>
            <w:r w:rsidRPr="00105649">
              <w:rPr>
                <w:rFonts w:ascii="Calibri" w:hAnsi="Calibri" w:cs="Calibri"/>
                <w:b/>
                <w:bCs/>
                <w:color w:val="FFFFFF" w:themeColor="background1"/>
                <w:sz w:val="22"/>
                <w:szCs w:val="22"/>
              </w:rPr>
              <w:t>£'000</w:t>
            </w:r>
          </w:p>
        </w:tc>
        <w:tc>
          <w:tcPr>
            <w:tcW w:w="1260" w:type="dxa"/>
            <w:tcBorders>
              <w:top w:val="nil"/>
              <w:left w:val="nil"/>
              <w:bottom w:val="single" w:sz="4" w:space="0" w:color="auto"/>
              <w:right w:val="single" w:sz="4" w:space="0" w:color="auto"/>
            </w:tcBorders>
            <w:shd w:val="clear" w:color="000000" w:fill="50008C"/>
            <w:noWrap/>
            <w:vAlign w:val="bottom"/>
            <w:hideMark/>
          </w:tcPr>
          <w:p w:rsidR="00716AC4" w:rsidRPr="00105649" w:rsidRDefault="00716AC4" w:rsidP="00716AC4">
            <w:pPr>
              <w:jc w:val="center"/>
              <w:rPr>
                <w:rFonts w:ascii="Calibri" w:hAnsi="Calibri" w:cs="Calibri"/>
                <w:b/>
                <w:bCs/>
                <w:color w:val="FFFFFF" w:themeColor="background1"/>
                <w:sz w:val="22"/>
                <w:szCs w:val="22"/>
              </w:rPr>
            </w:pPr>
            <w:r w:rsidRPr="00105649">
              <w:rPr>
                <w:rFonts w:ascii="Calibri" w:hAnsi="Calibri" w:cs="Calibri"/>
                <w:b/>
                <w:bCs/>
                <w:color w:val="FFFFFF" w:themeColor="background1"/>
                <w:sz w:val="22"/>
                <w:szCs w:val="22"/>
              </w:rPr>
              <w:t>£'000</w:t>
            </w:r>
          </w:p>
        </w:tc>
      </w:tr>
      <w:tr w:rsidR="00716AC4" w:rsidRPr="001C2AB3" w:rsidTr="00716AC4">
        <w:trPr>
          <w:trHeight w:val="300"/>
        </w:trPr>
        <w:tc>
          <w:tcPr>
            <w:tcW w:w="3555" w:type="dxa"/>
            <w:tcBorders>
              <w:top w:val="nil"/>
              <w:left w:val="single" w:sz="4" w:space="0" w:color="auto"/>
              <w:bottom w:val="nil"/>
              <w:right w:val="single" w:sz="4" w:space="0" w:color="auto"/>
            </w:tcBorders>
            <w:shd w:val="clear" w:color="auto" w:fill="auto"/>
            <w:noWrap/>
            <w:vAlign w:val="bottom"/>
            <w:hideMark/>
          </w:tcPr>
          <w:p w:rsidR="00716AC4" w:rsidRPr="00F15412" w:rsidRDefault="00716AC4" w:rsidP="006B7621">
            <w:pPr>
              <w:rPr>
                <w:rFonts w:ascii="Calibri" w:hAnsi="Calibri" w:cs="Calibri"/>
                <w:b/>
                <w:bCs/>
                <w:color w:val="000000"/>
                <w:sz w:val="22"/>
                <w:szCs w:val="22"/>
              </w:rPr>
            </w:pPr>
            <w:r w:rsidRPr="00F15412">
              <w:rPr>
                <w:rFonts w:ascii="Calibri" w:hAnsi="Calibri" w:cs="Calibri"/>
                <w:b/>
                <w:bCs/>
                <w:color w:val="000000"/>
                <w:sz w:val="22"/>
                <w:szCs w:val="22"/>
              </w:rPr>
              <w:t>201</w:t>
            </w:r>
            <w:r w:rsidR="006B7621" w:rsidRPr="00F15412">
              <w:rPr>
                <w:rFonts w:ascii="Calibri" w:hAnsi="Calibri" w:cs="Calibri"/>
                <w:b/>
                <w:bCs/>
                <w:color w:val="000000"/>
                <w:sz w:val="22"/>
                <w:szCs w:val="22"/>
              </w:rPr>
              <w:t>3</w:t>
            </w:r>
            <w:r w:rsidRPr="00F15412">
              <w:rPr>
                <w:rFonts w:ascii="Calibri" w:hAnsi="Calibri" w:cs="Calibri"/>
                <w:b/>
                <w:bCs/>
                <w:color w:val="000000"/>
                <w:sz w:val="22"/>
                <w:szCs w:val="22"/>
              </w:rPr>
              <w:t>-1</w:t>
            </w:r>
            <w:r w:rsidR="006B7621" w:rsidRPr="00F15412">
              <w:rPr>
                <w:rFonts w:ascii="Calibri" w:hAnsi="Calibri" w:cs="Calibri"/>
                <w:b/>
                <w:bCs/>
                <w:color w:val="000000"/>
                <w:sz w:val="22"/>
                <w:szCs w:val="22"/>
              </w:rPr>
              <w:t>4</w:t>
            </w:r>
            <w:r w:rsidRPr="00F15412">
              <w:rPr>
                <w:rFonts w:ascii="Calibri" w:hAnsi="Calibri" w:cs="Calibri"/>
                <w:b/>
                <w:bCs/>
                <w:color w:val="000000"/>
                <w:sz w:val="22"/>
                <w:szCs w:val="22"/>
              </w:rPr>
              <w:t xml:space="preserve"> opening budgets</w:t>
            </w:r>
          </w:p>
        </w:tc>
        <w:tc>
          <w:tcPr>
            <w:tcW w:w="1145" w:type="dxa"/>
            <w:tcBorders>
              <w:top w:val="nil"/>
              <w:left w:val="nil"/>
              <w:bottom w:val="nil"/>
              <w:right w:val="single" w:sz="4" w:space="0" w:color="auto"/>
            </w:tcBorders>
            <w:shd w:val="clear" w:color="auto" w:fill="auto"/>
            <w:noWrap/>
            <w:vAlign w:val="bottom"/>
            <w:hideMark/>
          </w:tcPr>
          <w:p w:rsidR="00716AC4" w:rsidRPr="00F15412" w:rsidRDefault="006B7621" w:rsidP="00716AC4">
            <w:pPr>
              <w:jc w:val="right"/>
              <w:rPr>
                <w:rFonts w:ascii="Calibri" w:hAnsi="Calibri" w:cs="Calibri"/>
                <w:color w:val="000000"/>
                <w:sz w:val="22"/>
                <w:szCs w:val="22"/>
              </w:rPr>
            </w:pPr>
            <w:r w:rsidRPr="00F15412">
              <w:rPr>
                <w:rFonts w:ascii="Calibri" w:hAnsi="Calibri" w:cs="Calibri"/>
                <w:color w:val="000000"/>
                <w:sz w:val="22"/>
                <w:szCs w:val="22"/>
              </w:rPr>
              <w:t>1,050</w:t>
            </w:r>
          </w:p>
        </w:tc>
        <w:tc>
          <w:tcPr>
            <w:tcW w:w="1260" w:type="dxa"/>
            <w:tcBorders>
              <w:top w:val="nil"/>
              <w:left w:val="nil"/>
              <w:bottom w:val="nil"/>
              <w:right w:val="single" w:sz="4" w:space="0" w:color="auto"/>
            </w:tcBorders>
            <w:shd w:val="clear" w:color="auto" w:fill="auto"/>
            <w:noWrap/>
            <w:vAlign w:val="bottom"/>
            <w:hideMark/>
          </w:tcPr>
          <w:p w:rsidR="00716AC4" w:rsidRPr="00F15412" w:rsidRDefault="006B7621" w:rsidP="00716AC4">
            <w:pPr>
              <w:jc w:val="right"/>
              <w:rPr>
                <w:rFonts w:ascii="Calibri" w:hAnsi="Calibri" w:cs="Calibri"/>
                <w:color w:val="000000"/>
                <w:sz w:val="22"/>
                <w:szCs w:val="22"/>
              </w:rPr>
            </w:pPr>
            <w:r w:rsidRPr="00F15412">
              <w:rPr>
                <w:rFonts w:ascii="Calibri" w:hAnsi="Calibri" w:cs="Calibri"/>
                <w:color w:val="000000"/>
                <w:sz w:val="22"/>
                <w:szCs w:val="22"/>
              </w:rPr>
              <w:t>1,050</w:t>
            </w:r>
          </w:p>
        </w:tc>
      </w:tr>
      <w:tr w:rsidR="00716AC4" w:rsidRPr="001C2AB3" w:rsidTr="00716AC4">
        <w:trPr>
          <w:trHeight w:val="300"/>
        </w:trPr>
        <w:tc>
          <w:tcPr>
            <w:tcW w:w="3555" w:type="dxa"/>
            <w:tcBorders>
              <w:top w:val="nil"/>
              <w:left w:val="single" w:sz="4" w:space="0" w:color="auto"/>
              <w:bottom w:val="nil"/>
              <w:right w:val="single" w:sz="4" w:space="0" w:color="auto"/>
            </w:tcBorders>
            <w:shd w:val="clear" w:color="auto" w:fill="auto"/>
            <w:noWrap/>
            <w:vAlign w:val="bottom"/>
            <w:hideMark/>
          </w:tcPr>
          <w:p w:rsidR="00716AC4" w:rsidRPr="00F15412" w:rsidRDefault="00716AC4" w:rsidP="00716AC4">
            <w:pPr>
              <w:rPr>
                <w:rFonts w:ascii="Calibri" w:hAnsi="Calibri" w:cs="Calibri"/>
                <w:b/>
                <w:bCs/>
                <w:color w:val="000000"/>
                <w:sz w:val="22"/>
                <w:szCs w:val="22"/>
              </w:rPr>
            </w:pPr>
            <w:r w:rsidRPr="00F15412">
              <w:rPr>
                <w:rFonts w:ascii="Calibri" w:hAnsi="Calibri" w:cs="Calibri"/>
                <w:b/>
                <w:bCs/>
                <w:color w:val="000000"/>
                <w:sz w:val="22"/>
                <w:szCs w:val="22"/>
              </w:rPr>
              <w:t>Non-recurrent adjustments</w:t>
            </w:r>
          </w:p>
        </w:tc>
        <w:tc>
          <w:tcPr>
            <w:tcW w:w="1145" w:type="dxa"/>
            <w:tcBorders>
              <w:top w:val="nil"/>
              <w:left w:val="nil"/>
              <w:bottom w:val="nil"/>
              <w:right w:val="single" w:sz="4" w:space="0" w:color="auto"/>
            </w:tcBorders>
            <w:shd w:val="clear" w:color="auto" w:fill="auto"/>
            <w:noWrap/>
            <w:vAlign w:val="bottom"/>
            <w:hideMark/>
          </w:tcPr>
          <w:p w:rsidR="00716AC4" w:rsidRPr="00F15412" w:rsidRDefault="00716AC4" w:rsidP="00716AC4">
            <w:pPr>
              <w:rPr>
                <w:rFonts w:ascii="Calibri" w:hAnsi="Calibri" w:cs="Calibri"/>
                <w:color w:val="000000"/>
                <w:sz w:val="22"/>
                <w:szCs w:val="22"/>
              </w:rPr>
            </w:pPr>
            <w:r w:rsidRPr="00F15412">
              <w:rPr>
                <w:rFonts w:ascii="Calibri" w:hAnsi="Calibri" w:cs="Calibri"/>
                <w:color w:val="000000"/>
                <w:sz w:val="22"/>
                <w:szCs w:val="22"/>
              </w:rPr>
              <w:t> </w:t>
            </w:r>
          </w:p>
        </w:tc>
        <w:tc>
          <w:tcPr>
            <w:tcW w:w="1260" w:type="dxa"/>
            <w:tcBorders>
              <w:top w:val="nil"/>
              <w:left w:val="nil"/>
              <w:bottom w:val="nil"/>
              <w:right w:val="single" w:sz="4" w:space="0" w:color="auto"/>
            </w:tcBorders>
            <w:shd w:val="clear" w:color="auto" w:fill="auto"/>
            <w:noWrap/>
            <w:vAlign w:val="bottom"/>
            <w:hideMark/>
          </w:tcPr>
          <w:p w:rsidR="00716AC4" w:rsidRPr="00F15412" w:rsidRDefault="00716AC4" w:rsidP="00716AC4">
            <w:pPr>
              <w:rPr>
                <w:rFonts w:ascii="Calibri" w:hAnsi="Calibri" w:cs="Calibri"/>
                <w:color w:val="000000"/>
                <w:sz w:val="22"/>
                <w:szCs w:val="22"/>
              </w:rPr>
            </w:pPr>
            <w:r w:rsidRPr="00F15412">
              <w:rPr>
                <w:rFonts w:ascii="Calibri" w:hAnsi="Calibri" w:cs="Calibri"/>
                <w:color w:val="000000"/>
                <w:sz w:val="22"/>
                <w:szCs w:val="22"/>
              </w:rPr>
              <w:t> </w:t>
            </w:r>
          </w:p>
        </w:tc>
      </w:tr>
      <w:tr w:rsidR="00716AC4" w:rsidRPr="001C2AB3" w:rsidTr="00105649">
        <w:trPr>
          <w:trHeight w:val="300"/>
        </w:trPr>
        <w:tc>
          <w:tcPr>
            <w:tcW w:w="3555" w:type="dxa"/>
            <w:tcBorders>
              <w:top w:val="nil"/>
              <w:left w:val="single" w:sz="4" w:space="0" w:color="auto"/>
              <w:right w:val="single" w:sz="4" w:space="0" w:color="auto"/>
            </w:tcBorders>
            <w:shd w:val="clear" w:color="auto" w:fill="auto"/>
            <w:noWrap/>
            <w:vAlign w:val="bottom"/>
            <w:hideMark/>
          </w:tcPr>
          <w:p w:rsidR="00716AC4" w:rsidRPr="00F15412" w:rsidRDefault="00D0058C" w:rsidP="00716AC4">
            <w:pPr>
              <w:rPr>
                <w:rFonts w:ascii="Calibri" w:hAnsi="Calibri" w:cs="Calibri"/>
                <w:color w:val="000000"/>
                <w:sz w:val="22"/>
                <w:szCs w:val="22"/>
              </w:rPr>
            </w:pPr>
            <w:r>
              <w:rPr>
                <w:rFonts w:ascii="Calibri" w:hAnsi="Calibri" w:cs="Calibri"/>
                <w:color w:val="000000"/>
                <w:sz w:val="22"/>
                <w:szCs w:val="22"/>
              </w:rPr>
              <w:t>Underspend</w:t>
            </w:r>
          </w:p>
        </w:tc>
        <w:tc>
          <w:tcPr>
            <w:tcW w:w="1145" w:type="dxa"/>
            <w:tcBorders>
              <w:top w:val="nil"/>
              <w:left w:val="nil"/>
              <w:right w:val="single" w:sz="4" w:space="0" w:color="auto"/>
            </w:tcBorders>
            <w:shd w:val="clear" w:color="auto" w:fill="auto"/>
            <w:noWrap/>
            <w:vAlign w:val="bottom"/>
            <w:hideMark/>
          </w:tcPr>
          <w:p w:rsidR="00716AC4" w:rsidRPr="00F15412" w:rsidRDefault="00716AC4" w:rsidP="00716AC4">
            <w:pPr>
              <w:jc w:val="right"/>
              <w:rPr>
                <w:rFonts w:ascii="Calibri" w:hAnsi="Calibri" w:cs="Calibri"/>
                <w:color w:val="000000"/>
                <w:sz w:val="22"/>
                <w:szCs w:val="22"/>
              </w:rPr>
            </w:pPr>
            <w:r w:rsidRPr="00F15412">
              <w:rPr>
                <w:rFonts w:ascii="Calibri" w:hAnsi="Calibri" w:cs="Calibri"/>
                <w:color w:val="000000"/>
                <w:sz w:val="22"/>
                <w:szCs w:val="22"/>
              </w:rPr>
              <w:t>0</w:t>
            </w:r>
          </w:p>
        </w:tc>
        <w:tc>
          <w:tcPr>
            <w:tcW w:w="1260" w:type="dxa"/>
            <w:tcBorders>
              <w:top w:val="nil"/>
              <w:left w:val="nil"/>
              <w:right w:val="single" w:sz="4" w:space="0" w:color="auto"/>
            </w:tcBorders>
            <w:shd w:val="clear" w:color="auto" w:fill="auto"/>
            <w:noWrap/>
            <w:vAlign w:val="bottom"/>
            <w:hideMark/>
          </w:tcPr>
          <w:p w:rsidR="00716AC4" w:rsidRPr="00F15412" w:rsidRDefault="00716AC4" w:rsidP="00716AC4">
            <w:pPr>
              <w:jc w:val="right"/>
              <w:rPr>
                <w:rFonts w:ascii="Calibri" w:hAnsi="Calibri" w:cs="Calibri"/>
                <w:color w:val="000000"/>
                <w:sz w:val="22"/>
                <w:szCs w:val="22"/>
              </w:rPr>
            </w:pPr>
            <w:r w:rsidRPr="00F15412">
              <w:rPr>
                <w:rFonts w:ascii="Calibri" w:hAnsi="Calibri" w:cs="Calibri"/>
                <w:color w:val="000000"/>
                <w:sz w:val="22"/>
                <w:szCs w:val="22"/>
              </w:rPr>
              <w:t>0</w:t>
            </w:r>
          </w:p>
        </w:tc>
      </w:tr>
      <w:tr w:rsidR="00105649" w:rsidRPr="00105649" w:rsidTr="00105649">
        <w:trPr>
          <w:trHeight w:val="300"/>
        </w:trPr>
        <w:tc>
          <w:tcPr>
            <w:tcW w:w="3555" w:type="dxa"/>
            <w:tcBorders>
              <w:top w:val="nil"/>
              <w:left w:val="single" w:sz="4" w:space="0" w:color="auto"/>
              <w:bottom w:val="single" w:sz="4" w:space="0" w:color="auto"/>
              <w:right w:val="single" w:sz="4" w:space="0" w:color="auto"/>
            </w:tcBorders>
            <w:shd w:val="clear" w:color="000000" w:fill="50008C"/>
            <w:noWrap/>
            <w:vAlign w:val="bottom"/>
            <w:hideMark/>
          </w:tcPr>
          <w:p w:rsidR="00716AC4" w:rsidRPr="00105649" w:rsidRDefault="00716AC4" w:rsidP="006B7621">
            <w:pPr>
              <w:rPr>
                <w:rFonts w:ascii="Calibri" w:hAnsi="Calibri" w:cs="Calibri"/>
                <w:b/>
                <w:bCs/>
                <w:color w:val="FFFFFF" w:themeColor="background1"/>
                <w:sz w:val="22"/>
                <w:szCs w:val="22"/>
              </w:rPr>
            </w:pPr>
            <w:r w:rsidRPr="00105649">
              <w:rPr>
                <w:rFonts w:ascii="Calibri" w:hAnsi="Calibri" w:cs="Calibri"/>
                <w:b/>
                <w:bCs/>
                <w:color w:val="FFFFFF" w:themeColor="background1"/>
                <w:sz w:val="22"/>
                <w:szCs w:val="22"/>
              </w:rPr>
              <w:t>201</w:t>
            </w:r>
            <w:r w:rsidR="006B7621" w:rsidRPr="00105649">
              <w:rPr>
                <w:rFonts w:ascii="Calibri" w:hAnsi="Calibri" w:cs="Calibri"/>
                <w:b/>
                <w:bCs/>
                <w:color w:val="FFFFFF" w:themeColor="background1"/>
                <w:sz w:val="22"/>
                <w:szCs w:val="22"/>
              </w:rPr>
              <w:t>3</w:t>
            </w:r>
            <w:r w:rsidRPr="00105649">
              <w:rPr>
                <w:rFonts w:ascii="Calibri" w:hAnsi="Calibri" w:cs="Calibri"/>
                <w:b/>
                <w:bCs/>
                <w:color w:val="FFFFFF" w:themeColor="background1"/>
                <w:sz w:val="22"/>
                <w:szCs w:val="22"/>
              </w:rPr>
              <w:t>-1</w:t>
            </w:r>
            <w:r w:rsidR="006B7621" w:rsidRPr="00105649">
              <w:rPr>
                <w:rFonts w:ascii="Calibri" w:hAnsi="Calibri" w:cs="Calibri"/>
                <w:b/>
                <w:bCs/>
                <w:color w:val="FFFFFF" w:themeColor="background1"/>
                <w:sz w:val="22"/>
                <w:szCs w:val="22"/>
              </w:rPr>
              <w:t>4</w:t>
            </w:r>
            <w:r w:rsidRPr="00105649">
              <w:rPr>
                <w:rFonts w:ascii="Calibri" w:hAnsi="Calibri" w:cs="Calibri"/>
                <w:b/>
                <w:bCs/>
                <w:color w:val="FFFFFF" w:themeColor="background1"/>
                <w:sz w:val="22"/>
                <w:szCs w:val="22"/>
              </w:rPr>
              <w:t xml:space="preserve"> Final allocation</w:t>
            </w:r>
          </w:p>
        </w:tc>
        <w:tc>
          <w:tcPr>
            <w:tcW w:w="1145" w:type="dxa"/>
            <w:tcBorders>
              <w:top w:val="nil"/>
              <w:left w:val="nil"/>
              <w:bottom w:val="single" w:sz="4" w:space="0" w:color="auto"/>
              <w:right w:val="single" w:sz="4" w:space="0" w:color="auto"/>
            </w:tcBorders>
            <w:shd w:val="clear" w:color="000000" w:fill="50008C"/>
            <w:noWrap/>
            <w:vAlign w:val="bottom"/>
            <w:hideMark/>
          </w:tcPr>
          <w:p w:rsidR="00716AC4" w:rsidRPr="00105649" w:rsidRDefault="006B7621" w:rsidP="00716AC4">
            <w:pPr>
              <w:jc w:val="right"/>
              <w:rPr>
                <w:rFonts w:ascii="Calibri" w:hAnsi="Calibri" w:cs="Calibri"/>
                <w:b/>
                <w:bCs/>
                <w:color w:val="FFFFFF" w:themeColor="background1"/>
                <w:sz w:val="22"/>
                <w:szCs w:val="22"/>
              </w:rPr>
            </w:pPr>
            <w:r w:rsidRPr="00105649">
              <w:rPr>
                <w:rFonts w:ascii="Calibri" w:hAnsi="Calibri" w:cs="Calibri"/>
                <w:b/>
                <w:bCs/>
                <w:color w:val="FFFFFF" w:themeColor="background1"/>
                <w:sz w:val="22"/>
                <w:szCs w:val="22"/>
              </w:rPr>
              <w:t>1,050</w:t>
            </w:r>
          </w:p>
        </w:tc>
        <w:tc>
          <w:tcPr>
            <w:tcW w:w="1260" w:type="dxa"/>
            <w:tcBorders>
              <w:top w:val="nil"/>
              <w:left w:val="nil"/>
              <w:bottom w:val="single" w:sz="4" w:space="0" w:color="auto"/>
              <w:right w:val="single" w:sz="4" w:space="0" w:color="auto"/>
            </w:tcBorders>
            <w:shd w:val="clear" w:color="000000" w:fill="50008C"/>
            <w:noWrap/>
            <w:vAlign w:val="bottom"/>
            <w:hideMark/>
          </w:tcPr>
          <w:p w:rsidR="00716AC4" w:rsidRPr="00105649" w:rsidRDefault="006B7621" w:rsidP="00716AC4">
            <w:pPr>
              <w:jc w:val="right"/>
              <w:rPr>
                <w:rFonts w:ascii="Calibri" w:hAnsi="Calibri" w:cs="Calibri"/>
                <w:b/>
                <w:bCs/>
                <w:color w:val="FFFFFF" w:themeColor="background1"/>
                <w:sz w:val="22"/>
                <w:szCs w:val="22"/>
              </w:rPr>
            </w:pPr>
            <w:r w:rsidRPr="00105649">
              <w:rPr>
                <w:rFonts w:ascii="Calibri" w:hAnsi="Calibri" w:cs="Calibri"/>
                <w:b/>
                <w:bCs/>
                <w:color w:val="FFFFFF" w:themeColor="background1"/>
                <w:sz w:val="22"/>
                <w:szCs w:val="22"/>
              </w:rPr>
              <w:t>1,050</w:t>
            </w:r>
          </w:p>
        </w:tc>
      </w:tr>
    </w:tbl>
    <w:p w:rsidR="00716AC4" w:rsidRPr="00105649" w:rsidRDefault="00716AC4" w:rsidP="00716AC4">
      <w:pPr>
        <w:spacing w:after="200" w:line="276" w:lineRule="auto"/>
        <w:rPr>
          <w:rFonts w:ascii="Arial" w:hAnsi="Arial" w:cs="Arial"/>
          <w:color w:val="FFFFFF" w:themeColor="background1"/>
          <w:sz w:val="22"/>
          <w:szCs w:val="22"/>
          <w:highlight w:val="yellow"/>
        </w:rPr>
      </w:pPr>
    </w:p>
    <w:p w:rsidR="001A2303" w:rsidRDefault="00F15412" w:rsidP="00716AC4">
      <w:pPr>
        <w:spacing w:after="200" w:line="276" w:lineRule="auto"/>
        <w:rPr>
          <w:rFonts w:ascii="Arial" w:hAnsi="Arial" w:cs="Arial"/>
          <w:sz w:val="22"/>
          <w:szCs w:val="22"/>
        </w:rPr>
      </w:pPr>
      <w:r w:rsidRPr="003B135C">
        <w:rPr>
          <w:rFonts w:ascii="Arial" w:hAnsi="Arial" w:cs="Arial"/>
          <w:sz w:val="22"/>
          <w:szCs w:val="22"/>
        </w:rPr>
        <w:t>A capital plan w</w:t>
      </w:r>
      <w:r w:rsidR="001A2303">
        <w:rPr>
          <w:rFonts w:ascii="Arial" w:hAnsi="Arial" w:cs="Arial"/>
          <w:sz w:val="22"/>
          <w:szCs w:val="22"/>
        </w:rPr>
        <w:t xml:space="preserve">as approved by </w:t>
      </w:r>
      <w:r w:rsidRPr="003B135C">
        <w:rPr>
          <w:rFonts w:ascii="Arial" w:hAnsi="Arial" w:cs="Arial"/>
          <w:sz w:val="22"/>
          <w:szCs w:val="22"/>
        </w:rPr>
        <w:t xml:space="preserve">the Executive Management Team and the Board in </w:t>
      </w:r>
      <w:r w:rsidR="003B135C">
        <w:rPr>
          <w:rFonts w:ascii="Arial" w:hAnsi="Arial" w:cs="Arial"/>
          <w:sz w:val="22"/>
          <w:szCs w:val="22"/>
        </w:rPr>
        <w:t>October</w:t>
      </w:r>
      <w:r w:rsidR="002B587B">
        <w:rPr>
          <w:rFonts w:ascii="Arial" w:hAnsi="Arial" w:cs="Arial"/>
          <w:sz w:val="22"/>
          <w:szCs w:val="22"/>
        </w:rPr>
        <w:t xml:space="preserve"> with additions approved during the year</w:t>
      </w:r>
      <w:r w:rsidR="001A2303">
        <w:rPr>
          <w:rFonts w:ascii="Arial" w:hAnsi="Arial" w:cs="Arial"/>
          <w:sz w:val="22"/>
          <w:szCs w:val="22"/>
        </w:rPr>
        <w:t xml:space="preserve">. The table below charts the plan and progress to </w:t>
      </w:r>
      <w:r w:rsidR="001A2303">
        <w:rPr>
          <w:rFonts w:ascii="Arial" w:hAnsi="Arial" w:cs="Arial"/>
          <w:sz w:val="22"/>
          <w:szCs w:val="22"/>
        </w:rPr>
        <w:lastRenderedPageBreak/>
        <w:t xml:space="preserve">date. </w:t>
      </w:r>
      <w:r w:rsidR="003B135C">
        <w:rPr>
          <w:rFonts w:ascii="Arial" w:hAnsi="Arial" w:cs="Arial"/>
          <w:sz w:val="22"/>
          <w:szCs w:val="22"/>
        </w:rPr>
        <w:t>The Systems Development Board will have responsibility for reviewing plans and driving projects forward.</w:t>
      </w:r>
      <w:r w:rsidR="000271F4">
        <w:rPr>
          <w:rFonts w:ascii="Arial" w:hAnsi="Arial" w:cs="Arial"/>
          <w:sz w:val="22"/>
          <w:szCs w:val="22"/>
        </w:rPr>
        <w:t xml:space="preserve"> </w:t>
      </w:r>
      <w:r w:rsidR="00497F63">
        <w:rPr>
          <w:rFonts w:ascii="Arial" w:hAnsi="Arial" w:cs="Arial"/>
          <w:sz w:val="22"/>
          <w:szCs w:val="22"/>
        </w:rPr>
        <w:t xml:space="preserve"> </w:t>
      </w:r>
    </w:p>
    <w:tbl>
      <w:tblPr>
        <w:tblW w:w="7300" w:type="dxa"/>
        <w:tblInd w:w="93" w:type="dxa"/>
        <w:tblLook w:val="04A0" w:firstRow="1" w:lastRow="0" w:firstColumn="1" w:lastColumn="0" w:noHBand="0" w:noVBand="1"/>
      </w:tblPr>
      <w:tblGrid>
        <w:gridCol w:w="3977"/>
        <w:gridCol w:w="222"/>
        <w:gridCol w:w="1121"/>
        <w:gridCol w:w="1164"/>
        <w:gridCol w:w="1000"/>
      </w:tblGrid>
      <w:tr w:rsidR="00C2170D" w:rsidRPr="00C2170D" w:rsidTr="00C2170D">
        <w:trPr>
          <w:trHeight w:val="375"/>
        </w:trPr>
        <w:tc>
          <w:tcPr>
            <w:tcW w:w="6300" w:type="dxa"/>
            <w:gridSpan w:val="4"/>
            <w:tcBorders>
              <w:top w:val="nil"/>
              <w:left w:val="nil"/>
              <w:bottom w:val="nil"/>
              <w:right w:val="nil"/>
            </w:tcBorders>
            <w:shd w:val="clear" w:color="auto" w:fill="auto"/>
            <w:hideMark/>
          </w:tcPr>
          <w:p w:rsidR="00C2170D" w:rsidRPr="00C2170D" w:rsidRDefault="00C2170D" w:rsidP="002B587B">
            <w:pPr>
              <w:jc w:val="center"/>
              <w:rPr>
                <w:rFonts w:ascii="Arial" w:hAnsi="Arial" w:cs="Arial"/>
                <w:b/>
                <w:bCs/>
                <w:i/>
                <w:iCs/>
                <w:color w:val="56008C"/>
                <w:sz w:val="28"/>
                <w:szCs w:val="28"/>
              </w:rPr>
            </w:pPr>
            <w:r w:rsidRPr="00C2170D">
              <w:rPr>
                <w:rFonts w:ascii="Arial" w:hAnsi="Arial" w:cs="Arial"/>
                <w:b/>
                <w:bCs/>
                <w:i/>
                <w:iCs/>
                <w:color w:val="56008C"/>
                <w:sz w:val="28"/>
                <w:szCs w:val="28"/>
              </w:rPr>
              <w:t xml:space="preserve">Summary of Capital investment </w:t>
            </w:r>
            <w:r w:rsidR="002B587B">
              <w:rPr>
                <w:rFonts w:ascii="Arial" w:hAnsi="Arial" w:cs="Arial"/>
                <w:b/>
                <w:bCs/>
                <w:i/>
                <w:iCs/>
                <w:color w:val="56008C"/>
                <w:sz w:val="28"/>
                <w:szCs w:val="28"/>
              </w:rPr>
              <w:t>March</w:t>
            </w:r>
            <w:r w:rsidR="00B4473B">
              <w:rPr>
                <w:rFonts w:ascii="Arial" w:hAnsi="Arial" w:cs="Arial"/>
                <w:b/>
                <w:bCs/>
                <w:i/>
                <w:iCs/>
                <w:color w:val="56008C"/>
                <w:sz w:val="28"/>
                <w:szCs w:val="28"/>
              </w:rPr>
              <w:t xml:space="preserve"> 2014</w:t>
            </w:r>
          </w:p>
        </w:tc>
        <w:tc>
          <w:tcPr>
            <w:tcW w:w="1000" w:type="dxa"/>
            <w:tcBorders>
              <w:top w:val="nil"/>
              <w:left w:val="nil"/>
              <w:bottom w:val="nil"/>
              <w:right w:val="nil"/>
            </w:tcBorders>
            <w:shd w:val="clear" w:color="auto" w:fill="auto"/>
            <w:noWrap/>
            <w:vAlign w:val="bottom"/>
            <w:hideMark/>
          </w:tcPr>
          <w:p w:rsidR="00C2170D" w:rsidRPr="00C2170D" w:rsidRDefault="00C2170D" w:rsidP="00C2170D">
            <w:pPr>
              <w:rPr>
                <w:rFonts w:ascii="Calibri" w:hAnsi="Calibri" w:cs="Calibri"/>
                <w:color w:val="000000"/>
                <w:sz w:val="22"/>
                <w:szCs w:val="22"/>
              </w:rPr>
            </w:pPr>
          </w:p>
        </w:tc>
      </w:tr>
      <w:tr w:rsidR="00C2170D" w:rsidRPr="00C2170D" w:rsidTr="00C2170D">
        <w:trPr>
          <w:trHeight w:val="315"/>
        </w:trPr>
        <w:tc>
          <w:tcPr>
            <w:tcW w:w="3977" w:type="dxa"/>
            <w:tcBorders>
              <w:top w:val="nil"/>
              <w:left w:val="nil"/>
              <w:bottom w:val="nil"/>
              <w:right w:val="nil"/>
            </w:tcBorders>
            <w:shd w:val="clear" w:color="auto" w:fill="auto"/>
            <w:noWrap/>
            <w:vAlign w:val="bottom"/>
            <w:hideMark/>
          </w:tcPr>
          <w:p w:rsidR="00C2170D" w:rsidRPr="00C2170D" w:rsidRDefault="00C2170D" w:rsidP="00C2170D">
            <w:pPr>
              <w:rPr>
                <w:rFonts w:ascii="Calibri" w:hAnsi="Calibri" w:cs="Calibri"/>
                <w:color w:val="000000"/>
                <w:sz w:val="22"/>
                <w:szCs w:val="22"/>
              </w:rPr>
            </w:pPr>
          </w:p>
        </w:tc>
        <w:tc>
          <w:tcPr>
            <w:tcW w:w="38" w:type="dxa"/>
            <w:tcBorders>
              <w:top w:val="nil"/>
              <w:left w:val="nil"/>
              <w:bottom w:val="nil"/>
              <w:right w:val="nil"/>
            </w:tcBorders>
            <w:shd w:val="clear" w:color="auto" w:fill="auto"/>
            <w:noWrap/>
            <w:vAlign w:val="bottom"/>
            <w:hideMark/>
          </w:tcPr>
          <w:p w:rsidR="00C2170D" w:rsidRPr="00C2170D" w:rsidRDefault="00C2170D" w:rsidP="00C2170D">
            <w:pPr>
              <w:rPr>
                <w:rFonts w:ascii="Calibri" w:hAnsi="Calibri" w:cs="Calibri"/>
                <w:color w:val="000000"/>
                <w:sz w:val="22"/>
                <w:szCs w:val="22"/>
              </w:rPr>
            </w:pPr>
          </w:p>
        </w:tc>
        <w:tc>
          <w:tcPr>
            <w:tcW w:w="1121" w:type="dxa"/>
            <w:tcBorders>
              <w:top w:val="nil"/>
              <w:left w:val="nil"/>
              <w:bottom w:val="nil"/>
              <w:right w:val="nil"/>
            </w:tcBorders>
            <w:shd w:val="clear" w:color="auto" w:fill="auto"/>
            <w:noWrap/>
            <w:vAlign w:val="bottom"/>
            <w:hideMark/>
          </w:tcPr>
          <w:p w:rsidR="00C2170D" w:rsidRPr="00C2170D" w:rsidRDefault="00C2170D" w:rsidP="00C2170D">
            <w:pPr>
              <w:rPr>
                <w:rFonts w:ascii="Calibri" w:hAnsi="Calibri" w:cs="Calibri"/>
                <w:color w:val="000000"/>
                <w:sz w:val="22"/>
                <w:szCs w:val="22"/>
              </w:rPr>
            </w:pPr>
          </w:p>
        </w:tc>
        <w:tc>
          <w:tcPr>
            <w:tcW w:w="1164" w:type="dxa"/>
            <w:tcBorders>
              <w:top w:val="nil"/>
              <w:left w:val="nil"/>
              <w:bottom w:val="nil"/>
              <w:right w:val="nil"/>
            </w:tcBorders>
            <w:shd w:val="clear" w:color="auto" w:fill="auto"/>
            <w:noWrap/>
            <w:vAlign w:val="bottom"/>
            <w:hideMark/>
          </w:tcPr>
          <w:p w:rsidR="00C2170D" w:rsidRPr="00C2170D" w:rsidRDefault="00C2170D" w:rsidP="00C2170D">
            <w:pPr>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rsidR="00C2170D" w:rsidRPr="00C2170D" w:rsidRDefault="00C2170D" w:rsidP="00C2170D">
            <w:pPr>
              <w:rPr>
                <w:rFonts w:ascii="Calibri" w:hAnsi="Calibri" w:cs="Calibri"/>
                <w:color w:val="000000"/>
                <w:sz w:val="22"/>
                <w:szCs w:val="22"/>
              </w:rPr>
            </w:pPr>
          </w:p>
        </w:tc>
      </w:tr>
      <w:tr w:rsidR="00C2170D" w:rsidRPr="00C2170D" w:rsidTr="00C2170D">
        <w:trPr>
          <w:trHeight w:val="525"/>
        </w:trPr>
        <w:tc>
          <w:tcPr>
            <w:tcW w:w="3977" w:type="dxa"/>
            <w:vMerge w:val="restart"/>
            <w:tcBorders>
              <w:top w:val="single" w:sz="8" w:space="0" w:color="FFFFFF"/>
              <w:left w:val="single" w:sz="8" w:space="0" w:color="FFFFFF"/>
              <w:bottom w:val="single" w:sz="8" w:space="0" w:color="FFFFFF"/>
              <w:right w:val="single" w:sz="8" w:space="0" w:color="FFFFFF"/>
            </w:tcBorders>
            <w:shd w:val="clear" w:color="000000" w:fill="56008C"/>
            <w:hideMark/>
          </w:tcPr>
          <w:p w:rsidR="00C2170D" w:rsidRPr="00C2170D" w:rsidRDefault="00C2170D" w:rsidP="00C2170D">
            <w:pPr>
              <w:rPr>
                <w:rFonts w:ascii="Arial" w:hAnsi="Arial" w:cs="Arial"/>
                <w:b/>
                <w:bCs/>
                <w:color w:val="FFFFFF"/>
                <w:sz w:val="20"/>
                <w:szCs w:val="20"/>
              </w:rPr>
            </w:pPr>
            <w:r w:rsidRPr="00C2170D">
              <w:rPr>
                <w:rFonts w:ascii="Arial" w:hAnsi="Arial" w:cs="Arial"/>
                <w:b/>
                <w:bCs/>
                <w:color w:val="FFFFFF"/>
                <w:sz w:val="20"/>
                <w:szCs w:val="20"/>
              </w:rPr>
              <w:t>Plan initiative</w:t>
            </w:r>
          </w:p>
        </w:tc>
        <w:tc>
          <w:tcPr>
            <w:tcW w:w="38" w:type="dxa"/>
            <w:tcBorders>
              <w:top w:val="nil"/>
              <w:left w:val="nil"/>
              <w:bottom w:val="nil"/>
              <w:right w:val="nil"/>
            </w:tcBorders>
            <w:shd w:val="clear" w:color="auto" w:fill="auto"/>
            <w:noWrap/>
            <w:vAlign w:val="bottom"/>
            <w:hideMark/>
          </w:tcPr>
          <w:p w:rsidR="00C2170D" w:rsidRPr="00C2170D" w:rsidRDefault="00C2170D" w:rsidP="00C2170D">
            <w:pPr>
              <w:rPr>
                <w:rFonts w:ascii="Calibri" w:hAnsi="Calibri" w:cs="Calibri"/>
                <w:color w:val="000000"/>
                <w:sz w:val="22"/>
                <w:szCs w:val="22"/>
              </w:rPr>
            </w:pPr>
          </w:p>
        </w:tc>
        <w:tc>
          <w:tcPr>
            <w:tcW w:w="1121" w:type="dxa"/>
            <w:tcBorders>
              <w:top w:val="single" w:sz="8" w:space="0" w:color="FFFFFF"/>
              <w:left w:val="nil"/>
              <w:bottom w:val="nil"/>
              <w:right w:val="single" w:sz="8" w:space="0" w:color="FFFFFF"/>
            </w:tcBorders>
            <w:shd w:val="clear" w:color="000000" w:fill="56008C"/>
            <w:vAlign w:val="bottom"/>
            <w:hideMark/>
          </w:tcPr>
          <w:p w:rsidR="00C2170D" w:rsidRPr="00C2170D" w:rsidRDefault="00C2170D" w:rsidP="00C2170D">
            <w:pPr>
              <w:jc w:val="center"/>
              <w:rPr>
                <w:rFonts w:ascii="Arial" w:hAnsi="Arial" w:cs="Arial"/>
                <w:b/>
                <w:bCs/>
                <w:color w:val="FFFFFF"/>
                <w:sz w:val="20"/>
                <w:szCs w:val="20"/>
              </w:rPr>
            </w:pPr>
            <w:r w:rsidRPr="00C2170D">
              <w:rPr>
                <w:rFonts w:ascii="Arial" w:hAnsi="Arial" w:cs="Arial"/>
                <w:b/>
                <w:bCs/>
                <w:color w:val="FFFFFF"/>
                <w:sz w:val="20"/>
                <w:szCs w:val="20"/>
              </w:rPr>
              <w:t>2013/14 plan</w:t>
            </w:r>
          </w:p>
        </w:tc>
        <w:tc>
          <w:tcPr>
            <w:tcW w:w="1164" w:type="dxa"/>
            <w:tcBorders>
              <w:top w:val="single" w:sz="8" w:space="0" w:color="FFFFFF"/>
              <w:left w:val="nil"/>
              <w:bottom w:val="nil"/>
              <w:right w:val="single" w:sz="8" w:space="0" w:color="FFFFFF"/>
            </w:tcBorders>
            <w:shd w:val="clear" w:color="000000" w:fill="56008C"/>
            <w:vAlign w:val="bottom"/>
            <w:hideMark/>
          </w:tcPr>
          <w:p w:rsidR="00C2170D" w:rsidRPr="00C2170D" w:rsidRDefault="00C2170D" w:rsidP="00C2170D">
            <w:pPr>
              <w:jc w:val="center"/>
              <w:rPr>
                <w:rFonts w:ascii="Arial" w:hAnsi="Arial" w:cs="Arial"/>
                <w:b/>
                <w:bCs/>
                <w:color w:val="FFFFFF"/>
                <w:sz w:val="20"/>
                <w:szCs w:val="20"/>
              </w:rPr>
            </w:pPr>
            <w:r w:rsidRPr="00C2170D">
              <w:rPr>
                <w:rFonts w:ascii="Arial" w:hAnsi="Arial" w:cs="Arial"/>
                <w:b/>
                <w:bCs/>
                <w:color w:val="FFFFFF"/>
                <w:sz w:val="20"/>
                <w:szCs w:val="20"/>
              </w:rPr>
              <w:t>2013/14 actual</w:t>
            </w:r>
          </w:p>
        </w:tc>
        <w:tc>
          <w:tcPr>
            <w:tcW w:w="1000" w:type="dxa"/>
            <w:tcBorders>
              <w:top w:val="single" w:sz="8" w:space="0" w:color="FFFFFF"/>
              <w:left w:val="nil"/>
              <w:bottom w:val="nil"/>
              <w:right w:val="single" w:sz="8" w:space="0" w:color="FFFFFF"/>
            </w:tcBorders>
            <w:shd w:val="clear" w:color="000000" w:fill="56008C"/>
            <w:vAlign w:val="bottom"/>
            <w:hideMark/>
          </w:tcPr>
          <w:p w:rsidR="00C2170D" w:rsidRPr="00C2170D" w:rsidRDefault="00C2170D" w:rsidP="00C2170D">
            <w:pPr>
              <w:jc w:val="center"/>
              <w:rPr>
                <w:rFonts w:ascii="Arial" w:hAnsi="Arial" w:cs="Arial"/>
                <w:b/>
                <w:bCs/>
                <w:color w:val="FFFFFF"/>
                <w:sz w:val="20"/>
                <w:szCs w:val="20"/>
              </w:rPr>
            </w:pPr>
            <w:r w:rsidRPr="00C2170D">
              <w:rPr>
                <w:rFonts w:ascii="Arial" w:hAnsi="Arial" w:cs="Arial"/>
                <w:b/>
                <w:bCs/>
                <w:color w:val="FFFFFF"/>
                <w:sz w:val="20"/>
                <w:szCs w:val="20"/>
              </w:rPr>
              <w:t>2013/14 to go</w:t>
            </w:r>
          </w:p>
        </w:tc>
      </w:tr>
      <w:tr w:rsidR="00C2170D" w:rsidRPr="00C2170D" w:rsidTr="00C2170D">
        <w:trPr>
          <w:trHeight w:val="315"/>
        </w:trPr>
        <w:tc>
          <w:tcPr>
            <w:tcW w:w="3977" w:type="dxa"/>
            <w:vMerge/>
            <w:tcBorders>
              <w:top w:val="single" w:sz="8" w:space="0" w:color="FFFFFF"/>
              <w:left w:val="single" w:sz="8" w:space="0" w:color="FFFFFF"/>
              <w:bottom w:val="single" w:sz="8" w:space="0" w:color="FFFFFF"/>
              <w:right w:val="single" w:sz="8" w:space="0" w:color="FFFFFF"/>
            </w:tcBorders>
            <w:vAlign w:val="center"/>
            <w:hideMark/>
          </w:tcPr>
          <w:p w:rsidR="00C2170D" w:rsidRPr="00C2170D" w:rsidRDefault="00C2170D" w:rsidP="00C2170D">
            <w:pPr>
              <w:rPr>
                <w:rFonts w:ascii="Arial" w:hAnsi="Arial" w:cs="Arial"/>
                <w:b/>
                <w:bCs/>
                <w:color w:val="FFFFFF"/>
                <w:sz w:val="20"/>
                <w:szCs w:val="20"/>
              </w:rPr>
            </w:pPr>
          </w:p>
        </w:tc>
        <w:tc>
          <w:tcPr>
            <w:tcW w:w="38" w:type="dxa"/>
            <w:tcBorders>
              <w:top w:val="nil"/>
              <w:left w:val="nil"/>
              <w:bottom w:val="nil"/>
              <w:right w:val="nil"/>
            </w:tcBorders>
            <w:shd w:val="clear" w:color="auto" w:fill="auto"/>
            <w:noWrap/>
            <w:vAlign w:val="bottom"/>
            <w:hideMark/>
          </w:tcPr>
          <w:p w:rsidR="00C2170D" w:rsidRPr="00C2170D" w:rsidRDefault="00C2170D" w:rsidP="00C2170D">
            <w:pPr>
              <w:rPr>
                <w:rFonts w:ascii="Calibri" w:hAnsi="Calibri" w:cs="Calibri"/>
                <w:color w:val="000000"/>
                <w:sz w:val="22"/>
                <w:szCs w:val="22"/>
              </w:rPr>
            </w:pPr>
          </w:p>
        </w:tc>
        <w:tc>
          <w:tcPr>
            <w:tcW w:w="1121" w:type="dxa"/>
            <w:tcBorders>
              <w:top w:val="nil"/>
              <w:left w:val="nil"/>
              <w:bottom w:val="nil"/>
              <w:right w:val="single" w:sz="8" w:space="0" w:color="FFFFFF"/>
            </w:tcBorders>
            <w:shd w:val="clear" w:color="000000" w:fill="56008C"/>
            <w:vAlign w:val="bottom"/>
            <w:hideMark/>
          </w:tcPr>
          <w:p w:rsidR="00C2170D" w:rsidRPr="00C2170D" w:rsidRDefault="00C2170D" w:rsidP="00C2170D">
            <w:pPr>
              <w:jc w:val="center"/>
              <w:rPr>
                <w:rFonts w:ascii="Arial" w:hAnsi="Arial" w:cs="Arial"/>
                <w:b/>
                <w:bCs/>
                <w:color w:val="FFFFFF"/>
                <w:sz w:val="20"/>
                <w:szCs w:val="20"/>
              </w:rPr>
            </w:pPr>
            <w:r w:rsidRPr="00C2170D">
              <w:rPr>
                <w:rFonts w:ascii="Arial" w:hAnsi="Arial" w:cs="Arial"/>
                <w:b/>
                <w:bCs/>
                <w:color w:val="FFFFFF"/>
                <w:sz w:val="20"/>
                <w:szCs w:val="20"/>
              </w:rPr>
              <w:t>£ '000</w:t>
            </w:r>
          </w:p>
        </w:tc>
        <w:tc>
          <w:tcPr>
            <w:tcW w:w="1164" w:type="dxa"/>
            <w:tcBorders>
              <w:top w:val="nil"/>
              <w:left w:val="nil"/>
              <w:bottom w:val="nil"/>
              <w:right w:val="single" w:sz="8" w:space="0" w:color="FFFFFF"/>
            </w:tcBorders>
            <w:shd w:val="clear" w:color="000000" w:fill="56008C"/>
            <w:vAlign w:val="bottom"/>
            <w:hideMark/>
          </w:tcPr>
          <w:p w:rsidR="00C2170D" w:rsidRPr="00C2170D" w:rsidRDefault="00C2170D" w:rsidP="00C2170D">
            <w:pPr>
              <w:jc w:val="center"/>
              <w:rPr>
                <w:rFonts w:ascii="Arial" w:hAnsi="Arial" w:cs="Arial"/>
                <w:b/>
                <w:bCs/>
                <w:color w:val="FFFFFF"/>
                <w:sz w:val="20"/>
                <w:szCs w:val="20"/>
              </w:rPr>
            </w:pPr>
            <w:r w:rsidRPr="00C2170D">
              <w:rPr>
                <w:rFonts w:ascii="Arial" w:hAnsi="Arial" w:cs="Arial"/>
                <w:b/>
                <w:bCs/>
                <w:color w:val="FFFFFF"/>
                <w:sz w:val="20"/>
                <w:szCs w:val="20"/>
              </w:rPr>
              <w:t>£ '000</w:t>
            </w:r>
          </w:p>
        </w:tc>
        <w:tc>
          <w:tcPr>
            <w:tcW w:w="1000" w:type="dxa"/>
            <w:tcBorders>
              <w:top w:val="nil"/>
              <w:left w:val="nil"/>
              <w:bottom w:val="nil"/>
              <w:right w:val="single" w:sz="8" w:space="0" w:color="FFFFFF"/>
            </w:tcBorders>
            <w:shd w:val="clear" w:color="000000" w:fill="56008C"/>
            <w:vAlign w:val="bottom"/>
            <w:hideMark/>
          </w:tcPr>
          <w:p w:rsidR="00C2170D" w:rsidRPr="00C2170D" w:rsidRDefault="00C2170D" w:rsidP="00C2170D">
            <w:pPr>
              <w:jc w:val="center"/>
              <w:rPr>
                <w:rFonts w:ascii="Arial" w:hAnsi="Arial" w:cs="Arial"/>
                <w:b/>
                <w:bCs/>
                <w:color w:val="FFFFFF"/>
                <w:sz w:val="20"/>
                <w:szCs w:val="20"/>
              </w:rPr>
            </w:pPr>
            <w:r w:rsidRPr="00C2170D">
              <w:rPr>
                <w:rFonts w:ascii="Arial" w:hAnsi="Arial" w:cs="Arial"/>
                <w:b/>
                <w:bCs/>
                <w:color w:val="FFFFFF"/>
                <w:sz w:val="20"/>
                <w:szCs w:val="20"/>
              </w:rPr>
              <w:t>£ '000</w:t>
            </w:r>
          </w:p>
        </w:tc>
      </w:tr>
      <w:tr w:rsidR="00C2170D" w:rsidRPr="00C2170D" w:rsidTr="00C2170D">
        <w:trPr>
          <w:trHeight w:val="315"/>
        </w:trPr>
        <w:tc>
          <w:tcPr>
            <w:tcW w:w="3977" w:type="dxa"/>
            <w:tcBorders>
              <w:top w:val="nil"/>
              <w:left w:val="single" w:sz="8" w:space="0" w:color="FFFFFF"/>
              <w:bottom w:val="single" w:sz="8" w:space="0" w:color="FFFFFF"/>
              <w:right w:val="single" w:sz="8" w:space="0" w:color="FFFFFF"/>
            </w:tcBorders>
            <w:shd w:val="clear" w:color="000000" w:fill="E28C05"/>
            <w:vAlign w:val="bottom"/>
            <w:hideMark/>
          </w:tcPr>
          <w:p w:rsidR="00C2170D" w:rsidRPr="00C2170D" w:rsidRDefault="00C2170D" w:rsidP="00C2170D">
            <w:pPr>
              <w:rPr>
                <w:rFonts w:ascii="Arial" w:hAnsi="Arial" w:cs="Arial"/>
                <w:color w:val="000000"/>
                <w:sz w:val="18"/>
                <w:szCs w:val="18"/>
              </w:rPr>
            </w:pPr>
            <w:r w:rsidRPr="00C2170D">
              <w:rPr>
                <w:rFonts w:ascii="Arial" w:hAnsi="Arial" w:cs="Arial"/>
                <w:color w:val="000000"/>
                <w:sz w:val="18"/>
                <w:szCs w:val="18"/>
              </w:rPr>
              <w:t>New generation of IRAS</w:t>
            </w:r>
          </w:p>
        </w:tc>
        <w:tc>
          <w:tcPr>
            <w:tcW w:w="38" w:type="dxa"/>
            <w:tcBorders>
              <w:top w:val="nil"/>
              <w:left w:val="nil"/>
              <w:bottom w:val="nil"/>
              <w:right w:val="nil"/>
            </w:tcBorders>
            <w:shd w:val="clear" w:color="auto" w:fill="auto"/>
            <w:noWrap/>
            <w:vAlign w:val="bottom"/>
            <w:hideMark/>
          </w:tcPr>
          <w:p w:rsidR="00C2170D" w:rsidRPr="00C2170D" w:rsidRDefault="00C2170D" w:rsidP="00C2170D">
            <w:pPr>
              <w:rPr>
                <w:rFonts w:ascii="Calibri" w:hAnsi="Calibri" w:cs="Calibri"/>
                <w:color w:val="000000"/>
                <w:sz w:val="22"/>
                <w:szCs w:val="22"/>
              </w:rPr>
            </w:pPr>
          </w:p>
        </w:tc>
        <w:tc>
          <w:tcPr>
            <w:tcW w:w="1121" w:type="dxa"/>
            <w:tcBorders>
              <w:top w:val="nil"/>
              <w:left w:val="nil"/>
              <w:bottom w:val="single" w:sz="8" w:space="0" w:color="FFFFFF"/>
              <w:right w:val="single" w:sz="8" w:space="0" w:color="FFFFFF"/>
            </w:tcBorders>
            <w:shd w:val="clear" w:color="000000" w:fill="E28C05"/>
            <w:vAlign w:val="bottom"/>
            <w:hideMark/>
          </w:tcPr>
          <w:p w:rsidR="00C2170D" w:rsidRPr="00C2170D" w:rsidRDefault="00C2170D" w:rsidP="00D33070">
            <w:pPr>
              <w:jc w:val="center"/>
              <w:rPr>
                <w:rFonts w:ascii="Arial" w:hAnsi="Arial" w:cs="Arial"/>
                <w:color w:val="000000"/>
                <w:sz w:val="18"/>
                <w:szCs w:val="18"/>
              </w:rPr>
            </w:pPr>
            <w:r w:rsidRPr="00C2170D">
              <w:rPr>
                <w:rFonts w:ascii="Arial" w:hAnsi="Arial" w:cs="Arial"/>
                <w:color w:val="000000"/>
                <w:sz w:val="18"/>
                <w:szCs w:val="18"/>
              </w:rPr>
              <w:t>9</w:t>
            </w:r>
            <w:r w:rsidR="00D33070">
              <w:rPr>
                <w:rFonts w:ascii="Arial" w:hAnsi="Arial" w:cs="Arial"/>
                <w:color w:val="000000"/>
                <w:sz w:val="18"/>
                <w:szCs w:val="18"/>
              </w:rPr>
              <w:t>45</w:t>
            </w:r>
            <w:r w:rsidRPr="00C2170D">
              <w:rPr>
                <w:rFonts w:ascii="Arial" w:hAnsi="Arial" w:cs="Arial"/>
                <w:color w:val="000000"/>
                <w:sz w:val="18"/>
                <w:szCs w:val="18"/>
              </w:rPr>
              <w:t>.00</w:t>
            </w:r>
          </w:p>
        </w:tc>
        <w:tc>
          <w:tcPr>
            <w:tcW w:w="1164" w:type="dxa"/>
            <w:tcBorders>
              <w:top w:val="nil"/>
              <w:left w:val="nil"/>
              <w:bottom w:val="single" w:sz="8" w:space="0" w:color="FFFFFF"/>
              <w:right w:val="single" w:sz="8" w:space="0" w:color="FFFFFF"/>
            </w:tcBorders>
            <w:shd w:val="clear" w:color="000000" w:fill="E28C05"/>
            <w:vAlign w:val="bottom"/>
            <w:hideMark/>
          </w:tcPr>
          <w:p w:rsidR="00C2170D" w:rsidRPr="00C2170D" w:rsidRDefault="00931495" w:rsidP="00C2170D">
            <w:pPr>
              <w:jc w:val="center"/>
              <w:rPr>
                <w:rFonts w:ascii="Arial" w:hAnsi="Arial" w:cs="Arial"/>
                <w:color w:val="000000"/>
                <w:sz w:val="18"/>
                <w:szCs w:val="18"/>
              </w:rPr>
            </w:pPr>
            <w:r>
              <w:rPr>
                <w:rFonts w:ascii="Arial" w:hAnsi="Arial" w:cs="Arial"/>
                <w:color w:val="000000"/>
                <w:sz w:val="18"/>
                <w:szCs w:val="18"/>
              </w:rPr>
              <w:t>540</w:t>
            </w:r>
            <w:r w:rsidR="00C2170D" w:rsidRPr="00C2170D">
              <w:rPr>
                <w:rFonts w:ascii="Arial" w:hAnsi="Arial" w:cs="Arial"/>
                <w:color w:val="000000"/>
                <w:sz w:val="18"/>
                <w:szCs w:val="18"/>
              </w:rPr>
              <w:t>.00</w:t>
            </w:r>
          </w:p>
        </w:tc>
        <w:tc>
          <w:tcPr>
            <w:tcW w:w="1000" w:type="dxa"/>
            <w:tcBorders>
              <w:top w:val="nil"/>
              <w:left w:val="nil"/>
              <w:bottom w:val="single" w:sz="8" w:space="0" w:color="FFFFFF"/>
              <w:right w:val="single" w:sz="8" w:space="0" w:color="FFFFFF"/>
            </w:tcBorders>
            <w:shd w:val="clear" w:color="000000" w:fill="E28C05"/>
            <w:vAlign w:val="bottom"/>
            <w:hideMark/>
          </w:tcPr>
          <w:p w:rsidR="00C2170D" w:rsidRPr="00C2170D" w:rsidRDefault="00931495" w:rsidP="00C2170D">
            <w:pPr>
              <w:jc w:val="center"/>
              <w:rPr>
                <w:rFonts w:ascii="Arial" w:hAnsi="Arial" w:cs="Arial"/>
                <w:color w:val="000000"/>
                <w:sz w:val="18"/>
                <w:szCs w:val="18"/>
              </w:rPr>
            </w:pPr>
            <w:r>
              <w:rPr>
                <w:rFonts w:ascii="Arial" w:hAnsi="Arial" w:cs="Arial"/>
                <w:color w:val="000000"/>
                <w:sz w:val="18"/>
                <w:szCs w:val="18"/>
              </w:rPr>
              <w:t>4</w:t>
            </w:r>
            <w:r w:rsidR="00F1414F">
              <w:rPr>
                <w:rFonts w:ascii="Arial" w:hAnsi="Arial" w:cs="Arial"/>
                <w:color w:val="000000"/>
                <w:sz w:val="18"/>
                <w:szCs w:val="18"/>
              </w:rPr>
              <w:t>45</w:t>
            </w:r>
            <w:r w:rsidR="00C2170D" w:rsidRPr="00C2170D">
              <w:rPr>
                <w:rFonts w:ascii="Arial" w:hAnsi="Arial" w:cs="Arial"/>
                <w:color w:val="000000"/>
                <w:sz w:val="18"/>
                <w:szCs w:val="18"/>
              </w:rPr>
              <w:t>.00</w:t>
            </w:r>
          </w:p>
        </w:tc>
      </w:tr>
      <w:tr w:rsidR="00C2170D" w:rsidRPr="00C2170D" w:rsidTr="00C2170D">
        <w:trPr>
          <w:trHeight w:val="315"/>
        </w:trPr>
        <w:tc>
          <w:tcPr>
            <w:tcW w:w="3977" w:type="dxa"/>
            <w:tcBorders>
              <w:top w:val="nil"/>
              <w:left w:val="single" w:sz="8" w:space="0" w:color="FFFFFF"/>
              <w:bottom w:val="single" w:sz="8" w:space="0" w:color="FFFFFF"/>
              <w:right w:val="single" w:sz="8" w:space="0" w:color="FFFFFF"/>
            </w:tcBorders>
            <w:shd w:val="clear" w:color="000000" w:fill="E28C05"/>
            <w:vAlign w:val="bottom"/>
            <w:hideMark/>
          </w:tcPr>
          <w:p w:rsidR="00C2170D" w:rsidRPr="00C2170D" w:rsidRDefault="00C2170D" w:rsidP="00C2170D">
            <w:pPr>
              <w:rPr>
                <w:rFonts w:ascii="Arial" w:hAnsi="Arial" w:cs="Arial"/>
                <w:color w:val="000000"/>
                <w:sz w:val="18"/>
                <w:szCs w:val="18"/>
              </w:rPr>
            </w:pPr>
            <w:r w:rsidRPr="00C2170D">
              <w:rPr>
                <w:rFonts w:ascii="Arial" w:hAnsi="Arial" w:cs="Arial"/>
                <w:color w:val="000000"/>
                <w:sz w:val="18"/>
                <w:szCs w:val="18"/>
              </w:rPr>
              <w:t>HARP/POC</w:t>
            </w:r>
          </w:p>
        </w:tc>
        <w:tc>
          <w:tcPr>
            <w:tcW w:w="38" w:type="dxa"/>
            <w:tcBorders>
              <w:top w:val="nil"/>
              <w:left w:val="nil"/>
              <w:bottom w:val="nil"/>
              <w:right w:val="nil"/>
            </w:tcBorders>
            <w:shd w:val="clear" w:color="auto" w:fill="auto"/>
            <w:noWrap/>
            <w:vAlign w:val="bottom"/>
            <w:hideMark/>
          </w:tcPr>
          <w:p w:rsidR="00C2170D" w:rsidRPr="00C2170D" w:rsidRDefault="00C2170D" w:rsidP="00C2170D">
            <w:pPr>
              <w:rPr>
                <w:rFonts w:ascii="Calibri" w:hAnsi="Calibri" w:cs="Calibri"/>
                <w:color w:val="000000"/>
                <w:sz w:val="22"/>
                <w:szCs w:val="22"/>
              </w:rPr>
            </w:pPr>
          </w:p>
        </w:tc>
        <w:tc>
          <w:tcPr>
            <w:tcW w:w="1121" w:type="dxa"/>
            <w:tcBorders>
              <w:top w:val="nil"/>
              <w:left w:val="nil"/>
              <w:bottom w:val="single" w:sz="8" w:space="0" w:color="FFFFFF"/>
              <w:right w:val="single" w:sz="8" w:space="0" w:color="FFFFFF"/>
            </w:tcBorders>
            <w:shd w:val="clear" w:color="000000" w:fill="E28C05"/>
            <w:vAlign w:val="bottom"/>
            <w:hideMark/>
          </w:tcPr>
          <w:p w:rsidR="00C2170D" w:rsidRPr="00C2170D" w:rsidRDefault="00C2170D" w:rsidP="00C2170D">
            <w:pPr>
              <w:jc w:val="center"/>
              <w:rPr>
                <w:rFonts w:ascii="Arial" w:hAnsi="Arial" w:cs="Arial"/>
                <w:color w:val="000000"/>
                <w:sz w:val="18"/>
                <w:szCs w:val="18"/>
              </w:rPr>
            </w:pPr>
            <w:r w:rsidRPr="00C2170D">
              <w:rPr>
                <w:rFonts w:ascii="Arial" w:hAnsi="Arial" w:cs="Arial"/>
                <w:color w:val="000000"/>
                <w:sz w:val="18"/>
                <w:szCs w:val="18"/>
              </w:rPr>
              <w:t>70.00</w:t>
            </w:r>
          </w:p>
        </w:tc>
        <w:tc>
          <w:tcPr>
            <w:tcW w:w="1164" w:type="dxa"/>
            <w:tcBorders>
              <w:top w:val="nil"/>
              <w:left w:val="nil"/>
              <w:bottom w:val="single" w:sz="8" w:space="0" w:color="FFFFFF"/>
              <w:right w:val="single" w:sz="8" w:space="0" w:color="FFFFFF"/>
            </w:tcBorders>
            <w:shd w:val="clear" w:color="000000" w:fill="E28C05"/>
            <w:vAlign w:val="bottom"/>
            <w:hideMark/>
          </w:tcPr>
          <w:p w:rsidR="00C2170D" w:rsidRPr="00C2170D" w:rsidRDefault="00931495" w:rsidP="00574331">
            <w:pPr>
              <w:jc w:val="center"/>
              <w:rPr>
                <w:rFonts w:ascii="Arial" w:hAnsi="Arial" w:cs="Arial"/>
                <w:color w:val="000000"/>
                <w:sz w:val="18"/>
                <w:szCs w:val="18"/>
              </w:rPr>
            </w:pPr>
            <w:r>
              <w:rPr>
                <w:rFonts w:ascii="Arial" w:hAnsi="Arial" w:cs="Arial"/>
                <w:color w:val="000000"/>
                <w:sz w:val="18"/>
                <w:szCs w:val="18"/>
              </w:rPr>
              <w:t>81.30</w:t>
            </w:r>
          </w:p>
        </w:tc>
        <w:tc>
          <w:tcPr>
            <w:tcW w:w="1000" w:type="dxa"/>
            <w:tcBorders>
              <w:top w:val="nil"/>
              <w:left w:val="nil"/>
              <w:bottom w:val="single" w:sz="8" w:space="0" w:color="FFFFFF"/>
              <w:right w:val="single" w:sz="8" w:space="0" w:color="FFFFFF"/>
            </w:tcBorders>
            <w:shd w:val="clear" w:color="000000" w:fill="E28C05"/>
            <w:vAlign w:val="bottom"/>
            <w:hideMark/>
          </w:tcPr>
          <w:p w:rsidR="00C2170D" w:rsidRPr="00C2170D" w:rsidRDefault="00931495" w:rsidP="00C2170D">
            <w:pPr>
              <w:jc w:val="center"/>
              <w:rPr>
                <w:rFonts w:ascii="Arial" w:hAnsi="Arial" w:cs="Arial"/>
                <w:color w:val="000000"/>
                <w:sz w:val="18"/>
                <w:szCs w:val="18"/>
              </w:rPr>
            </w:pPr>
            <w:r>
              <w:rPr>
                <w:rFonts w:ascii="Arial" w:hAnsi="Arial" w:cs="Arial"/>
                <w:color w:val="000000"/>
                <w:sz w:val="18"/>
                <w:szCs w:val="18"/>
              </w:rPr>
              <w:t>(11.30)</w:t>
            </w:r>
          </w:p>
        </w:tc>
      </w:tr>
      <w:tr w:rsidR="00C2170D" w:rsidRPr="00C2170D" w:rsidTr="00C2170D">
        <w:trPr>
          <w:trHeight w:val="315"/>
        </w:trPr>
        <w:tc>
          <w:tcPr>
            <w:tcW w:w="3977" w:type="dxa"/>
            <w:tcBorders>
              <w:top w:val="nil"/>
              <w:left w:val="single" w:sz="8" w:space="0" w:color="FFFFFF"/>
              <w:bottom w:val="single" w:sz="8" w:space="0" w:color="FFFFFF"/>
              <w:right w:val="single" w:sz="8" w:space="0" w:color="FFFFFF"/>
            </w:tcBorders>
            <w:shd w:val="clear" w:color="000000" w:fill="E28C05"/>
            <w:vAlign w:val="bottom"/>
            <w:hideMark/>
          </w:tcPr>
          <w:p w:rsidR="00C2170D" w:rsidRPr="00C2170D" w:rsidRDefault="00C2170D" w:rsidP="00C2170D">
            <w:pPr>
              <w:rPr>
                <w:rFonts w:ascii="Arial" w:hAnsi="Arial" w:cs="Arial"/>
                <w:color w:val="000000"/>
                <w:sz w:val="18"/>
                <w:szCs w:val="18"/>
              </w:rPr>
            </w:pPr>
            <w:r w:rsidRPr="00C2170D">
              <w:rPr>
                <w:rFonts w:ascii="Arial" w:hAnsi="Arial" w:cs="Arial"/>
                <w:color w:val="000000"/>
                <w:sz w:val="18"/>
                <w:szCs w:val="18"/>
              </w:rPr>
              <w:t>Video conferencing</w:t>
            </w:r>
          </w:p>
        </w:tc>
        <w:tc>
          <w:tcPr>
            <w:tcW w:w="38" w:type="dxa"/>
            <w:tcBorders>
              <w:top w:val="nil"/>
              <w:left w:val="nil"/>
              <w:bottom w:val="nil"/>
              <w:right w:val="nil"/>
            </w:tcBorders>
            <w:shd w:val="clear" w:color="auto" w:fill="auto"/>
            <w:noWrap/>
            <w:vAlign w:val="bottom"/>
            <w:hideMark/>
          </w:tcPr>
          <w:p w:rsidR="00C2170D" w:rsidRPr="00C2170D" w:rsidRDefault="00C2170D" w:rsidP="00C2170D">
            <w:pPr>
              <w:rPr>
                <w:rFonts w:ascii="Calibri" w:hAnsi="Calibri" w:cs="Calibri"/>
                <w:color w:val="000000"/>
                <w:sz w:val="22"/>
                <w:szCs w:val="22"/>
              </w:rPr>
            </w:pPr>
          </w:p>
        </w:tc>
        <w:tc>
          <w:tcPr>
            <w:tcW w:w="1121" w:type="dxa"/>
            <w:tcBorders>
              <w:top w:val="nil"/>
              <w:left w:val="nil"/>
              <w:bottom w:val="single" w:sz="8" w:space="0" w:color="FFFFFF"/>
              <w:right w:val="single" w:sz="8" w:space="0" w:color="FFFFFF"/>
            </w:tcBorders>
            <w:shd w:val="clear" w:color="000000" w:fill="E28C05"/>
            <w:vAlign w:val="bottom"/>
            <w:hideMark/>
          </w:tcPr>
          <w:p w:rsidR="00C2170D" w:rsidRPr="00C2170D" w:rsidRDefault="00D33070" w:rsidP="002B587B">
            <w:pPr>
              <w:jc w:val="center"/>
              <w:rPr>
                <w:rFonts w:ascii="Arial" w:hAnsi="Arial" w:cs="Arial"/>
                <w:color w:val="000000"/>
                <w:sz w:val="18"/>
                <w:szCs w:val="18"/>
              </w:rPr>
            </w:pPr>
            <w:r>
              <w:rPr>
                <w:rFonts w:ascii="Arial" w:hAnsi="Arial" w:cs="Arial"/>
                <w:color w:val="000000"/>
                <w:sz w:val="18"/>
                <w:szCs w:val="18"/>
              </w:rPr>
              <w:t>35</w:t>
            </w:r>
            <w:r w:rsidR="00C2170D" w:rsidRPr="00C2170D">
              <w:rPr>
                <w:rFonts w:ascii="Arial" w:hAnsi="Arial" w:cs="Arial"/>
                <w:color w:val="000000"/>
                <w:sz w:val="18"/>
                <w:szCs w:val="18"/>
              </w:rPr>
              <w:t>.00</w:t>
            </w:r>
          </w:p>
        </w:tc>
        <w:tc>
          <w:tcPr>
            <w:tcW w:w="1164" w:type="dxa"/>
            <w:tcBorders>
              <w:top w:val="nil"/>
              <w:left w:val="nil"/>
              <w:bottom w:val="single" w:sz="8" w:space="0" w:color="FFFFFF"/>
              <w:right w:val="single" w:sz="8" w:space="0" w:color="FFFFFF"/>
            </w:tcBorders>
            <w:shd w:val="clear" w:color="000000" w:fill="E28C05"/>
            <w:vAlign w:val="bottom"/>
            <w:hideMark/>
          </w:tcPr>
          <w:p w:rsidR="00C2170D" w:rsidRPr="00C2170D" w:rsidRDefault="00931495" w:rsidP="00C2170D">
            <w:pPr>
              <w:jc w:val="center"/>
              <w:rPr>
                <w:rFonts w:ascii="Arial" w:hAnsi="Arial" w:cs="Arial"/>
                <w:color w:val="000000"/>
                <w:sz w:val="18"/>
                <w:szCs w:val="18"/>
              </w:rPr>
            </w:pPr>
            <w:r>
              <w:rPr>
                <w:rFonts w:ascii="Arial" w:hAnsi="Arial" w:cs="Arial"/>
                <w:color w:val="000000"/>
                <w:sz w:val="18"/>
                <w:szCs w:val="18"/>
              </w:rPr>
              <w:t>34</w:t>
            </w:r>
            <w:r w:rsidR="00B4473B">
              <w:rPr>
                <w:rFonts w:ascii="Arial" w:hAnsi="Arial" w:cs="Arial"/>
                <w:color w:val="000000"/>
                <w:sz w:val="18"/>
                <w:szCs w:val="18"/>
              </w:rPr>
              <w:t>.00</w:t>
            </w:r>
          </w:p>
        </w:tc>
        <w:tc>
          <w:tcPr>
            <w:tcW w:w="1000" w:type="dxa"/>
            <w:tcBorders>
              <w:top w:val="nil"/>
              <w:left w:val="nil"/>
              <w:bottom w:val="single" w:sz="8" w:space="0" w:color="FFFFFF"/>
              <w:right w:val="single" w:sz="8" w:space="0" w:color="FFFFFF"/>
            </w:tcBorders>
            <w:shd w:val="clear" w:color="000000" w:fill="E28C05"/>
            <w:vAlign w:val="bottom"/>
            <w:hideMark/>
          </w:tcPr>
          <w:p w:rsidR="00C2170D" w:rsidRPr="00C2170D" w:rsidRDefault="00931495" w:rsidP="00C2170D">
            <w:pPr>
              <w:jc w:val="center"/>
              <w:rPr>
                <w:rFonts w:ascii="Arial" w:hAnsi="Arial" w:cs="Arial"/>
                <w:color w:val="000000"/>
                <w:sz w:val="18"/>
                <w:szCs w:val="18"/>
              </w:rPr>
            </w:pPr>
            <w:r>
              <w:rPr>
                <w:rFonts w:ascii="Arial" w:hAnsi="Arial" w:cs="Arial"/>
                <w:color w:val="000000"/>
                <w:sz w:val="18"/>
                <w:szCs w:val="18"/>
              </w:rPr>
              <w:t>1</w:t>
            </w:r>
            <w:r w:rsidR="00435640">
              <w:rPr>
                <w:rFonts w:ascii="Arial" w:hAnsi="Arial" w:cs="Arial"/>
                <w:color w:val="000000"/>
                <w:sz w:val="18"/>
                <w:szCs w:val="18"/>
              </w:rPr>
              <w:t>.00</w:t>
            </w:r>
          </w:p>
        </w:tc>
      </w:tr>
      <w:tr w:rsidR="00C2170D" w:rsidRPr="00C2170D" w:rsidTr="00C2170D">
        <w:trPr>
          <w:trHeight w:val="300"/>
        </w:trPr>
        <w:tc>
          <w:tcPr>
            <w:tcW w:w="3977" w:type="dxa"/>
            <w:tcBorders>
              <w:top w:val="nil"/>
              <w:left w:val="single" w:sz="8" w:space="0" w:color="FFFFFF"/>
              <w:bottom w:val="nil"/>
              <w:right w:val="single" w:sz="8" w:space="0" w:color="FFFFFF"/>
            </w:tcBorders>
            <w:shd w:val="clear" w:color="000000" w:fill="56008C"/>
            <w:hideMark/>
          </w:tcPr>
          <w:p w:rsidR="00C2170D" w:rsidRPr="00C2170D" w:rsidRDefault="00C2170D" w:rsidP="00C2170D">
            <w:pPr>
              <w:rPr>
                <w:rFonts w:ascii="Arial" w:hAnsi="Arial" w:cs="Arial"/>
                <w:b/>
                <w:bCs/>
                <w:color w:val="FFFFFF"/>
                <w:sz w:val="18"/>
                <w:szCs w:val="18"/>
              </w:rPr>
            </w:pPr>
            <w:r w:rsidRPr="00C2170D">
              <w:rPr>
                <w:rFonts w:ascii="Arial" w:hAnsi="Arial" w:cs="Arial"/>
                <w:b/>
                <w:bCs/>
                <w:color w:val="FFFFFF"/>
                <w:sz w:val="18"/>
                <w:szCs w:val="18"/>
              </w:rPr>
              <w:t>TOTAL</w:t>
            </w:r>
          </w:p>
        </w:tc>
        <w:tc>
          <w:tcPr>
            <w:tcW w:w="38" w:type="dxa"/>
            <w:tcBorders>
              <w:top w:val="nil"/>
              <w:left w:val="nil"/>
              <w:bottom w:val="nil"/>
              <w:right w:val="nil"/>
            </w:tcBorders>
            <w:shd w:val="clear" w:color="auto" w:fill="auto"/>
            <w:noWrap/>
            <w:vAlign w:val="bottom"/>
            <w:hideMark/>
          </w:tcPr>
          <w:p w:rsidR="00C2170D" w:rsidRPr="00C2170D" w:rsidRDefault="00C2170D" w:rsidP="00C2170D">
            <w:pPr>
              <w:rPr>
                <w:rFonts w:ascii="Calibri" w:hAnsi="Calibri" w:cs="Calibri"/>
                <w:color w:val="000000"/>
                <w:sz w:val="22"/>
                <w:szCs w:val="22"/>
              </w:rPr>
            </w:pPr>
          </w:p>
        </w:tc>
        <w:tc>
          <w:tcPr>
            <w:tcW w:w="1121" w:type="dxa"/>
            <w:tcBorders>
              <w:top w:val="nil"/>
              <w:left w:val="single" w:sz="8" w:space="0" w:color="FFFFFF"/>
              <w:bottom w:val="nil"/>
              <w:right w:val="single" w:sz="8" w:space="0" w:color="FFFFFF"/>
            </w:tcBorders>
            <w:shd w:val="clear" w:color="000000" w:fill="56008C"/>
            <w:vAlign w:val="bottom"/>
            <w:hideMark/>
          </w:tcPr>
          <w:p w:rsidR="00C2170D" w:rsidRPr="00C2170D" w:rsidRDefault="00C2170D" w:rsidP="00C2170D">
            <w:pPr>
              <w:jc w:val="center"/>
              <w:rPr>
                <w:rFonts w:ascii="Arial" w:hAnsi="Arial" w:cs="Arial"/>
                <w:b/>
                <w:bCs/>
                <w:color w:val="FFFFFF"/>
                <w:sz w:val="18"/>
                <w:szCs w:val="18"/>
              </w:rPr>
            </w:pPr>
            <w:r w:rsidRPr="00C2170D">
              <w:rPr>
                <w:rFonts w:ascii="Arial" w:hAnsi="Arial" w:cs="Arial"/>
                <w:b/>
                <w:bCs/>
                <w:color w:val="FFFFFF"/>
                <w:sz w:val="18"/>
                <w:szCs w:val="18"/>
              </w:rPr>
              <w:t>1050.00</w:t>
            </w:r>
          </w:p>
        </w:tc>
        <w:tc>
          <w:tcPr>
            <w:tcW w:w="1164" w:type="dxa"/>
            <w:tcBorders>
              <w:top w:val="nil"/>
              <w:left w:val="nil"/>
              <w:bottom w:val="nil"/>
              <w:right w:val="single" w:sz="8" w:space="0" w:color="FFFFFF"/>
            </w:tcBorders>
            <w:shd w:val="clear" w:color="000000" w:fill="56008C"/>
            <w:vAlign w:val="bottom"/>
            <w:hideMark/>
          </w:tcPr>
          <w:p w:rsidR="00C2170D" w:rsidRPr="00C2170D" w:rsidRDefault="00931495" w:rsidP="00C2170D">
            <w:pPr>
              <w:jc w:val="center"/>
              <w:rPr>
                <w:rFonts w:ascii="Arial" w:hAnsi="Arial" w:cs="Arial"/>
                <w:b/>
                <w:bCs/>
                <w:color w:val="FFFFFF"/>
                <w:sz w:val="18"/>
                <w:szCs w:val="18"/>
              </w:rPr>
            </w:pPr>
            <w:r>
              <w:rPr>
                <w:rFonts w:ascii="Arial" w:hAnsi="Arial" w:cs="Arial"/>
                <w:b/>
                <w:bCs/>
                <w:color w:val="FFFFFF"/>
                <w:sz w:val="18"/>
                <w:szCs w:val="18"/>
              </w:rPr>
              <w:t>655.30</w:t>
            </w:r>
          </w:p>
        </w:tc>
        <w:tc>
          <w:tcPr>
            <w:tcW w:w="1000" w:type="dxa"/>
            <w:tcBorders>
              <w:top w:val="nil"/>
              <w:left w:val="nil"/>
              <w:bottom w:val="nil"/>
              <w:right w:val="single" w:sz="8" w:space="0" w:color="FFFFFF"/>
            </w:tcBorders>
            <w:shd w:val="clear" w:color="000000" w:fill="56008C"/>
            <w:vAlign w:val="bottom"/>
            <w:hideMark/>
          </w:tcPr>
          <w:p w:rsidR="00C2170D" w:rsidRPr="00C2170D" w:rsidRDefault="00931495" w:rsidP="00C2170D">
            <w:pPr>
              <w:jc w:val="center"/>
              <w:rPr>
                <w:rFonts w:ascii="Arial" w:hAnsi="Arial" w:cs="Arial"/>
                <w:b/>
                <w:bCs/>
                <w:color w:val="FFFFFF"/>
                <w:sz w:val="18"/>
                <w:szCs w:val="18"/>
              </w:rPr>
            </w:pPr>
            <w:r>
              <w:rPr>
                <w:rFonts w:ascii="Arial" w:hAnsi="Arial" w:cs="Arial"/>
                <w:b/>
                <w:bCs/>
                <w:color w:val="FFFFFF"/>
                <w:sz w:val="18"/>
                <w:szCs w:val="18"/>
              </w:rPr>
              <w:t>394.70</w:t>
            </w:r>
          </w:p>
        </w:tc>
      </w:tr>
    </w:tbl>
    <w:p w:rsidR="002B587B" w:rsidRDefault="002B587B" w:rsidP="00716AC4">
      <w:pPr>
        <w:spacing w:after="200" w:line="276" w:lineRule="auto"/>
        <w:rPr>
          <w:rFonts w:ascii="Arial" w:hAnsi="Arial" w:cs="Arial"/>
          <w:sz w:val="22"/>
          <w:szCs w:val="22"/>
        </w:rPr>
      </w:pPr>
    </w:p>
    <w:p w:rsidR="000271F4" w:rsidRDefault="00163A5A" w:rsidP="00716AC4">
      <w:pPr>
        <w:spacing w:after="200" w:line="276" w:lineRule="auto"/>
        <w:rPr>
          <w:rFonts w:ascii="Arial" w:hAnsi="Arial" w:cs="Arial"/>
          <w:sz w:val="22"/>
          <w:szCs w:val="22"/>
        </w:rPr>
      </w:pPr>
      <w:r>
        <w:rPr>
          <w:rFonts w:ascii="Arial" w:hAnsi="Arial" w:cs="Arial"/>
          <w:sz w:val="22"/>
          <w:szCs w:val="22"/>
        </w:rPr>
        <w:t xml:space="preserve">The contract to purchase the source code for the IRAS system was signed prior to the end of the financial year, and was appropriately charged against the 2013/14 capital programme.  </w:t>
      </w:r>
      <w:r w:rsidR="000D471E">
        <w:rPr>
          <w:rFonts w:ascii="Arial" w:hAnsi="Arial" w:cs="Arial"/>
          <w:sz w:val="22"/>
          <w:szCs w:val="22"/>
        </w:rPr>
        <w:t>The figure charged against capital includes VAT.</w:t>
      </w:r>
    </w:p>
    <w:p w:rsidR="00907BC3" w:rsidRDefault="00163A5A" w:rsidP="00716AC4">
      <w:pPr>
        <w:spacing w:after="200" w:line="276" w:lineRule="auto"/>
        <w:rPr>
          <w:rFonts w:ascii="Arial" w:hAnsi="Arial" w:cs="Arial"/>
          <w:sz w:val="22"/>
          <w:szCs w:val="22"/>
        </w:rPr>
      </w:pPr>
      <w:r>
        <w:rPr>
          <w:rFonts w:ascii="Arial" w:hAnsi="Arial" w:cs="Arial"/>
          <w:sz w:val="22"/>
          <w:szCs w:val="22"/>
        </w:rPr>
        <w:t>The £34</w:t>
      </w:r>
      <w:r w:rsidR="00435640">
        <w:rPr>
          <w:rFonts w:ascii="Arial" w:hAnsi="Arial" w:cs="Arial"/>
          <w:sz w:val="22"/>
          <w:szCs w:val="22"/>
        </w:rPr>
        <w:t>k reported against Video conferencing</w:t>
      </w:r>
      <w:r>
        <w:rPr>
          <w:rFonts w:ascii="Arial" w:hAnsi="Arial" w:cs="Arial"/>
          <w:sz w:val="22"/>
          <w:szCs w:val="22"/>
        </w:rPr>
        <w:t xml:space="preserve"> includes the video conferencing for the Jarrow office, which was procured in March, and </w:t>
      </w:r>
      <w:r w:rsidR="00435640">
        <w:rPr>
          <w:rFonts w:ascii="Arial" w:hAnsi="Arial" w:cs="Arial"/>
          <w:sz w:val="22"/>
          <w:szCs w:val="22"/>
        </w:rPr>
        <w:t xml:space="preserve">the VAT element of the cost incurred in 2012/13, which was put through as </w:t>
      </w:r>
      <w:r w:rsidR="00C76FF6">
        <w:rPr>
          <w:rFonts w:ascii="Arial" w:hAnsi="Arial" w:cs="Arial"/>
          <w:sz w:val="22"/>
          <w:szCs w:val="22"/>
        </w:rPr>
        <w:t>an accrual at the end of March 2013</w:t>
      </w:r>
      <w:r w:rsidR="00435640">
        <w:rPr>
          <w:rFonts w:ascii="Arial" w:hAnsi="Arial" w:cs="Arial"/>
          <w:sz w:val="22"/>
          <w:szCs w:val="22"/>
        </w:rPr>
        <w:t xml:space="preserve">.  </w:t>
      </w:r>
    </w:p>
    <w:p w:rsidR="00716AC4" w:rsidRPr="00E63F79" w:rsidRDefault="00B75EB4" w:rsidP="00716AC4">
      <w:pPr>
        <w:spacing w:after="200" w:line="276" w:lineRule="auto"/>
        <w:rPr>
          <w:rFonts w:ascii="Arial" w:hAnsi="Arial" w:cs="Arial"/>
          <w:b/>
          <w:sz w:val="22"/>
          <w:szCs w:val="22"/>
        </w:rPr>
      </w:pPr>
      <w:r>
        <w:rPr>
          <w:rFonts w:ascii="Arial" w:hAnsi="Arial" w:cs="Arial"/>
          <w:b/>
          <w:sz w:val="22"/>
          <w:szCs w:val="22"/>
        </w:rPr>
        <w:t>6</w:t>
      </w:r>
      <w:r w:rsidR="00716AC4" w:rsidRPr="00E63F79">
        <w:rPr>
          <w:rFonts w:ascii="Arial" w:hAnsi="Arial" w:cs="Arial"/>
          <w:b/>
          <w:sz w:val="22"/>
          <w:szCs w:val="22"/>
        </w:rPr>
        <w:t>. Balance sheet and cash</w:t>
      </w:r>
    </w:p>
    <w:p w:rsidR="00B0474A" w:rsidRPr="00F64C33" w:rsidRDefault="00716AC4" w:rsidP="00B40EA9">
      <w:pPr>
        <w:tabs>
          <w:tab w:val="left" w:pos="2172"/>
        </w:tabs>
        <w:contextualSpacing/>
        <w:rPr>
          <w:rFonts w:ascii="Arial" w:hAnsi="Arial" w:cs="Arial"/>
          <w:sz w:val="22"/>
          <w:szCs w:val="22"/>
        </w:rPr>
      </w:pPr>
      <w:r w:rsidRPr="00272C4C">
        <w:rPr>
          <w:rFonts w:ascii="Arial" w:hAnsi="Arial" w:cs="Arial"/>
          <w:sz w:val="22"/>
          <w:szCs w:val="22"/>
        </w:rPr>
        <w:t xml:space="preserve">A summarised balance sheet can be found in Appendix </w:t>
      </w:r>
      <w:r w:rsidR="002B587B">
        <w:rPr>
          <w:rFonts w:ascii="Arial" w:hAnsi="Arial" w:cs="Arial"/>
          <w:sz w:val="22"/>
          <w:szCs w:val="22"/>
        </w:rPr>
        <w:t>B</w:t>
      </w:r>
      <w:r w:rsidR="00B40EA9" w:rsidRPr="00272C4C">
        <w:rPr>
          <w:rFonts w:ascii="Arial" w:hAnsi="Arial" w:cs="Arial"/>
          <w:sz w:val="22"/>
          <w:szCs w:val="22"/>
        </w:rPr>
        <w:t xml:space="preserve"> comparing the closing balances </w:t>
      </w:r>
      <w:r w:rsidR="00D552C4" w:rsidRPr="00272C4C">
        <w:rPr>
          <w:rFonts w:ascii="Arial" w:hAnsi="Arial" w:cs="Arial"/>
          <w:sz w:val="22"/>
          <w:szCs w:val="22"/>
        </w:rPr>
        <w:t xml:space="preserve">in March 2013 with </w:t>
      </w:r>
      <w:r w:rsidR="00B40EA9" w:rsidRPr="00272C4C">
        <w:rPr>
          <w:rFonts w:ascii="Arial" w:hAnsi="Arial" w:cs="Arial"/>
          <w:sz w:val="22"/>
          <w:szCs w:val="22"/>
        </w:rPr>
        <w:t xml:space="preserve">the position at the </w:t>
      </w:r>
      <w:r w:rsidR="007B5BC7">
        <w:rPr>
          <w:rFonts w:ascii="Arial" w:hAnsi="Arial" w:cs="Arial"/>
          <w:sz w:val="22"/>
          <w:szCs w:val="22"/>
        </w:rPr>
        <w:t>end of</w:t>
      </w:r>
      <w:r w:rsidR="00163A5A">
        <w:rPr>
          <w:rFonts w:ascii="Arial" w:hAnsi="Arial" w:cs="Arial"/>
          <w:sz w:val="22"/>
          <w:szCs w:val="22"/>
        </w:rPr>
        <w:t xml:space="preserve"> February</w:t>
      </w:r>
      <w:r w:rsidR="00132DB0">
        <w:rPr>
          <w:rFonts w:ascii="Arial" w:hAnsi="Arial" w:cs="Arial"/>
          <w:sz w:val="22"/>
          <w:szCs w:val="22"/>
        </w:rPr>
        <w:t xml:space="preserve"> 2014</w:t>
      </w:r>
      <w:r w:rsidR="00163A5A">
        <w:rPr>
          <w:rFonts w:ascii="Arial" w:hAnsi="Arial" w:cs="Arial"/>
          <w:sz w:val="22"/>
          <w:szCs w:val="22"/>
        </w:rPr>
        <w:t xml:space="preserve"> and March </w:t>
      </w:r>
      <w:r w:rsidR="007B5BC7">
        <w:rPr>
          <w:rFonts w:ascii="Arial" w:hAnsi="Arial" w:cs="Arial"/>
          <w:sz w:val="22"/>
          <w:szCs w:val="22"/>
        </w:rPr>
        <w:t>2014</w:t>
      </w:r>
      <w:r w:rsidR="00B40EA9" w:rsidRPr="00272C4C">
        <w:rPr>
          <w:rFonts w:ascii="Arial" w:hAnsi="Arial" w:cs="Arial"/>
          <w:sz w:val="22"/>
          <w:szCs w:val="22"/>
        </w:rPr>
        <w:t>.</w:t>
      </w:r>
      <w:r w:rsidR="00A14A2E" w:rsidRPr="00272C4C">
        <w:rPr>
          <w:rFonts w:ascii="Arial" w:hAnsi="Arial" w:cs="Arial"/>
          <w:sz w:val="22"/>
          <w:szCs w:val="22"/>
        </w:rPr>
        <w:t xml:space="preserve">  Net Assets and Taxpayers Equity are </w:t>
      </w:r>
      <w:r w:rsidR="003374E1" w:rsidRPr="00272C4C">
        <w:rPr>
          <w:rFonts w:ascii="Arial" w:hAnsi="Arial" w:cs="Arial"/>
          <w:sz w:val="22"/>
          <w:szCs w:val="22"/>
        </w:rPr>
        <w:t xml:space="preserve">positive </w:t>
      </w:r>
      <w:r w:rsidR="003001BE" w:rsidRPr="00272C4C">
        <w:rPr>
          <w:rFonts w:ascii="Arial" w:hAnsi="Arial" w:cs="Arial"/>
          <w:sz w:val="22"/>
          <w:szCs w:val="22"/>
        </w:rPr>
        <w:t>and have increased to</w:t>
      </w:r>
      <w:r w:rsidR="003374E1" w:rsidRPr="00272C4C">
        <w:rPr>
          <w:rFonts w:ascii="Arial" w:hAnsi="Arial" w:cs="Arial"/>
          <w:sz w:val="22"/>
          <w:szCs w:val="22"/>
        </w:rPr>
        <w:t xml:space="preserve"> £</w:t>
      </w:r>
      <w:r w:rsidR="007D0D17">
        <w:rPr>
          <w:rFonts w:ascii="Arial" w:hAnsi="Arial" w:cs="Arial"/>
          <w:sz w:val="22"/>
          <w:szCs w:val="22"/>
        </w:rPr>
        <w:t>3,415</w:t>
      </w:r>
      <w:r w:rsidR="003374E1" w:rsidRPr="00272C4C">
        <w:rPr>
          <w:rFonts w:ascii="Arial" w:hAnsi="Arial" w:cs="Arial"/>
          <w:sz w:val="22"/>
          <w:szCs w:val="22"/>
        </w:rPr>
        <w:t>k</w:t>
      </w:r>
      <w:r w:rsidR="00A14A2E" w:rsidRPr="00272C4C">
        <w:rPr>
          <w:rFonts w:ascii="Arial" w:hAnsi="Arial" w:cs="Arial"/>
          <w:sz w:val="22"/>
          <w:szCs w:val="22"/>
        </w:rPr>
        <w:t>.</w:t>
      </w:r>
      <w:r w:rsidR="00B40EA9" w:rsidRPr="00272C4C">
        <w:rPr>
          <w:rFonts w:ascii="Arial" w:hAnsi="Arial" w:cs="Arial"/>
          <w:sz w:val="22"/>
          <w:szCs w:val="22"/>
        </w:rPr>
        <w:t xml:space="preserve"> </w:t>
      </w:r>
      <w:r w:rsidR="00A86A0C" w:rsidRPr="00272C4C">
        <w:rPr>
          <w:rFonts w:ascii="Arial" w:hAnsi="Arial" w:cs="Arial"/>
          <w:sz w:val="22"/>
          <w:szCs w:val="22"/>
        </w:rPr>
        <w:t xml:space="preserve"> </w:t>
      </w:r>
      <w:r w:rsidR="007D0D17">
        <w:rPr>
          <w:rFonts w:ascii="Arial" w:hAnsi="Arial" w:cs="Arial"/>
          <w:sz w:val="22"/>
          <w:szCs w:val="22"/>
        </w:rPr>
        <w:t>This increase is mainly due to the increase in cash held at the end of the year.</w:t>
      </w:r>
      <w:r w:rsidR="00A86A0C" w:rsidRPr="00272C4C">
        <w:rPr>
          <w:rFonts w:ascii="Arial" w:hAnsi="Arial" w:cs="Arial"/>
          <w:sz w:val="22"/>
          <w:szCs w:val="22"/>
        </w:rPr>
        <w:t xml:space="preserve"> </w:t>
      </w:r>
    </w:p>
    <w:p w:rsidR="00B0474A" w:rsidRDefault="00B0474A" w:rsidP="00B40EA9">
      <w:pPr>
        <w:tabs>
          <w:tab w:val="left" w:pos="2172"/>
        </w:tabs>
        <w:contextualSpacing/>
        <w:rPr>
          <w:rFonts w:ascii="Arial" w:hAnsi="Arial" w:cs="Arial"/>
          <w:sz w:val="22"/>
          <w:szCs w:val="22"/>
          <w:highlight w:val="yellow"/>
        </w:rPr>
      </w:pPr>
    </w:p>
    <w:p w:rsidR="00994215" w:rsidRDefault="007D0D17" w:rsidP="00B40EA9">
      <w:pPr>
        <w:tabs>
          <w:tab w:val="left" w:pos="2172"/>
        </w:tabs>
        <w:contextualSpacing/>
        <w:rPr>
          <w:rFonts w:ascii="Arial" w:hAnsi="Arial" w:cs="Arial"/>
          <w:sz w:val="22"/>
          <w:szCs w:val="22"/>
          <w:highlight w:val="yellow"/>
        </w:rPr>
      </w:pPr>
      <w:r>
        <w:rPr>
          <w:rFonts w:ascii="Arial" w:hAnsi="Arial" w:cs="Arial"/>
          <w:sz w:val="22"/>
          <w:szCs w:val="22"/>
        </w:rPr>
        <w:t>The cash forecast reflects the position a</w:t>
      </w:r>
      <w:r w:rsidR="00EF4A75">
        <w:rPr>
          <w:rFonts w:ascii="Arial" w:hAnsi="Arial" w:cs="Arial"/>
          <w:sz w:val="22"/>
          <w:szCs w:val="22"/>
        </w:rPr>
        <w:t>s at the 31</w:t>
      </w:r>
      <w:r w:rsidR="00EF4A75" w:rsidRPr="00EF4A75">
        <w:rPr>
          <w:rFonts w:ascii="Arial" w:hAnsi="Arial" w:cs="Arial"/>
          <w:sz w:val="22"/>
          <w:szCs w:val="22"/>
          <w:vertAlign w:val="superscript"/>
        </w:rPr>
        <w:t>st</w:t>
      </w:r>
      <w:r w:rsidR="00EF4A75">
        <w:rPr>
          <w:rFonts w:ascii="Arial" w:hAnsi="Arial" w:cs="Arial"/>
          <w:sz w:val="22"/>
          <w:szCs w:val="22"/>
        </w:rPr>
        <w:t xml:space="preserve"> </w:t>
      </w:r>
      <w:r>
        <w:rPr>
          <w:rFonts w:ascii="Arial" w:hAnsi="Arial" w:cs="Arial"/>
          <w:sz w:val="22"/>
          <w:szCs w:val="22"/>
        </w:rPr>
        <w:t xml:space="preserve">March.  As anticipated, the cash </w:t>
      </w:r>
      <w:r w:rsidR="00EF4A75">
        <w:rPr>
          <w:rFonts w:ascii="Arial" w:hAnsi="Arial" w:cs="Arial"/>
          <w:sz w:val="22"/>
          <w:szCs w:val="22"/>
        </w:rPr>
        <w:t>balance held at the 31</w:t>
      </w:r>
      <w:r w:rsidR="00EF4A75" w:rsidRPr="00EF4A75">
        <w:rPr>
          <w:rFonts w:ascii="Arial" w:hAnsi="Arial" w:cs="Arial"/>
          <w:sz w:val="22"/>
          <w:szCs w:val="22"/>
          <w:vertAlign w:val="superscript"/>
        </w:rPr>
        <w:t>st</w:t>
      </w:r>
      <w:r w:rsidR="00EF4A75">
        <w:rPr>
          <w:rFonts w:ascii="Arial" w:hAnsi="Arial" w:cs="Arial"/>
          <w:sz w:val="22"/>
          <w:szCs w:val="22"/>
        </w:rPr>
        <w:t xml:space="preserve"> March was significantly high at £3.8m, and is approximately £2.5m more than the cash required to cover the liabilities held on the balance sheet.  This is due to drawing down the whole of the revenue cash and capital limit as indicated </w:t>
      </w:r>
      <w:r w:rsidR="000D471E">
        <w:rPr>
          <w:rFonts w:ascii="Arial" w:hAnsi="Arial" w:cs="Arial"/>
          <w:sz w:val="22"/>
          <w:szCs w:val="22"/>
        </w:rPr>
        <w:t xml:space="preserve">in the January report.  The high level of excess cash is attributable to the increased underspend on revenue, </w:t>
      </w:r>
      <w:proofErr w:type="gramStart"/>
      <w:r w:rsidR="000D471E">
        <w:rPr>
          <w:rFonts w:ascii="Arial" w:hAnsi="Arial" w:cs="Arial"/>
          <w:sz w:val="22"/>
          <w:szCs w:val="22"/>
        </w:rPr>
        <w:t>the</w:t>
      </w:r>
      <w:r w:rsidR="00E13E6E">
        <w:rPr>
          <w:rFonts w:ascii="Arial" w:hAnsi="Arial" w:cs="Arial"/>
          <w:sz w:val="22"/>
          <w:szCs w:val="22"/>
        </w:rPr>
        <w:t xml:space="preserve"> </w:t>
      </w:r>
      <w:r w:rsidR="000D471E">
        <w:rPr>
          <w:rFonts w:ascii="Arial" w:hAnsi="Arial" w:cs="Arial"/>
          <w:sz w:val="22"/>
          <w:szCs w:val="22"/>
        </w:rPr>
        <w:t>underspend</w:t>
      </w:r>
      <w:proofErr w:type="gramEnd"/>
      <w:r w:rsidR="000D471E">
        <w:rPr>
          <w:rFonts w:ascii="Arial" w:hAnsi="Arial" w:cs="Arial"/>
          <w:sz w:val="22"/>
          <w:szCs w:val="22"/>
        </w:rPr>
        <w:t xml:space="preserve"> on capital, together with an inherent excess cash balance from 2012/13.</w:t>
      </w:r>
      <w:r w:rsidR="00EF4A75">
        <w:rPr>
          <w:rFonts w:ascii="Arial" w:hAnsi="Arial" w:cs="Arial"/>
          <w:sz w:val="22"/>
          <w:szCs w:val="22"/>
        </w:rPr>
        <w:t xml:space="preserve">   </w:t>
      </w:r>
      <w:r w:rsidR="002B587B">
        <w:rPr>
          <w:rFonts w:ascii="Arial" w:hAnsi="Arial" w:cs="Arial"/>
          <w:sz w:val="22"/>
          <w:szCs w:val="22"/>
        </w:rPr>
        <w:t>The audit committee</w:t>
      </w:r>
      <w:proofErr w:type="gramStart"/>
      <w:r w:rsidR="002B587B">
        <w:rPr>
          <w:rFonts w:ascii="Arial" w:hAnsi="Arial" w:cs="Arial"/>
          <w:sz w:val="22"/>
          <w:szCs w:val="22"/>
        </w:rPr>
        <w:t>,  external</w:t>
      </w:r>
      <w:proofErr w:type="gramEnd"/>
      <w:r w:rsidR="002B587B">
        <w:rPr>
          <w:rFonts w:ascii="Arial" w:hAnsi="Arial" w:cs="Arial"/>
          <w:sz w:val="22"/>
          <w:szCs w:val="22"/>
        </w:rPr>
        <w:t xml:space="preserve"> audit, Sponsor and ALB Finance are all informed and have not raised concerns.</w:t>
      </w:r>
    </w:p>
    <w:p w:rsidR="001A2303" w:rsidRDefault="002B1ABB" w:rsidP="00B40EA9">
      <w:pPr>
        <w:tabs>
          <w:tab w:val="left" w:pos="2172"/>
        </w:tabs>
        <w:contextualSpacing/>
        <w:rPr>
          <w:rFonts w:ascii="Arial" w:hAnsi="Arial" w:cs="Arial"/>
          <w:sz w:val="22"/>
          <w:szCs w:val="22"/>
          <w:highlight w:val="yellow"/>
        </w:rPr>
      </w:pPr>
      <w:r>
        <w:rPr>
          <w:rFonts w:ascii="Arial" w:hAnsi="Arial" w:cs="Arial"/>
          <w:sz w:val="22"/>
          <w:szCs w:val="22"/>
          <w:highlight w:val="yellow"/>
        </w:rPr>
        <w:t xml:space="preserve">    </w:t>
      </w:r>
    </w:p>
    <w:p w:rsidR="00B40EA9" w:rsidRPr="00B40EA9" w:rsidRDefault="00B75EB4" w:rsidP="00B40EA9">
      <w:pPr>
        <w:jc w:val="both"/>
        <w:rPr>
          <w:rFonts w:ascii="Arial" w:hAnsi="Arial" w:cs="Arial"/>
          <w:b/>
          <w:sz w:val="22"/>
          <w:szCs w:val="22"/>
        </w:rPr>
      </w:pPr>
      <w:r>
        <w:rPr>
          <w:rFonts w:ascii="Arial" w:hAnsi="Arial" w:cs="Arial"/>
          <w:b/>
          <w:sz w:val="22"/>
          <w:szCs w:val="22"/>
        </w:rPr>
        <w:t>7</w:t>
      </w:r>
      <w:r w:rsidR="00B40EA9" w:rsidRPr="00C07047">
        <w:rPr>
          <w:rFonts w:ascii="Arial" w:hAnsi="Arial" w:cs="Arial"/>
          <w:b/>
          <w:sz w:val="22"/>
          <w:szCs w:val="22"/>
        </w:rPr>
        <w:t xml:space="preserve">. </w:t>
      </w:r>
      <w:r w:rsidR="00B40EA9" w:rsidRPr="00B40EA9">
        <w:rPr>
          <w:rFonts w:ascii="Arial" w:hAnsi="Arial" w:cs="Arial"/>
          <w:b/>
          <w:sz w:val="22"/>
          <w:szCs w:val="22"/>
        </w:rPr>
        <w:t>Recommendations</w:t>
      </w:r>
    </w:p>
    <w:p w:rsidR="00B40EA9" w:rsidRPr="00C07047" w:rsidRDefault="00B40EA9" w:rsidP="00B40EA9">
      <w:pPr>
        <w:jc w:val="both"/>
        <w:rPr>
          <w:rFonts w:ascii="Arial" w:hAnsi="Arial" w:cs="Arial"/>
          <w:b/>
          <w:sz w:val="22"/>
          <w:szCs w:val="22"/>
        </w:rPr>
      </w:pPr>
    </w:p>
    <w:p w:rsidR="001A2303" w:rsidRDefault="00B40EA9" w:rsidP="00115E84">
      <w:pPr>
        <w:overflowPunct w:val="0"/>
        <w:autoSpaceDE w:val="0"/>
        <w:autoSpaceDN w:val="0"/>
        <w:adjustRightInd w:val="0"/>
        <w:textAlignment w:val="baseline"/>
        <w:rPr>
          <w:rFonts w:ascii="Arial" w:hAnsi="Arial" w:cs="Arial"/>
          <w:sz w:val="22"/>
          <w:szCs w:val="22"/>
        </w:rPr>
      </w:pPr>
      <w:r w:rsidRPr="00C07047">
        <w:rPr>
          <w:rFonts w:ascii="Arial" w:hAnsi="Arial" w:cs="Arial"/>
          <w:sz w:val="22"/>
          <w:szCs w:val="22"/>
        </w:rPr>
        <w:t xml:space="preserve">That the </w:t>
      </w:r>
      <w:r>
        <w:rPr>
          <w:rFonts w:ascii="Arial" w:hAnsi="Arial" w:cs="Arial"/>
          <w:sz w:val="22"/>
          <w:szCs w:val="22"/>
        </w:rPr>
        <w:t xml:space="preserve">Executive Management Team (EMT) </w:t>
      </w:r>
      <w:r w:rsidR="00F06479">
        <w:rPr>
          <w:rFonts w:ascii="Arial" w:hAnsi="Arial" w:cs="Arial"/>
          <w:sz w:val="22"/>
          <w:szCs w:val="22"/>
        </w:rPr>
        <w:t>approves</w:t>
      </w:r>
      <w:r w:rsidRPr="00C07047">
        <w:rPr>
          <w:rFonts w:ascii="Arial" w:hAnsi="Arial" w:cs="Arial"/>
          <w:sz w:val="22"/>
          <w:szCs w:val="22"/>
        </w:rPr>
        <w:t xml:space="preserve"> the </w:t>
      </w:r>
      <w:r>
        <w:rPr>
          <w:rFonts w:ascii="Arial" w:hAnsi="Arial" w:cs="Arial"/>
          <w:sz w:val="22"/>
          <w:szCs w:val="22"/>
        </w:rPr>
        <w:t>final financial</w:t>
      </w:r>
      <w:r w:rsidRPr="00C07047">
        <w:rPr>
          <w:rFonts w:ascii="Arial" w:hAnsi="Arial" w:cs="Arial"/>
          <w:sz w:val="22"/>
          <w:szCs w:val="22"/>
        </w:rPr>
        <w:t xml:space="preserve"> position</w:t>
      </w:r>
      <w:r w:rsidR="00115E84">
        <w:rPr>
          <w:rFonts w:ascii="Arial" w:hAnsi="Arial" w:cs="Arial"/>
          <w:sz w:val="22"/>
          <w:szCs w:val="22"/>
        </w:rPr>
        <w:t xml:space="preserve"> and notes the position relating to</w:t>
      </w:r>
    </w:p>
    <w:p w:rsidR="001A2303" w:rsidRDefault="001A2303" w:rsidP="00115E84">
      <w:pPr>
        <w:overflowPunct w:val="0"/>
        <w:autoSpaceDE w:val="0"/>
        <w:autoSpaceDN w:val="0"/>
        <w:adjustRightInd w:val="0"/>
        <w:textAlignment w:val="baseline"/>
        <w:rPr>
          <w:rFonts w:ascii="Arial" w:hAnsi="Arial" w:cs="Arial"/>
          <w:sz w:val="22"/>
          <w:szCs w:val="22"/>
        </w:rPr>
      </w:pPr>
    </w:p>
    <w:p w:rsidR="001A2303" w:rsidRPr="00E31CA4" w:rsidRDefault="00E31CA4"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Underspend at the year end</w:t>
      </w:r>
    </w:p>
    <w:p w:rsidR="001A2303" w:rsidRDefault="001A2303"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Better Payments Practice Code pos</w:t>
      </w:r>
      <w:r w:rsidR="003F3BB4">
        <w:rPr>
          <w:rFonts w:ascii="Arial" w:hAnsi="Arial" w:cs="Arial"/>
          <w:sz w:val="22"/>
          <w:szCs w:val="22"/>
        </w:rPr>
        <w:t>i</w:t>
      </w:r>
      <w:r>
        <w:rPr>
          <w:rFonts w:ascii="Arial" w:hAnsi="Arial" w:cs="Arial"/>
          <w:sz w:val="22"/>
          <w:szCs w:val="22"/>
        </w:rPr>
        <w:t>tion</w:t>
      </w:r>
    </w:p>
    <w:p w:rsidR="00B40EA9" w:rsidRDefault="001A2303"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O</w:t>
      </w:r>
      <w:r w:rsidR="00115E84" w:rsidRPr="001A2303">
        <w:rPr>
          <w:rFonts w:ascii="Arial" w:hAnsi="Arial" w:cs="Arial"/>
          <w:sz w:val="22"/>
          <w:szCs w:val="22"/>
        </w:rPr>
        <w:t>verall travel costs</w:t>
      </w:r>
    </w:p>
    <w:p w:rsidR="001A2303" w:rsidRDefault="001A2303"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Capital plans and expenditure to date.</w:t>
      </w:r>
    </w:p>
    <w:p w:rsidR="00B40EA9" w:rsidRDefault="00CE1147" w:rsidP="00B40EA9">
      <w:pPr>
        <w:pStyle w:val="ListParagraph"/>
        <w:numPr>
          <w:ilvl w:val="0"/>
          <w:numId w:val="11"/>
        </w:numPr>
        <w:overflowPunct w:val="0"/>
        <w:autoSpaceDE w:val="0"/>
        <w:autoSpaceDN w:val="0"/>
        <w:adjustRightInd w:val="0"/>
        <w:spacing w:line="276" w:lineRule="auto"/>
        <w:textAlignment w:val="baseline"/>
        <w:rPr>
          <w:rFonts w:ascii="Arial" w:hAnsi="Arial" w:cs="Arial"/>
          <w:sz w:val="22"/>
          <w:szCs w:val="22"/>
        </w:rPr>
      </w:pPr>
      <w:r>
        <w:rPr>
          <w:rFonts w:ascii="Arial" w:hAnsi="Arial" w:cs="Arial"/>
          <w:sz w:val="22"/>
          <w:szCs w:val="22"/>
        </w:rPr>
        <w:t>Revised cash forecast and decision to retain full cash balance.</w:t>
      </w:r>
    </w:p>
    <w:p w:rsidR="00CE1147" w:rsidRDefault="00CE1147" w:rsidP="00CE1147">
      <w:pPr>
        <w:pStyle w:val="ListParagraph"/>
        <w:overflowPunct w:val="0"/>
        <w:autoSpaceDE w:val="0"/>
        <w:autoSpaceDN w:val="0"/>
        <w:adjustRightInd w:val="0"/>
        <w:spacing w:line="276" w:lineRule="auto"/>
        <w:ind w:left="780"/>
        <w:textAlignment w:val="baseline"/>
        <w:rPr>
          <w:rFonts w:ascii="Arial" w:hAnsi="Arial" w:cs="Arial"/>
          <w:sz w:val="22"/>
          <w:szCs w:val="22"/>
        </w:rPr>
      </w:pPr>
    </w:p>
    <w:p w:rsidR="00CE1147" w:rsidRPr="00CE1147" w:rsidRDefault="00CE1147" w:rsidP="00CE1147">
      <w:pPr>
        <w:pStyle w:val="ListParagraph"/>
        <w:overflowPunct w:val="0"/>
        <w:autoSpaceDE w:val="0"/>
        <w:autoSpaceDN w:val="0"/>
        <w:adjustRightInd w:val="0"/>
        <w:spacing w:line="276" w:lineRule="auto"/>
        <w:ind w:left="780"/>
        <w:textAlignment w:val="baseline"/>
        <w:rPr>
          <w:rFonts w:ascii="Arial" w:hAnsi="Arial" w:cs="Arial"/>
          <w:sz w:val="22"/>
          <w:szCs w:val="22"/>
        </w:rPr>
      </w:pP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Debbie Corrigan</w:t>
      </w: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Director of Finance</w:t>
      </w:r>
    </w:p>
    <w:p w:rsidR="00A86A0C" w:rsidRPr="00480953" w:rsidRDefault="00E31CA4" w:rsidP="00480953">
      <w:pPr>
        <w:spacing w:line="276" w:lineRule="auto"/>
        <w:rPr>
          <w:rFonts w:ascii="Arial" w:hAnsi="Arial" w:cs="Arial"/>
          <w:b/>
          <w:sz w:val="22"/>
          <w:szCs w:val="22"/>
        </w:rPr>
        <w:sectPr w:rsidR="00A86A0C" w:rsidRPr="00480953" w:rsidSect="00861C72">
          <w:headerReference w:type="default" r:id="rId11"/>
          <w:pgSz w:w="11906" w:h="16838"/>
          <w:pgMar w:top="993" w:right="1440" w:bottom="709" w:left="1440" w:header="709" w:footer="709" w:gutter="0"/>
          <w:cols w:space="708"/>
          <w:docGrid w:linePitch="360"/>
        </w:sectPr>
      </w:pPr>
      <w:r>
        <w:rPr>
          <w:rFonts w:ascii="Arial" w:hAnsi="Arial" w:cs="Arial"/>
          <w:b/>
          <w:sz w:val="22"/>
          <w:szCs w:val="22"/>
        </w:rPr>
        <w:t>2</w:t>
      </w:r>
      <w:r w:rsidR="008F0929">
        <w:rPr>
          <w:rFonts w:ascii="Arial" w:hAnsi="Arial" w:cs="Arial"/>
          <w:b/>
          <w:sz w:val="22"/>
          <w:szCs w:val="22"/>
        </w:rPr>
        <w:t>9</w:t>
      </w:r>
      <w:bookmarkStart w:id="0" w:name="_GoBack"/>
      <w:bookmarkEnd w:id="0"/>
      <w:r>
        <w:rPr>
          <w:rFonts w:ascii="Arial" w:hAnsi="Arial" w:cs="Arial"/>
          <w:b/>
          <w:sz w:val="22"/>
          <w:szCs w:val="22"/>
        </w:rPr>
        <w:t xml:space="preserve"> April</w:t>
      </w:r>
      <w:r w:rsidR="00F16278">
        <w:rPr>
          <w:rFonts w:ascii="Arial" w:hAnsi="Arial" w:cs="Arial"/>
          <w:b/>
          <w:sz w:val="22"/>
          <w:szCs w:val="22"/>
        </w:rPr>
        <w:t xml:space="preserve"> </w:t>
      </w:r>
      <w:r w:rsidR="00480953">
        <w:rPr>
          <w:rFonts w:ascii="Arial" w:hAnsi="Arial" w:cs="Arial"/>
          <w:b/>
          <w:sz w:val="22"/>
          <w:szCs w:val="22"/>
        </w:rPr>
        <w:t>2014</w:t>
      </w:r>
    </w:p>
    <w:p w:rsidR="00597AF4" w:rsidRPr="00F64C33" w:rsidRDefault="00597AF4" w:rsidP="00597AF4">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lastRenderedPageBreak/>
        <w:t xml:space="preserve">Health Research Authority – Financial position as at </w:t>
      </w:r>
      <w:r w:rsidR="00EF6841">
        <w:rPr>
          <w:rFonts w:ascii="Arial" w:eastAsia="Calibri" w:hAnsi="Arial"/>
          <w:b/>
          <w:bCs/>
          <w:color w:val="56008C"/>
          <w:szCs w:val="26"/>
          <w:lang w:eastAsia="en-US"/>
        </w:rPr>
        <w:t>31 March</w:t>
      </w:r>
      <w:r w:rsidR="00445C3C">
        <w:rPr>
          <w:rFonts w:ascii="Arial" w:eastAsia="Calibri" w:hAnsi="Arial"/>
          <w:b/>
          <w:bCs/>
          <w:color w:val="56008C"/>
          <w:szCs w:val="26"/>
          <w:lang w:eastAsia="en-US"/>
        </w:rPr>
        <w:t xml:space="preserve"> 2014</w:t>
      </w:r>
      <w:r w:rsidR="00497F63">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5C76AA">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Appendix A</w:t>
      </w:r>
    </w:p>
    <w:tbl>
      <w:tblPr>
        <w:tblStyle w:val="TableGrid"/>
        <w:tblW w:w="0" w:type="auto"/>
        <w:tblLook w:val="04A0" w:firstRow="1" w:lastRow="0" w:firstColumn="1" w:lastColumn="0" w:noHBand="0" w:noVBand="1"/>
      </w:tblPr>
      <w:tblGrid>
        <w:gridCol w:w="2088"/>
        <w:gridCol w:w="13540"/>
      </w:tblGrid>
      <w:tr w:rsidR="00C11CD4" w:rsidRPr="00461E1B" w:rsidTr="00F64C33">
        <w:tc>
          <w:tcPr>
            <w:tcW w:w="2088" w:type="dxa"/>
            <w:shd w:val="clear" w:color="auto" w:fill="56008C"/>
            <w:vAlign w:val="center"/>
          </w:tcPr>
          <w:p w:rsidR="00C11CD4" w:rsidRPr="00F64C33" w:rsidRDefault="00C11CD4" w:rsidP="004C7812">
            <w:pPr>
              <w:spacing w:after="200" w:line="276" w:lineRule="auto"/>
              <w:jc w:val="center"/>
              <w:rPr>
                <w:rFonts w:ascii="Arial" w:hAnsi="Arial" w:cs="Arial"/>
                <w:b/>
                <w:color w:val="E28C05"/>
              </w:rPr>
            </w:pPr>
            <w:r w:rsidRPr="00F64C33">
              <w:rPr>
                <w:rFonts w:ascii="Arial" w:hAnsi="Arial" w:cs="Arial"/>
                <w:b/>
                <w:color w:val="E28C05"/>
              </w:rPr>
              <w:t>FINANCIAL RESULTS</w:t>
            </w:r>
          </w:p>
          <w:p w:rsidR="00C11CD4" w:rsidRPr="00FC6EBF" w:rsidRDefault="00C11CD4" w:rsidP="004C7812">
            <w:pPr>
              <w:spacing w:after="200" w:line="276" w:lineRule="auto"/>
              <w:jc w:val="center"/>
              <w:rPr>
                <w:rFonts w:ascii="Arial" w:hAnsi="Arial" w:cs="Arial"/>
                <w:b/>
              </w:rPr>
            </w:pPr>
            <w:r w:rsidRPr="002132BF">
              <w:rPr>
                <w:rFonts w:ascii="Arial" w:hAnsi="Arial" w:cs="Arial"/>
                <w:b/>
                <w:color w:val="E28C05"/>
              </w:rPr>
              <w:t>HEADLINES</w:t>
            </w:r>
          </w:p>
        </w:tc>
        <w:tc>
          <w:tcPr>
            <w:tcW w:w="13540" w:type="dxa"/>
          </w:tcPr>
          <w:p w:rsidR="00C11CD4" w:rsidRPr="00634E33" w:rsidRDefault="00C11CD4" w:rsidP="004C7812">
            <w:pPr>
              <w:numPr>
                <w:ilvl w:val="0"/>
                <w:numId w:val="2"/>
              </w:numPr>
              <w:contextualSpacing/>
              <w:rPr>
                <w:rFonts w:ascii="Arial" w:hAnsi="Arial" w:cs="Arial"/>
                <w:sz w:val="22"/>
                <w:szCs w:val="22"/>
              </w:rPr>
            </w:pPr>
            <w:r w:rsidRPr="00634E33">
              <w:rPr>
                <w:rFonts w:ascii="Arial" w:hAnsi="Arial" w:cs="Arial"/>
                <w:sz w:val="22"/>
                <w:szCs w:val="22"/>
              </w:rPr>
              <w:t xml:space="preserve">HRA is reporting </w:t>
            </w:r>
            <w:proofErr w:type="gramStart"/>
            <w:r w:rsidRPr="00634E33">
              <w:rPr>
                <w:rFonts w:ascii="Arial" w:hAnsi="Arial" w:cs="Arial"/>
                <w:sz w:val="22"/>
                <w:szCs w:val="22"/>
              </w:rPr>
              <w:t xml:space="preserve">an </w:t>
            </w:r>
            <w:r w:rsidR="00D0058C">
              <w:rPr>
                <w:rFonts w:ascii="Arial" w:hAnsi="Arial" w:cs="Arial"/>
                <w:sz w:val="22"/>
                <w:szCs w:val="22"/>
              </w:rPr>
              <w:t>underspend</w:t>
            </w:r>
            <w:proofErr w:type="gramEnd"/>
            <w:r w:rsidRPr="00634E33">
              <w:rPr>
                <w:rFonts w:ascii="Arial" w:hAnsi="Arial" w:cs="Arial"/>
                <w:sz w:val="22"/>
                <w:szCs w:val="22"/>
              </w:rPr>
              <w:t xml:space="preserve"> </w:t>
            </w:r>
            <w:r w:rsidR="00EF6841">
              <w:rPr>
                <w:rFonts w:ascii="Arial" w:hAnsi="Arial" w:cs="Arial"/>
                <w:sz w:val="22"/>
                <w:szCs w:val="22"/>
              </w:rPr>
              <w:t>of £937k at the end of March</w:t>
            </w:r>
            <w:r w:rsidR="00853914">
              <w:rPr>
                <w:rFonts w:ascii="Arial" w:hAnsi="Arial" w:cs="Arial"/>
                <w:sz w:val="22"/>
                <w:szCs w:val="22"/>
              </w:rPr>
              <w:t xml:space="preserve"> - £914k less than expenditure budgets and £23k more income</w:t>
            </w:r>
            <w:r>
              <w:rPr>
                <w:rFonts w:ascii="Arial" w:hAnsi="Arial" w:cs="Arial"/>
                <w:sz w:val="22"/>
                <w:szCs w:val="22"/>
              </w:rPr>
              <w:t xml:space="preserve">. </w:t>
            </w:r>
          </w:p>
          <w:p w:rsidR="00C11CD4" w:rsidRPr="00040F35" w:rsidRDefault="00EF6841" w:rsidP="004C7812">
            <w:pPr>
              <w:numPr>
                <w:ilvl w:val="0"/>
                <w:numId w:val="2"/>
              </w:numPr>
              <w:contextualSpacing/>
              <w:rPr>
                <w:rFonts w:ascii="Arial" w:hAnsi="Arial" w:cs="Arial"/>
                <w:sz w:val="22"/>
                <w:szCs w:val="22"/>
              </w:rPr>
            </w:pPr>
            <w:r>
              <w:rPr>
                <w:rFonts w:ascii="Arial" w:hAnsi="Arial" w:cs="Arial"/>
                <w:sz w:val="22"/>
                <w:szCs w:val="22"/>
              </w:rPr>
              <w:t>9</w:t>
            </w:r>
            <w:r w:rsidR="009A5789">
              <w:rPr>
                <w:rFonts w:ascii="Arial" w:hAnsi="Arial" w:cs="Arial"/>
                <w:sz w:val="22"/>
                <w:szCs w:val="22"/>
              </w:rPr>
              <w:t>1</w:t>
            </w:r>
            <w:r w:rsidR="00C11CD4" w:rsidRPr="00040F35">
              <w:rPr>
                <w:rFonts w:ascii="Arial" w:hAnsi="Arial" w:cs="Arial"/>
                <w:sz w:val="22"/>
                <w:szCs w:val="22"/>
              </w:rPr>
              <w:t>% (£</w:t>
            </w:r>
            <w:r>
              <w:rPr>
                <w:rFonts w:ascii="Arial" w:hAnsi="Arial" w:cs="Arial"/>
                <w:sz w:val="22"/>
                <w:szCs w:val="22"/>
              </w:rPr>
              <w:t>8.</w:t>
            </w:r>
            <w:r w:rsidR="009A5789">
              <w:rPr>
                <w:rFonts w:ascii="Arial" w:hAnsi="Arial" w:cs="Arial"/>
                <w:sz w:val="22"/>
                <w:szCs w:val="22"/>
              </w:rPr>
              <w:t>8</w:t>
            </w:r>
            <w:r w:rsidR="006120D4" w:rsidRPr="00040F35">
              <w:rPr>
                <w:rFonts w:ascii="Arial" w:hAnsi="Arial" w:cs="Arial"/>
                <w:sz w:val="22"/>
                <w:szCs w:val="22"/>
              </w:rPr>
              <w:t>m</w:t>
            </w:r>
            <w:r w:rsidR="00C11CD4" w:rsidRPr="00040F35">
              <w:rPr>
                <w:rFonts w:ascii="Arial" w:hAnsi="Arial" w:cs="Arial"/>
                <w:sz w:val="22"/>
                <w:szCs w:val="22"/>
              </w:rPr>
              <w:t>illion) of the annual budget has been spent.</w:t>
            </w:r>
          </w:p>
          <w:p w:rsidR="00274232" w:rsidRPr="00274232" w:rsidRDefault="00C11CD4" w:rsidP="00274232">
            <w:pPr>
              <w:numPr>
                <w:ilvl w:val="0"/>
                <w:numId w:val="2"/>
              </w:numPr>
              <w:tabs>
                <w:tab w:val="left" w:pos="2172"/>
              </w:tabs>
              <w:contextualSpacing/>
              <w:rPr>
                <w:rFonts w:ascii="Arial" w:hAnsi="Arial" w:cs="Arial"/>
                <w:sz w:val="22"/>
                <w:szCs w:val="22"/>
              </w:rPr>
            </w:pPr>
            <w:r w:rsidRPr="00274232">
              <w:rPr>
                <w:rFonts w:ascii="Arial" w:hAnsi="Arial" w:cs="Arial"/>
                <w:sz w:val="22"/>
                <w:szCs w:val="22"/>
              </w:rPr>
              <w:t xml:space="preserve">The largest variance at month </w:t>
            </w:r>
            <w:r w:rsidR="00EF6841">
              <w:rPr>
                <w:rFonts w:ascii="Arial" w:hAnsi="Arial" w:cs="Arial"/>
                <w:sz w:val="22"/>
                <w:szCs w:val="22"/>
              </w:rPr>
              <w:t>12</w:t>
            </w:r>
            <w:r w:rsidRPr="00274232">
              <w:rPr>
                <w:rFonts w:ascii="Arial" w:hAnsi="Arial" w:cs="Arial"/>
                <w:sz w:val="22"/>
                <w:szCs w:val="22"/>
              </w:rPr>
              <w:t xml:space="preserve"> (</w:t>
            </w:r>
            <w:r w:rsidR="00EF6841">
              <w:rPr>
                <w:rFonts w:ascii="Arial" w:hAnsi="Arial" w:cs="Arial"/>
                <w:sz w:val="22"/>
                <w:szCs w:val="22"/>
              </w:rPr>
              <w:t>March</w:t>
            </w:r>
            <w:r w:rsidR="00A87591" w:rsidRPr="00274232">
              <w:rPr>
                <w:rFonts w:ascii="Arial" w:hAnsi="Arial" w:cs="Arial"/>
                <w:sz w:val="22"/>
                <w:szCs w:val="22"/>
              </w:rPr>
              <w:t>) is a £</w:t>
            </w:r>
            <w:r w:rsidR="00EF6841">
              <w:rPr>
                <w:rFonts w:ascii="Arial" w:hAnsi="Arial" w:cs="Arial"/>
                <w:sz w:val="22"/>
                <w:szCs w:val="22"/>
              </w:rPr>
              <w:t>637</w:t>
            </w:r>
            <w:r w:rsidR="00A87591" w:rsidRPr="00274232">
              <w:rPr>
                <w:rFonts w:ascii="Arial" w:hAnsi="Arial" w:cs="Arial"/>
                <w:sz w:val="22"/>
                <w:szCs w:val="22"/>
              </w:rPr>
              <w:t xml:space="preserve">k </w:t>
            </w:r>
            <w:r w:rsidR="00D0058C">
              <w:rPr>
                <w:rFonts w:ascii="Arial" w:hAnsi="Arial" w:cs="Arial"/>
                <w:sz w:val="22"/>
                <w:szCs w:val="22"/>
              </w:rPr>
              <w:t>underspend</w:t>
            </w:r>
            <w:r w:rsidR="00A87591" w:rsidRPr="00274232">
              <w:rPr>
                <w:rFonts w:ascii="Arial" w:hAnsi="Arial" w:cs="Arial"/>
                <w:sz w:val="22"/>
                <w:szCs w:val="22"/>
              </w:rPr>
              <w:t xml:space="preserve"> within the Corporate Services division cost centres. This </w:t>
            </w:r>
            <w:r w:rsidR="00274232" w:rsidRPr="00274232">
              <w:rPr>
                <w:rFonts w:ascii="Arial" w:hAnsi="Arial" w:cs="Arial"/>
                <w:sz w:val="22"/>
                <w:szCs w:val="22"/>
              </w:rPr>
              <w:t>r</w:t>
            </w:r>
            <w:r w:rsidR="00EF6841">
              <w:rPr>
                <w:rFonts w:ascii="Arial" w:hAnsi="Arial" w:cs="Arial"/>
                <w:sz w:val="22"/>
                <w:szCs w:val="22"/>
              </w:rPr>
              <w:t xml:space="preserve">elates to an </w:t>
            </w:r>
            <w:r w:rsidR="00D0058C">
              <w:rPr>
                <w:rFonts w:ascii="Arial" w:hAnsi="Arial" w:cs="Arial"/>
                <w:sz w:val="22"/>
                <w:szCs w:val="22"/>
              </w:rPr>
              <w:t>underspend</w:t>
            </w:r>
            <w:r w:rsidR="00EF6841">
              <w:rPr>
                <w:rFonts w:ascii="Arial" w:hAnsi="Arial" w:cs="Arial"/>
                <w:sz w:val="22"/>
                <w:szCs w:val="22"/>
              </w:rPr>
              <w:t xml:space="preserve"> of £459</w:t>
            </w:r>
            <w:r w:rsidR="00A87591" w:rsidRPr="00274232">
              <w:rPr>
                <w:rFonts w:ascii="Arial" w:hAnsi="Arial" w:cs="Arial"/>
                <w:sz w:val="22"/>
                <w:szCs w:val="22"/>
              </w:rPr>
              <w:t>k</w:t>
            </w:r>
            <w:r w:rsidR="00D954B1" w:rsidRPr="00274232">
              <w:rPr>
                <w:rFonts w:ascii="Arial" w:hAnsi="Arial" w:cs="Arial"/>
                <w:sz w:val="22"/>
                <w:szCs w:val="22"/>
              </w:rPr>
              <w:t xml:space="preserve"> </w:t>
            </w:r>
            <w:r w:rsidR="00EF6841">
              <w:rPr>
                <w:rFonts w:ascii="Arial" w:hAnsi="Arial" w:cs="Arial"/>
                <w:sz w:val="22"/>
                <w:szCs w:val="22"/>
              </w:rPr>
              <w:t xml:space="preserve">in the Finance cost </w:t>
            </w:r>
            <w:proofErr w:type="gramStart"/>
            <w:r w:rsidR="00EF6841">
              <w:rPr>
                <w:rFonts w:ascii="Arial" w:hAnsi="Arial" w:cs="Arial"/>
                <w:sz w:val="22"/>
                <w:szCs w:val="22"/>
              </w:rPr>
              <w:t>centre  £</w:t>
            </w:r>
            <w:proofErr w:type="gramEnd"/>
            <w:r w:rsidR="00EF6841">
              <w:rPr>
                <w:rFonts w:ascii="Arial" w:hAnsi="Arial" w:cs="Arial"/>
                <w:sz w:val="22"/>
                <w:szCs w:val="22"/>
              </w:rPr>
              <w:t>448</w:t>
            </w:r>
            <w:r w:rsidR="00A87591" w:rsidRPr="00274232">
              <w:rPr>
                <w:rFonts w:ascii="Arial" w:hAnsi="Arial" w:cs="Arial"/>
                <w:sz w:val="22"/>
                <w:szCs w:val="22"/>
              </w:rPr>
              <w:t xml:space="preserve">k of which is in relation to the reserves not allocated and an underspend in relation to </w:t>
            </w:r>
            <w:r w:rsidR="00EF6841">
              <w:rPr>
                <w:rFonts w:ascii="Arial" w:hAnsi="Arial" w:cs="Arial"/>
                <w:sz w:val="22"/>
                <w:szCs w:val="22"/>
              </w:rPr>
              <w:t>internal audit fees (£10</w:t>
            </w:r>
            <w:r w:rsidR="00A87591" w:rsidRPr="00274232">
              <w:rPr>
                <w:rFonts w:ascii="Arial" w:hAnsi="Arial" w:cs="Arial"/>
                <w:sz w:val="22"/>
                <w:szCs w:val="22"/>
              </w:rPr>
              <w:t>k)</w:t>
            </w:r>
            <w:r w:rsidR="00274232" w:rsidRPr="00274232">
              <w:rPr>
                <w:rFonts w:ascii="Arial" w:hAnsi="Arial" w:cs="Arial"/>
                <w:sz w:val="22"/>
                <w:szCs w:val="22"/>
              </w:rPr>
              <w:t>.</w:t>
            </w:r>
            <w:r w:rsidR="00274232">
              <w:rPr>
                <w:rFonts w:ascii="Arial" w:hAnsi="Arial" w:cs="Arial"/>
                <w:sz w:val="22"/>
                <w:szCs w:val="22"/>
              </w:rPr>
              <w:t xml:space="preserve">  The unde</w:t>
            </w:r>
            <w:r w:rsidR="00EF6841">
              <w:rPr>
                <w:rFonts w:ascii="Arial" w:hAnsi="Arial" w:cs="Arial"/>
                <w:sz w:val="22"/>
                <w:szCs w:val="22"/>
              </w:rPr>
              <w:t>rspend within Head Office of £73</w:t>
            </w:r>
            <w:r w:rsidR="00274232">
              <w:rPr>
                <w:rFonts w:ascii="Arial" w:hAnsi="Arial" w:cs="Arial"/>
                <w:sz w:val="22"/>
                <w:szCs w:val="22"/>
              </w:rPr>
              <w:t>k is mostly in relation to underspends within stationery</w:t>
            </w:r>
            <w:r w:rsidR="00AE471C">
              <w:rPr>
                <w:rFonts w:ascii="Arial" w:hAnsi="Arial" w:cs="Arial"/>
                <w:sz w:val="22"/>
                <w:szCs w:val="22"/>
              </w:rPr>
              <w:t xml:space="preserve"> (£21k),</w:t>
            </w:r>
            <w:r w:rsidR="001D039E">
              <w:rPr>
                <w:rFonts w:ascii="Arial" w:hAnsi="Arial" w:cs="Arial"/>
                <w:sz w:val="22"/>
                <w:szCs w:val="22"/>
              </w:rPr>
              <w:t>Computer maintenance (</w:t>
            </w:r>
            <w:r w:rsidR="00AE471C">
              <w:rPr>
                <w:rFonts w:ascii="Arial" w:hAnsi="Arial" w:cs="Arial"/>
                <w:sz w:val="22"/>
                <w:szCs w:val="22"/>
              </w:rPr>
              <w:t>£11</w:t>
            </w:r>
            <w:r w:rsidR="001D039E">
              <w:rPr>
                <w:rFonts w:ascii="Arial" w:hAnsi="Arial" w:cs="Arial"/>
                <w:sz w:val="22"/>
                <w:szCs w:val="22"/>
              </w:rPr>
              <w:t>k)</w:t>
            </w:r>
            <w:r w:rsidR="00AE471C">
              <w:rPr>
                <w:rFonts w:ascii="Arial" w:hAnsi="Arial" w:cs="Arial"/>
                <w:sz w:val="22"/>
                <w:szCs w:val="22"/>
              </w:rPr>
              <w:t>, premises costs (£23k) and legal fees (£15k).</w:t>
            </w:r>
          </w:p>
          <w:p w:rsidR="00B91545" w:rsidRPr="00A87591" w:rsidRDefault="00A87591" w:rsidP="00A87591">
            <w:pPr>
              <w:numPr>
                <w:ilvl w:val="0"/>
                <w:numId w:val="2"/>
              </w:numPr>
              <w:tabs>
                <w:tab w:val="left" w:pos="2172"/>
              </w:tabs>
              <w:contextualSpacing/>
              <w:rPr>
                <w:rFonts w:ascii="Arial" w:hAnsi="Arial" w:cs="Arial"/>
                <w:sz w:val="22"/>
                <w:szCs w:val="22"/>
              </w:rPr>
            </w:pPr>
            <w:r>
              <w:rPr>
                <w:rFonts w:ascii="Arial" w:hAnsi="Arial" w:cs="Arial"/>
                <w:sz w:val="22"/>
                <w:szCs w:val="22"/>
              </w:rPr>
              <w:t xml:space="preserve">Within the </w:t>
            </w:r>
            <w:r w:rsidRPr="00A87591">
              <w:rPr>
                <w:rFonts w:ascii="Arial" w:hAnsi="Arial" w:cs="Arial"/>
                <w:sz w:val="22"/>
                <w:szCs w:val="22"/>
              </w:rPr>
              <w:t xml:space="preserve">Business Partnerships </w:t>
            </w:r>
            <w:r w:rsidR="00B06515">
              <w:rPr>
                <w:rFonts w:ascii="Arial" w:hAnsi="Arial" w:cs="Arial"/>
                <w:sz w:val="22"/>
                <w:szCs w:val="22"/>
              </w:rPr>
              <w:t>there is an overspend i</w:t>
            </w:r>
            <w:r w:rsidR="00AE471C">
              <w:rPr>
                <w:rFonts w:ascii="Arial" w:hAnsi="Arial" w:cs="Arial"/>
                <w:sz w:val="22"/>
                <w:szCs w:val="22"/>
              </w:rPr>
              <w:t xml:space="preserve">n relation to Open Service </w:t>
            </w:r>
            <w:proofErr w:type="gramStart"/>
            <w:r w:rsidR="00AE471C">
              <w:rPr>
                <w:rFonts w:ascii="Arial" w:hAnsi="Arial" w:cs="Arial"/>
                <w:sz w:val="22"/>
                <w:szCs w:val="22"/>
              </w:rPr>
              <w:t xml:space="preserve">costs </w:t>
            </w:r>
            <w:r w:rsidR="00274232">
              <w:rPr>
                <w:rFonts w:ascii="Arial" w:hAnsi="Arial" w:cs="Arial"/>
                <w:sz w:val="22"/>
                <w:szCs w:val="22"/>
              </w:rPr>
              <w:t xml:space="preserve"> </w:t>
            </w:r>
            <w:r w:rsidR="00AE471C">
              <w:rPr>
                <w:rFonts w:ascii="Arial" w:hAnsi="Arial" w:cs="Arial"/>
                <w:sz w:val="22"/>
                <w:szCs w:val="22"/>
              </w:rPr>
              <w:t>(</w:t>
            </w:r>
            <w:proofErr w:type="gramEnd"/>
            <w:r w:rsidR="00AE471C">
              <w:rPr>
                <w:rFonts w:ascii="Arial" w:hAnsi="Arial" w:cs="Arial"/>
                <w:sz w:val="22"/>
                <w:szCs w:val="22"/>
              </w:rPr>
              <w:t>£18</w:t>
            </w:r>
            <w:r w:rsidRPr="00A87591">
              <w:rPr>
                <w:rFonts w:ascii="Arial" w:hAnsi="Arial" w:cs="Arial"/>
                <w:sz w:val="22"/>
                <w:szCs w:val="22"/>
              </w:rPr>
              <w:t xml:space="preserve">k) which is offset </w:t>
            </w:r>
            <w:r w:rsidR="00B06515">
              <w:rPr>
                <w:rFonts w:ascii="Arial" w:hAnsi="Arial" w:cs="Arial"/>
                <w:sz w:val="22"/>
                <w:szCs w:val="22"/>
              </w:rPr>
              <w:t>by an underspend within pay (£</w:t>
            </w:r>
            <w:r w:rsidR="00AE471C">
              <w:rPr>
                <w:rFonts w:ascii="Arial" w:hAnsi="Arial" w:cs="Arial"/>
                <w:sz w:val="22"/>
                <w:szCs w:val="22"/>
              </w:rPr>
              <w:t>8</w:t>
            </w:r>
            <w:r w:rsidRPr="00A87591">
              <w:rPr>
                <w:rFonts w:ascii="Arial" w:hAnsi="Arial" w:cs="Arial"/>
                <w:sz w:val="22"/>
                <w:szCs w:val="22"/>
              </w:rPr>
              <w:t xml:space="preserve">k). </w:t>
            </w:r>
            <w:r w:rsidRPr="00DA7186">
              <w:rPr>
                <w:rFonts w:ascii="Arial" w:hAnsi="Arial" w:cs="Arial"/>
                <w:sz w:val="22"/>
                <w:szCs w:val="22"/>
              </w:rPr>
              <w:t xml:space="preserve"> </w:t>
            </w:r>
            <w:r w:rsidR="00B06515">
              <w:rPr>
                <w:rFonts w:ascii="Arial" w:hAnsi="Arial" w:cs="Arial"/>
                <w:sz w:val="22"/>
                <w:szCs w:val="22"/>
              </w:rPr>
              <w:t xml:space="preserve">There is </w:t>
            </w:r>
            <w:proofErr w:type="gramStart"/>
            <w:r w:rsidR="00B06515">
              <w:rPr>
                <w:rFonts w:ascii="Arial" w:hAnsi="Arial" w:cs="Arial"/>
                <w:sz w:val="22"/>
                <w:szCs w:val="22"/>
              </w:rPr>
              <w:t>an underspend</w:t>
            </w:r>
            <w:proofErr w:type="gramEnd"/>
            <w:r w:rsidR="00B06515">
              <w:rPr>
                <w:rFonts w:ascii="Arial" w:hAnsi="Arial" w:cs="Arial"/>
                <w:sz w:val="22"/>
                <w:szCs w:val="22"/>
              </w:rPr>
              <w:t xml:space="preserve"> </w:t>
            </w:r>
            <w:r w:rsidR="00274232">
              <w:rPr>
                <w:rFonts w:ascii="Arial" w:hAnsi="Arial" w:cs="Arial"/>
                <w:sz w:val="22"/>
                <w:szCs w:val="22"/>
              </w:rPr>
              <w:t>wi</w:t>
            </w:r>
            <w:r w:rsidR="00AE471C">
              <w:rPr>
                <w:rFonts w:ascii="Arial" w:hAnsi="Arial" w:cs="Arial"/>
                <w:sz w:val="22"/>
                <w:szCs w:val="22"/>
              </w:rPr>
              <w:t>thin the IRAS cost centre (£20</w:t>
            </w:r>
            <w:r w:rsidR="00B06515">
              <w:rPr>
                <w:rFonts w:ascii="Arial" w:hAnsi="Arial" w:cs="Arial"/>
                <w:sz w:val="22"/>
                <w:szCs w:val="22"/>
              </w:rPr>
              <w:t>k) this is mostly in relation to staff costs</w:t>
            </w:r>
            <w:r w:rsidR="00AE471C">
              <w:rPr>
                <w:rFonts w:ascii="Arial" w:hAnsi="Arial" w:cs="Arial"/>
                <w:sz w:val="22"/>
                <w:szCs w:val="22"/>
              </w:rPr>
              <w:t xml:space="preserve"> (£18k)</w:t>
            </w:r>
            <w:r w:rsidR="00B06515">
              <w:rPr>
                <w:rFonts w:ascii="Arial" w:hAnsi="Arial" w:cs="Arial"/>
                <w:sz w:val="22"/>
                <w:szCs w:val="22"/>
              </w:rPr>
              <w:t>.</w:t>
            </w:r>
          </w:p>
          <w:p w:rsidR="00A87591" w:rsidRPr="00CF2087" w:rsidRDefault="00CF2087" w:rsidP="00A87591">
            <w:pPr>
              <w:numPr>
                <w:ilvl w:val="0"/>
                <w:numId w:val="2"/>
              </w:numPr>
              <w:tabs>
                <w:tab w:val="left" w:pos="2172"/>
              </w:tabs>
              <w:contextualSpacing/>
              <w:rPr>
                <w:rFonts w:ascii="Arial" w:hAnsi="Arial" w:cs="Arial"/>
                <w:sz w:val="22"/>
                <w:szCs w:val="22"/>
              </w:rPr>
            </w:pPr>
            <w:r>
              <w:rPr>
                <w:rFonts w:ascii="Arial" w:hAnsi="Arial" w:cs="Arial"/>
                <w:sz w:val="22"/>
                <w:szCs w:val="22"/>
              </w:rPr>
              <w:t xml:space="preserve">The other </w:t>
            </w:r>
            <w:r w:rsidR="00B07E4C">
              <w:rPr>
                <w:rFonts w:ascii="Arial" w:hAnsi="Arial" w:cs="Arial"/>
                <w:sz w:val="22"/>
                <w:szCs w:val="22"/>
              </w:rPr>
              <w:t xml:space="preserve">main </w:t>
            </w:r>
            <w:r w:rsidRPr="00497F63">
              <w:rPr>
                <w:rFonts w:ascii="Arial" w:hAnsi="Arial" w:cs="Arial"/>
                <w:sz w:val="22"/>
                <w:szCs w:val="22"/>
              </w:rPr>
              <w:t xml:space="preserve">variance at month </w:t>
            </w:r>
            <w:r w:rsidR="00AE471C">
              <w:rPr>
                <w:rFonts w:ascii="Arial" w:hAnsi="Arial" w:cs="Arial"/>
                <w:sz w:val="22"/>
                <w:szCs w:val="22"/>
              </w:rPr>
              <w:t>12</w:t>
            </w:r>
            <w:r w:rsidR="00B07E4C">
              <w:rPr>
                <w:rFonts w:ascii="Arial" w:hAnsi="Arial" w:cs="Arial"/>
                <w:sz w:val="22"/>
                <w:szCs w:val="22"/>
              </w:rPr>
              <w:t xml:space="preserve"> (</w:t>
            </w:r>
            <w:r w:rsidR="00AE471C">
              <w:rPr>
                <w:rFonts w:ascii="Arial" w:hAnsi="Arial" w:cs="Arial"/>
                <w:sz w:val="22"/>
                <w:szCs w:val="22"/>
              </w:rPr>
              <w:t>March</w:t>
            </w:r>
            <w:r w:rsidRPr="00497F63">
              <w:rPr>
                <w:rFonts w:ascii="Arial" w:hAnsi="Arial" w:cs="Arial"/>
                <w:sz w:val="22"/>
                <w:szCs w:val="22"/>
              </w:rPr>
              <w:t xml:space="preserve">) is a </w:t>
            </w:r>
            <w:r w:rsidR="00A87591">
              <w:rPr>
                <w:rFonts w:ascii="Arial" w:hAnsi="Arial" w:cs="Arial"/>
                <w:sz w:val="22"/>
                <w:szCs w:val="22"/>
              </w:rPr>
              <w:t>£</w:t>
            </w:r>
            <w:r w:rsidR="00AE471C">
              <w:rPr>
                <w:rFonts w:ascii="Arial" w:hAnsi="Arial" w:cs="Arial"/>
                <w:sz w:val="22"/>
                <w:szCs w:val="22"/>
              </w:rPr>
              <w:t>122</w:t>
            </w:r>
            <w:r w:rsidR="00A87591" w:rsidRPr="00CF2087">
              <w:rPr>
                <w:rFonts w:ascii="Arial" w:hAnsi="Arial" w:cs="Arial"/>
                <w:sz w:val="22"/>
                <w:szCs w:val="22"/>
              </w:rPr>
              <w:t xml:space="preserve">k </w:t>
            </w:r>
            <w:r w:rsidR="00D0058C">
              <w:rPr>
                <w:rFonts w:ascii="Arial" w:hAnsi="Arial" w:cs="Arial"/>
                <w:sz w:val="22"/>
                <w:szCs w:val="22"/>
              </w:rPr>
              <w:t>underspend</w:t>
            </w:r>
            <w:r w:rsidR="00A87591" w:rsidRPr="00CF2087">
              <w:rPr>
                <w:rFonts w:ascii="Arial" w:hAnsi="Arial" w:cs="Arial"/>
                <w:sz w:val="22"/>
                <w:szCs w:val="22"/>
              </w:rPr>
              <w:t xml:space="preserve"> within the NRES operations division cost centres. This largely relates to underspends within the HRA Office Manchester and the HRA Office London. The HRA Office L</w:t>
            </w:r>
            <w:r w:rsidR="00AE471C">
              <w:rPr>
                <w:rFonts w:ascii="Arial" w:hAnsi="Arial" w:cs="Arial"/>
                <w:sz w:val="22"/>
                <w:szCs w:val="22"/>
              </w:rPr>
              <w:t>ondon was underspent in February</w:t>
            </w:r>
            <w:r w:rsidR="00A87591" w:rsidRPr="00CF2087">
              <w:rPr>
                <w:rFonts w:ascii="Arial" w:hAnsi="Arial" w:cs="Arial"/>
                <w:sz w:val="22"/>
                <w:szCs w:val="22"/>
              </w:rPr>
              <w:t xml:space="preserve"> and the areas of underspend </w:t>
            </w:r>
            <w:r w:rsidR="00AE471C">
              <w:rPr>
                <w:rFonts w:ascii="Arial" w:hAnsi="Arial" w:cs="Arial"/>
                <w:sz w:val="22"/>
                <w:szCs w:val="22"/>
              </w:rPr>
              <w:t>have continued into March</w:t>
            </w:r>
            <w:r w:rsidR="00A87591" w:rsidRPr="00CF2087">
              <w:rPr>
                <w:rFonts w:ascii="Arial" w:hAnsi="Arial" w:cs="Arial"/>
                <w:sz w:val="22"/>
                <w:szCs w:val="22"/>
              </w:rPr>
              <w:t xml:space="preserve"> – these being meeting room expenses, stati</w:t>
            </w:r>
            <w:r w:rsidR="00AE471C">
              <w:rPr>
                <w:rFonts w:ascii="Arial" w:hAnsi="Arial" w:cs="Arial"/>
                <w:sz w:val="22"/>
                <w:szCs w:val="22"/>
              </w:rPr>
              <w:t xml:space="preserve">onery costs, postage costs </w:t>
            </w:r>
            <w:r w:rsidR="00A87591" w:rsidRPr="00CF2087">
              <w:rPr>
                <w:rFonts w:ascii="Arial" w:hAnsi="Arial" w:cs="Arial"/>
                <w:sz w:val="22"/>
                <w:szCs w:val="22"/>
              </w:rPr>
              <w:t xml:space="preserve">and some staff costs.  </w:t>
            </w:r>
            <w:r w:rsidR="001D039E">
              <w:rPr>
                <w:rFonts w:ascii="Arial" w:hAnsi="Arial" w:cs="Arial"/>
                <w:sz w:val="22"/>
                <w:szCs w:val="22"/>
              </w:rPr>
              <w:t xml:space="preserve">Similarly, with the HRA Office Manchester </w:t>
            </w:r>
            <w:proofErr w:type="gramStart"/>
            <w:r w:rsidR="001D039E">
              <w:rPr>
                <w:rFonts w:ascii="Arial" w:hAnsi="Arial" w:cs="Arial"/>
                <w:sz w:val="22"/>
                <w:szCs w:val="22"/>
              </w:rPr>
              <w:t>th</w:t>
            </w:r>
            <w:r w:rsidR="00774CB5">
              <w:rPr>
                <w:rFonts w:ascii="Arial" w:hAnsi="Arial" w:cs="Arial"/>
                <w:sz w:val="22"/>
                <w:szCs w:val="22"/>
              </w:rPr>
              <w:t>e underspend</w:t>
            </w:r>
            <w:proofErr w:type="gramEnd"/>
            <w:r w:rsidR="00774CB5">
              <w:rPr>
                <w:rFonts w:ascii="Arial" w:hAnsi="Arial" w:cs="Arial"/>
                <w:sz w:val="22"/>
                <w:szCs w:val="22"/>
              </w:rPr>
              <w:t xml:space="preserve"> reported in February has continued into March</w:t>
            </w:r>
            <w:r w:rsidR="001D039E">
              <w:rPr>
                <w:rFonts w:ascii="Arial" w:hAnsi="Arial" w:cs="Arial"/>
                <w:sz w:val="22"/>
                <w:szCs w:val="22"/>
              </w:rPr>
              <w:t xml:space="preserve"> and the budget areas identified will be reviewed with regards to budgets for 2014/15.</w:t>
            </w:r>
          </w:p>
          <w:p w:rsidR="009972EE" w:rsidRPr="00CF2087" w:rsidRDefault="009972EE" w:rsidP="004C7812">
            <w:pPr>
              <w:numPr>
                <w:ilvl w:val="0"/>
                <w:numId w:val="2"/>
              </w:numPr>
              <w:tabs>
                <w:tab w:val="left" w:pos="2172"/>
              </w:tabs>
              <w:contextualSpacing/>
              <w:rPr>
                <w:rFonts w:ascii="Arial" w:hAnsi="Arial" w:cs="Arial"/>
                <w:b/>
                <w:bCs/>
                <w:sz w:val="22"/>
                <w:szCs w:val="22"/>
              </w:rPr>
            </w:pPr>
            <w:r w:rsidRPr="00CF2087">
              <w:rPr>
                <w:rFonts w:ascii="Arial" w:hAnsi="Arial" w:cs="Arial"/>
                <w:sz w:val="22"/>
                <w:szCs w:val="22"/>
              </w:rPr>
              <w:t>There</w:t>
            </w:r>
            <w:r w:rsidR="00774CB5">
              <w:rPr>
                <w:rFonts w:ascii="Arial" w:hAnsi="Arial" w:cs="Arial"/>
                <w:sz w:val="22"/>
                <w:szCs w:val="22"/>
              </w:rPr>
              <w:t xml:space="preserve"> is a further underspend of (£24</w:t>
            </w:r>
            <w:r w:rsidRPr="00CF2087">
              <w:rPr>
                <w:rFonts w:ascii="Arial" w:hAnsi="Arial" w:cs="Arial"/>
                <w:sz w:val="22"/>
                <w:szCs w:val="22"/>
              </w:rPr>
              <w:t xml:space="preserve">k) within the HRA advice/NREAP cost centre.  This underspend is in relation to charges to date for seconded employees </w:t>
            </w:r>
            <w:r w:rsidR="00CF2087" w:rsidRPr="00CF2087">
              <w:rPr>
                <w:rFonts w:ascii="Arial" w:hAnsi="Arial" w:cs="Arial"/>
                <w:sz w:val="22"/>
                <w:szCs w:val="22"/>
              </w:rPr>
              <w:t>a</w:t>
            </w:r>
            <w:r w:rsidR="00774CB5">
              <w:rPr>
                <w:rFonts w:ascii="Arial" w:hAnsi="Arial" w:cs="Arial"/>
                <w:sz w:val="22"/>
                <w:szCs w:val="22"/>
              </w:rPr>
              <w:t>nd travel.</w:t>
            </w:r>
            <w:r w:rsidR="00320F7E" w:rsidRPr="00CF2087">
              <w:rPr>
                <w:rFonts w:ascii="Arial" w:hAnsi="Arial" w:cs="Arial"/>
                <w:sz w:val="22"/>
                <w:szCs w:val="22"/>
              </w:rPr>
              <w:t xml:space="preserve"> </w:t>
            </w:r>
          </w:p>
          <w:p w:rsidR="00C11CD4" w:rsidRPr="00316BE4" w:rsidRDefault="00622610" w:rsidP="004C7812">
            <w:pPr>
              <w:numPr>
                <w:ilvl w:val="0"/>
                <w:numId w:val="2"/>
              </w:numPr>
              <w:tabs>
                <w:tab w:val="left" w:pos="2172"/>
              </w:tabs>
              <w:contextualSpacing/>
              <w:rPr>
                <w:rFonts w:ascii="Arial" w:hAnsi="Arial" w:cs="Arial"/>
                <w:b/>
                <w:bCs/>
                <w:sz w:val="22"/>
                <w:szCs w:val="22"/>
              </w:rPr>
            </w:pPr>
            <w:r w:rsidRPr="00316BE4">
              <w:rPr>
                <w:rFonts w:ascii="Arial" w:hAnsi="Arial" w:cs="Arial"/>
                <w:sz w:val="22"/>
                <w:szCs w:val="22"/>
              </w:rPr>
              <w:t>T</w:t>
            </w:r>
            <w:r w:rsidR="0076244F" w:rsidRPr="00316BE4">
              <w:rPr>
                <w:rFonts w:ascii="Arial" w:hAnsi="Arial" w:cs="Arial"/>
                <w:sz w:val="22"/>
                <w:szCs w:val="22"/>
              </w:rPr>
              <w:t xml:space="preserve">he </w:t>
            </w:r>
            <w:r w:rsidR="00C11CD4" w:rsidRPr="00316BE4">
              <w:rPr>
                <w:rFonts w:ascii="Arial" w:hAnsi="Arial" w:cs="Arial"/>
                <w:sz w:val="22"/>
                <w:szCs w:val="22"/>
              </w:rPr>
              <w:t xml:space="preserve">Better Payment Practice Code (BPPC) compliance for </w:t>
            </w:r>
            <w:r w:rsidR="004C7812" w:rsidRPr="00316BE4">
              <w:rPr>
                <w:rFonts w:ascii="Arial" w:hAnsi="Arial" w:cs="Arial"/>
                <w:sz w:val="22"/>
                <w:szCs w:val="22"/>
              </w:rPr>
              <w:t xml:space="preserve">April </w:t>
            </w:r>
            <w:r w:rsidR="008E4FF4" w:rsidRPr="00316BE4">
              <w:rPr>
                <w:rFonts w:ascii="Arial" w:hAnsi="Arial" w:cs="Arial"/>
                <w:sz w:val="22"/>
                <w:szCs w:val="22"/>
              </w:rPr>
              <w:t xml:space="preserve">to </w:t>
            </w:r>
            <w:r w:rsidR="000D471E">
              <w:rPr>
                <w:rFonts w:ascii="Arial" w:hAnsi="Arial" w:cs="Arial"/>
                <w:sz w:val="22"/>
                <w:szCs w:val="22"/>
              </w:rPr>
              <w:t>March</w:t>
            </w:r>
            <w:r w:rsidR="002F5E6A" w:rsidRPr="00316BE4">
              <w:rPr>
                <w:rFonts w:ascii="Arial" w:hAnsi="Arial" w:cs="Arial"/>
                <w:sz w:val="22"/>
                <w:szCs w:val="22"/>
              </w:rPr>
              <w:t xml:space="preserve"> </w:t>
            </w:r>
            <w:r w:rsidR="003001BE" w:rsidRPr="00316BE4">
              <w:rPr>
                <w:rFonts w:ascii="Arial" w:hAnsi="Arial" w:cs="Arial"/>
                <w:sz w:val="22"/>
                <w:szCs w:val="22"/>
              </w:rPr>
              <w:t>maintained the performance levels</w:t>
            </w:r>
            <w:r w:rsidR="00C11CD4" w:rsidRPr="00316BE4">
              <w:rPr>
                <w:rFonts w:ascii="Arial" w:hAnsi="Arial" w:cs="Arial"/>
                <w:sz w:val="22"/>
                <w:szCs w:val="22"/>
              </w:rPr>
              <w:t xml:space="preserve"> of </w:t>
            </w:r>
            <w:r w:rsidR="0076244F" w:rsidRPr="00316BE4">
              <w:rPr>
                <w:rFonts w:ascii="Arial" w:hAnsi="Arial" w:cs="Arial"/>
                <w:sz w:val="22"/>
                <w:szCs w:val="22"/>
              </w:rPr>
              <w:t>97</w:t>
            </w:r>
            <w:r w:rsidRPr="00316BE4">
              <w:rPr>
                <w:rFonts w:ascii="Arial" w:hAnsi="Arial" w:cs="Arial"/>
                <w:sz w:val="22"/>
                <w:szCs w:val="22"/>
              </w:rPr>
              <w:t xml:space="preserve">% for the number </w:t>
            </w:r>
            <w:r w:rsidR="00201909">
              <w:rPr>
                <w:rFonts w:ascii="Arial" w:hAnsi="Arial" w:cs="Arial"/>
                <w:sz w:val="22"/>
                <w:szCs w:val="22"/>
              </w:rPr>
              <w:t xml:space="preserve">of invoices paid </w:t>
            </w:r>
            <w:r w:rsidRPr="00316BE4">
              <w:rPr>
                <w:rFonts w:ascii="Arial" w:hAnsi="Arial" w:cs="Arial"/>
                <w:sz w:val="22"/>
                <w:szCs w:val="22"/>
              </w:rPr>
              <w:t>and</w:t>
            </w:r>
            <w:r w:rsidR="00201909">
              <w:rPr>
                <w:rFonts w:ascii="Arial" w:hAnsi="Arial" w:cs="Arial"/>
                <w:sz w:val="22"/>
                <w:szCs w:val="22"/>
              </w:rPr>
              <w:t xml:space="preserve"> 98% for</w:t>
            </w:r>
            <w:r w:rsidRPr="00316BE4">
              <w:rPr>
                <w:rFonts w:ascii="Arial" w:hAnsi="Arial" w:cs="Arial"/>
                <w:sz w:val="22"/>
                <w:szCs w:val="22"/>
              </w:rPr>
              <w:t xml:space="preserve"> </w:t>
            </w:r>
            <w:r w:rsidR="00C11CD4" w:rsidRPr="00316BE4">
              <w:rPr>
                <w:rFonts w:ascii="Arial" w:hAnsi="Arial" w:cs="Arial"/>
                <w:sz w:val="22"/>
                <w:szCs w:val="22"/>
              </w:rPr>
              <w:t xml:space="preserve">value of invoices paid.  </w:t>
            </w:r>
            <w:r w:rsidR="00B803BF" w:rsidRPr="00316BE4">
              <w:rPr>
                <w:rFonts w:ascii="Arial" w:hAnsi="Arial" w:cs="Arial"/>
                <w:sz w:val="22"/>
                <w:szCs w:val="22"/>
              </w:rPr>
              <w:t xml:space="preserve">This is within the 95% target set. </w:t>
            </w:r>
            <w:r w:rsidR="004C7812" w:rsidRPr="00316BE4">
              <w:rPr>
                <w:rFonts w:ascii="Arial" w:hAnsi="Arial" w:cs="Arial"/>
                <w:sz w:val="22"/>
                <w:szCs w:val="22"/>
              </w:rPr>
              <w:t xml:space="preserve">The HRA </w:t>
            </w:r>
            <w:r w:rsidR="00B803BF" w:rsidRPr="00316BE4">
              <w:rPr>
                <w:rFonts w:ascii="Arial" w:hAnsi="Arial" w:cs="Arial"/>
                <w:sz w:val="22"/>
                <w:szCs w:val="22"/>
              </w:rPr>
              <w:t>is aiming to pay 60% of invoices within 10</w:t>
            </w:r>
            <w:r w:rsidR="004C7812" w:rsidRPr="00316BE4">
              <w:rPr>
                <w:rFonts w:ascii="Arial" w:hAnsi="Arial" w:cs="Arial"/>
                <w:sz w:val="22"/>
                <w:szCs w:val="22"/>
              </w:rPr>
              <w:t xml:space="preserve"> day</w:t>
            </w:r>
            <w:r w:rsidR="00B803BF" w:rsidRPr="00316BE4">
              <w:rPr>
                <w:rFonts w:ascii="Arial" w:hAnsi="Arial" w:cs="Arial"/>
                <w:sz w:val="22"/>
                <w:szCs w:val="22"/>
              </w:rPr>
              <w:t xml:space="preserve">s – current performance </w:t>
            </w:r>
            <w:r w:rsidR="000D3D3A">
              <w:rPr>
                <w:rFonts w:ascii="Arial" w:hAnsi="Arial" w:cs="Arial"/>
                <w:sz w:val="22"/>
                <w:szCs w:val="22"/>
              </w:rPr>
              <w:t xml:space="preserve">has </w:t>
            </w:r>
            <w:r w:rsidR="00201909">
              <w:rPr>
                <w:rFonts w:ascii="Arial" w:hAnsi="Arial" w:cs="Arial"/>
                <w:sz w:val="22"/>
                <w:szCs w:val="22"/>
              </w:rPr>
              <w:t xml:space="preserve">increased </w:t>
            </w:r>
            <w:r w:rsidR="000D3D3A">
              <w:rPr>
                <w:rFonts w:ascii="Arial" w:hAnsi="Arial" w:cs="Arial"/>
                <w:sz w:val="22"/>
                <w:szCs w:val="22"/>
              </w:rPr>
              <w:t>slightly</w:t>
            </w:r>
            <w:r w:rsidR="000D471E">
              <w:rPr>
                <w:rFonts w:ascii="Arial" w:hAnsi="Arial" w:cs="Arial"/>
                <w:sz w:val="22"/>
                <w:szCs w:val="22"/>
              </w:rPr>
              <w:t xml:space="preserve"> in March</w:t>
            </w:r>
            <w:r w:rsidR="000D3D3A">
              <w:rPr>
                <w:rFonts w:ascii="Arial" w:hAnsi="Arial" w:cs="Arial"/>
                <w:sz w:val="22"/>
                <w:szCs w:val="22"/>
              </w:rPr>
              <w:t xml:space="preserve"> and </w:t>
            </w:r>
            <w:r w:rsidR="00B803BF" w:rsidRPr="00316BE4">
              <w:rPr>
                <w:rFonts w:ascii="Arial" w:hAnsi="Arial" w:cs="Arial"/>
                <w:sz w:val="22"/>
                <w:szCs w:val="22"/>
              </w:rPr>
              <w:t>shows 3</w:t>
            </w:r>
            <w:r w:rsidR="000D471E">
              <w:rPr>
                <w:rFonts w:ascii="Arial" w:hAnsi="Arial" w:cs="Arial"/>
                <w:sz w:val="22"/>
                <w:szCs w:val="22"/>
              </w:rPr>
              <w:t>8</w:t>
            </w:r>
            <w:r w:rsidR="00DB1FC5" w:rsidRPr="00316BE4">
              <w:rPr>
                <w:rFonts w:ascii="Arial" w:hAnsi="Arial" w:cs="Arial"/>
                <w:sz w:val="22"/>
                <w:szCs w:val="22"/>
              </w:rPr>
              <w:t xml:space="preserve">% </w:t>
            </w:r>
            <w:r w:rsidR="000D3D3A">
              <w:rPr>
                <w:rFonts w:ascii="Arial" w:hAnsi="Arial" w:cs="Arial"/>
                <w:sz w:val="22"/>
                <w:szCs w:val="22"/>
              </w:rPr>
              <w:t>(3</w:t>
            </w:r>
            <w:r w:rsidR="000D471E">
              <w:rPr>
                <w:rFonts w:ascii="Arial" w:hAnsi="Arial" w:cs="Arial"/>
                <w:sz w:val="22"/>
                <w:szCs w:val="22"/>
              </w:rPr>
              <w:t>4</w:t>
            </w:r>
            <w:r w:rsidR="000D3D3A">
              <w:rPr>
                <w:rFonts w:ascii="Arial" w:hAnsi="Arial" w:cs="Arial"/>
                <w:sz w:val="22"/>
                <w:szCs w:val="22"/>
              </w:rPr>
              <w:t xml:space="preserve">% </w:t>
            </w:r>
            <w:r w:rsidR="000D471E">
              <w:rPr>
                <w:rFonts w:ascii="Arial" w:hAnsi="Arial" w:cs="Arial"/>
                <w:sz w:val="22"/>
                <w:szCs w:val="22"/>
              </w:rPr>
              <w:t>March</w:t>
            </w:r>
            <w:r w:rsidR="000D3D3A">
              <w:rPr>
                <w:rFonts w:ascii="Arial" w:hAnsi="Arial" w:cs="Arial"/>
                <w:sz w:val="22"/>
                <w:szCs w:val="22"/>
              </w:rPr>
              <w:t xml:space="preserve">) </w:t>
            </w:r>
            <w:r w:rsidRPr="00316BE4">
              <w:rPr>
                <w:rFonts w:ascii="Arial" w:hAnsi="Arial" w:cs="Arial"/>
                <w:sz w:val="22"/>
                <w:szCs w:val="22"/>
              </w:rPr>
              <w:t>on th</w:t>
            </w:r>
            <w:r w:rsidR="000D471E">
              <w:rPr>
                <w:rFonts w:ascii="Arial" w:hAnsi="Arial" w:cs="Arial"/>
                <w:sz w:val="22"/>
                <w:szCs w:val="22"/>
              </w:rPr>
              <w:t>e number of invoices and 48</w:t>
            </w:r>
            <w:r w:rsidR="00DB1FC5" w:rsidRPr="00316BE4">
              <w:rPr>
                <w:rFonts w:ascii="Arial" w:hAnsi="Arial" w:cs="Arial"/>
                <w:sz w:val="22"/>
                <w:szCs w:val="22"/>
              </w:rPr>
              <w:t xml:space="preserve">% </w:t>
            </w:r>
            <w:r w:rsidR="000D471E">
              <w:rPr>
                <w:rFonts w:ascii="Arial" w:hAnsi="Arial" w:cs="Arial"/>
                <w:sz w:val="22"/>
                <w:szCs w:val="22"/>
              </w:rPr>
              <w:t>(39% March</w:t>
            </w:r>
            <w:r w:rsidR="000D3D3A">
              <w:rPr>
                <w:rFonts w:ascii="Arial" w:hAnsi="Arial" w:cs="Arial"/>
                <w:sz w:val="22"/>
                <w:szCs w:val="22"/>
              </w:rPr>
              <w:t xml:space="preserve">) </w:t>
            </w:r>
            <w:r w:rsidR="00DB1FC5" w:rsidRPr="00316BE4">
              <w:rPr>
                <w:rFonts w:ascii="Arial" w:hAnsi="Arial" w:cs="Arial"/>
                <w:sz w:val="22"/>
                <w:szCs w:val="22"/>
              </w:rPr>
              <w:t>based on invoice values</w:t>
            </w:r>
            <w:r w:rsidR="004C7812" w:rsidRPr="00316BE4">
              <w:rPr>
                <w:rFonts w:ascii="Arial" w:hAnsi="Arial" w:cs="Arial"/>
                <w:sz w:val="22"/>
                <w:szCs w:val="22"/>
              </w:rPr>
              <w:t>.  All approvers are asked to note this and to approve invoices promptly or place on hold if there is a dispute.</w:t>
            </w:r>
            <w:r w:rsidR="000271F4" w:rsidRPr="00316BE4">
              <w:rPr>
                <w:rFonts w:ascii="Arial" w:hAnsi="Arial" w:cs="Arial"/>
                <w:sz w:val="22"/>
                <w:szCs w:val="22"/>
              </w:rPr>
              <w:t xml:space="preserve">  </w:t>
            </w:r>
            <w:r w:rsidR="00DB1FC5" w:rsidRPr="00316BE4">
              <w:rPr>
                <w:rFonts w:ascii="Arial" w:hAnsi="Arial" w:cs="Arial"/>
                <w:sz w:val="22"/>
                <w:szCs w:val="22"/>
              </w:rPr>
              <w:t>Performance is published on our website.</w:t>
            </w:r>
          </w:p>
          <w:p w:rsidR="003001BE" w:rsidRPr="00C40FC4" w:rsidRDefault="003001BE" w:rsidP="004C7812">
            <w:pPr>
              <w:numPr>
                <w:ilvl w:val="0"/>
                <w:numId w:val="2"/>
              </w:numPr>
              <w:tabs>
                <w:tab w:val="left" w:pos="2172"/>
              </w:tabs>
              <w:contextualSpacing/>
              <w:rPr>
                <w:rFonts w:ascii="Arial" w:hAnsi="Arial" w:cs="Arial"/>
                <w:b/>
                <w:bCs/>
                <w:sz w:val="22"/>
                <w:szCs w:val="22"/>
              </w:rPr>
            </w:pPr>
            <w:r w:rsidRPr="00C40FC4">
              <w:rPr>
                <w:rFonts w:ascii="Arial" w:hAnsi="Arial" w:cs="Arial"/>
                <w:sz w:val="22"/>
                <w:szCs w:val="22"/>
              </w:rPr>
              <w:t xml:space="preserve">Aged creditor balances disclosed </w:t>
            </w:r>
            <w:r w:rsidR="00132DB0">
              <w:rPr>
                <w:rFonts w:ascii="Arial" w:hAnsi="Arial" w:cs="Arial"/>
                <w:sz w:val="22"/>
                <w:szCs w:val="22"/>
              </w:rPr>
              <w:t xml:space="preserve">have </w:t>
            </w:r>
            <w:r w:rsidR="00E13E6E">
              <w:rPr>
                <w:rFonts w:ascii="Arial" w:hAnsi="Arial" w:cs="Arial"/>
                <w:sz w:val="22"/>
                <w:szCs w:val="22"/>
              </w:rPr>
              <w:t>increased to £12,446</w:t>
            </w:r>
            <w:r w:rsidR="00132DB0">
              <w:rPr>
                <w:rFonts w:ascii="Arial" w:hAnsi="Arial" w:cs="Arial"/>
                <w:sz w:val="22"/>
                <w:szCs w:val="22"/>
              </w:rPr>
              <w:t xml:space="preserve"> in total.  The majority of the creditors fell within the 1-30 days category.</w:t>
            </w:r>
          </w:p>
          <w:p w:rsidR="00C11CD4" w:rsidRPr="00C40FC4" w:rsidRDefault="00C11CD4" w:rsidP="004C7812">
            <w:pPr>
              <w:numPr>
                <w:ilvl w:val="0"/>
                <w:numId w:val="2"/>
              </w:numPr>
              <w:tabs>
                <w:tab w:val="left" w:pos="2172"/>
              </w:tabs>
              <w:contextualSpacing/>
              <w:rPr>
                <w:rFonts w:ascii="Arial" w:hAnsi="Arial" w:cs="Arial"/>
                <w:sz w:val="22"/>
                <w:szCs w:val="22"/>
              </w:rPr>
            </w:pPr>
            <w:r w:rsidRPr="00C40FC4">
              <w:rPr>
                <w:rFonts w:ascii="Arial" w:hAnsi="Arial" w:cs="Arial"/>
                <w:sz w:val="22"/>
                <w:szCs w:val="22"/>
              </w:rPr>
              <w:t>Balance sheet highlights –</w:t>
            </w:r>
            <w:r w:rsidRPr="00C40FC4">
              <w:rPr>
                <w:rFonts w:ascii="Arial" w:hAnsi="Arial" w:cs="Arial"/>
                <w:color w:val="FF0000"/>
                <w:sz w:val="22"/>
                <w:szCs w:val="22"/>
              </w:rPr>
              <w:t xml:space="preserve"> </w:t>
            </w:r>
            <w:r w:rsidRPr="00C40FC4">
              <w:rPr>
                <w:rFonts w:ascii="Arial" w:hAnsi="Arial" w:cs="Arial"/>
                <w:sz w:val="22"/>
                <w:szCs w:val="22"/>
              </w:rPr>
              <w:t xml:space="preserve">Net </w:t>
            </w:r>
            <w:r w:rsidR="00241A21" w:rsidRPr="00C40FC4">
              <w:rPr>
                <w:rFonts w:ascii="Arial" w:hAnsi="Arial" w:cs="Arial"/>
                <w:sz w:val="22"/>
                <w:szCs w:val="22"/>
              </w:rPr>
              <w:t>Assets and Taxpayers Equity are</w:t>
            </w:r>
            <w:r w:rsidR="00204E97" w:rsidRPr="00C40FC4">
              <w:rPr>
                <w:rFonts w:ascii="Arial" w:hAnsi="Arial" w:cs="Arial"/>
                <w:sz w:val="22"/>
                <w:szCs w:val="22"/>
              </w:rPr>
              <w:t xml:space="preserve"> positive at</w:t>
            </w:r>
            <w:r w:rsidR="00A422D8" w:rsidRPr="00C40FC4">
              <w:rPr>
                <w:rFonts w:ascii="Arial" w:hAnsi="Arial" w:cs="Arial"/>
                <w:sz w:val="22"/>
                <w:szCs w:val="22"/>
              </w:rPr>
              <w:t xml:space="preserve"> </w:t>
            </w:r>
            <w:r w:rsidR="000D471E">
              <w:rPr>
                <w:rFonts w:ascii="Arial" w:hAnsi="Arial" w:cs="Arial"/>
                <w:sz w:val="22"/>
                <w:szCs w:val="22"/>
              </w:rPr>
              <w:t>£3</w:t>
            </w:r>
            <w:r w:rsidR="00853914">
              <w:rPr>
                <w:rFonts w:ascii="Arial" w:hAnsi="Arial" w:cs="Arial"/>
                <w:sz w:val="22"/>
                <w:szCs w:val="22"/>
              </w:rPr>
              <w:t>.4million</w:t>
            </w:r>
            <w:r w:rsidR="000D471E">
              <w:rPr>
                <w:rFonts w:ascii="Arial" w:hAnsi="Arial" w:cs="Arial"/>
                <w:sz w:val="22"/>
                <w:szCs w:val="22"/>
              </w:rPr>
              <w:t>.  Cash balance is £3</w:t>
            </w:r>
            <w:r w:rsidR="00853914">
              <w:rPr>
                <w:rFonts w:ascii="Arial" w:hAnsi="Arial" w:cs="Arial"/>
                <w:sz w:val="22"/>
                <w:szCs w:val="22"/>
              </w:rPr>
              <w:t>.8 million</w:t>
            </w:r>
            <w:r w:rsidR="00A86A0C" w:rsidRPr="00C40FC4">
              <w:rPr>
                <w:rFonts w:ascii="Arial" w:hAnsi="Arial" w:cs="Arial"/>
                <w:sz w:val="22"/>
                <w:szCs w:val="22"/>
              </w:rPr>
              <w:t xml:space="preserve"> (with liabilities to pay of £1</w:t>
            </w:r>
            <w:r w:rsidR="003001BE" w:rsidRPr="00C40FC4">
              <w:rPr>
                <w:rFonts w:ascii="Arial" w:hAnsi="Arial" w:cs="Arial"/>
                <w:sz w:val="22"/>
                <w:szCs w:val="22"/>
              </w:rPr>
              <w:t>.</w:t>
            </w:r>
            <w:r w:rsidR="00201909">
              <w:rPr>
                <w:rFonts w:ascii="Arial" w:hAnsi="Arial" w:cs="Arial"/>
                <w:sz w:val="22"/>
                <w:szCs w:val="22"/>
              </w:rPr>
              <w:t>3</w:t>
            </w:r>
            <w:r w:rsidR="00A86A0C" w:rsidRPr="00C40FC4">
              <w:rPr>
                <w:rFonts w:ascii="Arial" w:hAnsi="Arial" w:cs="Arial"/>
                <w:sz w:val="22"/>
                <w:szCs w:val="22"/>
              </w:rPr>
              <w:t>million)</w:t>
            </w:r>
            <w:r w:rsidR="00A422D8" w:rsidRPr="00C40FC4">
              <w:rPr>
                <w:rFonts w:ascii="Arial" w:hAnsi="Arial" w:cs="Arial"/>
                <w:sz w:val="22"/>
                <w:szCs w:val="22"/>
              </w:rPr>
              <w:t>.</w:t>
            </w:r>
            <w:r w:rsidR="006F2E59" w:rsidRPr="00C40FC4">
              <w:rPr>
                <w:rFonts w:ascii="Arial" w:hAnsi="Arial" w:cs="Arial"/>
                <w:sz w:val="22"/>
                <w:szCs w:val="22"/>
              </w:rPr>
              <w:t xml:space="preserve">  </w:t>
            </w:r>
            <w:r w:rsidR="000D471E">
              <w:rPr>
                <w:rFonts w:ascii="Arial" w:hAnsi="Arial" w:cs="Arial"/>
                <w:sz w:val="22"/>
                <w:szCs w:val="22"/>
              </w:rPr>
              <w:t>The forecast balance sheet shows the anticipated position for March, as reported in February.</w:t>
            </w:r>
          </w:p>
          <w:p w:rsidR="00C11CD4" w:rsidRPr="00540FAA" w:rsidRDefault="00C11CD4" w:rsidP="00E13E6E">
            <w:pPr>
              <w:pStyle w:val="ListParagraph"/>
              <w:numPr>
                <w:ilvl w:val="0"/>
                <w:numId w:val="2"/>
              </w:numPr>
              <w:tabs>
                <w:tab w:val="left" w:pos="2172"/>
              </w:tabs>
              <w:spacing w:after="200" w:line="276" w:lineRule="auto"/>
              <w:rPr>
                <w:rFonts w:ascii="Arial" w:hAnsi="Arial" w:cs="Arial"/>
                <w:sz w:val="22"/>
                <w:szCs w:val="22"/>
              </w:rPr>
            </w:pPr>
            <w:r w:rsidRPr="008C1699">
              <w:rPr>
                <w:rFonts w:ascii="Arial" w:hAnsi="Arial" w:cs="Arial"/>
                <w:bCs/>
                <w:sz w:val="22"/>
                <w:szCs w:val="22"/>
              </w:rPr>
              <w:t>Cash flow -</w:t>
            </w:r>
            <w:r w:rsidRPr="008C1699">
              <w:rPr>
                <w:rFonts w:ascii="Arial" w:hAnsi="Arial" w:cs="Arial"/>
                <w:sz w:val="22"/>
                <w:szCs w:val="22"/>
              </w:rPr>
              <w:t xml:space="preserve"> position reflects the actual level of expenditure up to the end of</w:t>
            </w:r>
            <w:r w:rsidR="000D471E">
              <w:rPr>
                <w:rFonts w:ascii="Arial" w:hAnsi="Arial" w:cs="Arial"/>
                <w:sz w:val="22"/>
                <w:szCs w:val="22"/>
              </w:rPr>
              <w:t xml:space="preserve"> March</w:t>
            </w:r>
            <w:r w:rsidR="00E13E6E">
              <w:rPr>
                <w:rFonts w:ascii="Arial" w:hAnsi="Arial" w:cs="Arial"/>
                <w:sz w:val="22"/>
                <w:szCs w:val="22"/>
              </w:rPr>
              <w:t>.</w:t>
            </w:r>
          </w:p>
        </w:tc>
      </w:tr>
    </w:tbl>
    <w:p w:rsidR="002D19A0" w:rsidRDefault="002D19A0" w:rsidP="007C7418">
      <w:pPr>
        <w:spacing w:after="200" w:line="276" w:lineRule="auto"/>
        <w:rPr>
          <w:rFonts w:ascii="Arial" w:eastAsia="Calibri" w:hAnsi="Arial"/>
          <w:b/>
          <w:bCs/>
          <w:color w:val="1F497D"/>
          <w:szCs w:val="26"/>
          <w:lang w:eastAsia="en-US"/>
        </w:rPr>
      </w:pPr>
    </w:p>
    <w:p w:rsidR="00413357" w:rsidRDefault="00413357" w:rsidP="007C7418">
      <w:pPr>
        <w:spacing w:after="200" w:line="276" w:lineRule="auto"/>
        <w:rPr>
          <w:rFonts w:ascii="Arial" w:eastAsia="Calibri" w:hAnsi="Arial"/>
          <w:b/>
          <w:bCs/>
          <w:color w:val="1F497D"/>
          <w:szCs w:val="26"/>
          <w:lang w:eastAsia="en-US"/>
        </w:rPr>
      </w:pPr>
    </w:p>
    <w:p w:rsidR="00445C3C" w:rsidRDefault="00445C3C" w:rsidP="007C7418">
      <w:pPr>
        <w:spacing w:after="200" w:line="276" w:lineRule="auto"/>
        <w:rPr>
          <w:rFonts w:ascii="Arial" w:eastAsia="Calibri" w:hAnsi="Arial"/>
          <w:b/>
          <w:bCs/>
          <w:color w:val="1F497D"/>
          <w:szCs w:val="26"/>
          <w:lang w:eastAsia="en-US"/>
        </w:rPr>
      </w:pPr>
    </w:p>
    <w:p w:rsidR="00445C3C" w:rsidRPr="00F64C33" w:rsidRDefault="00445C3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lastRenderedPageBreak/>
        <w:t>Health Research Autho</w:t>
      </w:r>
      <w:r>
        <w:rPr>
          <w:rFonts w:ascii="Arial" w:eastAsia="Calibri" w:hAnsi="Arial"/>
          <w:b/>
          <w:bCs/>
          <w:color w:val="56008C"/>
          <w:szCs w:val="26"/>
          <w:lang w:eastAsia="en-US"/>
        </w:rPr>
        <w:t>rity – Non Pay Expenditure</w:t>
      </w:r>
      <w:r w:rsidR="004F1024">
        <w:rPr>
          <w:rFonts w:ascii="Arial" w:eastAsia="Calibri" w:hAnsi="Arial"/>
          <w:b/>
          <w:bCs/>
          <w:color w:val="56008C"/>
          <w:szCs w:val="26"/>
          <w:lang w:eastAsia="en-US"/>
        </w:rPr>
        <w:t xml:space="preserve"> Year to</w:t>
      </w:r>
      <w:r w:rsidR="00AE78EA">
        <w:rPr>
          <w:rFonts w:ascii="Arial" w:eastAsia="Calibri" w:hAnsi="Arial"/>
          <w:b/>
          <w:bCs/>
          <w:color w:val="56008C"/>
          <w:szCs w:val="26"/>
          <w:lang w:eastAsia="en-US"/>
        </w:rPr>
        <w:t xml:space="preserve"> 31 March</w:t>
      </w:r>
      <w:r>
        <w:rPr>
          <w:rFonts w:ascii="Arial" w:eastAsia="Calibri" w:hAnsi="Arial"/>
          <w:b/>
          <w:bCs/>
          <w:color w:val="56008C"/>
          <w:szCs w:val="26"/>
          <w:lang w:eastAsia="en-US"/>
        </w:rPr>
        <w:t xml:space="preserve"> 2014                           </w:t>
      </w:r>
      <w:r w:rsidRPr="00F64C33">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Appendix B</w:t>
      </w:r>
    </w:p>
    <w:tbl>
      <w:tblPr>
        <w:tblStyle w:val="TableGrid"/>
        <w:tblW w:w="0" w:type="auto"/>
        <w:tblLook w:val="04A0" w:firstRow="1" w:lastRow="0" w:firstColumn="1" w:lastColumn="0" w:noHBand="0" w:noVBand="1"/>
      </w:tblPr>
      <w:tblGrid>
        <w:gridCol w:w="1799"/>
        <w:gridCol w:w="13829"/>
      </w:tblGrid>
      <w:tr w:rsidR="00445C3C" w:rsidRPr="00461E1B" w:rsidTr="00B27E7E">
        <w:tc>
          <w:tcPr>
            <w:tcW w:w="2088" w:type="dxa"/>
            <w:shd w:val="clear" w:color="auto" w:fill="56008C"/>
            <w:vAlign w:val="center"/>
          </w:tcPr>
          <w:p w:rsidR="00445C3C" w:rsidRPr="00FC6EBF" w:rsidRDefault="002132BF" w:rsidP="00B27E7E">
            <w:pPr>
              <w:spacing w:after="200" w:line="276" w:lineRule="auto"/>
              <w:jc w:val="center"/>
              <w:rPr>
                <w:rFonts w:ascii="Arial" w:hAnsi="Arial" w:cs="Arial"/>
                <w:b/>
              </w:rPr>
            </w:pPr>
            <w:r w:rsidRPr="002132BF">
              <w:rPr>
                <w:rFonts w:ascii="Arial" w:hAnsi="Arial" w:cs="Arial"/>
                <w:b/>
                <w:color w:val="E28C05"/>
              </w:rPr>
              <w:t>Areas of Non- Pay Expenditure</w:t>
            </w:r>
          </w:p>
        </w:tc>
        <w:tc>
          <w:tcPr>
            <w:tcW w:w="13540" w:type="dxa"/>
          </w:tcPr>
          <w:p w:rsidR="00D95040" w:rsidRDefault="00D95040" w:rsidP="00406C23">
            <w:pPr>
              <w:tabs>
                <w:tab w:val="left" w:pos="2172"/>
              </w:tabs>
              <w:spacing w:after="200" w:line="276" w:lineRule="auto"/>
              <w:rPr>
                <w:rFonts w:ascii="Arial" w:hAnsi="Arial" w:cs="Arial"/>
                <w:sz w:val="22"/>
                <w:szCs w:val="22"/>
              </w:rPr>
            </w:pPr>
          </w:p>
          <w:tbl>
            <w:tblPr>
              <w:tblW w:w="12700" w:type="dxa"/>
              <w:tblLook w:val="04A0" w:firstRow="1" w:lastRow="0" w:firstColumn="1" w:lastColumn="0" w:noHBand="0" w:noVBand="1"/>
            </w:tblPr>
            <w:tblGrid>
              <w:gridCol w:w="804"/>
              <w:gridCol w:w="5258"/>
              <w:gridCol w:w="962"/>
              <w:gridCol w:w="974"/>
              <w:gridCol w:w="928"/>
              <w:gridCol w:w="1134"/>
              <w:gridCol w:w="3553"/>
            </w:tblGrid>
            <w:tr w:rsidR="009312AC" w:rsidRPr="009312AC" w:rsidTr="009312AC">
              <w:trPr>
                <w:trHeight w:val="300"/>
              </w:trPr>
              <w:tc>
                <w:tcPr>
                  <w:tcW w:w="5879" w:type="dxa"/>
                  <w:gridSpan w:val="2"/>
                  <w:tcBorders>
                    <w:top w:val="nil"/>
                    <w:left w:val="nil"/>
                    <w:bottom w:val="nil"/>
                    <w:right w:val="nil"/>
                  </w:tcBorders>
                  <w:shd w:val="clear" w:color="000000" w:fill="53B9B7"/>
                  <w:vAlign w:val="center"/>
                  <w:hideMark/>
                </w:tcPr>
                <w:p w:rsidR="009312AC" w:rsidRPr="009312AC" w:rsidRDefault="009312AC" w:rsidP="009312AC">
                  <w:pPr>
                    <w:jc w:val="center"/>
                    <w:rPr>
                      <w:rFonts w:ascii="Arial" w:hAnsi="Arial" w:cs="Arial"/>
                      <w:b/>
                      <w:bCs/>
                      <w:color w:val="FFFFFF"/>
                      <w:sz w:val="22"/>
                      <w:szCs w:val="22"/>
                    </w:rPr>
                  </w:pPr>
                  <w:r w:rsidRPr="009312AC">
                    <w:rPr>
                      <w:rFonts w:ascii="Arial" w:hAnsi="Arial" w:cs="Arial"/>
                      <w:b/>
                      <w:bCs/>
                      <w:color w:val="FFFFFF"/>
                      <w:sz w:val="22"/>
                      <w:szCs w:val="22"/>
                    </w:rPr>
                    <w:t>Subjective</w:t>
                  </w:r>
                </w:p>
              </w:tc>
              <w:tc>
                <w:tcPr>
                  <w:tcW w:w="784" w:type="dxa"/>
                  <w:tcBorders>
                    <w:top w:val="nil"/>
                    <w:left w:val="nil"/>
                    <w:bottom w:val="nil"/>
                    <w:right w:val="single" w:sz="8" w:space="0" w:color="FFFFFF"/>
                  </w:tcBorders>
                  <w:shd w:val="clear" w:color="000000" w:fill="D1819A"/>
                  <w:vAlign w:val="center"/>
                  <w:hideMark/>
                </w:tcPr>
                <w:p w:rsidR="009312AC" w:rsidRPr="009312AC" w:rsidRDefault="009312AC" w:rsidP="009312AC">
                  <w:pPr>
                    <w:jc w:val="center"/>
                    <w:rPr>
                      <w:rFonts w:ascii="Arial" w:hAnsi="Arial" w:cs="Arial"/>
                      <w:b/>
                      <w:bCs/>
                      <w:color w:val="FFFFFF"/>
                      <w:sz w:val="22"/>
                      <w:szCs w:val="22"/>
                    </w:rPr>
                  </w:pPr>
                  <w:r w:rsidRPr="009312AC">
                    <w:rPr>
                      <w:rFonts w:ascii="Arial" w:hAnsi="Arial" w:cs="Arial"/>
                      <w:b/>
                      <w:bCs/>
                      <w:color w:val="FFFFFF"/>
                      <w:sz w:val="22"/>
                      <w:szCs w:val="22"/>
                    </w:rPr>
                    <w:t>Annual</w:t>
                  </w:r>
                </w:p>
              </w:tc>
              <w:tc>
                <w:tcPr>
                  <w:tcW w:w="2484" w:type="dxa"/>
                  <w:gridSpan w:val="3"/>
                  <w:tcBorders>
                    <w:top w:val="nil"/>
                    <w:left w:val="nil"/>
                    <w:bottom w:val="nil"/>
                    <w:right w:val="single" w:sz="8" w:space="0" w:color="FFFFFF"/>
                  </w:tcBorders>
                  <w:shd w:val="clear" w:color="000000" w:fill="55ACD3"/>
                  <w:vAlign w:val="center"/>
                  <w:hideMark/>
                </w:tcPr>
                <w:p w:rsidR="009312AC" w:rsidRPr="009312AC" w:rsidRDefault="009312AC" w:rsidP="009312AC">
                  <w:pPr>
                    <w:jc w:val="center"/>
                    <w:rPr>
                      <w:rFonts w:ascii="Arial" w:hAnsi="Arial" w:cs="Arial"/>
                      <w:b/>
                      <w:bCs/>
                      <w:color w:val="FFFFFF"/>
                      <w:sz w:val="22"/>
                      <w:szCs w:val="22"/>
                    </w:rPr>
                  </w:pPr>
                  <w:r w:rsidRPr="009312AC">
                    <w:rPr>
                      <w:rFonts w:ascii="Arial" w:hAnsi="Arial" w:cs="Arial"/>
                      <w:b/>
                      <w:bCs/>
                      <w:color w:val="FFFFFF"/>
                      <w:sz w:val="22"/>
                      <w:szCs w:val="22"/>
                    </w:rPr>
                    <w:t>Year to date (£)</w:t>
                  </w:r>
                </w:p>
              </w:tc>
              <w:tc>
                <w:tcPr>
                  <w:tcW w:w="3553" w:type="dxa"/>
                  <w:tcBorders>
                    <w:top w:val="nil"/>
                    <w:left w:val="nil"/>
                    <w:bottom w:val="nil"/>
                    <w:right w:val="nil"/>
                  </w:tcBorders>
                  <w:shd w:val="clear" w:color="auto" w:fill="auto"/>
                  <w:noWrap/>
                  <w:vAlign w:val="bottom"/>
                  <w:hideMark/>
                </w:tcPr>
                <w:p w:rsidR="009312AC" w:rsidRPr="009312AC" w:rsidRDefault="009312AC" w:rsidP="009312AC">
                  <w:pPr>
                    <w:rPr>
                      <w:rFonts w:ascii="Arial" w:hAnsi="Arial" w:cs="Arial"/>
                      <w:color w:val="000000"/>
                      <w:sz w:val="16"/>
                      <w:szCs w:val="16"/>
                    </w:rPr>
                  </w:pPr>
                </w:p>
              </w:tc>
            </w:tr>
            <w:tr w:rsidR="009312AC" w:rsidRPr="009312AC" w:rsidTr="009312AC">
              <w:trPr>
                <w:trHeight w:val="300"/>
              </w:trPr>
              <w:tc>
                <w:tcPr>
                  <w:tcW w:w="621" w:type="dxa"/>
                  <w:tcBorders>
                    <w:top w:val="nil"/>
                    <w:left w:val="nil"/>
                    <w:bottom w:val="nil"/>
                    <w:right w:val="single" w:sz="8" w:space="0" w:color="53B9B7"/>
                  </w:tcBorders>
                  <w:shd w:val="clear" w:color="000000" w:fill="C7E3E0"/>
                  <w:vAlign w:val="center"/>
                  <w:hideMark/>
                </w:tcPr>
                <w:p w:rsidR="009312AC" w:rsidRPr="009312AC" w:rsidRDefault="009312AC" w:rsidP="009312AC">
                  <w:pPr>
                    <w:jc w:val="center"/>
                    <w:rPr>
                      <w:rFonts w:ascii="Arial" w:hAnsi="Arial" w:cs="Arial"/>
                      <w:b/>
                      <w:bCs/>
                      <w:color w:val="000000"/>
                      <w:sz w:val="22"/>
                      <w:szCs w:val="22"/>
                    </w:rPr>
                  </w:pPr>
                  <w:r w:rsidRPr="009312AC">
                    <w:rPr>
                      <w:rFonts w:ascii="Arial" w:hAnsi="Arial" w:cs="Arial"/>
                      <w:b/>
                      <w:bCs/>
                      <w:color w:val="000000"/>
                      <w:sz w:val="22"/>
                      <w:szCs w:val="22"/>
                    </w:rPr>
                    <w:t>Class</w:t>
                  </w:r>
                </w:p>
              </w:tc>
              <w:tc>
                <w:tcPr>
                  <w:tcW w:w="5258" w:type="dxa"/>
                  <w:tcBorders>
                    <w:top w:val="nil"/>
                    <w:left w:val="nil"/>
                    <w:bottom w:val="nil"/>
                    <w:right w:val="single" w:sz="8" w:space="0" w:color="53B9B7"/>
                  </w:tcBorders>
                  <w:shd w:val="clear" w:color="000000" w:fill="C7E3E0"/>
                  <w:vAlign w:val="center"/>
                  <w:hideMark/>
                </w:tcPr>
                <w:p w:rsidR="009312AC" w:rsidRPr="009312AC" w:rsidRDefault="009312AC" w:rsidP="009312AC">
                  <w:pPr>
                    <w:jc w:val="center"/>
                    <w:rPr>
                      <w:rFonts w:ascii="Arial" w:hAnsi="Arial" w:cs="Arial"/>
                      <w:b/>
                      <w:bCs/>
                      <w:color w:val="000000"/>
                      <w:sz w:val="22"/>
                      <w:szCs w:val="22"/>
                    </w:rPr>
                  </w:pPr>
                  <w:r w:rsidRPr="009312AC">
                    <w:rPr>
                      <w:rFonts w:ascii="Arial" w:hAnsi="Arial" w:cs="Arial"/>
                      <w:b/>
                      <w:bCs/>
                      <w:color w:val="000000"/>
                      <w:sz w:val="22"/>
                      <w:szCs w:val="22"/>
                    </w:rPr>
                    <w:t>Code</w:t>
                  </w:r>
                </w:p>
              </w:tc>
              <w:tc>
                <w:tcPr>
                  <w:tcW w:w="784" w:type="dxa"/>
                  <w:tcBorders>
                    <w:top w:val="nil"/>
                    <w:left w:val="nil"/>
                    <w:bottom w:val="nil"/>
                    <w:right w:val="single" w:sz="8" w:space="0" w:color="FFFFFF"/>
                  </w:tcBorders>
                  <w:shd w:val="clear" w:color="000000" w:fill="D1819A"/>
                  <w:vAlign w:val="center"/>
                  <w:hideMark/>
                </w:tcPr>
                <w:p w:rsidR="009312AC" w:rsidRPr="009312AC" w:rsidRDefault="009312AC" w:rsidP="009312AC">
                  <w:pPr>
                    <w:jc w:val="center"/>
                    <w:rPr>
                      <w:rFonts w:ascii="Arial" w:hAnsi="Arial" w:cs="Arial"/>
                      <w:b/>
                      <w:bCs/>
                      <w:color w:val="FFFFFF"/>
                      <w:sz w:val="22"/>
                      <w:szCs w:val="22"/>
                    </w:rPr>
                  </w:pPr>
                  <w:r w:rsidRPr="009312AC">
                    <w:rPr>
                      <w:rFonts w:ascii="Arial" w:hAnsi="Arial" w:cs="Arial"/>
                      <w:b/>
                      <w:bCs/>
                      <w:color w:val="FFFFFF"/>
                      <w:sz w:val="22"/>
                      <w:szCs w:val="22"/>
                    </w:rPr>
                    <w:t>budget (£)</w:t>
                  </w:r>
                </w:p>
              </w:tc>
              <w:tc>
                <w:tcPr>
                  <w:tcW w:w="789" w:type="dxa"/>
                  <w:tcBorders>
                    <w:top w:val="nil"/>
                    <w:left w:val="nil"/>
                    <w:bottom w:val="nil"/>
                    <w:right w:val="single" w:sz="8" w:space="0" w:color="55ACD3"/>
                  </w:tcBorders>
                  <w:shd w:val="clear" w:color="000000" w:fill="B6D5E4"/>
                  <w:vAlign w:val="center"/>
                  <w:hideMark/>
                </w:tcPr>
                <w:p w:rsidR="009312AC" w:rsidRPr="009312AC" w:rsidRDefault="009312AC" w:rsidP="009312AC">
                  <w:pPr>
                    <w:rPr>
                      <w:rFonts w:ascii="Arial" w:hAnsi="Arial" w:cs="Arial"/>
                      <w:b/>
                      <w:bCs/>
                      <w:color w:val="000000"/>
                      <w:sz w:val="22"/>
                      <w:szCs w:val="22"/>
                    </w:rPr>
                  </w:pPr>
                  <w:r w:rsidRPr="009312AC">
                    <w:rPr>
                      <w:rFonts w:ascii="Arial" w:hAnsi="Arial" w:cs="Arial"/>
                      <w:b/>
                      <w:bCs/>
                      <w:color w:val="000000"/>
                      <w:sz w:val="22"/>
                      <w:szCs w:val="22"/>
                    </w:rPr>
                    <w:t>Budget</w:t>
                  </w:r>
                </w:p>
              </w:tc>
              <w:tc>
                <w:tcPr>
                  <w:tcW w:w="746" w:type="dxa"/>
                  <w:tcBorders>
                    <w:top w:val="nil"/>
                    <w:left w:val="nil"/>
                    <w:bottom w:val="nil"/>
                    <w:right w:val="single" w:sz="8" w:space="0" w:color="55ACD3"/>
                  </w:tcBorders>
                  <w:shd w:val="clear" w:color="000000" w:fill="B6D5E4"/>
                  <w:vAlign w:val="center"/>
                  <w:hideMark/>
                </w:tcPr>
                <w:p w:rsidR="009312AC" w:rsidRPr="009312AC" w:rsidRDefault="009312AC" w:rsidP="009312AC">
                  <w:pPr>
                    <w:rPr>
                      <w:rFonts w:ascii="Arial" w:hAnsi="Arial" w:cs="Arial"/>
                      <w:b/>
                      <w:bCs/>
                      <w:color w:val="000000"/>
                      <w:sz w:val="22"/>
                      <w:szCs w:val="22"/>
                    </w:rPr>
                  </w:pPr>
                  <w:r w:rsidRPr="009312AC">
                    <w:rPr>
                      <w:rFonts w:ascii="Arial" w:hAnsi="Arial" w:cs="Arial"/>
                      <w:b/>
                      <w:bCs/>
                      <w:color w:val="000000"/>
                      <w:sz w:val="22"/>
                      <w:szCs w:val="22"/>
                    </w:rPr>
                    <w:t>Actual</w:t>
                  </w:r>
                </w:p>
              </w:tc>
              <w:tc>
                <w:tcPr>
                  <w:tcW w:w="949" w:type="dxa"/>
                  <w:tcBorders>
                    <w:top w:val="nil"/>
                    <w:left w:val="nil"/>
                    <w:bottom w:val="nil"/>
                    <w:right w:val="nil"/>
                  </w:tcBorders>
                  <w:shd w:val="clear" w:color="000000" w:fill="B6D5E4"/>
                  <w:vAlign w:val="center"/>
                  <w:hideMark/>
                </w:tcPr>
                <w:p w:rsidR="009312AC" w:rsidRPr="009312AC" w:rsidRDefault="009312AC" w:rsidP="009312AC">
                  <w:pPr>
                    <w:rPr>
                      <w:rFonts w:ascii="Arial" w:hAnsi="Arial" w:cs="Arial"/>
                      <w:b/>
                      <w:bCs/>
                      <w:color w:val="000000"/>
                      <w:sz w:val="22"/>
                      <w:szCs w:val="22"/>
                    </w:rPr>
                  </w:pPr>
                  <w:r w:rsidRPr="009312AC">
                    <w:rPr>
                      <w:rFonts w:ascii="Arial" w:hAnsi="Arial" w:cs="Arial"/>
                      <w:b/>
                      <w:bCs/>
                      <w:color w:val="000000"/>
                      <w:sz w:val="22"/>
                      <w:szCs w:val="22"/>
                    </w:rPr>
                    <w:t>Variance</w:t>
                  </w:r>
                </w:p>
              </w:tc>
              <w:tc>
                <w:tcPr>
                  <w:tcW w:w="3553" w:type="dxa"/>
                  <w:tcBorders>
                    <w:top w:val="nil"/>
                    <w:left w:val="nil"/>
                    <w:bottom w:val="nil"/>
                    <w:right w:val="nil"/>
                  </w:tcBorders>
                  <w:shd w:val="clear" w:color="auto" w:fill="auto"/>
                  <w:noWrap/>
                  <w:vAlign w:val="bottom"/>
                  <w:hideMark/>
                </w:tcPr>
                <w:p w:rsidR="009312AC" w:rsidRPr="009312AC" w:rsidRDefault="009312AC" w:rsidP="009312AC">
                  <w:pPr>
                    <w:rPr>
                      <w:rFonts w:ascii="Arial" w:hAnsi="Arial" w:cs="Arial"/>
                      <w:color w:val="000000"/>
                      <w:sz w:val="16"/>
                      <w:szCs w:val="16"/>
                    </w:rPr>
                  </w:pPr>
                </w:p>
              </w:tc>
            </w:tr>
            <w:tr w:rsidR="009312AC" w:rsidRPr="009312AC" w:rsidTr="009312AC">
              <w:trPr>
                <w:trHeight w:val="300"/>
              </w:trPr>
              <w:tc>
                <w:tcPr>
                  <w:tcW w:w="621" w:type="dxa"/>
                  <w:tcBorders>
                    <w:top w:val="nil"/>
                    <w:left w:val="nil"/>
                    <w:bottom w:val="nil"/>
                    <w:right w:val="nil"/>
                  </w:tcBorders>
                  <w:shd w:val="clear" w:color="auto" w:fill="auto"/>
                  <w:noWrap/>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1</w:t>
                  </w:r>
                </w:p>
              </w:tc>
              <w:tc>
                <w:tcPr>
                  <w:tcW w:w="5258"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b/>
                      <w:bCs/>
                      <w:color w:val="000000"/>
                      <w:sz w:val="16"/>
                      <w:szCs w:val="16"/>
                    </w:rPr>
                  </w:pPr>
                  <w:r w:rsidRPr="009312AC">
                    <w:rPr>
                      <w:rFonts w:ascii="Arial" w:hAnsi="Arial" w:cs="Arial"/>
                      <w:b/>
                      <w:bCs/>
                      <w:color w:val="000000"/>
                      <w:sz w:val="16"/>
                      <w:szCs w:val="16"/>
                    </w:rPr>
                    <w:t>Meeting Rooms/Catering</w:t>
                  </w:r>
                </w:p>
              </w:tc>
              <w:tc>
                <w:tcPr>
                  <w:tcW w:w="784"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248,133</w:t>
                  </w:r>
                </w:p>
              </w:tc>
              <w:tc>
                <w:tcPr>
                  <w:tcW w:w="78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248,133</w:t>
                  </w:r>
                </w:p>
              </w:tc>
              <w:tc>
                <w:tcPr>
                  <w:tcW w:w="746"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188,540</w:t>
                  </w:r>
                </w:p>
              </w:tc>
              <w:tc>
                <w:tcPr>
                  <w:tcW w:w="94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(59,593)</w:t>
                  </w:r>
                </w:p>
              </w:tc>
              <w:tc>
                <w:tcPr>
                  <w:tcW w:w="3553"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color w:val="000000"/>
                      <w:sz w:val="16"/>
                      <w:szCs w:val="16"/>
                    </w:rPr>
                  </w:pPr>
                </w:p>
              </w:tc>
            </w:tr>
            <w:tr w:rsidR="009312AC" w:rsidRPr="009312AC" w:rsidTr="009312AC">
              <w:trPr>
                <w:trHeight w:val="300"/>
              </w:trPr>
              <w:tc>
                <w:tcPr>
                  <w:tcW w:w="621" w:type="dxa"/>
                  <w:tcBorders>
                    <w:top w:val="nil"/>
                    <w:left w:val="nil"/>
                    <w:bottom w:val="nil"/>
                    <w:right w:val="nil"/>
                  </w:tcBorders>
                  <w:shd w:val="clear" w:color="auto" w:fill="auto"/>
                  <w:noWrap/>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2</w:t>
                  </w:r>
                </w:p>
              </w:tc>
              <w:tc>
                <w:tcPr>
                  <w:tcW w:w="5258"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b/>
                      <w:bCs/>
                      <w:color w:val="000000"/>
                      <w:sz w:val="16"/>
                      <w:szCs w:val="16"/>
                    </w:rPr>
                  </w:pPr>
                  <w:r w:rsidRPr="009312AC">
                    <w:rPr>
                      <w:rFonts w:ascii="Arial" w:hAnsi="Arial" w:cs="Arial"/>
                      <w:b/>
                      <w:bCs/>
                      <w:color w:val="000000"/>
                      <w:sz w:val="16"/>
                      <w:szCs w:val="16"/>
                    </w:rPr>
                    <w:t>Office equipment/Stationery/Furniture/Consumable</w:t>
                  </w:r>
                </w:p>
              </w:tc>
              <w:tc>
                <w:tcPr>
                  <w:tcW w:w="784"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123,650</w:t>
                  </w:r>
                </w:p>
              </w:tc>
              <w:tc>
                <w:tcPr>
                  <w:tcW w:w="78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123,650</w:t>
                  </w:r>
                </w:p>
              </w:tc>
              <w:tc>
                <w:tcPr>
                  <w:tcW w:w="746"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78,081</w:t>
                  </w:r>
                </w:p>
              </w:tc>
              <w:tc>
                <w:tcPr>
                  <w:tcW w:w="94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(45,569)</w:t>
                  </w:r>
                </w:p>
              </w:tc>
              <w:tc>
                <w:tcPr>
                  <w:tcW w:w="3553"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color w:val="000000"/>
                      <w:sz w:val="16"/>
                      <w:szCs w:val="16"/>
                    </w:rPr>
                  </w:pPr>
                </w:p>
              </w:tc>
            </w:tr>
            <w:tr w:rsidR="009312AC" w:rsidRPr="009312AC" w:rsidTr="009312AC">
              <w:trPr>
                <w:trHeight w:val="300"/>
              </w:trPr>
              <w:tc>
                <w:tcPr>
                  <w:tcW w:w="621" w:type="dxa"/>
                  <w:tcBorders>
                    <w:top w:val="nil"/>
                    <w:left w:val="nil"/>
                    <w:bottom w:val="nil"/>
                    <w:right w:val="nil"/>
                  </w:tcBorders>
                  <w:shd w:val="clear" w:color="auto" w:fill="auto"/>
                  <w:noWrap/>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3</w:t>
                  </w:r>
                </w:p>
              </w:tc>
              <w:tc>
                <w:tcPr>
                  <w:tcW w:w="5258"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b/>
                      <w:bCs/>
                      <w:color w:val="000000"/>
                      <w:sz w:val="16"/>
                      <w:szCs w:val="16"/>
                    </w:rPr>
                  </w:pPr>
                  <w:r w:rsidRPr="009312AC">
                    <w:rPr>
                      <w:rFonts w:ascii="Arial" w:hAnsi="Arial" w:cs="Arial"/>
                      <w:b/>
                      <w:bCs/>
                      <w:color w:val="000000"/>
                      <w:sz w:val="16"/>
                      <w:szCs w:val="16"/>
                    </w:rPr>
                    <w:t>Photocopying/Printing/Postage/Storage/Waste</w:t>
                  </w:r>
                </w:p>
              </w:tc>
              <w:tc>
                <w:tcPr>
                  <w:tcW w:w="784"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174,071</w:t>
                  </w:r>
                </w:p>
              </w:tc>
              <w:tc>
                <w:tcPr>
                  <w:tcW w:w="78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174,071</w:t>
                  </w:r>
                </w:p>
              </w:tc>
              <w:tc>
                <w:tcPr>
                  <w:tcW w:w="746"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168,335</w:t>
                  </w:r>
                </w:p>
              </w:tc>
              <w:tc>
                <w:tcPr>
                  <w:tcW w:w="94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(5,736)</w:t>
                  </w:r>
                </w:p>
              </w:tc>
              <w:tc>
                <w:tcPr>
                  <w:tcW w:w="3553"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color w:val="000000"/>
                      <w:sz w:val="16"/>
                      <w:szCs w:val="16"/>
                    </w:rPr>
                  </w:pPr>
                </w:p>
              </w:tc>
            </w:tr>
            <w:tr w:rsidR="009312AC" w:rsidRPr="009312AC" w:rsidTr="009312AC">
              <w:trPr>
                <w:trHeight w:val="300"/>
              </w:trPr>
              <w:tc>
                <w:tcPr>
                  <w:tcW w:w="621" w:type="dxa"/>
                  <w:tcBorders>
                    <w:top w:val="nil"/>
                    <w:left w:val="nil"/>
                    <w:bottom w:val="nil"/>
                    <w:right w:val="nil"/>
                  </w:tcBorders>
                  <w:shd w:val="clear" w:color="auto" w:fill="auto"/>
                  <w:noWrap/>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4</w:t>
                  </w:r>
                </w:p>
              </w:tc>
              <w:tc>
                <w:tcPr>
                  <w:tcW w:w="5258"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b/>
                      <w:bCs/>
                      <w:color w:val="000000"/>
                      <w:sz w:val="16"/>
                      <w:szCs w:val="16"/>
                    </w:rPr>
                  </w:pPr>
                  <w:r w:rsidRPr="009312AC">
                    <w:rPr>
                      <w:rFonts w:ascii="Arial" w:hAnsi="Arial" w:cs="Arial"/>
                      <w:b/>
                      <w:bCs/>
                      <w:color w:val="000000"/>
                      <w:sz w:val="16"/>
                      <w:szCs w:val="16"/>
                    </w:rPr>
                    <w:t>Premises</w:t>
                  </w:r>
                </w:p>
              </w:tc>
              <w:tc>
                <w:tcPr>
                  <w:tcW w:w="784"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753,093</w:t>
                  </w:r>
                </w:p>
              </w:tc>
              <w:tc>
                <w:tcPr>
                  <w:tcW w:w="78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753,093</w:t>
                  </w:r>
                </w:p>
              </w:tc>
              <w:tc>
                <w:tcPr>
                  <w:tcW w:w="746"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738,345</w:t>
                  </w:r>
                </w:p>
              </w:tc>
              <w:tc>
                <w:tcPr>
                  <w:tcW w:w="94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(14,748)</w:t>
                  </w:r>
                </w:p>
              </w:tc>
              <w:tc>
                <w:tcPr>
                  <w:tcW w:w="3553"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color w:val="000000"/>
                      <w:sz w:val="16"/>
                      <w:szCs w:val="16"/>
                    </w:rPr>
                  </w:pPr>
                </w:p>
              </w:tc>
            </w:tr>
            <w:tr w:rsidR="009312AC" w:rsidRPr="009312AC" w:rsidTr="009312AC">
              <w:trPr>
                <w:trHeight w:val="300"/>
              </w:trPr>
              <w:tc>
                <w:tcPr>
                  <w:tcW w:w="621" w:type="dxa"/>
                  <w:tcBorders>
                    <w:top w:val="nil"/>
                    <w:left w:val="nil"/>
                    <w:bottom w:val="nil"/>
                    <w:right w:val="nil"/>
                  </w:tcBorders>
                  <w:shd w:val="clear" w:color="auto" w:fill="auto"/>
                  <w:noWrap/>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5</w:t>
                  </w:r>
                </w:p>
              </w:tc>
              <w:tc>
                <w:tcPr>
                  <w:tcW w:w="5258"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b/>
                      <w:bCs/>
                      <w:color w:val="000000"/>
                      <w:sz w:val="16"/>
                      <w:szCs w:val="16"/>
                    </w:rPr>
                  </w:pPr>
                  <w:r w:rsidRPr="009312AC">
                    <w:rPr>
                      <w:rFonts w:ascii="Arial" w:hAnsi="Arial" w:cs="Arial"/>
                      <w:b/>
                      <w:bCs/>
                      <w:color w:val="000000"/>
                      <w:sz w:val="16"/>
                      <w:szCs w:val="16"/>
                    </w:rPr>
                    <w:t>Training Expenses - Expenses/materials , conferences, workshops</w:t>
                  </w:r>
                </w:p>
              </w:tc>
              <w:tc>
                <w:tcPr>
                  <w:tcW w:w="784"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129,650</w:t>
                  </w:r>
                </w:p>
              </w:tc>
              <w:tc>
                <w:tcPr>
                  <w:tcW w:w="78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129,650</w:t>
                  </w:r>
                </w:p>
              </w:tc>
              <w:tc>
                <w:tcPr>
                  <w:tcW w:w="746"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60,171</w:t>
                  </w:r>
                </w:p>
              </w:tc>
              <w:tc>
                <w:tcPr>
                  <w:tcW w:w="94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(69,479)</w:t>
                  </w:r>
                </w:p>
              </w:tc>
              <w:tc>
                <w:tcPr>
                  <w:tcW w:w="3553"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color w:val="000000"/>
                      <w:sz w:val="16"/>
                      <w:szCs w:val="16"/>
                    </w:rPr>
                  </w:pPr>
                </w:p>
              </w:tc>
            </w:tr>
            <w:tr w:rsidR="009312AC" w:rsidRPr="009312AC" w:rsidTr="009312AC">
              <w:trPr>
                <w:trHeight w:val="300"/>
              </w:trPr>
              <w:tc>
                <w:tcPr>
                  <w:tcW w:w="621" w:type="dxa"/>
                  <w:tcBorders>
                    <w:top w:val="nil"/>
                    <w:left w:val="nil"/>
                    <w:bottom w:val="nil"/>
                    <w:right w:val="nil"/>
                  </w:tcBorders>
                  <w:shd w:val="clear" w:color="auto" w:fill="auto"/>
                  <w:noWrap/>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6</w:t>
                  </w:r>
                </w:p>
              </w:tc>
              <w:tc>
                <w:tcPr>
                  <w:tcW w:w="5258"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b/>
                      <w:bCs/>
                      <w:color w:val="000000"/>
                      <w:sz w:val="16"/>
                      <w:szCs w:val="16"/>
                    </w:rPr>
                  </w:pPr>
                  <w:r w:rsidRPr="009312AC">
                    <w:rPr>
                      <w:rFonts w:ascii="Arial" w:hAnsi="Arial" w:cs="Arial"/>
                      <w:b/>
                      <w:bCs/>
                      <w:color w:val="000000"/>
                      <w:sz w:val="16"/>
                      <w:szCs w:val="16"/>
                    </w:rPr>
                    <w:t>Public Relations - direct</w:t>
                  </w:r>
                </w:p>
              </w:tc>
              <w:tc>
                <w:tcPr>
                  <w:tcW w:w="784"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0</w:t>
                  </w:r>
                </w:p>
              </w:tc>
              <w:tc>
                <w:tcPr>
                  <w:tcW w:w="78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0</w:t>
                  </w:r>
                </w:p>
              </w:tc>
              <w:tc>
                <w:tcPr>
                  <w:tcW w:w="746"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325</w:t>
                  </w:r>
                </w:p>
              </w:tc>
              <w:tc>
                <w:tcPr>
                  <w:tcW w:w="94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325</w:t>
                  </w:r>
                </w:p>
              </w:tc>
              <w:tc>
                <w:tcPr>
                  <w:tcW w:w="3553"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color w:val="000000"/>
                      <w:sz w:val="16"/>
                      <w:szCs w:val="16"/>
                    </w:rPr>
                  </w:pPr>
                </w:p>
              </w:tc>
            </w:tr>
            <w:tr w:rsidR="009312AC" w:rsidRPr="009312AC" w:rsidTr="009312AC">
              <w:trPr>
                <w:trHeight w:val="300"/>
              </w:trPr>
              <w:tc>
                <w:tcPr>
                  <w:tcW w:w="621" w:type="dxa"/>
                  <w:tcBorders>
                    <w:top w:val="nil"/>
                    <w:left w:val="nil"/>
                    <w:bottom w:val="nil"/>
                    <w:right w:val="nil"/>
                  </w:tcBorders>
                  <w:shd w:val="clear" w:color="auto" w:fill="auto"/>
                  <w:noWrap/>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7</w:t>
                  </w:r>
                </w:p>
              </w:tc>
              <w:tc>
                <w:tcPr>
                  <w:tcW w:w="5258"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b/>
                      <w:bCs/>
                      <w:color w:val="000000"/>
                      <w:sz w:val="16"/>
                      <w:szCs w:val="16"/>
                    </w:rPr>
                  </w:pPr>
                  <w:r w:rsidRPr="009312AC">
                    <w:rPr>
                      <w:rFonts w:ascii="Arial" w:hAnsi="Arial" w:cs="Arial"/>
                      <w:b/>
                      <w:bCs/>
                      <w:color w:val="000000"/>
                      <w:sz w:val="16"/>
                      <w:szCs w:val="16"/>
                    </w:rPr>
                    <w:t>Other Staff costs - Recruitment/adverts/redundancy/PILON</w:t>
                  </w:r>
                </w:p>
              </w:tc>
              <w:tc>
                <w:tcPr>
                  <w:tcW w:w="784"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38,000</w:t>
                  </w:r>
                </w:p>
              </w:tc>
              <w:tc>
                <w:tcPr>
                  <w:tcW w:w="78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38,000</w:t>
                  </w:r>
                </w:p>
              </w:tc>
              <w:tc>
                <w:tcPr>
                  <w:tcW w:w="746"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37,318</w:t>
                  </w:r>
                </w:p>
              </w:tc>
              <w:tc>
                <w:tcPr>
                  <w:tcW w:w="94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(682)</w:t>
                  </w:r>
                </w:p>
              </w:tc>
              <w:tc>
                <w:tcPr>
                  <w:tcW w:w="3553"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color w:val="000000"/>
                      <w:sz w:val="16"/>
                      <w:szCs w:val="16"/>
                    </w:rPr>
                  </w:pPr>
                </w:p>
              </w:tc>
            </w:tr>
            <w:tr w:rsidR="009312AC" w:rsidRPr="009312AC" w:rsidTr="009312AC">
              <w:trPr>
                <w:trHeight w:val="300"/>
              </w:trPr>
              <w:tc>
                <w:tcPr>
                  <w:tcW w:w="621" w:type="dxa"/>
                  <w:tcBorders>
                    <w:top w:val="nil"/>
                    <w:left w:val="nil"/>
                    <w:bottom w:val="nil"/>
                    <w:right w:val="nil"/>
                  </w:tcBorders>
                  <w:shd w:val="clear" w:color="auto" w:fill="auto"/>
                  <w:noWrap/>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8</w:t>
                  </w:r>
                </w:p>
              </w:tc>
              <w:tc>
                <w:tcPr>
                  <w:tcW w:w="5258"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b/>
                      <w:bCs/>
                      <w:color w:val="000000"/>
                      <w:sz w:val="16"/>
                      <w:szCs w:val="16"/>
                    </w:rPr>
                  </w:pPr>
                  <w:r w:rsidRPr="009312AC">
                    <w:rPr>
                      <w:rFonts w:ascii="Arial" w:hAnsi="Arial" w:cs="Arial"/>
                      <w:b/>
                      <w:bCs/>
                      <w:color w:val="000000"/>
                      <w:sz w:val="16"/>
                      <w:szCs w:val="16"/>
                    </w:rPr>
                    <w:t>Travel costs - include excess mileage/interview expenses</w:t>
                  </w:r>
                </w:p>
              </w:tc>
              <w:tc>
                <w:tcPr>
                  <w:tcW w:w="784"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477,593</w:t>
                  </w:r>
                </w:p>
              </w:tc>
              <w:tc>
                <w:tcPr>
                  <w:tcW w:w="78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477,593</w:t>
                  </w:r>
                </w:p>
              </w:tc>
              <w:tc>
                <w:tcPr>
                  <w:tcW w:w="746"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552,838</w:t>
                  </w:r>
                </w:p>
              </w:tc>
              <w:tc>
                <w:tcPr>
                  <w:tcW w:w="94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75,245</w:t>
                  </w:r>
                </w:p>
              </w:tc>
              <w:tc>
                <w:tcPr>
                  <w:tcW w:w="3553"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color w:val="000000"/>
                      <w:sz w:val="16"/>
                      <w:szCs w:val="16"/>
                    </w:rPr>
                  </w:pPr>
                  <w:r w:rsidRPr="009312AC">
                    <w:rPr>
                      <w:rFonts w:ascii="Arial" w:hAnsi="Arial" w:cs="Arial"/>
                      <w:color w:val="000000"/>
                      <w:sz w:val="16"/>
                      <w:szCs w:val="16"/>
                    </w:rPr>
                    <w:t xml:space="preserve">£22894 </w:t>
                  </w:r>
                  <w:r>
                    <w:rPr>
                      <w:rFonts w:ascii="Arial" w:hAnsi="Arial" w:cs="Arial"/>
                      <w:color w:val="000000"/>
                      <w:sz w:val="16"/>
                      <w:szCs w:val="16"/>
                    </w:rPr>
                    <w:t>excess/other</w:t>
                  </w:r>
                </w:p>
              </w:tc>
            </w:tr>
            <w:tr w:rsidR="009312AC" w:rsidRPr="009312AC" w:rsidTr="009312AC">
              <w:trPr>
                <w:trHeight w:val="300"/>
              </w:trPr>
              <w:tc>
                <w:tcPr>
                  <w:tcW w:w="621" w:type="dxa"/>
                  <w:tcBorders>
                    <w:top w:val="nil"/>
                    <w:left w:val="nil"/>
                    <w:bottom w:val="nil"/>
                    <w:right w:val="nil"/>
                  </w:tcBorders>
                  <w:shd w:val="clear" w:color="auto" w:fill="auto"/>
                  <w:noWrap/>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9</w:t>
                  </w:r>
                </w:p>
              </w:tc>
              <w:tc>
                <w:tcPr>
                  <w:tcW w:w="5258"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b/>
                      <w:bCs/>
                      <w:color w:val="000000"/>
                      <w:sz w:val="16"/>
                      <w:szCs w:val="16"/>
                    </w:rPr>
                  </w:pPr>
                  <w:r w:rsidRPr="009312AC">
                    <w:rPr>
                      <w:rFonts w:ascii="Arial" w:hAnsi="Arial" w:cs="Arial"/>
                      <w:b/>
                      <w:bCs/>
                      <w:color w:val="000000"/>
                      <w:sz w:val="16"/>
                      <w:szCs w:val="16"/>
                    </w:rPr>
                    <w:t>Chairs/Members/Participation - activity costs</w:t>
                  </w:r>
                </w:p>
              </w:tc>
              <w:tc>
                <w:tcPr>
                  <w:tcW w:w="784"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335,222</w:t>
                  </w:r>
                </w:p>
              </w:tc>
              <w:tc>
                <w:tcPr>
                  <w:tcW w:w="78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335,222</w:t>
                  </w:r>
                </w:p>
              </w:tc>
              <w:tc>
                <w:tcPr>
                  <w:tcW w:w="746"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309,709</w:t>
                  </w:r>
                </w:p>
              </w:tc>
              <w:tc>
                <w:tcPr>
                  <w:tcW w:w="94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(25,513)</w:t>
                  </w:r>
                </w:p>
              </w:tc>
              <w:tc>
                <w:tcPr>
                  <w:tcW w:w="3553"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color w:val="000000"/>
                      <w:sz w:val="16"/>
                      <w:szCs w:val="16"/>
                    </w:rPr>
                  </w:pPr>
                </w:p>
              </w:tc>
            </w:tr>
            <w:tr w:rsidR="009312AC" w:rsidRPr="009312AC" w:rsidTr="009312AC">
              <w:trPr>
                <w:trHeight w:val="300"/>
              </w:trPr>
              <w:tc>
                <w:tcPr>
                  <w:tcW w:w="621" w:type="dxa"/>
                  <w:tcBorders>
                    <w:top w:val="nil"/>
                    <w:left w:val="nil"/>
                    <w:bottom w:val="nil"/>
                    <w:right w:val="nil"/>
                  </w:tcBorders>
                  <w:shd w:val="clear" w:color="auto" w:fill="auto"/>
                  <w:noWrap/>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10</w:t>
                  </w:r>
                </w:p>
              </w:tc>
              <w:tc>
                <w:tcPr>
                  <w:tcW w:w="5258"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b/>
                      <w:bCs/>
                      <w:color w:val="000000"/>
                      <w:sz w:val="16"/>
                      <w:szCs w:val="16"/>
                    </w:rPr>
                  </w:pPr>
                  <w:r w:rsidRPr="009312AC">
                    <w:rPr>
                      <w:rFonts w:ascii="Arial" w:hAnsi="Arial" w:cs="Arial"/>
                      <w:b/>
                      <w:bCs/>
                      <w:color w:val="000000"/>
                      <w:sz w:val="16"/>
                      <w:szCs w:val="16"/>
                    </w:rPr>
                    <w:t>Publications</w:t>
                  </w:r>
                </w:p>
              </w:tc>
              <w:tc>
                <w:tcPr>
                  <w:tcW w:w="784"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9,250</w:t>
                  </w:r>
                </w:p>
              </w:tc>
              <w:tc>
                <w:tcPr>
                  <w:tcW w:w="78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9,250</w:t>
                  </w:r>
                </w:p>
              </w:tc>
              <w:tc>
                <w:tcPr>
                  <w:tcW w:w="746"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705</w:t>
                  </w:r>
                </w:p>
              </w:tc>
              <w:tc>
                <w:tcPr>
                  <w:tcW w:w="94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(8,545)</w:t>
                  </w:r>
                </w:p>
              </w:tc>
              <w:tc>
                <w:tcPr>
                  <w:tcW w:w="3553"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color w:val="000000"/>
                      <w:sz w:val="16"/>
                      <w:szCs w:val="16"/>
                    </w:rPr>
                  </w:pPr>
                </w:p>
              </w:tc>
            </w:tr>
            <w:tr w:rsidR="009312AC" w:rsidRPr="009312AC" w:rsidTr="009312AC">
              <w:trPr>
                <w:trHeight w:val="300"/>
              </w:trPr>
              <w:tc>
                <w:tcPr>
                  <w:tcW w:w="621" w:type="dxa"/>
                  <w:tcBorders>
                    <w:top w:val="nil"/>
                    <w:left w:val="nil"/>
                    <w:bottom w:val="nil"/>
                    <w:right w:val="nil"/>
                  </w:tcBorders>
                  <w:shd w:val="clear" w:color="auto" w:fill="auto"/>
                  <w:noWrap/>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11</w:t>
                  </w:r>
                </w:p>
              </w:tc>
              <w:tc>
                <w:tcPr>
                  <w:tcW w:w="5258"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b/>
                      <w:bCs/>
                      <w:color w:val="000000"/>
                      <w:sz w:val="16"/>
                      <w:szCs w:val="16"/>
                    </w:rPr>
                  </w:pPr>
                  <w:r w:rsidRPr="009312AC">
                    <w:rPr>
                      <w:rFonts w:ascii="Arial" w:hAnsi="Arial" w:cs="Arial"/>
                      <w:b/>
                      <w:bCs/>
                      <w:color w:val="000000"/>
                      <w:sz w:val="16"/>
                      <w:szCs w:val="16"/>
                    </w:rPr>
                    <w:t>Mobile Phones/Mobile Data</w:t>
                  </w:r>
                </w:p>
              </w:tc>
              <w:tc>
                <w:tcPr>
                  <w:tcW w:w="784"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14,870</w:t>
                  </w:r>
                </w:p>
              </w:tc>
              <w:tc>
                <w:tcPr>
                  <w:tcW w:w="78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14,870</w:t>
                  </w:r>
                </w:p>
              </w:tc>
              <w:tc>
                <w:tcPr>
                  <w:tcW w:w="746"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20,057</w:t>
                  </w:r>
                </w:p>
              </w:tc>
              <w:tc>
                <w:tcPr>
                  <w:tcW w:w="94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5,187</w:t>
                  </w:r>
                </w:p>
              </w:tc>
              <w:tc>
                <w:tcPr>
                  <w:tcW w:w="3553"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color w:val="000000"/>
                      <w:sz w:val="16"/>
                      <w:szCs w:val="16"/>
                    </w:rPr>
                  </w:pPr>
                </w:p>
              </w:tc>
            </w:tr>
            <w:tr w:rsidR="009312AC" w:rsidRPr="009312AC" w:rsidTr="009312AC">
              <w:trPr>
                <w:trHeight w:val="300"/>
              </w:trPr>
              <w:tc>
                <w:tcPr>
                  <w:tcW w:w="621" w:type="dxa"/>
                  <w:tcBorders>
                    <w:top w:val="nil"/>
                    <w:left w:val="nil"/>
                    <w:bottom w:val="nil"/>
                    <w:right w:val="nil"/>
                  </w:tcBorders>
                  <w:shd w:val="clear" w:color="auto" w:fill="auto"/>
                  <w:noWrap/>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12</w:t>
                  </w:r>
                </w:p>
              </w:tc>
              <w:tc>
                <w:tcPr>
                  <w:tcW w:w="5258"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b/>
                      <w:bCs/>
                      <w:color w:val="000000"/>
                      <w:sz w:val="16"/>
                      <w:szCs w:val="16"/>
                    </w:rPr>
                  </w:pPr>
                  <w:r w:rsidRPr="009312AC">
                    <w:rPr>
                      <w:rFonts w:ascii="Arial" w:hAnsi="Arial" w:cs="Arial"/>
                      <w:b/>
                      <w:bCs/>
                      <w:color w:val="000000"/>
                      <w:sz w:val="16"/>
                      <w:szCs w:val="16"/>
                    </w:rPr>
                    <w:t xml:space="preserve">Statutory Costs - Health &amp; Safety/Audit Fees/Depreciation &amp; </w:t>
                  </w:r>
                  <w:proofErr w:type="spellStart"/>
                  <w:r w:rsidRPr="009312AC">
                    <w:rPr>
                      <w:rFonts w:ascii="Arial" w:hAnsi="Arial" w:cs="Arial"/>
                      <w:b/>
                      <w:bCs/>
                      <w:color w:val="000000"/>
                      <w:sz w:val="16"/>
                      <w:szCs w:val="16"/>
                    </w:rPr>
                    <w:t>Amort</w:t>
                  </w:r>
                  <w:proofErr w:type="spellEnd"/>
                </w:p>
              </w:tc>
              <w:tc>
                <w:tcPr>
                  <w:tcW w:w="784"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265,429</w:t>
                  </w:r>
                </w:p>
              </w:tc>
              <w:tc>
                <w:tcPr>
                  <w:tcW w:w="78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265,429</w:t>
                  </w:r>
                </w:p>
              </w:tc>
              <w:tc>
                <w:tcPr>
                  <w:tcW w:w="746"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231,288</w:t>
                  </w:r>
                </w:p>
              </w:tc>
              <w:tc>
                <w:tcPr>
                  <w:tcW w:w="94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(34,141)</w:t>
                  </w:r>
                </w:p>
              </w:tc>
              <w:tc>
                <w:tcPr>
                  <w:tcW w:w="3553"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color w:val="000000"/>
                      <w:sz w:val="16"/>
                      <w:szCs w:val="16"/>
                    </w:rPr>
                  </w:pPr>
                </w:p>
              </w:tc>
            </w:tr>
            <w:tr w:rsidR="009312AC" w:rsidRPr="009312AC" w:rsidTr="009312AC">
              <w:trPr>
                <w:trHeight w:val="300"/>
              </w:trPr>
              <w:tc>
                <w:tcPr>
                  <w:tcW w:w="621" w:type="dxa"/>
                  <w:tcBorders>
                    <w:top w:val="nil"/>
                    <w:left w:val="nil"/>
                    <w:bottom w:val="nil"/>
                    <w:right w:val="nil"/>
                  </w:tcBorders>
                  <w:shd w:val="clear" w:color="auto" w:fill="auto"/>
                  <w:noWrap/>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13</w:t>
                  </w:r>
                </w:p>
              </w:tc>
              <w:tc>
                <w:tcPr>
                  <w:tcW w:w="5258"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b/>
                      <w:bCs/>
                      <w:color w:val="000000"/>
                      <w:sz w:val="16"/>
                      <w:szCs w:val="16"/>
                    </w:rPr>
                  </w:pPr>
                  <w:r w:rsidRPr="009312AC">
                    <w:rPr>
                      <w:rFonts w:ascii="Arial" w:hAnsi="Arial" w:cs="Arial"/>
                      <w:b/>
                      <w:bCs/>
                      <w:color w:val="000000"/>
                      <w:sz w:val="16"/>
                      <w:szCs w:val="16"/>
                    </w:rPr>
                    <w:t>Computer Costs - Software/licences/system maintenance/purchases</w:t>
                  </w:r>
                </w:p>
              </w:tc>
              <w:tc>
                <w:tcPr>
                  <w:tcW w:w="784"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250,246</w:t>
                  </w:r>
                </w:p>
              </w:tc>
              <w:tc>
                <w:tcPr>
                  <w:tcW w:w="78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250,246</w:t>
                  </w:r>
                </w:p>
              </w:tc>
              <w:tc>
                <w:tcPr>
                  <w:tcW w:w="746"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201,310</w:t>
                  </w:r>
                </w:p>
              </w:tc>
              <w:tc>
                <w:tcPr>
                  <w:tcW w:w="94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(48,936)</w:t>
                  </w:r>
                </w:p>
              </w:tc>
              <w:tc>
                <w:tcPr>
                  <w:tcW w:w="3553"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color w:val="000000"/>
                      <w:sz w:val="16"/>
                      <w:szCs w:val="16"/>
                    </w:rPr>
                  </w:pPr>
                </w:p>
              </w:tc>
            </w:tr>
            <w:tr w:rsidR="009312AC" w:rsidRPr="009312AC" w:rsidTr="009312AC">
              <w:trPr>
                <w:trHeight w:val="300"/>
              </w:trPr>
              <w:tc>
                <w:tcPr>
                  <w:tcW w:w="621" w:type="dxa"/>
                  <w:tcBorders>
                    <w:top w:val="nil"/>
                    <w:left w:val="nil"/>
                    <w:bottom w:val="nil"/>
                    <w:right w:val="nil"/>
                  </w:tcBorders>
                  <w:shd w:val="clear" w:color="auto" w:fill="auto"/>
                  <w:noWrap/>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14</w:t>
                  </w:r>
                </w:p>
              </w:tc>
              <w:tc>
                <w:tcPr>
                  <w:tcW w:w="5258"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b/>
                      <w:bCs/>
                      <w:color w:val="000000"/>
                      <w:sz w:val="16"/>
                      <w:szCs w:val="16"/>
                    </w:rPr>
                  </w:pPr>
                  <w:r w:rsidRPr="009312AC">
                    <w:rPr>
                      <w:rFonts w:ascii="Arial" w:hAnsi="Arial" w:cs="Arial"/>
                      <w:b/>
                      <w:bCs/>
                      <w:color w:val="000000"/>
                      <w:sz w:val="16"/>
                      <w:szCs w:val="16"/>
                    </w:rPr>
                    <w:t>Other External Contracts - SLA's - Premises, SBS,BSA, DH IT</w:t>
                  </w:r>
                </w:p>
              </w:tc>
              <w:tc>
                <w:tcPr>
                  <w:tcW w:w="784"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734,388</w:t>
                  </w:r>
                </w:p>
              </w:tc>
              <w:tc>
                <w:tcPr>
                  <w:tcW w:w="78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734,388</w:t>
                  </w:r>
                </w:p>
              </w:tc>
              <w:tc>
                <w:tcPr>
                  <w:tcW w:w="746"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707,124</w:t>
                  </w:r>
                </w:p>
              </w:tc>
              <w:tc>
                <w:tcPr>
                  <w:tcW w:w="94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(27,264)</w:t>
                  </w:r>
                </w:p>
              </w:tc>
              <w:tc>
                <w:tcPr>
                  <w:tcW w:w="3553"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color w:val="000000"/>
                      <w:sz w:val="16"/>
                      <w:szCs w:val="16"/>
                    </w:rPr>
                  </w:pPr>
                </w:p>
              </w:tc>
            </w:tr>
            <w:tr w:rsidR="009312AC" w:rsidRPr="009312AC" w:rsidTr="009312AC">
              <w:trPr>
                <w:trHeight w:val="300"/>
              </w:trPr>
              <w:tc>
                <w:tcPr>
                  <w:tcW w:w="621" w:type="dxa"/>
                  <w:tcBorders>
                    <w:top w:val="nil"/>
                    <w:left w:val="nil"/>
                    <w:bottom w:val="nil"/>
                    <w:right w:val="nil"/>
                  </w:tcBorders>
                  <w:shd w:val="clear" w:color="auto" w:fill="auto"/>
                  <w:noWrap/>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15</w:t>
                  </w:r>
                </w:p>
              </w:tc>
              <w:tc>
                <w:tcPr>
                  <w:tcW w:w="5258"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b/>
                      <w:bCs/>
                      <w:color w:val="000000"/>
                      <w:sz w:val="16"/>
                      <w:szCs w:val="16"/>
                    </w:rPr>
                  </w:pPr>
                  <w:r w:rsidRPr="009312AC">
                    <w:rPr>
                      <w:rFonts w:ascii="Arial" w:hAnsi="Arial" w:cs="Arial"/>
                      <w:b/>
                      <w:bCs/>
                      <w:color w:val="000000"/>
                      <w:sz w:val="16"/>
                      <w:szCs w:val="16"/>
                    </w:rPr>
                    <w:t xml:space="preserve">Other - </w:t>
                  </w:r>
                  <w:proofErr w:type="spellStart"/>
                  <w:r w:rsidRPr="009312AC">
                    <w:rPr>
                      <w:rFonts w:ascii="Arial" w:hAnsi="Arial" w:cs="Arial"/>
                      <w:b/>
                      <w:bCs/>
                      <w:color w:val="000000"/>
                      <w:sz w:val="16"/>
                      <w:szCs w:val="16"/>
                    </w:rPr>
                    <w:t>Misc</w:t>
                  </w:r>
                  <w:proofErr w:type="spellEnd"/>
                  <w:r w:rsidRPr="009312AC">
                    <w:rPr>
                      <w:rFonts w:ascii="Arial" w:hAnsi="Arial" w:cs="Arial"/>
                      <w:b/>
                      <w:bCs/>
                      <w:color w:val="000000"/>
                      <w:sz w:val="16"/>
                      <w:szCs w:val="16"/>
                    </w:rPr>
                    <w:t>/Reserves</w:t>
                  </w:r>
                </w:p>
              </w:tc>
              <w:tc>
                <w:tcPr>
                  <w:tcW w:w="784"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389,090</w:t>
                  </w:r>
                </w:p>
              </w:tc>
              <w:tc>
                <w:tcPr>
                  <w:tcW w:w="78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389,090</w:t>
                  </w:r>
                </w:p>
              </w:tc>
              <w:tc>
                <w:tcPr>
                  <w:tcW w:w="746"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(59,634)</w:t>
                  </w:r>
                </w:p>
              </w:tc>
              <w:tc>
                <w:tcPr>
                  <w:tcW w:w="949" w:type="dxa"/>
                  <w:tcBorders>
                    <w:top w:val="nil"/>
                    <w:left w:val="nil"/>
                    <w:bottom w:val="nil"/>
                    <w:right w:val="nil"/>
                  </w:tcBorders>
                  <w:shd w:val="clear" w:color="auto" w:fill="auto"/>
                  <w:vAlign w:val="bottom"/>
                  <w:hideMark/>
                </w:tcPr>
                <w:p w:rsidR="009312AC" w:rsidRPr="009312AC" w:rsidRDefault="009312AC" w:rsidP="009312AC">
                  <w:pPr>
                    <w:jc w:val="right"/>
                    <w:outlineLvl w:val="0"/>
                    <w:rPr>
                      <w:rFonts w:ascii="Arial" w:hAnsi="Arial" w:cs="Arial"/>
                      <w:b/>
                      <w:bCs/>
                      <w:color w:val="000000"/>
                      <w:sz w:val="16"/>
                      <w:szCs w:val="16"/>
                    </w:rPr>
                  </w:pPr>
                  <w:r w:rsidRPr="009312AC">
                    <w:rPr>
                      <w:rFonts w:ascii="Arial" w:hAnsi="Arial" w:cs="Arial"/>
                      <w:b/>
                      <w:bCs/>
                      <w:color w:val="000000"/>
                      <w:sz w:val="16"/>
                      <w:szCs w:val="16"/>
                    </w:rPr>
                    <w:t>(448,724)</w:t>
                  </w:r>
                </w:p>
              </w:tc>
              <w:tc>
                <w:tcPr>
                  <w:tcW w:w="3553" w:type="dxa"/>
                  <w:tcBorders>
                    <w:top w:val="nil"/>
                    <w:left w:val="nil"/>
                    <w:bottom w:val="nil"/>
                    <w:right w:val="nil"/>
                  </w:tcBorders>
                  <w:shd w:val="clear" w:color="auto" w:fill="auto"/>
                  <w:noWrap/>
                  <w:vAlign w:val="bottom"/>
                  <w:hideMark/>
                </w:tcPr>
                <w:p w:rsidR="009312AC" w:rsidRPr="009312AC" w:rsidRDefault="009312AC" w:rsidP="009312AC">
                  <w:pPr>
                    <w:outlineLvl w:val="0"/>
                    <w:rPr>
                      <w:rFonts w:ascii="Arial" w:hAnsi="Arial" w:cs="Arial"/>
                      <w:color w:val="000000"/>
                      <w:sz w:val="16"/>
                      <w:szCs w:val="16"/>
                    </w:rPr>
                  </w:pPr>
                </w:p>
              </w:tc>
            </w:tr>
            <w:tr w:rsidR="009312AC" w:rsidRPr="009312AC" w:rsidTr="009312AC">
              <w:trPr>
                <w:trHeight w:val="300"/>
              </w:trPr>
              <w:tc>
                <w:tcPr>
                  <w:tcW w:w="621" w:type="dxa"/>
                  <w:tcBorders>
                    <w:top w:val="nil"/>
                    <w:left w:val="nil"/>
                    <w:bottom w:val="nil"/>
                    <w:right w:val="nil"/>
                  </w:tcBorders>
                  <w:shd w:val="clear" w:color="auto" w:fill="auto"/>
                  <w:vAlign w:val="bottom"/>
                  <w:hideMark/>
                </w:tcPr>
                <w:p w:rsidR="009312AC" w:rsidRPr="009312AC" w:rsidRDefault="009312AC" w:rsidP="009312AC">
                  <w:pPr>
                    <w:rPr>
                      <w:rFonts w:ascii="Arial" w:hAnsi="Arial" w:cs="Arial"/>
                      <w:b/>
                      <w:bCs/>
                      <w:color w:val="000000"/>
                      <w:sz w:val="16"/>
                      <w:szCs w:val="16"/>
                    </w:rPr>
                  </w:pPr>
                </w:p>
              </w:tc>
              <w:tc>
                <w:tcPr>
                  <w:tcW w:w="5258" w:type="dxa"/>
                  <w:tcBorders>
                    <w:top w:val="nil"/>
                    <w:left w:val="nil"/>
                    <w:bottom w:val="nil"/>
                    <w:right w:val="nil"/>
                  </w:tcBorders>
                  <w:shd w:val="clear" w:color="auto" w:fill="auto"/>
                  <w:vAlign w:val="bottom"/>
                  <w:hideMark/>
                </w:tcPr>
                <w:p w:rsidR="009312AC" w:rsidRPr="009312AC" w:rsidRDefault="009312AC" w:rsidP="009312AC">
                  <w:pPr>
                    <w:rPr>
                      <w:rFonts w:ascii="Arial" w:hAnsi="Arial" w:cs="Arial"/>
                      <w:b/>
                      <w:bCs/>
                      <w:color w:val="000000"/>
                      <w:sz w:val="16"/>
                      <w:szCs w:val="16"/>
                    </w:rPr>
                  </w:pPr>
                </w:p>
              </w:tc>
              <w:tc>
                <w:tcPr>
                  <w:tcW w:w="784" w:type="dxa"/>
                  <w:tcBorders>
                    <w:top w:val="nil"/>
                    <w:left w:val="nil"/>
                    <w:bottom w:val="nil"/>
                    <w:right w:val="nil"/>
                  </w:tcBorders>
                  <w:shd w:val="clear" w:color="auto" w:fill="auto"/>
                  <w:vAlign w:val="bottom"/>
                  <w:hideMark/>
                </w:tcPr>
                <w:p w:rsidR="009312AC" w:rsidRPr="009312AC" w:rsidRDefault="009312AC" w:rsidP="009312AC">
                  <w:pPr>
                    <w:jc w:val="right"/>
                    <w:rPr>
                      <w:rFonts w:ascii="Arial" w:hAnsi="Arial" w:cs="Arial"/>
                      <w:b/>
                      <w:bCs/>
                      <w:color w:val="000000"/>
                      <w:sz w:val="16"/>
                      <w:szCs w:val="16"/>
                    </w:rPr>
                  </w:pPr>
                  <w:r w:rsidRPr="009312AC">
                    <w:rPr>
                      <w:rFonts w:ascii="Arial" w:hAnsi="Arial" w:cs="Arial"/>
                      <w:b/>
                      <w:bCs/>
                      <w:color w:val="000000"/>
                      <w:sz w:val="16"/>
                      <w:szCs w:val="16"/>
                    </w:rPr>
                    <w:t>3,942,685</w:t>
                  </w:r>
                </w:p>
              </w:tc>
              <w:tc>
                <w:tcPr>
                  <w:tcW w:w="789" w:type="dxa"/>
                  <w:tcBorders>
                    <w:top w:val="nil"/>
                    <w:left w:val="nil"/>
                    <w:bottom w:val="nil"/>
                    <w:right w:val="nil"/>
                  </w:tcBorders>
                  <w:shd w:val="clear" w:color="auto" w:fill="auto"/>
                  <w:vAlign w:val="bottom"/>
                  <w:hideMark/>
                </w:tcPr>
                <w:p w:rsidR="009312AC" w:rsidRPr="009312AC" w:rsidRDefault="009312AC" w:rsidP="009312AC">
                  <w:pPr>
                    <w:jc w:val="right"/>
                    <w:rPr>
                      <w:rFonts w:ascii="Arial" w:hAnsi="Arial" w:cs="Arial"/>
                      <w:b/>
                      <w:bCs/>
                      <w:color w:val="000000"/>
                      <w:sz w:val="16"/>
                      <w:szCs w:val="16"/>
                    </w:rPr>
                  </w:pPr>
                  <w:r w:rsidRPr="009312AC">
                    <w:rPr>
                      <w:rFonts w:ascii="Arial" w:hAnsi="Arial" w:cs="Arial"/>
                      <w:b/>
                      <w:bCs/>
                      <w:color w:val="000000"/>
                      <w:sz w:val="16"/>
                      <w:szCs w:val="16"/>
                    </w:rPr>
                    <w:t>3,942,685</w:t>
                  </w:r>
                </w:p>
              </w:tc>
              <w:tc>
                <w:tcPr>
                  <w:tcW w:w="746" w:type="dxa"/>
                  <w:tcBorders>
                    <w:top w:val="nil"/>
                    <w:left w:val="nil"/>
                    <w:bottom w:val="nil"/>
                    <w:right w:val="nil"/>
                  </w:tcBorders>
                  <w:shd w:val="clear" w:color="auto" w:fill="auto"/>
                  <w:vAlign w:val="bottom"/>
                  <w:hideMark/>
                </w:tcPr>
                <w:p w:rsidR="009312AC" w:rsidRPr="009312AC" w:rsidRDefault="009312AC" w:rsidP="009312AC">
                  <w:pPr>
                    <w:jc w:val="right"/>
                    <w:rPr>
                      <w:rFonts w:ascii="Arial" w:hAnsi="Arial" w:cs="Arial"/>
                      <w:b/>
                      <w:bCs/>
                      <w:color w:val="000000"/>
                      <w:sz w:val="16"/>
                      <w:szCs w:val="16"/>
                    </w:rPr>
                  </w:pPr>
                  <w:r w:rsidRPr="009312AC">
                    <w:rPr>
                      <w:rFonts w:ascii="Arial" w:hAnsi="Arial" w:cs="Arial"/>
                      <w:b/>
                      <w:bCs/>
                      <w:color w:val="000000"/>
                      <w:sz w:val="16"/>
                      <w:szCs w:val="16"/>
                    </w:rPr>
                    <w:t>3,234,512</w:t>
                  </w:r>
                </w:p>
              </w:tc>
              <w:tc>
                <w:tcPr>
                  <w:tcW w:w="949" w:type="dxa"/>
                  <w:tcBorders>
                    <w:top w:val="nil"/>
                    <w:left w:val="nil"/>
                    <w:bottom w:val="nil"/>
                    <w:right w:val="nil"/>
                  </w:tcBorders>
                  <w:shd w:val="clear" w:color="auto" w:fill="auto"/>
                  <w:vAlign w:val="bottom"/>
                  <w:hideMark/>
                </w:tcPr>
                <w:p w:rsidR="009312AC" w:rsidRPr="009312AC" w:rsidRDefault="009312AC" w:rsidP="009312AC">
                  <w:pPr>
                    <w:jc w:val="right"/>
                    <w:rPr>
                      <w:rFonts w:ascii="Arial" w:hAnsi="Arial" w:cs="Arial"/>
                      <w:b/>
                      <w:bCs/>
                      <w:color w:val="000000"/>
                      <w:sz w:val="16"/>
                      <w:szCs w:val="16"/>
                    </w:rPr>
                  </w:pPr>
                  <w:r w:rsidRPr="009312AC">
                    <w:rPr>
                      <w:rFonts w:ascii="Arial" w:hAnsi="Arial" w:cs="Arial"/>
                      <w:b/>
                      <w:bCs/>
                      <w:color w:val="000000"/>
                      <w:sz w:val="16"/>
                      <w:szCs w:val="16"/>
                    </w:rPr>
                    <w:t>(708,173)</w:t>
                  </w:r>
                </w:p>
              </w:tc>
              <w:tc>
                <w:tcPr>
                  <w:tcW w:w="3553" w:type="dxa"/>
                  <w:tcBorders>
                    <w:top w:val="nil"/>
                    <w:left w:val="nil"/>
                    <w:bottom w:val="nil"/>
                    <w:right w:val="nil"/>
                  </w:tcBorders>
                  <w:shd w:val="clear" w:color="auto" w:fill="auto"/>
                  <w:noWrap/>
                  <w:vAlign w:val="bottom"/>
                  <w:hideMark/>
                </w:tcPr>
                <w:p w:rsidR="009312AC" w:rsidRPr="009312AC" w:rsidRDefault="009312AC" w:rsidP="009312AC">
                  <w:pPr>
                    <w:rPr>
                      <w:rFonts w:ascii="Arial" w:hAnsi="Arial" w:cs="Arial"/>
                      <w:b/>
                      <w:bCs/>
                      <w:color w:val="000000"/>
                      <w:sz w:val="16"/>
                      <w:szCs w:val="16"/>
                    </w:rPr>
                  </w:pPr>
                  <w:r w:rsidRPr="009312AC">
                    <w:rPr>
                      <w:rFonts w:ascii="Arial" w:hAnsi="Arial" w:cs="Arial"/>
                      <w:b/>
                      <w:bCs/>
                      <w:color w:val="000000"/>
                      <w:sz w:val="16"/>
                      <w:szCs w:val="16"/>
                    </w:rPr>
                    <w:t>Grand Total</w:t>
                  </w:r>
                </w:p>
              </w:tc>
            </w:tr>
          </w:tbl>
          <w:p w:rsidR="00406C23" w:rsidRPr="00406C23" w:rsidRDefault="00406C23" w:rsidP="00406C23">
            <w:pPr>
              <w:tabs>
                <w:tab w:val="left" w:pos="2172"/>
              </w:tabs>
              <w:spacing w:after="200" w:line="276" w:lineRule="auto"/>
              <w:rPr>
                <w:rFonts w:ascii="Arial" w:hAnsi="Arial" w:cs="Arial"/>
                <w:sz w:val="22"/>
                <w:szCs w:val="22"/>
              </w:rPr>
            </w:pPr>
          </w:p>
          <w:p w:rsidR="00D95040" w:rsidRDefault="00D95040" w:rsidP="00D95040">
            <w:pPr>
              <w:pStyle w:val="ListParagraph"/>
              <w:tabs>
                <w:tab w:val="left" w:pos="2172"/>
              </w:tabs>
              <w:spacing w:after="200" w:line="276" w:lineRule="auto"/>
              <w:rPr>
                <w:rFonts w:ascii="Arial" w:hAnsi="Arial" w:cs="Arial"/>
                <w:sz w:val="22"/>
                <w:szCs w:val="22"/>
              </w:rPr>
            </w:pPr>
          </w:p>
          <w:p w:rsidR="00D95040" w:rsidRDefault="00D95040" w:rsidP="00D95040">
            <w:pPr>
              <w:pStyle w:val="ListParagraph"/>
              <w:tabs>
                <w:tab w:val="left" w:pos="2172"/>
              </w:tabs>
              <w:spacing w:after="200" w:line="276" w:lineRule="auto"/>
              <w:rPr>
                <w:rFonts w:ascii="Arial" w:hAnsi="Arial" w:cs="Arial"/>
                <w:sz w:val="22"/>
                <w:szCs w:val="22"/>
              </w:rPr>
            </w:pPr>
          </w:p>
          <w:p w:rsidR="00D95040" w:rsidRDefault="00D95040" w:rsidP="00D95040">
            <w:pPr>
              <w:pStyle w:val="ListParagraph"/>
              <w:tabs>
                <w:tab w:val="left" w:pos="2172"/>
              </w:tabs>
              <w:spacing w:after="200" w:line="276" w:lineRule="auto"/>
              <w:rPr>
                <w:rFonts w:ascii="Arial" w:hAnsi="Arial" w:cs="Arial"/>
                <w:sz w:val="22"/>
                <w:szCs w:val="22"/>
              </w:rPr>
            </w:pPr>
          </w:p>
          <w:p w:rsidR="00445C3C" w:rsidRPr="00540FAA" w:rsidRDefault="00445C3C" w:rsidP="00D95040">
            <w:pPr>
              <w:pStyle w:val="ListParagraph"/>
              <w:tabs>
                <w:tab w:val="left" w:pos="2172"/>
              </w:tabs>
              <w:spacing w:after="200" w:line="276" w:lineRule="auto"/>
              <w:rPr>
                <w:rFonts w:ascii="Arial" w:hAnsi="Arial" w:cs="Arial"/>
                <w:sz w:val="22"/>
                <w:szCs w:val="22"/>
              </w:rPr>
            </w:pPr>
            <w:r>
              <w:rPr>
                <w:rFonts w:ascii="Arial" w:hAnsi="Arial" w:cs="Arial"/>
                <w:sz w:val="22"/>
                <w:szCs w:val="22"/>
              </w:rPr>
              <w:t xml:space="preserve"> </w:t>
            </w:r>
          </w:p>
        </w:tc>
      </w:tr>
    </w:tbl>
    <w:p w:rsidR="00445C3C" w:rsidRDefault="00445C3C">
      <w:pPr>
        <w:spacing w:after="200" w:line="276" w:lineRule="auto"/>
        <w:rPr>
          <w:rFonts w:ascii="Arial" w:eastAsia="Calibri" w:hAnsi="Arial"/>
          <w:b/>
          <w:bCs/>
          <w:color w:val="1F497D"/>
          <w:szCs w:val="26"/>
          <w:lang w:eastAsia="en-US"/>
        </w:rPr>
      </w:pPr>
      <w:r>
        <w:rPr>
          <w:rFonts w:ascii="Arial" w:eastAsia="Calibri" w:hAnsi="Arial"/>
          <w:b/>
          <w:bCs/>
          <w:color w:val="1F497D"/>
          <w:szCs w:val="26"/>
          <w:lang w:eastAsia="en-US"/>
        </w:rPr>
        <w:br w:type="page"/>
      </w:r>
    </w:p>
    <w:p w:rsidR="005373EA" w:rsidRPr="00A422D8" w:rsidRDefault="005373EA" w:rsidP="007C7418">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lastRenderedPageBreak/>
        <w:t>HRA Better Payment Practice C</w:t>
      </w:r>
      <w:r w:rsidR="00606CBA" w:rsidRPr="00A422D8">
        <w:rPr>
          <w:rFonts w:ascii="Arial" w:eastAsia="Calibri" w:hAnsi="Arial"/>
          <w:b/>
          <w:bCs/>
          <w:color w:val="56008C"/>
          <w:szCs w:val="26"/>
          <w:lang w:eastAsia="en-US"/>
        </w:rPr>
        <w:t>ode</w:t>
      </w:r>
      <w:r w:rsidR="00714E4B" w:rsidRPr="00A422D8">
        <w:rPr>
          <w:rFonts w:ascii="Arial" w:eastAsia="Calibri" w:hAnsi="Arial"/>
          <w:b/>
          <w:bCs/>
          <w:color w:val="56008C"/>
          <w:szCs w:val="26"/>
          <w:lang w:eastAsia="en-US"/>
        </w:rPr>
        <w:t xml:space="preserve"> f</w:t>
      </w:r>
      <w:r w:rsidR="00D65E0A" w:rsidRPr="00A422D8">
        <w:rPr>
          <w:rFonts w:ascii="Arial" w:eastAsia="Calibri" w:hAnsi="Arial"/>
          <w:b/>
          <w:bCs/>
          <w:color w:val="56008C"/>
          <w:szCs w:val="26"/>
          <w:lang w:eastAsia="en-US"/>
        </w:rPr>
        <w:t xml:space="preserve">or </w:t>
      </w:r>
      <w:r w:rsidR="00F90C53">
        <w:rPr>
          <w:rFonts w:ascii="Arial" w:eastAsia="Calibri" w:hAnsi="Arial"/>
          <w:b/>
          <w:bCs/>
          <w:color w:val="56008C"/>
          <w:szCs w:val="26"/>
          <w:lang w:eastAsia="en-US"/>
        </w:rPr>
        <w:t xml:space="preserve">the period 1 April </w:t>
      </w:r>
      <w:r w:rsidR="00163A5A">
        <w:rPr>
          <w:rFonts w:ascii="Arial" w:eastAsia="Calibri" w:hAnsi="Arial"/>
          <w:b/>
          <w:bCs/>
          <w:color w:val="56008C"/>
          <w:szCs w:val="26"/>
          <w:lang w:eastAsia="en-US"/>
        </w:rPr>
        <w:t xml:space="preserve">to 31 March </w:t>
      </w:r>
      <w:r w:rsidR="005C269A">
        <w:rPr>
          <w:rFonts w:ascii="Arial" w:eastAsia="Calibri" w:hAnsi="Arial"/>
          <w:b/>
          <w:bCs/>
          <w:color w:val="56008C"/>
          <w:szCs w:val="26"/>
          <w:lang w:eastAsia="en-US"/>
        </w:rPr>
        <w:t>2014</w:t>
      </w:r>
    </w:p>
    <w:tbl>
      <w:tblPr>
        <w:tblW w:w="5637" w:type="dxa"/>
        <w:tblInd w:w="3705" w:type="dxa"/>
        <w:tblLook w:val="04A0" w:firstRow="1" w:lastRow="0" w:firstColumn="1" w:lastColumn="0" w:noHBand="0" w:noVBand="1"/>
      </w:tblPr>
      <w:tblGrid>
        <w:gridCol w:w="1629"/>
        <w:gridCol w:w="965"/>
        <w:gridCol w:w="965"/>
        <w:gridCol w:w="1113"/>
        <w:gridCol w:w="965"/>
      </w:tblGrid>
      <w:tr w:rsidR="00910362" w:rsidRPr="005373EA" w:rsidTr="00A422D8">
        <w:trPr>
          <w:trHeight w:val="298"/>
        </w:trPr>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362" w:rsidRPr="005373EA" w:rsidRDefault="00910362" w:rsidP="004C7812">
            <w:pPr>
              <w:rPr>
                <w:rFonts w:ascii="Calibri" w:hAnsi="Calibri" w:cs="Calibri"/>
                <w:color w:val="000000"/>
              </w:rPr>
            </w:pPr>
            <w:r>
              <w:rPr>
                <w:rFonts w:ascii="Calibri" w:hAnsi="Calibri" w:cs="Calibri"/>
                <w:color w:val="000000"/>
                <w:sz w:val="22"/>
                <w:szCs w:val="22"/>
              </w:rPr>
              <w:tab/>
            </w:r>
          </w:p>
        </w:tc>
        <w:tc>
          <w:tcPr>
            <w:tcW w:w="965" w:type="dxa"/>
            <w:tcBorders>
              <w:top w:val="single" w:sz="4" w:space="0" w:color="auto"/>
              <w:left w:val="nil"/>
              <w:bottom w:val="single" w:sz="4" w:space="0" w:color="auto"/>
              <w:right w:val="single" w:sz="4" w:space="0" w:color="auto"/>
            </w:tcBorders>
            <w:shd w:val="clear" w:color="auto" w:fill="56008C"/>
            <w:noWrap/>
            <w:vAlign w:val="bottom"/>
            <w:hideMark/>
          </w:tcPr>
          <w:p w:rsidR="00910362" w:rsidRPr="00A422D8" w:rsidRDefault="00910362" w:rsidP="004C7812">
            <w:pPr>
              <w:rPr>
                <w:rFonts w:ascii="Calibri" w:hAnsi="Calibri" w:cs="Calibri"/>
                <w:b/>
                <w:color w:val="FFFFFF" w:themeColor="background1"/>
              </w:rPr>
            </w:pPr>
            <w:r w:rsidRPr="00A422D8">
              <w:rPr>
                <w:rFonts w:ascii="Calibri" w:hAnsi="Calibri" w:cs="Calibri"/>
                <w:b/>
                <w:color w:val="FFFFFF" w:themeColor="background1"/>
                <w:sz w:val="22"/>
                <w:szCs w:val="22"/>
              </w:rPr>
              <w:t>Number</w:t>
            </w:r>
          </w:p>
        </w:tc>
        <w:tc>
          <w:tcPr>
            <w:tcW w:w="965" w:type="dxa"/>
            <w:tcBorders>
              <w:top w:val="single" w:sz="4" w:space="0" w:color="auto"/>
              <w:left w:val="nil"/>
              <w:bottom w:val="single" w:sz="4" w:space="0" w:color="auto"/>
              <w:right w:val="single" w:sz="4" w:space="0" w:color="auto"/>
            </w:tcBorders>
            <w:shd w:val="clear" w:color="auto" w:fill="56008C"/>
            <w:noWrap/>
            <w:vAlign w:val="bottom"/>
            <w:hideMark/>
          </w:tcPr>
          <w:p w:rsidR="00910362" w:rsidRPr="00A422D8" w:rsidRDefault="00910362" w:rsidP="004C7812">
            <w:pPr>
              <w:jc w:val="center"/>
              <w:rPr>
                <w:rFonts w:ascii="Calibri" w:hAnsi="Calibri" w:cs="Calibri"/>
                <w:b/>
                <w:color w:val="FFFFFF" w:themeColor="background1"/>
              </w:rPr>
            </w:pPr>
            <w:r w:rsidRPr="00A422D8">
              <w:rPr>
                <w:rFonts w:ascii="Calibri" w:hAnsi="Calibri" w:cs="Calibri"/>
                <w:b/>
                <w:color w:val="FFFFFF" w:themeColor="background1"/>
                <w:sz w:val="22"/>
                <w:szCs w:val="22"/>
              </w:rPr>
              <w:t>%</w:t>
            </w:r>
          </w:p>
        </w:tc>
        <w:tc>
          <w:tcPr>
            <w:tcW w:w="1113" w:type="dxa"/>
            <w:tcBorders>
              <w:top w:val="single" w:sz="4" w:space="0" w:color="auto"/>
              <w:left w:val="nil"/>
              <w:bottom w:val="single" w:sz="4" w:space="0" w:color="auto"/>
              <w:right w:val="single" w:sz="4" w:space="0" w:color="auto"/>
            </w:tcBorders>
            <w:shd w:val="clear" w:color="auto" w:fill="E28C05"/>
            <w:noWrap/>
            <w:vAlign w:val="bottom"/>
            <w:hideMark/>
          </w:tcPr>
          <w:p w:rsidR="00910362" w:rsidRPr="00A422D8" w:rsidRDefault="00910362" w:rsidP="004C7812">
            <w:pPr>
              <w:rPr>
                <w:rFonts w:ascii="Calibri" w:hAnsi="Calibri" w:cs="Calibri"/>
                <w:b/>
                <w:color w:val="000000"/>
              </w:rPr>
            </w:pPr>
            <w:r w:rsidRPr="00A422D8">
              <w:rPr>
                <w:rFonts w:ascii="Calibri" w:hAnsi="Calibri" w:cs="Calibri"/>
                <w:b/>
                <w:color w:val="000000"/>
                <w:sz w:val="22"/>
                <w:szCs w:val="22"/>
              </w:rPr>
              <w:t>Value (£)</w:t>
            </w:r>
          </w:p>
        </w:tc>
        <w:tc>
          <w:tcPr>
            <w:tcW w:w="965" w:type="dxa"/>
            <w:tcBorders>
              <w:top w:val="single" w:sz="4" w:space="0" w:color="auto"/>
              <w:left w:val="nil"/>
              <w:bottom w:val="single" w:sz="4" w:space="0" w:color="auto"/>
              <w:right w:val="single" w:sz="4" w:space="0" w:color="auto"/>
            </w:tcBorders>
            <w:shd w:val="clear" w:color="auto" w:fill="E28C05"/>
            <w:noWrap/>
            <w:vAlign w:val="bottom"/>
            <w:hideMark/>
          </w:tcPr>
          <w:p w:rsidR="00910362" w:rsidRPr="00A422D8" w:rsidRDefault="00910362" w:rsidP="004C7812">
            <w:pPr>
              <w:jc w:val="center"/>
              <w:rPr>
                <w:rFonts w:ascii="Calibri" w:hAnsi="Calibri" w:cs="Calibri"/>
                <w:b/>
                <w:color w:val="000000"/>
              </w:rPr>
            </w:pPr>
            <w:r w:rsidRPr="00A422D8">
              <w:rPr>
                <w:rFonts w:ascii="Calibri" w:hAnsi="Calibri" w:cs="Calibri"/>
                <w:b/>
                <w:color w:val="000000"/>
                <w:sz w:val="22"/>
                <w:szCs w:val="22"/>
              </w:rPr>
              <w:t>%</w:t>
            </w:r>
          </w:p>
        </w:tc>
      </w:tr>
      <w:tr w:rsidR="00163A5A" w:rsidRPr="005373EA" w:rsidTr="002E7DBF">
        <w:trPr>
          <w:trHeight w:val="298"/>
        </w:trPr>
        <w:tc>
          <w:tcPr>
            <w:tcW w:w="1629" w:type="dxa"/>
            <w:tcBorders>
              <w:top w:val="nil"/>
              <w:left w:val="single" w:sz="4" w:space="0" w:color="auto"/>
              <w:bottom w:val="single" w:sz="4" w:space="0" w:color="auto"/>
              <w:right w:val="single" w:sz="4" w:space="0" w:color="auto"/>
            </w:tcBorders>
            <w:shd w:val="clear" w:color="auto" w:fill="auto"/>
            <w:noWrap/>
            <w:vAlign w:val="bottom"/>
          </w:tcPr>
          <w:p w:rsidR="00163A5A" w:rsidRPr="005373EA" w:rsidRDefault="00163A5A" w:rsidP="004C7812">
            <w:pPr>
              <w:rPr>
                <w:rFonts w:ascii="Calibri" w:hAnsi="Calibri" w:cs="Calibri"/>
                <w:color w:val="000000"/>
                <w:sz w:val="22"/>
                <w:szCs w:val="22"/>
              </w:rPr>
            </w:pPr>
            <w:r>
              <w:rPr>
                <w:rFonts w:ascii="Calibri" w:hAnsi="Calibri" w:cs="Calibri"/>
                <w:color w:val="000000"/>
                <w:sz w:val="22"/>
                <w:szCs w:val="22"/>
              </w:rPr>
              <w:t>0-5 Days</w:t>
            </w:r>
          </w:p>
        </w:tc>
        <w:tc>
          <w:tcPr>
            <w:tcW w:w="965" w:type="dxa"/>
            <w:tcBorders>
              <w:top w:val="single" w:sz="4" w:space="0" w:color="auto"/>
              <w:left w:val="nil"/>
              <w:bottom w:val="single" w:sz="4" w:space="0" w:color="auto"/>
              <w:right w:val="single" w:sz="4" w:space="0" w:color="auto"/>
            </w:tcBorders>
            <w:shd w:val="clear" w:color="auto" w:fill="56008C"/>
            <w:noWrap/>
            <w:vAlign w:val="bottom"/>
          </w:tcPr>
          <w:p w:rsidR="00163A5A" w:rsidRDefault="00163A5A">
            <w:pPr>
              <w:jc w:val="right"/>
              <w:rPr>
                <w:rFonts w:ascii="Calibri" w:hAnsi="Calibri" w:cs="Calibri"/>
                <w:color w:val="000000"/>
                <w:sz w:val="22"/>
                <w:szCs w:val="22"/>
              </w:rPr>
            </w:pPr>
            <w:r>
              <w:rPr>
                <w:rFonts w:ascii="Calibri" w:hAnsi="Calibri" w:cs="Calibri"/>
                <w:color w:val="000000"/>
                <w:sz w:val="22"/>
                <w:szCs w:val="22"/>
              </w:rPr>
              <w:t>201</w:t>
            </w:r>
          </w:p>
        </w:tc>
        <w:tc>
          <w:tcPr>
            <w:tcW w:w="965" w:type="dxa"/>
            <w:tcBorders>
              <w:top w:val="single" w:sz="4" w:space="0" w:color="auto"/>
              <w:left w:val="nil"/>
              <w:bottom w:val="single" w:sz="4" w:space="0" w:color="auto"/>
              <w:right w:val="single" w:sz="4" w:space="0" w:color="auto"/>
            </w:tcBorders>
            <w:shd w:val="clear" w:color="auto" w:fill="56008C"/>
            <w:noWrap/>
            <w:vAlign w:val="center"/>
          </w:tcPr>
          <w:p w:rsidR="00163A5A" w:rsidRDefault="00163A5A">
            <w:pPr>
              <w:jc w:val="right"/>
              <w:rPr>
                <w:rFonts w:ascii="Calibri" w:hAnsi="Calibri" w:cs="Calibri"/>
                <w:color w:val="000000"/>
                <w:sz w:val="22"/>
                <w:szCs w:val="22"/>
              </w:rPr>
            </w:pPr>
            <w:r>
              <w:rPr>
                <w:rFonts w:ascii="Calibri" w:hAnsi="Calibri" w:cs="Calibri"/>
                <w:color w:val="000000"/>
                <w:sz w:val="22"/>
                <w:szCs w:val="22"/>
              </w:rPr>
              <w:t>4%</w:t>
            </w:r>
          </w:p>
        </w:tc>
        <w:tc>
          <w:tcPr>
            <w:tcW w:w="1113" w:type="dxa"/>
            <w:tcBorders>
              <w:top w:val="single" w:sz="4" w:space="0" w:color="auto"/>
              <w:left w:val="nil"/>
              <w:bottom w:val="single" w:sz="4" w:space="0" w:color="auto"/>
              <w:right w:val="single" w:sz="4" w:space="0" w:color="auto"/>
            </w:tcBorders>
            <w:shd w:val="clear" w:color="auto" w:fill="E28C05"/>
            <w:noWrap/>
            <w:vAlign w:val="center"/>
          </w:tcPr>
          <w:p w:rsidR="00163A5A" w:rsidRDefault="00163A5A">
            <w:pPr>
              <w:jc w:val="right"/>
              <w:rPr>
                <w:rFonts w:ascii="Calibri" w:hAnsi="Calibri" w:cs="Calibri"/>
                <w:color w:val="000000"/>
                <w:sz w:val="22"/>
                <w:szCs w:val="22"/>
              </w:rPr>
            </w:pPr>
            <w:r>
              <w:rPr>
                <w:rFonts w:ascii="Calibri" w:hAnsi="Calibri" w:cs="Calibri"/>
                <w:color w:val="000000"/>
                <w:sz w:val="22"/>
                <w:szCs w:val="22"/>
              </w:rPr>
              <w:t>661,970</w:t>
            </w:r>
          </w:p>
        </w:tc>
        <w:tc>
          <w:tcPr>
            <w:tcW w:w="965" w:type="dxa"/>
            <w:tcBorders>
              <w:top w:val="single" w:sz="4" w:space="0" w:color="auto"/>
              <w:left w:val="nil"/>
              <w:bottom w:val="single" w:sz="4" w:space="0" w:color="auto"/>
              <w:right w:val="single" w:sz="4" w:space="0" w:color="auto"/>
            </w:tcBorders>
            <w:shd w:val="clear" w:color="auto" w:fill="E28C05"/>
            <w:noWrap/>
            <w:vAlign w:val="center"/>
          </w:tcPr>
          <w:p w:rsidR="00163A5A" w:rsidRDefault="00163A5A">
            <w:pPr>
              <w:jc w:val="right"/>
              <w:rPr>
                <w:rFonts w:ascii="Calibri" w:hAnsi="Calibri" w:cs="Calibri"/>
                <w:color w:val="000000"/>
                <w:sz w:val="22"/>
                <w:szCs w:val="22"/>
              </w:rPr>
            </w:pPr>
            <w:r>
              <w:rPr>
                <w:rFonts w:ascii="Calibri" w:hAnsi="Calibri" w:cs="Calibri"/>
                <w:color w:val="000000"/>
                <w:sz w:val="22"/>
                <w:szCs w:val="22"/>
              </w:rPr>
              <w:t>15%</w:t>
            </w:r>
          </w:p>
        </w:tc>
      </w:tr>
      <w:tr w:rsidR="00163A5A" w:rsidRPr="005373EA" w:rsidTr="005C269A">
        <w:trPr>
          <w:trHeight w:val="298"/>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163A5A" w:rsidRPr="005373EA" w:rsidRDefault="00163A5A" w:rsidP="004C7812">
            <w:pPr>
              <w:rPr>
                <w:rFonts w:ascii="Calibri" w:hAnsi="Calibri" w:cs="Calibri"/>
                <w:color w:val="000000"/>
              </w:rPr>
            </w:pPr>
            <w:r>
              <w:rPr>
                <w:rFonts w:ascii="Calibri" w:hAnsi="Calibri" w:cs="Calibri"/>
                <w:color w:val="000000"/>
                <w:sz w:val="22"/>
                <w:szCs w:val="22"/>
              </w:rPr>
              <w:t>6</w:t>
            </w:r>
            <w:r w:rsidRPr="005373EA">
              <w:rPr>
                <w:rFonts w:ascii="Calibri" w:hAnsi="Calibri" w:cs="Calibri"/>
                <w:color w:val="000000"/>
                <w:sz w:val="22"/>
                <w:szCs w:val="22"/>
              </w:rPr>
              <w:t>-10 Days</w:t>
            </w:r>
          </w:p>
        </w:tc>
        <w:tc>
          <w:tcPr>
            <w:tcW w:w="965" w:type="dxa"/>
            <w:tcBorders>
              <w:top w:val="single" w:sz="4" w:space="0" w:color="auto"/>
              <w:left w:val="nil"/>
              <w:bottom w:val="single" w:sz="4" w:space="0" w:color="auto"/>
              <w:right w:val="single" w:sz="4" w:space="0" w:color="auto"/>
            </w:tcBorders>
            <w:shd w:val="clear" w:color="auto" w:fill="56008C"/>
            <w:noWrap/>
            <w:vAlign w:val="bottom"/>
            <w:hideMark/>
          </w:tcPr>
          <w:p w:rsidR="00163A5A" w:rsidRDefault="00163A5A">
            <w:pPr>
              <w:jc w:val="right"/>
              <w:rPr>
                <w:rFonts w:ascii="Calibri" w:hAnsi="Calibri" w:cs="Calibri"/>
                <w:color w:val="000000"/>
                <w:sz w:val="22"/>
                <w:szCs w:val="22"/>
              </w:rPr>
            </w:pPr>
            <w:r>
              <w:rPr>
                <w:rFonts w:ascii="Calibri" w:hAnsi="Calibri" w:cs="Calibri"/>
                <w:color w:val="000000"/>
                <w:sz w:val="22"/>
                <w:szCs w:val="22"/>
              </w:rPr>
              <w:t>1584</w:t>
            </w:r>
          </w:p>
        </w:tc>
        <w:tc>
          <w:tcPr>
            <w:tcW w:w="965" w:type="dxa"/>
            <w:tcBorders>
              <w:top w:val="single" w:sz="4" w:space="0" w:color="auto"/>
              <w:left w:val="nil"/>
              <w:bottom w:val="single" w:sz="4" w:space="0" w:color="auto"/>
              <w:right w:val="single" w:sz="4" w:space="0" w:color="auto"/>
            </w:tcBorders>
            <w:shd w:val="clear" w:color="auto" w:fill="56008C"/>
            <w:noWrap/>
            <w:vAlign w:val="center"/>
          </w:tcPr>
          <w:p w:rsidR="00163A5A" w:rsidRDefault="00163A5A">
            <w:pPr>
              <w:jc w:val="right"/>
              <w:rPr>
                <w:rFonts w:ascii="Calibri" w:hAnsi="Calibri" w:cs="Calibri"/>
                <w:color w:val="000000"/>
                <w:sz w:val="22"/>
                <w:szCs w:val="22"/>
              </w:rPr>
            </w:pPr>
            <w:r>
              <w:rPr>
                <w:rFonts w:ascii="Calibri" w:hAnsi="Calibri" w:cs="Calibri"/>
                <w:color w:val="000000"/>
                <w:sz w:val="22"/>
                <w:szCs w:val="22"/>
              </w:rPr>
              <w:t>33%</w:t>
            </w:r>
          </w:p>
        </w:tc>
        <w:tc>
          <w:tcPr>
            <w:tcW w:w="1113" w:type="dxa"/>
            <w:tcBorders>
              <w:top w:val="single" w:sz="4" w:space="0" w:color="auto"/>
              <w:left w:val="nil"/>
              <w:bottom w:val="single" w:sz="4" w:space="0" w:color="auto"/>
              <w:right w:val="single" w:sz="4" w:space="0" w:color="auto"/>
            </w:tcBorders>
            <w:shd w:val="clear" w:color="auto" w:fill="E28C05"/>
            <w:noWrap/>
            <w:vAlign w:val="center"/>
          </w:tcPr>
          <w:p w:rsidR="00163A5A" w:rsidRDefault="00163A5A">
            <w:pPr>
              <w:jc w:val="right"/>
              <w:rPr>
                <w:rFonts w:ascii="Calibri" w:hAnsi="Calibri" w:cs="Calibri"/>
                <w:color w:val="000000"/>
                <w:sz w:val="22"/>
                <w:szCs w:val="22"/>
              </w:rPr>
            </w:pPr>
            <w:r>
              <w:rPr>
                <w:rFonts w:ascii="Calibri" w:hAnsi="Calibri" w:cs="Calibri"/>
                <w:color w:val="000000"/>
                <w:sz w:val="22"/>
                <w:szCs w:val="22"/>
              </w:rPr>
              <w:t>1,455,661</w:t>
            </w:r>
          </w:p>
        </w:tc>
        <w:tc>
          <w:tcPr>
            <w:tcW w:w="965" w:type="dxa"/>
            <w:tcBorders>
              <w:top w:val="single" w:sz="4" w:space="0" w:color="auto"/>
              <w:left w:val="nil"/>
              <w:bottom w:val="single" w:sz="4" w:space="0" w:color="auto"/>
              <w:right w:val="single" w:sz="4" w:space="0" w:color="auto"/>
            </w:tcBorders>
            <w:shd w:val="clear" w:color="auto" w:fill="E28C05"/>
            <w:noWrap/>
            <w:vAlign w:val="center"/>
          </w:tcPr>
          <w:p w:rsidR="00163A5A" w:rsidRDefault="00163A5A">
            <w:pPr>
              <w:jc w:val="right"/>
              <w:rPr>
                <w:rFonts w:ascii="Calibri" w:hAnsi="Calibri" w:cs="Calibri"/>
                <w:color w:val="000000"/>
                <w:sz w:val="22"/>
                <w:szCs w:val="22"/>
              </w:rPr>
            </w:pPr>
            <w:r>
              <w:rPr>
                <w:rFonts w:ascii="Calibri" w:hAnsi="Calibri" w:cs="Calibri"/>
                <w:color w:val="000000"/>
                <w:sz w:val="22"/>
                <w:szCs w:val="22"/>
              </w:rPr>
              <w:t>33%</w:t>
            </w:r>
          </w:p>
        </w:tc>
      </w:tr>
      <w:tr w:rsidR="00163A5A" w:rsidRPr="005373EA" w:rsidTr="005C269A">
        <w:trPr>
          <w:trHeight w:val="298"/>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163A5A" w:rsidRPr="005373EA" w:rsidRDefault="00163A5A" w:rsidP="004C7812">
            <w:pPr>
              <w:rPr>
                <w:rFonts w:ascii="Calibri" w:hAnsi="Calibri" w:cs="Calibri"/>
                <w:color w:val="000000"/>
              </w:rPr>
            </w:pPr>
            <w:r w:rsidRPr="005373EA">
              <w:rPr>
                <w:rFonts w:ascii="Calibri" w:hAnsi="Calibri" w:cs="Calibri"/>
                <w:color w:val="000000"/>
                <w:sz w:val="22"/>
                <w:szCs w:val="22"/>
              </w:rPr>
              <w:t>11-20 Days</w:t>
            </w:r>
          </w:p>
        </w:tc>
        <w:tc>
          <w:tcPr>
            <w:tcW w:w="965" w:type="dxa"/>
            <w:tcBorders>
              <w:top w:val="single" w:sz="4" w:space="0" w:color="auto"/>
              <w:left w:val="nil"/>
              <w:bottom w:val="single" w:sz="4" w:space="0" w:color="auto"/>
              <w:right w:val="single" w:sz="4" w:space="0" w:color="auto"/>
            </w:tcBorders>
            <w:shd w:val="clear" w:color="auto" w:fill="56008C"/>
            <w:noWrap/>
            <w:vAlign w:val="bottom"/>
            <w:hideMark/>
          </w:tcPr>
          <w:p w:rsidR="00163A5A" w:rsidRDefault="00163A5A">
            <w:pPr>
              <w:jc w:val="right"/>
              <w:rPr>
                <w:rFonts w:ascii="Calibri" w:hAnsi="Calibri" w:cs="Calibri"/>
                <w:color w:val="000000"/>
                <w:sz w:val="22"/>
                <w:szCs w:val="22"/>
              </w:rPr>
            </w:pPr>
            <w:r>
              <w:rPr>
                <w:rFonts w:ascii="Calibri" w:hAnsi="Calibri" w:cs="Calibri"/>
                <w:color w:val="000000"/>
                <w:sz w:val="22"/>
                <w:szCs w:val="22"/>
              </w:rPr>
              <w:t>2530</w:t>
            </w:r>
          </w:p>
        </w:tc>
        <w:tc>
          <w:tcPr>
            <w:tcW w:w="965" w:type="dxa"/>
            <w:tcBorders>
              <w:top w:val="single" w:sz="4" w:space="0" w:color="auto"/>
              <w:left w:val="nil"/>
              <w:bottom w:val="single" w:sz="4" w:space="0" w:color="auto"/>
              <w:right w:val="single" w:sz="4" w:space="0" w:color="auto"/>
            </w:tcBorders>
            <w:shd w:val="clear" w:color="auto" w:fill="56008C"/>
            <w:noWrap/>
            <w:vAlign w:val="center"/>
          </w:tcPr>
          <w:p w:rsidR="00163A5A" w:rsidRDefault="00163A5A">
            <w:pPr>
              <w:jc w:val="right"/>
              <w:rPr>
                <w:rFonts w:ascii="Calibri" w:hAnsi="Calibri" w:cs="Calibri"/>
                <w:color w:val="000000"/>
                <w:sz w:val="22"/>
                <w:szCs w:val="22"/>
              </w:rPr>
            </w:pPr>
            <w:r>
              <w:rPr>
                <w:rFonts w:ascii="Calibri" w:hAnsi="Calibri" w:cs="Calibri"/>
                <w:color w:val="000000"/>
                <w:sz w:val="22"/>
                <w:szCs w:val="22"/>
              </w:rPr>
              <w:t>53%</w:t>
            </w:r>
          </w:p>
        </w:tc>
        <w:tc>
          <w:tcPr>
            <w:tcW w:w="1113" w:type="dxa"/>
            <w:tcBorders>
              <w:top w:val="single" w:sz="4" w:space="0" w:color="auto"/>
              <w:left w:val="nil"/>
              <w:bottom w:val="single" w:sz="4" w:space="0" w:color="auto"/>
              <w:right w:val="single" w:sz="4" w:space="0" w:color="auto"/>
            </w:tcBorders>
            <w:shd w:val="clear" w:color="auto" w:fill="E28C05"/>
            <w:noWrap/>
            <w:vAlign w:val="center"/>
          </w:tcPr>
          <w:p w:rsidR="00163A5A" w:rsidRDefault="00163A5A">
            <w:pPr>
              <w:jc w:val="right"/>
              <w:rPr>
                <w:rFonts w:ascii="Calibri" w:hAnsi="Calibri" w:cs="Calibri"/>
                <w:color w:val="000000"/>
                <w:sz w:val="22"/>
                <w:szCs w:val="22"/>
              </w:rPr>
            </w:pPr>
            <w:r>
              <w:rPr>
                <w:rFonts w:ascii="Calibri" w:hAnsi="Calibri" w:cs="Calibri"/>
                <w:color w:val="000000"/>
                <w:sz w:val="22"/>
                <w:szCs w:val="22"/>
              </w:rPr>
              <w:t>1,864,823</w:t>
            </w:r>
          </w:p>
        </w:tc>
        <w:tc>
          <w:tcPr>
            <w:tcW w:w="965" w:type="dxa"/>
            <w:tcBorders>
              <w:top w:val="single" w:sz="4" w:space="0" w:color="auto"/>
              <w:left w:val="nil"/>
              <w:bottom w:val="single" w:sz="4" w:space="0" w:color="auto"/>
              <w:right w:val="single" w:sz="4" w:space="0" w:color="auto"/>
            </w:tcBorders>
            <w:shd w:val="clear" w:color="auto" w:fill="E28C05"/>
            <w:noWrap/>
            <w:vAlign w:val="center"/>
          </w:tcPr>
          <w:p w:rsidR="00163A5A" w:rsidRDefault="00163A5A">
            <w:pPr>
              <w:jc w:val="right"/>
              <w:rPr>
                <w:rFonts w:ascii="Calibri" w:hAnsi="Calibri" w:cs="Calibri"/>
                <w:color w:val="000000"/>
                <w:sz w:val="22"/>
                <w:szCs w:val="22"/>
              </w:rPr>
            </w:pPr>
            <w:r>
              <w:rPr>
                <w:rFonts w:ascii="Calibri" w:hAnsi="Calibri" w:cs="Calibri"/>
                <w:color w:val="000000"/>
                <w:sz w:val="22"/>
                <w:szCs w:val="22"/>
              </w:rPr>
              <w:t>42%</w:t>
            </w:r>
          </w:p>
        </w:tc>
      </w:tr>
      <w:tr w:rsidR="00163A5A" w:rsidRPr="005373EA" w:rsidTr="005C269A">
        <w:trPr>
          <w:trHeight w:val="298"/>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163A5A" w:rsidRPr="005373EA" w:rsidRDefault="00163A5A" w:rsidP="004C7812">
            <w:pPr>
              <w:rPr>
                <w:rFonts w:ascii="Calibri" w:hAnsi="Calibri" w:cs="Calibri"/>
                <w:color w:val="000000"/>
              </w:rPr>
            </w:pPr>
            <w:r w:rsidRPr="005373EA">
              <w:rPr>
                <w:rFonts w:ascii="Calibri" w:hAnsi="Calibri" w:cs="Calibri"/>
                <w:color w:val="000000"/>
                <w:sz w:val="22"/>
                <w:szCs w:val="22"/>
              </w:rPr>
              <w:t>21-30 Days</w:t>
            </w:r>
          </w:p>
        </w:tc>
        <w:tc>
          <w:tcPr>
            <w:tcW w:w="965" w:type="dxa"/>
            <w:tcBorders>
              <w:top w:val="single" w:sz="4" w:space="0" w:color="auto"/>
              <w:left w:val="nil"/>
              <w:bottom w:val="single" w:sz="4" w:space="0" w:color="auto"/>
              <w:right w:val="single" w:sz="4" w:space="0" w:color="auto"/>
            </w:tcBorders>
            <w:shd w:val="clear" w:color="auto" w:fill="56008C"/>
            <w:noWrap/>
            <w:vAlign w:val="bottom"/>
            <w:hideMark/>
          </w:tcPr>
          <w:p w:rsidR="00163A5A" w:rsidRDefault="00163A5A">
            <w:pPr>
              <w:jc w:val="right"/>
              <w:rPr>
                <w:rFonts w:ascii="Calibri" w:hAnsi="Calibri" w:cs="Calibri"/>
                <w:color w:val="000000"/>
                <w:sz w:val="22"/>
                <w:szCs w:val="22"/>
              </w:rPr>
            </w:pPr>
            <w:r>
              <w:rPr>
                <w:rFonts w:ascii="Calibri" w:hAnsi="Calibri" w:cs="Calibri"/>
                <w:color w:val="000000"/>
                <w:sz w:val="22"/>
                <w:szCs w:val="22"/>
              </w:rPr>
              <w:t>293</w:t>
            </w:r>
          </w:p>
        </w:tc>
        <w:tc>
          <w:tcPr>
            <w:tcW w:w="965" w:type="dxa"/>
            <w:tcBorders>
              <w:top w:val="single" w:sz="4" w:space="0" w:color="auto"/>
              <w:left w:val="nil"/>
              <w:bottom w:val="single" w:sz="4" w:space="0" w:color="auto"/>
              <w:right w:val="single" w:sz="4" w:space="0" w:color="auto"/>
            </w:tcBorders>
            <w:shd w:val="clear" w:color="auto" w:fill="56008C"/>
            <w:noWrap/>
            <w:vAlign w:val="center"/>
          </w:tcPr>
          <w:p w:rsidR="00163A5A" w:rsidRDefault="00163A5A">
            <w:pPr>
              <w:jc w:val="right"/>
              <w:rPr>
                <w:rFonts w:ascii="Calibri" w:hAnsi="Calibri" w:cs="Calibri"/>
                <w:color w:val="000000"/>
                <w:sz w:val="22"/>
                <w:szCs w:val="22"/>
              </w:rPr>
            </w:pPr>
            <w:r>
              <w:rPr>
                <w:rFonts w:ascii="Calibri" w:hAnsi="Calibri" w:cs="Calibri"/>
                <w:color w:val="000000"/>
                <w:sz w:val="22"/>
                <w:szCs w:val="22"/>
              </w:rPr>
              <w:t>6%</w:t>
            </w:r>
          </w:p>
        </w:tc>
        <w:tc>
          <w:tcPr>
            <w:tcW w:w="1113" w:type="dxa"/>
            <w:tcBorders>
              <w:top w:val="single" w:sz="4" w:space="0" w:color="auto"/>
              <w:left w:val="nil"/>
              <w:bottom w:val="single" w:sz="4" w:space="0" w:color="auto"/>
              <w:right w:val="single" w:sz="4" w:space="0" w:color="auto"/>
            </w:tcBorders>
            <w:shd w:val="clear" w:color="auto" w:fill="E28C05"/>
            <w:noWrap/>
            <w:vAlign w:val="center"/>
          </w:tcPr>
          <w:p w:rsidR="00163A5A" w:rsidRDefault="00163A5A">
            <w:pPr>
              <w:jc w:val="right"/>
              <w:rPr>
                <w:rFonts w:ascii="Calibri" w:hAnsi="Calibri" w:cs="Calibri"/>
                <w:color w:val="000000"/>
                <w:sz w:val="22"/>
                <w:szCs w:val="22"/>
              </w:rPr>
            </w:pPr>
            <w:r>
              <w:rPr>
                <w:rFonts w:ascii="Calibri" w:hAnsi="Calibri" w:cs="Calibri"/>
                <w:color w:val="000000"/>
                <w:sz w:val="22"/>
                <w:szCs w:val="22"/>
              </w:rPr>
              <w:t>345,855</w:t>
            </w:r>
          </w:p>
        </w:tc>
        <w:tc>
          <w:tcPr>
            <w:tcW w:w="965" w:type="dxa"/>
            <w:tcBorders>
              <w:top w:val="single" w:sz="4" w:space="0" w:color="auto"/>
              <w:left w:val="nil"/>
              <w:bottom w:val="single" w:sz="4" w:space="0" w:color="auto"/>
              <w:right w:val="single" w:sz="4" w:space="0" w:color="auto"/>
            </w:tcBorders>
            <w:shd w:val="clear" w:color="auto" w:fill="E28C05"/>
            <w:noWrap/>
            <w:vAlign w:val="center"/>
          </w:tcPr>
          <w:p w:rsidR="00163A5A" w:rsidRDefault="00163A5A">
            <w:pPr>
              <w:jc w:val="right"/>
              <w:rPr>
                <w:rFonts w:ascii="Calibri" w:hAnsi="Calibri" w:cs="Calibri"/>
                <w:color w:val="000000"/>
                <w:sz w:val="22"/>
                <w:szCs w:val="22"/>
              </w:rPr>
            </w:pPr>
            <w:r>
              <w:rPr>
                <w:rFonts w:ascii="Calibri" w:hAnsi="Calibri" w:cs="Calibri"/>
                <w:color w:val="000000"/>
                <w:sz w:val="22"/>
                <w:szCs w:val="22"/>
              </w:rPr>
              <w:t>8%</w:t>
            </w:r>
          </w:p>
        </w:tc>
      </w:tr>
      <w:tr w:rsidR="00163A5A" w:rsidRPr="005373EA" w:rsidTr="005C269A">
        <w:trPr>
          <w:trHeight w:val="298"/>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163A5A" w:rsidRPr="005373EA" w:rsidRDefault="00163A5A" w:rsidP="004C7812">
            <w:pPr>
              <w:rPr>
                <w:rFonts w:ascii="Calibri" w:hAnsi="Calibri" w:cs="Calibri"/>
                <w:color w:val="000000"/>
              </w:rPr>
            </w:pPr>
            <w:r w:rsidRPr="005373EA">
              <w:rPr>
                <w:rFonts w:ascii="Calibri" w:hAnsi="Calibri" w:cs="Calibri"/>
                <w:color w:val="000000"/>
                <w:sz w:val="22"/>
                <w:szCs w:val="22"/>
              </w:rPr>
              <w:t>Over 30 Days</w:t>
            </w:r>
          </w:p>
        </w:tc>
        <w:tc>
          <w:tcPr>
            <w:tcW w:w="965" w:type="dxa"/>
            <w:tcBorders>
              <w:top w:val="single" w:sz="4" w:space="0" w:color="auto"/>
              <w:left w:val="nil"/>
              <w:bottom w:val="single" w:sz="4" w:space="0" w:color="auto"/>
              <w:right w:val="single" w:sz="4" w:space="0" w:color="auto"/>
            </w:tcBorders>
            <w:shd w:val="clear" w:color="auto" w:fill="56008C"/>
            <w:noWrap/>
            <w:vAlign w:val="bottom"/>
            <w:hideMark/>
          </w:tcPr>
          <w:p w:rsidR="00163A5A" w:rsidRDefault="00163A5A">
            <w:pPr>
              <w:jc w:val="right"/>
              <w:rPr>
                <w:rFonts w:ascii="Calibri" w:hAnsi="Calibri" w:cs="Calibri"/>
                <w:color w:val="000000"/>
                <w:sz w:val="22"/>
                <w:szCs w:val="22"/>
              </w:rPr>
            </w:pPr>
            <w:r>
              <w:rPr>
                <w:rFonts w:ascii="Calibri" w:hAnsi="Calibri" w:cs="Calibri"/>
                <w:color w:val="000000"/>
                <w:sz w:val="22"/>
                <w:szCs w:val="22"/>
              </w:rPr>
              <w:t>146</w:t>
            </w:r>
          </w:p>
        </w:tc>
        <w:tc>
          <w:tcPr>
            <w:tcW w:w="965" w:type="dxa"/>
            <w:tcBorders>
              <w:top w:val="single" w:sz="4" w:space="0" w:color="auto"/>
              <w:left w:val="nil"/>
              <w:bottom w:val="single" w:sz="4" w:space="0" w:color="auto"/>
              <w:right w:val="single" w:sz="4" w:space="0" w:color="auto"/>
            </w:tcBorders>
            <w:shd w:val="clear" w:color="auto" w:fill="56008C"/>
            <w:noWrap/>
            <w:vAlign w:val="center"/>
          </w:tcPr>
          <w:p w:rsidR="00163A5A" w:rsidRDefault="00163A5A">
            <w:pPr>
              <w:jc w:val="right"/>
              <w:rPr>
                <w:rFonts w:ascii="Calibri" w:hAnsi="Calibri" w:cs="Calibri"/>
                <w:color w:val="000000"/>
                <w:sz w:val="22"/>
                <w:szCs w:val="22"/>
              </w:rPr>
            </w:pPr>
            <w:r>
              <w:rPr>
                <w:rFonts w:ascii="Calibri" w:hAnsi="Calibri" w:cs="Calibri"/>
                <w:color w:val="000000"/>
                <w:sz w:val="22"/>
                <w:szCs w:val="22"/>
              </w:rPr>
              <w:t>3%</w:t>
            </w:r>
          </w:p>
        </w:tc>
        <w:tc>
          <w:tcPr>
            <w:tcW w:w="1113" w:type="dxa"/>
            <w:tcBorders>
              <w:top w:val="single" w:sz="4" w:space="0" w:color="auto"/>
              <w:left w:val="nil"/>
              <w:bottom w:val="single" w:sz="4" w:space="0" w:color="auto"/>
              <w:right w:val="single" w:sz="4" w:space="0" w:color="auto"/>
            </w:tcBorders>
            <w:shd w:val="clear" w:color="auto" w:fill="E28C05"/>
            <w:noWrap/>
            <w:vAlign w:val="center"/>
          </w:tcPr>
          <w:p w:rsidR="00163A5A" w:rsidRDefault="00163A5A">
            <w:pPr>
              <w:jc w:val="right"/>
              <w:rPr>
                <w:rFonts w:ascii="Calibri" w:hAnsi="Calibri" w:cs="Calibri"/>
                <w:color w:val="000000"/>
                <w:sz w:val="22"/>
                <w:szCs w:val="22"/>
              </w:rPr>
            </w:pPr>
            <w:r>
              <w:rPr>
                <w:rFonts w:ascii="Calibri" w:hAnsi="Calibri" w:cs="Calibri"/>
                <w:color w:val="000000"/>
                <w:sz w:val="22"/>
                <w:szCs w:val="22"/>
              </w:rPr>
              <w:t>90,134</w:t>
            </w:r>
          </w:p>
        </w:tc>
        <w:tc>
          <w:tcPr>
            <w:tcW w:w="965" w:type="dxa"/>
            <w:tcBorders>
              <w:top w:val="single" w:sz="4" w:space="0" w:color="auto"/>
              <w:left w:val="nil"/>
              <w:bottom w:val="single" w:sz="4" w:space="0" w:color="auto"/>
              <w:right w:val="single" w:sz="4" w:space="0" w:color="auto"/>
            </w:tcBorders>
            <w:shd w:val="clear" w:color="auto" w:fill="E28C05"/>
            <w:noWrap/>
            <w:vAlign w:val="center"/>
          </w:tcPr>
          <w:p w:rsidR="00163A5A" w:rsidRDefault="00163A5A">
            <w:pPr>
              <w:jc w:val="right"/>
              <w:rPr>
                <w:rFonts w:ascii="Calibri" w:hAnsi="Calibri" w:cs="Calibri"/>
                <w:color w:val="000000"/>
                <w:sz w:val="22"/>
                <w:szCs w:val="22"/>
              </w:rPr>
            </w:pPr>
            <w:r>
              <w:rPr>
                <w:rFonts w:ascii="Calibri" w:hAnsi="Calibri" w:cs="Calibri"/>
                <w:color w:val="000000"/>
                <w:sz w:val="22"/>
                <w:szCs w:val="22"/>
              </w:rPr>
              <w:t>2%</w:t>
            </w:r>
          </w:p>
        </w:tc>
      </w:tr>
      <w:tr w:rsidR="00163A5A" w:rsidRPr="005373EA" w:rsidTr="005C269A">
        <w:trPr>
          <w:trHeight w:val="298"/>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163A5A" w:rsidRPr="005373EA" w:rsidRDefault="00163A5A" w:rsidP="004C7812">
            <w:pPr>
              <w:rPr>
                <w:rFonts w:ascii="Calibri" w:hAnsi="Calibri" w:cs="Calibri"/>
                <w:color w:val="000000"/>
              </w:rPr>
            </w:pPr>
            <w:r w:rsidRPr="005373EA">
              <w:rPr>
                <w:rFonts w:ascii="Calibri" w:hAnsi="Calibri" w:cs="Calibri"/>
                <w:color w:val="000000"/>
                <w:sz w:val="22"/>
                <w:szCs w:val="22"/>
              </w:rPr>
              <w:t>Total</w:t>
            </w:r>
          </w:p>
        </w:tc>
        <w:tc>
          <w:tcPr>
            <w:tcW w:w="965" w:type="dxa"/>
            <w:tcBorders>
              <w:top w:val="single" w:sz="4" w:space="0" w:color="auto"/>
              <w:left w:val="nil"/>
              <w:bottom w:val="single" w:sz="4" w:space="0" w:color="auto"/>
              <w:right w:val="single" w:sz="4" w:space="0" w:color="auto"/>
            </w:tcBorders>
            <w:shd w:val="clear" w:color="auto" w:fill="56008C"/>
            <w:noWrap/>
            <w:vAlign w:val="center"/>
            <w:hideMark/>
          </w:tcPr>
          <w:p w:rsidR="00163A5A" w:rsidRDefault="00163A5A">
            <w:pPr>
              <w:jc w:val="right"/>
              <w:rPr>
                <w:rFonts w:ascii="Calibri" w:hAnsi="Calibri" w:cs="Calibri"/>
                <w:color w:val="000000"/>
                <w:sz w:val="22"/>
                <w:szCs w:val="22"/>
              </w:rPr>
            </w:pPr>
            <w:r>
              <w:rPr>
                <w:rFonts w:ascii="Calibri" w:hAnsi="Calibri" w:cs="Calibri"/>
                <w:color w:val="000000"/>
                <w:sz w:val="22"/>
                <w:szCs w:val="22"/>
              </w:rPr>
              <w:t>4,754</w:t>
            </w:r>
          </w:p>
        </w:tc>
        <w:tc>
          <w:tcPr>
            <w:tcW w:w="965" w:type="dxa"/>
            <w:tcBorders>
              <w:top w:val="single" w:sz="4" w:space="0" w:color="auto"/>
              <w:left w:val="nil"/>
              <w:bottom w:val="single" w:sz="4" w:space="0" w:color="auto"/>
              <w:right w:val="single" w:sz="4" w:space="0" w:color="auto"/>
            </w:tcBorders>
            <w:shd w:val="clear" w:color="auto" w:fill="56008C"/>
            <w:noWrap/>
            <w:vAlign w:val="center"/>
          </w:tcPr>
          <w:p w:rsidR="00163A5A" w:rsidRDefault="00163A5A">
            <w:pPr>
              <w:jc w:val="right"/>
              <w:rPr>
                <w:rFonts w:ascii="Calibri" w:hAnsi="Calibri" w:cs="Calibri"/>
                <w:color w:val="000000"/>
                <w:sz w:val="22"/>
                <w:szCs w:val="22"/>
              </w:rPr>
            </w:pPr>
            <w:r>
              <w:rPr>
                <w:rFonts w:ascii="Calibri" w:hAnsi="Calibri" w:cs="Calibri"/>
                <w:color w:val="000000"/>
                <w:sz w:val="22"/>
                <w:szCs w:val="22"/>
              </w:rPr>
              <w:t>100%</w:t>
            </w:r>
          </w:p>
        </w:tc>
        <w:tc>
          <w:tcPr>
            <w:tcW w:w="1113" w:type="dxa"/>
            <w:tcBorders>
              <w:top w:val="single" w:sz="4" w:space="0" w:color="auto"/>
              <w:left w:val="nil"/>
              <w:bottom w:val="single" w:sz="4" w:space="0" w:color="auto"/>
              <w:right w:val="single" w:sz="4" w:space="0" w:color="auto"/>
            </w:tcBorders>
            <w:shd w:val="clear" w:color="auto" w:fill="E28C05"/>
            <w:noWrap/>
            <w:vAlign w:val="center"/>
          </w:tcPr>
          <w:p w:rsidR="00163A5A" w:rsidRDefault="00163A5A">
            <w:pPr>
              <w:jc w:val="right"/>
              <w:rPr>
                <w:rFonts w:ascii="Calibri" w:hAnsi="Calibri" w:cs="Calibri"/>
                <w:color w:val="000000"/>
                <w:sz w:val="22"/>
                <w:szCs w:val="22"/>
              </w:rPr>
            </w:pPr>
            <w:r>
              <w:rPr>
                <w:rFonts w:ascii="Calibri" w:hAnsi="Calibri" w:cs="Calibri"/>
                <w:color w:val="000000"/>
                <w:sz w:val="22"/>
                <w:szCs w:val="22"/>
              </w:rPr>
              <w:t>4,418,443</w:t>
            </w:r>
          </w:p>
        </w:tc>
        <w:tc>
          <w:tcPr>
            <w:tcW w:w="965" w:type="dxa"/>
            <w:tcBorders>
              <w:top w:val="single" w:sz="4" w:space="0" w:color="auto"/>
              <w:left w:val="nil"/>
              <w:bottom w:val="single" w:sz="4" w:space="0" w:color="auto"/>
              <w:right w:val="single" w:sz="4" w:space="0" w:color="auto"/>
            </w:tcBorders>
            <w:shd w:val="clear" w:color="auto" w:fill="E28C05"/>
            <w:noWrap/>
            <w:vAlign w:val="center"/>
          </w:tcPr>
          <w:p w:rsidR="00163A5A" w:rsidRDefault="00163A5A">
            <w:pPr>
              <w:jc w:val="right"/>
              <w:rPr>
                <w:rFonts w:ascii="Calibri" w:hAnsi="Calibri" w:cs="Calibri"/>
                <w:color w:val="000000"/>
                <w:sz w:val="22"/>
                <w:szCs w:val="22"/>
              </w:rPr>
            </w:pPr>
            <w:r>
              <w:rPr>
                <w:rFonts w:ascii="Calibri" w:hAnsi="Calibri" w:cs="Calibri"/>
                <w:color w:val="000000"/>
                <w:sz w:val="22"/>
                <w:szCs w:val="22"/>
              </w:rPr>
              <w:t>100%</w:t>
            </w:r>
          </w:p>
        </w:tc>
      </w:tr>
      <w:tr w:rsidR="00163A5A" w:rsidRPr="005373EA" w:rsidTr="00A422D8">
        <w:trPr>
          <w:trHeight w:val="298"/>
        </w:trPr>
        <w:tc>
          <w:tcPr>
            <w:tcW w:w="1629" w:type="dxa"/>
            <w:tcBorders>
              <w:top w:val="nil"/>
              <w:left w:val="nil"/>
              <w:bottom w:val="nil"/>
              <w:right w:val="nil"/>
            </w:tcBorders>
            <w:shd w:val="clear" w:color="auto" w:fill="auto"/>
            <w:noWrap/>
            <w:vAlign w:val="bottom"/>
            <w:hideMark/>
          </w:tcPr>
          <w:p w:rsidR="00163A5A" w:rsidRPr="005373EA" w:rsidRDefault="00163A5A" w:rsidP="004C7812">
            <w:pPr>
              <w:rPr>
                <w:rFonts w:ascii="Calibri" w:hAnsi="Calibri" w:cs="Calibri"/>
                <w:color w:val="000000"/>
              </w:rPr>
            </w:pPr>
          </w:p>
        </w:tc>
        <w:tc>
          <w:tcPr>
            <w:tcW w:w="965" w:type="dxa"/>
            <w:tcBorders>
              <w:top w:val="single" w:sz="4" w:space="0" w:color="auto"/>
              <w:left w:val="nil"/>
              <w:bottom w:val="single" w:sz="4" w:space="0" w:color="auto"/>
              <w:right w:val="nil"/>
            </w:tcBorders>
            <w:shd w:val="clear" w:color="auto" w:fill="56008C"/>
            <w:noWrap/>
            <w:vAlign w:val="bottom"/>
            <w:hideMark/>
          </w:tcPr>
          <w:p w:rsidR="00163A5A" w:rsidRPr="007521C3" w:rsidRDefault="00163A5A">
            <w:pPr>
              <w:rPr>
                <w:rFonts w:ascii="Calibri" w:hAnsi="Calibri" w:cs="Calibri"/>
                <w:color w:val="FFFFFF" w:themeColor="background1"/>
                <w:sz w:val="22"/>
                <w:szCs w:val="22"/>
              </w:rPr>
            </w:pPr>
          </w:p>
        </w:tc>
        <w:tc>
          <w:tcPr>
            <w:tcW w:w="965" w:type="dxa"/>
            <w:tcBorders>
              <w:top w:val="single" w:sz="4" w:space="0" w:color="auto"/>
              <w:left w:val="nil"/>
              <w:bottom w:val="single" w:sz="4" w:space="0" w:color="auto"/>
              <w:right w:val="nil"/>
            </w:tcBorders>
            <w:shd w:val="clear" w:color="auto" w:fill="56008C"/>
            <w:noWrap/>
            <w:vAlign w:val="bottom"/>
            <w:hideMark/>
          </w:tcPr>
          <w:p w:rsidR="00163A5A" w:rsidRPr="007521C3" w:rsidRDefault="00163A5A">
            <w:pPr>
              <w:rPr>
                <w:rFonts w:ascii="Calibri" w:hAnsi="Calibri" w:cs="Calibri"/>
                <w:color w:val="FFFFFF" w:themeColor="background1"/>
                <w:sz w:val="22"/>
                <w:szCs w:val="22"/>
              </w:rPr>
            </w:pPr>
          </w:p>
        </w:tc>
        <w:tc>
          <w:tcPr>
            <w:tcW w:w="1113" w:type="dxa"/>
            <w:tcBorders>
              <w:top w:val="single" w:sz="4" w:space="0" w:color="auto"/>
              <w:left w:val="nil"/>
              <w:bottom w:val="single" w:sz="4" w:space="0" w:color="auto"/>
              <w:right w:val="nil"/>
            </w:tcBorders>
            <w:shd w:val="clear" w:color="auto" w:fill="E28C05"/>
            <w:noWrap/>
            <w:vAlign w:val="bottom"/>
            <w:hideMark/>
          </w:tcPr>
          <w:p w:rsidR="00163A5A" w:rsidRDefault="00163A5A">
            <w:pPr>
              <w:rPr>
                <w:rFonts w:ascii="Calibri" w:hAnsi="Calibri" w:cs="Calibri"/>
                <w:color w:val="000000"/>
                <w:sz w:val="22"/>
                <w:szCs w:val="22"/>
              </w:rPr>
            </w:pPr>
          </w:p>
        </w:tc>
        <w:tc>
          <w:tcPr>
            <w:tcW w:w="965" w:type="dxa"/>
            <w:tcBorders>
              <w:top w:val="single" w:sz="4" w:space="0" w:color="auto"/>
              <w:left w:val="nil"/>
              <w:bottom w:val="single" w:sz="4" w:space="0" w:color="auto"/>
              <w:right w:val="nil"/>
            </w:tcBorders>
            <w:shd w:val="clear" w:color="auto" w:fill="E28C05"/>
            <w:noWrap/>
            <w:vAlign w:val="bottom"/>
            <w:hideMark/>
          </w:tcPr>
          <w:p w:rsidR="00163A5A" w:rsidRDefault="00163A5A">
            <w:pPr>
              <w:rPr>
                <w:rFonts w:ascii="Calibri" w:hAnsi="Calibri" w:cs="Calibri"/>
                <w:color w:val="000000"/>
                <w:sz w:val="22"/>
                <w:szCs w:val="22"/>
              </w:rPr>
            </w:pPr>
          </w:p>
        </w:tc>
      </w:tr>
      <w:tr w:rsidR="00163A5A" w:rsidRPr="005373EA" w:rsidTr="0054372F">
        <w:trPr>
          <w:trHeight w:val="298"/>
        </w:trPr>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A5A" w:rsidRPr="005373EA" w:rsidRDefault="00163A5A" w:rsidP="004C7812">
            <w:pPr>
              <w:rPr>
                <w:rFonts w:ascii="Calibri" w:hAnsi="Calibri" w:cs="Calibri"/>
                <w:b/>
                <w:bCs/>
                <w:color w:val="000000"/>
              </w:rPr>
            </w:pPr>
            <w:r w:rsidRPr="005373EA">
              <w:rPr>
                <w:rFonts w:ascii="Calibri" w:hAnsi="Calibri" w:cs="Calibri"/>
                <w:b/>
                <w:bCs/>
                <w:color w:val="000000"/>
                <w:sz w:val="22"/>
                <w:szCs w:val="22"/>
              </w:rPr>
              <w:t>BPPC achieved</w:t>
            </w:r>
          </w:p>
        </w:tc>
        <w:tc>
          <w:tcPr>
            <w:tcW w:w="965" w:type="dxa"/>
            <w:tcBorders>
              <w:top w:val="single" w:sz="4" w:space="0" w:color="auto"/>
              <w:left w:val="nil"/>
              <w:bottom w:val="single" w:sz="4" w:space="0" w:color="auto"/>
              <w:right w:val="single" w:sz="4" w:space="0" w:color="auto"/>
            </w:tcBorders>
            <w:shd w:val="clear" w:color="auto" w:fill="56008C"/>
            <w:noWrap/>
            <w:vAlign w:val="center"/>
            <w:hideMark/>
          </w:tcPr>
          <w:p w:rsidR="00163A5A" w:rsidRPr="007521C3" w:rsidRDefault="00163A5A">
            <w:pPr>
              <w:jc w:val="right"/>
              <w:rPr>
                <w:rFonts w:ascii="Calibri" w:hAnsi="Calibri" w:cs="Calibri"/>
                <w:color w:val="FFFFFF" w:themeColor="background1"/>
                <w:sz w:val="22"/>
                <w:szCs w:val="22"/>
              </w:rPr>
            </w:pPr>
            <w:r w:rsidRPr="007521C3">
              <w:rPr>
                <w:rFonts w:ascii="Calibri" w:hAnsi="Calibri" w:cs="Calibri"/>
                <w:color w:val="FFFFFF" w:themeColor="background1"/>
                <w:sz w:val="22"/>
                <w:szCs w:val="22"/>
              </w:rPr>
              <w:t>97%</w:t>
            </w:r>
          </w:p>
        </w:tc>
        <w:tc>
          <w:tcPr>
            <w:tcW w:w="965" w:type="dxa"/>
            <w:tcBorders>
              <w:top w:val="single" w:sz="4" w:space="0" w:color="auto"/>
              <w:left w:val="nil"/>
              <w:bottom w:val="single" w:sz="4" w:space="0" w:color="auto"/>
              <w:right w:val="single" w:sz="4" w:space="0" w:color="auto"/>
            </w:tcBorders>
            <w:shd w:val="clear" w:color="auto" w:fill="56008C"/>
            <w:noWrap/>
            <w:vAlign w:val="center"/>
            <w:hideMark/>
          </w:tcPr>
          <w:p w:rsidR="00163A5A" w:rsidRPr="007521C3" w:rsidRDefault="00163A5A">
            <w:pPr>
              <w:jc w:val="right"/>
              <w:rPr>
                <w:rFonts w:ascii="Calibri" w:hAnsi="Calibri" w:cs="Calibri"/>
                <w:color w:val="FFFFFF" w:themeColor="background1"/>
                <w:sz w:val="22"/>
                <w:szCs w:val="22"/>
              </w:rPr>
            </w:pPr>
            <w:r w:rsidRPr="007521C3">
              <w:rPr>
                <w:rFonts w:ascii="Calibri" w:hAnsi="Calibri" w:cs="Calibri"/>
                <w:color w:val="FFFFFF" w:themeColor="background1"/>
                <w:sz w:val="22"/>
                <w:szCs w:val="22"/>
              </w:rPr>
              <w:t>97%</w:t>
            </w:r>
          </w:p>
        </w:tc>
        <w:tc>
          <w:tcPr>
            <w:tcW w:w="1113" w:type="dxa"/>
            <w:tcBorders>
              <w:top w:val="single" w:sz="4" w:space="0" w:color="auto"/>
              <w:left w:val="nil"/>
              <w:bottom w:val="single" w:sz="4" w:space="0" w:color="auto"/>
              <w:right w:val="single" w:sz="4" w:space="0" w:color="auto"/>
            </w:tcBorders>
            <w:shd w:val="clear" w:color="auto" w:fill="E28C05"/>
            <w:noWrap/>
            <w:vAlign w:val="center"/>
            <w:hideMark/>
          </w:tcPr>
          <w:p w:rsidR="00163A5A" w:rsidRDefault="00163A5A">
            <w:pPr>
              <w:jc w:val="right"/>
              <w:rPr>
                <w:rFonts w:ascii="Calibri" w:hAnsi="Calibri" w:cs="Calibri"/>
                <w:color w:val="000000"/>
                <w:sz w:val="22"/>
                <w:szCs w:val="22"/>
              </w:rPr>
            </w:pPr>
            <w:r>
              <w:rPr>
                <w:rFonts w:ascii="Calibri" w:hAnsi="Calibri" w:cs="Calibri"/>
                <w:color w:val="000000"/>
                <w:sz w:val="22"/>
                <w:szCs w:val="22"/>
              </w:rPr>
              <w:t>98%</w:t>
            </w:r>
          </w:p>
        </w:tc>
        <w:tc>
          <w:tcPr>
            <w:tcW w:w="965" w:type="dxa"/>
            <w:tcBorders>
              <w:top w:val="single" w:sz="4" w:space="0" w:color="auto"/>
              <w:left w:val="nil"/>
              <w:bottom w:val="single" w:sz="4" w:space="0" w:color="auto"/>
              <w:right w:val="single" w:sz="4" w:space="0" w:color="auto"/>
            </w:tcBorders>
            <w:shd w:val="clear" w:color="auto" w:fill="E28C05"/>
            <w:noWrap/>
            <w:vAlign w:val="center"/>
            <w:hideMark/>
          </w:tcPr>
          <w:p w:rsidR="00163A5A" w:rsidRDefault="00163A5A">
            <w:pPr>
              <w:jc w:val="right"/>
              <w:rPr>
                <w:rFonts w:ascii="Calibri" w:hAnsi="Calibri" w:cs="Calibri"/>
                <w:color w:val="000000"/>
                <w:sz w:val="22"/>
                <w:szCs w:val="22"/>
              </w:rPr>
            </w:pPr>
            <w:r>
              <w:rPr>
                <w:rFonts w:ascii="Calibri" w:hAnsi="Calibri" w:cs="Calibri"/>
                <w:color w:val="000000"/>
                <w:sz w:val="22"/>
                <w:szCs w:val="22"/>
              </w:rPr>
              <w:t>98%</w:t>
            </w:r>
          </w:p>
        </w:tc>
      </w:tr>
    </w:tbl>
    <w:p w:rsidR="00A05E1F" w:rsidRDefault="00A05E1F">
      <w:pPr>
        <w:spacing w:after="200" w:line="276" w:lineRule="auto"/>
        <w:rPr>
          <w:rFonts w:ascii="Arial" w:eastAsia="Calibri" w:hAnsi="Arial"/>
          <w:b/>
          <w:bCs/>
          <w:color w:val="1F497D"/>
          <w:szCs w:val="26"/>
          <w:lang w:eastAsia="en-US"/>
        </w:rPr>
      </w:pPr>
    </w:p>
    <w:p w:rsidR="00A05E1F" w:rsidRDefault="00606CBA" w:rsidP="00A05E1F">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t>Ag</w:t>
      </w:r>
      <w:r w:rsidRPr="00A422D8">
        <w:rPr>
          <w:rFonts w:ascii="Arial" w:eastAsia="Calibri" w:hAnsi="Arial"/>
          <w:b/>
          <w:bCs/>
          <w:color w:val="56008C"/>
          <w:sz w:val="22"/>
          <w:szCs w:val="22"/>
          <w:lang w:eastAsia="en-US"/>
        </w:rPr>
        <w:t>ed</w:t>
      </w:r>
      <w:r w:rsidR="000D471E">
        <w:rPr>
          <w:rFonts w:ascii="Arial" w:eastAsia="Calibri" w:hAnsi="Arial"/>
          <w:b/>
          <w:bCs/>
          <w:color w:val="56008C"/>
          <w:szCs w:val="26"/>
          <w:lang w:eastAsia="en-US"/>
        </w:rPr>
        <w:t xml:space="preserve"> Creditors at 31 March</w:t>
      </w:r>
      <w:r w:rsidR="005C269A">
        <w:rPr>
          <w:rFonts w:ascii="Arial" w:eastAsia="Calibri" w:hAnsi="Arial"/>
          <w:b/>
          <w:bCs/>
          <w:color w:val="56008C"/>
          <w:szCs w:val="26"/>
          <w:lang w:eastAsia="en-US"/>
        </w:rPr>
        <w:t xml:space="preserve"> 2014</w:t>
      </w:r>
    </w:p>
    <w:p w:rsidR="00A74E5F" w:rsidRPr="002D19A0" w:rsidRDefault="00A74E5F" w:rsidP="00A74E5F">
      <w:pPr>
        <w:rPr>
          <w:rFonts w:ascii="Arial" w:hAnsi="Arial" w:cs="Arial"/>
          <w:b/>
          <w:bCs/>
          <w:sz w:val="22"/>
          <w:szCs w:val="22"/>
        </w:rPr>
      </w:pPr>
      <w:r w:rsidRPr="002D19A0">
        <w:rPr>
          <w:rFonts w:ascii="Arial" w:hAnsi="Arial" w:cs="Arial"/>
          <w:b/>
          <w:bCs/>
          <w:sz w:val="22"/>
          <w:szCs w:val="22"/>
        </w:rPr>
        <w:t>Headlines</w:t>
      </w:r>
      <w:r w:rsidR="00357BF3">
        <w:rPr>
          <w:rFonts w:ascii="Arial" w:hAnsi="Arial" w:cs="Arial"/>
          <w:b/>
          <w:bCs/>
          <w:sz w:val="22"/>
          <w:szCs w:val="22"/>
        </w:rPr>
        <w:t xml:space="preserve"> – clock start date is the invoice date (regardless of when the invoice is received in the system)</w:t>
      </w:r>
    </w:p>
    <w:p w:rsidR="00A74E5F" w:rsidRDefault="00A74E5F" w:rsidP="00A74E5F">
      <w:pPr>
        <w:rPr>
          <w:rFonts w:ascii="Arial" w:hAnsi="Arial" w:cs="Arial"/>
          <w:b/>
          <w:bCs/>
          <w:sz w:val="22"/>
          <w:szCs w:val="22"/>
        </w:rPr>
      </w:pPr>
    </w:p>
    <w:p w:rsidR="00A74E5F" w:rsidRPr="002D19A0" w:rsidRDefault="00A74E5F" w:rsidP="00A74E5F">
      <w:pPr>
        <w:rPr>
          <w:rFonts w:ascii="Arial" w:hAnsi="Arial" w:cs="Arial"/>
          <w:b/>
          <w:bCs/>
          <w:sz w:val="22"/>
          <w:szCs w:val="22"/>
        </w:rPr>
      </w:pPr>
      <w:r w:rsidRPr="002D19A0">
        <w:rPr>
          <w:rFonts w:ascii="Arial" w:hAnsi="Arial" w:cs="Arial"/>
          <w:b/>
          <w:bCs/>
          <w:sz w:val="22"/>
          <w:szCs w:val="22"/>
        </w:rPr>
        <w:t>Non-NHS Trade</w:t>
      </w:r>
    </w:p>
    <w:p w:rsidR="00357BF3" w:rsidRDefault="00A74E5F" w:rsidP="00A74E5F">
      <w:pPr>
        <w:rPr>
          <w:rFonts w:ascii="Arial" w:hAnsi="Arial" w:cs="Arial"/>
          <w:sz w:val="22"/>
          <w:szCs w:val="22"/>
        </w:rPr>
      </w:pPr>
      <w:r w:rsidRPr="002D19A0">
        <w:rPr>
          <w:rFonts w:ascii="Arial" w:hAnsi="Arial" w:cs="Arial"/>
          <w:sz w:val="22"/>
          <w:szCs w:val="22"/>
        </w:rPr>
        <w:t>Only significant item</w:t>
      </w:r>
      <w:r w:rsidR="006E7D8D">
        <w:rPr>
          <w:rFonts w:ascii="Arial" w:hAnsi="Arial" w:cs="Arial"/>
          <w:sz w:val="22"/>
          <w:szCs w:val="22"/>
        </w:rPr>
        <w:t xml:space="preserve"> in 60+ days is an invoice to</w:t>
      </w:r>
      <w:r w:rsidR="005431F7">
        <w:rPr>
          <w:rFonts w:ascii="Arial" w:hAnsi="Arial" w:cs="Arial"/>
          <w:sz w:val="22"/>
          <w:szCs w:val="22"/>
        </w:rPr>
        <w:t xml:space="preserve"> Calder Conferences (£3,096), </w:t>
      </w:r>
      <w:r w:rsidR="006E7D8D">
        <w:rPr>
          <w:rFonts w:ascii="Arial" w:hAnsi="Arial" w:cs="Arial"/>
          <w:sz w:val="22"/>
          <w:szCs w:val="22"/>
        </w:rPr>
        <w:t>which was paid on the 1</w:t>
      </w:r>
      <w:r w:rsidR="006E7D8D" w:rsidRPr="006E7D8D">
        <w:rPr>
          <w:rFonts w:ascii="Arial" w:hAnsi="Arial" w:cs="Arial"/>
          <w:sz w:val="22"/>
          <w:szCs w:val="22"/>
          <w:vertAlign w:val="superscript"/>
        </w:rPr>
        <w:t>st</w:t>
      </w:r>
      <w:r w:rsidR="006E7D8D">
        <w:rPr>
          <w:rFonts w:ascii="Arial" w:hAnsi="Arial" w:cs="Arial"/>
          <w:sz w:val="22"/>
          <w:szCs w:val="22"/>
        </w:rPr>
        <w:t xml:space="preserve"> April 2014.</w:t>
      </w:r>
    </w:p>
    <w:p w:rsidR="00A74E5F" w:rsidRDefault="00A74E5F" w:rsidP="00A74E5F">
      <w:pPr>
        <w:rPr>
          <w:rFonts w:eastAsia="Calibri"/>
          <w:lang w:eastAsia="en-US"/>
        </w:rPr>
      </w:pPr>
    </w:p>
    <w:tbl>
      <w:tblPr>
        <w:tblW w:w="8655" w:type="dxa"/>
        <w:jc w:val="center"/>
        <w:tblLook w:val="04A0" w:firstRow="1" w:lastRow="0" w:firstColumn="1" w:lastColumn="0" w:noHBand="0" w:noVBand="1"/>
      </w:tblPr>
      <w:tblGrid>
        <w:gridCol w:w="1773"/>
        <w:gridCol w:w="1752"/>
        <w:gridCol w:w="2700"/>
        <w:gridCol w:w="2430"/>
      </w:tblGrid>
      <w:tr w:rsidR="004C7812" w:rsidRPr="00A05E1F" w:rsidTr="00A74E5F">
        <w:trPr>
          <w:trHeight w:val="315"/>
          <w:jc w:val="center"/>
        </w:trPr>
        <w:tc>
          <w:tcPr>
            <w:tcW w:w="1773" w:type="dxa"/>
            <w:tcBorders>
              <w:top w:val="nil"/>
              <w:left w:val="nil"/>
              <w:bottom w:val="nil"/>
              <w:right w:val="nil"/>
            </w:tcBorders>
            <w:shd w:val="clear" w:color="auto" w:fill="auto"/>
            <w:noWrap/>
            <w:vAlign w:val="bottom"/>
            <w:hideMark/>
          </w:tcPr>
          <w:p w:rsidR="004C7812" w:rsidRPr="00A05E1F" w:rsidRDefault="004C7812" w:rsidP="00A74E5F">
            <w:pPr>
              <w:rPr>
                <w:rFonts w:ascii="Calibri" w:hAnsi="Calibri" w:cs="Calibri"/>
                <w:color w:val="000000"/>
                <w:sz w:val="22"/>
                <w:szCs w:val="22"/>
              </w:rPr>
            </w:pPr>
            <w:bookmarkStart w:id="1" w:name="OLE_LINK2"/>
            <w:r>
              <w:rPr>
                <w:rFonts w:ascii="Arial" w:eastAsia="Calibri" w:hAnsi="Arial"/>
                <w:b/>
                <w:bCs/>
                <w:color w:val="1F497D"/>
                <w:szCs w:val="26"/>
                <w:lang w:eastAsia="en-US"/>
              </w:rPr>
              <w:br w:type="page"/>
            </w:r>
          </w:p>
        </w:tc>
        <w:tc>
          <w:tcPr>
            <w:tcW w:w="6882" w:type="dxa"/>
            <w:gridSpan w:val="3"/>
            <w:tcBorders>
              <w:top w:val="single" w:sz="8" w:space="0" w:color="auto"/>
              <w:left w:val="single" w:sz="8" w:space="0" w:color="auto"/>
              <w:bottom w:val="nil"/>
              <w:right w:val="single" w:sz="8" w:space="0" w:color="000000"/>
            </w:tcBorders>
            <w:shd w:val="clear" w:color="000000" w:fill="56008C"/>
            <w:noWrap/>
            <w:vAlign w:val="center"/>
            <w:hideMark/>
          </w:tcPr>
          <w:p w:rsidR="004C7812" w:rsidRPr="00A422D8" w:rsidRDefault="004C7812" w:rsidP="00A74E5F">
            <w:pPr>
              <w:jc w:val="center"/>
              <w:rPr>
                <w:rFonts w:ascii="Calibri" w:hAnsi="Calibri" w:cs="Calibri"/>
                <w:b/>
                <w:bCs/>
                <w:color w:val="FFFFFF" w:themeColor="background1"/>
                <w:sz w:val="22"/>
                <w:szCs w:val="22"/>
              </w:rPr>
            </w:pPr>
            <w:r w:rsidRPr="00A422D8">
              <w:rPr>
                <w:rFonts w:ascii="Calibri" w:hAnsi="Calibri" w:cs="Calibri"/>
                <w:b/>
                <w:bCs/>
                <w:color w:val="FFFFFF" w:themeColor="background1"/>
                <w:sz w:val="22"/>
                <w:szCs w:val="22"/>
              </w:rPr>
              <w:t>Aged Creditors – (£) amounts past due date</w:t>
            </w:r>
          </w:p>
        </w:tc>
      </w:tr>
      <w:tr w:rsidR="004C7812" w:rsidRPr="00A05E1F" w:rsidTr="00A74E5F">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7812" w:rsidRPr="00A05E1F" w:rsidRDefault="004C7812" w:rsidP="00A74E5F">
            <w:pPr>
              <w:rPr>
                <w:rFonts w:ascii="Calibri" w:hAnsi="Calibri" w:cs="Calibri"/>
                <w:color w:val="000000"/>
                <w:sz w:val="22"/>
                <w:szCs w:val="22"/>
              </w:rPr>
            </w:pPr>
            <w:r w:rsidRPr="00A05E1F">
              <w:rPr>
                <w:rFonts w:ascii="Calibri" w:hAnsi="Calibri" w:cs="Calibri"/>
                <w:color w:val="000000"/>
                <w:sz w:val="22"/>
                <w:szCs w:val="22"/>
              </w:rPr>
              <w:t> </w:t>
            </w:r>
          </w:p>
        </w:tc>
        <w:tc>
          <w:tcPr>
            <w:tcW w:w="1752" w:type="dxa"/>
            <w:tcBorders>
              <w:top w:val="single" w:sz="8" w:space="0" w:color="auto"/>
              <w:left w:val="nil"/>
              <w:bottom w:val="single" w:sz="8" w:space="0" w:color="auto"/>
              <w:right w:val="single" w:sz="8" w:space="0" w:color="auto"/>
            </w:tcBorders>
            <w:shd w:val="clear" w:color="auto" w:fill="auto"/>
            <w:noWrap/>
            <w:vAlign w:val="bottom"/>
            <w:hideMark/>
          </w:tcPr>
          <w:p w:rsidR="004C7812" w:rsidRPr="00A05E1F" w:rsidRDefault="004C7812" w:rsidP="00A74E5F">
            <w:pPr>
              <w:jc w:val="center"/>
              <w:rPr>
                <w:rFonts w:ascii="Calibri" w:hAnsi="Calibri" w:cs="Calibri"/>
                <w:b/>
                <w:bCs/>
                <w:color w:val="000000"/>
                <w:sz w:val="22"/>
                <w:szCs w:val="22"/>
              </w:rPr>
            </w:pPr>
            <w:r w:rsidRPr="00A05E1F">
              <w:rPr>
                <w:rFonts w:ascii="Calibri" w:hAnsi="Calibri" w:cs="Calibri"/>
                <w:b/>
                <w:bCs/>
                <w:color w:val="000000"/>
                <w:sz w:val="22"/>
                <w:szCs w:val="22"/>
              </w:rPr>
              <w:t>1-30 days</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4C7812" w:rsidRPr="00A05E1F" w:rsidRDefault="004C7812" w:rsidP="00A74E5F">
            <w:pPr>
              <w:jc w:val="center"/>
              <w:rPr>
                <w:rFonts w:ascii="Calibri" w:hAnsi="Calibri" w:cs="Calibri"/>
                <w:b/>
                <w:bCs/>
                <w:color w:val="000000"/>
                <w:sz w:val="22"/>
                <w:szCs w:val="22"/>
              </w:rPr>
            </w:pPr>
            <w:r w:rsidRPr="00A05E1F">
              <w:rPr>
                <w:rFonts w:ascii="Calibri" w:hAnsi="Calibri" w:cs="Calibri"/>
                <w:b/>
                <w:bCs/>
                <w:color w:val="000000"/>
                <w:sz w:val="22"/>
                <w:szCs w:val="22"/>
              </w:rPr>
              <w:t>31-60 days</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rsidR="004C7812" w:rsidRPr="00A05E1F" w:rsidRDefault="004C7812" w:rsidP="00A74E5F">
            <w:pPr>
              <w:jc w:val="center"/>
              <w:rPr>
                <w:rFonts w:ascii="Calibri" w:hAnsi="Calibri" w:cs="Calibri"/>
                <w:b/>
                <w:bCs/>
                <w:color w:val="000000"/>
                <w:sz w:val="22"/>
                <w:szCs w:val="22"/>
              </w:rPr>
            </w:pPr>
            <w:r>
              <w:rPr>
                <w:rFonts w:ascii="Calibri" w:hAnsi="Calibri" w:cs="Calibri"/>
                <w:b/>
                <w:bCs/>
                <w:color w:val="000000"/>
                <w:sz w:val="22"/>
                <w:szCs w:val="22"/>
              </w:rPr>
              <w:t>6</w:t>
            </w:r>
            <w:r w:rsidRPr="00A05E1F">
              <w:rPr>
                <w:rFonts w:ascii="Calibri" w:hAnsi="Calibri" w:cs="Calibri"/>
                <w:b/>
                <w:bCs/>
                <w:color w:val="000000"/>
                <w:sz w:val="22"/>
                <w:szCs w:val="22"/>
              </w:rPr>
              <w:t>0 + days</w:t>
            </w:r>
          </w:p>
        </w:tc>
      </w:tr>
      <w:tr w:rsidR="00646BC4" w:rsidRPr="00A05E1F" w:rsidTr="00A74E5F">
        <w:trPr>
          <w:trHeight w:val="232"/>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646BC4" w:rsidRPr="00A05E1F" w:rsidRDefault="00646BC4" w:rsidP="00A74E5F">
            <w:pPr>
              <w:rPr>
                <w:rFonts w:ascii="Calibri" w:hAnsi="Calibri" w:cs="Calibri"/>
                <w:b/>
                <w:color w:val="000000"/>
                <w:sz w:val="22"/>
                <w:szCs w:val="22"/>
              </w:rPr>
            </w:pPr>
            <w:r w:rsidRPr="00A05E1F">
              <w:rPr>
                <w:rFonts w:ascii="Calibri" w:hAnsi="Calibri" w:cs="Calibri"/>
                <w:b/>
                <w:color w:val="000000"/>
                <w:sz w:val="22"/>
                <w:szCs w:val="22"/>
              </w:rPr>
              <w:t>Non NHS Trade</w:t>
            </w:r>
          </w:p>
        </w:tc>
        <w:tc>
          <w:tcPr>
            <w:tcW w:w="1752" w:type="dxa"/>
            <w:tcBorders>
              <w:top w:val="nil"/>
              <w:left w:val="nil"/>
              <w:bottom w:val="single" w:sz="8" w:space="0" w:color="auto"/>
              <w:right w:val="single" w:sz="8" w:space="0" w:color="auto"/>
            </w:tcBorders>
            <w:shd w:val="clear" w:color="auto" w:fill="auto"/>
            <w:noWrap/>
            <w:hideMark/>
          </w:tcPr>
          <w:p w:rsidR="00646BC4" w:rsidRPr="00A05E1F" w:rsidRDefault="00447C0C" w:rsidP="00413148">
            <w:pPr>
              <w:jc w:val="center"/>
              <w:rPr>
                <w:rFonts w:ascii="Calibri" w:hAnsi="Calibri" w:cs="Calibri"/>
                <w:color w:val="000000"/>
                <w:sz w:val="22"/>
                <w:szCs w:val="22"/>
              </w:rPr>
            </w:pPr>
            <w:r>
              <w:rPr>
                <w:rFonts w:ascii="Calibri" w:hAnsi="Calibri" w:cs="Calibri"/>
                <w:color w:val="000000"/>
                <w:sz w:val="22"/>
                <w:szCs w:val="22"/>
              </w:rPr>
              <w:t xml:space="preserve">  </w:t>
            </w:r>
            <w:r w:rsidR="005431F7">
              <w:rPr>
                <w:rFonts w:ascii="Calibri" w:hAnsi="Calibri" w:cs="Calibri"/>
                <w:color w:val="000000"/>
                <w:sz w:val="22"/>
                <w:szCs w:val="22"/>
              </w:rPr>
              <w:t>4,068</w:t>
            </w:r>
          </w:p>
        </w:tc>
        <w:tc>
          <w:tcPr>
            <w:tcW w:w="2700" w:type="dxa"/>
            <w:tcBorders>
              <w:top w:val="nil"/>
              <w:left w:val="nil"/>
              <w:bottom w:val="single" w:sz="8" w:space="0" w:color="auto"/>
              <w:right w:val="single" w:sz="8" w:space="0" w:color="auto"/>
            </w:tcBorders>
            <w:shd w:val="clear" w:color="auto" w:fill="auto"/>
            <w:noWrap/>
            <w:hideMark/>
          </w:tcPr>
          <w:p w:rsidR="00646BC4" w:rsidRPr="00A05E1F" w:rsidRDefault="005431F7" w:rsidP="00A74E5F">
            <w:pPr>
              <w:jc w:val="center"/>
              <w:rPr>
                <w:rFonts w:ascii="Calibri" w:hAnsi="Calibri" w:cs="Calibri"/>
                <w:color w:val="000000"/>
                <w:sz w:val="22"/>
                <w:szCs w:val="22"/>
              </w:rPr>
            </w:pPr>
            <w:r>
              <w:rPr>
                <w:rFonts w:ascii="Calibri" w:hAnsi="Calibri" w:cs="Calibri"/>
                <w:color w:val="000000"/>
                <w:sz w:val="22"/>
                <w:szCs w:val="22"/>
              </w:rPr>
              <w:t>1,419</w:t>
            </w:r>
          </w:p>
        </w:tc>
        <w:tc>
          <w:tcPr>
            <w:tcW w:w="2430" w:type="dxa"/>
            <w:tcBorders>
              <w:top w:val="nil"/>
              <w:left w:val="nil"/>
              <w:bottom w:val="single" w:sz="8" w:space="0" w:color="auto"/>
              <w:right w:val="single" w:sz="8" w:space="0" w:color="auto"/>
            </w:tcBorders>
            <w:shd w:val="clear" w:color="auto" w:fill="auto"/>
            <w:noWrap/>
            <w:hideMark/>
          </w:tcPr>
          <w:p w:rsidR="00646BC4" w:rsidRPr="00A05E1F" w:rsidRDefault="006E7D8D" w:rsidP="00A74E5F">
            <w:pPr>
              <w:jc w:val="center"/>
              <w:rPr>
                <w:rFonts w:ascii="Calibri" w:hAnsi="Calibri" w:cs="Calibri"/>
                <w:color w:val="000000"/>
                <w:sz w:val="22"/>
                <w:szCs w:val="22"/>
              </w:rPr>
            </w:pPr>
            <w:r>
              <w:rPr>
                <w:rFonts w:ascii="Calibri" w:hAnsi="Calibri" w:cs="Calibri"/>
                <w:color w:val="000000"/>
                <w:sz w:val="22"/>
                <w:szCs w:val="22"/>
              </w:rPr>
              <w:t>3,882</w:t>
            </w:r>
          </w:p>
        </w:tc>
      </w:tr>
      <w:tr w:rsidR="00646BC4" w:rsidRPr="00A05E1F" w:rsidTr="00A74E5F">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646BC4" w:rsidRPr="00A05E1F" w:rsidRDefault="00646BC4" w:rsidP="00A74E5F">
            <w:pPr>
              <w:rPr>
                <w:rFonts w:ascii="Calibri" w:hAnsi="Calibri" w:cs="Calibri"/>
                <w:b/>
                <w:color w:val="000000"/>
                <w:sz w:val="22"/>
                <w:szCs w:val="22"/>
              </w:rPr>
            </w:pPr>
            <w:r w:rsidRPr="00A05E1F">
              <w:rPr>
                <w:rFonts w:ascii="Calibri" w:hAnsi="Calibri" w:cs="Calibri"/>
                <w:b/>
                <w:color w:val="000000"/>
                <w:sz w:val="22"/>
                <w:szCs w:val="22"/>
              </w:rPr>
              <w:t>Non NHS Other</w:t>
            </w:r>
          </w:p>
        </w:tc>
        <w:tc>
          <w:tcPr>
            <w:tcW w:w="1752" w:type="dxa"/>
            <w:tcBorders>
              <w:top w:val="nil"/>
              <w:left w:val="nil"/>
              <w:bottom w:val="single" w:sz="8" w:space="0" w:color="auto"/>
              <w:right w:val="single" w:sz="8" w:space="0" w:color="auto"/>
            </w:tcBorders>
            <w:shd w:val="clear" w:color="auto" w:fill="auto"/>
            <w:noWrap/>
            <w:hideMark/>
          </w:tcPr>
          <w:p w:rsidR="00646BC4" w:rsidRPr="00A05E1F" w:rsidRDefault="005431F7" w:rsidP="00A74E5F">
            <w:pPr>
              <w:jc w:val="center"/>
              <w:rPr>
                <w:rFonts w:ascii="Calibri" w:hAnsi="Calibri" w:cs="Calibri"/>
                <w:color w:val="000000"/>
                <w:sz w:val="22"/>
                <w:szCs w:val="22"/>
              </w:rPr>
            </w:pPr>
            <w:r>
              <w:rPr>
                <w:rFonts w:ascii="Calibri" w:hAnsi="Calibri" w:cs="Calibri"/>
                <w:color w:val="000000"/>
                <w:sz w:val="22"/>
                <w:szCs w:val="22"/>
              </w:rPr>
              <w:t>2,027</w:t>
            </w:r>
          </w:p>
        </w:tc>
        <w:tc>
          <w:tcPr>
            <w:tcW w:w="2700" w:type="dxa"/>
            <w:tcBorders>
              <w:top w:val="nil"/>
              <w:left w:val="nil"/>
              <w:bottom w:val="nil"/>
              <w:right w:val="single" w:sz="8" w:space="0" w:color="auto"/>
            </w:tcBorders>
            <w:shd w:val="clear" w:color="auto" w:fill="auto"/>
            <w:noWrap/>
            <w:hideMark/>
          </w:tcPr>
          <w:p w:rsidR="00646BC4" w:rsidRPr="00A05E1F" w:rsidRDefault="005431F7" w:rsidP="00AC4D15">
            <w:pPr>
              <w:jc w:val="center"/>
              <w:rPr>
                <w:rFonts w:ascii="Calibri" w:hAnsi="Calibri" w:cs="Calibri"/>
                <w:color w:val="000000"/>
                <w:sz w:val="22"/>
                <w:szCs w:val="22"/>
              </w:rPr>
            </w:pPr>
            <w:r>
              <w:rPr>
                <w:rFonts w:ascii="Calibri" w:hAnsi="Calibri" w:cs="Calibri"/>
                <w:color w:val="000000"/>
                <w:sz w:val="22"/>
                <w:szCs w:val="22"/>
              </w:rPr>
              <w:t>23</w:t>
            </w:r>
          </w:p>
        </w:tc>
        <w:tc>
          <w:tcPr>
            <w:tcW w:w="2430" w:type="dxa"/>
            <w:tcBorders>
              <w:top w:val="nil"/>
              <w:left w:val="nil"/>
              <w:bottom w:val="single" w:sz="8" w:space="0" w:color="auto"/>
              <w:right w:val="single" w:sz="8" w:space="0" w:color="auto"/>
            </w:tcBorders>
            <w:shd w:val="clear" w:color="auto" w:fill="auto"/>
            <w:noWrap/>
            <w:hideMark/>
          </w:tcPr>
          <w:p w:rsidR="00646BC4" w:rsidRPr="00A05E1F" w:rsidRDefault="005431F7" w:rsidP="00A74E5F">
            <w:pPr>
              <w:jc w:val="center"/>
              <w:rPr>
                <w:rFonts w:ascii="Calibri" w:hAnsi="Calibri" w:cs="Calibri"/>
                <w:color w:val="000000"/>
                <w:sz w:val="22"/>
                <w:szCs w:val="22"/>
              </w:rPr>
            </w:pPr>
            <w:r>
              <w:rPr>
                <w:rFonts w:ascii="Calibri" w:hAnsi="Calibri" w:cs="Calibri"/>
                <w:color w:val="000000"/>
                <w:sz w:val="22"/>
                <w:szCs w:val="22"/>
              </w:rPr>
              <w:t>1,025</w:t>
            </w:r>
          </w:p>
        </w:tc>
      </w:tr>
      <w:tr w:rsidR="00646BC4" w:rsidRPr="00A05E1F" w:rsidTr="00A74E5F">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646BC4" w:rsidRPr="00A05E1F" w:rsidRDefault="00646BC4" w:rsidP="00A74E5F">
            <w:pPr>
              <w:rPr>
                <w:rFonts w:ascii="Calibri" w:hAnsi="Calibri" w:cs="Calibri"/>
                <w:b/>
                <w:color w:val="000000"/>
                <w:sz w:val="22"/>
                <w:szCs w:val="22"/>
              </w:rPr>
            </w:pPr>
            <w:r w:rsidRPr="00A05E1F">
              <w:rPr>
                <w:rFonts w:ascii="Calibri" w:hAnsi="Calibri" w:cs="Calibri"/>
                <w:b/>
                <w:color w:val="000000"/>
                <w:sz w:val="22"/>
                <w:szCs w:val="22"/>
              </w:rPr>
              <w:t>NHS</w:t>
            </w:r>
          </w:p>
        </w:tc>
        <w:tc>
          <w:tcPr>
            <w:tcW w:w="1752" w:type="dxa"/>
            <w:tcBorders>
              <w:top w:val="nil"/>
              <w:left w:val="nil"/>
              <w:bottom w:val="single" w:sz="8" w:space="0" w:color="auto"/>
              <w:right w:val="single" w:sz="8" w:space="0" w:color="auto"/>
            </w:tcBorders>
            <w:shd w:val="clear" w:color="auto" w:fill="auto"/>
            <w:noWrap/>
            <w:hideMark/>
          </w:tcPr>
          <w:p w:rsidR="00646BC4" w:rsidRPr="00A05E1F" w:rsidRDefault="00413148" w:rsidP="00A74E5F">
            <w:pPr>
              <w:jc w:val="center"/>
              <w:rPr>
                <w:rFonts w:ascii="Calibri" w:hAnsi="Calibri" w:cs="Calibri"/>
                <w:color w:val="000000"/>
                <w:sz w:val="22"/>
                <w:szCs w:val="22"/>
              </w:rPr>
            </w:pPr>
            <w:r>
              <w:rPr>
                <w:rFonts w:ascii="Calibri" w:hAnsi="Calibri" w:cs="Calibri"/>
                <w:color w:val="000000"/>
                <w:sz w:val="22"/>
                <w:szCs w:val="22"/>
              </w:rPr>
              <w:t>0</w:t>
            </w:r>
          </w:p>
        </w:tc>
        <w:tc>
          <w:tcPr>
            <w:tcW w:w="2700" w:type="dxa"/>
            <w:tcBorders>
              <w:top w:val="single" w:sz="8" w:space="0" w:color="auto"/>
              <w:left w:val="nil"/>
              <w:bottom w:val="single" w:sz="8" w:space="0" w:color="auto"/>
              <w:right w:val="single" w:sz="8" w:space="0" w:color="auto"/>
            </w:tcBorders>
            <w:shd w:val="clear" w:color="auto" w:fill="auto"/>
            <w:noWrap/>
            <w:hideMark/>
          </w:tcPr>
          <w:p w:rsidR="00646BC4" w:rsidRPr="00A05E1F" w:rsidRDefault="00AC4D15" w:rsidP="00A74E5F">
            <w:pPr>
              <w:jc w:val="center"/>
              <w:rPr>
                <w:rFonts w:ascii="Calibri" w:hAnsi="Calibri" w:cs="Calibri"/>
                <w:color w:val="000000"/>
                <w:sz w:val="22"/>
                <w:szCs w:val="22"/>
              </w:rPr>
            </w:pPr>
            <w:r>
              <w:rPr>
                <w:rFonts w:ascii="Calibri" w:hAnsi="Calibri" w:cs="Calibri"/>
                <w:color w:val="000000"/>
                <w:sz w:val="22"/>
                <w:szCs w:val="22"/>
              </w:rPr>
              <w:t>0</w:t>
            </w:r>
          </w:p>
        </w:tc>
        <w:tc>
          <w:tcPr>
            <w:tcW w:w="2430" w:type="dxa"/>
            <w:tcBorders>
              <w:top w:val="nil"/>
              <w:left w:val="nil"/>
              <w:bottom w:val="single" w:sz="8" w:space="0" w:color="auto"/>
              <w:right w:val="single" w:sz="8" w:space="0" w:color="auto"/>
            </w:tcBorders>
            <w:shd w:val="clear" w:color="auto" w:fill="auto"/>
            <w:noWrap/>
            <w:hideMark/>
          </w:tcPr>
          <w:p w:rsidR="00646BC4" w:rsidRPr="00A05E1F" w:rsidRDefault="00AC4D15" w:rsidP="00A74E5F">
            <w:pPr>
              <w:jc w:val="center"/>
              <w:rPr>
                <w:rFonts w:ascii="Calibri" w:hAnsi="Calibri" w:cs="Calibri"/>
                <w:color w:val="000000"/>
                <w:sz w:val="22"/>
                <w:szCs w:val="22"/>
              </w:rPr>
            </w:pPr>
            <w:r>
              <w:rPr>
                <w:rFonts w:ascii="Calibri" w:hAnsi="Calibri" w:cs="Calibri"/>
                <w:color w:val="000000"/>
                <w:sz w:val="22"/>
                <w:szCs w:val="22"/>
              </w:rPr>
              <w:t>0</w:t>
            </w:r>
          </w:p>
        </w:tc>
      </w:tr>
      <w:tr w:rsidR="00646BC4" w:rsidRPr="00A05E1F" w:rsidTr="00A74E5F">
        <w:trPr>
          <w:trHeight w:val="315"/>
          <w:jc w:val="center"/>
        </w:trPr>
        <w:tc>
          <w:tcPr>
            <w:tcW w:w="1773" w:type="dxa"/>
            <w:tcBorders>
              <w:top w:val="nil"/>
              <w:left w:val="nil"/>
              <w:bottom w:val="nil"/>
              <w:right w:val="nil"/>
            </w:tcBorders>
            <w:shd w:val="clear" w:color="auto" w:fill="auto"/>
            <w:noWrap/>
            <w:vAlign w:val="bottom"/>
            <w:hideMark/>
          </w:tcPr>
          <w:p w:rsidR="00646BC4" w:rsidRPr="00A05E1F" w:rsidRDefault="00646BC4" w:rsidP="00A74E5F">
            <w:pPr>
              <w:rPr>
                <w:rFonts w:ascii="Calibri" w:hAnsi="Calibri" w:cs="Calibri"/>
                <w:b/>
                <w:color w:val="000000"/>
                <w:sz w:val="22"/>
                <w:szCs w:val="22"/>
              </w:rPr>
            </w:pPr>
          </w:p>
        </w:tc>
        <w:tc>
          <w:tcPr>
            <w:tcW w:w="1752" w:type="dxa"/>
            <w:tcBorders>
              <w:top w:val="nil"/>
              <w:left w:val="nil"/>
              <w:bottom w:val="nil"/>
              <w:right w:val="nil"/>
            </w:tcBorders>
            <w:shd w:val="clear" w:color="auto" w:fill="auto"/>
            <w:noWrap/>
            <w:hideMark/>
          </w:tcPr>
          <w:p w:rsidR="00646BC4" w:rsidRPr="00A05E1F" w:rsidRDefault="00646BC4" w:rsidP="00A74E5F">
            <w:pPr>
              <w:jc w:val="center"/>
              <w:rPr>
                <w:rFonts w:ascii="Calibri" w:hAnsi="Calibri" w:cs="Calibri"/>
                <w:color w:val="000000"/>
                <w:sz w:val="22"/>
                <w:szCs w:val="22"/>
              </w:rPr>
            </w:pPr>
          </w:p>
        </w:tc>
        <w:tc>
          <w:tcPr>
            <w:tcW w:w="2700" w:type="dxa"/>
            <w:tcBorders>
              <w:top w:val="nil"/>
              <w:left w:val="nil"/>
              <w:bottom w:val="nil"/>
              <w:right w:val="nil"/>
            </w:tcBorders>
            <w:shd w:val="clear" w:color="auto" w:fill="auto"/>
            <w:noWrap/>
            <w:hideMark/>
          </w:tcPr>
          <w:p w:rsidR="00646BC4" w:rsidRPr="00A05E1F" w:rsidRDefault="00646BC4" w:rsidP="00A74E5F">
            <w:pPr>
              <w:jc w:val="center"/>
              <w:rPr>
                <w:rFonts w:ascii="Calibri" w:hAnsi="Calibri" w:cs="Calibri"/>
                <w:color w:val="000000"/>
                <w:sz w:val="22"/>
                <w:szCs w:val="22"/>
              </w:rPr>
            </w:pPr>
          </w:p>
        </w:tc>
        <w:tc>
          <w:tcPr>
            <w:tcW w:w="2430" w:type="dxa"/>
            <w:tcBorders>
              <w:top w:val="nil"/>
              <w:left w:val="nil"/>
              <w:bottom w:val="nil"/>
              <w:right w:val="nil"/>
            </w:tcBorders>
            <w:shd w:val="clear" w:color="auto" w:fill="auto"/>
            <w:noWrap/>
            <w:hideMark/>
          </w:tcPr>
          <w:p w:rsidR="00646BC4" w:rsidRPr="00A05E1F" w:rsidRDefault="00646BC4" w:rsidP="00A74E5F">
            <w:pPr>
              <w:jc w:val="center"/>
              <w:rPr>
                <w:rFonts w:ascii="Calibri" w:hAnsi="Calibri" w:cs="Calibri"/>
                <w:color w:val="000000"/>
                <w:sz w:val="22"/>
                <w:szCs w:val="22"/>
              </w:rPr>
            </w:pPr>
          </w:p>
        </w:tc>
      </w:tr>
      <w:tr w:rsidR="00646BC4" w:rsidRPr="00A05E1F" w:rsidTr="00A74E5F">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46BC4" w:rsidRPr="00A05E1F" w:rsidRDefault="00646BC4" w:rsidP="00A74E5F">
            <w:pPr>
              <w:rPr>
                <w:rFonts w:ascii="Calibri" w:hAnsi="Calibri" w:cs="Calibri"/>
                <w:b/>
                <w:color w:val="000000"/>
                <w:sz w:val="22"/>
                <w:szCs w:val="22"/>
              </w:rPr>
            </w:pPr>
            <w:r w:rsidRPr="00A05E1F">
              <w:rPr>
                <w:rFonts w:ascii="Calibri" w:hAnsi="Calibri" w:cs="Calibri"/>
                <w:b/>
                <w:color w:val="000000"/>
                <w:sz w:val="22"/>
                <w:szCs w:val="22"/>
              </w:rPr>
              <w:t>Total</w:t>
            </w:r>
          </w:p>
        </w:tc>
        <w:tc>
          <w:tcPr>
            <w:tcW w:w="1752" w:type="dxa"/>
            <w:tcBorders>
              <w:top w:val="single" w:sz="8" w:space="0" w:color="auto"/>
              <w:left w:val="nil"/>
              <w:bottom w:val="single" w:sz="8" w:space="0" w:color="auto"/>
              <w:right w:val="single" w:sz="8" w:space="0" w:color="auto"/>
            </w:tcBorders>
            <w:shd w:val="clear" w:color="auto" w:fill="auto"/>
            <w:noWrap/>
            <w:hideMark/>
          </w:tcPr>
          <w:p w:rsidR="00646BC4" w:rsidRPr="00A05E1F" w:rsidRDefault="005431F7" w:rsidP="00A74E5F">
            <w:pPr>
              <w:jc w:val="center"/>
              <w:rPr>
                <w:rFonts w:ascii="Calibri" w:hAnsi="Calibri" w:cs="Calibri"/>
                <w:color w:val="000000"/>
                <w:sz w:val="22"/>
                <w:szCs w:val="22"/>
              </w:rPr>
            </w:pPr>
            <w:r>
              <w:rPr>
                <w:rFonts w:ascii="Calibri" w:hAnsi="Calibri" w:cs="Calibri"/>
                <w:color w:val="000000"/>
                <w:sz w:val="22"/>
                <w:szCs w:val="22"/>
              </w:rPr>
              <w:t>6,096</w:t>
            </w:r>
          </w:p>
        </w:tc>
        <w:tc>
          <w:tcPr>
            <w:tcW w:w="2700" w:type="dxa"/>
            <w:tcBorders>
              <w:top w:val="single" w:sz="8" w:space="0" w:color="auto"/>
              <w:left w:val="nil"/>
              <w:bottom w:val="single" w:sz="8" w:space="0" w:color="auto"/>
              <w:right w:val="single" w:sz="8" w:space="0" w:color="auto"/>
            </w:tcBorders>
            <w:shd w:val="clear" w:color="auto" w:fill="auto"/>
            <w:noWrap/>
            <w:hideMark/>
          </w:tcPr>
          <w:p w:rsidR="00646BC4" w:rsidRPr="00A05E1F" w:rsidRDefault="005431F7" w:rsidP="00364482">
            <w:pPr>
              <w:jc w:val="center"/>
              <w:rPr>
                <w:rFonts w:ascii="Calibri" w:hAnsi="Calibri" w:cs="Calibri"/>
                <w:color w:val="000000"/>
                <w:sz w:val="22"/>
                <w:szCs w:val="22"/>
              </w:rPr>
            </w:pPr>
            <w:r>
              <w:rPr>
                <w:rFonts w:ascii="Calibri" w:hAnsi="Calibri" w:cs="Calibri"/>
                <w:color w:val="000000"/>
                <w:sz w:val="22"/>
                <w:szCs w:val="22"/>
              </w:rPr>
              <w:t>1,443</w:t>
            </w:r>
          </w:p>
        </w:tc>
        <w:tc>
          <w:tcPr>
            <w:tcW w:w="2430" w:type="dxa"/>
            <w:tcBorders>
              <w:top w:val="single" w:sz="8" w:space="0" w:color="auto"/>
              <w:left w:val="nil"/>
              <w:bottom w:val="single" w:sz="8" w:space="0" w:color="auto"/>
              <w:right w:val="single" w:sz="8" w:space="0" w:color="auto"/>
            </w:tcBorders>
            <w:shd w:val="clear" w:color="auto" w:fill="auto"/>
            <w:noWrap/>
            <w:hideMark/>
          </w:tcPr>
          <w:p w:rsidR="00646BC4" w:rsidRPr="00A05E1F" w:rsidRDefault="006E7D8D" w:rsidP="00A74E5F">
            <w:pPr>
              <w:jc w:val="center"/>
              <w:rPr>
                <w:rFonts w:ascii="Calibri" w:hAnsi="Calibri" w:cs="Calibri"/>
                <w:color w:val="000000"/>
                <w:sz w:val="22"/>
                <w:szCs w:val="22"/>
              </w:rPr>
            </w:pPr>
            <w:r>
              <w:rPr>
                <w:rFonts w:ascii="Calibri" w:hAnsi="Calibri" w:cs="Calibri"/>
                <w:color w:val="000000"/>
                <w:sz w:val="22"/>
                <w:szCs w:val="22"/>
              </w:rPr>
              <w:t>4,907</w:t>
            </w:r>
          </w:p>
        </w:tc>
      </w:tr>
      <w:bookmarkEnd w:id="1"/>
    </w:tbl>
    <w:p w:rsidR="00A74E5F" w:rsidRDefault="00A74E5F" w:rsidP="00015D1D">
      <w:pPr>
        <w:spacing w:after="200" w:line="276" w:lineRule="auto"/>
        <w:rPr>
          <w:rFonts w:ascii="Arial" w:eastAsia="Calibri" w:hAnsi="Arial"/>
          <w:b/>
          <w:bCs/>
          <w:color w:val="56008C"/>
          <w:szCs w:val="26"/>
          <w:lang w:eastAsia="en-US"/>
        </w:rPr>
      </w:pPr>
    </w:p>
    <w:p w:rsidR="00A74E5F" w:rsidRDefault="00A74E5F">
      <w:pPr>
        <w:spacing w:after="200" w:line="276" w:lineRule="auto"/>
        <w:rPr>
          <w:rFonts w:ascii="Arial" w:eastAsia="Calibri" w:hAnsi="Arial"/>
          <w:b/>
          <w:bCs/>
          <w:color w:val="56008C"/>
          <w:szCs w:val="26"/>
          <w:lang w:eastAsia="en-US"/>
        </w:rPr>
      </w:pPr>
    </w:p>
    <w:p w:rsidR="00AC4D15" w:rsidRDefault="00AC4D15">
      <w:pPr>
        <w:spacing w:after="200" w:line="276" w:lineRule="auto"/>
        <w:rPr>
          <w:rFonts w:ascii="Arial" w:eastAsia="Calibri" w:hAnsi="Arial"/>
          <w:b/>
          <w:bCs/>
          <w:color w:val="56008C"/>
          <w:szCs w:val="26"/>
          <w:lang w:eastAsia="en-US"/>
        </w:rPr>
      </w:pPr>
    </w:p>
    <w:p w:rsidR="00054430" w:rsidRDefault="00054430">
      <w:pPr>
        <w:spacing w:after="200" w:line="276" w:lineRule="auto"/>
        <w:rPr>
          <w:rFonts w:ascii="Arial" w:eastAsia="Calibri" w:hAnsi="Arial"/>
          <w:b/>
          <w:bCs/>
          <w:color w:val="56008C"/>
          <w:szCs w:val="26"/>
          <w:lang w:eastAsia="en-US"/>
        </w:rPr>
      </w:pPr>
    </w:p>
    <w:p w:rsidR="00C52506" w:rsidRPr="00A422D8" w:rsidRDefault="00015D1D" w:rsidP="00015D1D">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lastRenderedPageBreak/>
        <w:t>H</w:t>
      </w:r>
      <w:r w:rsidR="00597AF4" w:rsidRPr="00A422D8">
        <w:rPr>
          <w:rFonts w:ascii="Arial" w:eastAsia="Calibri" w:hAnsi="Arial"/>
          <w:b/>
          <w:bCs/>
          <w:color w:val="56008C"/>
          <w:szCs w:val="26"/>
          <w:lang w:eastAsia="en-US"/>
        </w:rPr>
        <w:t xml:space="preserve">RA Revenue position for the period ended </w:t>
      </w:r>
      <w:r w:rsidR="00E31CA4">
        <w:rPr>
          <w:rFonts w:ascii="Arial" w:eastAsia="Calibri" w:hAnsi="Arial"/>
          <w:b/>
          <w:bCs/>
          <w:color w:val="56008C"/>
          <w:szCs w:val="26"/>
          <w:lang w:eastAsia="en-US"/>
        </w:rPr>
        <w:t>31 March</w:t>
      </w:r>
      <w:r w:rsidR="00F273CB">
        <w:rPr>
          <w:rFonts w:ascii="Arial" w:eastAsia="Calibri" w:hAnsi="Arial"/>
          <w:b/>
          <w:bCs/>
          <w:color w:val="56008C"/>
          <w:szCs w:val="26"/>
          <w:lang w:eastAsia="en-US"/>
        </w:rPr>
        <w:t xml:space="preserve"> 2014</w:t>
      </w:r>
    </w:p>
    <w:tbl>
      <w:tblPr>
        <w:tblW w:w="14060" w:type="dxa"/>
        <w:tblInd w:w="93" w:type="dxa"/>
        <w:tblLook w:val="04A0" w:firstRow="1" w:lastRow="0" w:firstColumn="1" w:lastColumn="0" w:noHBand="0" w:noVBand="1"/>
      </w:tblPr>
      <w:tblGrid>
        <w:gridCol w:w="960"/>
        <w:gridCol w:w="960"/>
        <w:gridCol w:w="1050"/>
        <w:gridCol w:w="300"/>
        <w:gridCol w:w="3280"/>
        <w:gridCol w:w="300"/>
        <w:gridCol w:w="1120"/>
        <w:gridCol w:w="1060"/>
        <w:gridCol w:w="1050"/>
        <w:gridCol w:w="320"/>
        <w:gridCol w:w="960"/>
        <w:gridCol w:w="960"/>
        <w:gridCol w:w="960"/>
        <w:gridCol w:w="1050"/>
      </w:tblGrid>
      <w:tr w:rsidR="00C64C09" w:rsidRPr="00C64C09" w:rsidTr="00C64C09">
        <w:trPr>
          <w:trHeight w:val="300"/>
        </w:trPr>
        <w:tc>
          <w:tcPr>
            <w:tcW w:w="2880" w:type="dxa"/>
            <w:gridSpan w:val="3"/>
            <w:tcBorders>
              <w:top w:val="single" w:sz="8" w:space="0" w:color="FFFFFF"/>
              <w:left w:val="single" w:sz="8" w:space="0" w:color="FFFFFF"/>
              <w:bottom w:val="nil"/>
              <w:right w:val="nil"/>
            </w:tcBorders>
            <w:shd w:val="clear" w:color="000000" w:fill="E28C05"/>
            <w:vAlign w:val="center"/>
            <w:hideMark/>
          </w:tcPr>
          <w:p w:rsidR="00C64C09" w:rsidRPr="00C64C09" w:rsidRDefault="00C64C09" w:rsidP="00C64C09">
            <w:pPr>
              <w:jc w:val="center"/>
              <w:rPr>
                <w:rFonts w:ascii="Arial" w:hAnsi="Arial" w:cs="Arial"/>
                <w:b/>
                <w:bCs/>
                <w:color w:val="56008C"/>
                <w:sz w:val="20"/>
                <w:szCs w:val="20"/>
              </w:rPr>
            </w:pPr>
            <w:r w:rsidRPr="00C64C09">
              <w:rPr>
                <w:rFonts w:ascii="Arial" w:hAnsi="Arial" w:cs="Arial"/>
                <w:b/>
                <w:bCs/>
                <w:color w:val="56008C"/>
                <w:sz w:val="20"/>
                <w:szCs w:val="20"/>
              </w:rPr>
              <w:t>Period (£'000)</w:t>
            </w:r>
          </w:p>
        </w:tc>
        <w:tc>
          <w:tcPr>
            <w:tcW w:w="300" w:type="dxa"/>
            <w:tcBorders>
              <w:top w:val="nil"/>
              <w:left w:val="nil"/>
              <w:bottom w:val="nil"/>
              <w:right w:val="nil"/>
            </w:tcBorders>
            <w:shd w:val="clear" w:color="auto" w:fill="auto"/>
            <w:vAlign w:val="center"/>
            <w:hideMark/>
          </w:tcPr>
          <w:p w:rsidR="00C64C09" w:rsidRPr="00C64C09" w:rsidRDefault="00C64C09" w:rsidP="00C64C09">
            <w:pPr>
              <w:jc w:val="center"/>
              <w:rPr>
                <w:rFonts w:ascii="Arial" w:hAnsi="Arial" w:cs="Arial"/>
                <w:b/>
                <w:bCs/>
                <w:color w:val="FFFFFF"/>
                <w:sz w:val="20"/>
                <w:szCs w:val="20"/>
              </w:rPr>
            </w:pPr>
          </w:p>
        </w:tc>
        <w:tc>
          <w:tcPr>
            <w:tcW w:w="3280" w:type="dxa"/>
            <w:tcBorders>
              <w:top w:val="single" w:sz="4" w:space="0" w:color="666666"/>
              <w:left w:val="nil"/>
              <w:bottom w:val="single" w:sz="4" w:space="0" w:color="666666"/>
              <w:right w:val="single" w:sz="4" w:space="0" w:color="666666"/>
            </w:tcBorders>
            <w:shd w:val="clear" w:color="000000" w:fill="56008C"/>
            <w:vAlign w:val="center"/>
            <w:hideMark/>
          </w:tcPr>
          <w:p w:rsidR="00C64C09" w:rsidRPr="00C64C09" w:rsidRDefault="00C64C09" w:rsidP="00C64C09">
            <w:pPr>
              <w:jc w:val="center"/>
              <w:rPr>
                <w:rFonts w:ascii="Arial" w:hAnsi="Arial" w:cs="Arial"/>
                <w:b/>
                <w:bCs/>
                <w:color w:val="FFFFFF"/>
                <w:sz w:val="20"/>
                <w:szCs w:val="20"/>
              </w:rPr>
            </w:pPr>
            <w:r w:rsidRPr="00C64C09">
              <w:rPr>
                <w:rFonts w:ascii="Arial" w:hAnsi="Arial" w:cs="Arial"/>
                <w:b/>
                <w:bCs/>
                <w:color w:val="FFFFFF"/>
                <w:sz w:val="20"/>
                <w:szCs w:val="20"/>
              </w:rPr>
              <w:t>Department</w:t>
            </w:r>
          </w:p>
        </w:tc>
        <w:tc>
          <w:tcPr>
            <w:tcW w:w="300" w:type="dxa"/>
            <w:tcBorders>
              <w:top w:val="nil"/>
              <w:left w:val="nil"/>
              <w:bottom w:val="nil"/>
              <w:right w:val="nil"/>
            </w:tcBorders>
            <w:shd w:val="clear" w:color="auto" w:fill="auto"/>
            <w:vAlign w:val="center"/>
            <w:hideMark/>
          </w:tcPr>
          <w:p w:rsidR="00C64C09" w:rsidRPr="00C64C09" w:rsidRDefault="00C64C09" w:rsidP="00C64C09">
            <w:pPr>
              <w:jc w:val="center"/>
              <w:rPr>
                <w:rFonts w:ascii="Arial" w:hAnsi="Arial" w:cs="Arial"/>
                <w:b/>
                <w:bCs/>
                <w:color w:val="FFFFFF"/>
                <w:sz w:val="20"/>
                <w:szCs w:val="20"/>
              </w:rPr>
            </w:pPr>
          </w:p>
        </w:tc>
        <w:tc>
          <w:tcPr>
            <w:tcW w:w="3140" w:type="dxa"/>
            <w:gridSpan w:val="3"/>
            <w:tcBorders>
              <w:top w:val="single" w:sz="8" w:space="0" w:color="FFFFFF"/>
              <w:left w:val="single" w:sz="8" w:space="0" w:color="FFFFFF"/>
              <w:bottom w:val="nil"/>
              <w:right w:val="single" w:sz="8" w:space="0" w:color="FFFFFF"/>
            </w:tcBorders>
            <w:shd w:val="clear" w:color="000000" w:fill="E28C05"/>
            <w:vAlign w:val="center"/>
            <w:hideMark/>
          </w:tcPr>
          <w:p w:rsidR="00C64C09" w:rsidRPr="00C64C09" w:rsidRDefault="00C64C09" w:rsidP="00C64C09">
            <w:pPr>
              <w:jc w:val="center"/>
              <w:rPr>
                <w:rFonts w:ascii="Arial" w:hAnsi="Arial" w:cs="Arial"/>
                <w:b/>
                <w:bCs/>
                <w:color w:val="56008C"/>
                <w:sz w:val="20"/>
                <w:szCs w:val="20"/>
              </w:rPr>
            </w:pPr>
            <w:r w:rsidRPr="00C64C09">
              <w:rPr>
                <w:rFonts w:ascii="Arial" w:hAnsi="Arial" w:cs="Arial"/>
                <w:b/>
                <w:bCs/>
                <w:color w:val="56008C"/>
                <w:sz w:val="20"/>
                <w:szCs w:val="20"/>
              </w:rPr>
              <w:t>Year to date (£'000)</w:t>
            </w:r>
          </w:p>
        </w:tc>
        <w:tc>
          <w:tcPr>
            <w:tcW w:w="32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0"/>
                <w:szCs w:val="20"/>
              </w:rPr>
            </w:pPr>
          </w:p>
        </w:tc>
        <w:tc>
          <w:tcPr>
            <w:tcW w:w="3840" w:type="dxa"/>
            <w:gridSpan w:val="4"/>
            <w:tcBorders>
              <w:top w:val="single" w:sz="8" w:space="0" w:color="FFFFFF"/>
              <w:left w:val="single" w:sz="8" w:space="0" w:color="FFFFFF"/>
              <w:bottom w:val="nil"/>
              <w:right w:val="single" w:sz="8" w:space="0" w:color="FFFFFF"/>
            </w:tcBorders>
            <w:shd w:val="clear" w:color="000000" w:fill="56008C"/>
            <w:vAlign w:val="center"/>
            <w:hideMark/>
          </w:tcPr>
          <w:p w:rsidR="00C64C09" w:rsidRPr="00C64C09" w:rsidRDefault="00C64C09" w:rsidP="00C64C09">
            <w:pPr>
              <w:jc w:val="center"/>
              <w:rPr>
                <w:rFonts w:ascii="Arial" w:hAnsi="Arial" w:cs="Arial"/>
                <w:b/>
                <w:bCs/>
                <w:color w:val="FFFFFF"/>
                <w:sz w:val="20"/>
                <w:szCs w:val="20"/>
              </w:rPr>
            </w:pPr>
            <w:r w:rsidRPr="00C64C09">
              <w:rPr>
                <w:rFonts w:ascii="Arial" w:hAnsi="Arial" w:cs="Arial"/>
                <w:b/>
                <w:bCs/>
                <w:color w:val="FFFFFF"/>
                <w:sz w:val="20"/>
                <w:szCs w:val="20"/>
              </w:rPr>
              <w:t>Full year (£'000)</w:t>
            </w:r>
          </w:p>
        </w:tc>
      </w:tr>
      <w:tr w:rsidR="00C64C09" w:rsidRPr="00C64C09" w:rsidTr="00C64C09">
        <w:trPr>
          <w:trHeight w:val="525"/>
        </w:trPr>
        <w:tc>
          <w:tcPr>
            <w:tcW w:w="960" w:type="dxa"/>
            <w:tcBorders>
              <w:top w:val="nil"/>
              <w:left w:val="nil"/>
              <w:bottom w:val="nil"/>
              <w:right w:val="single" w:sz="8" w:space="0" w:color="816EA6"/>
            </w:tcBorders>
            <w:shd w:val="clear" w:color="000000" w:fill="E28C05"/>
            <w:vAlign w:val="center"/>
            <w:hideMark/>
          </w:tcPr>
          <w:p w:rsidR="00C64C09" w:rsidRPr="00C64C09" w:rsidRDefault="00C64C09" w:rsidP="00C64C09">
            <w:pPr>
              <w:jc w:val="center"/>
              <w:rPr>
                <w:rFonts w:ascii="Arial" w:hAnsi="Arial" w:cs="Arial"/>
                <w:b/>
                <w:bCs/>
                <w:color w:val="56008C"/>
                <w:sz w:val="20"/>
                <w:szCs w:val="20"/>
              </w:rPr>
            </w:pPr>
            <w:r w:rsidRPr="00C64C09">
              <w:rPr>
                <w:rFonts w:ascii="Arial" w:hAnsi="Arial" w:cs="Arial"/>
                <w:b/>
                <w:bCs/>
                <w:color w:val="56008C"/>
                <w:sz w:val="20"/>
                <w:szCs w:val="20"/>
              </w:rPr>
              <w:t>Budget</w:t>
            </w:r>
          </w:p>
        </w:tc>
        <w:tc>
          <w:tcPr>
            <w:tcW w:w="960" w:type="dxa"/>
            <w:tcBorders>
              <w:top w:val="nil"/>
              <w:left w:val="nil"/>
              <w:bottom w:val="nil"/>
              <w:right w:val="single" w:sz="8" w:space="0" w:color="816EA6"/>
            </w:tcBorders>
            <w:shd w:val="clear" w:color="000000" w:fill="E28C05"/>
            <w:vAlign w:val="center"/>
            <w:hideMark/>
          </w:tcPr>
          <w:p w:rsidR="00C64C09" w:rsidRPr="00C64C09" w:rsidRDefault="00C64C09" w:rsidP="00C64C09">
            <w:pPr>
              <w:jc w:val="center"/>
              <w:rPr>
                <w:rFonts w:ascii="Arial" w:hAnsi="Arial" w:cs="Arial"/>
                <w:b/>
                <w:bCs/>
                <w:color w:val="56008C"/>
                <w:sz w:val="20"/>
                <w:szCs w:val="20"/>
              </w:rPr>
            </w:pPr>
            <w:r w:rsidRPr="00C64C09">
              <w:rPr>
                <w:rFonts w:ascii="Arial" w:hAnsi="Arial" w:cs="Arial"/>
                <w:b/>
                <w:bCs/>
                <w:color w:val="56008C"/>
                <w:sz w:val="20"/>
                <w:szCs w:val="20"/>
              </w:rPr>
              <w:t>Actual</w:t>
            </w:r>
          </w:p>
        </w:tc>
        <w:tc>
          <w:tcPr>
            <w:tcW w:w="960" w:type="dxa"/>
            <w:tcBorders>
              <w:top w:val="nil"/>
              <w:left w:val="nil"/>
              <w:bottom w:val="nil"/>
              <w:right w:val="nil"/>
            </w:tcBorders>
            <w:shd w:val="clear" w:color="000000" w:fill="E28C05"/>
            <w:vAlign w:val="center"/>
            <w:hideMark/>
          </w:tcPr>
          <w:p w:rsidR="00C64C09" w:rsidRPr="00C64C09" w:rsidRDefault="00C64C09" w:rsidP="00C64C09">
            <w:pPr>
              <w:jc w:val="center"/>
              <w:rPr>
                <w:rFonts w:ascii="Arial" w:hAnsi="Arial" w:cs="Arial"/>
                <w:b/>
                <w:bCs/>
                <w:color w:val="56008C"/>
                <w:sz w:val="20"/>
                <w:szCs w:val="20"/>
              </w:rPr>
            </w:pPr>
            <w:r w:rsidRPr="00C64C09">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C64C09" w:rsidRPr="00C64C09" w:rsidRDefault="00C64C09" w:rsidP="00C64C09">
            <w:pPr>
              <w:jc w:val="center"/>
              <w:rPr>
                <w:rFonts w:ascii="Arial" w:hAnsi="Arial" w:cs="Arial"/>
                <w:b/>
                <w:bCs/>
                <w:color w:val="000000"/>
                <w:sz w:val="20"/>
                <w:szCs w:val="20"/>
              </w:rPr>
            </w:pPr>
          </w:p>
        </w:tc>
        <w:tc>
          <w:tcPr>
            <w:tcW w:w="3280" w:type="dxa"/>
            <w:tcBorders>
              <w:top w:val="nil"/>
              <w:left w:val="nil"/>
              <w:bottom w:val="single" w:sz="8" w:space="0" w:color="CCCCCC"/>
              <w:right w:val="single" w:sz="8" w:space="0" w:color="CCCCCC"/>
            </w:tcBorders>
            <w:shd w:val="clear" w:color="000000" w:fill="56008C"/>
            <w:vAlign w:val="center"/>
            <w:hideMark/>
          </w:tcPr>
          <w:p w:rsidR="00C64C09" w:rsidRPr="00C64C09" w:rsidRDefault="00C64C09" w:rsidP="00C64C09">
            <w:pPr>
              <w:jc w:val="center"/>
              <w:rPr>
                <w:rFonts w:ascii="Arial" w:hAnsi="Arial" w:cs="Arial"/>
                <w:b/>
                <w:bCs/>
                <w:color w:val="FFFFFF"/>
                <w:sz w:val="20"/>
                <w:szCs w:val="20"/>
              </w:rPr>
            </w:pPr>
            <w:r w:rsidRPr="00C64C09">
              <w:rPr>
                <w:rFonts w:ascii="Arial" w:hAnsi="Arial" w:cs="Arial"/>
                <w:b/>
                <w:bCs/>
                <w:color w:val="FFFFFF"/>
                <w:sz w:val="20"/>
                <w:szCs w:val="20"/>
              </w:rPr>
              <w:t>Income</w:t>
            </w:r>
          </w:p>
        </w:tc>
        <w:tc>
          <w:tcPr>
            <w:tcW w:w="300" w:type="dxa"/>
            <w:tcBorders>
              <w:top w:val="nil"/>
              <w:left w:val="nil"/>
              <w:bottom w:val="nil"/>
              <w:right w:val="nil"/>
            </w:tcBorders>
            <w:shd w:val="clear" w:color="auto" w:fill="auto"/>
            <w:vAlign w:val="center"/>
            <w:hideMark/>
          </w:tcPr>
          <w:p w:rsidR="00C64C09" w:rsidRPr="00C64C09" w:rsidRDefault="00C64C09" w:rsidP="00C64C09">
            <w:pPr>
              <w:jc w:val="center"/>
              <w:rPr>
                <w:rFonts w:ascii="Arial" w:hAnsi="Arial" w:cs="Arial"/>
                <w:b/>
                <w:bCs/>
                <w:color w:val="000000"/>
                <w:sz w:val="20"/>
                <w:szCs w:val="20"/>
              </w:rPr>
            </w:pPr>
          </w:p>
        </w:tc>
        <w:tc>
          <w:tcPr>
            <w:tcW w:w="1120" w:type="dxa"/>
            <w:tcBorders>
              <w:top w:val="nil"/>
              <w:left w:val="nil"/>
              <w:bottom w:val="nil"/>
              <w:right w:val="single" w:sz="8" w:space="0" w:color="55ACD3"/>
            </w:tcBorders>
            <w:shd w:val="clear" w:color="000000" w:fill="E28C05"/>
            <w:vAlign w:val="center"/>
            <w:hideMark/>
          </w:tcPr>
          <w:p w:rsidR="00C64C09" w:rsidRPr="00C64C09" w:rsidRDefault="00C64C09" w:rsidP="00C64C09">
            <w:pPr>
              <w:rPr>
                <w:rFonts w:ascii="Arial" w:hAnsi="Arial" w:cs="Arial"/>
                <w:b/>
                <w:bCs/>
                <w:color w:val="56008C"/>
                <w:sz w:val="20"/>
                <w:szCs w:val="20"/>
              </w:rPr>
            </w:pPr>
            <w:r w:rsidRPr="00C64C09">
              <w:rPr>
                <w:rFonts w:ascii="Arial" w:hAnsi="Arial" w:cs="Arial"/>
                <w:b/>
                <w:bCs/>
                <w:color w:val="56008C"/>
                <w:sz w:val="20"/>
                <w:szCs w:val="20"/>
              </w:rPr>
              <w:t>Budget</w:t>
            </w:r>
          </w:p>
        </w:tc>
        <w:tc>
          <w:tcPr>
            <w:tcW w:w="1060" w:type="dxa"/>
            <w:tcBorders>
              <w:top w:val="nil"/>
              <w:left w:val="nil"/>
              <w:bottom w:val="nil"/>
              <w:right w:val="single" w:sz="8" w:space="0" w:color="55ACD3"/>
            </w:tcBorders>
            <w:shd w:val="clear" w:color="000000" w:fill="E28C05"/>
            <w:vAlign w:val="center"/>
            <w:hideMark/>
          </w:tcPr>
          <w:p w:rsidR="00C64C09" w:rsidRPr="00C64C09" w:rsidRDefault="00C64C09" w:rsidP="00C64C09">
            <w:pPr>
              <w:rPr>
                <w:rFonts w:ascii="Arial" w:hAnsi="Arial" w:cs="Arial"/>
                <w:b/>
                <w:bCs/>
                <w:color w:val="56008C"/>
                <w:sz w:val="20"/>
                <w:szCs w:val="20"/>
              </w:rPr>
            </w:pPr>
            <w:r w:rsidRPr="00C64C09">
              <w:rPr>
                <w:rFonts w:ascii="Arial" w:hAnsi="Arial" w:cs="Arial"/>
                <w:b/>
                <w:bCs/>
                <w:color w:val="56008C"/>
                <w:sz w:val="20"/>
                <w:szCs w:val="20"/>
              </w:rPr>
              <w:t>Actual</w:t>
            </w:r>
          </w:p>
        </w:tc>
        <w:tc>
          <w:tcPr>
            <w:tcW w:w="960" w:type="dxa"/>
            <w:tcBorders>
              <w:top w:val="nil"/>
              <w:left w:val="nil"/>
              <w:bottom w:val="nil"/>
              <w:right w:val="nil"/>
            </w:tcBorders>
            <w:shd w:val="clear" w:color="000000" w:fill="E28C05"/>
            <w:vAlign w:val="center"/>
            <w:hideMark/>
          </w:tcPr>
          <w:p w:rsidR="00C64C09" w:rsidRPr="00C64C09" w:rsidRDefault="00C64C09" w:rsidP="00C64C09">
            <w:pPr>
              <w:rPr>
                <w:rFonts w:ascii="Arial" w:hAnsi="Arial" w:cs="Arial"/>
                <w:b/>
                <w:bCs/>
                <w:color w:val="56008C"/>
                <w:sz w:val="20"/>
                <w:szCs w:val="20"/>
              </w:rPr>
            </w:pPr>
            <w:r w:rsidRPr="00C64C09">
              <w:rPr>
                <w:rFonts w:ascii="Arial" w:hAnsi="Arial" w:cs="Arial"/>
                <w:b/>
                <w:bCs/>
                <w:color w:val="56008C"/>
                <w:sz w:val="20"/>
                <w:szCs w:val="20"/>
              </w:rPr>
              <w:t>Variance</w:t>
            </w:r>
          </w:p>
        </w:tc>
        <w:tc>
          <w:tcPr>
            <w:tcW w:w="32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C64C09" w:rsidRPr="00C64C09" w:rsidRDefault="00C64C09" w:rsidP="00C64C09">
            <w:pPr>
              <w:jc w:val="center"/>
              <w:rPr>
                <w:rFonts w:ascii="Arial" w:hAnsi="Arial" w:cs="Arial"/>
                <w:b/>
                <w:bCs/>
                <w:color w:val="FFFFFF"/>
                <w:sz w:val="20"/>
                <w:szCs w:val="20"/>
              </w:rPr>
            </w:pPr>
            <w:r w:rsidRPr="00C64C09">
              <w:rPr>
                <w:rFonts w:ascii="Arial" w:hAnsi="Arial" w:cs="Arial"/>
                <w:b/>
                <w:bCs/>
                <w:color w:val="FFFFFF"/>
                <w:sz w:val="20"/>
                <w:szCs w:val="20"/>
              </w:rPr>
              <w:t>2012/13 actual</w:t>
            </w:r>
          </w:p>
        </w:tc>
        <w:tc>
          <w:tcPr>
            <w:tcW w:w="960" w:type="dxa"/>
            <w:tcBorders>
              <w:top w:val="nil"/>
              <w:left w:val="nil"/>
              <w:bottom w:val="nil"/>
              <w:right w:val="single" w:sz="8" w:space="0" w:color="55ACD3"/>
            </w:tcBorders>
            <w:shd w:val="clear" w:color="000000" w:fill="56008C"/>
            <w:vAlign w:val="center"/>
            <w:hideMark/>
          </w:tcPr>
          <w:p w:rsidR="00C64C09" w:rsidRPr="00C64C09" w:rsidRDefault="00C64C09" w:rsidP="00C64C09">
            <w:pPr>
              <w:rPr>
                <w:rFonts w:ascii="Arial" w:hAnsi="Arial" w:cs="Arial"/>
                <w:b/>
                <w:bCs/>
                <w:color w:val="FFFFFF"/>
                <w:sz w:val="20"/>
                <w:szCs w:val="20"/>
              </w:rPr>
            </w:pPr>
            <w:r w:rsidRPr="00C64C09">
              <w:rPr>
                <w:rFonts w:ascii="Arial" w:hAnsi="Arial" w:cs="Arial"/>
                <w:b/>
                <w:bCs/>
                <w:color w:val="FFFFFF"/>
                <w:sz w:val="20"/>
                <w:szCs w:val="20"/>
              </w:rPr>
              <w:t>Initial budget</w:t>
            </w:r>
          </w:p>
        </w:tc>
        <w:tc>
          <w:tcPr>
            <w:tcW w:w="960" w:type="dxa"/>
            <w:tcBorders>
              <w:top w:val="nil"/>
              <w:left w:val="nil"/>
              <w:bottom w:val="nil"/>
              <w:right w:val="single" w:sz="8" w:space="0" w:color="55ACD3"/>
            </w:tcBorders>
            <w:shd w:val="clear" w:color="000000" w:fill="56008C"/>
            <w:vAlign w:val="center"/>
            <w:hideMark/>
          </w:tcPr>
          <w:p w:rsidR="00C64C09" w:rsidRPr="00C64C09" w:rsidRDefault="00C64C09" w:rsidP="00C64C09">
            <w:pPr>
              <w:rPr>
                <w:rFonts w:ascii="Arial" w:hAnsi="Arial" w:cs="Arial"/>
                <w:b/>
                <w:bCs/>
                <w:color w:val="FFFFFF"/>
                <w:sz w:val="20"/>
                <w:szCs w:val="20"/>
              </w:rPr>
            </w:pPr>
            <w:r w:rsidRPr="00C64C09">
              <w:rPr>
                <w:rFonts w:ascii="Arial" w:hAnsi="Arial" w:cs="Arial"/>
                <w:b/>
                <w:bCs/>
                <w:color w:val="FFFFFF"/>
                <w:sz w:val="20"/>
                <w:szCs w:val="20"/>
              </w:rPr>
              <w:t>Latest Budget</w:t>
            </w:r>
          </w:p>
        </w:tc>
        <w:tc>
          <w:tcPr>
            <w:tcW w:w="960" w:type="dxa"/>
            <w:tcBorders>
              <w:top w:val="nil"/>
              <w:left w:val="nil"/>
              <w:bottom w:val="nil"/>
              <w:right w:val="nil"/>
            </w:tcBorders>
            <w:shd w:val="clear" w:color="000000" w:fill="56008C"/>
            <w:vAlign w:val="center"/>
            <w:hideMark/>
          </w:tcPr>
          <w:p w:rsidR="00C64C09" w:rsidRPr="00C64C09" w:rsidRDefault="00C64C09" w:rsidP="00C64C09">
            <w:pPr>
              <w:rPr>
                <w:rFonts w:ascii="Arial" w:hAnsi="Arial" w:cs="Arial"/>
                <w:b/>
                <w:bCs/>
                <w:color w:val="FFFFFF"/>
                <w:sz w:val="20"/>
                <w:szCs w:val="20"/>
              </w:rPr>
            </w:pPr>
            <w:r w:rsidRPr="00C64C09">
              <w:rPr>
                <w:rFonts w:ascii="Arial" w:hAnsi="Arial" w:cs="Arial"/>
                <w:b/>
                <w:bCs/>
                <w:color w:val="FFFFFF"/>
                <w:sz w:val="20"/>
                <w:szCs w:val="20"/>
              </w:rPr>
              <w:t>Forecast</w:t>
            </w:r>
          </w:p>
        </w:tc>
      </w:tr>
      <w:tr w:rsidR="00C64C09" w:rsidRPr="00C64C09" w:rsidTr="00C64C09">
        <w:trPr>
          <w:trHeight w:val="315"/>
        </w:trPr>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-38</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-34</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4</w:t>
            </w:r>
          </w:p>
        </w:tc>
        <w:tc>
          <w:tcPr>
            <w:tcW w:w="30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3280" w:type="dxa"/>
            <w:tcBorders>
              <w:top w:val="nil"/>
              <w:left w:val="single" w:sz="8" w:space="0" w:color="FFFFFF"/>
              <w:bottom w:val="single" w:sz="8" w:space="0" w:color="FFFFFF"/>
              <w:right w:val="single" w:sz="8" w:space="0" w:color="FFFFFF"/>
            </w:tcBorders>
            <w:shd w:val="clear" w:color="auto" w:fill="auto"/>
            <w:vAlign w:val="bottom"/>
            <w:hideMark/>
          </w:tcPr>
          <w:p w:rsidR="00C64C09" w:rsidRPr="00C64C09" w:rsidRDefault="00C64C09" w:rsidP="00C64C09">
            <w:pPr>
              <w:rPr>
                <w:rFonts w:ascii="Arial" w:hAnsi="Arial" w:cs="Arial"/>
                <w:color w:val="000000"/>
                <w:sz w:val="18"/>
                <w:szCs w:val="18"/>
              </w:rPr>
            </w:pPr>
            <w:r w:rsidRPr="00C64C09">
              <w:rPr>
                <w:rFonts w:ascii="Arial" w:hAnsi="Arial" w:cs="Arial"/>
                <w:color w:val="000000"/>
                <w:sz w:val="18"/>
                <w:szCs w:val="18"/>
              </w:rPr>
              <w:t>HRA income</w:t>
            </w:r>
          </w:p>
        </w:tc>
        <w:tc>
          <w:tcPr>
            <w:tcW w:w="30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235</w:t>
            </w:r>
          </w:p>
        </w:tc>
        <w:tc>
          <w:tcPr>
            <w:tcW w:w="10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258</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23</w:t>
            </w:r>
          </w:p>
        </w:tc>
        <w:tc>
          <w:tcPr>
            <w:tcW w:w="32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-270</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-220</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-235</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-258</w:t>
            </w:r>
          </w:p>
        </w:tc>
      </w:tr>
      <w:tr w:rsidR="00C64C09" w:rsidRPr="00C64C09" w:rsidTr="00C64C09">
        <w:trPr>
          <w:trHeight w:val="315"/>
        </w:trPr>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1463</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918</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-545</w:t>
            </w:r>
          </w:p>
        </w:tc>
        <w:tc>
          <w:tcPr>
            <w:tcW w:w="30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3280" w:type="dxa"/>
            <w:tcBorders>
              <w:top w:val="nil"/>
              <w:left w:val="single" w:sz="8" w:space="0" w:color="FFFFFF"/>
              <w:bottom w:val="single" w:sz="8" w:space="0" w:color="FFFFFF"/>
              <w:right w:val="single" w:sz="8" w:space="0" w:color="FFFFFF"/>
            </w:tcBorders>
            <w:shd w:val="clear" w:color="auto" w:fill="auto"/>
            <w:vAlign w:val="bottom"/>
            <w:hideMark/>
          </w:tcPr>
          <w:p w:rsidR="00C64C09" w:rsidRPr="00C64C09" w:rsidRDefault="00C64C09" w:rsidP="00C64C09">
            <w:pPr>
              <w:rPr>
                <w:rFonts w:ascii="Arial" w:hAnsi="Arial" w:cs="Arial"/>
                <w:color w:val="000000"/>
                <w:sz w:val="18"/>
                <w:szCs w:val="18"/>
              </w:rPr>
            </w:pPr>
            <w:r w:rsidRPr="00C64C09">
              <w:rPr>
                <w:rFonts w:ascii="Arial" w:hAnsi="Arial" w:cs="Arial"/>
                <w:color w:val="000000"/>
                <w:sz w:val="18"/>
                <w:szCs w:val="18"/>
              </w:rPr>
              <w:t>Grant in Aid</w:t>
            </w:r>
          </w:p>
        </w:tc>
        <w:tc>
          <w:tcPr>
            <w:tcW w:w="30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9460</w:t>
            </w:r>
          </w:p>
        </w:tc>
        <w:tc>
          <w:tcPr>
            <w:tcW w:w="10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8523</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-937</w:t>
            </w:r>
          </w:p>
        </w:tc>
        <w:tc>
          <w:tcPr>
            <w:tcW w:w="32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-9,027</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-9,445</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-9,460</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-8,523</w:t>
            </w:r>
          </w:p>
        </w:tc>
      </w:tr>
      <w:tr w:rsidR="00C64C09" w:rsidRPr="00C64C09" w:rsidTr="00C64C09">
        <w:trPr>
          <w:trHeight w:val="300"/>
        </w:trPr>
        <w:tc>
          <w:tcPr>
            <w:tcW w:w="960" w:type="dxa"/>
            <w:tcBorders>
              <w:top w:val="nil"/>
              <w:left w:val="single" w:sz="8" w:space="0" w:color="FFFFFF"/>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1,425</w:t>
            </w:r>
          </w:p>
        </w:tc>
        <w:tc>
          <w:tcPr>
            <w:tcW w:w="9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884</w:t>
            </w:r>
          </w:p>
        </w:tc>
        <w:tc>
          <w:tcPr>
            <w:tcW w:w="9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-541</w:t>
            </w:r>
          </w:p>
        </w:tc>
        <w:tc>
          <w:tcPr>
            <w:tcW w:w="30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3280" w:type="dxa"/>
            <w:tcBorders>
              <w:top w:val="nil"/>
              <w:left w:val="single" w:sz="8" w:space="0" w:color="FFFFFF"/>
              <w:bottom w:val="nil"/>
              <w:right w:val="single" w:sz="8" w:space="0" w:color="FFFFFF"/>
            </w:tcBorders>
            <w:shd w:val="clear" w:color="000000" w:fill="C0C0C0"/>
            <w:vAlign w:val="bottom"/>
            <w:hideMark/>
          </w:tcPr>
          <w:p w:rsidR="00C64C09" w:rsidRPr="00C64C09" w:rsidRDefault="00C64C09" w:rsidP="00C64C09">
            <w:pPr>
              <w:rPr>
                <w:rFonts w:ascii="Arial" w:hAnsi="Arial" w:cs="Arial"/>
                <w:b/>
                <w:bCs/>
                <w:color w:val="000000"/>
                <w:sz w:val="18"/>
                <w:szCs w:val="18"/>
              </w:rPr>
            </w:pPr>
            <w:r w:rsidRPr="00C64C09">
              <w:rPr>
                <w:rFonts w:ascii="Arial" w:hAnsi="Arial" w:cs="Arial"/>
                <w:b/>
                <w:bCs/>
                <w:color w:val="000000"/>
                <w:sz w:val="18"/>
                <w:szCs w:val="18"/>
              </w:rPr>
              <w:t xml:space="preserve"> Total Income</w:t>
            </w:r>
          </w:p>
        </w:tc>
        <w:tc>
          <w:tcPr>
            <w:tcW w:w="300" w:type="dxa"/>
            <w:tcBorders>
              <w:top w:val="nil"/>
              <w:left w:val="nil"/>
              <w:bottom w:val="nil"/>
              <w:right w:val="single" w:sz="8" w:space="0" w:color="FFFFFF"/>
            </w:tcBorders>
            <w:shd w:val="clear" w:color="auto" w:fill="auto"/>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 </w:t>
            </w:r>
          </w:p>
        </w:tc>
        <w:tc>
          <w:tcPr>
            <w:tcW w:w="112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9,695</w:t>
            </w:r>
          </w:p>
        </w:tc>
        <w:tc>
          <w:tcPr>
            <w:tcW w:w="10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8,781</w:t>
            </w:r>
          </w:p>
        </w:tc>
        <w:tc>
          <w:tcPr>
            <w:tcW w:w="9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-914</w:t>
            </w:r>
          </w:p>
        </w:tc>
        <w:tc>
          <w:tcPr>
            <w:tcW w:w="32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-9,297</w:t>
            </w:r>
          </w:p>
        </w:tc>
        <w:tc>
          <w:tcPr>
            <w:tcW w:w="9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-9,665</w:t>
            </w:r>
          </w:p>
        </w:tc>
        <w:tc>
          <w:tcPr>
            <w:tcW w:w="9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-9,695</w:t>
            </w:r>
          </w:p>
        </w:tc>
        <w:tc>
          <w:tcPr>
            <w:tcW w:w="9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-8,781</w:t>
            </w:r>
          </w:p>
        </w:tc>
      </w:tr>
      <w:tr w:rsidR="00C64C09" w:rsidRPr="00C64C09" w:rsidTr="00C64C09">
        <w:trPr>
          <w:trHeight w:val="300"/>
        </w:trPr>
        <w:tc>
          <w:tcPr>
            <w:tcW w:w="960" w:type="dxa"/>
            <w:tcBorders>
              <w:top w:val="nil"/>
              <w:left w:val="nil"/>
              <w:bottom w:val="nil"/>
              <w:right w:val="nil"/>
            </w:tcBorders>
            <w:shd w:val="clear" w:color="auto" w:fill="auto"/>
            <w:vAlign w:val="bottom"/>
            <w:hideMark/>
          </w:tcPr>
          <w:p w:rsidR="00C64C09" w:rsidRPr="00C64C09" w:rsidRDefault="00C64C09" w:rsidP="00C64C09">
            <w:pPr>
              <w:jc w:val="right"/>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C64C09" w:rsidRPr="00C64C09" w:rsidRDefault="00C64C09" w:rsidP="00C64C09">
            <w:pPr>
              <w:jc w:val="right"/>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C64C09" w:rsidRPr="00C64C09" w:rsidRDefault="00C64C09" w:rsidP="00C64C09">
            <w:pPr>
              <w:jc w:val="right"/>
              <w:rPr>
                <w:rFonts w:ascii="Arial" w:hAnsi="Arial" w:cs="Arial"/>
                <w:b/>
                <w:bCs/>
                <w:color w:val="000000"/>
                <w:sz w:val="18"/>
                <w:szCs w:val="18"/>
              </w:rPr>
            </w:pPr>
          </w:p>
        </w:tc>
        <w:tc>
          <w:tcPr>
            <w:tcW w:w="30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3280" w:type="dxa"/>
            <w:tcBorders>
              <w:top w:val="nil"/>
              <w:left w:val="nil"/>
              <w:bottom w:val="nil"/>
              <w:right w:val="nil"/>
            </w:tcBorders>
            <w:shd w:val="clear" w:color="auto" w:fill="auto"/>
            <w:vAlign w:val="bottom"/>
            <w:hideMark/>
          </w:tcPr>
          <w:p w:rsidR="00C64C09" w:rsidRPr="00C64C09" w:rsidRDefault="00C64C09" w:rsidP="00C64C09">
            <w:pPr>
              <w:rPr>
                <w:rFonts w:ascii="Arial" w:hAnsi="Arial" w:cs="Arial"/>
                <w:b/>
                <w:bCs/>
                <w:color w:val="000000"/>
                <w:sz w:val="18"/>
                <w:szCs w:val="18"/>
              </w:rPr>
            </w:pPr>
          </w:p>
        </w:tc>
        <w:tc>
          <w:tcPr>
            <w:tcW w:w="300" w:type="dxa"/>
            <w:tcBorders>
              <w:top w:val="nil"/>
              <w:left w:val="nil"/>
              <w:bottom w:val="nil"/>
              <w:right w:val="nil"/>
            </w:tcBorders>
            <w:shd w:val="clear" w:color="auto" w:fill="auto"/>
            <w:vAlign w:val="bottom"/>
            <w:hideMark/>
          </w:tcPr>
          <w:p w:rsidR="00C64C09" w:rsidRPr="00C64C09" w:rsidRDefault="00C64C09" w:rsidP="00C64C09">
            <w:pPr>
              <w:jc w:val="right"/>
              <w:rPr>
                <w:rFonts w:ascii="Arial" w:hAnsi="Arial" w:cs="Arial"/>
                <w:b/>
                <w:bCs/>
                <w:color w:val="000000"/>
                <w:sz w:val="18"/>
                <w:szCs w:val="18"/>
              </w:rPr>
            </w:pPr>
          </w:p>
        </w:tc>
        <w:tc>
          <w:tcPr>
            <w:tcW w:w="1120" w:type="dxa"/>
            <w:tcBorders>
              <w:top w:val="nil"/>
              <w:left w:val="nil"/>
              <w:bottom w:val="nil"/>
              <w:right w:val="nil"/>
            </w:tcBorders>
            <w:shd w:val="clear" w:color="auto" w:fill="auto"/>
            <w:vAlign w:val="bottom"/>
            <w:hideMark/>
          </w:tcPr>
          <w:p w:rsidR="00C64C09" w:rsidRPr="00C64C09" w:rsidRDefault="00C64C09" w:rsidP="00C64C09">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vAlign w:val="bottom"/>
            <w:hideMark/>
          </w:tcPr>
          <w:p w:rsidR="00C64C09" w:rsidRPr="00C64C09" w:rsidRDefault="00C64C09" w:rsidP="00C64C09">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C64C09" w:rsidRPr="00C64C09" w:rsidRDefault="00C64C09" w:rsidP="00C64C09">
            <w:pPr>
              <w:rPr>
                <w:rFonts w:ascii="Arial" w:hAnsi="Arial" w:cs="Arial"/>
                <w:b/>
                <w:bCs/>
                <w:color w:val="000000"/>
                <w:sz w:val="18"/>
                <w:szCs w:val="18"/>
              </w:rPr>
            </w:pPr>
          </w:p>
        </w:tc>
        <w:tc>
          <w:tcPr>
            <w:tcW w:w="32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960" w:type="dxa"/>
            <w:tcBorders>
              <w:top w:val="nil"/>
              <w:left w:val="nil"/>
              <w:bottom w:val="nil"/>
              <w:right w:val="nil"/>
            </w:tcBorders>
            <w:shd w:val="clear" w:color="auto" w:fill="auto"/>
            <w:vAlign w:val="bottom"/>
            <w:hideMark/>
          </w:tcPr>
          <w:p w:rsidR="00C64C09" w:rsidRPr="00C64C09" w:rsidRDefault="00C64C09" w:rsidP="00C64C09">
            <w:pPr>
              <w:jc w:val="right"/>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C64C09" w:rsidRPr="00C64C09" w:rsidRDefault="00C64C09" w:rsidP="00C64C09">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C64C09" w:rsidRPr="00C64C09" w:rsidRDefault="00C64C09" w:rsidP="00C64C09">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C64C09" w:rsidRPr="00C64C09" w:rsidRDefault="00C64C09" w:rsidP="00C64C09">
            <w:pPr>
              <w:rPr>
                <w:rFonts w:ascii="Arial" w:hAnsi="Arial" w:cs="Arial"/>
                <w:b/>
                <w:bCs/>
                <w:color w:val="000000"/>
                <w:sz w:val="18"/>
                <w:szCs w:val="18"/>
              </w:rPr>
            </w:pPr>
          </w:p>
        </w:tc>
      </w:tr>
      <w:tr w:rsidR="00C64C09" w:rsidRPr="00C64C09" w:rsidTr="00C64C09">
        <w:trPr>
          <w:trHeight w:val="525"/>
        </w:trPr>
        <w:tc>
          <w:tcPr>
            <w:tcW w:w="960" w:type="dxa"/>
            <w:tcBorders>
              <w:top w:val="nil"/>
              <w:left w:val="nil"/>
              <w:bottom w:val="nil"/>
              <w:right w:val="single" w:sz="8" w:space="0" w:color="816EA6"/>
            </w:tcBorders>
            <w:shd w:val="clear" w:color="000000" w:fill="E28C05"/>
            <w:vAlign w:val="center"/>
            <w:hideMark/>
          </w:tcPr>
          <w:p w:rsidR="00C64C09" w:rsidRPr="00C64C09" w:rsidRDefault="00C64C09" w:rsidP="00C64C09">
            <w:pPr>
              <w:jc w:val="center"/>
              <w:rPr>
                <w:rFonts w:ascii="Arial" w:hAnsi="Arial" w:cs="Arial"/>
                <w:b/>
                <w:bCs/>
                <w:color w:val="56008C"/>
                <w:sz w:val="20"/>
                <w:szCs w:val="20"/>
              </w:rPr>
            </w:pPr>
            <w:r w:rsidRPr="00C64C09">
              <w:rPr>
                <w:rFonts w:ascii="Arial" w:hAnsi="Arial" w:cs="Arial"/>
                <w:b/>
                <w:bCs/>
                <w:color w:val="56008C"/>
                <w:sz w:val="20"/>
                <w:szCs w:val="20"/>
              </w:rPr>
              <w:t>Budget</w:t>
            </w:r>
          </w:p>
        </w:tc>
        <w:tc>
          <w:tcPr>
            <w:tcW w:w="960" w:type="dxa"/>
            <w:tcBorders>
              <w:top w:val="nil"/>
              <w:left w:val="nil"/>
              <w:bottom w:val="nil"/>
              <w:right w:val="single" w:sz="8" w:space="0" w:color="816EA6"/>
            </w:tcBorders>
            <w:shd w:val="clear" w:color="000000" w:fill="E28C05"/>
            <w:vAlign w:val="center"/>
            <w:hideMark/>
          </w:tcPr>
          <w:p w:rsidR="00C64C09" w:rsidRPr="00C64C09" w:rsidRDefault="00C64C09" w:rsidP="00C64C09">
            <w:pPr>
              <w:jc w:val="center"/>
              <w:rPr>
                <w:rFonts w:ascii="Arial" w:hAnsi="Arial" w:cs="Arial"/>
                <w:b/>
                <w:bCs/>
                <w:color w:val="56008C"/>
                <w:sz w:val="20"/>
                <w:szCs w:val="20"/>
              </w:rPr>
            </w:pPr>
            <w:r w:rsidRPr="00C64C09">
              <w:rPr>
                <w:rFonts w:ascii="Arial" w:hAnsi="Arial" w:cs="Arial"/>
                <w:b/>
                <w:bCs/>
                <w:color w:val="56008C"/>
                <w:sz w:val="20"/>
                <w:szCs w:val="20"/>
              </w:rPr>
              <w:t>Actual</w:t>
            </w:r>
          </w:p>
        </w:tc>
        <w:tc>
          <w:tcPr>
            <w:tcW w:w="960" w:type="dxa"/>
            <w:tcBorders>
              <w:top w:val="nil"/>
              <w:left w:val="nil"/>
              <w:bottom w:val="nil"/>
              <w:right w:val="nil"/>
            </w:tcBorders>
            <w:shd w:val="clear" w:color="000000" w:fill="E28C05"/>
            <w:vAlign w:val="center"/>
            <w:hideMark/>
          </w:tcPr>
          <w:p w:rsidR="00C64C09" w:rsidRPr="00C64C09" w:rsidRDefault="00C64C09" w:rsidP="00C64C09">
            <w:pPr>
              <w:jc w:val="center"/>
              <w:rPr>
                <w:rFonts w:ascii="Arial" w:hAnsi="Arial" w:cs="Arial"/>
                <w:b/>
                <w:bCs/>
                <w:color w:val="56008C"/>
                <w:sz w:val="20"/>
                <w:szCs w:val="20"/>
              </w:rPr>
            </w:pPr>
            <w:r w:rsidRPr="00C64C09">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C64C09" w:rsidRPr="00C64C09" w:rsidRDefault="00C64C09" w:rsidP="00C64C09">
            <w:pPr>
              <w:jc w:val="center"/>
              <w:rPr>
                <w:rFonts w:ascii="Arial" w:hAnsi="Arial" w:cs="Arial"/>
                <w:b/>
                <w:bCs/>
                <w:color w:val="000000"/>
                <w:sz w:val="20"/>
                <w:szCs w:val="20"/>
              </w:rPr>
            </w:pPr>
          </w:p>
        </w:tc>
        <w:tc>
          <w:tcPr>
            <w:tcW w:w="3280" w:type="dxa"/>
            <w:tcBorders>
              <w:top w:val="nil"/>
              <w:left w:val="nil"/>
              <w:bottom w:val="single" w:sz="8" w:space="0" w:color="CCCCCC"/>
              <w:right w:val="single" w:sz="8" w:space="0" w:color="CCCCCC"/>
            </w:tcBorders>
            <w:shd w:val="clear" w:color="000000" w:fill="56008C"/>
            <w:vAlign w:val="center"/>
            <w:hideMark/>
          </w:tcPr>
          <w:p w:rsidR="00C64C09" w:rsidRPr="00C64C09" w:rsidRDefault="00C64C09" w:rsidP="00C64C09">
            <w:pPr>
              <w:jc w:val="center"/>
              <w:rPr>
                <w:rFonts w:ascii="Arial" w:hAnsi="Arial" w:cs="Arial"/>
                <w:b/>
                <w:bCs/>
                <w:color w:val="FFFFFF"/>
                <w:sz w:val="20"/>
                <w:szCs w:val="20"/>
              </w:rPr>
            </w:pPr>
            <w:r w:rsidRPr="00C64C09">
              <w:rPr>
                <w:rFonts w:ascii="Arial" w:hAnsi="Arial" w:cs="Arial"/>
                <w:b/>
                <w:bCs/>
                <w:color w:val="FFFFFF"/>
                <w:sz w:val="20"/>
                <w:szCs w:val="20"/>
              </w:rPr>
              <w:t>Expenditure</w:t>
            </w:r>
          </w:p>
        </w:tc>
        <w:tc>
          <w:tcPr>
            <w:tcW w:w="300" w:type="dxa"/>
            <w:tcBorders>
              <w:top w:val="nil"/>
              <w:left w:val="nil"/>
              <w:bottom w:val="nil"/>
              <w:right w:val="nil"/>
            </w:tcBorders>
            <w:shd w:val="clear" w:color="auto" w:fill="auto"/>
            <w:vAlign w:val="center"/>
            <w:hideMark/>
          </w:tcPr>
          <w:p w:rsidR="00C64C09" w:rsidRPr="00C64C09" w:rsidRDefault="00C64C09" w:rsidP="00C64C09">
            <w:pPr>
              <w:jc w:val="center"/>
              <w:rPr>
                <w:rFonts w:ascii="Arial" w:hAnsi="Arial" w:cs="Arial"/>
                <w:b/>
                <w:bCs/>
                <w:color w:val="000000"/>
                <w:sz w:val="20"/>
                <w:szCs w:val="20"/>
              </w:rPr>
            </w:pPr>
          </w:p>
        </w:tc>
        <w:tc>
          <w:tcPr>
            <w:tcW w:w="1120" w:type="dxa"/>
            <w:tcBorders>
              <w:top w:val="nil"/>
              <w:left w:val="nil"/>
              <w:bottom w:val="nil"/>
              <w:right w:val="single" w:sz="8" w:space="0" w:color="55ACD3"/>
            </w:tcBorders>
            <w:shd w:val="clear" w:color="000000" w:fill="E28C05"/>
            <w:vAlign w:val="center"/>
            <w:hideMark/>
          </w:tcPr>
          <w:p w:rsidR="00C64C09" w:rsidRPr="00C64C09" w:rsidRDefault="00C64C09" w:rsidP="00C64C09">
            <w:pPr>
              <w:rPr>
                <w:rFonts w:ascii="Arial" w:hAnsi="Arial" w:cs="Arial"/>
                <w:b/>
                <w:bCs/>
                <w:color w:val="56008C"/>
                <w:sz w:val="20"/>
                <w:szCs w:val="20"/>
              </w:rPr>
            </w:pPr>
            <w:r w:rsidRPr="00C64C09">
              <w:rPr>
                <w:rFonts w:ascii="Arial" w:hAnsi="Arial" w:cs="Arial"/>
                <w:b/>
                <w:bCs/>
                <w:color w:val="56008C"/>
                <w:sz w:val="20"/>
                <w:szCs w:val="20"/>
              </w:rPr>
              <w:t>Budget</w:t>
            </w:r>
          </w:p>
        </w:tc>
        <w:tc>
          <w:tcPr>
            <w:tcW w:w="1060" w:type="dxa"/>
            <w:tcBorders>
              <w:top w:val="nil"/>
              <w:left w:val="nil"/>
              <w:bottom w:val="nil"/>
              <w:right w:val="single" w:sz="8" w:space="0" w:color="55ACD3"/>
            </w:tcBorders>
            <w:shd w:val="clear" w:color="000000" w:fill="E28C05"/>
            <w:vAlign w:val="center"/>
            <w:hideMark/>
          </w:tcPr>
          <w:p w:rsidR="00C64C09" w:rsidRPr="00C64C09" w:rsidRDefault="00C64C09" w:rsidP="00C64C09">
            <w:pPr>
              <w:rPr>
                <w:rFonts w:ascii="Arial" w:hAnsi="Arial" w:cs="Arial"/>
                <w:b/>
                <w:bCs/>
                <w:color w:val="56008C"/>
                <w:sz w:val="20"/>
                <w:szCs w:val="20"/>
              </w:rPr>
            </w:pPr>
            <w:r w:rsidRPr="00C64C09">
              <w:rPr>
                <w:rFonts w:ascii="Arial" w:hAnsi="Arial" w:cs="Arial"/>
                <w:b/>
                <w:bCs/>
                <w:color w:val="56008C"/>
                <w:sz w:val="20"/>
                <w:szCs w:val="20"/>
              </w:rPr>
              <w:t>Actual</w:t>
            </w:r>
          </w:p>
        </w:tc>
        <w:tc>
          <w:tcPr>
            <w:tcW w:w="960" w:type="dxa"/>
            <w:tcBorders>
              <w:top w:val="nil"/>
              <w:left w:val="nil"/>
              <w:bottom w:val="nil"/>
              <w:right w:val="nil"/>
            </w:tcBorders>
            <w:shd w:val="clear" w:color="000000" w:fill="E28C05"/>
            <w:vAlign w:val="center"/>
            <w:hideMark/>
          </w:tcPr>
          <w:p w:rsidR="00C64C09" w:rsidRPr="00C64C09" w:rsidRDefault="00C64C09" w:rsidP="00C64C09">
            <w:pPr>
              <w:rPr>
                <w:rFonts w:ascii="Arial" w:hAnsi="Arial" w:cs="Arial"/>
                <w:b/>
                <w:bCs/>
                <w:color w:val="56008C"/>
                <w:sz w:val="20"/>
                <w:szCs w:val="20"/>
              </w:rPr>
            </w:pPr>
            <w:r w:rsidRPr="00C64C09">
              <w:rPr>
                <w:rFonts w:ascii="Arial" w:hAnsi="Arial" w:cs="Arial"/>
                <w:b/>
                <w:bCs/>
                <w:color w:val="56008C"/>
                <w:sz w:val="20"/>
                <w:szCs w:val="20"/>
              </w:rPr>
              <w:t>Variance</w:t>
            </w:r>
          </w:p>
        </w:tc>
        <w:tc>
          <w:tcPr>
            <w:tcW w:w="32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C64C09" w:rsidRPr="00C64C09" w:rsidRDefault="00C64C09" w:rsidP="00C64C09">
            <w:pPr>
              <w:rPr>
                <w:rFonts w:ascii="Arial" w:hAnsi="Arial" w:cs="Arial"/>
                <w:b/>
                <w:bCs/>
                <w:color w:val="FFFFFF"/>
                <w:sz w:val="20"/>
                <w:szCs w:val="20"/>
              </w:rPr>
            </w:pPr>
            <w:r w:rsidRPr="00C64C09">
              <w:rPr>
                <w:rFonts w:ascii="Arial" w:hAnsi="Arial" w:cs="Arial"/>
                <w:b/>
                <w:bCs/>
                <w:color w:val="FFFFFF"/>
                <w:sz w:val="20"/>
                <w:szCs w:val="20"/>
              </w:rPr>
              <w:t>2012/13 actual</w:t>
            </w:r>
          </w:p>
        </w:tc>
        <w:tc>
          <w:tcPr>
            <w:tcW w:w="960" w:type="dxa"/>
            <w:tcBorders>
              <w:top w:val="nil"/>
              <w:left w:val="nil"/>
              <w:bottom w:val="nil"/>
              <w:right w:val="single" w:sz="8" w:space="0" w:color="55ACD3"/>
            </w:tcBorders>
            <w:shd w:val="clear" w:color="000000" w:fill="56008C"/>
            <w:vAlign w:val="center"/>
            <w:hideMark/>
          </w:tcPr>
          <w:p w:rsidR="00C64C09" w:rsidRPr="00C64C09" w:rsidRDefault="00C64C09" w:rsidP="00C64C09">
            <w:pPr>
              <w:rPr>
                <w:rFonts w:ascii="Arial" w:hAnsi="Arial" w:cs="Arial"/>
                <w:b/>
                <w:bCs/>
                <w:color w:val="FFFFFF"/>
                <w:sz w:val="20"/>
                <w:szCs w:val="20"/>
              </w:rPr>
            </w:pPr>
            <w:r w:rsidRPr="00C64C09">
              <w:rPr>
                <w:rFonts w:ascii="Arial" w:hAnsi="Arial" w:cs="Arial"/>
                <w:b/>
                <w:bCs/>
                <w:color w:val="FFFFFF"/>
                <w:sz w:val="20"/>
                <w:szCs w:val="20"/>
              </w:rPr>
              <w:t>Initial budget</w:t>
            </w:r>
          </w:p>
        </w:tc>
        <w:tc>
          <w:tcPr>
            <w:tcW w:w="960" w:type="dxa"/>
            <w:tcBorders>
              <w:top w:val="nil"/>
              <w:left w:val="nil"/>
              <w:bottom w:val="nil"/>
              <w:right w:val="single" w:sz="8" w:space="0" w:color="55ACD3"/>
            </w:tcBorders>
            <w:shd w:val="clear" w:color="000000" w:fill="56008C"/>
            <w:vAlign w:val="center"/>
            <w:hideMark/>
          </w:tcPr>
          <w:p w:rsidR="00C64C09" w:rsidRPr="00C64C09" w:rsidRDefault="00C64C09" w:rsidP="00C64C09">
            <w:pPr>
              <w:rPr>
                <w:rFonts w:ascii="Arial" w:hAnsi="Arial" w:cs="Arial"/>
                <w:b/>
                <w:bCs/>
                <w:color w:val="FFFFFF"/>
                <w:sz w:val="20"/>
                <w:szCs w:val="20"/>
              </w:rPr>
            </w:pPr>
            <w:r w:rsidRPr="00C64C09">
              <w:rPr>
                <w:rFonts w:ascii="Arial" w:hAnsi="Arial" w:cs="Arial"/>
                <w:b/>
                <w:bCs/>
                <w:color w:val="FFFFFF"/>
                <w:sz w:val="20"/>
                <w:szCs w:val="20"/>
              </w:rPr>
              <w:t>Latest Budget</w:t>
            </w:r>
          </w:p>
        </w:tc>
        <w:tc>
          <w:tcPr>
            <w:tcW w:w="960" w:type="dxa"/>
            <w:tcBorders>
              <w:top w:val="nil"/>
              <w:left w:val="nil"/>
              <w:bottom w:val="nil"/>
              <w:right w:val="nil"/>
            </w:tcBorders>
            <w:shd w:val="clear" w:color="000000" w:fill="56008C"/>
            <w:vAlign w:val="center"/>
            <w:hideMark/>
          </w:tcPr>
          <w:p w:rsidR="00C64C09" w:rsidRPr="00C64C09" w:rsidRDefault="00C64C09" w:rsidP="00C64C09">
            <w:pPr>
              <w:rPr>
                <w:rFonts w:ascii="Arial" w:hAnsi="Arial" w:cs="Arial"/>
                <w:b/>
                <w:bCs/>
                <w:color w:val="FFFFFF"/>
                <w:sz w:val="20"/>
                <w:szCs w:val="20"/>
              </w:rPr>
            </w:pPr>
            <w:r w:rsidRPr="00C64C09">
              <w:rPr>
                <w:rFonts w:ascii="Arial" w:hAnsi="Arial" w:cs="Arial"/>
                <w:b/>
                <w:bCs/>
                <w:color w:val="FFFFFF"/>
                <w:sz w:val="20"/>
                <w:szCs w:val="20"/>
              </w:rPr>
              <w:t>Forecast</w:t>
            </w:r>
          </w:p>
        </w:tc>
      </w:tr>
      <w:tr w:rsidR="00C64C09" w:rsidRPr="00C64C09" w:rsidTr="00C64C09">
        <w:trPr>
          <w:trHeight w:val="420"/>
        </w:trPr>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411</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374</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-37</w:t>
            </w:r>
          </w:p>
        </w:tc>
        <w:tc>
          <w:tcPr>
            <w:tcW w:w="30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3280" w:type="dxa"/>
            <w:tcBorders>
              <w:top w:val="nil"/>
              <w:left w:val="single" w:sz="8" w:space="0" w:color="FFFFFF"/>
              <w:bottom w:val="single" w:sz="8" w:space="0" w:color="FFFFFF"/>
              <w:right w:val="single" w:sz="8" w:space="0" w:color="FFFFFF"/>
            </w:tcBorders>
            <w:shd w:val="clear" w:color="auto" w:fill="auto"/>
            <w:vAlign w:val="bottom"/>
            <w:hideMark/>
          </w:tcPr>
          <w:p w:rsidR="00C64C09" w:rsidRPr="00C64C09" w:rsidRDefault="00C64C09" w:rsidP="00C64C09">
            <w:pPr>
              <w:rPr>
                <w:rFonts w:ascii="Arial" w:hAnsi="Arial" w:cs="Arial"/>
                <w:color w:val="000000"/>
                <w:sz w:val="18"/>
                <w:szCs w:val="18"/>
              </w:rPr>
            </w:pPr>
            <w:r w:rsidRPr="00C64C09">
              <w:rPr>
                <w:rFonts w:ascii="Arial" w:hAnsi="Arial" w:cs="Arial"/>
                <w:color w:val="000000"/>
                <w:sz w:val="18"/>
                <w:szCs w:val="18"/>
              </w:rPr>
              <w:t>National Research Ethics Service</w:t>
            </w:r>
          </w:p>
        </w:tc>
        <w:tc>
          <w:tcPr>
            <w:tcW w:w="30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4,231</w:t>
            </w:r>
          </w:p>
        </w:tc>
        <w:tc>
          <w:tcPr>
            <w:tcW w:w="10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4,110</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-121</w:t>
            </w:r>
          </w:p>
        </w:tc>
        <w:tc>
          <w:tcPr>
            <w:tcW w:w="32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5,460</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4,042</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4,231</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4,110</w:t>
            </w:r>
          </w:p>
        </w:tc>
      </w:tr>
      <w:tr w:rsidR="00C64C09" w:rsidRPr="00C64C09" w:rsidTr="00C64C09">
        <w:trPr>
          <w:trHeight w:val="578"/>
        </w:trPr>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113</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102</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-11</w:t>
            </w:r>
          </w:p>
        </w:tc>
        <w:tc>
          <w:tcPr>
            <w:tcW w:w="30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3280" w:type="dxa"/>
            <w:tcBorders>
              <w:top w:val="nil"/>
              <w:left w:val="single" w:sz="8" w:space="0" w:color="FFFFFF"/>
              <w:bottom w:val="single" w:sz="8" w:space="0" w:color="FFFFFF"/>
              <w:right w:val="single" w:sz="8" w:space="0" w:color="FFFFFF"/>
            </w:tcBorders>
            <w:shd w:val="clear" w:color="auto" w:fill="auto"/>
            <w:vAlign w:val="bottom"/>
            <w:hideMark/>
          </w:tcPr>
          <w:p w:rsidR="00C64C09" w:rsidRPr="00C64C09" w:rsidRDefault="00C64C09" w:rsidP="00C64C09">
            <w:pPr>
              <w:rPr>
                <w:rFonts w:ascii="Arial" w:hAnsi="Arial" w:cs="Arial"/>
                <w:color w:val="000000"/>
                <w:sz w:val="18"/>
                <w:szCs w:val="18"/>
              </w:rPr>
            </w:pPr>
            <w:r w:rsidRPr="00C64C09">
              <w:rPr>
                <w:rFonts w:ascii="Arial" w:hAnsi="Arial" w:cs="Arial"/>
                <w:color w:val="000000"/>
                <w:sz w:val="18"/>
                <w:szCs w:val="18"/>
              </w:rPr>
              <w:t>Chief Executive team, Board, Collaboration and Development</w:t>
            </w:r>
          </w:p>
        </w:tc>
        <w:tc>
          <w:tcPr>
            <w:tcW w:w="30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1,382</w:t>
            </w:r>
          </w:p>
        </w:tc>
        <w:tc>
          <w:tcPr>
            <w:tcW w:w="10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1,319</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-63</w:t>
            </w:r>
          </w:p>
        </w:tc>
        <w:tc>
          <w:tcPr>
            <w:tcW w:w="32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814</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1,339</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1,382</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1,319</w:t>
            </w:r>
          </w:p>
        </w:tc>
      </w:tr>
      <w:tr w:rsidR="00C64C09" w:rsidRPr="00C64C09" w:rsidTr="00C64C09">
        <w:trPr>
          <w:trHeight w:val="540"/>
        </w:trPr>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772</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321</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-451</w:t>
            </w:r>
          </w:p>
        </w:tc>
        <w:tc>
          <w:tcPr>
            <w:tcW w:w="30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3280" w:type="dxa"/>
            <w:tcBorders>
              <w:top w:val="nil"/>
              <w:left w:val="single" w:sz="8" w:space="0" w:color="FFFFFF"/>
              <w:bottom w:val="single" w:sz="8" w:space="0" w:color="FFFFFF"/>
              <w:right w:val="single" w:sz="8" w:space="0" w:color="FFFFFF"/>
            </w:tcBorders>
            <w:shd w:val="clear" w:color="auto" w:fill="auto"/>
            <w:vAlign w:val="bottom"/>
            <w:hideMark/>
          </w:tcPr>
          <w:p w:rsidR="00C64C09" w:rsidRPr="00C64C09" w:rsidRDefault="00C64C09" w:rsidP="00C64C09">
            <w:pPr>
              <w:rPr>
                <w:rFonts w:ascii="Arial" w:hAnsi="Arial" w:cs="Arial"/>
                <w:color w:val="000000"/>
                <w:sz w:val="18"/>
                <w:szCs w:val="18"/>
              </w:rPr>
            </w:pPr>
            <w:r w:rsidRPr="00C64C09">
              <w:rPr>
                <w:rFonts w:ascii="Arial" w:hAnsi="Arial" w:cs="Arial"/>
                <w:color w:val="000000"/>
                <w:sz w:val="18"/>
                <w:szCs w:val="18"/>
              </w:rPr>
              <w:t>Corporate services (including reserves)</w:t>
            </w:r>
          </w:p>
        </w:tc>
        <w:tc>
          <w:tcPr>
            <w:tcW w:w="30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3,126</w:t>
            </w:r>
          </w:p>
        </w:tc>
        <w:tc>
          <w:tcPr>
            <w:tcW w:w="10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2,489</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-637</w:t>
            </w:r>
          </w:p>
        </w:tc>
        <w:tc>
          <w:tcPr>
            <w:tcW w:w="32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2,166</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3,164</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3,126</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2,489</w:t>
            </w:r>
          </w:p>
        </w:tc>
      </w:tr>
      <w:tr w:rsidR="00C64C09" w:rsidRPr="00C64C09" w:rsidTr="00C64C09">
        <w:trPr>
          <w:trHeight w:val="315"/>
        </w:trPr>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129</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87</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-42</w:t>
            </w:r>
          </w:p>
        </w:tc>
        <w:tc>
          <w:tcPr>
            <w:tcW w:w="30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3280" w:type="dxa"/>
            <w:tcBorders>
              <w:top w:val="nil"/>
              <w:left w:val="single" w:sz="8" w:space="0" w:color="FFFFFF"/>
              <w:bottom w:val="single" w:sz="8" w:space="0" w:color="FFFFFF"/>
              <w:right w:val="single" w:sz="8" w:space="0" w:color="FFFFFF"/>
            </w:tcBorders>
            <w:shd w:val="clear" w:color="auto" w:fill="auto"/>
            <w:vAlign w:val="bottom"/>
            <w:hideMark/>
          </w:tcPr>
          <w:p w:rsidR="00C64C09" w:rsidRPr="00C64C09" w:rsidRDefault="00C64C09" w:rsidP="00C64C09">
            <w:pPr>
              <w:rPr>
                <w:rFonts w:ascii="Arial" w:hAnsi="Arial" w:cs="Arial"/>
                <w:color w:val="000000"/>
                <w:sz w:val="18"/>
                <w:szCs w:val="18"/>
              </w:rPr>
            </w:pPr>
            <w:r w:rsidRPr="00C64C09">
              <w:rPr>
                <w:rFonts w:ascii="Arial" w:hAnsi="Arial" w:cs="Arial"/>
                <w:color w:val="000000"/>
                <w:sz w:val="18"/>
                <w:szCs w:val="18"/>
              </w:rPr>
              <w:t>Improvement</w:t>
            </w:r>
          </w:p>
        </w:tc>
        <w:tc>
          <w:tcPr>
            <w:tcW w:w="30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956</w:t>
            </w:r>
          </w:p>
        </w:tc>
        <w:tc>
          <w:tcPr>
            <w:tcW w:w="10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863</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-93</w:t>
            </w:r>
          </w:p>
        </w:tc>
        <w:tc>
          <w:tcPr>
            <w:tcW w:w="32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857</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1,120</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956</w:t>
            </w:r>
          </w:p>
        </w:tc>
        <w:tc>
          <w:tcPr>
            <w:tcW w:w="960" w:type="dxa"/>
            <w:tcBorders>
              <w:top w:val="nil"/>
              <w:left w:val="nil"/>
              <w:bottom w:val="nil"/>
              <w:right w:val="nil"/>
            </w:tcBorders>
            <w:shd w:val="clear" w:color="auto" w:fill="auto"/>
            <w:noWrap/>
            <w:vAlign w:val="bottom"/>
            <w:hideMark/>
          </w:tcPr>
          <w:p w:rsidR="00C64C09" w:rsidRPr="00C64C09" w:rsidRDefault="00C64C09" w:rsidP="00C64C09">
            <w:pPr>
              <w:jc w:val="right"/>
              <w:rPr>
                <w:rFonts w:ascii="Calibri" w:hAnsi="Calibri" w:cs="Calibri"/>
                <w:color w:val="000000"/>
                <w:sz w:val="22"/>
                <w:szCs w:val="22"/>
              </w:rPr>
            </w:pPr>
            <w:r w:rsidRPr="00C64C09">
              <w:rPr>
                <w:rFonts w:ascii="Calibri" w:hAnsi="Calibri" w:cs="Calibri"/>
                <w:color w:val="000000"/>
                <w:sz w:val="22"/>
                <w:szCs w:val="22"/>
              </w:rPr>
              <w:t>863</w:t>
            </w:r>
          </w:p>
        </w:tc>
      </w:tr>
      <w:tr w:rsidR="00C64C09" w:rsidRPr="00C64C09" w:rsidTr="00C64C09">
        <w:trPr>
          <w:trHeight w:val="300"/>
        </w:trPr>
        <w:tc>
          <w:tcPr>
            <w:tcW w:w="960" w:type="dxa"/>
            <w:tcBorders>
              <w:top w:val="nil"/>
              <w:left w:val="single" w:sz="8" w:space="0" w:color="FFFFFF"/>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1,425</w:t>
            </w:r>
          </w:p>
        </w:tc>
        <w:tc>
          <w:tcPr>
            <w:tcW w:w="9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884</w:t>
            </w:r>
          </w:p>
        </w:tc>
        <w:tc>
          <w:tcPr>
            <w:tcW w:w="9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-541</w:t>
            </w:r>
          </w:p>
        </w:tc>
        <w:tc>
          <w:tcPr>
            <w:tcW w:w="30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3280" w:type="dxa"/>
            <w:tcBorders>
              <w:top w:val="nil"/>
              <w:left w:val="single" w:sz="8" w:space="0" w:color="FFFFFF"/>
              <w:bottom w:val="nil"/>
              <w:right w:val="single" w:sz="8" w:space="0" w:color="FFFFFF"/>
            </w:tcBorders>
            <w:shd w:val="clear" w:color="000000" w:fill="C0C0C0"/>
            <w:vAlign w:val="bottom"/>
            <w:hideMark/>
          </w:tcPr>
          <w:p w:rsidR="00C64C09" w:rsidRPr="00C64C09" w:rsidRDefault="00C64C09" w:rsidP="00C64C09">
            <w:pPr>
              <w:rPr>
                <w:rFonts w:ascii="Arial" w:hAnsi="Arial" w:cs="Arial"/>
                <w:b/>
                <w:bCs/>
                <w:color w:val="000000"/>
                <w:sz w:val="18"/>
                <w:szCs w:val="18"/>
              </w:rPr>
            </w:pPr>
            <w:r w:rsidRPr="00C64C09">
              <w:rPr>
                <w:rFonts w:ascii="Arial" w:hAnsi="Arial" w:cs="Arial"/>
                <w:b/>
                <w:bCs/>
                <w:color w:val="000000"/>
                <w:sz w:val="18"/>
                <w:szCs w:val="18"/>
              </w:rPr>
              <w:t xml:space="preserve"> Total Expenditure</w:t>
            </w:r>
          </w:p>
        </w:tc>
        <w:tc>
          <w:tcPr>
            <w:tcW w:w="300" w:type="dxa"/>
            <w:tcBorders>
              <w:top w:val="nil"/>
              <w:left w:val="nil"/>
              <w:bottom w:val="nil"/>
              <w:right w:val="single" w:sz="8" w:space="0" w:color="FFFFFF"/>
            </w:tcBorders>
            <w:shd w:val="clear" w:color="auto" w:fill="auto"/>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 </w:t>
            </w:r>
          </w:p>
        </w:tc>
        <w:tc>
          <w:tcPr>
            <w:tcW w:w="112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9,695</w:t>
            </w:r>
          </w:p>
        </w:tc>
        <w:tc>
          <w:tcPr>
            <w:tcW w:w="10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8,781</w:t>
            </w:r>
          </w:p>
        </w:tc>
        <w:tc>
          <w:tcPr>
            <w:tcW w:w="9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-914</w:t>
            </w:r>
          </w:p>
        </w:tc>
        <w:tc>
          <w:tcPr>
            <w:tcW w:w="32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9,297</w:t>
            </w:r>
          </w:p>
        </w:tc>
        <w:tc>
          <w:tcPr>
            <w:tcW w:w="9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9,665</w:t>
            </w:r>
          </w:p>
        </w:tc>
        <w:tc>
          <w:tcPr>
            <w:tcW w:w="9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9,695</w:t>
            </w:r>
          </w:p>
        </w:tc>
        <w:tc>
          <w:tcPr>
            <w:tcW w:w="9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8,781</w:t>
            </w:r>
          </w:p>
        </w:tc>
      </w:tr>
      <w:tr w:rsidR="00C64C09" w:rsidRPr="00C64C09" w:rsidTr="00C64C09">
        <w:trPr>
          <w:trHeight w:val="300"/>
        </w:trPr>
        <w:tc>
          <w:tcPr>
            <w:tcW w:w="96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328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32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r>
      <w:tr w:rsidR="00C64C09" w:rsidRPr="00C64C09" w:rsidTr="00C64C09">
        <w:trPr>
          <w:trHeight w:val="300"/>
        </w:trPr>
        <w:tc>
          <w:tcPr>
            <w:tcW w:w="960" w:type="dxa"/>
            <w:tcBorders>
              <w:top w:val="nil"/>
              <w:left w:val="single" w:sz="8" w:space="0" w:color="FFFFFF"/>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0</w:t>
            </w:r>
          </w:p>
        </w:tc>
        <w:tc>
          <w:tcPr>
            <w:tcW w:w="30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3280" w:type="dxa"/>
            <w:tcBorders>
              <w:top w:val="nil"/>
              <w:left w:val="single" w:sz="8" w:space="0" w:color="FFFFFF"/>
              <w:bottom w:val="nil"/>
              <w:right w:val="single" w:sz="8" w:space="0" w:color="FFFFFF"/>
            </w:tcBorders>
            <w:shd w:val="clear" w:color="000000" w:fill="C0C0C0"/>
            <w:vAlign w:val="bottom"/>
            <w:hideMark/>
          </w:tcPr>
          <w:p w:rsidR="00C64C09" w:rsidRPr="00C64C09" w:rsidRDefault="00C64C09" w:rsidP="00C64C09">
            <w:pPr>
              <w:rPr>
                <w:rFonts w:ascii="Arial" w:hAnsi="Arial" w:cs="Arial"/>
                <w:b/>
                <w:bCs/>
                <w:color w:val="000000"/>
                <w:sz w:val="18"/>
                <w:szCs w:val="18"/>
              </w:rPr>
            </w:pPr>
            <w:r w:rsidRPr="00C64C09">
              <w:rPr>
                <w:rFonts w:ascii="Arial" w:hAnsi="Arial" w:cs="Arial"/>
                <w:b/>
                <w:bCs/>
                <w:color w:val="000000"/>
                <w:sz w:val="18"/>
                <w:szCs w:val="18"/>
              </w:rPr>
              <w:t>Surplus (Deficit)</w:t>
            </w:r>
          </w:p>
        </w:tc>
        <w:tc>
          <w:tcPr>
            <w:tcW w:w="300" w:type="dxa"/>
            <w:tcBorders>
              <w:top w:val="nil"/>
              <w:left w:val="nil"/>
              <w:bottom w:val="nil"/>
              <w:right w:val="single" w:sz="8" w:space="0" w:color="FFFFFF"/>
            </w:tcBorders>
            <w:shd w:val="clear" w:color="auto" w:fill="auto"/>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 </w:t>
            </w:r>
          </w:p>
        </w:tc>
        <w:tc>
          <w:tcPr>
            <w:tcW w:w="112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0</w:t>
            </w:r>
          </w:p>
        </w:tc>
        <w:tc>
          <w:tcPr>
            <w:tcW w:w="10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0</w:t>
            </w:r>
          </w:p>
        </w:tc>
        <w:tc>
          <w:tcPr>
            <w:tcW w:w="320" w:type="dxa"/>
            <w:tcBorders>
              <w:top w:val="nil"/>
              <w:left w:val="nil"/>
              <w:bottom w:val="nil"/>
              <w:right w:val="nil"/>
            </w:tcBorders>
            <w:shd w:val="clear" w:color="auto" w:fill="auto"/>
            <w:noWrap/>
            <w:vAlign w:val="bottom"/>
            <w:hideMark/>
          </w:tcPr>
          <w:p w:rsidR="00C64C09" w:rsidRPr="00C64C09" w:rsidRDefault="00C64C09" w:rsidP="00C64C09">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C64C09" w:rsidRPr="00C64C09" w:rsidRDefault="00C64C09" w:rsidP="00C64C09">
            <w:pPr>
              <w:jc w:val="right"/>
              <w:rPr>
                <w:rFonts w:ascii="Arial" w:hAnsi="Arial" w:cs="Arial"/>
                <w:b/>
                <w:bCs/>
                <w:color w:val="000000"/>
                <w:sz w:val="18"/>
                <w:szCs w:val="18"/>
              </w:rPr>
            </w:pPr>
            <w:r w:rsidRPr="00C64C09">
              <w:rPr>
                <w:rFonts w:ascii="Arial" w:hAnsi="Arial" w:cs="Arial"/>
                <w:b/>
                <w:bCs/>
                <w:color w:val="000000"/>
                <w:sz w:val="18"/>
                <w:szCs w:val="18"/>
              </w:rPr>
              <w:t>0</w:t>
            </w:r>
          </w:p>
        </w:tc>
      </w:tr>
    </w:tbl>
    <w:p w:rsidR="00597AF4" w:rsidRDefault="00597AF4" w:rsidP="00EF2180">
      <w:pPr>
        <w:spacing w:after="200" w:line="276" w:lineRule="auto"/>
        <w:rPr>
          <w:rFonts w:ascii="Arial" w:hAnsi="Arial" w:cs="Arial"/>
          <w:sz w:val="22"/>
          <w:szCs w:val="22"/>
        </w:rPr>
      </w:pPr>
    </w:p>
    <w:p w:rsidR="00D15B88" w:rsidRDefault="00D15B88" w:rsidP="00EF2180">
      <w:pPr>
        <w:spacing w:after="200" w:line="276" w:lineRule="auto"/>
        <w:rPr>
          <w:rFonts w:ascii="Arial" w:hAnsi="Arial" w:cs="Arial"/>
          <w:sz w:val="22"/>
          <w:szCs w:val="22"/>
        </w:rPr>
      </w:pPr>
    </w:p>
    <w:p w:rsidR="00F576C4" w:rsidRDefault="00F576C4" w:rsidP="00EF2180">
      <w:pPr>
        <w:spacing w:after="200" w:line="276" w:lineRule="auto"/>
        <w:rPr>
          <w:rFonts w:ascii="Arial" w:hAnsi="Arial" w:cs="Arial"/>
          <w:sz w:val="22"/>
          <w:szCs w:val="22"/>
        </w:rPr>
      </w:pPr>
    </w:p>
    <w:p w:rsidR="00E53B49" w:rsidRDefault="00E53B49" w:rsidP="00EF2180">
      <w:pPr>
        <w:spacing w:after="200" w:line="276" w:lineRule="auto"/>
        <w:rPr>
          <w:rFonts w:ascii="Arial" w:hAnsi="Arial" w:cs="Arial"/>
          <w:sz w:val="22"/>
          <w:szCs w:val="22"/>
        </w:rPr>
      </w:pPr>
    </w:p>
    <w:p w:rsidR="00B465A2" w:rsidRDefault="00B465A2" w:rsidP="00EF2180">
      <w:pPr>
        <w:spacing w:after="200" w:line="276" w:lineRule="auto"/>
        <w:rPr>
          <w:rFonts w:ascii="Arial" w:hAnsi="Arial" w:cs="Arial"/>
          <w:sz w:val="22"/>
          <w:szCs w:val="22"/>
        </w:rPr>
      </w:pPr>
    </w:p>
    <w:p w:rsidR="00132DB0" w:rsidRDefault="00132DB0" w:rsidP="00EF2180">
      <w:pPr>
        <w:spacing w:after="200" w:line="276" w:lineRule="auto"/>
        <w:rPr>
          <w:rFonts w:ascii="Arial" w:hAnsi="Arial" w:cs="Arial"/>
          <w:sz w:val="22"/>
          <w:szCs w:val="22"/>
        </w:rPr>
      </w:pPr>
    </w:p>
    <w:p w:rsidR="00B465A2" w:rsidRDefault="00B465A2" w:rsidP="00EF2180">
      <w:pPr>
        <w:spacing w:after="200" w:line="276" w:lineRule="auto"/>
        <w:rPr>
          <w:rFonts w:ascii="Arial" w:hAnsi="Arial" w:cs="Arial"/>
          <w:sz w:val="22"/>
          <w:szCs w:val="22"/>
        </w:rPr>
      </w:pPr>
    </w:p>
    <w:p w:rsidR="00B465A2" w:rsidRPr="00A422D8" w:rsidRDefault="00B465A2" w:rsidP="006E24B3">
      <w:pPr>
        <w:keepNext/>
        <w:keepLines/>
        <w:pBdr>
          <w:top w:val="single" w:sz="8" w:space="3" w:color="FFFFFF"/>
          <w:left w:val="single" w:sz="8" w:space="0"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bookmarkStart w:id="2" w:name="OLE_LINK1"/>
      <w:r w:rsidRPr="00A422D8">
        <w:rPr>
          <w:rFonts w:ascii="Arial" w:eastAsia="Calibri" w:hAnsi="Arial"/>
          <w:b/>
          <w:bCs/>
          <w:color w:val="56008C"/>
          <w:szCs w:val="26"/>
          <w:lang w:eastAsia="en-US"/>
        </w:rPr>
        <w:lastRenderedPageBreak/>
        <w:t xml:space="preserve">HRA Balance Sheet as at </w:t>
      </w:r>
      <w:r w:rsidR="007D0D17">
        <w:rPr>
          <w:rFonts w:ascii="Arial" w:eastAsia="Calibri" w:hAnsi="Arial"/>
          <w:b/>
          <w:bCs/>
          <w:color w:val="56008C"/>
          <w:szCs w:val="26"/>
          <w:lang w:eastAsia="en-US"/>
        </w:rPr>
        <w:t>31 March</w:t>
      </w:r>
      <w:r w:rsidR="008C1699">
        <w:rPr>
          <w:rFonts w:ascii="Arial" w:eastAsia="Calibri" w:hAnsi="Arial"/>
          <w:b/>
          <w:bCs/>
          <w:color w:val="56008C"/>
          <w:szCs w:val="26"/>
          <w:lang w:eastAsia="en-US"/>
        </w:rPr>
        <w:t xml:space="preserve"> </w:t>
      </w:r>
      <w:r w:rsidR="00364482">
        <w:rPr>
          <w:rFonts w:ascii="Arial" w:eastAsia="Calibri" w:hAnsi="Arial"/>
          <w:b/>
          <w:bCs/>
          <w:color w:val="56008C"/>
          <w:szCs w:val="26"/>
          <w:lang w:eastAsia="en-US"/>
        </w:rPr>
        <w:t>2014</w:t>
      </w:r>
    </w:p>
    <w:tbl>
      <w:tblPr>
        <w:tblpPr w:leftFromText="180" w:rightFromText="180" w:vertAnchor="text" w:horzAnchor="margin" w:tblpY="399"/>
        <w:tblW w:w="10989" w:type="dxa"/>
        <w:tblLook w:val="04A0" w:firstRow="1" w:lastRow="0" w:firstColumn="1" w:lastColumn="0" w:noHBand="0" w:noVBand="1"/>
      </w:tblPr>
      <w:tblGrid>
        <w:gridCol w:w="4020"/>
        <w:gridCol w:w="1180"/>
        <w:gridCol w:w="960"/>
        <w:gridCol w:w="960"/>
        <w:gridCol w:w="960"/>
        <w:gridCol w:w="960"/>
        <w:gridCol w:w="960"/>
        <w:gridCol w:w="989"/>
      </w:tblGrid>
      <w:tr w:rsidR="0043662D" w:rsidRPr="00527EDD" w:rsidTr="000D1E92">
        <w:trPr>
          <w:trHeight w:val="300"/>
        </w:trPr>
        <w:tc>
          <w:tcPr>
            <w:tcW w:w="4020" w:type="dxa"/>
            <w:tcBorders>
              <w:top w:val="nil"/>
              <w:left w:val="nil"/>
              <w:bottom w:val="nil"/>
              <w:right w:val="nil"/>
            </w:tcBorders>
            <w:shd w:val="clear" w:color="auto" w:fill="auto"/>
            <w:noWrap/>
            <w:vAlign w:val="bottom"/>
            <w:hideMark/>
          </w:tcPr>
          <w:p w:rsidR="0043662D" w:rsidRPr="00527EDD" w:rsidRDefault="0043662D" w:rsidP="004C7812">
            <w:pPr>
              <w:rPr>
                <w:rFonts w:ascii="Calibri" w:hAnsi="Calibri" w:cs="Calibri"/>
                <w:color w:val="000000"/>
                <w:sz w:val="22"/>
                <w:szCs w:val="22"/>
              </w:rPr>
            </w:pPr>
          </w:p>
        </w:tc>
        <w:tc>
          <w:tcPr>
            <w:tcW w:w="1180" w:type="dxa"/>
            <w:tcBorders>
              <w:top w:val="single" w:sz="4" w:space="0" w:color="auto"/>
              <w:left w:val="single" w:sz="4" w:space="0" w:color="auto"/>
              <w:bottom w:val="nil"/>
              <w:right w:val="single" w:sz="4" w:space="0" w:color="auto"/>
            </w:tcBorders>
            <w:shd w:val="clear" w:color="auto" w:fill="FFFF00"/>
            <w:noWrap/>
            <w:vAlign w:val="bottom"/>
            <w:hideMark/>
          </w:tcPr>
          <w:p w:rsidR="0043662D" w:rsidRPr="00527EDD" w:rsidRDefault="0043662D" w:rsidP="004C7812">
            <w:pPr>
              <w:jc w:val="center"/>
              <w:rPr>
                <w:rFonts w:ascii="Calibri" w:hAnsi="Calibri" w:cs="Calibri"/>
                <w:b/>
                <w:bCs/>
                <w:color w:val="000000"/>
                <w:sz w:val="22"/>
                <w:szCs w:val="22"/>
              </w:rPr>
            </w:pPr>
            <w:r>
              <w:rPr>
                <w:rFonts w:ascii="Calibri" w:hAnsi="Calibri" w:cs="Calibri"/>
                <w:b/>
                <w:bCs/>
                <w:color w:val="000000"/>
                <w:sz w:val="22"/>
                <w:szCs w:val="22"/>
              </w:rPr>
              <w:t>Mar-13</w:t>
            </w:r>
          </w:p>
        </w:tc>
        <w:tc>
          <w:tcPr>
            <w:tcW w:w="960" w:type="dxa"/>
            <w:tcBorders>
              <w:top w:val="nil"/>
              <w:left w:val="nil"/>
              <w:bottom w:val="nil"/>
              <w:right w:val="nil"/>
            </w:tcBorders>
            <w:shd w:val="clear" w:color="auto" w:fill="auto"/>
            <w:noWrap/>
            <w:vAlign w:val="bottom"/>
            <w:hideMark/>
          </w:tcPr>
          <w:p w:rsidR="0043662D" w:rsidRPr="00527EDD" w:rsidRDefault="0043662D" w:rsidP="004C7812">
            <w:pPr>
              <w:rPr>
                <w:rFonts w:ascii="Calibri" w:hAnsi="Calibri" w:cs="Calibri"/>
                <w:color w:val="000000"/>
                <w:sz w:val="22"/>
                <w:szCs w:val="22"/>
              </w:rPr>
            </w:pPr>
          </w:p>
        </w:tc>
        <w:tc>
          <w:tcPr>
            <w:tcW w:w="960" w:type="dxa"/>
            <w:tcBorders>
              <w:top w:val="single" w:sz="4" w:space="0" w:color="auto"/>
              <w:left w:val="single" w:sz="4" w:space="0" w:color="auto"/>
              <w:bottom w:val="nil"/>
              <w:right w:val="single" w:sz="4" w:space="0" w:color="auto"/>
            </w:tcBorders>
            <w:shd w:val="clear" w:color="auto" w:fill="CCC0D9" w:themeFill="accent4" w:themeFillTint="66"/>
            <w:noWrap/>
            <w:hideMark/>
          </w:tcPr>
          <w:p w:rsidR="0043662D" w:rsidRPr="001504B0" w:rsidRDefault="007D0D17" w:rsidP="000D1E92">
            <w:pPr>
              <w:rPr>
                <w:rFonts w:asciiTheme="minorHAnsi" w:hAnsiTheme="minorHAnsi" w:cstheme="minorHAnsi"/>
                <w:b/>
                <w:sz w:val="22"/>
                <w:szCs w:val="22"/>
              </w:rPr>
            </w:pPr>
            <w:r>
              <w:rPr>
                <w:rFonts w:asciiTheme="minorHAnsi" w:hAnsiTheme="minorHAnsi" w:cstheme="minorHAnsi"/>
                <w:b/>
                <w:sz w:val="22"/>
                <w:szCs w:val="22"/>
              </w:rPr>
              <w:t>Feb</w:t>
            </w:r>
            <w:r w:rsidR="007B5BC7">
              <w:rPr>
                <w:rFonts w:asciiTheme="minorHAnsi" w:hAnsiTheme="minorHAnsi" w:cstheme="minorHAnsi"/>
                <w:b/>
                <w:sz w:val="22"/>
                <w:szCs w:val="22"/>
              </w:rPr>
              <w:t xml:space="preserve"> -14</w:t>
            </w:r>
          </w:p>
        </w:tc>
        <w:tc>
          <w:tcPr>
            <w:tcW w:w="960" w:type="dxa"/>
            <w:tcBorders>
              <w:top w:val="nil"/>
              <w:left w:val="nil"/>
              <w:bottom w:val="nil"/>
              <w:right w:val="nil"/>
            </w:tcBorders>
            <w:shd w:val="clear" w:color="auto" w:fill="auto"/>
            <w:noWrap/>
            <w:vAlign w:val="bottom"/>
            <w:hideMark/>
          </w:tcPr>
          <w:p w:rsidR="0043662D" w:rsidRPr="00527EDD" w:rsidRDefault="0043662D" w:rsidP="004C7812">
            <w:pPr>
              <w:rPr>
                <w:rFonts w:ascii="Calibri" w:hAnsi="Calibri" w:cs="Calibri"/>
                <w:color w:val="000000"/>
                <w:sz w:val="22"/>
                <w:szCs w:val="22"/>
              </w:rPr>
            </w:pPr>
          </w:p>
        </w:tc>
        <w:tc>
          <w:tcPr>
            <w:tcW w:w="960" w:type="dxa"/>
            <w:tcBorders>
              <w:top w:val="single" w:sz="4" w:space="0" w:color="auto"/>
              <w:left w:val="single" w:sz="4" w:space="0" w:color="auto"/>
              <w:bottom w:val="nil"/>
              <w:right w:val="single" w:sz="4" w:space="0" w:color="auto"/>
            </w:tcBorders>
            <w:shd w:val="clear" w:color="auto" w:fill="E5B8B7" w:themeFill="accent2" w:themeFillTint="66"/>
            <w:noWrap/>
            <w:vAlign w:val="bottom"/>
            <w:hideMark/>
          </w:tcPr>
          <w:p w:rsidR="0043662D" w:rsidRPr="00527EDD" w:rsidRDefault="007D0D17" w:rsidP="004C7812">
            <w:pPr>
              <w:jc w:val="center"/>
              <w:rPr>
                <w:rFonts w:ascii="Calibri" w:hAnsi="Calibri" w:cs="Calibri"/>
                <w:b/>
                <w:bCs/>
                <w:color w:val="000000"/>
                <w:sz w:val="22"/>
                <w:szCs w:val="22"/>
              </w:rPr>
            </w:pPr>
            <w:r>
              <w:rPr>
                <w:rFonts w:ascii="Calibri" w:hAnsi="Calibri" w:cs="Calibri"/>
                <w:b/>
                <w:bCs/>
                <w:color w:val="000000"/>
                <w:sz w:val="22"/>
                <w:szCs w:val="22"/>
              </w:rPr>
              <w:t>Mar</w:t>
            </w:r>
            <w:r w:rsidR="007B5BC7">
              <w:rPr>
                <w:rFonts w:ascii="Calibri" w:hAnsi="Calibri" w:cs="Calibri"/>
                <w:b/>
                <w:bCs/>
                <w:color w:val="000000"/>
                <w:sz w:val="22"/>
                <w:szCs w:val="22"/>
              </w:rPr>
              <w:t>-14</w:t>
            </w:r>
          </w:p>
        </w:tc>
        <w:tc>
          <w:tcPr>
            <w:tcW w:w="960" w:type="dxa"/>
            <w:tcBorders>
              <w:top w:val="nil"/>
              <w:left w:val="nil"/>
              <w:bottom w:val="nil"/>
              <w:right w:val="nil"/>
            </w:tcBorders>
            <w:shd w:val="clear" w:color="auto" w:fill="auto"/>
            <w:noWrap/>
            <w:vAlign w:val="bottom"/>
            <w:hideMark/>
          </w:tcPr>
          <w:p w:rsidR="0043662D" w:rsidRPr="00527EDD" w:rsidRDefault="0043662D" w:rsidP="004C7812">
            <w:pPr>
              <w:rPr>
                <w:rFonts w:ascii="Calibri" w:hAnsi="Calibri" w:cs="Calibri"/>
                <w:color w:val="000000"/>
                <w:sz w:val="22"/>
                <w:szCs w:val="22"/>
              </w:rPr>
            </w:pPr>
          </w:p>
        </w:tc>
        <w:tc>
          <w:tcPr>
            <w:tcW w:w="989" w:type="dxa"/>
            <w:tcBorders>
              <w:top w:val="single" w:sz="4" w:space="0" w:color="auto"/>
              <w:left w:val="single" w:sz="4" w:space="0" w:color="auto"/>
              <w:bottom w:val="nil"/>
              <w:right w:val="single" w:sz="4" w:space="0" w:color="auto"/>
            </w:tcBorders>
            <w:shd w:val="clear" w:color="000000" w:fill="8DB4E2"/>
            <w:noWrap/>
            <w:vAlign w:val="bottom"/>
            <w:hideMark/>
          </w:tcPr>
          <w:p w:rsidR="0043662D" w:rsidRPr="00527EDD" w:rsidRDefault="0043662D" w:rsidP="004C7812">
            <w:pPr>
              <w:jc w:val="center"/>
              <w:rPr>
                <w:rFonts w:ascii="Calibri" w:hAnsi="Calibri" w:cs="Calibri"/>
                <w:b/>
                <w:bCs/>
                <w:color w:val="000000"/>
                <w:sz w:val="22"/>
                <w:szCs w:val="22"/>
              </w:rPr>
            </w:pPr>
            <w:r w:rsidRPr="00527EDD">
              <w:rPr>
                <w:rFonts w:ascii="Calibri" w:hAnsi="Calibri" w:cs="Calibri"/>
                <w:b/>
                <w:bCs/>
                <w:color w:val="000000"/>
                <w:sz w:val="22"/>
                <w:szCs w:val="22"/>
              </w:rPr>
              <w:t>Forecast</w:t>
            </w:r>
          </w:p>
        </w:tc>
      </w:tr>
      <w:tr w:rsidR="0043662D" w:rsidRPr="00527EDD" w:rsidTr="000D1E92">
        <w:trPr>
          <w:trHeight w:val="300"/>
        </w:trPr>
        <w:tc>
          <w:tcPr>
            <w:tcW w:w="4020" w:type="dxa"/>
            <w:tcBorders>
              <w:top w:val="nil"/>
              <w:left w:val="nil"/>
              <w:bottom w:val="nil"/>
              <w:right w:val="nil"/>
            </w:tcBorders>
            <w:shd w:val="clear" w:color="auto" w:fill="auto"/>
            <w:noWrap/>
            <w:vAlign w:val="bottom"/>
            <w:hideMark/>
          </w:tcPr>
          <w:p w:rsidR="0043662D" w:rsidRPr="00527EDD" w:rsidRDefault="0043662D" w:rsidP="004C7812">
            <w:pPr>
              <w:rPr>
                <w:rFonts w:ascii="Calibri" w:hAnsi="Calibri" w:cs="Calibri"/>
                <w:color w:val="000000"/>
                <w:sz w:val="22"/>
                <w:szCs w:val="22"/>
              </w:rPr>
            </w:pPr>
          </w:p>
        </w:tc>
        <w:tc>
          <w:tcPr>
            <w:tcW w:w="1180" w:type="dxa"/>
            <w:tcBorders>
              <w:top w:val="nil"/>
              <w:left w:val="single" w:sz="4" w:space="0" w:color="auto"/>
              <w:bottom w:val="single" w:sz="4" w:space="0" w:color="auto"/>
              <w:right w:val="single" w:sz="4" w:space="0" w:color="auto"/>
            </w:tcBorders>
            <w:shd w:val="clear" w:color="auto" w:fill="FFFF00"/>
            <w:noWrap/>
            <w:vAlign w:val="bottom"/>
            <w:hideMark/>
          </w:tcPr>
          <w:p w:rsidR="0043662D" w:rsidRPr="00527EDD" w:rsidRDefault="0043662D" w:rsidP="004C7812">
            <w:pPr>
              <w:jc w:val="center"/>
              <w:rPr>
                <w:rFonts w:ascii="Calibri" w:hAnsi="Calibri" w:cs="Calibri"/>
                <w:b/>
                <w:bCs/>
                <w:color w:val="000000"/>
                <w:sz w:val="22"/>
                <w:szCs w:val="22"/>
              </w:rPr>
            </w:pPr>
            <w:r w:rsidRPr="00527EDD">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bottom"/>
            <w:hideMark/>
          </w:tcPr>
          <w:p w:rsidR="0043662D" w:rsidRPr="00527EDD" w:rsidRDefault="0043662D" w:rsidP="004C7812">
            <w:pPr>
              <w:rPr>
                <w:rFonts w:ascii="Calibri"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CCC0D9" w:themeFill="accent4" w:themeFillTint="66"/>
            <w:noWrap/>
            <w:hideMark/>
          </w:tcPr>
          <w:p w:rsidR="0043662D" w:rsidRPr="001504B0" w:rsidRDefault="0043662D" w:rsidP="001504B0">
            <w:pPr>
              <w:jc w:val="center"/>
              <w:rPr>
                <w:rFonts w:asciiTheme="minorHAnsi" w:hAnsiTheme="minorHAnsi" w:cstheme="minorHAnsi"/>
                <w:b/>
                <w:sz w:val="22"/>
                <w:szCs w:val="22"/>
              </w:rPr>
            </w:pPr>
            <w:r w:rsidRPr="001504B0">
              <w:rPr>
                <w:rFonts w:asciiTheme="minorHAnsi" w:hAnsiTheme="minorHAnsi" w:cstheme="minorHAnsi"/>
                <w:b/>
                <w:sz w:val="22"/>
                <w:szCs w:val="22"/>
              </w:rPr>
              <w:t>£k</w:t>
            </w:r>
          </w:p>
        </w:tc>
        <w:tc>
          <w:tcPr>
            <w:tcW w:w="960" w:type="dxa"/>
            <w:tcBorders>
              <w:top w:val="nil"/>
              <w:left w:val="nil"/>
              <w:bottom w:val="nil"/>
              <w:right w:val="nil"/>
            </w:tcBorders>
            <w:shd w:val="clear" w:color="auto" w:fill="auto"/>
            <w:noWrap/>
            <w:vAlign w:val="bottom"/>
            <w:hideMark/>
          </w:tcPr>
          <w:p w:rsidR="0043662D" w:rsidRPr="00527EDD" w:rsidRDefault="0043662D" w:rsidP="004C7812">
            <w:pPr>
              <w:rPr>
                <w:rFonts w:ascii="Calibri"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43662D" w:rsidRPr="00527EDD" w:rsidRDefault="0043662D" w:rsidP="004C7812">
            <w:pPr>
              <w:jc w:val="center"/>
              <w:rPr>
                <w:rFonts w:ascii="Calibri" w:hAnsi="Calibri" w:cs="Calibri"/>
                <w:b/>
                <w:bCs/>
                <w:color w:val="000000"/>
                <w:sz w:val="22"/>
                <w:szCs w:val="22"/>
              </w:rPr>
            </w:pPr>
            <w:r w:rsidRPr="00527EDD">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bottom"/>
            <w:hideMark/>
          </w:tcPr>
          <w:p w:rsidR="0043662D" w:rsidRPr="00527EDD" w:rsidRDefault="0043662D" w:rsidP="004C7812">
            <w:pPr>
              <w:ind w:right="-383"/>
              <w:rPr>
                <w:rFonts w:ascii="Calibri" w:hAnsi="Calibri" w:cs="Calibri"/>
                <w:color w:val="000000"/>
                <w:sz w:val="22"/>
                <w:szCs w:val="22"/>
              </w:rPr>
            </w:pPr>
          </w:p>
        </w:tc>
        <w:tc>
          <w:tcPr>
            <w:tcW w:w="989" w:type="dxa"/>
            <w:tcBorders>
              <w:top w:val="nil"/>
              <w:left w:val="single" w:sz="4" w:space="0" w:color="auto"/>
              <w:bottom w:val="single" w:sz="4" w:space="0" w:color="auto"/>
              <w:right w:val="single" w:sz="4" w:space="0" w:color="auto"/>
            </w:tcBorders>
            <w:shd w:val="clear" w:color="000000" w:fill="8DB4E2"/>
            <w:noWrap/>
            <w:vAlign w:val="bottom"/>
            <w:hideMark/>
          </w:tcPr>
          <w:p w:rsidR="0043662D" w:rsidRPr="00527EDD" w:rsidRDefault="0043662D" w:rsidP="004C7812">
            <w:pPr>
              <w:jc w:val="center"/>
              <w:rPr>
                <w:rFonts w:ascii="Calibri" w:hAnsi="Calibri" w:cs="Calibri"/>
                <w:b/>
                <w:bCs/>
                <w:color w:val="000000"/>
                <w:sz w:val="22"/>
                <w:szCs w:val="22"/>
              </w:rPr>
            </w:pPr>
            <w:r w:rsidRPr="00527EDD">
              <w:rPr>
                <w:rFonts w:ascii="Calibri" w:hAnsi="Calibri" w:cs="Calibri"/>
                <w:b/>
                <w:bCs/>
                <w:color w:val="000000"/>
                <w:sz w:val="22"/>
                <w:szCs w:val="22"/>
              </w:rPr>
              <w:t>£k</w:t>
            </w:r>
          </w:p>
        </w:tc>
      </w:tr>
      <w:tr w:rsidR="0043662D" w:rsidRPr="00527EDD" w:rsidTr="000D1E92">
        <w:trPr>
          <w:trHeight w:val="300"/>
        </w:trPr>
        <w:tc>
          <w:tcPr>
            <w:tcW w:w="402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b/>
                <w:bCs/>
                <w:color w:val="000000"/>
                <w:sz w:val="22"/>
                <w:szCs w:val="22"/>
                <w:u w:val="single"/>
              </w:rPr>
            </w:pPr>
            <w:r w:rsidRPr="00527EDD">
              <w:rPr>
                <w:rFonts w:ascii="Calibri" w:hAnsi="Calibri" w:cs="Calibri"/>
                <w:b/>
                <w:bCs/>
                <w:color w:val="000000"/>
                <w:sz w:val="22"/>
                <w:szCs w:val="22"/>
                <w:u w:val="single"/>
              </w:rPr>
              <w:t>Fixed assets</w:t>
            </w:r>
          </w:p>
        </w:tc>
        <w:tc>
          <w:tcPr>
            <w:tcW w:w="1180"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jc w:val="right"/>
              <w:rPr>
                <w:rFonts w:ascii="Calibri" w:hAnsi="Calibri" w:cs="Calibri"/>
                <w:color w:val="000000"/>
                <w:sz w:val="22"/>
                <w:szCs w:val="22"/>
              </w:rPr>
            </w:pPr>
            <w:r>
              <w:rPr>
                <w:rFonts w:ascii="Calibri" w:hAnsi="Calibri" w:cs="Calibri"/>
                <w:color w:val="000000"/>
                <w:sz w:val="22"/>
                <w:szCs w:val="22"/>
              </w:rPr>
              <w:t>197</w:t>
            </w:r>
          </w:p>
        </w:tc>
        <w:tc>
          <w:tcPr>
            <w:tcW w:w="960" w:type="dxa"/>
            <w:tcBorders>
              <w:top w:val="nil"/>
              <w:left w:val="nil"/>
              <w:bottom w:val="nil"/>
              <w:right w:val="nil"/>
            </w:tcBorders>
            <w:shd w:val="clear" w:color="auto" w:fill="auto"/>
            <w:noWrap/>
            <w:vAlign w:val="bottom"/>
            <w:hideMark/>
          </w:tcPr>
          <w:p w:rsidR="0043662D" w:rsidRPr="00527EDD" w:rsidRDefault="0043662D" w:rsidP="00364482">
            <w:pPr>
              <w:jc w:val="right"/>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hideMark/>
          </w:tcPr>
          <w:p w:rsidR="0043662D" w:rsidRPr="0043662D" w:rsidRDefault="007D0D17" w:rsidP="00364482">
            <w:pPr>
              <w:jc w:val="right"/>
              <w:rPr>
                <w:rFonts w:asciiTheme="minorHAnsi" w:hAnsiTheme="minorHAnsi" w:cstheme="minorHAnsi"/>
                <w:sz w:val="22"/>
                <w:szCs w:val="22"/>
              </w:rPr>
            </w:pPr>
            <w:r>
              <w:rPr>
                <w:rFonts w:asciiTheme="minorHAnsi" w:hAnsiTheme="minorHAnsi" w:cstheme="minorHAnsi"/>
                <w:sz w:val="22"/>
                <w:szCs w:val="22"/>
              </w:rPr>
              <w:t>223</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43662D" w:rsidRPr="00527EDD" w:rsidRDefault="007D0D17" w:rsidP="002510CE">
            <w:pPr>
              <w:jc w:val="right"/>
              <w:rPr>
                <w:rFonts w:ascii="Calibri" w:hAnsi="Calibri" w:cs="Calibri"/>
                <w:color w:val="000000"/>
                <w:sz w:val="22"/>
                <w:szCs w:val="22"/>
              </w:rPr>
            </w:pPr>
            <w:r>
              <w:rPr>
                <w:rFonts w:ascii="Calibri" w:hAnsi="Calibri" w:cs="Calibri"/>
                <w:color w:val="000000"/>
                <w:sz w:val="22"/>
                <w:szCs w:val="22"/>
              </w:rPr>
              <w:t>711</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nil"/>
              <w:left w:val="single" w:sz="4" w:space="0" w:color="auto"/>
              <w:bottom w:val="nil"/>
              <w:right w:val="single" w:sz="4" w:space="0" w:color="auto"/>
            </w:tcBorders>
            <w:shd w:val="clear" w:color="auto" w:fill="auto"/>
            <w:noWrap/>
            <w:vAlign w:val="bottom"/>
            <w:hideMark/>
          </w:tcPr>
          <w:p w:rsidR="0043662D" w:rsidRPr="00527EDD" w:rsidRDefault="001504B0" w:rsidP="002510CE">
            <w:pPr>
              <w:jc w:val="right"/>
              <w:rPr>
                <w:rFonts w:ascii="Calibri" w:hAnsi="Calibri" w:cs="Calibri"/>
                <w:color w:val="000000"/>
                <w:sz w:val="22"/>
                <w:szCs w:val="22"/>
              </w:rPr>
            </w:pPr>
            <w:r>
              <w:rPr>
                <w:rFonts w:ascii="Calibri" w:hAnsi="Calibri" w:cs="Calibri"/>
                <w:color w:val="000000"/>
                <w:sz w:val="22"/>
                <w:szCs w:val="22"/>
              </w:rPr>
              <w:t>608</w:t>
            </w:r>
          </w:p>
        </w:tc>
      </w:tr>
      <w:tr w:rsidR="0043662D" w:rsidRPr="00527EDD" w:rsidTr="000D1E92">
        <w:trPr>
          <w:trHeight w:val="300"/>
        </w:trPr>
        <w:tc>
          <w:tcPr>
            <w:tcW w:w="4020" w:type="dxa"/>
            <w:tcBorders>
              <w:top w:val="nil"/>
              <w:left w:val="nil"/>
              <w:bottom w:val="nil"/>
              <w:right w:val="nil"/>
            </w:tcBorders>
            <w:shd w:val="clear" w:color="auto" w:fill="auto"/>
            <w:noWrap/>
            <w:vAlign w:val="bottom"/>
            <w:hideMark/>
          </w:tcPr>
          <w:p w:rsidR="0043662D" w:rsidRPr="00527EDD" w:rsidRDefault="0043662D" w:rsidP="002510CE">
            <w:pPr>
              <w:rPr>
                <w:rFonts w:ascii="Arial" w:hAnsi="Arial" w:cs="Arial"/>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hideMark/>
          </w:tcPr>
          <w:p w:rsidR="0043662D" w:rsidRPr="0043662D" w:rsidRDefault="0043662D" w:rsidP="000D1E92">
            <w:pPr>
              <w:rPr>
                <w:rFonts w:asciiTheme="minorHAnsi" w:hAnsiTheme="minorHAnsi" w:cstheme="minorHAnsi"/>
                <w:sz w:val="22"/>
                <w:szCs w:val="22"/>
              </w:rPr>
            </w:pPr>
            <w:r w:rsidRPr="0043662D">
              <w:rPr>
                <w:rFonts w:asciiTheme="minorHAnsi" w:hAnsiTheme="minorHAnsi" w:cstheme="minorHAnsi"/>
                <w:sz w:val="22"/>
                <w:szCs w:val="22"/>
              </w:rPr>
              <w:t xml:space="preserve">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r>
      <w:tr w:rsidR="0043662D" w:rsidRPr="00527EDD" w:rsidTr="000D1E92">
        <w:trPr>
          <w:trHeight w:val="300"/>
        </w:trPr>
        <w:tc>
          <w:tcPr>
            <w:tcW w:w="4020" w:type="dxa"/>
            <w:tcBorders>
              <w:top w:val="nil"/>
              <w:left w:val="nil"/>
              <w:bottom w:val="nil"/>
              <w:right w:val="nil"/>
            </w:tcBorders>
            <w:shd w:val="clear" w:color="auto" w:fill="auto"/>
            <w:noWrap/>
            <w:vAlign w:val="bottom"/>
            <w:hideMark/>
          </w:tcPr>
          <w:p w:rsidR="0043662D" w:rsidRPr="00527EDD" w:rsidRDefault="0043662D" w:rsidP="002510CE">
            <w:pPr>
              <w:rPr>
                <w:rFonts w:ascii="Arial" w:hAnsi="Arial" w:cs="Arial"/>
                <w:b/>
                <w:bCs/>
                <w:sz w:val="20"/>
                <w:szCs w:val="20"/>
                <w:u w:val="single"/>
              </w:rPr>
            </w:pPr>
            <w:r w:rsidRPr="00527EDD">
              <w:rPr>
                <w:rFonts w:ascii="Arial" w:hAnsi="Arial" w:cs="Arial"/>
                <w:b/>
                <w:bCs/>
                <w:sz w:val="20"/>
                <w:szCs w:val="20"/>
                <w:u w:val="single"/>
              </w:rPr>
              <w:t>Current assets</w:t>
            </w:r>
          </w:p>
        </w:tc>
        <w:tc>
          <w:tcPr>
            <w:tcW w:w="1180"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hideMark/>
          </w:tcPr>
          <w:p w:rsidR="0043662D" w:rsidRPr="0043662D" w:rsidRDefault="0043662D" w:rsidP="000D1E92">
            <w:pPr>
              <w:rPr>
                <w:rFonts w:asciiTheme="minorHAnsi" w:hAnsiTheme="minorHAnsi" w:cstheme="minorHAnsi"/>
                <w:sz w:val="22"/>
                <w:szCs w:val="22"/>
              </w:rPr>
            </w:pPr>
            <w:r w:rsidRPr="0043662D">
              <w:rPr>
                <w:rFonts w:asciiTheme="minorHAnsi" w:hAnsiTheme="minorHAnsi" w:cstheme="minorHAnsi"/>
                <w:sz w:val="22"/>
                <w:szCs w:val="22"/>
              </w:rPr>
              <w:t xml:space="preserve">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r>
      <w:tr w:rsidR="0043662D" w:rsidRPr="00527EDD" w:rsidTr="00364482">
        <w:trPr>
          <w:trHeight w:val="300"/>
        </w:trPr>
        <w:tc>
          <w:tcPr>
            <w:tcW w:w="4020" w:type="dxa"/>
            <w:tcBorders>
              <w:top w:val="nil"/>
              <w:left w:val="nil"/>
              <w:bottom w:val="nil"/>
              <w:right w:val="nil"/>
            </w:tcBorders>
            <w:shd w:val="clear" w:color="000000" w:fill="FFFFFF"/>
            <w:noWrap/>
            <w:vAlign w:val="bottom"/>
            <w:hideMark/>
          </w:tcPr>
          <w:p w:rsidR="0043662D" w:rsidRPr="00527EDD" w:rsidRDefault="0043662D" w:rsidP="002510CE">
            <w:pPr>
              <w:rPr>
                <w:rFonts w:ascii="Arial" w:hAnsi="Arial" w:cs="Arial"/>
                <w:sz w:val="20"/>
                <w:szCs w:val="20"/>
              </w:rPr>
            </w:pPr>
            <w:r w:rsidRPr="00527EDD">
              <w:rPr>
                <w:rFonts w:ascii="Arial" w:hAnsi="Arial" w:cs="Arial"/>
                <w:sz w:val="20"/>
                <w:szCs w:val="20"/>
              </w:rPr>
              <w:t>Trade and other receivable</w:t>
            </w:r>
            <w:r>
              <w:rPr>
                <w:rFonts w:ascii="Arial" w:hAnsi="Arial" w:cs="Arial"/>
                <w:sz w:val="20"/>
                <w:szCs w:val="20"/>
              </w:rPr>
              <w:t>s</w:t>
            </w:r>
          </w:p>
        </w:tc>
        <w:tc>
          <w:tcPr>
            <w:tcW w:w="1180"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jc w:val="right"/>
              <w:rPr>
                <w:rFonts w:ascii="Calibri" w:hAnsi="Calibri" w:cs="Calibri"/>
                <w:color w:val="000000"/>
                <w:sz w:val="22"/>
                <w:szCs w:val="22"/>
              </w:rPr>
            </w:pPr>
            <w:r>
              <w:rPr>
                <w:rFonts w:ascii="Calibri" w:hAnsi="Calibri" w:cs="Calibri"/>
                <w:color w:val="000000"/>
                <w:sz w:val="22"/>
                <w:szCs w:val="22"/>
              </w:rPr>
              <w:t>156</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tcPr>
          <w:p w:rsidR="00364482" w:rsidRPr="0043662D" w:rsidRDefault="007B5BC7" w:rsidP="00364482">
            <w:pPr>
              <w:jc w:val="right"/>
              <w:rPr>
                <w:rFonts w:asciiTheme="minorHAnsi" w:hAnsiTheme="minorHAnsi" w:cstheme="minorHAnsi"/>
                <w:sz w:val="22"/>
                <w:szCs w:val="22"/>
              </w:rPr>
            </w:pPr>
            <w:r>
              <w:rPr>
                <w:rFonts w:asciiTheme="minorHAnsi" w:hAnsiTheme="minorHAnsi" w:cstheme="minorHAnsi"/>
                <w:sz w:val="22"/>
                <w:szCs w:val="22"/>
              </w:rPr>
              <w:t>1</w:t>
            </w:r>
            <w:r w:rsidR="007D0D17">
              <w:rPr>
                <w:rFonts w:asciiTheme="minorHAnsi" w:hAnsiTheme="minorHAnsi" w:cstheme="minorHAnsi"/>
                <w:sz w:val="22"/>
                <w:szCs w:val="22"/>
              </w:rPr>
              <w:t>19</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43662D" w:rsidRPr="00527EDD" w:rsidRDefault="008F7981" w:rsidP="002510CE">
            <w:pPr>
              <w:jc w:val="right"/>
              <w:rPr>
                <w:rFonts w:ascii="Calibri" w:hAnsi="Calibri" w:cs="Calibri"/>
                <w:color w:val="000000"/>
                <w:sz w:val="22"/>
                <w:szCs w:val="22"/>
              </w:rPr>
            </w:pPr>
            <w:r>
              <w:rPr>
                <w:rFonts w:ascii="Calibri" w:hAnsi="Calibri" w:cs="Calibri"/>
                <w:color w:val="000000"/>
                <w:sz w:val="22"/>
                <w:szCs w:val="22"/>
              </w:rPr>
              <w:t>1</w:t>
            </w:r>
            <w:r w:rsidR="007D0D17">
              <w:rPr>
                <w:rFonts w:ascii="Calibri" w:hAnsi="Calibri" w:cs="Calibri"/>
                <w:color w:val="000000"/>
                <w:sz w:val="22"/>
                <w:szCs w:val="22"/>
              </w:rPr>
              <w:t>83</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nil"/>
              <w:left w:val="single" w:sz="4" w:space="0" w:color="auto"/>
              <w:bottom w:val="nil"/>
              <w:right w:val="single" w:sz="4" w:space="0" w:color="auto"/>
            </w:tcBorders>
            <w:shd w:val="clear" w:color="auto" w:fill="auto"/>
            <w:noWrap/>
            <w:vAlign w:val="bottom"/>
            <w:hideMark/>
          </w:tcPr>
          <w:p w:rsidR="0043662D" w:rsidRPr="00527EDD" w:rsidRDefault="00CE1147" w:rsidP="001504B0">
            <w:pPr>
              <w:jc w:val="right"/>
              <w:rPr>
                <w:rFonts w:ascii="Calibri" w:hAnsi="Calibri" w:cs="Calibri"/>
                <w:color w:val="000000"/>
                <w:sz w:val="22"/>
                <w:szCs w:val="22"/>
              </w:rPr>
            </w:pPr>
            <w:r>
              <w:rPr>
                <w:rFonts w:ascii="Calibri" w:hAnsi="Calibri" w:cs="Calibri"/>
                <w:color w:val="000000"/>
                <w:sz w:val="22"/>
                <w:szCs w:val="22"/>
              </w:rPr>
              <w:t>119</w:t>
            </w:r>
          </w:p>
        </w:tc>
      </w:tr>
      <w:tr w:rsidR="0043662D" w:rsidRPr="00527EDD" w:rsidTr="00637E98">
        <w:trPr>
          <w:trHeight w:val="300"/>
        </w:trPr>
        <w:tc>
          <w:tcPr>
            <w:tcW w:w="4020" w:type="dxa"/>
            <w:tcBorders>
              <w:top w:val="nil"/>
              <w:left w:val="nil"/>
              <w:bottom w:val="nil"/>
              <w:right w:val="nil"/>
            </w:tcBorders>
            <w:shd w:val="clear" w:color="000000" w:fill="FFFFFF"/>
            <w:noWrap/>
            <w:vAlign w:val="bottom"/>
            <w:hideMark/>
          </w:tcPr>
          <w:p w:rsidR="0043662D" w:rsidRPr="00527EDD" w:rsidRDefault="0043662D" w:rsidP="002510CE">
            <w:pPr>
              <w:rPr>
                <w:rFonts w:ascii="Arial" w:hAnsi="Arial" w:cs="Arial"/>
                <w:sz w:val="20"/>
                <w:szCs w:val="20"/>
              </w:rPr>
            </w:pPr>
            <w:r w:rsidRPr="00527EDD">
              <w:rPr>
                <w:rFonts w:ascii="Arial" w:hAnsi="Arial" w:cs="Arial"/>
                <w:sz w:val="20"/>
                <w:szCs w:val="20"/>
              </w:rPr>
              <w:t>Cash and cash equivalents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3662D" w:rsidRPr="00527EDD" w:rsidRDefault="0043662D" w:rsidP="002510CE">
            <w:pPr>
              <w:jc w:val="right"/>
              <w:rPr>
                <w:rFonts w:ascii="Calibri" w:hAnsi="Calibri" w:cs="Calibri"/>
                <w:color w:val="000000"/>
                <w:sz w:val="22"/>
                <w:szCs w:val="22"/>
              </w:rPr>
            </w:pPr>
            <w:r>
              <w:rPr>
                <w:rFonts w:ascii="Calibri" w:hAnsi="Calibri" w:cs="Calibri"/>
                <w:color w:val="000000"/>
                <w:sz w:val="22"/>
                <w:szCs w:val="22"/>
              </w:rPr>
              <w:t>2279</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tcPr>
          <w:p w:rsidR="0043662D" w:rsidRPr="0043662D" w:rsidRDefault="007D0D17" w:rsidP="006F2E59">
            <w:pPr>
              <w:jc w:val="right"/>
              <w:rPr>
                <w:rFonts w:asciiTheme="minorHAnsi" w:hAnsiTheme="minorHAnsi" w:cstheme="minorHAnsi"/>
                <w:sz w:val="22"/>
                <w:szCs w:val="22"/>
              </w:rPr>
            </w:pPr>
            <w:r>
              <w:rPr>
                <w:rFonts w:asciiTheme="minorHAnsi" w:hAnsiTheme="minorHAnsi" w:cstheme="minorHAnsi"/>
                <w:sz w:val="22"/>
                <w:szCs w:val="22"/>
              </w:rPr>
              <w:t>1999</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662D" w:rsidRPr="00527EDD" w:rsidRDefault="007D0D17" w:rsidP="007D0D17">
            <w:pPr>
              <w:jc w:val="right"/>
              <w:rPr>
                <w:rFonts w:ascii="Calibri" w:hAnsi="Calibri" w:cs="Calibri"/>
                <w:color w:val="000000"/>
                <w:sz w:val="22"/>
                <w:szCs w:val="22"/>
              </w:rPr>
            </w:pPr>
            <w:r>
              <w:rPr>
                <w:rFonts w:ascii="Calibri" w:hAnsi="Calibri" w:cs="Calibri"/>
                <w:color w:val="000000"/>
                <w:sz w:val="22"/>
                <w:szCs w:val="22"/>
              </w:rPr>
              <w:t>3819</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43662D" w:rsidRPr="00527EDD" w:rsidRDefault="00CE1147" w:rsidP="002510CE">
            <w:pPr>
              <w:jc w:val="right"/>
              <w:rPr>
                <w:rFonts w:ascii="Calibri" w:hAnsi="Calibri" w:cs="Calibri"/>
                <w:color w:val="000000"/>
                <w:sz w:val="22"/>
                <w:szCs w:val="22"/>
              </w:rPr>
            </w:pPr>
            <w:r>
              <w:rPr>
                <w:rFonts w:ascii="Calibri" w:hAnsi="Calibri" w:cs="Calibri"/>
                <w:color w:val="000000"/>
                <w:sz w:val="22"/>
                <w:szCs w:val="22"/>
              </w:rPr>
              <w:t>4294</w:t>
            </w:r>
          </w:p>
        </w:tc>
      </w:tr>
      <w:tr w:rsidR="0043662D" w:rsidRPr="00527EDD" w:rsidTr="00637E98">
        <w:trPr>
          <w:trHeight w:val="300"/>
        </w:trPr>
        <w:tc>
          <w:tcPr>
            <w:tcW w:w="4020" w:type="dxa"/>
            <w:tcBorders>
              <w:top w:val="nil"/>
              <w:left w:val="nil"/>
              <w:bottom w:val="nil"/>
              <w:right w:val="nil"/>
            </w:tcBorders>
            <w:shd w:val="clear" w:color="auto" w:fill="auto"/>
            <w:noWrap/>
            <w:vAlign w:val="bottom"/>
            <w:hideMark/>
          </w:tcPr>
          <w:p w:rsidR="0043662D" w:rsidRPr="00527EDD" w:rsidRDefault="0043662D" w:rsidP="002510CE">
            <w:pPr>
              <w:rPr>
                <w:rFonts w:ascii="Arial" w:hAnsi="Arial" w:cs="Arial"/>
                <w:b/>
                <w:bCs/>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62D" w:rsidRPr="00637E98" w:rsidRDefault="0043662D" w:rsidP="002510CE">
            <w:pPr>
              <w:jc w:val="right"/>
              <w:rPr>
                <w:rFonts w:ascii="Calibri" w:hAnsi="Calibri" w:cs="Calibri"/>
                <w:b/>
                <w:color w:val="000000"/>
                <w:sz w:val="22"/>
                <w:szCs w:val="22"/>
              </w:rPr>
            </w:pPr>
            <w:r w:rsidRPr="00637E98">
              <w:rPr>
                <w:rFonts w:ascii="Calibri" w:hAnsi="Calibri" w:cs="Calibri"/>
                <w:b/>
                <w:color w:val="000000"/>
                <w:sz w:val="22"/>
                <w:szCs w:val="22"/>
              </w:rPr>
              <w:t>2435</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43662D" w:rsidRPr="00637E98" w:rsidRDefault="007D0D17" w:rsidP="006F2E59">
            <w:pPr>
              <w:jc w:val="right"/>
              <w:rPr>
                <w:rFonts w:asciiTheme="minorHAnsi" w:hAnsiTheme="minorHAnsi" w:cstheme="minorHAnsi"/>
                <w:b/>
                <w:sz w:val="22"/>
                <w:szCs w:val="22"/>
              </w:rPr>
            </w:pPr>
            <w:r>
              <w:rPr>
                <w:rFonts w:asciiTheme="minorHAnsi" w:hAnsiTheme="minorHAnsi" w:cstheme="minorHAnsi"/>
                <w:b/>
                <w:sz w:val="22"/>
                <w:szCs w:val="22"/>
              </w:rPr>
              <w:t>2118</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62D" w:rsidRPr="00637E98" w:rsidRDefault="007D0D17" w:rsidP="002510CE">
            <w:pPr>
              <w:jc w:val="right"/>
              <w:rPr>
                <w:rFonts w:ascii="Calibri" w:hAnsi="Calibri" w:cs="Calibri"/>
                <w:b/>
                <w:color w:val="000000"/>
                <w:sz w:val="22"/>
                <w:szCs w:val="22"/>
              </w:rPr>
            </w:pPr>
            <w:r>
              <w:rPr>
                <w:rFonts w:ascii="Calibri" w:hAnsi="Calibri" w:cs="Calibri"/>
                <w:b/>
                <w:color w:val="000000"/>
                <w:sz w:val="22"/>
                <w:szCs w:val="22"/>
              </w:rPr>
              <w:t>4002</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62D" w:rsidRPr="00637E98" w:rsidRDefault="00CE1147" w:rsidP="001504B0">
            <w:pPr>
              <w:jc w:val="right"/>
              <w:rPr>
                <w:rFonts w:ascii="Calibri" w:hAnsi="Calibri" w:cs="Calibri"/>
                <w:b/>
                <w:color w:val="000000"/>
                <w:sz w:val="22"/>
                <w:szCs w:val="22"/>
              </w:rPr>
            </w:pPr>
            <w:r>
              <w:rPr>
                <w:rFonts w:ascii="Calibri" w:hAnsi="Calibri" w:cs="Calibri"/>
                <w:b/>
                <w:color w:val="000000"/>
                <w:sz w:val="22"/>
                <w:szCs w:val="22"/>
              </w:rPr>
              <w:t>4413</w:t>
            </w:r>
          </w:p>
        </w:tc>
      </w:tr>
      <w:tr w:rsidR="0043662D" w:rsidRPr="00527EDD" w:rsidTr="00637E98">
        <w:trPr>
          <w:trHeight w:val="300"/>
        </w:trPr>
        <w:tc>
          <w:tcPr>
            <w:tcW w:w="4020" w:type="dxa"/>
            <w:tcBorders>
              <w:top w:val="nil"/>
              <w:left w:val="nil"/>
              <w:bottom w:val="nil"/>
              <w:right w:val="nil"/>
            </w:tcBorders>
            <w:shd w:val="clear" w:color="auto" w:fill="auto"/>
            <w:noWrap/>
            <w:vAlign w:val="bottom"/>
            <w:hideMark/>
          </w:tcPr>
          <w:p w:rsidR="0043662D" w:rsidRPr="00527EDD" w:rsidRDefault="0043662D" w:rsidP="002510CE">
            <w:pPr>
              <w:rPr>
                <w:rFonts w:ascii="Arial" w:hAnsi="Arial" w:cs="Arial"/>
                <w:b/>
                <w:bCs/>
                <w:sz w:val="20"/>
                <w:szCs w:val="20"/>
              </w:rPr>
            </w:pPr>
            <w:r w:rsidRPr="00527EDD">
              <w:rPr>
                <w:rFonts w:ascii="Arial" w:hAnsi="Arial" w:cs="Arial"/>
                <w:b/>
                <w:bCs/>
                <w:sz w:val="20"/>
                <w:szCs w:val="20"/>
              </w:rPr>
              <w:t>Less</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single" w:sz="4" w:space="0" w:color="auto"/>
              <w:left w:val="single" w:sz="4" w:space="0" w:color="auto"/>
              <w:bottom w:val="nil"/>
              <w:right w:val="single" w:sz="4" w:space="0" w:color="auto"/>
            </w:tcBorders>
            <w:shd w:val="clear" w:color="auto" w:fill="auto"/>
            <w:noWrap/>
            <w:hideMark/>
          </w:tcPr>
          <w:p w:rsidR="0043662D" w:rsidRPr="0043662D" w:rsidRDefault="0043662D" w:rsidP="006F2E59">
            <w:pPr>
              <w:jc w:val="right"/>
              <w:rPr>
                <w:rFonts w:asciiTheme="minorHAnsi" w:hAnsiTheme="minorHAnsi" w:cstheme="minorHAnsi"/>
                <w:sz w:val="22"/>
                <w:szCs w:val="22"/>
              </w:rPr>
            </w:pPr>
            <w:r w:rsidRPr="0043662D">
              <w:rPr>
                <w:rFonts w:asciiTheme="minorHAnsi" w:hAnsiTheme="minorHAnsi" w:cstheme="minorHAnsi"/>
                <w:sz w:val="22"/>
                <w:szCs w:val="22"/>
              </w:rPr>
              <w:t xml:space="preserve">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single" w:sz="4" w:space="0" w:color="auto"/>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r>
      <w:tr w:rsidR="0043662D" w:rsidRPr="00527EDD" w:rsidTr="000D1E92">
        <w:trPr>
          <w:trHeight w:val="300"/>
        </w:trPr>
        <w:tc>
          <w:tcPr>
            <w:tcW w:w="4020" w:type="dxa"/>
            <w:tcBorders>
              <w:top w:val="nil"/>
              <w:left w:val="nil"/>
              <w:bottom w:val="nil"/>
              <w:right w:val="nil"/>
            </w:tcBorders>
            <w:shd w:val="clear" w:color="auto" w:fill="auto"/>
            <w:noWrap/>
            <w:vAlign w:val="bottom"/>
            <w:hideMark/>
          </w:tcPr>
          <w:p w:rsidR="0043662D" w:rsidRPr="00527EDD" w:rsidRDefault="0043662D" w:rsidP="002510CE">
            <w:pPr>
              <w:rPr>
                <w:rFonts w:ascii="Arial" w:hAnsi="Arial" w:cs="Arial"/>
                <w:b/>
                <w:bCs/>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hideMark/>
          </w:tcPr>
          <w:p w:rsidR="0043662D" w:rsidRPr="0043662D" w:rsidRDefault="0043662D" w:rsidP="006F2E59">
            <w:pPr>
              <w:jc w:val="right"/>
              <w:rPr>
                <w:rFonts w:asciiTheme="minorHAnsi" w:hAnsiTheme="minorHAnsi" w:cstheme="minorHAnsi"/>
                <w:sz w:val="22"/>
                <w:szCs w:val="22"/>
              </w:rPr>
            </w:pPr>
            <w:r w:rsidRPr="0043662D">
              <w:rPr>
                <w:rFonts w:asciiTheme="minorHAnsi" w:hAnsiTheme="minorHAnsi" w:cstheme="minorHAnsi"/>
                <w:sz w:val="22"/>
                <w:szCs w:val="22"/>
              </w:rPr>
              <w:t xml:space="preserve">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r>
      <w:tr w:rsidR="0043662D" w:rsidRPr="00527EDD" w:rsidTr="000D1E92">
        <w:trPr>
          <w:trHeight w:val="300"/>
        </w:trPr>
        <w:tc>
          <w:tcPr>
            <w:tcW w:w="4020" w:type="dxa"/>
            <w:tcBorders>
              <w:top w:val="nil"/>
              <w:left w:val="nil"/>
              <w:bottom w:val="nil"/>
              <w:right w:val="nil"/>
            </w:tcBorders>
            <w:shd w:val="clear" w:color="000000" w:fill="FFFFFF"/>
            <w:noWrap/>
            <w:vAlign w:val="bottom"/>
            <w:hideMark/>
          </w:tcPr>
          <w:p w:rsidR="0043662D" w:rsidRPr="00527EDD" w:rsidRDefault="0043662D" w:rsidP="002510CE">
            <w:pPr>
              <w:rPr>
                <w:rFonts w:ascii="Arial" w:hAnsi="Arial" w:cs="Arial"/>
                <w:b/>
                <w:bCs/>
                <w:sz w:val="20"/>
                <w:szCs w:val="20"/>
                <w:u w:val="single"/>
              </w:rPr>
            </w:pPr>
            <w:r w:rsidRPr="00527EDD">
              <w:rPr>
                <w:rFonts w:ascii="Arial" w:hAnsi="Arial" w:cs="Arial"/>
                <w:b/>
                <w:bCs/>
                <w:sz w:val="20"/>
                <w:szCs w:val="20"/>
                <w:u w:val="single"/>
              </w:rPr>
              <w:t>Current Liabilities</w:t>
            </w:r>
          </w:p>
        </w:tc>
        <w:tc>
          <w:tcPr>
            <w:tcW w:w="1180"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hideMark/>
          </w:tcPr>
          <w:p w:rsidR="0043662D" w:rsidRPr="0043662D" w:rsidRDefault="0043662D" w:rsidP="006F2E59">
            <w:pPr>
              <w:jc w:val="right"/>
              <w:rPr>
                <w:rFonts w:asciiTheme="minorHAnsi" w:hAnsiTheme="minorHAnsi" w:cstheme="minorHAnsi"/>
                <w:sz w:val="22"/>
                <w:szCs w:val="22"/>
              </w:rPr>
            </w:pPr>
            <w:r w:rsidRPr="0043662D">
              <w:rPr>
                <w:rFonts w:asciiTheme="minorHAnsi" w:hAnsiTheme="minorHAnsi" w:cstheme="minorHAnsi"/>
                <w:sz w:val="22"/>
                <w:szCs w:val="22"/>
              </w:rPr>
              <w:t xml:space="preserve">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r>
      <w:tr w:rsidR="0043662D" w:rsidRPr="00527EDD" w:rsidTr="000D1E92">
        <w:trPr>
          <w:trHeight w:val="300"/>
        </w:trPr>
        <w:tc>
          <w:tcPr>
            <w:tcW w:w="4020" w:type="dxa"/>
            <w:tcBorders>
              <w:top w:val="nil"/>
              <w:left w:val="nil"/>
              <w:bottom w:val="nil"/>
              <w:right w:val="nil"/>
            </w:tcBorders>
            <w:shd w:val="clear" w:color="000000" w:fill="FFFFFF"/>
            <w:noWrap/>
            <w:vAlign w:val="bottom"/>
            <w:hideMark/>
          </w:tcPr>
          <w:p w:rsidR="0043662D" w:rsidRPr="00527EDD" w:rsidRDefault="0043662D" w:rsidP="002510CE">
            <w:pPr>
              <w:rPr>
                <w:rFonts w:ascii="Arial" w:hAnsi="Arial" w:cs="Arial"/>
                <w:sz w:val="20"/>
                <w:szCs w:val="20"/>
              </w:rPr>
            </w:pPr>
            <w:r w:rsidRPr="00527EDD">
              <w:rPr>
                <w:rFonts w:ascii="Arial" w:hAnsi="Arial" w:cs="Arial"/>
                <w:sz w:val="20"/>
                <w:szCs w:val="20"/>
              </w:rPr>
              <w:t>Trade and other payables</w:t>
            </w:r>
          </w:p>
        </w:tc>
        <w:tc>
          <w:tcPr>
            <w:tcW w:w="1180"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jc w:val="right"/>
              <w:rPr>
                <w:rFonts w:ascii="Calibri" w:hAnsi="Calibri" w:cs="Calibri"/>
                <w:color w:val="000000"/>
                <w:sz w:val="22"/>
                <w:szCs w:val="22"/>
              </w:rPr>
            </w:pPr>
            <w:r>
              <w:rPr>
                <w:rFonts w:ascii="Calibri" w:hAnsi="Calibri" w:cs="Calibri"/>
                <w:color w:val="000000"/>
                <w:sz w:val="22"/>
                <w:szCs w:val="22"/>
              </w:rPr>
              <w:t>1204</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hideMark/>
          </w:tcPr>
          <w:p w:rsidR="0043662D" w:rsidRPr="0043662D" w:rsidRDefault="007D0D17" w:rsidP="006F2E59">
            <w:pPr>
              <w:jc w:val="right"/>
              <w:rPr>
                <w:rFonts w:asciiTheme="minorHAnsi" w:hAnsiTheme="minorHAnsi" w:cstheme="minorHAnsi"/>
                <w:sz w:val="22"/>
                <w:szCs w:val="22"/>
              </w:rPr>
            </w:pPr>
            <w:r>
              <w:rPr>
                <w:rFonts w:asciiTheme="minorHAnsi" w:hAnsiTheme="minorHAnsi" w:cstheme="minorHAnsi"/>
                <w:sz w:val="22"/>
                <w:szCs w:val="22"/>
              </w:rPr>
              <w:t>1266</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43662D" w:rsidRPr="00527EDD" w:rsidRDefault="007D0D17" w:rsidP="002510CE">
            <w:pPr>
              <w:jc w:val="right"/>
              <w:rPr>
                <w:rFonts w:ascii="Calibri" w:hAnsi="Calibri" w:cs="Calibri"/>
                <w:color w:val="000000"/>
                <w:sz w:val="22"/>
                <w:szCs w:val="22"/>
              </w:rPr>
            </w:pPr>
            <w:r>
              <w:rPr>
                <w:rFonts w:ascii="Calibri" w:hAnsi="Calibri" w:cs="Calibri"/>
                <w:color w:val="000000"/>
                <w:sz w:val="22"/>
                <w:szCs w:val="22"/>
              </w:rPr>
              <w:t>1298</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nil"/>
              <w:left w:val="single" w:sz="4" w:space="0" w:color="auto"/>
              <w:bottom w:val="nil"/>
              <w:right w:val="single" w:sz="4" w:space="0" w:color="auto"/>
            </w:tcBorders>
            <w:shd w:val="clear" w:color="auto" w:fill="auto"/>
            <w:noWrap/>
            <w:vAlign w:val="bottom"/>
            <w:hideMark/>
          </w:tcPr>
          <w:p w:rsidR="0043662D" w:rsidRPr="00527EDD" w:rsidRDefault="00CE1147" w:rsidP="00661E0A">
            <w:pPr>
              <w:jc w:val="right"/>
              <w:rPr>
                <w:rFonts w:ascii="Calibri" w:hAnsi="Calibri" w:cs="Calibri"/>
                <w:color w:val="000000"/>
                <w:sz w:val="22"/>
                <w:szCs w:val="22"/>
              </w:rPr>
            </w:pPr>
            <w:r>
              <w:rPr>
                <w:rFonts w:ascii="Calibri" w:hAnsi="Calibri" w:cs="Calibri"/>
                <w:color w:val="000000"/>
                <w:sz w:val="22"/>
                <w:szCs w:val="22"/>
              </w:rPr>
              <w:t>2279</w:t>
            </w:r>
          </w:p>
        </w:tc>
      </w:tr>
      <w:tr w:rsidR="0043662D" w:rsidRPr="00527EDD" w:rsidTr="000D1E92">
        <w:trPr>
          <w:trHeight w:val="300"/>
        </w:trPr>
        <w:tc>
          <w:tcPr>
            <w:tcW w:w="4020" w:type="dxa"/>
            <w:tcBorders>
              <w:top w:val="nil"/>
              <w:left w:val="nil"/>
              <w:bottom w:val="nil"/>
              <w:right w:val="nil"/>
            </w:tcBorders>
            <w:shd w:val="clear" w:color="000000" w:fill="FFFFFF"/>
            <w:noWrap/>
            <w:vAlign w:val="bottom"/>
            <w:hideMark/>
          </w:tcPr>
          <w:p w:rsidR="0043662D" w:rsidRPr="00527EDD" w:rsidRDefault="0043662D" w:rsidP="002510CE">
            <w:pPr>
              <w:rPr>
                <w:rFonts w:ascii="Arial" w:hAnsi="Arial" w:cs="Arial"/>
                <w:sz w:val="20"/>
                <w:szCs w:val="20"/>
              </w:rPr>
            </w:pPr>
            <w:r w:rsidRPr="00527EDD">
              <w:rPr>
                <w:rFonts w:ascii="Arial" w:hAnsi="Arial" w:cs="Arial"/>
                <w:sz w:val="20"/>
                <w:szCs w:val="20"/>
              </w:rPr>
              <w:t>Provisions for liabilities and charges</w:t>
            </w:r>
          </w:p>
        </w:tc>
        <w:tc>
          <w:tcPr>
            <w:tcW w:w="1180"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hideMark/>
          </w:tcPr>
          <w:p w:rsidR="0043662D" w:rsidRPr="0043662D" w:rsidRDefault="0043662D" w:rsidP="006F2E59">
            <w:pPr>
              <w:jc w:val="right"/>
              <w:rPr>
                <w:rFonts w:asciiTheme="minorHAnsi" w:hAnsiTheme="minorHAnsi" w:cstheme="minorHAnsi"/>
                <w:sz w:val="22"/>
                <w:szCs w:val="22"/>
              </w:rPr>
            </w:pPr>
            <w:r w:rsidRPr="0043662D">
              <w:rPr>
                <w:rFonts w:asciiTheme="minorHAnsi" w:hAnsiTheme="minorHAnsi" w:cstheme="minorHAnsi"/>
                <w:sz w:val="22"/>
                <w:szCs w:val="22"/>
              </w:rPr>
              <w:t xml:space="preserve">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r>
              <w:rPr>
                <w:rFonts w:ascii="Calibri" w:hAnsi="Calibri" w:cs="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r>
      <w:tr w:rsidR="0043662D" w:rsidRPr="00527EDD" w:rsidTr="00637E98">
        <w:trPr>
          <w:trHeight w:val="300"/>
        </w:trPr>
        <w:tc>
          <w:tcPr>
            <w:tcW w:w="4020" w:type="dxa"/>
            <w:tcBorders>
              <w:top w:val="nil"/>
              <w:left w:val="nil"/>
              <w:bottom w:val="nil"/>
              <w:right w:val="nil"/>
            </w:tcBorders>
            <w:shd w:val="clear" w:color="000000" w:fill="FFFFFF"/>
            <w:noWrap/>
            <w:vAlign w:val="bottom"/>
            <w:hideMark/>
          </w:tcPr>
          <w:p w:rsidR="0043662D" w:rsidRPr="00527EDD" w:rsidRDefault="0043662D" w:rsidP="002510CE">
            <w:pPr>
              <w:rPr>
                <w:rFonts w:ascii="Arial" w:hAnsi="Arial" w:cs="Arial"/>
                <w:sz w:val="20"/>
                <w:szCs w:val="20"/>
              </w:rPr>
            </w:pPr>
            <w:r w:rsidRPr="00527EDD">
              <w:rPr>
                <w:rFonts w:ascii="Arial" w:hAnsi="Arial" w:cs="Arial"/>
                <w:sz w:val="20"/>
                <w:szCs w:val="20"/>
              </w:rPr>
              <w:t>Other liabilities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43662D" w:rsidRPr="0043662D" w:rsidRDefault="0043662D" w:rsidP="006F2E59">
            <w:pPr>
              <w:jc w:val="right"/>
              <w:rPr>
                <w:rFonts w:asciiTheme="minorHAnsi" w:hAnsiTheme="minorHAnsi" w:cstheme="minorHAnsi"/>
                <w:sz w:val="22"/>
                <w:szCs w:val="22"/>
              </w:rPr>
            </w:pPr>
            <w:r w:rsidRPr="0043662D">
              <w:rPr>
                <w:rFonts w:asciiTheme="minorHAnsi" w:hAnsiTheme="minorHAnsi" w:cstheme="minorHAnsi"/>
                <w:sz w:val="22"/>
                <w:szCs w:val="22"/>
              </w:rPr>
              <w:t xml:space="preserve">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r>
      <w:tr w:rsidR="0043662D" w:rsidRPr="00527EDD" w:rsidTr="00637E98">
        <w:trPr>
          <w:trHeight w:val="300"/>
        </w:trPr>
        <w:tc>
          <w:tcPr>
            <w:tcW w:w="4020" w:type="dxa"/>
            <w:tcBorders>
              <w:top w:val="nil"/>
              <w:left w:val="nil"/>
              <w:bottom w:val="nil"/>
              <w:right w:val="nil"/>
            </w:tcBorders>
            <w:shd w:val="clear" w:color="auto" w:fill="auto"/>
            <w:noWrap/>
            <w:vAlign w:val="bottom"/>
            <w:hideMark/>
          </w:tcPr>
          <w:p w:rsidR="0043662D" w:rsidRPr="00527EDD" w:rsidRDefault="0043662D" w:rsidP="002510CE">
            <w:pPr>
              <w:rPr>
                <w:rFonts w:ascii="Arial" w:hAnsi="Arial" w:cs="Arial"/>
                <w:b/>
                <w:bCs/>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62D" w:rsidRPr="00637E98" w:rsidRDefault="0043662D" w:rsidP="002510CE">
            <w:pPr>
              <w:jc w:val="right"/>
              <w:rPr>
                <w:rFonts w:ascii="Calibri" w:hAnsi="Calibri" w:cs="Calibri"/>
                <w:b/>
                <w:color w:val="000000"/>
                <w:sz w:val="22"/>
                <w:szCs w:val="22"/>
              </w:rPr>
            </w:pPr>
            <w:r w:rsidRPr="00637E98">
              <w:rPr>
                <w:rFonts w:ascii="Calibri" w:hAnsi="Calibri" w:cs="Calibri"/>
                <w:b/>
                <w:color w:val="000000"/>
                <w:sz w:val="22"/>
                <w:szCs w:val="22"/>
              </w:rPr>
              <w:t>1204</w:t>
            </w:r>
          </w:p>
        </w:tc>
        <w:tc>
          <w:tcPr>
            <w:tcW w:w="960" w:type="dxa"/>
            <w:tcBorders>
              <w:top w:val="nil"/>
              <w:left w:val="nil"/>
              <w:bottom w:val="nil"/>
              <w:right w:val="nil"/>
            </w:tcBorders>
            <w:shd w:val="clear" w:color="auto" w:fill="auto"/>
            <w:noWrap/>
            <w:vAlign w:val="bottom"/>
            <w:hideMark/>
          </w:tcPr>
          <w:p w:rsidR="0043662D" w:rsidRPr="00637E98" w:rsidRDefault="0043662D" w:rsidP="002510CE">
            <w:pPr>
              <w:rPr>
                <w:rFonts w:ascii="Calibri" w:hAnsi="Calibri" w:cs="Calibri"/>
                <w:b/>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43662D" w:rsidRPr="00637E98" w:rsidRDefault="007D0D17" w:rsidP="006F2E59">
            <w:pPr>
              <w:jc w:val="right"/>
              <w:rPr>
                <w:rFonts w:asciiTheme="minorHAnsi" w:hAnsiTheme="minorHAnsi" w:cstheme="minorHAnsi"/>
                <w:b/>
                <w:sz w:val="22"/>
                <w:szCs w:val="22"/>
              </w:rPr>
            </w:pPr>
            <w:r>
              <w:rPr>
                <w:rFonts w:asciiTheme="minorHAnsi" w:hAnsiTheme="minorHAnsi" w:cstheme="minorHAnsi"/>
                <w:b/>
                <w:sz w:val="22"/>
                <w:szCs w:val="22"/>
              </w:rPr>
              <w:t>1266</w:t>
            </w:r>
          </w:p>
        </w:tc>
        <w:tc>
          <w:tcPr>
            <w:tcW w:w="960" w:type="dxa"/>
            <w:tcBorders>
              <w:top w:val="nil"/>
              <w:left w:val="nil"/>
              <w:bottom w:val="nil"/>
              <w:right w:val="nil"/>
            </w:tcBorders>
            <w:shd w:val="clear" w:color="auto" w:fill="auto"/>
            <w:noWrap/>
            <w:vAlign w:val="bottom"/>
            <w:hideMark/>
          </w:tcPr>
          <w:p w:rsidR="0043662D" w:rsidRPr="00637E98" w:rsidRDefault="0043662D" w:rsidP="002510CE">
            <w:pPr>
              <w:rPr>
                <w:rFonts w:ascii="Calibri" w:hAnsi="Calibri" w:cs="Calibri"/>
                <w:b/>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62D" w:rsidRPr="00637E98" w:rsidRDefault="007D0D17" w:rsidP="002510CE">
            <w:pPr>
              <w:jc w:val="right"/>
              <w:rPr>
                <w:rFonts w:ascii="Calibri" w:hAnsi="Calibri" w:cs="Calibri"/>
                <w:b/>
                <w:color w:val="000000"/>
                <w:sz w:val="22"/>
                <w:szCs w:val="22"/>
              </w:rPr>
            </w:pPr>
            <w:r>
              <w:rPr>
                <w:rFonts w:ascii="Calibri" w:hAnsi="Calibri" w:cs="Calibri"/>
                <w:b/>
                <w:color w:val="000000"/>
                <w:sz w:val="22"/>
                <w:szCs w:val="22"/>
              </w:rPr>
              <w:t>1298</w:t>
            </w:r>
          </w:p>
        </w:tc>
        <w:tc>
          <w:tcPr>
            <w:tcW w:w="960" w:type="dxa"/>
            <w:tcBorders>
              <w:top w:val="nil"/>
              <w:left w:val="nil"/>
              <w:bottom w:val="nil"/>
              <w:right w:val="nil"/>
            </w:tcBorders>
            <w:shd w:val="clear" w:color="auto" w:fill="auto"/>
            <w:noWrap/>
            <w:vAlign w:val="bottom"/>
            <w:hideMark/>
          </w:tcPr>
          <w:p w:rsidR="0043662D" w:rsidRPr="00637E98" w:rsidRDefault="0043662D" w:rsidP="002510CE">
            <w:pPr>
              <w:rPr>
                <w:rFonts w:ascii="Calibri" w:hAnsi="Calibri" w:cs="Calibri"/>
                <w:b/>
                <w:color w:val="000000"/>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14F" w:rsidRPr="00637E98" w:rsidRDefault="00CE1147" w:rsidP="00F1414F">
            <w:pPr>
              <w:jc w:val="right"/>
              <w:rPr>
                <w:rFonts w:ascii="Calibri" w:hAnsi="Calibri" w:cs="Calibri"/>
                <w:b/>
                <w:color w:val="000000"/>
                <w:sz w:val="22"/>
                <w:szCs w:val="22"/>
              </w:rPr>
            </w:pPr>
            <w:r>
              <w:rPr>
                <w:rFonts w:ascii="Calibri" w:hAnsi="Calibri" w:cs="Calibri"/>
                <w:b/>
                <w:color w:val="000000"/>
                <w:sz w:val="22"/>
                <w:szCs w:val="22"/>
              </w:rPr>
              <w:t>2279</w:t>
            </w:r>
          </w:p>
        </w:tc>
      </w:tr>
      <w:tr w:rsidR="0043662D" w:rsidRPr="00527EDD" w:rsidTr="00637E98">
        <w:trPr>
          <w:trHeight w:val="300"/>
        </w:trPr>
        <w:tc>
          <w:tcPr>
            <w:tcW w:w="4020" w:type="dxa"/>
            <w:tcBorders>
              <w:top w:val="nil"/>
              <w:left w:val="nil"/>
              <w:bottom w:val="nil"/>
              <w:right w:val="nil"/>
            </w:tcBorders>
            <w:shd w:val="clear" w:color="auto" w:fill="auto"/>
            <w:noWrap/>
            <w:vAlign w:val="bottom"/>
            <w:hideMark/>
          </w:tcPr>
          <w:p w:rsidR="0043662D" w:rsidRPr="00527EDD" w:rsidRDefault="0043662D" w:rsidP="002510CE">
            <w:pPr>
              <w:rPr>
                <w:rFonts w:ascii="Arial" w:hAnsi="Arial" w:cs="Arial"/>
                <w:b/>
                <w:bCs/>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62D" w:rsidRPr="00527EDD" w:rsidRDefault="0043662D" w:rsidP="002510CE">
            <w:pPr>
              <w:rPr>
                <w:rFonts w:ascii="Calibri" w:hAnsi="Calibri" w:cs="Calibri"/>
                <w:b/>
                <w:bCs/>
                <w:color w:val="000000"/>
                <w:sz w:val="22"/>
                <w:szCs w:val="22"/>
              </w:rPr>
            </w:pPr>
            <w:r w:rsidRPr="00527EDD">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43662D" w:rsidRPr="0043662D" w:rsidRDefault="0043662D" w:rsidP="006F2E59">
            <w:pPr>
              <w:jc w:val="right"/>
              <w:rPr>
                <w:rFonts w:asciiTheme="minorHAnsi" w:hAnsiTheme="minorHAnsi" w:cstheme="minorHAnsi"/>
                <w:sz w:val="22"/>
                <w:szCs w:val="22"/>
              </w:rPr>
            </w:pPr>
            <w:r w:rsidRPr="0043662D">
              <w:rPr>
                <w:rFonts w:asciiTheme="minorHAnsi" w:hAnsiTheme="minorHAnsi" w:cstheme="minorHAnsi"/>
                <w:sz w:val="22"/>
                <w:szCs w:val="22"/>
              </w:rPr>
              <w:t xml:space="preserve">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62D" w:rsidRPr="00527EDD" w:rsidRDefault="0043662D" w:rsidP="002510CE">
            <w:pPr>
              <w:rPr>
                <w:rFonts w:ascii="Calibri" w:hAnsi="Calibri" w:cs="Calibri"/>
                <w:b/>
                <w:bCs/>
                <w:color w:val="000000"/>
                <w:sz w:val="22"/>
                <w:szCs w:val="22"/>
              </w:rPr>
            </w:pPr>
            <w:r w:rsidRPr="00527EDD">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62D" w:rsidRPr="00527EDD" w:rsidRDefault="0043662D" w:rsidP="002510CE">
            <w:pPr>
              <w:rPr>
                <w:rFonts w:ascii="Calibri" w:hAnsi="Calibri" w:cs="Calibri"/>
                <w:b/>
                <w:bCs/>
                <w:color w:val="000000"/>
                <w:sz w:val="22"/>
                <w:szCs w:val="22"/>
              </w:rPr>
            </w:pPr>
            <w:r w:rsidRPr="00527EDD">
              <w:rPr>
                <w:rFonts w:ascii="Calibri" w:hAnsi="Calibri" w:cs="Calibri"/>
                <w:b/>
                <w:bCs/>
                <w:color w:val="000000"/>
                <w:sz w:val="22"/>
                <w:szCs w:val="22"/>
              </w:rPr>
              <w:t> </w:t>
            </w:r>
          </w:p>
        </w:tc>
      </w:tr>
      <w:tr w:rsidR="0043662D" w:rsidRPr="00527EDD" w:rsidTr="00637E98">
        <w:trPr>
          <w:trHeight w:val="300"/>
        </w:trPr>
        <w:tc>
          <w:tcPr>
            <w:tcW w:w="4020" w:type="dxa"/>
            <w:tcBorders>
              <w:top w:val="nil"/>
              <w:left w:val="nil"/>
              <w:bottom w:val="nil"/>
              <w:right w:val="nil"/>
            </w:tcBorders>
            <w:shd w:val="clear" w:color="auto" w:fill="auto"/>
            <w:noWrap/>
            <w:vAlign w:val="bottom"/>
            <w:hideMark/>
          </w:tcPr>
          <w:p w:rsidR="0043662D" w:rsidRPr="00527EDD" w:rsidRDefault="0043662D" w:rsidP="002510CE">
            <w:pPr>
              <w:rPr>
                <w:rFonts w:ascii="Arial" w:hAnsi="Arial" w:cs="Arial"/>
                <w:b/>
                <w:bCs/>
                <w:sz w:val="20"/>
                <w:szCs w:val="20"/>
              </w:rPr>
            </w:pPr>
            <w:r w:rsidRPr="00527EDD">
              <w:rPr>
                <w:rFonts w:ascii="Arial" w:hAnsi="Arial" w:cs="Arial"/>
                <w:b/>
                <w:bCs/>
                <w:sz w:val="20"/>
                <w:szCs w:val="20"/>
              </w:rPr>
              <w:t>Net Current Assets</w:t>
            </w:r>
            <w:r>
              <w:rPr>
                <w:rFonts w:ascii="Arial" w:hAnsi="Arial" w:cs="Arial"/>
                <w:b/>
                <w:bCs/>
                <w:sz w:val="20"/>
                <w:szCs w:val="20"/>
              </w:rPr>
              <w:t>/(Liabilities)</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62D" w:rsidRPr="00527EDD" w:rsidRDefault="0043662D" w:rsidP="002510CE">
            <w:pPr>
              <w:jc w:val="right"/>
              <w:rPr>
                <w:rFonts w:ascii="Calibri" w:hAnsi="Calibri" w:cs="Calibri"/>
                <w:b/>
                <w:bCs/>
                <w:color w:val="000000"/>
                <w:sz w:val="22"/>
                <w:szCs w:val="22"/>
              </w:rPr>
            </w:pPr>
            <w:r>
              <w:rPr>
                <w:rFonts w:ascii="Calibri" w:hAnsi="Calibri" w:cs="Calibri"/>
                <w:b/>
                <w:bCs/>
                <w:color w:val="000000"/>
                <w:sz w:val="22"/>
                <w:szCs w:val="22"/>
              </w:rPr>
              <w:t>1428</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43662D" w:rsidRPr="0043662D" w:rsidRDefault="007D0D17" w:rsidP="006F2E59">
            <w:pPr>
              <w:jc w:val="right"/>
              <w:rPr>
                <w:rFonts w:asciiTheme="minorHAnsi" w:hAnsiTheme="minorHAnsi" w:cstheme="minorHAnsi"/>
                <w:sz w:val="22"/>
                <w:szCs w:val="22"/>
              </w:rPr>
            </w:pPr>
            <w:r>
              <w:rPr>
                <w:rFonts w:asciiTheme="minorHAnsi" w:hAnsiTheme="minorHAnsi" w:cstheme="minorHAnsi"/>
                <w:sz w:val="22"/>
                <w:szCs w:val="22"/>
              </w:rPr>
              <w:t>852</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62D" w:rsidRPr="00527EDD" w:rsidRDefault="007D0D17" w:rsidP="002510CE">
            <w:pPr>
              <w:jc w:val="right"/>
              <w:rPr>
                <w:rFonts w:ascii="Calibri" w:hAnsi="Calibri" w:cs="Calibri"/>
                <w:b/>
                <w:bCs/>
                <w:color w:val="000000"/>
                <w:sz w:val="22"/>
                <w:szCs w:val="22"/>
              </w:rPr>
            </w:pPr>
            <w:r>
              <w:rPr>
                <w:rFonts w:ascii="Calibri" w:hAnsi="Calibri" w:cs="Calibri"/>
                <w:b/>
                <w:bCs/>
                <w:color w:val="000000"/>
                <w:sz w:val="22"/>
                <w:szCs w:val="22"/>
              </w:rPr>
              <w:t>2704</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62D" w:rsidRPr="00527EDD" w:rsidRDefault="002B72F1" w:rsidP="002510CE">
            <w:pPr>
              <w:jc w:val="right"/>
              <w:rPr>
                <w:rFonts w:ascii="Calibri" w:hAnsi="Calibri" w:cs="Calibri"/>
                <w:b/>
                <w:bCs/>
                <w:color w:val="000000"/>
                <w:sz w:val="22"/>
                <w:szCs w:val="22"/>
              </w:rPr>
            </w:pPr>
            <w:r>
              <w:rPr>
                <w:rFonts w:ascii="Calibri" w:hAnsi="Calibri" w:cs="Calibri"/>
                <w:b/>
                <w:bCs/>
                <w:color w:val="000000"/>
                <w:sz w:val="22"/>
                <w:szCs w:val="22"/>
              </w:rPr>
              <w:t>2134</w:t>
            </w:r>
          </w:p>
        </w:tc>
      </w:tr>
      <w:tr w:rsidR="0043662D" w:rsidRPr="00527EDD" w:rsidTr="002B7A58">
        <w:trPr>
          <w:trHeight w:val="300"/>
        </w:trPr>
        <w:tc>
          <w:tcPr>
            <w:tcW w:w="4020" w:type="dxa"/>
            <w:tcBorders>
              <w:top w:val="nil"/>
              <w:left w:val="nil"/>
              <w:bottom w:val="nil"/>
              <w:right w:val="nil"/>
            </w:tcBorders>
            <w:shd w:val="clear" w:color="auto" w:fill="auto"/>
            <w:noWrap/>
            <w:vAlign w:val="bottom"/>
          </w:tcPr>
          <w:p w:rsidR="0043662D" w:rsidRDefault="0043662D" w:rsidP="002510CE">
            <w:pPr>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62D" w:rsidRPr="00527EDD" w:rsidRDefault="0043662D" w:rsidP="002510CE">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tcPr>
          <w:p w:rsidR="0043662D" w:rsidRPr="00527EDD" w:rsidRDefault="0043662D" w:rsidP="002510CE">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43662D" w:rsidRPr="0043662D" w:rsidRDefault="0043662D" w:rsidP="006F2E59">
            <w:pPr>
              <w:jc w:val="right"/>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tcPr>
          <w:p w:rsidR="0043662D" w:rsidRPr="00527EDD" w:rsidRDefault="0043662D" w:rsidP="002510CE">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62D" w:rsidRPr="00527EDD" w:rsidRDefault="0043662D" w:rsidP="002510CE">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tcPr>
          <w:p w:rsidR="0043662D" w:rsidRPr="00527EDD" w:rsidRDefault="0043662D" w:rsidP="002510CE">
            <w:pPr>
              <w:rPr>
                <w:rFonts w:ascii="Calibri" w:hAnsi="Calibri" w:cs="Calibri"/>
                <w:color w:val="000000"/>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62D" w:rsidRPr="00527EDD" w:rsidRDefault="0043662D" w:rsidP="002510CE">
            <w:pPr>
              <w:rPr>
                <w:rFonts w:ascii="Calibri" w:hAnsi="Calibri" w:cs="Calibri"/>
                <w:color w:val="000000"/>
                <w:sz w:val="22"/>
                <w:szCs w:val="22"/>
              </w:rPr>
            </w:pPr>
          </w:p>
        </w:tc>
      </w:tr>
      <w:tr w:rsidR="0043662D" w:rsidRPr="00527EDD" w:rsidTr="002B7A58">
        <w:trPr>
          <w:trHeight w:val="300"/>
        </w:trPr>
        <w:tc>
          <w:tcPr>
            <w:tcW w:w="4020" w:type="dxa"/>
            <w:tcBorders>
              <w:top w:val="nil"/>
              <w:left w:val="nil"/>
              <w:bottom w:val="nil"/>
              <w:right w:val="nil"/>
            </w:tcBorders>
            <w:shd w:val="clear" w:color="auto" w:fill="auto"/>
            <w:noWrap/>
            <w:vAlign w:val="bottom"/>
            <w:hideMark/>
          </w:tcPr>
          <w:p w:rsidR="0043662D" w:rsidRDefault="0043662D" w:rsidP="002510CE">
            <w:pPr>
              <w:rPr>
                <w:rFonts w:ascii="Arial" w:hAnsi="Arial" w:cs="Arial"/>
                <w:sz w:val="20"/>
                <w:szCs w:val="20"/>
              </w:rPr>
            </w:pPr>
          </w:p>
          <w:p w:rsidR="0043662D" w:rsidRPr="00DB3CAC" w:rsidRDefault="0043662D" w:rsidP="002510CE">
            <w:pPr>
              <w:rPr>
                <w:rFonts w:ascii="Arial" w:hAnsi="Arial" w:cs="Arial"/>
                <w:b/>
                <w:sz w:val="20"/>
                <w:szCs w:val="20"/>
              </w:rPr>
            </w:pPr>
            <w:r>
              <w:rPr>
                <w:rFonts w:ascii="Arial" w:hAnsi="Arial" w:cs="Arial"/>
                <w:b/>
                <w:sz w:val="20"/>
                <w:szCs w:val="20"/>
              </w:rPr>
              <w:t>Net Assets/(Liabilities)</w:t>
            </w:r>
          </w:p>
        </w:tc>
        <w:tc>
          <w:tcPr>
            <w:tcW w:w="11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3662D" w:rsidRPr="00DB3CAC" w:rsidRDefault="0043662D" w:rsidP="002510CE">
            <w:pPr>
              <w:jc w:val="right"/>
              <w:rPr>
                <w:rFonts w:ascii="Calibri" w:hAnsi="Calibri" w:cs="Calibri"/>
                <w:b/>
                <w:color w:val="000000"/>
                <w:sz w:val="22"/>
                <w:szCs w:val="22"/>
              </w:rPr>
            </w:pPr>
            <w:r w:rsidRPr="00527EDD">
              <w:rPr>
                <w:rFonts w:ascii="Calibri" w:hAnsi="Calibri" w:cs="Calibri"/>
                <w:color w:val="000000"/>
                <w:sz w:val="22"/>
                <w:szCs w:val="22"/>
              </w:rPr>
              <w:t> </w:t>
            </w:r>
            <w:r>
              <w:rPr>
                <w:rFonts w:ascii="Calibri" w:hAnsi="Calibri" w:cs="Calibri"/>
                <w:b/>
                <w:color w:val="000000"/>
                <w:sz w:val="22"/>
                <w:szCs w:val="22"/>
              </w:rPr>
              <w:t>1428</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43662D" w:rsidRPr="0043662D" w:rsidRDefault="007D0D17" w:rsidP="00364482">
            <w:pPr>
              <w:jc w:val="right"/>
              <w:rPr>
                <w:rFonts w:asciiTheme="minorHAnsi" w:hAnsiTheme="minorHAnsi" w:cstheme="minorHAnsi"/>
                <w:sz w:val="22"/>
                <w:szCs w:val="22"/>
              </w:rPr>
            </w:pPr>
            <w:r>
              <w:rPr>
                <w:rFonts w:asciiTheme="minorHAnsi" w:hAnsiTheme="minorHAnsi" w:cstheme="minorHAnsi"/>
                <w:sz w:val="22"/>
                <w:szCs w:val="22"/>
              </w:rPr>
              <w:t xml:space="preserve"> 1075</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43662D" w:rsidRPr="005D6299" w:rsidRDefault="008F7981" w:rsidP="00413148">
            <w:pPr>
              <w:jc w:val="right"/>
              <w:rPr>
                <w:rFonts w:ascii="Calibri" w:hAnsi="Calibri" w:cs="Calibri"/>
                <w:b/>
                <w:color w:val="000000"/>
                <w:sz w:val="22"/>
                <w:szCs w:val="22"/>
              </w:rPr>
            </w:pPr>
            <w:r>
              <w:rPr>
                <w:rFonts w:ascii="Calibri" w:hAnsi="Calibri" w:cs="Calibri"/>
                <w:b/>
                <w:color w:val="000000"/>
                <w:sz w:val="22"/>
                <w:szCs w:val="22"/>
              </w:rPr>
              <w:t> </w:t>
            </w:r>
            <w:r w:rsidR="007D0D17">
              <w:rPr>
                <w:rFonts w:ascii="Calibri" w:hAnsi="Calibri" w:cs="Calibri"/>
                <w:b/>
                <w:color w:val="000000"/>
                <w:sz w:val="22"/>
                <w:szCs w:val="22"/>
              </w:rPr>
              <w:t>3415</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43662D" w:rsidRPr="009B097E" w:rsidRDefault="002B72F1" w:rsidP="002510CE">
            <w:pPr>
              <w:jc w:val="right"/>
              <w:rPr>
                <w:rFonts w:ascii="Calibri" w:hAnsi="Calibri" w:cs="Calibri"/>
                <w:b/>
                <w:color w:val="000000"/>
                <w:sz w:val="22"/>
                <w:szCs w:val="22"/>
              </w:rPr>
            </w:pPr>
            <w:r>
              <w:rPr>
                <w:rFonts w:ascii="Calibri" w:hAnsi="Calibri" w:cs="Calibri"/>
                <w:b/>
                <w:color w:val="000000"/>
                <w:sz w:val="22"/>
                <w:szCs w:val="22"/>
              </w:rPr>
              <w:t>2742</w:t>
            </w:r>
            <w:r w:rsidR="0043662D" w:rsidRPr="009B097E">
              <w:rPr>
                <w:rFonts w:ascii="Calibri" w:hAnsi="Calibri" w:cs="Calibri"/>
                <w:b/>
                <w:color w:val="000000"/>
                <w:sz w:val="22"/>
                <w:szCs w:val="22"/>
              </w:rPr>
              <w:t> </w:t>
            </w:r>
          </w:p>
        </w:tc>
      </w:tr>
      <w:tr w:rsidR="0043662D" w:rsidRPr="00527EDD" w:rsidTr="002B7A58">
        <w:trPr>
          <w:trHeight w:val="300"/>
        </w:trPr>
        <w:tc>
          <w:tcPr>
            <w:tcW w:w="4020" w:type="dxa"/>
            <w:tcBorders>
              <w:top w:val="nil"/>
              <w:left w:val="nil"/>
              <w:bottom w:val="nil"/>
              <w:right w:val="nil"/>
            </w:tcBorders>
            <w:shd w:val="clear" w:color="000000" w:fill="FFFFFF"/>
            <w:noWrap/>
            <w:vAlign w:val="bottom"/>
            <w:hideMark/>
          </w:tcPr>
          <w:p w:rsidR="0043662D" w:rsidRPr="00527EDD" w:rsidRDefault="0043662D" w:rsidP="002510CE">
            <w:pPr>
              <w:rPr>
                <w:rFonts w:ascii="Arial" w:hAnsi="Arial" w:cs="Arial"/>
                <w:sz w:val="20"/>
                <w:szCs w:val="20"/>
              </w:rPr>
            </w:pPr>
            <w:r w:rsidRPr="00527EDD">
              <w:rPr>
                <w:rFonts w:ascii="Arial" w:hAnsi="Arial" w:cs="Arial"/>
                <w:sz w:val="20"/>
                <w:szCs w:val="20"/>
              </w:rPr>
              <w:t> </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single" w:sz="4" w:space="0" w:color="auto"/>
              <w:left w:val="single" w:sz="4" w:space="0" w:color="auto"/>
              <w:bottom w:val="nil"/>
              <w:right w:val="single" w:sz="4" w:space="0" w:color="auto"/>
            </w:tcBorders>
            <w:shd w:val="clear" w:color="auto" w:fill="auto"/>
            <w:noWrap/>
            <w:hideMark/>
          </w:tcPr>
          <w:p w:rsidR="0043662D" w:rsidRPr="0043662D" w:rsidRDefault="0043662D" w:rsidP="006F2E59">
            <w:pPr>
              <w:jc w:val="right"/>
              <w:rPr>
                <w:rFonts w:asciiTheme="minorHAnsi" w:hAnsiTheme="minorHAnsi" w:cstheme="minorHAnsi"/>
                <w:sz w:val="22"/>
                <w:szCs w:val="22"/>
              </w:rPr>
            </w:pPr>
            <w:r w:rsidRPr="0043662D">
              <w:rPr>
                <w:rFonts w:asciiTheme="minorHAnsi" w:hAnsiTheme="minorHAnsi" w:cstheme="minorHAnsi"/>
                <w:sz w:val="22"/>
                <w:szCs w:val="22"/>
              </w:rPr>
              <w:t xml:space="preserve">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single" w:sz="4" w:space="0" w:color="auto"/>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r>
      <w:tr w:rsidR="0043662D" w:rsidRPr="00527EDD" w:rsidTr="000D1E92">
        <w:trPr>
          <w:trHeight w:val="300"/>
        </w:trPr>
        <w:tc>
          <w:tcPr>
            <w:tcW w:w="4020" w:type="dxa"/>
            <w:tcBorders>
              <w:top w:val="nil"/>
              <w:left w:val="nil"/>
              <w:bottom w:val="nil"/>
              <w:right w:val="nil"/>
            </w:tcBorders>
            <w:shd w:val="clear" w:color="000000" w:fill="FFFFFF"/>
            <w:noWrap/>
            <w:vAlign w:val="bottom"/>
            <w:hideMark/>
          </w:tcPr>
          <w:p w:rsidR="0043662D" w:rsidRPr="00527EDD" w:rsidRDefault="0043662D" w:rsidP="002510CE">
            <w:pPr>
              <w:rPr>
                <w:rFonts w:ascii="Arial" w:hAnsi="Arial" w:cs="Arial"/>
                <w:b/>
                <w:bCs/>
                <w:sz w:val="20"/>
                <w:szCs w:val="20"/>
              </w:rPr>
            </w:pPr>
            <w:r w:rsidRPr="00527EDD">
              <w:rPr>
                <w:rFonts w:ascii="Arial" w:hAnsi="Arial" w:cs="Arial"/>
                <w:b/>
                <w:bCs/>
                <w:sz w:val="20"/>
                <w:szCs w:val="20"/>
              </w:rPr>
              <w:t xml:space="preserve">Represented by:- </w:t>
            </w:r>
          </w:p>
        </w:tc>
        <w:tc>
          <w:tcPr>
            <w:tcW w:w="1180"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hideMark/>
          </w:tcPr>
          <w:p w:rsidR="0043662D" w:rsidRPr="0043662D" w:rsidRDefault="0043662D" w:rsidP="006F2E59">
            <w:pPr>
              <w:jc w:val="right"/>
              <w:rPr>
                <w:rFonts w:asciiTheme="minorHAnsi" w:hAnsiTheme="minorHAnsi" w:cstheme="minorHAnsi"/>
                <w:sz w:val="22"/>
                <w:szCs w:val="22"/>
              </w:rPr>
            </w:pPr>
            <w:r w:rsidRPr="0043662D">
              <w:rPr>
                <w:rFonts w:asciiTheme="minorHAnsi" w:hAnsiTheme="minorHAnsi" w:cstheme="minorHAnsi"/>
                <w:sz w:val="22"/>
                <w:szCs w:val="22"/>
              </w:rPr>
              <w:t xml:space="preserve">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r>
      <w:tr w:rsidR="0043662D" w:rsidRPr="00527EDD" w:rsidTr="000D1E92">
        <w:trPr>
          <w:trHeight w:val="300"/>
        </w:trPr>
        <w:tc>
          <w:tcPr>
            <w:tcW w:w="4020" w:type="dxa"/>
            <w:tcBorders>
              <w:top w:val="nil"/>
              <w:left w:val="nil"/>
              <w:bottom w:val="nil"/>
              <w:right w:val="nil"/>
            </w:tcBorders>
            <w:shd w:val="clear" w:color="000000" w:fill="FFFFFF"/>
            <w:noWrap/>
            <w:vAlign w:val="bottom"/>
            <w:hideMark/>
          </w:tcPr>
          <w:p w:rsidR="0043662D" w:rsidRPr="00527EDD" w:rsidRDefault="0043662D" w:rsidP="002510CE">
            <w:pPr>
              <w:rPr>
                <w:rFonts w:ascii="Arial" w:hAnsi="Arial" w:cs="Arial"/>
                <w:b/>
                <w:bCs/>
                <w:sz w:val="20"/>
                <w:szCs w:val="20"/>
              </w:rPr>
            </w:pPr>
            <w:r w:rsidRPr="00527EDD">
              <w:rPr>
                <w:rFonts w:ascii="Arial" w:hAnsi="Arial" w:cs="Arial"/>
                <w:b/>
                <w:bCs/>
                <w:sz w:val="20"/>
                <w:szCs w:val="20"/>
              </w:rPr>
              <w:t>Tax payers Equity</w:t>
            </w:r>
          </w:p>
        </w:tc>
        <w:tc>
          <w:tcPr>
            <w:tcW w:w="1180"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hideMark/>
          </w:tcPr>
          <w:p w:rsidR="0043662D" w:rsidRPr="0043662D" w:rsidRDefault="0043662D" w:rsidP="006F2E59">
            <w:pPr>
              <w:jc w:val="right"/>
              <w:rPr>
                <w:rFonts w:asciiTheme="minorHAnsi" w:hAnsiTheme="minorHAnsi" w:cstheme="minorHAnsi"/>
                <w:sz w:val="22"/>
                <w:szCs w:val="22"/>
              </w:rPr>
            </w:pPr>
            <w:r w:rsidRPr="0043662D">
              <w:rPr>
                <w:rFonts w:asciiTheme="minorHAnsi" w:hAnsiTheme="minorHAnsi" w:cstheme="minorHAnsi"/>
                <w:sz w:val="22"/>
                <w:szCs w:val="22"/>
              </w:rPr>
              <w:t xml:space="preserve">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r>
      <w:tr w:rsidR="0043662D" w:rsidRPr="00527EDD" w:rsidTr="00364482">
        <w:trPr>
          <w:trHeight w:val="300"/>
        </w:trPr>
        <w:tc>
          <w:tcPr>
            <w:tcW w:w="4020" w:type="dxa"/>
            <w:tcBorders>
              <w:top w:val="nil"/>
              <w:left w:val="nil"/>
              <w:bottom w:val="nil"/>
              <w:right w:val="nil"/>
            </w:tcBorders>
            <w:shd w:val="clear" w:color="000000" w:fill="FFFFFF"/>
            <w:noWrap/>
            <w:vAlign w:val="bottom"/>
            <w:hideMark/>
          </w:tcPr>
          <w:p w:rsidR="0043662D" w:rsidRPr="00527EDD" w:rsidRDefault="0043662D" w:rsidP="002510CE">
            <w:pPr>
              <w:rPr>
                <w:rFonts w:ascii="Arial" w:hAnsi="Arial" w:cs="Arial"/>
                <w:sz w:val="20"/>
                <w:szCs w:val="20"/>
              </w:rPr>
            </w:pPr>
            <w:r w:rsidRPr="00527EDD">
              <w:rPr>
                <w:rFonts w:ascii="Arial" w:hAnsi="Arial" w:cs="Arial"/>
                <w:sz w:val="20"/>
                <w:szCs w:val="20"/>
              </w:rPr>
              <w:t>Department of Health Funding General Fund</w:t>
            </w:r>
          </w:p>
        </w:tc>
        <w:tc>
          <w:tcPr>
            <w:tcW w:w="1180" w:type="dxa"/>
            <w:tcBorders>
              <w:top w:val="nil"/>
              <w:left w:val="single" w:sz="4" w:space="0" w:color="auto"/>
              <w:bottom w:val="nil"/>
              <w:right w:val="single" w:sz="4" w:space="0" w:color="auto"/>
            </w:tcBorders>
            <w:shd w:val="clear" w:color="auto" w:fill="auto"/>
            <w:noWrap/>
            <w:vAlign w:val="bottom"/>
            <w:hideMark/>
          </w:tcPr>
          <w:p w:rsidR="0043662D" w:rsidRPr="00527EDD" w:rsidRDefault="0043662D" w:rsidP="002510CE">
            <w:pPr>
              <w:jc w:val="right"/>
              <w:rPr>
                <w:rFonts w:ascii="Calibri" w:hAnsi="Calibri" w:cs="Calibri"/>
                <w:color w:val="000000"/>
                <w:sz w:val="22"/>
                <w:szCs w:val="22"/>
              </w:rPr>
            </w:pPr>
            <w:r>
              <w:rPr>
                <w:rFonts w:ascii="Calibri" w:hAnsi="Calibri" w:cs="Calibri"/>
                <w:color w:val="000000"/>
                <w:sz w:val="22"/>
                <w:szCs w:val="22"/>
              </w:rPr>
              <w:t>1428</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tcPr>
          <w:p w:rsidR="0043662D" w:rsidRPr="0043662D" w:rsidRDefault="007D0D17" w:rsidP="00364482">
            <w:pPr>
              <w:jc w:val="right"/>
              <w:rPr>
                <w:rFonts w:asciiTheme="minorHAnsi" w:hAnsiTheme="minorHAnsi" w:cstheme="minorHAnsi"/>
                <w:sz w:val="22"/>
                <w:szCs w:val="22"/>
              </w:rPr>
            </w:pPr>
            <w:r>
              <w:rPr>
                <w:rFonts w:asciiTheme="minorHAnsi" w:hAnsiTheme="minorHAnsi" w:cstheme="minorHAnsi"/>
                <w:sz w:val="22"/>
                <w:szCs w:val="22"/>
              </w:rPr>
              <w:t>1075</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43662D" w:rsidRPr="00527EDD" w:rsidRDefault="007D0D17" w:rsidP="002510CE">
            <w:pPr>
              <w:jc w:val="right"/>
              <w:rPr>
                <w:rFonts w:ascii="Calibri" w:hAnsi="Calibri" w:cs="Calibri"/>
                <w:color w:val="000000"/>
                <w:sz w:val="22"/>
                <w:szCs w:val="22"/>
              </w:rPr>
            </w:pPr>
            <w:r>
              <w:rPr>
                <w:rFonts w:ascii="Calibri" w:hAnsi="Calibri" w:cs="Calibri"/>
                <w:color w:val="000000"/>
                <w:sz w:val="22"/>
                <w:szCs w:val="22"/>
              </w:rPr>
              <w:t>3415</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nil"/>
              <w:left w:val="single" w:sz="4" w:space="0" w:color="auto"/>
              <w:bottom w:val="nil"/>
              <w:right w:val="single" w:sz="4" w:space="0" w:color="auto"/>
            </w:tcBorders>
            <w:shd w:val="clear" w:color="auto" w:fill="auto"/>
            <w:noWrap/>
            <w:vAlign w:val="bottom"/>
            <w:hideMark/>
          </w:tcPr>
          <w:p w:rsidR="0043662D" w:rsidRPr="00527EDD" w:rsidRDefault="002B72F1" w:rsidP="002510CE">
            <w:pPr>
              <w:jc w:val="right"/>
              <w:rPr>
                <w:rFonts w:ascii="Calibri" w:hAnsi="Calibri" w:cs="Calibri"/>
                <w:color w:val="000000"/>
                <w:sz w:val="22"/>
                <w:szCs w:val="22"/>
              </w:rPr>
            </w:pPr>
            <w:r>
              <w:rPr>
                <w:rFonts w:ascii="Calibri" w:hAnsi="Calibri" w:cs="Calibri"/>
                <w:color w:val="000000"/>
                <w:sz w:val="22"/>
                <w:szCs w:val="22"/>
              </w:rPr>
              <w:t>2742</w:t>
            </w:r>
          </w:p>
        </w:tc>
      </w:tr>
      <w:tr w:rsidR="0043662D" w:rsidRPr="00527EDD" w:rsidTr="002B7A58">
        <w:trPr>
          <w:trHeight w:val="300"/>
        </w:trPr>
        <w:tc>
          <w:tcPr>
            <w:tcW w:w="4020" w:type="dxa"/>
            <w:tcBorders>
              <w:top w:val="nil"/>
              <w:left w:val="nil"/>
              <w:bottom w:val="nil"/>
              <w:right w:val="nil"/>
            </w:tcBorders>
            <w:shd w:val="clear" w:color="000000" w:fill="FFFFFF"/>
            <w:noWrap/>
            <w:vAlign w:val="bottom"/>
            <w:hideMark/>
          </w:tcPr>
          <w:p w:rsidR="0043662D" w:rsidRPr="00527EDD" w:rsidRDefault="0043662D" w:rsidP="002510CE">
            <w:pPr>
              <w:rPr>
                <w:rFonts w:ascii="Arial" w:hAnsi="Arial" w:cs="Arial"/>
                <w:sz w:val="20"/>
                <w:szCs w:val="20"/>
              </w:rPr>
            </w:pPr>
            <w:r w:rsidRPr="00527EDD">
              <w:rPr>
                <w:rFonts w:ascii="Arial" w:hAnsi="Arial" w:cs="Arial"/>
                <w:sz w:val="20"/>
                <w:szCs w:val="20"/>
              </w:rPr>
              <w:t>Revaluation Reserve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43662D" w:rsidRPr="0043662D" w:rsidRDefault="0043662D" w:rsidP="006F2E59">
            <w:pPr>
              <w:jc w:val="right"/>
              <w:rPr>
                <w:rFonts w:asciiTheme="minorHAnsi" w:hAnsiTheme="minorHAnsi" w:cstheme="minorHAnsi"/>
                <w:sz w:val="22"/>
                <w:szCs w:val="22"/>
              </w:rPr>
            </w:pPr>
            <w:r w:rsidRPr="0043662D">
              <w:rPr>
                <w:rFonts w:asciiTheme="minorHAnsi" w:hAnsiTheme="minorHAnsi" w:cstheme="minorHAnsi"/>
                <w:sz w:val="22"/>
                <w:szCs w:val="22"/>
              </w:rPr>
              <w:t xml:space="preserve">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43662D" w:rsidRPr="00527EDD" w:rsidRDefault="0043662D" w:rsidP="002510CE">
            <w:pPr>
              <w:rPr>
                <w:rFonts w:ascii="Calibri" w:hAnsi="Calibri" w:cs="Calibri"/>
                <w:color w:val="000000"/>
                <w:sz w:val="22"/>
                <w:szCs w:val="22"/>
              </w:rPr>
            </w:pPr>
            <w:r w:rsidRPr="00527EDD">
              <w:rPr>
                <w:rFonts w:ascii="Calibri" w:hAnsi="Calibri" w:cs="Calibri"/>
                <w:color w:val="000000"/>
                <w:sz w:val="22"/>
                <w:szCs w:val="22"/>
              </w:rPr>
              <w:t> </w:t>
            </w:r>
          </w:p>
        </w:tc>
      </w:tr>
      <w:tr w:rsidR="0043662D" w:rsidRPr="00527EDD" w:rsidTr="002B7A58">
        <w:trPr>
          <w:trHeight w:val="300"/>
        </w:trPr>
        <w:tc>
          <w:tcPr>
            <w:tcW w:w="4020" w:type="dxa"/>
            <w:tcBorders>
              <w:top w:val="nil"/>
              <w:left w:val="nil"/>
              <w:bottom w:val="nil"/>
              <w:right w:val="nil"/>
            </w:tcBorders>
            <w:shd w:val="clear" w:color="auto" w:fill="auto"/>
            <w:noWrap/>
            <w:vAlign w:val="bottom"/>
            <w:hideMark/>
          </w:tcPr>
          <w:p w:rsidR="0043662D" w:rsidRPr="00527EDD" w:rsidRDefault="0043662D" w:rsidP="002510CE">
            <w:pPr>
              <w:rPr>
                <w:rFonts w:ascii="Arial" w:hAnsi="Arial" w:cs="Arial"/>
                <w:b/>
                <w:bCs/>
                <w:sz w:val="20"/>
                <w:szCs w:val="20"/>
              </w:rPr>
            </w:pPr>
            <w:r w:rsidRPr="00527EDD">
              <w:rPr>
                <w:rFonts w:ascii="Arial" w:hAnsi="Arial" w:cs="Arial"/>
                <w:b/>
                <w:bCs/>
                <w:sz w:val="20"/>
                <w:szCs w:val="20"/>
              </w:rPr>
              <w:t>Total Taxpayers' Equity</w:t>
            </w:r>
          </w:p>
        </w:tc>
        <w:tc>
          <w:tcPr>
            <w:tcW w:w="11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3662D" w:rsidRPr="00527EDD" w:rsidRDefault="0043662D" w:rsidP="002510CE">
            <w:pPr>
              <w:jc w:val="right"/>
              <w:rPr>
                <w:rFonts w:ascii="Calibri" w:hAnsi="Calibri" w:cs="Calibri"/>
                <w:b/>
                <w:bCs/>
                <w:color w:val="000000"/>
                <w:sz w:val="22"/>
                <w:szCs w:val="22"/>
              </w:rPr>
            </w:pPr>
            <w:r>
              <w:rPr>
                <w:rFonts w:ascii="Calibri" w:hAnsi="Calibri" w:cs="Calibri"/>
                <w:b/>
                <w:bCs/>
                <w:color w:val="000000"/>
                <w:sz w:val="22"/>
                <w:szCs w:val="22"/>
              </w:rPr>
              <w:t>1428</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hideMark/>
          </w:tcPr>
          <w:p w:rsidR="0043662D" w:rsidRPr="0043662D" w:rsidRDefault="007D0D17" w:rsidP="006F2E59">
            <w:pPr>
              <w:jc w:val="right"/>
              <w:rPr>
                <w:rFonts w:asciiTheme="minorHAnsi" w:hAnsiTheme="minorHAnsi" w:cstheme="minorHAnsi"/>
                <w:sz w:val="22"/>
                <w:szCs w:val="22"/>
              </w:rPr>
            </w:pPr>
            <w:r>
              <w:rPr>
                <w:rFonts w:asciiTheme="minorHAnsi" w:hAnsiTheme="minorHAnsi" w:cstheme="minorHAnsi"/>
                <w:sz w:val="22"/>
                <w:szCs w:val="22"/>
              </w:rPr>
              <w:t>1075</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43662D" w:rsidRPr="00527EDD" w:rsidRDefault="007D0D17" w:rsidP="002510CE">
            <w:pPr>
              <w:jc w:val="right"/>
              <w:rPr>
                <w:rFonts w:ascii="Calibri" w:hAnsi="Calibri" w:cs="Calibri"/>
                <w:b/>
                <w:bCs/>
                <w:color w:val="000000"/>
                <w:sz w:val="22"/>
                <w:szCs w:val="22"/>
              </w:rPr>
            </w:pPr>
            <w:r>
              <w:rPr>
                <w:rFonts w:ascii="Calibri" w:hAnsi="Calibri" w:cs="Calibri"/>
                <w:b/>
                <w:bCs/>
                <w:color w:val="000000"/>
                <w:sz w:val="22"/>
                <w:szCs w:val="22"/>
              </w:rPr>
              <w:t>3415</w:t>
            </w:r>
          </w:p>
        </w:tc>
        <w:tc>
          <w:tcPr>
            <w:tcW w:w="960" w:type="dxa"/>
            <w:tcBorders>
              <w:top w:val="nil"/>
              <w:left w:val="nil"/>
              <w:bottom w:val="nil"/>
              <w:right w:val="nil"/>
            </w:tcBorders>
            <w:shd w:val="clear" w:color="auto" w:fill="auto"/>
            <w:noWrap/>
            <w:vAlign w:val="bottom"/>
            <w:hideMark/>
          </w:tcPr>
          <w:p w:rsidR="0043662D" w:rsidRPr="00527EDD" w:rsidRDefault="0043662D" w:rsidP="002510CE">
            <w:pPr>
              <w:rPr>
                <w:rFonts w:ascii="Calibri" w:hAnsi="Calibri" w:cs="Calibri"/>
                <w:color w:val="000000"/>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43662D" w:rsidRPr="00527EDD" w:rsidRDefault="002B72F1" w:rsidP="00F1414F">
            <w:pPr>
              <w:jc w:val="right"/>
              <w:rPr>
                <w:rFonts w:ascii="Calibri" w:hAnsi="Calibri" w:cs="Calibri"/>
                <w:b/>
                <w:bCs/>
                <w:color w:val="000000"/>
                <w:sz w:val="22"/>
                <w:szCs w:val="22"/>
              </w:rPr>
            </w:pPr>
            <w:r>
              <w:rPr>
                <w:rFonts w:ascii="Calibri" w:hAnsi="Calibri" w:cs="Calibri"/>
                <w:b/>
                <w:bCs/>
                <w:color w:val="000000"/>
                <w:sz w:val="22"/>
                <w:szCs w:val="22"/>
              </w:rPr>
              <w:t>2742</w:t>
            </w:r>
          </w:p>
        </w:tc>
      </w:tr>
    </w:tbl>
    <w:p w:rsidR="00B465A2" w:rsidRDefault="00B465A2" w:rsidP="00EF2180">
      <w:pPr>
        <w:spacing w:after="200" w:line="276" w:lineRule="auto"/>
        <w:rPr>
          <w:rFonts w:ascii="Arial" w:hAnsi="Arial" w:cs="Arial"/>
          <w:sz w:val="22"/>
          <w:szCs w:val="22"/>
        </w:rPr>
      </w:pPr>
    </w:p>
    <w:p w:rsidR="00154E36" w:rsidRDefault="00154E36" w:rsidP="00EF2180">
      <w:pPr>
        <w:spacing w:after="200" w:line="276" w:lineRule="auto"/>
        <w:rPr>
          <w:rFonts w:ascii="Arial" w:hAnsi="Arial" w:cs="Arial"/>
          <w:sz w:val="22"/>
          <w:szCs w:val="22"/>
        </w:rPr>
      </w:pPr>
    </w:p>
    <w:bookmarkEnd w:id="2"/>
    <w:p w:rsidR="00154E36" w:rsidRDefault="00154E36">
      <w:pPr>
        <w:spacing w:after="200" w:line="276" w:lineRule="auto"/>
        <w:rPr>
          <w:rFonts w:ascii="Arial" w:hAnsi="Arial" w:cs="Arial"/>
          <w:sz w:val="22"/>
          <w:szCs w:val="22"/>
        </w:rPr>
      </w:pPr>
      <w:r>
        <w:rPr>
          <w:rFonts w:ascii="Arial" w:hAnsi="Arial" w:cs="Arial"/>
          <w:sz w:val="22"/>
          <w:szCs w:val="22"/>
        </w:rPr>
        <w:br w:type="page"/>
      </w:r>
    </w:p>
    <w:p w:rsidR="00154E36" w:rsidRPr="00A422D8" w:rsidRDefault="00154E36" w:rsidP="00154E36">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lastRenderedPageBreak/>
        <w:t>Cas</w:t>
      </w:r>
      <w:r w:rsidR="003D54A5" w:rsidRPr="00A422D8">
        <w:rPr>
          <w:rFonts w:ascii="Arial" w:eastAsia="Calibri" w:hAnsi="Arial"/>
          <w:b/>
          <w:bCs/>
          <w:color w:val="56008C"/>
          <w:szCs w:val="26"/>
          <w:lang w:eastAsia="en-US"/>
        </w:rPr>
        <w:t>h Flow Forecast to 31 March 2014</w:t>
      </w:r>
    </w:p>
    <w:p w:rsidR="001965A9" w:rsidRDefault="006E7D8D" w:rsidP="003D54A5">
      <w:pPr>
        <w:tabs>
          <w:tab w:val="left" w:pos="4253"/>
        </w:tabs>
        <w:spacing w:after="200" w:line="276" w:lineRule="auto"/>
        <w:rPr>
          <w:rFonts w:ascii="Arial" w:hAnsi="Arial" w:cs="Arial"/>
          <w:sz w:val="22"/>
          <w:szCs w:val="22"/>
        </w:rPr>
      </w:pPr>
      <w:proofErr w:type="gramStart"/>
      <w:r>
        <w:rPr>
          <w:rFonts w:ascii="Arial" w:hAnsi="Arial" w:cs="Arial"/>
          <w:sz w:val="22"/>
          <w:szCs w:val="22"/>
        </w:rPr>
        <w:t>As at 31 March</w:t>
      </w:r>
      <w:r w:rsidR="007414C0">
        <w:rPr>
          <w:rFonts w:ascii="Arial" w:hAnsi="Arial" w:cs="Arial"/>
          <w:sz w:val="22"/>
          <w:szCs w:val="22"/>
        </w:rPr>
        <w:t xml:space="preserve"> 2014</w:t>
      </w:r>
      <w:r>
        <w:rPr>
          <w:rFonts w:ascii="Arial" w:hAnsi="Arial" w:cs="Arial"/>
          <w:sz w:val="22"/>
          <w:szCs w:val="22"/>
        </w:rPr>
        <w:t>.</w:t>
      </w:r>
      <w:proofErr w:type="gramEnd"/>
      <w:r>
        <w:rPr>
          <w:rFonts w:ascii="Arial" w:hAnsi="Arial" w:cs="Arial"/>
          <w:sz w:val="22"/>
          <w:szCs w:val="22"/>
        </w:rPr>
        <w:t xml:space="preserve">  All figures are actuals</w:t>
      </w:r>
    </w:p>
    <w:tbl>
      <w:tblPr>
        <w:tblW w:w="15643" w:type="dxa"/>
        <w:tblInd w:w="-15" w:type="dxa"/>
        <w:tblCellMar>
          <w:left w:w="0" w:type="dxa"/>
          <w:right w:w="0" w:type="dxa"/>
        </w:tblCellMar>
        <w:tblLook w:val="04A0" w:firstRow="1" w:lastRow="0" w:firstColumn="1" w:lastColumn="0" w:noHBand="0" w:noVBand="1"/>
      </w:tblPr>
      <w:tblGrid>
        <w:gridCol w:w="2402"/>
        <w:gridCol w:w="1085"/>
        <w:gridCol w:w="911"/>
        <w:gridCol w:w="911"/>
        <w:gridCol w:w="911"/>
        <w:gridCol w:w="969"/>
        <w:gridCol w:w="969"/>
        <w:gridCol w:w="969"/>
        <w:gridCol w:w="1027"/>
        <w:gridCol w:w="969"/>
        <w:gridCol w:w="911"/>
        <w:gridCol w:w="911"/>
        <w:gridCol w:w="969"/>
        <w:gridCol w:w="702"/>
        <w:gridCol w:w="1027"/>
      </w:tblGrid>
      <w:tr w:rsidR="00D552C4" w:rsidTr="00BB55C4">
        <w:trPr>
          <w:trHeight w:val="315"/>
        </w:trPr>
        <w:tc>
          <w:tcPr>
            <w:tcW w:w="2402" w:type="dxa"/>
            <w:noWrap/>
            <w:tcMar>
              <w:top w:w="0" w:type="dxa"/>
              <w:left w:w="108" w:type="dxa"/>
              <w:bottom w:w="0" w:type="dxa"/>
              <w:right w:w="108" w:type="dxa"/>
            </w:tcMar>
            <w:vAlign w:val="bottom"/>
            <w:hideMark/>
          </w:tcPr>
          <w:p w:rsidR="00D552C4" w:rsidRDefault="00D552C4" w:rsidP="00BB55C4">
            <w:pPr>
              <w:rPr>
                <w:sz w:val="20"/>
                <w:szCs w:val="20"/>
              </w:rPr>
            </w:pPr>
          </w:p>
        </w:tc>
        <w:tc>
          <w:tcPr>
            <w:tcW w:w="1085" w:type="dxa"/>
            <w:noWrap/>
            <w:tcMar>
              <w:top w:w="0" w:type="dxa"/>
              <w:left w:w="108" w:type="dxa"/>
              <w:bottom w:w="0" w:type="dxa"/>
              <w:right w:w="108" w:type="dxa"/>
            </w:tcMar>
            <w:vAlign w:val="bottom"/>
            <w:hideMark/>
          </w:tcPr>
          <w:p w:rsidR="00D552C4" w:rsidRDefault="00D552C4" w:rsidP="00BB55C4">
            <w:pPr>
              <w:rPr>
                <w:sz w:val="20"/>
                <w:szCs w:val="20"/>
              </w:rPr>
            </w:pPr>
          </w:p>
        </w:tc>
        <w:tc>
          <w:tcPr>
            <w:tcW w:w="911" w:type="dxa"/>
            <w:noWrap/>
            <w:tcMar>
              <w:top w:w="0" w:type="dxa"/>
              <w:left w:w="108" w:type="dxa"/>
              <w:bottom w:w="0" w:type="dxa"/>
              <w:right w:w="108" w:type="dxa"/>
            </w:tcMar>
            <w:vAlign w:val="bottom"/>
            <w:hideMark/>
          </w:tcPr>
          <w:p w:rsidR="00D552C4" w:rsidRDefault="00D552C4" w:rsidP="00BB55C4">
            <w:pPr>
              <w:rPr>
                <w:sz w:val="20"/>
                <w:szCs w:val="20"/>
              </w:rPr>
            </w:pPr>
          </w:p>
        </w:tc>
        <w:tc>
          <w:tcPr>
            <w:tcW w:w="911" w:type="dxa"/>
            <w:noWrap/>
            <w:tcMar>
              <w:top w:w="0" w:type="dxa"/>
              <w:left w:w="108" w:type="dxa"/>
              <w:bottom w:w="0" w:type="dxa"/>
              <w:right w:w="108" w:type="dxa"/>
            </w:tcMar>
            <w:vAlign w:val="bottom"/>
            <w:hideMark/>
          </w:tcPr>
          <w:p w:rsidR="00D552C4" w:rsidRDefault="00D552C4" w:rsidP="00BB55C4">
            <w:pPr>
              <w:rPr>
                <w:sz w:val="20"/>
                <w:szCs w:val="20"/>
              </w:rPr>
            </w:pPr>
          </w:p>
        </w:tc>
        <w:tc>
          <w:tcPr>
            <w:tcW w:w="911" w:type="dxa"/>
            <w:noWrap/>
            <w:tcMar>
              <w:top w:w="0" w:type="dxa"/>
              <w:left w:w="108" w:type="dxa"/>
              <w:bottom w:w="0" w:type="dxa"/>
              <w:right w:w="108" w:type="dxa"/>
            </w:tcMar>
            <w:vAlign w:val="bottom"/>
            <w:hideMark/>
          </w:tcPr>
          <w:p w:rsidR="00D552C4" w:rsidRDefault="00D552C4" w:rsidP="00BB55C4">
            <w:pPr>
              <w:rPr>
                <w:sz w:val="20"/>
                <w:szCs w:val="20"/>
              </w:rPr>
            </w:pPr>
          </w:p>
        </w:tc>
        <w:tc>
          <w:tcPr>
            <w:tcW w:w="969" w:type="dxa"/>
            <w:noWrap/>
            <w:tcMar>
              <w:top w:w="0" w:type="dxa"/>
              <w:left w:w="108" w:type="dxa"/>
              <w:bottom w:w="0" w:type="dxa"/>
              <w:right w:w="108" w:type="dxa"/>
            </w:tcMar>
            <w:vAlign w:val="bottom"/>
            <w:hideMark/>
          </w:tcPr>
          <w:p w:rsidR="00D552C4" w:rsidRDefault="00D552C4" w:rsidP="00BB55C4">
            <w:pPr>
              <w:rPr>
                <w:sz w:val="20"/>
                <w:szCs w:val="20"/>
              </w:rPr>
            </w:pPr>
          </w:p>
        </w:tc>
        <w:tc>
          <w:tcPr>
            <w:tcW w:w="969" w:type="dxa"/>
            <w:noWrap/>
            <w:tcMar>
              <w:top w:w="0" w:type="dxa"/>
              <w:left w:w="108" w:type="dxa"/>
              <w:bottom w:w="0" w:type="dxa"/>
              <w:right w:w="108" w:type="dxa"/>
            </w:tcMar>
            <w:vAlign w:val="bottom"/>
            <w:hideMark/>
          </w:tcPr>
          <w:p w:rsidR="00D552C4" w:rsidRDefault="00D552C4" w:rsidP="00BB55C4">
            <w:pPr>
              <w:rPr>
                <w:sz w:val="20"/>
                <w:szCs w:val="20"/>
              </w:rPr>
            </w:pPr>
          </w:p>
        </w:tc>
        <w:tc>
          <w:tcPr>
            <w:tcW w:w="969" w:type="dxa"/>
            <w:noWrap/>
            <w:tcMar>
              <w:top w:w="0" w:type="dxa"/>
              <w:left w:w="108" w:type="dxa"/>
              <w:bottom w:w="0" w:type="dxa"/>
              <w:right w:w="108" w:type="dxa"/>
            </w:tcMar>
            <w:vAlign w:val="bottom"/>
            <w:hideMark/>
          </w:tcPr>
          <w:p w:rsidR="00D552C4" w:rsidRDefault="00D552C4" w:rsidP="00BB55C4">
            <w:pPr>
              <w:rPr>
                <w:sz w:val="20"/>
                <w:szCs w:val="20"/>
              </w:rPr>
            </w:pPr>
          </w:p>
        </w:tc>
        <w:tc>
          <w:tcPr>
            <w:tcW w:w="1027" w:type="dxa"/>
            <w:noWrap/>
            <w:tcMar>
              <w:top w:w="0" w:type="dxa"/>
              <w:left w:w="108" w:type="dxa"/>
              <w:bottom w:w="0" w:type="dxa"/>
              <w:right w:w="108" w:type="dxa"/>
            </w:tcMar>
            <w:vAlign w:val="center"/>
            <w:hideMark/>
          </w:tcPr>
          <w:p w:rsidR="00D552C4" w:rsidRDefault="00D552C4" w:rsidP="00BB55C4">
            <w:pPr>
              <w:rPr>
                <w:sz w:val="20"/>
                <w:szCs w:val="20"/>
              </w:rPr>
            </w:pPr>
          </w:p>
        </w:tc>
        <w:tc>
          <w:tcPr>
            <w:tcW w:w="969" w:type="dxa"/>
            <w:noWrap/>
            <w:tcMar>
              <w:top w:w="0" w:type="dxa"/>
              <w:left w:w="108" w:type="dxa"/>
              <w:bottom w:w="0" w:type="dxa"/>
              <w:right w:w="108" w:type="dxa"/>
            </w:tcMar>
            <w:vAlign w:val="bottom"/>
            <w:hideMark/>
          </w:tcPr>
          <w:p w:rsidR="00D552C4" w:rsidRPr="003C2BA3" w:rsidRDefault="00D552C4" w:rsidP="00BB55C4">
            <w:pPr>
              <w:rPr>
                <w:sz w:val="20"/>
                <w:szCs w:val="20"/>
                <w:highlight w:val="yellow"/>
              </w:rPr>
            </w:pPr>
          </w:p>
        </w:tc>
        <w:tc>
          <w:tcPr>
            <w:tcW w:w="911" w:type="dxa"/>
            <w:noWrap/>
            <w:tcMar>
              <w:top w:w="0" w:type="dxa"/>
              <w:left w:w="108" w:type="dxa"/>
              <w:bottom w:w="0" w:type="dxa"/>
              <w:right w:w="108" w:type="dxa"/>
            </w:tcMar>
            <w:vAlign w:val="bottom"/>
            <w:hideMark/>
          </w:tcPr>
          <w:p w:rsidR="00D552C4" w:rsidRDefault="00D552C4" w:rsidP="00BB55C4">
            <w:pPr>
              <w:rPr>
                <w:sz w:val="20"/>
                <w:szCs w:val="20"/>
              </w:rPr>
            </w:pPr>
          </w:p>
        </w:tc>
        <w:tc>
          <w:tcPr>
            <w:tcW w:w="911" w:type="dxa"/>
            <w:noWrap/>
            <w:tcMar>
              <w:top w:w="0" w:type="dxa"/>
              <w:left w:w="108" w:type="dxa"/>
              <w:bottom w:w="0" w:type="dxa"/>
              <w:right w:w="108" w:type="dxa"/>
            </w:tcMar>
            <w:vAlign w:val="bottom"/>
            <w:hideMark/>
          </w:tcPr>
          <w:p w:rsidR="00D552C4" w:rsidRDefault="00D552C4" w:rsidP="00BB55C4">
            <w:pPr>
              <w:rPr>
                <w:sz w:val="20"/>
                <w:szCs w:val="20"/>
              </w:rPr>
            </w:pPr>
          </w:p>
        </w:tc>
        <w:tc>
          <w:tcPr>
            <w:tcW w:w="969" w:type="dxa"/>
            <w:noWrap/>
            <w:tcMar>
              <w:top w:w="0" w:type="dxa"/>
              <w:left w:w="108" w:type="dxa"/>
              <w:bottom w:w="0" w:type="dxa"/>
              <w:right w:w="108" w:type="dxa"/>
            </w:tcMar>
            <w:vAlign w:val="bottom"/>
            <w:hideMark/>
          </w:tcPr>
          <w:p w:rsidR="00D552C4" w:rsidRDefault="00D552C4" w:rsidP="00BB55C4">
            <w:pPr>
              <w:rPr>
                <w:sz w:val="20"/>
                <w:szCs w:val="20"/>
              </w:rPr>
            </w:pPr>
          </w:p>
        </w:tc>
        <w:tc>
          <w:tcPr>
            <w:tcW w:w="702" w:type="dxa"/>
            <w:noWrap/>
            <w:tcMar>
              <w:top w:w="0" w:type="dxa"/>
              <w:left w:w="108" w:type="dxa"/>
              <w:bottom w:w="0" w:type="dxa"/>
              <w:right w:w="108" w:type="dxa"/>
            </w:tcMar>
            <w:vAlign w:val="bottom"/>
            <w:hideMark/>
          </w:tcPr>
          <w:p w:rsidR="00D552C4" w:rsidRDefault="00D552C4" w:rsidP="00BB55C4">
            <w:pPr>
              <w:rPr>
                <w:sz w:val="20"/>
                <w:szCs w:val="20"/>
              </w:rPr>
            </w:pPr>
          </w:p>
        </w:tc>
        <w:tc>
          <w:tcPr>
            <w:tcW w:w="1027" w:type="dxa"/>
            <w:noWrap/>
            <w:tcMar>
              <w:top w:w="0" w:type="dxa"/>
              <w:left w:w="108" w:type="dxa"/>
              <w:bottom w:w="0" w:type="dxa"/>
              <w:right w:w="108" w:type="dxa"/>
            </w:tcMar>
            <w:vAlign w:val="bottom"/>
            <w:hideMark/>
          </w:tcPr>
          <w:p w:rsidR="00D552C4" w:rsidRDefault="00D552C4" w:rsidP="00BB55C4">
            <w:pPr>
              <w:rPr>
                <w:sz w:val="20"/>
                <w:szCs w:val="20"/>
              </w:rPr>
            </w:pPr>
          </w:p>
        </w:tc>
      </w:tr>
      <w:tr w:rsidR="00A422D8" w:rsidRPr="00A422D8" w:rsidTr="00A422D8">
        <w:trPr>
          <w:trHeight w:val="315"/>
        </w:trPr>
        <w:tc>
          <w:tcPr>
            <w:tcW w:w="2402" w:type="dxa"/>
            <w:tcBorders>
              <w:top w:val="single" w:sz="8" w:space="0" w:color="auto"/>
              <w:left w:val="single" w:sz="8" w:space="0" w:color="auto"/>
              <w:bottom w:val="single" w:sz="8" w:space="0" w:color="auto"/>
              <w:right w:val="single" w:sz="8" w:space="0" w:color="auto"/>
            </w:tcBorders>
            <w:shd w:val="clear" w:color="auto" w:fill="56008C"/>
            <w:noWrap/>
            <w:tcMar>
              <w:top w:w="0" w:type="dxa"/>
              <w:left w:w="108" w:type="dxa"/>
              <w:bottom w:w="0" w:type="dxa"/>
              <w:right w:w="108" w:type="dxa"/>
            </w:tcMar>
            <w:vAlign w:val="center"/>
            <w:hideMark/>
          </w:tcPr>
          <w:p w:rsidR="00D552C4" w:rsidRPr="00A422D8" w:rsidRDefault="00D552C4" w:rsidP="00BB55C4">
            <w:pPr>
              <w:jc w:val="center"/>
              <w:rPr>
                <w:rFonts w:ascii="Calibri" w:eastAsiaTheme="minorHAnsi" w:hAnsi="Calibri" w:cs="Calibri"/>
                <w:b/>
                <w:bCs/>
                <w:color w:val="FFFFFF" w:themeColor="background1"/>
                <w:sz w:val="22"/>
                <w:szCs w:val="22"/>
              </w:rPr>
            </w:pPr>
            <w:r w:rsidRPr="00A422D8">
              <w:rPr>
                <w:b/>
                <w:bCs/>
                <w:color w:val="FFFFFF" w:themeColor="background1"/>
              </w:rPr>
              <w:t> </w:t>
            </w:r>
          </w:p>
        </w:tc>
        <w:tc>
          <w:tcPr>
            <w:tcW w:w="1085" w:type="dxa"/>
            <w:tcBorders>
              <w:top w:val="single" w:sz="8" w:space="0" w:color="auto"/>
              <w:left w:val="nil"/>
              <w:bottom w:val="single" w:sz="8" w:space="0" w:color="auto"/>
              <w:right w:val="single" w:sz="8" w:space="0" w:color="auto"/>
            </w:tcBorders>
            <w:shd w:val="clear" w:color="auto" w:fill="56008C"/>
            <w:noWrap/>
            <w:tcMar>
              <w:top w:w="0" w:type="dxa"/>
              <w:left w:w="108" w:type="dxa"/>
              <w:bottom w:w="0" w:type="dxa"/>
              <w:right w:w="108" w:type="dxa"/>
            </w:tcMar>
            <w:vAlign w:val="center"/>
            <w:hideMark/>
          </w:tcPr>
          <w:p w:rsidR="00D552C4" w:rsidRPr="00A422D8" w:rsidRDefault="00D552C4" w:rsidP="00BB55C4">
            <w:pPr>
              <w:jc w:val="center"/>
              <w:rPr>
                <w:rFonts w:ascii="Calibri" w:eastAsiaTheme="minorHAnsi" w:hAnsi="Calibri" w:cs="Calibri"/>
                <w:b/>
                <w:bCs/>
                <w:color w:val="FFFFFF" w:themeColor="background1"/>
                <w:sz w:val="22"/>
                <w:szCs w:val="22"/>
              </w:rPr>
            </w:pPr>
            <w:r w:rsidRPr="00A422D8">
              <w:rPr>
                <w:b/>
                <w:bCs/>
                <w:color w:val="FFFFFF" w:themeColor="background1"/>
              </w:rPr>
              <w:t>Apr</w:t>
            </w:r>
          </w:p>
        </w:tc>
        <w:tc>
          <w:tcPr>
            <w:tcW w:w="911" w:type="dxa"/>
            <w:tcBorders>
              <w:top w:val="single" w:sz="8" w:space="0" w:color="auto"/>
              <w:left w:val="nil"/>
              <w:bottom w:val="single" w:sz="8" w:space="0" w:color="auto"/>
              <w:right w:val="single" w:sz="8" w:space="0" w:color="auto"/>
            </w:tcBorders>
            <w:shd w:val="clear" w:color="auto" w:fill="56008C"/>
            <w:noWrap/>
            <w:tcMar>
              <w:top w:w="0" w:type="dxa"/>
              <w:left w:w="108" w:type="dxa"/>
              <w:bottom w:w="0" w:type="dxa"/>
              <w:right w:w="108" w:type="dxa"/>
            </w:tcMar>
            <w:vAlign w:val="center"/>
            <w:hideMark/>
          </w:tcPr>
          <w:p w:rsidR="00D552C4" w:rsidRPr="00A422D8" w:rsidRDefault="00D552C4" w:rsidP="00BB55C4">
            <w:pPr>
              <w:jc w:val="center"/>
              <w:rPr>
                <w:rFonts w:ascii="Calibri" w:eastAsiaTheme="minorHAnsi" w:hAnsi="Calibri" w:cs="Calibri"/>
                <w:b/>
                <w:bCs/>
                <w:color w:val="FFFFFF" w:themeColor="background1"/>
                <w:sz w:val="22"/>
                <w:szCs w:val="22"/>
              </w:rPr>
            </w:pPr>
            <w:r w:rsidRPr="00A422D8">
              <w:rPr>
                <w:b/>
                <w:bCs/>
                <w:color w:val="FFFFFF" w:themeColor="background1"/>
              </w:rPr>
              <w:t>May</w:t>
            </w:r>
          </w:p>
        </w:tc>
        <w:tc>
          <w:tcPr>
            <w:tcW w:w="911" w:type="dxa"/>
            <w:tcBorders>
              <w:top w:val="single" w:sz="8" w:space="0" w:color="auto"/>
              <w:left w:val="nil"/>
              <w:bottom w:val="single" w:sz="8" w:space="0" w:color="auto"/>
              <w:right w:val="single" w:sz="8" w:space="0" w:color="auto"/>
            </w:tcBorders>
            <w:shd w:val="clear" w:color="auto" w:fill="56008C"/>
            <w:noWrap/>
            <w:tcMar>
              <w:top w:w="0" w:type="dxa"/>
              <w:left w:w="108" w:type="dxa"/>
              <w:bottom w:w="0" w:type="dxa"/>
              <w:right w:w="108" w:type="dxa"/>
            </w:tcMar>
            <w:vAlign w:val="center"/>
            <w:hideMark/>
          </w:tcPr>
          <w:p w:rsidR="00D552C4" w:rsidRPr="00A422D8" w:rsidRDefault="00D552C4" w:rsidP="00BB55C4">
            <w:pPr>
              <w:jc w:val="center"/>
              <w:rPr>
                <w:rFonts w:ascii="Calibri" w:eastAsiaTheme="minorHAnsi" w:hAnsi="Calibri" w:cs="Calibri"/>
                <w:b/>
                <w:bCs/>
                <w:color w:val="FFFFFF" w:themeColor="background1"/>
                <w:sz w:val="22"/>
                <w:szCs w:val="22"/>
              </w:rPr>
            </w:pPr>
            <w:r w:rsidRPr="00A422D8">
              <w:rPr>
                <w:b/>
                <w:bCs/>
                <w:color w:val="FFFFFF" w:themeColor="background1"/>
              </w:rPr>
              <w:t>Jun</w:t>
            </w:r>
          </w:p>
        </w:tc>
        <w:tc>
          <w:tcPr>
            <w:tcW w:w="911" w:type="dxa"/>
            <w:tcBorders>
              <w:top w:val="single" w:sz="8" w:space="0" w:color="auto"/>
              <w:left w:val="nil"/>
              <w:bottom w:val="single" w:sz="8" w:space="0" w:color="auto"/>
              <w:right w:val="single" w:sz="8" w:space="0" w:color="auto"/>
            </w:tcBorders>
            <w:shd w:val="clear" w:color="auto" w:fill="56008C"/>
            <w:noWrap/>
            <w:tcMar>
              <w:top w:w="0" w:type="dxa"/>
              <w:left w:w="108" w:type="dxa"/>
              <w:bottom w:w="0" w:type="dxa"/>
              <w:right w:w="108" w:type="dxa"/>
            </w:tcMar>
            <w:vAlign w:val="center"/>
            <w:hideMark/>
          </w:tcPr>
          <w:p w:rsidR="00D552C4" w:rsidRPr="00A422D8" w:rsidRDefault="00D552C4" w:rsidP="00BB55C4">
            <w:pPr>
              <w:jc w:val="center"/>
              <w:rPr>
                <w:rFonts w:ascii="Calibri" w:eastAsiaTheme="minorHAnsi" w:hAnsi="Calibri" w:cs="Calibri"/>
                <w:b/>
                <w:bCs/>
                <w:color w:val="FFFFFF" w:themeColor="background1"/>
                <w:sz w:val="22"/>
                <w:szCs w:val="22"/>
              </w:rPr>
            </w:pPr>
            <w:r w:rsidRPr="00A422D8">
              <w:rPr>
                <w:b/>
                <w:bCs/>
                <w:color w:val="FFFFFF" w:themeColor="background1"/>
              </w:rPr>
              <w:t>Jul</w:t>
            </w:r>
          </w:p>
        </w:tc>
        <w:tc>
          <w:tcPr>
            <w:tcW w:w="969" w:type="dxa"/>
            <w:tcBorders>
              <w:top w:val="single" w:sz="8" w:space="0" w:color="auto"/>
              <w:left w:val="nil"/>
              <w:bottom w:val="single" w:sz="8" w:space="0" w:color="auto"/>
              <w:right w:val="single" w:sz="8" w:space="0" w:color="auto"/>
            </w:tcBorders>
            <w:shd w:val="clear" w:color="auto" w:fill="56008C"/>
            <w:noWrap/>
            <w:tcMar>
              <w:top w:w="0" w:type="dxa"/>
              <w:left w:w="108" w:type="dxa"/>
              <w:bottom w:w="0" w:type="dxa"/>
              <w:right w:w="108" w:type="dxa"/>
            </w:tcMar>
            <w:vAlign w:val="center"/>
            <w:hideMark/>
          </w:tcPr>
          <w:p w:rsidR="00D552C4" w:rsidRPr="00A422D8" w:rsidRDefault="00D552C4" w:rsidP="00BB55C4">
            <w:pPr>
              <w:jc w:val="center"/>
              <w:rPr>
                <w:rFonts w:ascii="Calibri" w:eastAsiaTheme="minorHAnsi" w:hAnsi="Calibri" w:cs="Calibri"/>
                <w:b/>
                <w:bCs/>
                <w:color w:val="FFFFFF" w:themeColor="background1"/>
                <w:sz w:val="22"/>
                <w:szCs w:val="22"/>
              </w:rPr>
            </w:pPr>
            <w:r w:rsidRPr="00A422D8">
              <w:rPr>
                <w:b/>
                <w:bCs/>
                <w:color w:val="FFFFFF" w:themeColor="background1"/>
              </w:rPr>
              <w:t>Aug</w:t>
            </w:r>
          </w:p>
        </w:tc>
        <w:tc>
          <w:tcPr>
            <w:tcW w:w="969" w:type="dxa"/>
            <w:tcBorders>
              <w:top w:val="single" w:sz="8" w:space="0" w:color="auto"/>
              <w:left w:val="nil"/>
              <w:bottom w:val="single" w:sz="8" w:space="0" w:color="auto"/>
              <w:right w:val="single" w:sz="8" w:space="0" w:color="auto"/>
            </w:tcBorders>
            <w:shd w:val="clear" w:color="auto" w:fill="56008C"/>
            <w:noWrap/>
            <w:tcMar>
              <w:top w:w="0" w:type="dxa"/>
              <w:left w:w="108" w:type="dxa"/>
              <w:bottom w:w="0" w:type="dxa"/>
              <w:right w:w="108" w:type="dxa"/>
            </w:tcMar>
            <w:vAlign w:val="center"/>
            <w:hideMark/>
          </w:tcPr>
          <w:p w:rsidR="00D552C4" w:rsidRPr="00A422D8" w:rsidRDefault="00D552C4" w:rsidP="00BB55C4">
            <w:pPr>
              <w:jc w:val="center"/>
              <w:rPr>
                <w:rFonts w:ascii="Calibri" w:eastAsiaTheme="minorHAnsi" w:hAnsi="Calibri" w:cs="Calibri"/>
                <w:b/>
                <w:bCs/>
                <w:color w:val="FFFFFF" w:themeColor="background1"/>
                <w:sz w:val="22"/>
                <w:szCs w:val="22"/>
              </w:rPr>
            </w:pPr>
            <w:r w:rsidRPr="00A422D8">
              <w:rPr>
                <w:b/>
                <w:bCs/>
                <w:color w:val="FFFFFF" w:themeColor="background1"/>
              </w:rPr>
              <w:t>Sep</w:t>
            </w:r>
          </w:p>
        </w:tc>
        <w:tc>
          <w:tcPr>
            <w:tcW w:w="969" w:type="dxa"/>
            <w:tcBorders>
              <w:top w:val="single" w:sz="8" w:space="0" w:color="auto"/>
              <w:left w:val="nil"/>
              <w:bottom w:val="single" w:sz="8" w:space="0" w:color="auto"/>
              <w:right w:val="single" w:sz="8" w:space="0" w:color="auto"/>
            </w:tcBorders>
            <w:shd w:val="clear" w:color="auto" w:fill="56008C"/>
            <w:noWrap/>
            <w:tcMar>
              <w:top w:w="0" w:type="dxa"/>
              <w:left w:w="108" w:type="dxa"/>
              <w:bottom w:w="0" w:type="dxa"/>
              <w:right w:w="108" w:type="dxa"/>
            </w:tcMar>
            <w:vAlign w:val="center"/>
            <w:hideMark/>
          </w:tcPr>
          <w:p w:rsidR="00D552C4" w:rsidRPr="00A422D8" w:rsidRDefault="00D552C4" w:rsidP="00BB55C4">
            <w:pPr>
              <w:jc w:val="center"/>
              <w:rPr>
                <w:rFonts w:ascii="Calibri" w:eastAsiaTheme="minorHAnsi" w:hAnsi="Calibri" w:cs="Calibri"/>
                <w:b/>
                <w:bCs/>
                <w:color w:val="FFFFFF" w:themeColor="background1"/>
                <w:sz w:val="22"/>
                <w:szCs w:val="22"/>
              </w:rPr>
            </w:pPr>
            <w:r w:rsidRPr="00A422D8">
              <w:rPr>
                <w:b/>
                <w:bCs/>
                <w:color w:val="FFFFFF" w:themeColor="background1"/>
              </w:rPr>
              <w:t>Oct</w:t>
            </w:r>
          </w:p>
        </w:tc>
        <w:tc>
          <w:tcPr>
            <w:tcW w:w="1027" w:type="dxa"/>
            <w:tcBorders>
              <w:top w:val="single" w:sz="8" w:space="0" w:color="auto"/>
              <w:left w:val="nil"/>
              <w:bottom w:val="single" w:sz="8" w:space="0" w:color="auto"/>
              <w:right w:val="single" w:sz="8" w:space="0" w:color="auto"/>
            </w:tcBorders>
            <w:shd w:val="clear" w:color="auto" w:fill="56008C"/>
            <w:noWrap/>
            <w:tcMar>
              <w:top w:w="0" w:type="dxa"/>
              <w:left w:w="108" w:type="dxa"/>
              <w:bottom w:w="0" w:type="dxa"/>
              <w:right w:w="108" w:type="dxa"/>
            </w:tcMar>
            <w:vAlign w:val="center"/>
            <w:hideMark/>
          </w:tcPr>
          <w:p w:rsidR="00D552C4" w:rsidRPr="00A422D8" w:rsidRDefault="00D552C4" w:rsidP="00BB55C4">
            <w:pPr>
              <w:jc w:val="center"/>
              <w:rPr>
                <w:rFonts w:ascii="Calibri" w:eastAsiaTheme="minorHAnsi" w:hAnsi="Calibri" w:cs="Calibri"/>
                <w:b/>
                <w:bCs/>
                <w:color w:val="FFFFFF" w:themeColor="background1"/>
                <w:sz w:val="22"/>
                <w:szCs w:val="22"/>
              </w:rPr>
            </w:pPr>
            <w:r w:rsidRPr="00A422D8">
              <w:rPr>
                <w:b/>
                <w:bCs/>
                <w:color w:val="FFFFFF" w:themeColor="background1"/>
              </w:rPr>
              <w:t>Nov</w:t>
            </w:r>
          </w:p>
        </w:tc>
        <w:tc>
          <w:tcPr>
            <w:tcW w:w="969" w:type="dxa"/>
            <w:tcBorders>
              <w:top w:val="single" w:sz="8" w:space="0" w:color="auto"/>
              <w:left w:val="nil"/>
              <w:bottom w:val="single" w:sz="8" w:space="0" w:color="auto"/>
              <w:right w:val="single" w:sz="8" w:space="0" w:color="auto"/>
            </w:tcBorders>
            <w:shd w:val="clear" w:color="auto" w:fill="56008C"/>
            <w:noWrap/>
            <w:tcMar>
              <w:top w:w="0" w:type="dxa"/>
              <w:left w:w="108" w:type="dxa"/>
              <w:bottom w:w="0" w:type="dxa"/>
              <w:right w:w="108" w:type="dxa"/>
            </w:tcMar>
            <w:vAlign w:val="center"/>
            <w:hideMark/>
          </w:tcPr>
          <w:p w:rsidR="00D552C4" w:rsidRPr="00A422D8" w:rsidRDefault="00D552C4" w:rsidP="00BB55C4">
            <w:pPr>
              <w:jc w:val="center"/>
              <w:rPr>
                <w:rFonts w:ascii="Calibri" w:eastAsiaTheme="minorHAnsi" w:hAnsi="Calibri" w:cs="Calibri"/>
                <w:b/>
                <w:bCs/>
                <w:color w:val="FFFFFF" w:themeColor="background1"/>
                <w:sz w:val="22"/>
                <w:szCs w:val="22"/>
              </w:rPr>
            </w:pPr>
            <w:r w:rsidRPr="00A422D8">
              <w:rPr>
                <w:b/>
                <w:bCs/>
                <w:color w:val="FFFFFF" w:themeColor="background1"/>
              </w:rPr>
              <w:t>Dec</w:t>
            </w:r>
          </w:p>
        </w:tc>
        <w:tc>
          <w:tcPr>
            <w:tcW w:w="911" w:type="dxa"/>
            <w:tcBorders>
              <w:top w:val="single" w:sz="8" w:space="0" w:color="auto"/>
              <w:left w:val="nil"/>
              <w:bottom w:val="single" w:sz="8" w:space="0" w:color="auto"/>
              <w:right w:val="single" w:sz="8" w:space="0" w:color="auto"/>
            </w:tcBorders>
            <w:shd w:val="clear" w:color="auto" w:fill="56008C"/>
            <w:noWrap/>
            <w:tcMar>
              <w:top w:w="0" w:type="dxa"/>
              <w:left w:w="108" w:type="dxa"/>
              <w:bottom w:w="0" w:type="dxa"/>
              <w:right w:w="108" w:type="dxa"/>
            </w:tcMar>
            <w:vAlign w:val="center"/>
            <w:hideMark/>
          </w:tcPr>
          <w:p w:rsidR="00D552C4" w:rsidRPr="00A422D8" w:rsidRDefault="00D552C4" w:rsidP="00BB55C4">
            <w:pPr>
              <w:jc w:val="center"/>
              <w:rPr>
                <w:rFonts w:ascii="Calibri" w:eastAsiaTheme="minorHAnsi" w:hAnsi="Calibri" w:cs="Calibri"/>
                <w:b/>
                <w:bCs/>
                <w:color w:val="FFFFFF" w:themeColor="background1"/>
                <w:sz w:val="22"/>
                <w:szCs w:val="22"/>
              </w:rPr>
            </w:pPr>
            <w:r w:rsidRPr="00A422D8">
              <w:rPr>
                <w:b/>
                <w:bCs/>
                <w:color w:val="FFFFFF" w:themeColor="background1"/>
              </w:rPr>
              <w:t>Jan</w:t>
            </w:r>
          </w:p>
        </w:tc>
        <w:tc>
          <w:tcPr>
            <w:tcW w:w="911" w:type="dxa"/>
            <w:tcBorders>
              <w:top w:val="single" w:sz="8" w:space="0" w:color="auto"/>
              <w:left w:val="nil"/>
              <w:bottom w:val="single" w:sz="8" w:space="0" w:color="auto"/>
              <w:right w:val="single" w:sz="8" w:space="0" w:color="auto"/>
            </w:tcBorders>
            <w:shd w:val="clear" w:color="auto" w:fill="56008C"/>
            <w:noWrap/>
            <w:tcMar>
              <w:top w:w="0" w:type="dxa"/>
              <w:left w:w="108" w:type="dxa"/>
              <w:bottom w:w="0" w:type="dxa"/>
              <w:right w:w="108" w:type="dxa"/>
            </w:tcMar>
            <w:vAlign w:val="center"/>
            <w:hideMark/>
          </w:tcPr>
          <w:p w:rsidR="00D552C4" w:rsidRPr="00A422D8" w:rsidRDefault="00D552C4" w:rsidP="00BB55C4">
            <w:pPr>
              <w:jc w:val="center"/>
              <w:rPr>
                <w:rFonts w:ascii="Calibri" w:eastAsiaTheme="minorHAnsi" w:hAnsi="Calibri" w:cs="Calibri"/>
                <w:b/>
                <w:bCs/>
                <w:color w:val="FFFFFF" w:themeColor="background1"/>
                <w:sz w:val="22"/>
                <w:szCs w:val="22"/>
              </w:rPr>
            </w:pPr>
            <w:r w:rsidRPr="00A422D8">
              <w:rPr>
                <w:b/>
                <w:bCs/>
                <w:color w:val="FFFFFF" w:themeColor="background1"/>
              </w:rPr>
              <w:t>Feb</w:t>
            </w:r>
          </w:p>
        </w:tc>
        <w:tc>
          <w:tcPr>
            <w:tcW w:w="969" w:type="dxa"/>
            <w:tcBorders>
              <w:top w:val="single" w:sz="8" w:space="0" w:color="auto"/>
              <w:left w:val="nil"/>
              <w:bottom w:val="single" w:sz="8" w:space="0" w:color="auto"/>
              <w:right w:val="single" w:sz="8" w:space="0" w:color="auto"/>
            </w:tcBorders>
            <w:shd w:val="clear" w:color="auto" w:fill="56008C"/>
            <w:noWrap/>
            <w:tcMar>
              <w:top w:w="0" w:type="dxa"/>
              <w:left w:w="108" w:type="dxa"/>
              <w:bottom w:w="0" w:type="dxa"/>
              <w:right w:w="108" w:type="dxa"/>
            </w:tcMar>
            <w:vAlign w:val="center"/>
            <w:hideMark/>
          </w:tcPr>
          <w:p w:rsidR="00D552C4" w:rsidRPr="00A422D8" w:rsidRDefault="00D552C4" w:rsidP="00BB55C4">
            <w:pPr>
              <w:jc w:val="center"/>
              <w:rPr>
                <w:rFonts w:ascii="Calibri" w:eastAsiaTheme="minorHAnsi" w:hAnsi="Calibri" w:cs="Calibri"/>
                <w:b/>
                <w:bCs/>
                <w:color w:val="FFFFFF" w:themeColor="background1"/>
                <w:sz w:val="22"/>
                <w:szCs w:val="22"/>
              </w:rPr>
            </w:pPr>
            <w:r w:rsidRPr="00A422D8">
              <w:rPr>
                <w:b/>
                <w:bCs/>
                <w:color w:val="FFFFFF" w:themeColor="background1"/>
              </w:rPr>
              <w:t>Mar</w:t>
            </w:r>
          </w:p>
        </w:tc>
        <w:tc>
          <w:tcPr>
            <w:tcW w:w="702" w:type="dxa"/>
            <w:shd w:val="clear" w:color="auto" w:fill="56008C"/>
            <w:noWrap/>
            <w:tcMar>
              <w:top w:w="0" w:type="dxa"/>
              <w:left w:w="108" w:type="dxa"/>
              <w:bottom w:w="0" w:type="dxa"/>
              <w:right w:w="108" w:type="dxa"/>
            </w:tcMar>
            <w:vAlign w:val="bottom"/>
            <w:hideMark/>
          </w:tcPr>
          <w:p w:rsidR="00D552C4" w:rsidRPr="00A422D8" w:rsidRDefault="00D552C4" w:rsidP="00BB55C4">
            <w:pPr>
              <w:rPr>
                <w:color w:val="FFFFFF" w:themeColor="background1"/>
                <w:sz w:val="20"/>
                <w:szCs w:val="20"/>
              </w:rPr>
            </w:pPr>
          </w:p>
        </w:tc>
        <w:tc>
          <w:tcPr>
            <w:tcW w:w="1027" w:type="dxa"/>
            <w:tcBorders>
              <w:top w:val="single" w:sz="8" w:space="0" w:color="auto"/>
              <w:left w:val="single" w:sz="8" w:space="0" w:color="auto"/>
              <w:bottom w:val="single" w:sz="8" w:space="0" w:color="auto"/>
              <w:right w:val="single" w:sz="8" w:space="0" w:color="auto"/>
            </w:tcBorders>
            <w:shd w:val="clear" w:color="auto" w:fill="56008C"/>
            <w:noWrap/>
            <w:tcMar>
              <w:top w:w="0" w:type="dxa"/>
              <w:left w:w="108" w:type="dxa"/>
              <w:bottom w:w="0" w:type="dxa"/>
              <w:right w:w="108" w:type="dxa"/>
            </w:tcMar>
            <w:vAlign w:val="center"/>
            <w:hideMark/>
          </w:tcPr>
          <w:p w:rsidR="00D552C4" w:rsidRPr="00A422D8" w:rsidRDefault="00D552C4" w:rsidP="00BB55C4">
            <w:pPr>
              <w:jc w:val="center"/>
              <w:rPr>
                <w:rFonts w:ascii="Calibri" w:eastAsiaTheme="minorHAnsi" w:hAnsi="Calibri" w:cs="Calibri"/>
                <w:bCs/>
                <w:color w:val="FFFFFF" w:themeColor="background1"/>
                <w:sz w:val="22"/>
                <w:szCs w:val="22"/>
              </w:rPr>
            </w:pPr>
            <w:r w:rsidRPr="00A422D8">
              <w:rPr>
                <w:b/>
                <w:bCs/>
                <w:color w:val="FFFFFF" w:themeColor="background1"/>
              </w:rPr>
              <w:t>Total</w:t>
            </w:r>
          </w:p>
        </w:tc>
      </w:tr>
      <w:tr w:rsidR="00D552C4" w:rsidTr="00BB55C4">
        <w:trPr>
          <w:trHeight w:val="315"/>
        </w:trPr>
        <w:tc>
          <w:tcPr>
            <w:tcW w:w="2402" w:type="dxa"/>
            <w:noWrap/>
            <w:tcMar>
              <w:top w:w="0" w:type="dxa"/>
              <w:left w:w="108" w:type="dxa"/>
              <w:bottom w:w="0" w:type="dxa"/>
              <w:right w:w="108" w:type="dxa"/>
            </w:tcMar>
            <w:vAlign w:val="center"/>
            <w:hideMark/>
          </w:tcPr>
          <w:p w:rsidR="00D552C4" w:rsidRDefault="00D552C4" w:rsidP="00BB55C4">
            <w:pPr>
              <w:rPr>
                <w:rFonts w:ascii="Calibri" w:eastAsiaTheme="minorHAnsi" w:hAnsi="Calibri" w:cs="Calibri"/>
                <w:b/>
                <w:bCs/>
                <w:color w:val="000000"/>
                <w:sz w:val="22"/>
                <w:szCs w:val="22"/>
              </w:rPr>
            </w:pPr>
            <w:r>
              <w:rPr>
                <w:b/>
                <w:bCs/>
                <w:color w:val="000000"/>
              </w:rPr>
              <w:t>£'000s</w:t>
            </w:r>
          </w:p>
        </w:tc>
        <w:tc>
          <w:tcPr>
            <w:tcW w:w="1085" w:type="dxa"/>
            <w:noWrap/>
            <w:tcMar>
              <w:top w:w="0" w:type="dxa"/>
              <w:left w:w="108" w:type="dxa"/>
              <w:bottom w:w="0" w:type="dxa"/>
              <w:right w:w="108" w:type="dxa"/>
            </w:tcMar>
            <w:vAlign w:val="bottom"/>
            <w:hideMark/>
          </w:tcPr>
          <w:p w:rsidR="00D552C4" w:rsidRDefault="00D552C4" w:rsidP="00BB55C4">
            <w:pPr>
              <w:rPr>
                <w:sz w:val="20"/>
                <w:szCs w:val="20"/>
              </w:rPr>
            </w:pPr>
          </w:p>
        </w:tc>
        <w:tc>
          <w:tcPr>
            <w:tcW w:w="911" w:type="dxa"/>
            <w:noWrap/>
            <w:tcMar>
              <w:top w:w="0" w:type="dxa"/>
              <w:left w:w="108" w:type="dxa"/>
              <w:bottom w:w="0" w:type="dxa"/>
              <w:right w:w="108" w:type="dxa"/>
            </w:tcMar>
            <w:vAlign w:val="bottom"/>
            <w:hideMark/>
          </w:tcPr>
          <w:p w:rsidR="00D552C4" w:rsidRDefault="00D552C4" w:rsidP="00BB55C4">
            <w:pPr>
              <w:rPr>
                <w:sz w:val="20"/>
                <w:szCs w:val="20"/>
              </w:rPr>
            </w:pPr>
          </w:p>
        </w:tc>
        <w:tc>
          <w:tcPr>
            <w:tcW w:w="911" w:type="dxa"/>
            <w:noWrap/>
            <w:tcMar>
              <w:top w:w="0" w:type="dxa"/>
              <w:left w:w="108" w:type="dxa"/>
              <w:bottom w:w="0" w:type="dxa"/>
              <w:right w:w="108" w:type="dxa"/>
            </w:tcMar>
            <w:vAlign w:val="bottom"/>
            <w:hideMark/>
          </w:tcPr>
          <w:p w:rsidR="00D552C4" w:rsidRDefault="00D552C4" w:rsidP="00BB55C4">
            <w:pPr>
              <w:rPr>
                <w:sz w:val="20"/>
                <w:szCs w:val="20"/>
              </w:rPr>
            </w:pPr>
          </w:p>
        </w:tc>
        <w:tc>
          <w:tcPr>
            <w:tcW w:w="911" w:type="dxa"/>
            <w:noWrap/>
            <w:tcMar>
              <w:top w:w="0" w:type="dxa"/>
              <w:left w:w="108" w:type="dxa"/>
              <w:bottom w:w="0" w:type="dxa"/>
              <w:right w:w="108" w:type="dxa"/>
            </w:tcMar>
            <w:vAlign w:val="bottom"/>
            <w:hideMark/>
          </w:tcPr>
          <w:p w:rsidR="00D552C4" w:rsidRDefault="00D552C4" w:rsidP="00BB55C4">
            <w:pPr>
              <w:rPr>
                <w:sz w:val="20"/>
                <w:szCs w:val="20"/>
              </w:rPr>
            </w:pPr>
          </w:p>
        </w:tc>
        <w:tc>
          <w:tcPr>
            <w:tcW w:w="969" w:type="dxa"/>
            <w:noWrap/>
            <w:tcMar>
              <w:top w:w="0" w:type="dxa"/>
              <w:left w:w="108" w:type="dxa"/>
              <w:bottom w:w="0" w:type="dxa"/>
              <w:right w:w="108" w:type="dxa"/>
            </w:tcMar>
            <w:vAlign w:val="bottom"/>
            <w:hideMark/>
          </w:tcPr>
          <w:p w:rsidR="00D552C4" w:rsidRDefault="00D552C4" w:rsidP="00BB55C4">
            <w:pPr>
              <w:rPr>
                <w:sz w:val="20"/>
                <w:szCs w:val="20"/>
              </w:rPr>
            </w:pPr>
          </w:p>
        </w:tc>
        <w:tc>
          <w:tcPr>
            <w:tcW w:w="969" w:type="dxa"/>
            <w:noWrap/>
            <w:tcMar>
              <w:top w:w="0" w:type="dxa"/>
              <w:left w:w="108" w:type="dxa"/>
              <w:bottom w:w="0" w:type="dxa"/>
              <w:right w:w="108" w:type="dxa"/>
            </w:tcMar>
            <w:vAlign w:val="bottom"/>
            <w:hideMark/>
          </w:tcPr>
          <w:p w:rsidR="00D552C4" w:rsidRDefault="00D552C4" w:rsidP="00BB55C4">
            <w:pPr>
              <w:rPr>
                <w:sz w:val="20"/>
                <w:szCs w:val="20"/>
              </w:rPr>
            </w:pPr>
          </w:p>
        </w:tc>
        <w:tc>
          <w:tcPr>
            <w:tcW w:w="969" w:type="dxa"/>
            <w:noWrap/>
            <w:tcMar>
              <w:top w:w="0" w:type="dxa"/>
              <w:left w:w="108" w:type="dxa"/>
              <w:bottom w:w="0" w:type="dxa"/>
              <w:right w:w="108" w:type="dxa"/>
            </w:tcMar>
            <w:vAlign w:val="bottom"/>
            <w:hideMark/>
          </w:tcPr>
          <w:p w:rsidR="00D552C4" w:rsidRDefault="00D552C4" w:rsidP="00BB55C4">
            <w:pPr>
              <w:rPr>
                <w:sz w:val="20"/>
                <w:szCs w:val="20"/>
              </w:rPr>
            </w:pPr>
          </w:p>
        </w:tc>
        <w:tc>
          <w:tcPr>
            <w:tcW w:w="1027" w:type="dxa"/>
            <w:noWrap/>
            <w:tcMar>
              <w:top w:w="0" w:type="dxa"/>
              <w:left w:w="108" w:type="dxa"/>
              <w:bottom w:w="0" w:type="dxa"/>
              <w:right w:w="108" w:type="dxa"/>
            </w:tcMar>
            <w:vAlign w:val="center"/>
            <w:hideMark/>
          </w:tcPr>
          <w:p w:rsidR="00D552C4" w:rsidRDefault="00D552C4" w:rsidP="00BB55C4">
            <w:pPr>
              <w:rPr>
                <w:sz w:val="20"/>
                <w:szCs w:val="20"/>
              </w:rPr>
            </w:pPr>
          </w:p>
        </w:tc>
        <w:tc>
          <w:tcPr>
            <w:tcW w:w="969" w:type="dxa"/>
            <w:noWrap/>
            <w:tcMar>
              <w:top w:w="0" w:type="dxa"/>
              <w:left w:w="108" w:type="dxa"/>
              <w:bottom w:w="0" w:type="dxa"/>
              <w:right w:w="108" w:type="dxa"/>
            </w:tcMar>
            <w:vAlign w:val="center"/>
            <w:hideMark/>
          </w:tcPr>
          <w:p w:rsidR="00D552C4" w:rsidRPr="003C2BA3" w:rsidRDefault="00D552C4" w:rsidP="00BB55C4">
            <w:pPr>
              <w:rPr>
                <w:sz w:val="20"/>
                <w:szCs w:val="20"/>
                <w:highlight w:val="yellow"/>
              </w:rPr>
            </w:pPr>
          </w:p>
        </w:tc>
        <w:tc>
          <w:tcPr>
            <w:tcW w:w="911" w:type="dxa"/>
            <w:noWrap/>
            <w:tcMar>
              <w:top w:w="0" w:type="dxa"/>
              <w:left w:w="108" w:type="dxa"/>
              <w:bottom w:w="0" w:type="dxa"/>
              <w:right w:w="108" w:type="dxa"/>
            </w:tcMar>
            <w:vAlign w:val="center"/>
            <w:hideMark/>
          </w:tcPr>
          <w:p w:rsidR="00D552C4" w:rsidRDefault="00D552C4" w:rsidP="00BB55C4">
            <w:pPr>
              <w:rPr>
                <w:sz w:val="20"/>
                <w:szCs w:val="20"/>
              </w:rPr>
            </w:pPr>
          </w:p>
        </w:tc>
        <w:tc>
          <w:tcPr>
            <w:tcW w:w="911" w:type="dxa"/>
            <w:noWrap/>
            <w:tcMar>
              <w:top w:w="0" w:type="dxa"/>
              <w:left w:w="108" w:type="dxa"/>
              <w:bottom w:w="0" w:type="dxa"/>
              <w:right w:w="108" w:type="dxa"/>
            </w:tcMar>
            <w:vAlign w:val="center"/>
            <w:hideMark/>
          </w:tcPr>
          <w:p w:rsidR="00D552C4" w:rsidRDefault="00D552C4" w:rsidP="00BB55C4">
            <w:pPr>
              <w:rPr>
                <w:sz w:val="20"/>
                <w:szCs w:val="20"/>
              </w:rPr>
            </w:pPr>
          </w:p>
        </w:tc>
        <w:tc>
          <w:tcPr>
            <w:tcW w:w="969" w:type="dxa"/>
            <w:noWrap/>
            <w:tcMar>
              <w:top w:w="0" w:type="dxa"/>
              <w:left w:w="108" w:type="dxa"/>
              <w:bottom w:w="0" w:type="dxa"/>
              <w:right w:w="108" w:type="dxa"/>
            </w:tcMar>
            <w:vAlign w:val="center"/>
            <w:hideMark/>
          </w:tcPr>
          <w:p w:rsidR="00D552C4" w:rsidRDefault="00D552C4" w:rsidP="00BB55C4">
            <w:pPr>
              <w:rPr>
                <w:sz w:val="20"/>
                <w:szCs w:val="20"/>
              </w:rPr>
            </w:pPr>
          </w:p>
        </w:tc>
        <w:tc>
          <w:tcPr>
            <w:tcW w:w="702" w:type="dxa"/>
            <w:noWrap/>
            <w:tcMar>
              <w:top w:w="0" w:type="dxa"/>
              <w:left w:w="108" w:type="dxa"/>
              <w:bottom w:w="0" w:type="dxa"/>
              <w:right w:w="108" w:type="dxa"/>
            </w:tcMar>
            <w:vAlign w:val="center"/>
            <w:hideMark/>
          </w:tcPr>
          <w:p w:rsidR="00D552C4" w:rsidRDefault="00D552C4" w:rsidP="00BB55C4">
            <w:pPr>
              <w:rPr>
                <w:sz w:val="20"/>
                <w:szCs w:val="20"/>
              </w:rPr>
            </w:pPr>
          </w:p>
        </w:tc>
        <w:tc>
          <w:tcPr>
            <w:tcW w:w="1027" w:type="dxa"/>
            <w:noWrap/>
            <w:tcMar>
              <w:top w:w="0" w:type="dxa"/>
              <w:left w:w="108" w:type="dxa"/>
              <w:bottom w:w="0" w:type="dxa"/>
              <w:right w:w="108" w:type="dxa"/>
            </w:tcMar>
            <w:vAlign w:val="center"/>
            <w:hideMark/>
          </w:tcPr>
          <w:p w:rsidR="00D552C4" w:rsidRDefault="00D552C4" w:rsidP="00BB55C4">
            <w:pPr>
              <w:rPr>
                <w:sz w:val="20"/>
                <w:szCs w:val="20"/>
              </w:rPr>
            </w:pPr>
          </w:p>
        </w:tc>
      </w:tr>
      <w:tr w:rsidR="007414C0" w:rsidTr="00BB55C4">
        <w:trPr>
          <w:trHeight w:val="300"/>
        </w:trPr>
        <w:tc>
          <w:tcPr>
            <w:tcW w:w="2402"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rsidR="007414C0" w:rsidRDefault="007414C0" w:rsidP="00BB55C4">
            <w:pPr>
              <w:rPr>
                <w:rFonts w:ascii="Calibri" w:eastAsiaTheme="minorHAnsi" w:hAnsi="Calibri" w:cs="Calibri"/>
                <w:b/>
                <w:bCs/>
                <w:color w:val="000000"/>
                <w:sz w:val="22"/>
                <w:szCs w:val="22"/>
              </w:rPr>
            </w:pPr>
            <w:r>
              <w:rPr>
                <w:b/>
                <w:bCs/>
                <w:color w:val="000000"/>
              </w:rPr>
              <w:t>Opening Balance</w:t>
            </w:r>
          </w:p>
        </w:tc>
        <w:tc>
          <w:tcPr>
            <w:tcW w:w="1085" w:type="dxa"/>
            <w:tcBorders>
              <w:top w:val="nil"/>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2,279 </w:t>
            </w:r>
          </w:p>
        </w:tc>
        <w:tc>
          <w:tcPr>
            <w:tcW w:w="911" w:type="dxa"/>
            <w:tcBorders>
              <w:top w:val="nil"/>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1,745 </w:t>
            </w:r>
          </w:p>
        </w:tc>
        <w:tc>
          <w:tcPr>
            <w:tcW w:w="911" w:type="dxa"/>
            <w:tcBorders>
              <w:top w:val="nil"/>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1,429 </w:t>
            </w:r>
          </w:p>
        </w:tc>
        <w:tc>
          <w:tcPr>
            <w:tcW w:w="911" w:type="dxa"/>
            <w:tcBorders>
              <w:top w:val="nil"/>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947 </w:t>
            </w:r>
          </w:p>
        </w:tc>
        <w:tc>
          <w:tcPr>
            <w:tcW w:w="969" w:type="dxa"/>
            <w:tcBorders>
              <w:top w:val="nil"/>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768 </w:t>
            </w:r>
          </w:p>
        </w:tc>
        <w:tc>
          <w:tcPr>
            <w:tcW w:w="969" w:type="dxa"/>
            <w:tcBorders>
              <w:top w:val="nil"/>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890 </w:t>
            </w:r>
          </w:p>
        </w:tc>
        <w:tc>
          <w:tcPr>
            <w:tcW w:w="969" w:type="dxa"/>
            <w:tcBorders>
              <w:top w:val="nil"/>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1,123 </w:t>
            </w:r>
          </w:p>
        </w:tc>
        <w:tc>
          <w:tcPr>
            <w:tcW w:w="1027" w:type="dxa"/>
            <w:tcBorders>
              <w:top w:val="nil"/>
              <w:left w:val="nil"/>
              <w:bottom w:val="single" w:sz="8" w:space="0" w:color="auto"/>
              <w:right w:val="nil"/>
            </w:tcBorders>
            <w:noWrap/>
            <w:tcMar>
              <w:top w:w="0" w:type="dxa"/>
              <w:left w:w="108" w:type="dxa"/>
              <w:bottom w:w="0" w:type="dxa"/>
              <w:right w:w="108" w:type="dxa"/>
            </w:tcMar>
            <w:vAlign w:val="center"/>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1,277 </w:t>
            </w:r>
          </w:p>
        </w:tc>
        <w:tc>
          <w:tcPr>
            <w:tcW w:w="969" w:type="dxa"/>
            <w:tcBorders>
              <w:top w:val="nil"/>
              <w:left w:val="nil"/>
              <w:bottom w:val="single" w:sz="8" w:space="0" w:color="auto"/>
              <w:right w:val="nil"/>
            </w:tcBorders>
            <w:noWrap/>
            <w:tcMar>
              <w:top w:w="0" w:type="dxa"/>
              <w:left w:w="108" w:type="dxa"/>
              <w:bottom w:w="0" w:type="dxa"/>
              <w:right w:w="108" w:type="dxa"/>
            </w:tcMar>
            <w:vAlign w:val="center"/>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1,591 </w:t>
            </w:r>
          </w:p>
        </w:tc>
        <w:tc>
          <w:tcPr>
            <w:tcW w:w="911" w:type="dxa"/>
            <w:tcBorders>
              <w:top w:val="nil"/>
              <w:left w:val="nil"/>
              <w:bottom w:val="single" w:sz="8" w:space="0" w:color="auto"/>
              <w:right w:val="nil"/>
            </w:tcBorders>
            <w:noWrap/>
            <w:tcMar>
              <w:top w:w="0" w:type="dxa"/>
              <w:left w:w="108" w:type="dxa"/>
              <w:bottom w:w="0" w:type="dxa"/>
              <w:right w:w="108" w:type="dxa"/>
            </w:tcMar>
            <w:vAlign w:val="center"/>
            <w:hideMark/>
          </w:tcPr>
          <w:p w:rsidR="007414C0" w:rsidRDefault="007414C0">
            <w:pPr>
              <w:jc w:val="center"/>
              <w:rPr>
                <w:rFonts w:ascii="Calibri" w:hAnsi="Calibri" w:cs="Calibri"/>
                <w:b/>
                <w:bCs/>
                <w:color w:val="000000"/>
                <w:sz w:val="22"/>
                <w:szCs w:val="22"/>
              </w:rPr>
            </w:pPr>
            <w:r>
              <w:rPr>
                <w:rFonts w:ascii="Calibri" w:hAnsi="Calibri" w:cs="Calibri"/>
                <w:b/>
                <w:bCs/>
                <w:color w:val="000000"/>
                <w:sz w:val="22"/>
                <w:szCs w:val="22"/>
              </w:rPr>
              <w:t xml:space="preserve">   1,754 </w:t>
            </w:r>
          </w:p>
        </w:tc>
        <w:tc>
          <w:tcPr>
            <w:tcW w:w="911" w:type="dxa"/>
            <w:tcBorders>
              <w:top w:val="nil"/>
              <w:left w:val="nil"/>
              <w:bottom w:val="single" w:sz="8" w:space="0" w:color="auto"/>
              <w:right w:val="nil"/>
            </w:tcBorders>
            <w:noWrap/>
            <w:tcMar>
              <w:top w:w="0" w:type="dxa"/>
              <w:left w:w="108" w:type="dxa"/>
              <w:bottom w:w="0" w:type="dxa"/>
              <w:right w:w="108" w:type="dxa"/>
            </w:tcMar>
            <w:vAlign w:val="center"/>
            <w:hideMark/>
          </w:tcPr>
          <w:p w:rsidR="007414C0" w:rsidRDefault="007414C0">
            <w:pPr>
              <w:jc w:val="center"/>
              <w:rPr>
                <w:rFonts w:ascii="Calibri" w:hAnsi="Calibri" w:cs="Calibri"/>
                <w:b/>
                <w:bCs/>
                <w:color w:val="000000"/>
                <w:sz w:val="22"/>
                <w:szCs w:val="22"/>
              </w:rPr>
            </w:pPr>
            <w:r>
              <w:rPr>
                <w:rFonts w:ascii="Calibri" w:hAnsi="Calibri" w:cs="Calibri"/>
                <w:b/>
                <w:bCs/>
                <w:color w:val="000000"/>
                <w:sz w:val="22"/>
                <w:szCs w:val="22"/>
              </w:rPr>
              <w:t xml:space="preserve">   1,838 </w:t>
            </w:r>
          </w:p>
        </w:tc>
        <w:tc>
          <w:tcPr>
            <w:tcW w:w="969" w:type="dxa"/>
            <w:tcBorders>
              <w:top w:val="nil"/>
              <w:left w:val="nil"/>
              <w:bottom w:val="single" w:sz="8" w:space="0" w:color="auto"/>
              <w:right w:val="nil"/>
            </w:tcBorders>
            <w:noWrap/>
            <w:tcMar>
              <w:top w:w="0" w:type="dxa"/>
              <w:left w:w="108" w:type="dxa"/>
              <w:bottom w:w="0" w:type="dxa"/>
              <w:right w:w="108" w:type="dxa"/>
            </w:tcMar>
            <w:vAlign w:val="center"/>
            <w:hideMark/>
          </w:tcPr>
          <w:p w:rsidR="007414C0" w:rsidRDefault="007414C0" w:rsidP="00201909">
            <w:pPr>
              <w:jc w:val="center"/>
              <w:rPr>
                <w:rFonts w:ascii="Calibri" w:hAnsi="Calibri" w:cs="Calibri"/>
                <w:b/>
                <w:bCs/>
                <w:color w:val="000000"/>
                <w:sz w:val="22"/>
                <w:szCs w:val="22"/>
              </w:rPr>
            </w:pPr>
            <w:r>
              <w:rPr>
                <w:rFonts w:ascii="Calibri" w:hAnsi="Calibri" w:cs="Calibri"/>
                <w:b/>
                <w:bCs/>
                <w:color w:val="000000"/>
                <w:sz w:val="22"/>
                <w:szCs w:val="22"/>
              </w:rPr>
              <w:t xml:space="preserve">   </w:t>
            </w:r>
            <w:r w:rsidR="00201909">
              <w:rPr>
                <w:rFonts w:ascii="Calibri" w:hAnsi="Calibri" w:cs="Calibri"/>
                <w:b/>
                <w:bCs/>
                <w:color w:val="000000"/>
                <w:sz w:val="22"/>
                <w:szCs w:val="22"/>
              </w:rPr>
              <w:t>2,029</w:t>
            </w:r>
            <w:r>
              <w:rPr>
                <w:rFonts w:ascii="Calibri" w:hAnsi="Calibri" w:cs="Calibri"/>
                <w:b/>
                <w:bCs/>
                <w:color w:val="000000"/>
                <w:sz w:val="22"/>
                <w:szCs w:val="22"/>
              </w:rPr>
              <w:t xml:space="preserve"> </w:t>
            </w:r>
          </w:p>
        </w:tc>
        <w:tc>
          <w:tcPr>
            <w:tcW w:w="702" w:type="dxa"/>
            <w:noWrap/>
            <w:tcMar>
              <w:top w:w="0" w:type="dxa"/>
              <w:left w:w="108" w:type="dxa"/>
              <w:bottom w:w="0" w:type="dxa"/>
              <w:right w:w="108" w:type="dxa"/>
            </w:tcMar>
            <w:vAlign w:val="center"/>
            <w:hideMark/>
          </w:tcPr>
          <w:p w:rsidR="007414C0" w:rsidRDefault="007414C0">
            <w:pPr>
              <w:jc w:val="center"/>
              <w:rPr>
                <w:rFonts w:ascii="Calibri" w:hAnsi="Calibri" w:cs="Calibri"/>
                <w:b/>
                <w:bCs/>
                <w:color w:val="000000"/>
                <w:sz w:val="22"/>
                <w:szCs w:val="22"/>
              </w:rPr>
            </w:pPr>
          </w:p>
        </w:tc>
        <w:tc>
          <w:tcPr>
            <w:tcW w:w="1027" w:type="dxa"/>
            <w:noWrap/>
            <w:tcMar>
              <w:top w:w="0" w:type="dxa"/>
              <w:left w:w="108" w:type="dxa"/>
              <w:bottom w:w="0" w:type="dxa"/>
              <w:right w:w="108" w:type="dxa"/>
            </w:tcMar>
            <w:vAlign w:val="center"/>
            <w:hideMark/>
          </w:tcPr>
          <w:p w:rsidR="007414C0" w:rsidRDefault="00E13E6E">
            <w:pPr>
              <w:jc w:val="center"/>
              <w:rPr>
                <w:rFonts w:ascii="Calibri" w:hAnsi="Calibri" w:cs="Calibri"/>
                <w:b/>
                <w:bCs/>
                <w:color w:val="000000"/>
                <w:sz w:val="22"/>
                <w:szCs w:val="22"/>
              </w:rPr>
            </w:pPr>
            <w:r>
              <w:rPr>
                <w:rFonts w:ascii="Calibri" w:hAnsi="Calibri" w:cs="Calibri"/>
                <w:b/>
                <w:bCs/>
                <w:color w:val="000000"/>
                <w:sz w:val="22"/>
                <w:szCs w:val="22"/>
              </w:rPr>
              <w:t xml:space="preserve">     2,279</w:t>
            </w:r>
          </w:p>
        </w:tc>
      </w:tr>
      <w:tr w:rsidR="007414C0" w:rsidTr="00BB55C4">
        <w:trPr>
          <w:trHeight w:val="300"/>
        </w:trPr>
        <w:tc>
          <w:tcPr>
            <w:tcW w:w="240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7414C0" w:rsidRDefault="007414C0" w:rsidP="00BB55C4">
            <w:pPr>
              <w:rPr>
                <w:rFonts w:ascii="Calibri" w:eastAsiaTheme="minorHAnsi" w:hAnsi="Calibri" w:cs="Calibri"/>
                <w:color w:val="000000"/>
                <w:sz w:val="22"/>
                <w:szCs w:val="22"/>
              </w:rPr>
            </w:pPr>
            <w:r>
              <w:rPr>
                <w:color w:val="000000"/>
              </w:rPr>
              <w:t> </w:t>
            </w:r>
          </w:p>
        </w:tc>
        <w:tc>
          <w:tcPr>
            <w:tcW w:w="1085"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1027" w:type="dxa"/>
            <w:noWrap/>
            <w:tcMar>
              <w:top w:w="0" w:type="dxa"/>
              <w:left w:w="108" w:type="dxa"/>
              <w:bottom w:w="0" w:type="dxa"/>
              <w:right w:w="108" w:type="dxa"/>
            </w:tcMar>
            <w:vAlign w:val="center"/>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color w:val="000000"/>
                <w:sz w:val="20"/>
                <w:szCs w:val="20"/>
              </w:rPr>
            </w:pPr>
            <w:r>
              <w:rPr>
                <w:color w:val="000000"/>
                <w:sz w:val="20"/>
                <w:szCs w:val="20"/>
              </w:rPr>
              <w:t> </w:t>
            </w:r>
          </w:p>
        </w:tc>
        <w:tc>
          <w:tcPr>
            <w:tcW w:w="911" w:type="dxa"/>
            <w:noWrap/>
            <w:tcMar>
              <w:top w:w="0" w:type="dxa"/>
              <w:left w:w="108" w:type="dxa"/>
              <w:bottom w:w="0" w:type="dxa"/>
              <w:right w:w="108" w:type="dxa"/>
            </w:tcMar>
            <w:vAlign w:val="bottom"/>
            <w:hideMark/>
          </w:tcPr>
          <w:p w:rsidR="007414C0" w:rsidRDefault="007414C0">
            <w:pPr>
              <w:rPr>
                <w:color w:val="000000"/>
                <w:sz w:val="20"/>
                <w:szCs w:val="20"/>
              </w:rPr>
            </w:pPr>
            <w:r>
              <w:rPr>
                <w:color w:val="000000"/>
                <w:sz w:val="20"/>
                <w:szCs w:val="20"/>
              </w:rPr>
              <w:t> </w:t>
            </w:r>
          </w:p>
        </w:tc>
        <w:tc>
          <w:tcPr>
            <w:tcW w:w="911" w:type="dxa"/>
            <w:noWrap/>
            <w:tcMar>
              <w:top w:w="0" w:type="dxa"/>
              <w:left w:w="108" w:type="dxa"/>
              <w:bottom w:w="0" w:type="dxa"/>
              <w:right w:w="108" w:type="dxa"/>
            </w:tcMar>
            <w:vAlign w:val="bottom"/>
            <w:hideMark/>
          </w:tcPr>
          <w:p w:rsidR="007414C0" w:rsidRDefault="007414C0">
            <w:pPr>
              <w:rPr>
                <w:color w:val="000000"/>
                <w:sz w:val="20"/>
                <w:szCs w:val="20"/>
              </w:rPr>
            </w:pPr>
          </w:p>
        </w:tc>
        <w:tc>
          <w:tcPr>
            <w:tcW w:w="969" w:type="dxa"/>
            <w:noWrap/>
            <w:tcMar>
              <w:top w:w="0" w:type="dxa"/>
              <w:left w:w="108" w:type="dxa"/>
              <w:bottom w:w="0" w:type="dxa"/>
              <w:right w:w="108" w:type="dxa"/>
            </w:tcMar>
            <w:vAlign w:val="bottom"/>
            <w:hideMark/>
          </w:tcPr>
          <w:p w:rsidR="007414C0" w:rsidRDefault="007414C0">
            <w:pPr>
              <w:rPr>
                <w:color w:val="000000"/>
                <w:sz w:val="20"/>
                <w:szCs w:val="20"/>
              </w:rPr>
            </w:pPr>
          </w:p>
        </w:tc>
        <w:tc>
          <w:tcPr>
            <w:tcW w:w="702" w:type="dxa"/>
            <w:noWrap/>
            <w:tcMar>
              <w:top w:w="0" w:type="dxa"/>
              <w:left w:w="108" w:type="dxa"/>
              <w:bottom w:w="0" w:type="dxa"/>
              <w:right w:w="108" w:type="dxa"/>
            </w:tcMar>
            <w:vAlign w:val="bottom"/>
            <w:hideMark/>
          </w:tcPr>
          <w:p w:rsidR="007414C0" w:rsidRDefault="007414C0">
            <w:pPr>
              <w:rPr>
                <w:color w:val="000000"/>
                <w:sz w:val="20"/>
                <w:szCs w:val="20"/>
              </w:rPr>
            </w:pPr>
          </w:p>
        </w:tc>
        <w:tc>
          <w:tcPr>
            <w:tcW w:w="1027" w:type="dxa"/>
            <w:noWrap/>
            <w:tcMar>
              <w:top w:w="0" w:type="dxa"/>
              <w:left w:w="108" w:type="dxa"/>
              <w:bottom w:w="0" w:type="dxa"/>
              <w:right w:w="108" w:type="dxa"/>
            </w:tcMar>
            <w:vAlign w:val="bottom"/>
            <w:hideMark/>
          </w:tcPr>
          <w:p w:rsidR="007414C0" w:rsidRDefault="007414C0">
            <w:pPr>
              <w:rPr>
                <w:color w:val="000000"/>
                <w:sz w:val="20"/>
                <w:szCs w:val="20"/>
              </w:rPr>
            </w:pPr>
          </w:p>
        </w:tc>
      </w:tr>
      <w:tr w:rsidR="007414C0" w:rsidTr="00BB55C4">
        <w:trPr>
          <w:trHeight w:val="300"/>
        </w:trPr>
        <w:tc>
          <w:tcPr>
            <w:tcW w:w="240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7414C0" w:rsidRDefault="007414C0" w:rsidP="00BB55C4">
            <w:pPr>
              <w:rPr>
                <w:rFonts w:ascii="Calibri" w:eastAsiaTheme="minorHAnsi" w:hAnsi="Calibri" w:cs="Calibri"/>
                <w:b/>
                <w:bCs/>
                <w:color w:val="000000"/>
                <w:sz w:val="22"/>
                <w:szCs w:val="22"/>
              </w:rPr>
            </w:pPr>
            <w:r>
              <w:rPr>
                <w:b/>
                <w:bCs/>
                <w:color w:val="000000"/>
              </w:rPr>
              <w:t>Receipts</w:t>
            </w:r>
          </w:p>
        </w:tc>
        <w:tc>
          <w:tcPr>
            <w:tcW w:w="1085" w:type="dxa"/>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w:t>
            </w:r>
          </w:p>
        </w:tc>
        <w:tc>
          <w:tcPr>
            <w:tcW w:w="1027" w:type="dxa"/>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p>
        </w:tc>
        <w:tc>
          <w:tcPr>
            <w:tcW w:w="969" w:type="dxa"/>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p>
        </w:tc>
        <w:tc>
          <w:tcPr>
            <w:tcW w:w="702" w:type="dxa"/>
            <w:noWrap/>
            <w:tcMar>
              <w:top w:w="0" w:type="dxa"/>
              <w:left w:w="108" w:type="dxa"/>
              <w:bottom w:w="0" w:type="dxa"/>
              <w:right w:w="108" w:type="dxa"/>
            </w:tcMar>
            <w:vAlign w:val="bottom"/>
            <w:hideMark/>
          </w:tcPr>
          <w:p w:rsidR="007414C0" w:rsidRDefault="007414C0">
            <w:pPr>
              <w:rPr>
                <w:color w:val="000000"/>
                <w:sz w:val="20"/>
                <w:szCs w:val="20"/>
              </w:rPr>
            </w:pPr>
          </w:p>
        </w:tc>
        <w:tc>
          <w:tcPr>
            <w:tcW w:w="1027" w:type="dxa"/>
            <w:noWrap/>
            <w:tcMar>
              <w:top w:w="0" w:type="dxa"/>
              <w:left w:w="108" w:type="dxa"/>
              <w:bottom w:w="0" w:type="dxa"/>
              <w:right w:w="108" w:type="dxa"/>
            </w:tcMar>
            <w:vAlign w:val="bottom"/>
            <w:hideMark/>
          </w:tcPr>
          <w:p w:rsidR="007414C0" w:rsidRDefault="007414C0">
            <w:pPr>
              <w:rPr>
                <w:color w:val="000000"/>
                <w:sz w:val="20"/>
                <w:szCs w:val="20"/>
              </w:rPr>
            </w:pPr>
          </w:p>
        </w:tc>
      </w:tr>
      <w:tr w:rsidR="00201909" w:rsidTr="0059044A">
        <w:trPr>
          <w:trHeight w:val="300"/>
        </w:trPr>
        <w:tc>
          <w:tcPr>
            <w:tcW w:w="240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201909" w:rsidRDefault="00201909" w:rsidP="00BB55C4">
            <w:pPr>
              <w:rPr>
                <w:rFonts w:ascii="Calibri" w:eastAsiaTheme="minorHAnsi" w:hAnsi="Calibri" w:cs="Calibri"/>
                <w:color w:val="000000"/>
                <w:sz w:val="22"/>
                <w:szCs w:val="22"/>
              </w:rPr>
            </w:pPr>
            <w:r>
              <w:rPr>
                <w:color w:val="000000"/>
              </w:rPr>
              <w:t>Debtors</w:t>
            </w:r>
          </w:p>
        </w:tc>
        <w:tc>
          <w:tcPr>
            <w:tcW w:w="1085"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21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76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29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118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41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28 </w:t>
            </w:r>
          </w:p>
        </w:tc>
        <w:tc>
          <w:tcPr>
            <w:tcW w:w="969" w:type="dxa"/>
            <w:noWrap/>
            <w:tcMar>
              <w:top w:w="0" w:type="dxa"/>
              <w:left w:w="108" w:type="dxa"/>
              <w:bottom w:w="0" w:type="dxa"/>
              <w:right w:w="108" w:type="dxa"/>
            </w:tcMar>
            <w:vAlign w:val="center"/>
            <w:hideMark/>
          </w:tcPr>
          <w:p w:rsidR="00201909" w:rsidRDefault="00201909">
            <w:pPr>
              <w:jc w:val="right"/>
              <w:rPr>
                <w:rFonts w:ascii="Calibri" w:hAnsi="Calibri" w:cs="Calibri"/>
                <w:color w:val="000000"/>
                <w:sz w:val="22"/>
                <w:szCs w:val="22"/>
              </w:rPr>
            </w:pPr>
            <w:r>
              <w:rPr>
                <w:rFonts w:ascii="Calibri" w:hAnsi="Calibri" w:cs="Calibri"/>
                <w:color w:val="000000"/>
                <w:sz w:val="22"/>
                <w:szCs w:val="22"/>
              </w:rPr>
              <w:t>44</w:t>
            </w:r>
          </w:p>
        </w:tc>
        <w:tc>
          <w:tcPr>
            <w:tcW w:w="1027"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82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33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16 </w:t>
            </w:r>
          </w:p>
        </w:tc>
        <w:tc>
          <w:tcPr>
            <w:tcW w:w="911" w:type="dxa"/>
            <w:noWrap/>
            <w:tcMar>
              <w:top w:w="0" w:type="dxa"/>
              <w:left w:w="108" w:type="dxa"/>
              <w:bottom w:w="0" w:type="dxa"/>
              <w:right w:w="108" w:type="dxa"/>
            </w:tcMar>
            <w:vAlign w:val="bottom"/>
            <w:hideMark/>
          </w:tcPr>
          <w:p w:rsidR="00201909" w:rsidRDefault="00201909" w:rsidP="00201909">
            <w:pPr>
              <w:jc w:val="right"/>
              <w:rPr>
                <w:rFonts w:ascii="Calibri" w:hAnsi="Calibri" w:cs="Calibri"/>
                <w:color w:val="000000"/>
                <w:sz w:val="22"/>
                <w:szCs w:val="22"/>
              </w:rPr>
            </w:pPr>
            <w:r>
              <w:rPr>
                <w:rFonts w:ascii="Calibri" w:hAnsi="Calibri" w:cs="Calibri"/>
                <w:color w:val="000000"/>
                <w:sz w:val="22"/>
                <w:szCs w:val="22"/>
              </w:rPr>
              <w:t xml:space="preserve">                45 </w:t>
            </w:r>
          </w:p>
        </w:tc>
        <w:tc>
          <w:tcPr>
            <w:tcW w:w="969" w:type="dxa"/>
            <w:noWrap/>
            <w:tcMar>
              <w:top w:w="0" w:type="dxa"/>
              <w:left w:w="108" w:type="dxa"/>
              <w:bottom w:w="0" w:type="dxa"/>
              <w:right w:w="108" w:type="dxa"/>
            </w:tcMar>
            <w:vAlign w:val="bottom"/>
            <w:hideMark/>
          </w:tcPr>
          <w:p w:rsidR="00201909" w:rsidRDefault="00E13E6E" w:rsidP="008232B7">
            <w:pPr>
              <w:jc w:val="right"/>
              <w:rPr>
                <w:rFonts w:ascii="Calibri" w:hAnsi="Calibri" w:cs="Calibri"/>
                <w:color w:val="000000"/>
                <w:sz w:val="22"/>
                <w:szCs w:val="22"/>
              </w:rPr>
            </w:pPr>
            <w:r>
              <w:rPr>
                <w:rFonts w:ascii="Calibri" w:hAnsi="Calibri" w:cs="Calibri"/>
                <w:color w:val="000000"/>
                <w:sz w:val="22"/>
                <w:szCs w:val="22"/>
              </w:rPr>
              <w:t>147</w:t>
            </w:r>
          </w:p>
        </w:tc>
        <w:tc>
          <w:tcPr>
            <w:tcW w:w="702" w:type="dxa"/>
            <w:noWrap/>
            <w:tcMar>
              <w:top w:w="0" w:type="dxa"/>
              <w:left w:w="108" w:type="dxa"/>
              <w:bottom w:w="0" w:type="dxa"/>
              <w:right w:w="108" w:type="dxa"/>
            </w:tcMar>
            <w:vAlign w:val="center"/>
            <w:hideMark/>
          </w:tcPr>
          <w:p w:rsidR="00201909" w:rsidRDefault="00201909">
            <w:pPr>
              <w:jc w:val="center"/>
              <w:rPr>
                <w:rFonts w:ascii="Calibri" w:hAnsi="Calibri" w:cs="Calibri"/>
                <w:color w:val="000000"/>
                <w:sz w:val="22"/>
                <w:szCs w:val="22"/>
              </w:rPr>
            </w:pPr>
          </w:p>
        </w:tc>
        <w:tc>
          <w:tcPr>
            <w:tcW w:w="1027" w:type="dxa"/>
            <w:noWrap/>
            <w:tcMar>
              <w:top w:w="0" w:type="dxa"/>
              <w:left w:w="108" w:type="dxa"/>
              <w:bottom w:w="0" w:type="dxa"/>
              <w:right w:w="108" w:type="dxa"/>
            </w:tcMar>
            <w:vAlign w:val="center"/>
            <w:hideMark/>
          </w:tcPr>
          <w:p w:rsidR="00201909" w:rsidRDefault="00E13E6E" w:rsidP="00201909">
            <w:pPr>
              <w:jc w:val="right"/>
              <w:rPr>
                <w:rFonts w:ascii="Calibri" w:hAnsi="Calibri" w:cs="Calibri"/>
                <w:color w:val="000000"/>
                <w:sz w:val="22"/>
                <w:szCs w:val="22"/>
              </w:rPr>
            </w:pPr>
            <w:r>
              <w:rPr>
                <w:rFonts w:ascii="Calibri" w:hAnsi="Calibri" w:cs="Calibri"/>
                <w:color w:val="000000"/>
                <w:sz w:val="22"/>
                <w:szCs w:val="22"/>
              </w:rPr>
              <w:t xml:space="preserve">         680</w:t>
            </w:r>
            <w:r w:rsidR="00201909">
              <w:rPr>
                <w:rFonts w:ascii="Calibri" w:hAnsi="Calibri" w:cs="Calibri"/>
                <w:color w:val="000000"/>
                <w:sz w:val="22"/>
                <w:szCs w:val="22"/>
              </w:rPr>
              <w:t xml:space="preserve"> </w:t>
            </w:r>
          </w:p>
        </w:tc>
      </w:tr>
      <w:tr w:rsidR="00201909" w:rsidTr="00BB55C4">
        <w:trPr>
          <w:trHeight w:val="300"/>
        </w:trPr>
        <w:tc>
          <w:tcPr>
            <w:tcW w:w="240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201909" w:rsidRDefault="00201909" w:rsidP="00BB55C4">
            <w:pPr>
              <w:rPr>
                <w:rFonts w:ascii="Calibri" w:eastAsiaTheme="minorHAnsi" w:hAnsi="Calibri" w:cs="Calibri"/>
                <w:color w:val="000000"/>
                <w:sz w:val="22"/>
                <w:szCs w:val="22"/>
              </w:rPr>
            </w:pPr>
            <w:r>
              <w:rPr>
                <w:color w:val="000000"/>
              </w:rPr>
              <w:t>Revenue cash limit</w:t>
            </w:r>
          </w:p>
        </w:tc>
        <w:tc>
          <w:tcPr>
            <w:tcW w:w="1085"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500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300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500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860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860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860 </w:t>
            </w:r>
          </w:p>
        </w:tc>
        <w:tc>
          <w:tcPr>
            <w:tcW w:w="1027"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860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860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860 </w:t>
            </w:r>
          </w:p>
        </w:tc>
        <w:tc>
          <w:tcPr>
            <w:tcW w:w="911" w:type="dxa"/>
            <w:noWrap/>
            <w:tcMar>
              <w:top w:w="0" w:type="dxa"/>
              <w:left w:w="108" w:type="dxa"/>
              <w:bottom w:w="0" w:type="dxa"/>
              <w:right w:w="108" w:type="dxa"/>
            </w:tcMar>
            <w:vAlign w:val="bottom"/>
            <w:hideMark/>
          </w:tcPr>
          <w:p w:rsidR="00201909" w:rsidRDefault="00201909" w:rsidP="00201909">
            <w:pPr>
              <w:jc w:val="right"/>
              <w:rPr>
                <w:rFonts w:ascii="Calibri" w:hAnsi="Calibri" w:cs="Calibri"/>
                <w:color w:val="000000"/>
                <w:sz w:val="22"/>
                <w:szCs w:val="22"/>
              </w:rPr>
            </w:pPr>
            <w:r>
              <w:rPr>
                <w:rFonts w:ascii="Calibri" w:hAnsi="Calibri" w:cs="Calibri"/>
                <w:color w:val="000000"/>
                <w:sz w:val="22"/>
                <w:szCs w:val="22"/>
              </w:rPr>
              <w:t xml:space="preserve">              860 </w:t>
            </w:r>
          </w:p>
        </w:tc>
        <w:tc>
          <w:tcPr>
            <w:tcW w:w="969" w:type="dxa"/>
            <w:noWrap/>
            <w:tcMar>
              <w:top w:w="0" w:type="dxa"/>
              <w:left w:w="108" w:type="dxa"/>
              <w:bottom w:w="0" w:type="dxa"/>
              <w:right w:w="108" w:type="dxa"/>
            </w:tcMar>
            <w:vAlign w:val="bottom"/>
            <w:hideMark/>
          </w:tcPr>
          <w:p w:rsidR="00201909" w:rsidRDefault="00201909" w:rsidP="002B72F1">
            <w:pPr>
              <w:jc w:val="right"/>
              <w:rPr>
                <w:rFonts w:ascii="Calibri" w:hAnsi="Calibri" w:cs="Calibri"/>
                <w:color w:val="000000"/>
                <w:sz w:val="22"/>
                <w:szCs w:val="22"/>
              </w:rPr>
            </w:pPr>
            <w:r>
              <w:rPr>
                <w:rFonts w:ascii="Calibri" w:hAnsi="Calibri" w:cs="Calibri"/>
                <w:color w:val="000000"/>
                <w:sz w:val="22"/>
                <w:szCs w:val="22"/>
              </w:rPr>
              <w:t xml:space="preserve">   2,140 </w:t>
            </w:r>
          </w:p>
        </w:tc>
        <w:tc>
          <w:tcPr>
            <w:tcW w:w="702" w:type="dxa"/>
            <w:noWrap/>
            <w:tcMar>
              <w:top w:w="0" w:type="dxa"/>
              <w:left w:w="108" w:type="dxa"/>
              <w:bottom w:w="0" w:type="dxa"/>
              <w:right w:w="108" w:type="dxa"/>
            </w:tcMar>
            <w:vAlign w:val="center"/>
            <w:hideMark/>
          </w:tcPr>
          <w:p w:rsidR="00201909" w:rsidRDefault="00201909">
            <w:pPr>
              <w:jc w:val="center"/>
              <w:rPr>
                <w:rFonts w:ascii="Calibri" w:hAnsi="Calibri" w:cs="Calibri"/>
                <w:color w:val="000000"/>
                <w:sz w:val="22"/>
                <w:szCs w:val="22"/>
              </w:rPr>
            </w:pPr>
          </w:p>
        </w:tc>
        <w:tc>
          <w:tcPr>
            <w:tcW w:w="1027" w:type="dxa"/>
            <w:noWrap/>
            <w:tcMar>
              <w:top w:w="0" w:type="dxa"/>
              <w:left w:w="108" w:type="dxa"/>
              <w:bottom w:w="0" w:type="dxa"/>
              <w:right w:w="108" w:type="dxa"/>
            </w:tcMar>
            <w:vAlign w:val="center"/>
            <w:hideMark/>
          </w:tcPr>
          <w:p w:rsidR="00201909" w:rsidRDefault="00201909" w:rsidP="00201909">
            <w:pPr>
              <w:jc w:val="right"/>
              <w:rPr>
                <w:rFonts w:ascii="Calibri" w:hAnsi="Calibri" w:cs="Calibri"/>
                <w:color w:val="000000"/>
                <w:sz w:val="22"/>
                <w:szCs w:val="22"/>
              </w:rPr>
            </w:pPr>
            <w:r>
              <w:rPr>
                <w:rFonts w:ascii="Calibri" w:hAnsi="Calibri" w:cs="Calibri"/>
                <w:color w:val="000000"/>
                <w:sz w:val="22"/>
                <w:szCs w:val="22"/>
              </w:rPr>
              <w:t xml:space="preserve">     9,460 </w:t>
            </w:r>
          </w:p>
        </w:tc>
      </w:tr>
      <w:tr w:rsidR="00201909" w:rsidTr="00BB55C4">
        <w:trPr>
          <w:trHeight w:val="300"/>
        </w:trPr>
        <w:tc>
          <w:tcPr>
            <w:tcW w:w="240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201909" w:rsidRDefault="00201909" w:rsidP="00BB55C4">
            <w:pPr>
              <w:rPr>
                <w:rFonts w:ascii="Calibri" w:eastAsiaTheme="minorHAnsi" w:hAnsi="Calibri" w:cs="Calibri"/>
                <w:color w:val="000000"/>
                <w:sz w:val="22"/>
                <w:szCs w:val="22"/>
              </w:rPr>
            </w:pPr>
            <w:r>
              <w:rPr>
                <w:color w:val="000000"/>
              </w:rPr>
              <w:t>Capital cash limit</w:t>
            </w:r>
          </w:p>
        </w:tc>
        <w:tc>
          <w:tcPr>
            <w:tcW w:w="1085"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w:t>
            </w:r>
          </w:p>
        </w:tc>
        <w:tc>
          <w:tcPr>
            <w:tcW w:w="1027"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p>
        </w:tc>
        <w:tc>
          <w:tcPr>
            <w:tcW w:w="969" w:type="dxa"/>
            <w:noWrap/>
            <w:tcMar>
              <w:top w:w="0" w:type="dxa"/>
              <w:left w:w="108" w:type="dxa"/>
              <w:bottom w:w="0" w:type="dxa"/>
              <w:right w:w="108" w:type="dxa"/>
            </w:tcMar>
            <w:vAlign w:val="bottom"/>
            <w:hideMark/>
          </w:tcPr>
          <w:p w:rsidR="00201909" w:rsidRDefault="00201909" w:rsidP="002B72F1">
            <w:pPr>
              <w:jc w:val="right"/>
              <w:rPr>
                <w:rFonts w:ascii="Calibri" w:hAnsi="Calibri" w:cs="Calibri"/>
                <w:color w:val="000000"/>
                <w:sz w:val="22"/>
                <w:szCs w:val="22"/>
              </w:rPr>
            </w:pPr>
            <w:r>
              <w:rPr>
                <w:rFonts w:ascii="Calibri" w:hAnsi="Calibri" w:cs="Calibri"/>
                <w:color w:val="000000"/>
                <w:sz w:val="22"/>
                <w:szCs w:val="22"/>
              </w:rPr>
              <w:t xml:space="preserve">   1,050 </w:t>
            </w:r>
          </w:p>
        </w:tc>
        <w:tc>
          <w:tcPr>
            <w:tcW w:w="702" w:type="dxa"/>
            <w:noWrap/>
            <w:tcMar>
              <w:top w:w="0" w:type="dxa"/>
              <w:left w:w="108" w:type="dxa"/>
              <w:bottom w:w="0" w:type="dxa"/>
              <w:right w:w="108" w:type="dxa"/>
            </w:tcMar>
            <w:vAlign w:val="bottom"/>
            <w:hideMark/>
          </w:tcPr>
          <w:p w:rsidR="00201909" w:rsidRDefault="00201909">
            <w:pPr>
              <w:rPr>
                <w:color w:val="000000"/>
                <w:sz w:val="20"/>
                <w:szCs w:val="20"/>
              </w:rPr>
            </w:pPr>
          </w:p>
        </w:tc>
        <w:tc>
          <w:tcPr>
            <w:tcW w:w="1027" w:type="dxa"/>
            <w:noWrap/>
            <w:tcMar>
              <w:top w:w="0" w:type="dxa"/>
              <w:left w:w="108" w:type="dxa"/>
              <w:bottom w:w="0" w:type="dxa"/>
              <w:right w:w="108" w:type="dxa"/>
            </w:tcMar>
            <w:vAlign w:val="center"/>
            <w:hideMark/>
          </w:tcPr>
          <w:p w:rsidR="00201909" w:rsidRDefault="00201909" w:rsidP="00201909">
            <w:pPr>
              <w:jc w:val="right"/>
              <w:rPr>
                <w:rFonts w:ascii="Calibri" w:hAnsi="Calibri" w:cs="Calibri"/>
                <w:color w:val="000000"/>
                <w:sz w:val="22"/>
                <w:szCs w:val="22"/>
              </w:rPr>
            </w:pPr>
            <w:r>
              <w:rPr>
                <w:rFonts w:ascii="Calibri" w:hAnsi="Calibri" w:cs="Calibri"/>
                <w:color w:val="000000"/>
                <w:sz w:val="22"/>
                <w:szCs w:val="22"/>
              </w:rPr>
              <w:t xml:space="preserve">     1,050 </w:t>
            </w:r>
          </w:p>
        </w:tc>
      </w:tr>
      <w:tr w:rsidR="007414C0" w:rsidTr="00BB55C4">
        <w:trPr>
          <w:trHeight w:val="300"/>
        </w:trPr>
        <w:tc>
          <w:tcPr>
            <w:tcW w:w="240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7414C0" w:rsidRDefault="007414C0" w:rsidP="00BB55C4">
            <w:pPr>
              <w:rPr>
                <w:rFonts w:ascii="Calibri" w:eastAsiaTheme="minorHAnsi" w:hAnsi="Calibri" w:cs="Calibri"/>
                <w:color w:val="000000"/>
                <w:sz w:val="22"/>
                <w:szCs w:val="22"/>
              </w:rPr>
            </w:pPr>
            <w:r>
              <w:rPr>
                <w:color w:val="000000"/>
              </w:rPr>
              <w:t>Bank Transfers</w:t>
            </w:r>
          </w:p>
        </w:tc>
        <w:tc>
          <w:tcPr>
            <w:tcW w:w="1085"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1027"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p>
        </w:tc>
        <w:tc>
          <w:tcPr>
            <w:tcW w:w="702" w:type="dxa"/>
            <w:noWrap/>
            <w:tcMar>
              <w:top w:w="0" w:type="dxa"/>
              <w:left w:w="108" w:type="dxa"/>
              <w:bottom w:w="0" w:type="dxa"/>
              <w:right w:w="108" w:type="dxa"/>
            </w:tcMar>
            <w:vAlign w:val="center"/>
            <w:hideMark/>
          </w:tcPr>
          <w:p w:rsidR="007414C0" w:rsidRDefault="007414C0">
            <w:pPr>
              <w:jc w:val="center"/>
              <w:rPr>
                <w:rFonts w:ascii="Calibri" w:hAnsi="Calibri" w:cs="Calibri"/>
                <w:color w:val="000000"/>
                <w:sz w:val="22"/>
                <w:szCs w:val="22"/>
              </w:rPr>
            </w:pPr>
          </w:p>
        </w:tc>
        <w:tc>
          <w:tcPr>
            <w:tcW w:w="1027" w:type="dxa"/>
            <w:noWrap/>
            <w:tcMar>
              <w:top w:w="0" w:type="dxa"/>
              <w:left w:w="108" w:type="dxa"/>
              <w:bottom w:w="0" w:type="dxa"/>
              <w:right w:w="108" w:type="dxa"/>
            </w:tcMar>
            <w:vAlign w:val="center"/>
            <w:hideMark/>
          </w:tcPr>
          <w:p w:rsidR="007414C0" w:rsidRDefault="007414C0">
            <w:pPr>
              <w:jc w:val="center"/>
              <w:rPr>
                <w:rFonts w:ascii="Calibri" w:hAnsi="Calibri" w:cs="Calibri"/>
                <w:color w:val="000000"/>
                <w:sz w:val="22"/>
                <w:szCs w:val="22"/>
              </w:rPr>
            </w:pPr>
            <w:r>
              <w:rPr>
                <w:rFonts w:ascii="Calibri" w:hAnsi="Calibri" w:cs="Calibri"/>
                <w:color w:val="000000"/>
                <w:sz w:val="22"/>
                <w:szCs w:val="22"/>
              </w:rPr>
              <w:t xml:space="preserve">            -   </w:t>
            </w:r>
          </w:p>
        </w:tc>
      </w:tr>
      <w:tr w:rsidR="008232B7" w:rsidTr="00BB55C4">
        <w:trPr>
          <w:trHeight w:val="300"/>
        </w:trPr>
        <w:tc>
          <w:tcPr>
            <w:tcW w:w="240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8232B7" w:rsidRDefault="008232B7" w:rsidP="00BB55C4">
            <w:pPr>
              <w:rPr>
                <w:rFonts w:ascii="Calibri" w:eastAsiaTheme="minorHAnsi" w:hAnsi="Calibri" w:cs="Calibri"/>
                <w:b/>
                <w:bCs/>
                <w:color w:val="000000"/>
                <w:sz w:val="22"/>
                <w:szCs w:val="22"/>
              </w:rPr>
            </w:pPr>
            <w:r>
              <w:rPr>
                <w:b/>
                <w:bCs/>
                <w:color w:val="000000"/>
              </w:rPr>
              <w:t>Total Receipts</w:t>
            </w:r>
          </w:p>
        </w:tc>
        <w:tc>
          <w:tcPr>
            <w:tcW w:w="1085"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8232B7" w:rsidRDefault="008232B7">
            <w:pPr>
              <w:rPr>
                <w:rFonts w:ascii="Calibri" w:hAnsi="Calibri" w:cs="Calibri"/>
                <w:b/>
                <w:bCs/>
                <w:color w:val="000000"/>
                <w:sz w:val="22"/>
                <w:szCs w:val="22"/>
              </w:rPr>
            </w:pPr>
            <w:r>
              <w:rPr>
                <w:rFonts w:ascii="Calibri" w:hAnsi="Calibri" w:cs="Calibri"/>
                <w:b/>
                <w:bCs/>
                <w:color w:val="000000"/>
                <w:sz w:val="22"/>
                <w:szCs w:val="22"/>
              </w:rPr>
              <w:t xml:space="preserve">         21 </w:t>
            </w:r>
          </w:p>
        </w:tc>
        <w:tc>
          <w:tcPr>
            <w:tcW w:w="91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8232B7" w:rsidRDefault="008232B7">
            <w:pPr>
              <w:rPr>
                <w:rFonts w:ascii="Calibri" w:hAnsi="Calibri" w:cs="Calibri"/>
                <w:b/>
                <w:bCs/>
                <w:color w:val="000000"/>
                <w:sz w:val="22"/>
                <w:szCs w:val="22"/>
              </w:rPr>
            </w:pPr>
            <w:r>
              <w:rPr>
                <w:rFonts w:ascii="Calibri" w:hAnsi="Calibri" w:cs="Calibri"/>
                <w:b/>
                <w:bCs/>
                <w:color w:val="000000"/>
                <w:sz w:val="22"/>
                <w:szCs w:val="22"/>
              </w:rPr>
              <w:t xml:space="preserve">      576 </w:t>
            </w:r>
          </w:p>
        </w:tc>
        <w:tc>
          <w:tcPr>
            <w:tcW w:w="91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8232B7" w:rsidRDefault="008232B7">
            <w:pPr>
              <w:rPr>
                <w:rFonts w:ascii="Calibri" w:hAnsi="Calibri" w:cs="Calibri"/>
                <w:b/>
                <w:bCs/>
                <w:color w:val="000000"/>
                <w:sz w:val="22"/>
                <w:szCs w:val="22"/>
              </w:rPr>
            </w:pPr>
            <w:r>
              <w:rPr>
                <w:rFonts w:ascii="Calibri" w:hAnsi="Calibri" w:cs="Calibri"/>
                <w:b/>
                <w:bCs/>
                <w:color w:val="000000"/>
                <w:sz w:val="22"/>
                <w:szCs w:val="22"/>
              </w:rPr>
              <w:t xml:space="preserve">      329 </w:t>
            </w:r>
          </w:p>
        </w:tc>
        <w:tc>
          <w:tcPr>
            <w:tcW w:w="91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8232B7" w:rsidRDefault="008232B7">
            <w:pPr>
              <w:rPr>
                <w:rFonts w:ascii="Calibri" w:hAnsi="Calibri" w:cs="Calibri"/>
                <w:b/>
                <w:bCs/>
                <w:color w:val="000000"/>
                <w:sz w:val="22"/>
                <w:szCs w:val="22"/>
              </w:rPr>
            </w:pPr>
            <w:r>
              <w:rPr>
                <w:rFonts w:ascii="Calibri" w:hAnsi="Calibri" w:cs="Calibri"/>
                <w:b/>
                <w:bCs/>
                <w:color w:val="000000"/>
                <w:sz w:val="22"/>
                <w:szCs w:val="22"/>
              </w:rPr>
              <w:t xml:space="preserve">      618 </w:t>
            </w:r>
          </w:p>
        </w:tc>
        <w:tc>
          <w:tcPr>
            <w:tcW w:w="969"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8232B7" w:rsidRDefault="008232B7">
            <w:pPr>
              <w:rPr>
                <w:rFonts w:ascii="Calibri" w:hAnsi="Calibri" w:cs="Calibri"/>
                <w:b/>
                <w:bCs/>
                <w:color w:val="000000"/>
                <w:sz w:val="22"/>
                <w:szCs w:val="22"/>
              </w:rPr>
            </w:pPr>
            <w:r>
              <w:rPr>
                <w:rFonts w:ascii="Calibri" w:hAnsi="Calibri" w:cs="Calibri"/>
                <w:b/>
                <w:bCs/>
                <w:color w:val="000000"/>
                <w:sz w:val="22"/>
                <w:szCs w:val="22"/>
              </w:rPr>
              <w:t xml:space="preserve">      901 </w:t>
            </w:r>
          </w:p>
        </w:tc>
        <w:tc>
          <w:tcPr>
            <w:tcW w:w="969"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8232B7" w:rsidRDefault="008232B7">
            <w:pPr>
              <w:rPr>
                <w:rFonts w:ascii="Calibri" w:hAnsi="Calibri" w:cs="Calibri"/>
                <w:b/>
                <w:bCs/>
                <w:color w:val="000000"/>
                <w:sz w:val="22"/>
                <w:szCs w:val="22"/>
              </w:rPr>
            </w:pPr>
            <w:r>
              <w:rPr>
                <w:rFonts w:ascii="Calibri" w:hAnsi="Calibri" w:cs="Calibri"/>
                <w:b/>
                <w:bCs/>
                <w:color w:val="000000"/>
                <w:sz w:val="22"/>
                <w:szCs w:val="22"/>
              </w:rPr>
              <w:t xml:space="preserve">      888 </w:t>
            </w:r>
          </w:p>
        </w:tc>
        <w:tc>
          <w:tcPr>
            <w:tcW w:w="969"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8232B7" w:rsidRDefault="008232B7">
            <w:pPr>
              <w:rPr>
                <w:rFonts w:ascii="Calibri" w:hAnsi="Calibri" w:cs="Calibri"/>
                <w:b/>
                <w:bCs/>
                <w:color w:val="000000"/>
                <w:sz w:val="22"/>
                <w:szCs w:val="22"/>
              </w:rPr>
            </w:pPr>
            <w:r>
              <w:rPr>
                <w:rFonts w:ascii="Calibri" w:hAnsi="Calibri" w:cs="Calibri"/>
                <w:b/>
                <w:bCs/>
                <w:color w:val="000000"/>
                <w:sz w:val="22"/>
                <w:szCs w:val="22"/>
              </w:rPr>
              <w:t xml:space="preserve">      904 </w:t>
            </w:r>
          </w:p>
        </w:tc>
        <w:tc>
          <w:tcPr>
            <w:tcW w:w="1027"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8232B7" w:rsidRDefault="008232B7">
            <w:pPr>
              <w:rPr>
                <w:rFonts w:ascii="Calibri" w:hAnsi="Calibri" w:cs="Calibri"/>
                <w:b/>
                <w:bCs/>
                <w:color w:val="000000"/>
                <w:sz w:val="22"/>
                <w:szCs w:val="22"/>
              </w:rPr>
            </w:pPr>
            <w:r>
              <w:rPr>
                <w:rFonts w:ascii="Calibri" w:hAnsi="Calibri" w:cs="Calibri"/>
                <w:b/>
                <w:bCs/>
                <w:color w:val="000000"/>
                <w:sz w:val="22"/>
                <w:szCs w:val="22"/>
              </w:rPr>
              <w:t xml:space="preserve">      942 </w:t>
            </w:r>
          </w:p>
        </w:tc>
        <w:tc>
          <w:tcPr>
            <w:tcW w:w="969"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8232B7" w:rsidRDefault="008232B7">
            <w:pPr>
              <w:rPr>
                <w:rFonts w:ascii="Calibri" w:hAnsi="Calibri" w:cs="Calibri"/>
                <w:b/>
                <w:bCs/>
                <w:color w:val="000000"/>
                <w:sz w:val="22"/>
                <w:szCs w:val="22"/>
              </w:rPr>
            </w:pPr>
            <w:r>
              <w:rPr>
                <w:rFonts w:ascii="Calibri" w:hAnsi="Calibri" w:cs="Calibri"/>
                <w:b/>
                <w:bCs/>
                <w:color w:val="000000"/>
                <w:sz w:val="22"/>
                <w:szCs w:val="22"/>
              </w:rPr>
              <w:t xml:space="preserve">      893 </w:t>
            </w:r>
          </w:p>
        </w:tc>
        <w:tc>
          <w:tcPr>
            <w:tcW w:w="91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8232B7" w:rsidRDefault="008232B7">
            <w:pPr>
              <w:rPr>
                <w:rFonts w:ascii="Calibri" w:hAnsi="Calibri" w:cs="Calibri"/>
                <w:b/>
                <w:bCs/>
                <w:color w:val="000000"/>
                <w:sz w:val="22"/>
                <w:szCs w:val="22"/>
              </w:rPr>
            </w:pPr>
            <w:r>
              <w:rPr>
                <w:rFonts w:ascii="Calibri" w:hAnsi="Calibri" w:cs="Calibri"/>
                <w:b/>
                <w:bCs/>
                <w:color w:val="000000"/>
                <w:sz w:val="22"/>
                <w:szCs w:val="22"/>
              </w:rPr>
              <w:t xml:space="preserve">      876 </w:t>
            </w:r>
          </w:p>
        </w:tc>
        <w:tc>
          <w:tcPr>
            <w:tcW w:w="91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8232B7" w:rsidRDefault="00201909" w:rsidP="00201909">
            <w:pPr>
              <w:jc w:val="right"/>
              <w:rPr>
                <w:rFonts w:ascii="Calibri" w:hAnsi="Calibri" w:cs="Calibri"/>
                <w:b/>
                <w:bCs/>
                <w:color w:val="000000"/>
                <w:sz w:val="22"/>
                <w:szCs w:val="22"/>
              </w:rPr>
            </w:pPr>
            <w:r>
              <w:rPr>
                <w:rFonts w:ascii="Calibri" w:hAnsi="Calibri" w:cs="Calibri"/>
                <w:b/>
                <w:bCs/>
                <w:color w:val="000000"/>
                <w:sz w:val="22"/>
                <w:szCs w:val="22"/>
              </w:rPr>
              <w:t>905</w:t>
            </w:r>
            <w:r w:rsidR="008232B7">
              <w:rPr>
                <w:rFonts w:ascii="Calibri" w:hAnsi="Calibri" w:cs="Calibri"/>
                <w:b/>
                <w:bCs/>
                <w:color w:val="000000"/>
                <w:sz w:val="22"/>
                <w:szCs w:val="22"/>
              </w:rPr>
              <w:t xml:space="preserve"> </w:t>
            </w:r>
          </w:p>
        </w:tc>
        <w:tc>
          <w:tcPr>
            <w:tcW w:w="969"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8232B7" w:rsidRDefault="00E13E6E">
            <w:pPr>
              <w:rPr>
                <w:rFonts w:ascii="Calibri" w:hAnsi="Calibri" w:cs="Calibri"/>
                <w:b/>
                <w:bCs/>
                <w:color w:val="000000"/>
                <w:sz w:val="22"/>
                <w:szCs w:val="22"/>
              </w:rPr>
            </w:pPr>
            <w:r>
              <w:rPr>
                <w:rFonts w:ascii="Calibri" w:hAnsi="Calibri" w:cs="Calibri"/>
                <w:b/>
                <w:bCs/>
                <w:color w:val="000000"/>
                <w:sz w:val="22"/>
                <w:szCs w:val="22"/>
              </w:rPr>
              <w:t xml:space="preserve">   3,337</w:t>
            </w:r>
            <w:r w:rsidR="008232B7">
              <w:rPr>
                <w:rFonts w:ascii="Calibri" w:hAnsi="Calibri" w:cs="Calibri"/>
                <w:b/>
                <w:bCs/>
                <w:color w:val="000000"/>
                <w:sz w:val="22"/>
                <w:szCs w:val="22"/>
              </w:rPr>
              <w:t xml:space="preserve"> </w:t>
            </w:r>
          </w:p>
        </w:tc>
        <w:tc>
          <w:tcPr>
            <w:tcW w:w="702" w:type="dxa"/>
            <w:noWrap/>
            <w:tcMar>
              <w:top w:w="0" w:type="dxa"/>
              <w:left w:w="108" w:type="dxa"/>
              <w:bottom w:w="0" w:type="dxa"/>
              <w:right w:w="108" w:type="dxa"/>
            </w:tcMar>
            <w:vAlign w:val="bottom"/>
            <w:hideMark/>
          </w:tcPr>
          <w:p w:rsidR="008232B7" w:rsidRDefault="008232B7">
            <w:pPr>
              <w:rPr>
                <w:rFonts w:ascii="Calibri" w:hAnsi="Calibri" w:cs="Calibri"/>
                <w:b/>
                <w:bCs/>
                <w:color w:val="000000"/>
                <w:sz w:val="22"/>
                <w:szCs w:val="22"/>
              </w:rPr>
            </w:pPr>
          </w:p>
        </w:tc>
        <w:tc>
          <w:tcPr>
            <w:tcW w:w="1027"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8232B7" w:rsidRDefault="00E13E6E" w:rsidP="008232B7">
            <w:pPr>
              <w:jc w:val="center"/>
              <w:rPr>
                <w:rFonts w:ascii="Calibri" w:hAnsi="Calibri" w:cs="Calibri"/>
                <w:b/>
                <w:bCs/>
                <w:color w:val="000000"/>
                <w:sz w:val="22"/>
                <w:szCs w:val="22"/>
              </w:rPr>
            </w:pPr>
            <w:r>
              <w:rPr>
                <w:rFonts w:ascii="Calibri" w:hAnsi="Calibri" w:cs="Calibri"/>
                <w:b/>
                <w:bCs/>
                <w:color w:val="000000"/>
                <w:sz w:val="22"/>
                <w:szCs w:val="22"/>
              </w:rPr>
              <w:t xml:space="preserve">     11,190</w:t>
            </w:r>
          </w:p>
        </w:tc>
      </w:tr>
      <w:tr w:rsidR="007414C0" w:rsidTr="00BB55C4">
        <w:trPr>
          <w:trHeight w:val="300"/>
        </w:trPr>
        <w:tc>
          <w:tcPr>
            <w:tcW w:w="240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7414C0" w:rsidRDefault="007414C0" w:rsidP="00BB55C4">
            <w:pPr>
              <w:rPr>
                <w:rFonts w:ascii="Calibri" w:eastAsiaTheme="minorHAnsi" w:hAnsi="Calibri" w:cs="Calibri"/>
                <w:color w:val="000000"/>
                <w:sz w:val="22"/>
                <w:szCs w:val="22"/>
              </w:rPr>
            </w:pPr>
            <w:r>
              <w:rPr>
                <w:color w:val="000000"/>
              </w:rPr>
              <w:t> </w:t>
            </w:r>
          </w:p>
        </w:tc>
        <w:tc>
          <w:tcPr>
            <w:tcW w:w="1085"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1027" w:type="dxa"/>
            <w:noWrap/>
            <w:tcMar>
              <w:top w:w="0" w:type="dxa"/>
              <w:left w:w="108" w:type="dxa"/>
              <w:bottom w:w="0" w:type="dxa"/>
              <w:right w:w="108" w:type="dxa"/>
            </w:tcMar>
            <w:vAlign w:val="center"/>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color w:val="000000"/>
                <w:sz w:val="20"/>
                <w:szCs w:val="20"/>
              </w:rPr>
            </w:pPr>
            <w:r>
              <w:rPr>
                <w:color w:val="000000"/>
                <w:sz w:val="20"/>
                <w:szCs w:val="20"/>
              </w:rPr>
              <w:t> </w:t>
            </w:r>
          </w:p>
        </w:tc>
        <w:tc>
          <w:tcPr>
            <w:tcW w:w="911" w:type="dxa"/>
            <w:noWrap/>
            <w:tcMar>
              <w:top w:w="0" w:type="dxa"/>
              <w:left w:w="108" w:type="dxa"/>
              <w:bottom w:w="0" w:type="dxa"/>
              <w:right w:w="108" w:type="dxa"/>
            </w:tcMar>
            <w:vAlign w:val="bottom"/>
            <w:hideMark/>
          </w:tcPr>
          <w:p w:rsidR="007414C0" w:rsidRDefault="007414C0">
            <w:pPr>
              <w:rPr>
                <w:color w:val="000000"/>
                <w:sz w:val="20"/>
                <w:szCs w:val="20"/>
              </w:rPr>
            </w:pPr>
            <w:r>
              <w:rPr>
                <w:color w:val="000000"/>
                <w:sz w:val="20"/>
                <w:szCs w:val="20"/>
              </w:rPr>
              <w:t> </w:t>
            </w:r>
          </w:p>
        </w:tc>
        <w:tc>
          <w:tcPr>
            <w:tcW w:w="911" w:type="dxa"/>
            <w:noWrap/>
            <w:tcMar>
              <w:top w:w="0" w:type="dxa"/>
              <w:left w:w="108" w:type="dxa"/>
              <w:bottom w:w="0" w:type="dxa"/>
              <w:right w:w="108" w:type="dxa"/>
            </w:tcMar>
            <w:vAlign w:val="bottom"/>
            <w:hideMark/>
          </w:tcPr>
          <w:p w:rsidR="007414C0" w:rsidRDefault="007414C0">
            <w:pPr>
              <w:rPr>
                <w:color w:val="000000"/>
                <w:sz w:val="20"/>
                <w:szCs w:val="20"/>
              </w:rPr>
            </w:pPr>
          </w:p>
        </w:tc>
        <w:tc>
          <w:tcPr>
            <w:tcW w:w="969" w:type="dxa"/>
            <w:noWrap/>
            <w:tcMar>
              <w:top w:w="0" w:type="dxa"/>
              <w:left w:w="108" w:type="dxa"/>
              <w:bottom w:w="0" w:type="dxa"/>
              <w:right w:w="108" w:type="dxa"/>
            </w:tcMar>
            <w:vAlign w:val="bottom"/>
            <w:hideMark/>
          </w:tcPr>
          <w:p w:rsidR="007414C0" w:rsidRDefault="007414C0">
            <w:pPr>
              <w:rPr>
                <w:color w:val="000000"/>
                <w:sz w:val="20"/>
                <w:szCs w:val="20"/>
              </w:rPr>
            </w:pPr>
          </w:p>
        </w:tc>
        <w:tc>
          <w:tcPr>
            <w:tcW w:w="702" w:type="dxa"/>
            <w:noWrap/>
            <w:tcMar>
              <w:top w:w="0" w:type="dxa"/>
              <w:left w:w="108" w:type="dxa"/>
              <w:bottom w:w="0" w:type="dxa"/>
              <w:right w:w="108" w:type="dxa"/>
            </w:tcMar>
            <w:vAlign w:val="bottom"/>
            <w:hideMark/>
          </w:tcPr>
          <w:p w:rsidR="007414C0" w:rsidRDefault="007414C0">
            <w:pPr>
              <w:rPr>
                <w:color w:val="000000"/>
                <w:sz w:val="20"/>
                <w:szCs w:val="20"/>
              </w:rPr>
            </w:pPr>
          </w:p>
        </w:tc>
        <w:tc>
          <w:tcPr>
            <w:tcW w:w="1027" w:type="dxa"/>
            <w:noWrap/>
            <w:tcMar>
              <w:top w:w="0" w:type="dxa"/>
              <w:left w:w="108" w:type="dxa"/>
              <w:bottom w:w="0" w:type="dxa"/>
              <w:right w:w="108" w:type="dxa"/>
            </w:tcMar>
            <w:vAlign w:val="bottom"/>
            <w:hideMark/>
          </w:tcPr>
          <w:p w:rsidR="007414C0" w:rsidRDefault="007414C0">
            <w:pPr>
              <w:rPr>
                <w:color w:val="000000"/>
                <w:sz w:val="20"/>
                <w:szCs w:val="20"/>
              </w:rPr>
            </w:pPr>
          </w:p>
        </w:tc>
      </w:tr>
      <w:tr w:rsidR="007414C0" w:rsidTr="00BB55C4">
        <w:trPr>
          <w:trHeight w:val="300"/>
        </w:trPr>
        <w:tc>
          <w:tcPr>
            <w:tcW w:w="240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7414C0" w:rsidRDefault="007414C0" w:rsidP="00BB55C4">
            <w:pPr>
              <w:rPr>
                <w:rFonts w:ascii="Calibri" w:eastAsiaTheme="minorHAnsi" w:hAnsi="Calibri" w:cs="Calibri"/>
                <w:b/>
                <w:bCs/>
                <w:color w:val="000000"/>
                <w:sz w:val="22"/>
                <w:szCs w:val="22"/>
              </w:rPr>
            </w:pPr>
            <w:r>
              <w:rPr>
                <w:b/>
                <w:bCs/>
                <w:color w:val="000000"/>
              </w:rPr>
              <w:t>Payments</w:t>
            </w:r>
          </w:p>
        </w:tc>
        <w:tc>
          <w:tcPr>
            <w:tcW w:w="1085"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1027" w:type="dxa"/>
            <w:noWrap/>
            <w:tcMar>
              <w:top w:w="0" w:type="dxa"/>
              <w:left w:w="108" w:type="dxa"/>
              <w:bottom w:w="0" w:type="dxa"/>
              <w:right w:w="108" w:type="dxa"/>
            </w:tcMar>
            <w:vAlign w:val="center"/>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color w:val="000000"/>
                <w:sz w:val="20"/>
                <w:szCs w:val="20"/>
              </w:rPr>
            </w:pPr>
            <w:r>
              <w:rPr>
                <w:color w:val="000000"/>
                <w:sz w:val="20"/>
                <w:szCs w:val="20"/>
              </w:rPr>
              <w:t> </w:t>
            </w:r>
          </w:p>
        </w:tc>
        <w:tc>
          <w:tcPr>
            <w:tcW w:w="911" w:type="dxa"/>
            <w:noWrap/>
            <w:tcMar>
              <w:top w:w="0" w:type="dxa"/>
              <w:left w:w="108" w:type="dxa"/>
              <w:bottom w:w="0" w:type="dxa"/>
              <w:right w:w="108" w:type="dxa"/>
            </w:tcMar>
            <w:vAlign w:val="bottom"/>
            <w:hideMark/>
          </w:tcPr>
          <w:p w:rsidR="007414C0" w:rsidRDefault="007414C0">
            <w:pPr>
              <w:rPr>
                <w:color w:val="000000"/>
                <w:sz w:val="20"/>
                <w:szCs w:val="20"/>
              </w:rPr>
            </w:pPr>
            <w:r>
              <w:rPr>
                <w:color w:val="000000"/>
                <w:sz w:val="20"/>
                <w:szCs w:val="20"/>
              </w:rPr>
              <w:t> </w:t>
            </w:r>
          </w:p>
        </w:tc>
        <w:tc>
          <w:tcPr>
            <w:tcW w:w="911" w:type="dxa"/>
            <w:noWrap/>
            <w:tcMar>
              <w:top w:w="0" w:type="dxa"/>
              <w:left w:w="108" w:type="dxa"/>
              <w:bottom w:w="0" w:type="dxa"/>
              <w:right w:w="108" w:type="dxa"/>
            </w:tcMar>
            <w:vAlign w:val="bottom"/>
            <w:hideMark/>
          </w:tcPr>
          <w:p w:rsidR="007414C0" w:rsidRDefault="007414C0">
            <w:pPr>
              <w:rPr>
                <w:color w:val="000000"/>
                <w:sz w:val="20"/>
                <w:szCs w:val="20"/>
              </w:rPr>
            </w:pPr>
          </w:p>
        </w:tc>
        <w:tc>
          <w:tcPr>
            <w:tcW w:w="969" w:type="dxa"/>
            <w:noWrap/>
            <w:tcMar>
              <w:top w:w="0" w:type="dxa"/>
              <w:left w:w="108" w:type="dxa"/>
              <w:bottom w:w="0" w:type="dxa"/>
              <w:right w:w="108" w:type="dxa"/>
            </w:tcMar>
            <w:vAlign w:val="bottom"/>
            <w:hideMark/>
          </w:tcPr>
          <w:p w:rsidR="007414C0" w:rsidRDefault="007414C0">
            <w:pPr>
              <w:rPr>
                <w:color w:val="000000"/>
                <w:sz w:val="20"/>
                <w:szCs w:val="20"/>
              </w:rPr>
            </w:pPr>
          </w:p>
        </w:tc>
        <w:tc>
          <w:tcPr>
            <w:tcW w:w="702" w:type="dxa"/>
            <w:noWrap/>
            <w:tcMar>
              <w:top w:w="0" w:type="dxa"/>
              <w:left w:w="108" w:type="dxa"/>
              <w:bottom w:w="0" w:type="dxa"/>
              <w:right w:w="108" w:type="dxa"/>
            </w:tcMar>
            <w:vAlign w:val="bottom"/>
            <w:hideMark/>
          </w:tcPr>
          <w:p w:rsidR="007414C0" w:rsidRDefault="007414C0">
            <w:pPr>
              <w:rPr>
                <w:color w:val="000000"/>
                <w:sz w:val="20"/>
                <w:szCs w:val="20"/>
              </w:rPr>
            </w:pPr>
          </w:p>
        </w:tc>
        <w:tc>
          <w:tcPr>
            <w:tcW w:w="1027" w:type="dxa"/>
            <w:noWrap/>
            <w:tcMar>
              <w:top w:w="0" w:type="dxa"/>
              <w:left w:w="108" w:type="dxa"/>
              <w:bottom w:w="0" w:type="dxa"/>
              <w:right w:w="108" w:type="dxa"/>
            </w:tcMar>
            <w:vAlign w:val="bottom"/>
            <w:hideMark/>
          </w:tcPr>
          <w:p w:rsidR="007414C0" w:rsidRDefault="007414C0">
            <w:pPr>
              <w:rPr>
                <w:color w:val="000000"/>
                <w:sz w:val="20"/>
                <w:szCs w:val="20"/>
              </w:rPr>
            </w:pPr>
          </w:p>
        </w:tc>
      </w:tr>
      <w:tr w:rsidR="00201909" w:rsidTr="00BB55C4">
        <w:trPr>
          <w:trHeight w:val="300"/>
        </w:trPr>
        <w:tc>
          <w:tcPr>
            <w:tcW w:w="240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201909" w:rsidRDefault="00201909" w:rsidP="00BB55C4">
            <w:pPr>
              <w:rPr>
                <w:rFonts w:ascii="Calibri" w:eastAsiaTheme="minorHAnsi" w:hAnsi="Calibri" w:cs="Calibri"/>
                <w:color w:val="000000"/>
                <w:sz w:val="22"/>
                <w:szCs w:val="22"/>
              </w:rPr>
            </w:pPr>
            <w:r>
              <w:rPr>
                <w:color w:val="000000"/>
              </w:rPr>
              <w:t>Staff</w:t>
            </w:r>
          </w:p>
        </w:tc>
        <w:tc>
          <w:tcPr>
            <w:tcW w:w="1085"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276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405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411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394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395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401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415 </w:t>
            </w:r>
          </w:p>
        </w:tc>
        <w:tc>
          <w:tcPr>
            <w:tcW w:w="1027"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421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432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431 </w:t>
            </w:r>
          </w:p>
        </w:tc>
        <w:tc>
          <w:tcPr>
            <w:tcW w:w="911" w:type="dxa"/>
            <w:noWrap/>
            <w:tcMar>
              <w:top w:w="0" w:type="dxa"/>
              <w:left w:w="108" w:type="dxa"/>
              <w:bottom w:w="0" w:type="dxa"/>
              <w:right w:w="108" w:type="dxa"/>
            </w:tcMar>
            <w:vAlign w:val="bottom"/>
            <w:hideMark/>
          </w:tcPr>
          <w:p w:rsidR="00201909" w:rsidRDefault="00201909" w:rsidP="00201909">
            <w:pPr>
              <w:jc w:val="right"/>
              <w:rPr>
                <w:rFonts w:ascii="Calibri" w:hAnsi="Calibri" w:cs="Calibri"/>
                <w:color w:val="000000"/>
                <w:sz w:val="22"/>
                <w:szCs w:val="22"/>
              </w:rPr>
            </w:pPr>
            <w:r>
              <w:rPr>
                <w:rFonts w:ascii="Calibri" w:hAnsi="Calibri" w:cs="Calibri"/>
                <w:color w:val="000000"/>
                <w:sz w:val="22"/>
                <w:szCs w:val="22"/>
              </w:rPr>
              <w:t xml:space="preserve">              438 </w:t>
            </w:r>
          </w:p>
        </w:tc>
        <w:tc>
          <w:tcPr>
            <w:tcW w:w="969" w:type="dxa"/>
            <w:noWrap/>
            <w:tcMar>
              <w:top w:w="0" w:type="dxa"/>
              <w:left w:w="108" w:type="dxa"/>
              <w:bottom w:w="0" w:type="dxa"/>
              <w:right w:w="108" w:type="dxa"/>
            </w:tcMar>
            <w:vAlign w:val="bottom"/>
            <w:hideMark/>
          </w:tcPr>
          <w:p w:rsidR="00201909" w:rsidRDefault="00E13E6E" w:rsidP="00201909">
            <w:pPr>
              <w:jc w:val="right"/>
              <w:rPr>
                <w:rFonts w:ascii="Calibri" w:hAnsi="Calibri" w:cs="Calibri"/>
                <w:color w:val="000000"/>
                <w:sz w:val="22"/>
                <w:szCs w:val="22"/>
              </w:rPr>
            </w:pPr>
            <w:r>
              <w:rPr>
                <w:rFonts w:ascii="Calibri" w:hAnsi="Calibri" w:cs="Calibri"/>
                <w:color w:val="000000"/>
                <w:sz w:val="22"/>
                <w:szCs w:val="22"/>
              </w:rPr>
              <w:t xml:space="preserve">      603</w:t>
            </w:r>
            <w:r w:rsidR="00201909">
              <w:rPr>
                <w:rFonts w:ascii="Calibri" w:hAnsi="Calibri" w:cs="Calibri"/>
                <w:color w:val="000000"/>
                <w:sz w:val="22"/>
                <w:szCs w:val="22"/>
              </w:rPr>
              <w:t xml:space="preserve"> </w:t>
            </w:r>
          </w:p>
        </w:tc>
        <w:tc>
          <w:tcPr>
            <w:tcW w:w="702" w:type="dxa"/>
            <w:noWrap/>
            <w:tcMar>
              <w:top w:w="0" w:type="dxa"/>
              <w:left w:w="108" w:type="dxa"/>
              <w:bottom w:w="0" w:type="dxa"/>
              <w:right w:w="108" w:type="dxa"/>
            </w:tcMar>
            <w:vAlign w:val="center"/>
            <w:hideMark/>
          </w:tcPr>
          <w:p w:rsidR="00201909" w:rsidRDefault="00201909">
            <w:pPr>
              <w:jc w:val="center"/>
              <w:rPr>
                <w:rFonts w:ascii="Calibri" w:hAnsi="Calibri" w:cs="Calibri"/>
                <w:color w:val="000000"/>
                <w:sz w:val="22"/>
                <w:szCs w:val="22"/>
              </w:rPr>
            </w:pPr>
          </w:p>
        </w:tc>
        <w:tc>
          <w:tcPr>
            <w:tcW w:w="1027" w:type="dxa"/>
            <w:noWrap/>
            <w:tcMar>
              <w:top w:w="0" w:type="dxa"/>
              <w:left w:w="108" w:type="dxa"/>
              <w:bottom w:w="0" w:type="dxa"/>
              <w:right w:w="108" w:type="dxa"/>
            </w:tcMar>
            <w:vAlign w:val="center"/>
            <w:hideMark/>
          </w:tcPr>
          <w:p w:rsidR="00201909" w:rsidRDefault="00E13E6E" w:rsidP="00201909">
            <w:pPr>
              <w:jc w:val="right"/>
              <w:rPr>
                <w:rFonts w:ascii="Calibri" w:hAnsi="Calibri" w:cs="Calibri"/>
                <w:color w:val="000000"/>
                <w:sz w:val="22"/>
                <w:szCs w:val="22"/>
              </w:rPr>
            </w:pPr>
            <w:r>
              <w:rPr>
                <w:rFonts w:ascii="Calibri" w:hAnsi="Calibri" w:cs="Calibri"/>
                <w:color w:val="000000"/>
                <w:sz w:val="22"/>
                <w:szCs w:val="22"/>
              </w:rPr>
              <w:t xml:space="preserve">     5,021</w:t>
            </w:r>
            <w:r w:rsidR="00201909">
              <w:rPr>
                <w:rFonts w:ascii="Calibri" w:hAnsi="Calibri" w:cs="Calibri"/>
                <w:color w:val="000000"/>
                <w:sz w:val="22"/>
                <w:szCs w:val="22"/>
              </w:rPr>
              <w:t xml:space="preserve"> </w:t>
            </w:r>
          </w:p>
        </w:tc>
      </w:tr>
      <w:tr w:rsidR="00201909" w:rsidTr="00BB55C4">
        <w:trPr>
          <w:trHeight w:val="300"/>
        </w:trPr>
        <w:tc>
          <w:tcPr>
            <w:tcW w:w="240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201909" w:rsidRDefault="00201909" w:rsidP="00BB55C4">
            <w:pPr>
              <w:rPr>
                <w:rFonts w:ascii="Calibri" w:eastAsiaTheme="minorHAnsi" w:hAnsi="Calibri" w:cs="Calibri"/>
                <w:color w:val="000000"/>
                <w:sz w:val="22"/>
                <w:szCs w:val="22"/>
              </w:rPr>
            </w:pPr>
            <w:r>
              <w:rPr>
                <w:color w:val="000000"/>
              </w:rPr>
              <w:t>Other revenue payments</w:t>
            </w:r>
          </w:p>
        </w:tc>
        <w:tc>
          <w:tcPr>
            <w:tcW w:w="1085"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279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487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400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403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384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254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335 </w:t>
            </w:r>
          </w:p>
        </w:tc>
        <w:tc>
          <w:tcPr>
            <w:tcW w:w="1027"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207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253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339 </w:t>
            </w:r>
          </w:p>
        </w:tc>
        <w:tc>
          <w:tcPr>
            <w:tcW w:w="911" w:type="dxa"/>
            <w:noWrap/>
            <w:tcMar>
              <w:top w:w="0" w:type="dxa"/>
              <w:left w:w="108" w:type="dxa"/>
              <w:bottom w:w="0" w:type="dxa"/>
              <w:right w:w="108" w:type="dxa"/>
            </w:tcMar>
            <w:vAlign w:val="bottom"/>
            <w:hideMark/>
          </w:tcPr>
          <w:p w:rsidR="00201909" w:rsidRDefault="00201909" w:rsidP="00201909">
            <w:pPr>
              <w:jc w:val="right"/>
              <w:rPr>
                <w:rFonts w:ascii="Calibri" w:hAnsi="Calibri" w:cs="Calibri"/>
                <w:color w:val="000000"/>
                <w:sz w:val="22"/>
                <w:szCs w:val="22"/>
              </w:rPr>
            </w:pPr>
            <w:r>
              <w:rPr>
                <w:rFonts w:ascii="Calibri" w:hAnsi="Calibri" w:cs="Calibri"/>
                <w:color w:val="000000"/>
                <w:sz w:val="22"/>
                <w:szCs w:val="22"/>
              </w:rPr>
              <w:t xml:space="preserve">              276 </w:t>
            </w:r>
          </w:p>
        </w:tc>
        <w:tc>
          <w:tcPr>
            <w:tcW w:w="969" w:type="dxa"/>
            <w:noWrap/>
            <w:tcMar>
              <w:top w:w="0" w:type="dxa"/>
              <w:left w:w="108" w:type="dxa"/>
              <w:bottom w:w="0" w:type="dxa"/>
              <w:right w:w="108" w:type="dxa"/>
            </w:tcMar>
            <w:vAlign w:val="bottom"/>
            <w:hideMark/>
          </w:tcPr>
          <w:p w:rsidR="00201909" w:rsidRDefault="00E13E6E" w:rsidP="00201909">
            <w:pPr>
              <w:jc w:val="right"/>
              <w:rPr>
                <w:rFonts w:ascii="Calibri" w:hAnsi="Calibri" w:cs="Calibri"/>
                <w:color w:val="000000"/>
                <w:sz w:val="22"/>
                <w:szCs w:val="22"/>
              </w:rPr>
            </w:pPr>
            <w:r>
              <w:rPr>
                <w:rFonts w:ascii="Calibri" w:hAnsi="Calibri" w:cs="Calibri"/>
                <w:color w:val="000000"/>
                <w:sz w:val="22"/>
                <w:szCs w:val="22"/>
              </w:rPr>
              <w:t xml:space="preserve">   917</w:t>
            </w:r>
            <w:r w:rsidR="00201909">
              <w:rPr>
                <w:rFonts w:ascii="Calibri" w:hAnsi="Calibri" w:cs="Calibri"/>
                <w:color w:val="000000"/>
                <w:sz w:val="22"/>
                <w:szCs w:val="22"/>
              </w:rPr>
              <w:t xml:space="preserve"> </w:t>
            </w:r>
          </w:p>
        </w:tc>
        <w:tc>
          <w:tcPr>
            <w:tcW w:w="702" w:type="dxa"/>
            <w:noWrap/>
            <w:tcMar>
              <w:top w:w="0" w:type="dxa"/>
              <w:left w:w="108" w:type="dxa"/>
              <w:bottom w:w="0" w:type="dxa"/>
              <w:right w:w="108" w:type="dxa"/>
            </w:tcMar>
            <w:vAlign w:val="center"/>
            <w:hideMark/>
          </w:tcPr>
          <w:p w:rsidR="00201909" w:rsidRDefault="00201909">
            <w:pPr>
              <w:jc w:val="center"/>
              <w:rPr>
                <w:rFonts w:ascii="Calibri" w:hAnsi="Calibri" w:cs="Calibri"/>
                <w:color w:val="000000"/>
                <w:sz w:val="22"/>
                <w:szCs w:val="22"/>
              </w:rPr>
            </w:pPr>
          </w:p>
        </w:tc>
        <w:tc>
          <w:tcPr>
            <w:tcW w:w="1027" w:type="dxa"/>
            <w:noWrap/>
            <w:tcMar>
              <w:top w:w="0" w:type="dxa"/>
              <w:left w:w="108" w:type="dxa"/>
              <w:bottom w:w="0" w:type="dxa"/>
              <w:right w:w="108" w:type="dxa"/>
            </w:tcMar>
            <w:vAlign w:val="center"/>
            <w:hideMark/>
          </w:tcPr>
          <w:p w:rsidR="00201909" w:rsidRDefault="00E13E6E" w:rsidP="002B72F1">
            <w:pPr>
              <w:jc w:val="right"/>
              <w:rPr>
                <w:rFonts w:ascii="Calibri" w:hAnsi="Calibri" w:cs="Calibri"/>
                <w:color w:val="000000"/>
                <w:sz w:val="22"/>
                <w:szCs w:val="22"/>
              </w:rPr>
            </w:pPr>
            <w:r>
              <w:rPr>
                <w:rFonts w:ascii="Calibri" w:hAnsi="Calibri" w:cs="Calibri"/>
                <w:color w:val="000000"/>
                <w:sz w:val="22"/>
                <w:szCs w:val="22"/>
              </w:rPr>
              <w:t xml:space="preserve">     4,534</w:t>
            </w:r>
          </w:p>
        </w:tc>
      </w:tr>
      <w:tr w:rsidR="00201909" w:rsidTr="00BB55C4">
        <w:trPr>
          <w:trHeight w:val="300"/>
        </w:trPr>
        <w:tc>
          <w:tcPr>
            <w:tcW w:w="240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201909" w:rsidRDefault="00201909" w:rsidP="00BB55C4">
            <w:pPr>
              <w:rPr>
                <w:rFonts w:ascii="Calibri" w:eastAsiaTheme="minorHAnsi" w:hAnsi="Calibri" w:cs="Calibri"/>
                <w:color w:val="000000"/>
                <w:sz w:val="22"/>
                <w:szCs w:val="22"/>
              </w:rPr>
            </w:pPr>
            <w:r>
              <w:rPr>
                <w:color w:val="000000"/>
              </w:rPr>
              <w:t>Capital payments</w:t>
            </w:r>
          </w:p>
        </w:tc>
        <w:tc>
          <w:tcPr>
            <w:tcW w:w="1085"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w:t>
            </w:r>
          </w:p>
        </w:tc>
        <w:tc>
          <w:tcPr>
            <w:tcW w:w="1027"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45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23 </w:t>
            </w:r>
          </w:p>
        </w:tc>
        <w:tc>
          <w:tcPr>
            <w:tcW w:w="911" w:type="dxa"/>
            <w:noWrap/>
            <w:tcMar>
              <w:top w:w="0" w:type="dxa"/>
              <w:left w:w="108" w:type="dxa"/>
              <w:bottom w:w="0" w:type="dxa"/>
              <w:right w:w="108" w:type="dxa"/>
            </w:tcMar>
            <w:vAlign w:val="bottom"/>
            <w:hideMark/>
          </w:tcPr>
          <w:p w:rsidR="00201909" w:rsidRDefault="00201909">
            <w:pPr>
              <w:rPr>
                <w:rFonts w:ascii="Calibri" w:hAnsi="Calibri" w:cs="Calibri"/>
                <w:color w:val="000000"/>
                <w:sz w:val="22"/>
                <w:szCs w:val="22"/>
              </w:rPr>
            </w:pPr>
            <w:r>
              <w:rPr>
                <w:rFonts w:ascii="Calibri" w:hAnsi="Calibri" w:cs="Calibri"/>
                <w:color w:val="000000"/>
                <w:sz w:val="22"/>
                <w:szCs w:val="22"/>
              </w:rPr>
              <w:t xml:space="preserve">           0 </w:t>
            </w:r>
          </w:p>
        </w:tc>
        <w:tc>
          <w:tcPr>
            <w:tcW w:w="969" w:type="dxa"/>
            <w:noWrap/>
            <w:tcMar>
              <w:top w:w="0" w:type="dxa"/>
              <w:left w:w="108" w:type="dxa"/>
              <w:bottom w:w="0" w:type="dxa"/>
              <w:right w:w="108" w:type="dxa"/>
            </w:tcMar>
            <w:vAlign w:val="bottom"/>
            <w:hideMark/>
          </w:tcPr>
          <w:p w:rsidR="00201909" w:rsidRDefault="00E13E6E" w:rsidP="00201909">
            <w:pPr>
              <w:jc w:val="right"/>
              <w:rPr>
                <w:rFonts w:ascii="Calibri" w:hAnsi="Calibri" w:cs="Calibri"/>
                <w:color w:val="000000"/>
                <w:sz w:val="22"/>
                <w:szCs w:val="22"/>
              </w:rPr>
            </w:pPr>
            <w:r>
              <w:rPr>
                <w:rFonts w:ascii="Calibri" w:hAnsi="Calibri" w:cs="Calibri"/>
                <w:color w:val="000000"/>
                <w:sz w:val="22"/>
                <w:szCs w:val="22"/>
              </w:rPr>
              <w:t xml:space="preserve">         27</w:t>
            </w:r>
            <w:r w:rsidR="00201909">
              <w:rPr>
                <w:rFonts w:ascii="Calibri" w:hAnsi="Calibri" w:cs="Calibri"/>
                <w:color w:val="000000"/>
                <w:sz w:val="22"/>
                <w:szCs w:val="22"/>
              </w:rPr>
              <w:t xml:space="preserve"> </w:t>
            </w:r>
          </w:p>
        </w:tc>
        <w:tc>
          <w:tcPr>
            <w:tcW w:w="702" w:type="dxa"/>
            <w:noWrap/>
            <w:tcMar>
              <w:top w:w="0" w:type="dxa"/>
              <w:left w:w="108" w:type="dxa"/>
              <w:bottom w:w="0" w:type="dxa"/>
              <w:right w:w="108" w:type="dxa"/>
            </w:tcMar>
            <w:vAlign w:val="bottom"/>
            <w:hideMark/>
          </w:tcPr>
          <w:p w:rsidR="00201909" w:rsidRDefault="00201909">
            <w:pPr>
              <w:rPr>
                <w:color w:val="000000"/>
                <w:sz w:val="20"/>
                <w:szCs w:val="20"/>
              </w:rPr>
            </w:pPr>
          </w:p>
        </w:tc>
        <w:tc>
          <w:tcPr>
            <w:tcW w:w="1027" w:type="dxa"/>
            <w:noWrap/>
            <w:tcMar>
              <w:top w:w="0" w:type="dxa"/>
              <w:left w:w="108" w:type="dxa"/>
              <w:bottom w:w="0" w:type="dxa"/>
              <w:right w:w="108" w:type="dxa"/>
            </w:tcMar>
            <w:vAlign w:val="center"/>
            <w:hideMark/>
          </w:tcPr>
          <w:p w:rsidR="00201909" w:rsidRDefault="00E13E6E" w:rsidP="00201909">
            <w:pPr>
              <w:jc w:val="right"/>
              <w:rPr>
                <w:rFonts w:ascii="Calibri" w:hAnsi="Calibri" w:cs="Calibri"/>
                <w:color w:val="000000"/>
                <w:sz w:val="22"/>
                <w:szCs w:val="22"/>
              </w:rPr>
            </w:pPr>
            <w:r>
              <w:rPr>
                <w:rFonts w:ascii="Calibri" w:hAnsi="Calibri" w:cs="Calibri"/>
                <w:color w:val="000000"/>
                <w:sz w:val="22"/>
                <w:szCs w:val="22"/>
              </w:rPr>
              <w:t xml:space="preserve">         95</w:t>
            </w:r>
            <w:r w:rsidR="00201909">
              <w:rPr>
                <w:rFonts w:ascii="Calibri" w:hAnsi="Calibri" w:cs="Calibri"/>
                <w:color w:val="000000"/>
                <w:sz w:val="22"/>
                <w:szCs w:val="22"/>
              </w:rPr>
              <w:t xml:space="preserve"> </w:t>
            </w:r>
          </w:p>
        </w:tc>
      </w:tr>
      <w:tr w:rsidR="007414C0" w:rsidTr="00BB55C4">
        <w:trPr>
          <w:trHeight w:val="300"/>
        </w:trPr>
        <w:tc>
          <w:tcPr>
            <w:tcW w:w="240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7414C0" w:rsidRDefault="007414C0" w:rsidP="00BB55C4">
            <w:pPr>
              <w:rPr>
                <w:rFonts w:ascii="Calibri" w:eastAsiaTheme="minorHAnsi" w:hAnsi="Calibri" w:cs="Calibri"/>
                <w:color w:val="000000"/>
                <w:sz w:val="22"/>
                <w:szCs w:val="22"/>
              </w:rPr>
            </w:pPr>
            <w:r>
              <w:rPr>
                <w:color w:val="000000"/>
              </w:rPr>
              <w:t>Bank Transfers</w:t>
            </w:r>
          </w:p>
        </w:tc>
        <w:tc>
          <w:tcPr>
            <w:tcW w:w="1085"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1027"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702" w:type="dxa"/>
            <w:noWrap/>
            <w:tcMar>
              <w:top w:w="0" w:type="dxa"/>
              <w:left w:w="108" w:type="dxa"/>
              <w:bottom w:w="0" w:type="dxa"/>
              <w:right w:w="108" w:type="dxa"/>
            </w:tcMar>
            <w:vAlign w:val="center"/>
            <w:hideMark/>
          </w:tcPr>
          <w:p w:rsidR="007414C0" w:rsidRDefault="007414C0">
            <w:pPr>
              <w:jc w:val="center"/>
              <w:rPr>
                <w:rFonts w:ascii="Calibri" w:hAnsi="Calibri" w:cs="Calibri"/>
                <w:color w:val="000000"/>
                <w:sz w:val="22"/>
                <w:szCs w:val="22"/>
              </w:rPr>
            </w:pPr>
          </w:p>
        </w:tc>
        <w:tc>
          <w:tcPr>
            <w:tcW w:w="1027" w:type="dxa"/>
            <w:noWrap/>
            <w:tcMar>
              <w:top w:w="0" w:type="dxa"/>
              <w:left w:w="108" w:type="dxa"/>
              <w:bottom w:w="0" w:type="dxa"/>
              <w:right w:w="108" w:type="dxa"/>
            </w:tcMar>
            <w:vAlign w:val="center"/>
            <w:hideMark/>
          </w:tcPr>
          <w:p w:rsidR="007414C0" w:rsidRDefault="007414C0">
            <w:pPr>
              <w:jc w:val="center"/>
              <w:rPr>
                <w:rFonts w:ascii="Calibri" w:hAnsi="Calibri" w:cs="Calibri"/>
                <w:color w:val="000000"/>
                <w:sz w:val="22"/>
                <w:szCs w:val="22"/>
              </w:rPr>
            </w:pPr>
            <w:r>
              <w:rPr>
                <w:rFonts w:ascii="Calibri" w:hAnsi="Calibri" w:cs="Calibri"/>
                <w:color w:val="000000"/>
                <w:sz w:val="22"/>
                <w:szCs w:val="22"/>
              </w:rPr>
              <w:t xml:space="preserve">            -   </w:t>
            </w:r>
          </w:p>
        </w:tc>
      </w:tr>
      <w:tr w:rsidR="007414C0" w:rsidTr="00BB55C4">
        <w:trPr>
          <w:trHeight w:val="300"/>
        </w:trPr>
        <w:tc>
          <w:tcPr>
            <w:tcW w:w="240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7414C0" w:rsidRDefault="007414C0" w:rsidP="00BB55C4">
            <w:pPr>
              <w:rPr>
                <w:rFonts w:ascii="Calibri" w:eastAsiaTheme="minorHAnsi" w:hAnsi="Calibri" w:cs="Calibri"/>
                <w:b/>
                <w:bCs/>
                <w:color w:val="000000"/>
                <w:sz w:val="22"/>
                <w:szCs w:val="22"/>
              </w:rPr>
            </w:pPr>
            <w:r>
              <w:rPr>
                <w:b/>
                <w:bCs/>
                <w:color w:val="000000"/>
              </w:rPr>
              <w:t>Total Payments</w:t>
            </w:r>
          </w:p>
        </w:tc>
        <w:tc>
          <w:tcPr>
            <w:tcW w:w="1085"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555 </w:t>
            </w:r>
          </w:p>
        </w:tc>
        <w:tc>
          <w:tcPr>
            <w:tcW w:w="91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892 </w:t>
            </w:r>
          </w:p>
        </w:tc>
        <w:tc>
          <w:tcPr>
            <w:tcW w:w="91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811 </w:t>
            </w:r>
          </w:p>
        </w:tc>
        <w:tc>
          <w:tcPr>
            <w:tcW w:w="91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797 </w:t>
            </w:r>
          </w:p>
        </w:tc>
        <w:tc>
          <w:tcPr>
            <w:tcW w:w="969"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779 </w:t>
            </w:r>
          </w:p>
        </w:tc>
        <w:tc>
          <w:tcPr>
            <w:tcW w:w="969"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655 </w:t>
            </w:r>
          </w:p>
        </w:tc>
        <w:tc>
          <w:tcPr>
            <w:tcW w:w="969"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750 </w:t>
            </w:r>
          </w:p>
        </w:tc>
        <w:tc>
          <w:tcPr>
            <w:tcW w:w="1027"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628 </w:t>
            </w:r>
          </w:p>
        </w:tc>
        <w:tc>
          <w:tcPr>
            <w:tcW w:w="969"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730 </w:t>
            </w:r>
          </w:p>
        </w:tc>
        <w:tc>
          <w:tcPr>
            <w:tcW w:w="91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792 </w:t>
            </w:r>
          </w:p>
        </w:tc>
        <w:tc>
          <w:tcPr>
            <w:tcW w:w="91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rsidP="00201909">
            <w:pPr>
              <w:rPr>
                <w:rFonts w:ascii="Calibri" w:hAnsi="Calibri" w:cs="Calibri"/>
                <w:b/>
                <w:bCs/>
                <w:color w:val="000000"/>
                <w:sz w:val="22"/>
                <w:szCs w:val="22"/>
              </w:rPr>
            </w:pPr>
            <w:r>
              <w:rPr>
                <w:rFonts w:ascii="Calibri" w:hAnsi="Calibri" w:cs="Calibri"/>
                <w:b/>
                <w:bCs/>
                <w:color w:val="000000"/>
                <w:sz w:val="22"/>
                <w:szCs w:val="22"/>
              </w:rPr>
              <w:t xml:space="preserve">     </w:t>
            </w:r>
            <w:r w:rsidR="00201909">
              <w:rPr>
                <w:rFonts w:ascii="Calibri" w:hAnsi="Calibri" w:cs="Calibri"/>
                <w:b/>
                <w:bCs/>
                <w:color w:val="000000"/>
                <w:sz w:val="22"/>
                <w:szCs w:val="22"/>
              </w:rPr>
              <w:t>714</w:t>
            </w:r>
            <w:r>
              <w:rPr>
                <w:rFonts w:ascii="Calibri" w:hAnsi="Calibri" w:cs="Calibri"/>
                <w:b/>
                <w:bCs/>
                <w:color w:val="000000"/>
                <w:sz w:val="22"/>
                <w:szCs w:val="22"/>
              </w:rPr>
              <w:t xml:space="preserve"> </w:t>
            </w:r>
          </w:p>
        </w:tc>
        <w:tc>
          <w:tcPr>
            <w:tcW w:w="969"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E13E6E" w:rsidP="00201909">
            <w:pPr>
              <w:jc w:val="right"/>
              <w:rPr>
                <w:rFonts w:ascii="Calibri" w:hAnsi="Calibri" w:cs="Calibri"/>
                <w:b/>
                <w:bCs/>
                <w:color w:val="000000"/>
                <w:sz w:val="22"/>
                <w:szCs w:val="22"/>
              </w:rPr>
            </w:pPr>
            <w:r>
              <w:rPr>
                <w:rFonts w:ascii="Calibri" w:hAnsi="Calibri" w:cs="Calibri"/>
                <w:b/>
                <w:bCs/>
                <w:color w:val="000000"/>
                <w:sz w:val="22"/>
                <w:szCs w:val="22"/>
              </w:rPr>
              <w:t xml:space="preserve">   1,547</w:t>
            </w:r>
          </w:p>
        </w:tc>
        <w:tc>
          <w:tcPr>
            <w:tcW w:w="702" w:type="dxa"/>
            <w:noWrap/>
            <w:tcMar>
              <w:top w:w="0" w:type="dxa"/>
              <w:left w:w="108" w:type="dxa"/>
              <w:bottom w:w="0" w:type="dxa"/>
              <w:right w:w="108" w:type="dxa"/>
            </w:tcMar>
            <w:vAlign w:val="bottom"/>
            <w:hideMark/>
          </w:tcPr>
          <w:p w:rsidR="007414C0" w:rsidRDefault="007414C0">
            <w:pPr>
              <w:rPr>
                <w:color w:val="000000"/>
                <w:sz w:val="20"/>
                <w:szCs w:val="20"/>
              </w:rPr>
            </w:pPr>
          </w:p>
        </w:tc>
        <w:tc>
          <w:tcPr>
            <w:tcW w:w="1027"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7414C0" w:rsidRDefault="00E13E6E">
            <w:pPr>
              <w:jc w:val="center"/>
              <w:rPr>
                <w:rFonts w:ascii="Calibri" w:hAnsi="Calibri" w:cs="Calibri"/>
                <w:b/>
                <w:bCs/>
                <w:color w:val="000000"/>
                <w:sz w:val="22"/>
                <w:szCs w:val="22"/>
              </w:rPr>
            </w:pPr>
            <w:r>
              <w:rPr>
                <w:rFonts w:ascii="Calibri" w:hAnsi="Calibri" w:cs="Calibri"/>
                <w:b/>
                <w:bCs/>
                <w:color w:val="000000"/>
                <w:sz w:val="22"/>
                <w:szCs w:val="22"/>
              </w:rPr>
              <w:t>9,650</w:t>
            </w:r>
          </w:p>
        </w:tc>
      </w:tr>
      <w:tr w:rsidR="007414C0" w:rsidTr="00BB55C4">
        <w:trPr>
          <w:trHeight w:val="300"/>
        </w:trPr>
        <w:tc>
          <w:tcPr>
            <w:tcW w:w="2402"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7414C0" w:rsidRDefault="007414C0" w:rsidP="00BB55C4">
            <w:pPr>
              <w:rPr>
                <w:rFonts w:ascii="Calibri" w:eastAsiaTheme="minorHAnsi" w:hAnsi="Calibri" w:cs="Calibri"/>
                <w:color w:val="000000"/>
                <w:sz w:val="22"/>
                <w:szCs w:val="22"/>
              </w:rPr>
            </w:pPr>
            <w:r>
              <w:rPr>
                <w:color w:val="000000"/>
              </w:rPr>
              <w:t> </w:t>
            </w:r>
          </w:p>
        </w:tc>
        <w:tc>
          <w:tcPr>
            <w:tcW w:w="1085"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11"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969"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r>
              <w:rPr>
                <w:rFonts w:ascii="Calibri" w:hAnsi="Calibri" w:cs="Calibri"/>
                <w:color w:val="000000"/>
                <w:sz w:val="22"/>
                <w:szCs w:val="22"/>
              </w:rPr>
              <w:t> </w:t>
            </w:r>
          </w:p>
        </w:tc>
        <w:tc>
          <w:tcPr>
            <w:tcW w:w="1027" w:type="dxa"/>
            <w:noWrap/>
            <w:tcMar>
              <w:top w:w="0" w:type="dxa"/>
              <w:left w:w="108" w:type="dxa"/>
              <w:bottom w:w="0" w:type="dxa"/>
              <w:right w:w="108" w:type="dxa"/>
            </w:tcMar>
            <w:vAlign w:val="center"/>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w:t>
            </w:r>
          </w:p>
        </w:tc>
        <w:tc>
          <w:tcPr>
            <w:tcW w:w="969" w:type="dxa"/>
            <w:noWrap/>
            <w:tcMar>
              <w:top w:w="0" w:type="dxa"/>
              <w:left w:w="108" w:type="dxa"/>
              <w:bottom w:w="0" w:type="dxa"/>
              <w:right w:w="108" w:type="dxa"/>
            </w:tcMar>
            <w:vAlign w:val="center"/>
            <w:hideMark/>
          </w:tcPr>
          <w:p w:rsidR="007414C0" w:rsidRDefault="007414C0">
            <w:pPr>
              <w:jc w:val="center"/>
              <w:rPr>
                <w:rFonts w:ascii="Calibri" w:hAnsi="Calibri" w:cs="Calibri"/>
                <w:b/>
                <w:bCs/>
                <w:color w:val="000000"/>
                <w:sz w:val="22"/>
                <w:szCs w:val="22"/>
              </w:rPr>
            </w:pPr>
            <w:r>
              <w:rPr>
                <w:rFonts w:ascii="Calibri" w:hAnsi="Calibri" w:cs="Calibri"/>
                <w:b/>
                <w:bCs/>
                <w:color w:val="000000"/>
                <w:sz w:val="22"/>
                <w:szCs w:val="22"/>
              </w:rPr>
              <w:t> </w:t>
            </w:r>
          </w:p>
        </w:tc>
        <w:tc>
          <w:tcPr>
            <w:tcW w:w="911" w:type="dxa"/>
            <w:noWrap/>
            <w:tcMar>
              <w:top w:w="0" w:type="dxa"/>
              <w:left w:w="108" w:type="dxa"/>
              <w:bottom w:w="0" w:type="dxa"/>
              <w:right w:w="108" w:type="dxa"/>
            </w:tcMar>
            <w:vAlign w:val="center"/>
            <w:hideMark/>
          </w:tcPr>
          <w:p w:rsidR="007414C0" w:rsidRDefault="007414C0">
            <w:pPr>
              <w:jc w:val="center"/>
              <w:rPr>
                <w:rFonts w:ascii="Calibri" w:hAnsi="Calibri" w:cs="Calibri"/>
                <w:b/>
                <w:bCs/>
                <w:color w:val="000000"/>
                <w:sz w:val="22"/>
                <w:szCs w:val="22"/>
              </w:rPr>
            </w:pPr>
            <w:r>
              <w:rPr>
                <w:rFonts w:ascii="Calibri" w:hAnsi="Calibri" w:cs="Calibri"/>
                <w:b/>
                <w:bCs/>
                <w:color w:val="000000"/>
                <w:sz w:val="22"/>
                <w:szCs w:val="22"/>
              </w:rPr>
              <w:t> </w:t>
            </w:r>
          </w:p>
        </w:tc>
        <w:tc>
          <w:tcPr>
            <w:tcW w:w="911" w:type="dxa"/>
            <w:noWrap/>
            <w:tcMar>
              <w:top w:w="0" w:type="dxa"/>
              <w:left w:w="108" w:type="dxa"/>
              <w:bottom w:w="0" w:type="dxa"/>
              <w:right w:w="108" w:type="dxa"/>
            </w:tcMar>
            <w:vAlign w:val="center"/>
            <w:hideMark/>
          </w:tcPr>
          <w:p w:rsidR="007414C0" w:rsidRDefault="007414C0">
            <w:pPr>
              <w:jc w:val="center"/>
              <w:rPr>
                <w:rFonts w:ascii="Calibri" w:hAnsi="Calibri" w:cs="Calibri"/>
                <w:b/>
                <w:bCs/>
                <w:color w:val="000000"/>
                <w:sz w:val="22"/>
                <w:szCs w:val="22"/>
              </w:rPr>
            </w:pPr>
          </w:p>
        </w:tc>
        <w:tc>
          <w:tcPr>
            <w:tcW w:w="969" w:type="dxa"/>
            <w:noWrap/>
            <w:tcMar>
              <w:top w:w="0" w:type="dxa"/>
              <w:left w:w="108" w:type="dxa"/>
              <w:bottom w:w="0" w:type="dxa"/>
              <w:right w:w="108" w:type="dxa"/>
            </w:tcMar>
            <w:vAlign w:val="center"/>
            <w:hideMark/>
          </w:tcPr>
          <w:p w:rsidR="007414C0" w:rsidRDefault="007414C0" w:rsidP="00201909">
            <w:pPr>
              <w:jc w:val="right"/>
              <w:rPr>
                <w:rFonts w:ascii="Calibri" w:hAnsi="Calibri" w:cs="Calibri"/>
                <w:b/>
                <w:bCs/>
                <w:color w:val="000000"/>
                <w:sz w:val="22"/>
                <w:szCs w:val="22"/>
              </w:rPr>
            </w:pPr>
          </w:p>
        </w:tc>
        <w:tc>
          <w:tcPr>
            <w:tcW w:w="702" w:type="dxa"/>
            <w:noWrap/>
            <w:tcMar>
              <w:top w:w="0" w:type="dxa"/>
              <w:left w:w="108" w:type="dxa"/>
              <w:bottom w:w="0" w:type="dxa"/>
              <w:right w:w="108" w:type="dxa"/>
            </w:tcMar>
            <w:vAlign w:val="center"/>
            <w:hideMark/>
          </w:tcPr>
          <w:p w:rsidR="007414C0" w:rsidRDefault="007414C0">
            <w:pPr>
              <w:jc w:val="center"/>
              <w:rPr>
                <w:rFonts w:ascii="Calibri" w:hAnsi="Calibri" w:cs="Calibri"/>
                <w:b/>
                <w:bCs/>
                <w:color w:val="000000"/>
                <w:sz w:val="22"/>
                <w:szCs w:val="22"/>
              </w:rPr>
            </w:pPr>
          </w:p>
        </w:tc>
        <w:tc>
          <w:tcPr>
            <w:tcW w:w="1027" w:type="dxa"/>
            <w:noWrap/>
            <w:tcMar>
              <w:top w:w="0" w:type="dxa"/>
              <w:left w:w="108" w:type="dxa"/>
              <w:bottom w:w="0" w:type="dxa"/>
              <w:right w:w="108" w:type="dxa"/>
            </w:tcMar>
            <w:vAlign w:val="center"/>
            <w:hideMark/>
          </w:tcPr>
          <w:p w:rsidR="007414C0" w:rsidRDefault="007414C0">
            <w:pPr>
              <w:jc w:val="center"/>
              <w:rPr>
                <w:rFonts w:ascii="Calibri" w:hAnsi="Calibri" w:cs="Calibri"/>
                <w:b/>
                <w:bCs/>
                <w:color w:val="000000"/>
                <w:sz w:val="22"/>
                <w:szCs w:val="22"/>
              </w:rPr>
            </w:pPr>
          </w:p>
        </w:tc>
      </w:tr>
      <w:tr w:rsidR="007414C0" w:rsidTr="00BB55C4">
        <w:trPr>
          <w:trHeight w:val="315"/>
        </w:trPr>
        <w:tc>
          <w:tcPr>
            <w:tcW w:w="24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14C0" w:rsidRDefault="007414C0" w:rsidP="00BB55C4">
            <w:pPr>
              <w:rPr>
                <w:rFonts w:ascii="Calibri" w:eastAsiaTheme="minorHAnsi" w:hAnsi="Calibri" w:cs="Calibri"/>
                <w:b/>
                <w:bCs/>
                <w:color w:val="000000"/>
                <w:sz w:val="22"/>
                <w:szCs w:val="22"/>
              </w:rPr>
            </w:pPr>
            <w:r>
              <w:rPr>
                <w:b/>
                <w:bCs/>
                <w:color w:val="000000"/>
              </w:rPr>
              <w:t>Closing Balance</w:t>
            </w:r>
          </w:p>
        </w:tc>
        <w:tc>
          <w:tcPr>
            <w:tcW w:w="1085"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1,745 </w:t>
            </w:r>
          </w:p>
        </w:tc>
        <w:tc>
          <w:tcPr>
            <w:tcW w:w="91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1,429 </w:t>
            </w:r>
          </w:p>
        </w:tc>
        <w:tc>
          <w:tcPr>
            <w:tcW w:w="91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947 </w:t>
            </w:r>
          </w:p>
        </w:tc>
        <w:tc>
          <w:tcPr>
            <w:tcW w:w="91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768 </w:t>
            </w:r>
          </w:p>
        </w:tc>
        <w:tc>
          <w:tcPr>
            <w:tcW w:w="969"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890 </w:t>
            </w:r>
          </w:p>
        </w:tc>
        <w:tc>
          <w:tcPr>
            <w:tcW w:w="969"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1,123 </w:t>
            </w:r>
          </w:p>
        </w:tc>
        <w:tc>
          <w:tcPr>
            <w:tcW w:w="969"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1,277 </w:t>
            </w:r>
          </w:p>
        </w:tc>
        <w:tc>
          <w:tcPr>
            <w:tcW w:w="1027"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1,591 </w:t>
            </w:r>
          </w:p>
        </w:tc>
        <w:tc>
          <w:tcPr>
            <w:tcW w:w="969"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1,754 </w:t>
            </w:r>
          </w:p>
        </w:tc>
        <w:tc>
          <w:tcPr>
            <w:tcW w:w="91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7414C0">
            <w:pPr>
              <w:rPr>
                <w:rFonts w:ascii="Calibri" w:hAnsi="Calibri" w:cs="Calibri"/>
                <w:b/>
                <w:bCs/>
                <w:color w:val="000000"/>
                <w:sz w:val="22"/>
                <w:szCs w:val="22"/>
              </w:rPr>
            </w:pPr>
            <w:r>
              <w:rPr>
                <w:rFonts w:ascii="Calibri" w:hAnsi="Calibri" w:cs="Calibri"/>
                <w:b/>
                <w:bCs/>
                <w:color w:val="000000"/>
                <w:sz w:val="22"/>
                <w:szCs w:val="22"/>
              </w:rPr>
              <w:t xml:space="preserve">   1,838 </w:t>
            </w:r>
          </w:p>
        </w:tc>
        <w:tc>
          <w:tcPr>
            <w:tcW w:w="91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8232B7" w:rsidP="00201909">
            <w:pPr>
              <w:rPr>
                <w:rFonts w:ascii="Calibri" w:hAnsi="Calibri" w:cs="Calibri"/>
                <w:b/>
                <w:bCs/>
                <w:color w:val="000000"/>
                <w:sz w:val="22"/>
                <w:szCs w:val="22"/>
              </w:rPr>
            </w:pPr>
            <w:r>
              <w:rPr>
                <w:rFonts w:ascii="Calibri" w:hAnsi="Calibri" w:cs="Calibri"/>
                <w:b/>
                <w:bCs/>
                <w:color w:val="000000"/>
                <w:sz w:val="22"/>
                <w:szCs w:val="22"/>
              </w:rPr>
              <w:t xml:space="preserve">   </w:t>
            </w:r>
            <w:r w:rsidR="00201909">
              <w:rPr>
                <w:rFonts w:ascii="Calibri" w:hAnsi="Calibri" w:cs="Calibri"/>
                <w:b/>
                <w:bCs/>
                <w:color w:val="000000"/>
                <w:sz w:val="22"/>
                <w:szCs w:val="22"/>
              </w:rPr>
              <w:t>2,029</w:t>
            </w:r>
          </w:p>
        </w:tc>
        <w:tc>
          <w:tcPr>
            <w:tcW w:w="969"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E13E6E" w:rsidP="00E13E6E">
            <w:pPr>
              <w:jc w:val="right"/>
              <w:rPr>
                <w:rFonts w:ascii="Calibri" w:hAnsi="Calibri" w:cs="Calibri"/>
                <w:b/>
                <w:bCs/>
                <w:color w:val="000000"/>
                <w:sz w:val="22"/>
                <w:szCs w:val="22"/>
              </w:rPr>
            </w:pPr>
            <w:r>
              <w:rPr>
                <w:rFonts w:ascii="Calibri" w:hAnsi="Calibri" w:cs="Calibri"/>
                <w:b/>
                <w:bCs/>
                <w:color w:val="000000"/>
                <w:sz w:val="22"/>
                <w:szCs w:val="22"/>
              </w:rPr>
              <w:t xml:space="preserve">   3,819</w:t>
            </w:r>
            <w:r w:rsidR="007414C0">
              <w:rPr>
                <w:rFonts w:ascii="Calibri" w:hAnsi="Calibri" w:cs="Calibri"/>
                <w:b/>
                <w:bCs/>
                <w:color w:val="000000"/>
                <w:sz w:val="22"/>
                <w:szCs w:val="22"/>
              </w:rPr>
              <w:t xml:space="preserve"> </w:t>
            </w:r>
          </w:p>
        </w:tc>
        <w:tc>
          <w:tcPr>
            <w:tcW w:w="702" w:type="dxa"/>
            <w:noWrap/>
            <w:tcMar>
              <w:top w:w="0" w:type="dxa"/>
              <w:left w:w="108" w:type="dxa"/>
              <w:bottom w:w="0" w:type="dxa"/>
              <w:right w:w="108" w:type="dxa"/>
            </w:tcMar>
            <w:vAlign w:val="bottom"/>
            <w:hideMark/>
          </w:tcPr>
          <w:p w:rsidR="007414C0" w:rsidRDefault="007414C0">
            <w:pPr>
              <w:rPr>
                <w:rFonts w:ascii="Calibri" w:hAnsi="Calibri" w:cs="Calibri"/>
                <w:color w:val="000000"/>
                <w:sz w:val="22"/>
                <w:szCs w:val="22"/>
              </w:rPr>
            </w:pPr>
          </w:p>
        </w:tc>
        <w:tc>
          <w:tcPr>
            <w:tcW w:w="1027"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7414C0" w:rsidRDefault="00E13E6E" w:rsidP="00201909">
            <w:pPr>
              <w:rPr>
                <w:rFonts w:ascii="Calibri" w:hAnsi="Calibri" w:cs="Calibri"/>
                <w:b/>
                <w:bCs/>
                <w:color w:val="000000"/>
                <w:sz w:val="22"/>
                <w:szCs w:val="22"/>
              </w:rPr>
            </w:pPr>
            <w:r>
              <w:rPr>
                <w:rFonts w:ascii="Calibri" w:hAnsi="Calibri" w:cs="Calibri"/>
                <w:b/>
                <w:bCs/>
                <w:color w:val="000000"/>
                <w:sz w:val="22"/>
                <w:szCs w:val="22"/>
              </w:rPr>
              <w:t xml:space="preserve">     3,819</w:t>
            </w:r>
          </w:p>
        </w:tc>
      </w:tr>
    </w:tbl>
    <w:p w:rsidR="00154E36" w:rsidRDefault="00154E36" w:rsidP="00EF2180">
      <w:pPr>
        <w:spacing w:after="200" w:line="276" w:lineRule="auto"/>
        <w:rPr>
          <w:rFonts w:ascii="Arial" w:hAnsi="Arial" w:cs="Arial"/>
          <w:sz w:val="22"/>
          <w:szCs w:val="22"/>
        </w:rPr>
      </w:pPr>
    </w:p>
    <w:sectPr w:rsidR="00154E36" w:rsidSect="00A86A0C">
      <w:pgSz w:w="16838" w:h="11906" w:orient="landscape"/>
      <w:pgMar w:top="900" w:right="706" w:bottom="9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929" w:rsidRDefault="008F0929" w:rsidP="00412C00">
      <w:r>
        <w:separator/>
      </w:r>
    </w:p>
  </w:endnote>
  <w:endnote w:type="continuationSeparator" w:id="0">
    <w:p w:rsidR="008F0929" w:rsidRDefault="008F0929"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929" w:rsidRDefault="008F0929" w:rsidP="00412C00">
      <w:r>
        <w:separator/>
      </w:r>
    </w:p>
  </w:footnote>
  <w:footnote w:type="continuationSeparator" w:id="0">
    <w:p w:rsidR="008F0929" w:rsidRDefault="008F0929"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90248"/>
      <w:docPartObj>
        <w:docPartGallery w:val="Watermarks"/>
        <w:docPartUnique/>
      </w:docPartObj>
    </w:sdtPr>
    <w:sdtContent>
      <w:p w:rsidR="008F0929" w:rsidRDefault="008F092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8EAA9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C6EA8B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8">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0">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14"/>
  </w:num>
  <w:num w:numId="5">
    <w:abstractNumId w:val="11"/>
  </w:num>
  <w:num w:numId="6">
    <w:abstractNumId w:val="3"/>
  </w:num>
  <w:num w:numId="7">
    <w:abstractNumId w:val="4"/>
  </w:num>
  <w:num w:numId="8">
    <w:abstractNumId w:val="12"/>
  </w:num>
  <w:num w:numId="9">
    <w:abstractNumId w:val="10"/>
  </w:num>
  <w:num w:numId="10">
    <w:abstractNumId w:val="8"/>
  </w:num>
  <w:num w:numId="11">
    <w:abstractNumId w:val="6"/>
  </w:num>
  <w:num w:numId="12">
    <w:abstractNumId w:val="0"/>
  </w:num>
  <w:num w:numId="13">
    <w:abstractNumId w:val="5"/>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6A45"/>
    <w:rsid w:val="00015D1D"/>
    <w:rsid w:val="0002376C"/>
    <w:rsid w:val="00024BC8"/>
    <w:rsid w:val="000271F4"/>
    <w:rsid w:val="00030167"/>
    <w:rsid w:val="0003250E"/>
    <w:rsid w:val="00033BC9"/>
    <w:rsid w:val="00037838"/>
    <w:rsid w:val="00040F35"/>
    <w:rsid w:val="0004442F"/>
    <w:rsid w:val="00044467"/>
    <w:rsid w:val="00054430"/>
    <w:rsid w:val="0006430C"/>
    <w:rsid w:val="000658EF"/>
    <w:rsid w:val="00090AC3"/>
    <w:rsid w:val="0009793E"/>
    <w:rsid w:val="000C1DF1"/>
    <w:rsid w:val="000C6150"/>
    <w:rsid w:val="000C6D92"/>
    <w:rsid w:val="000D1E92"/>
    <w:rsid w:val="000D2212"/>
    <w:rsid w:val="000D3D3A"/>
    <w:rsid w:val="000D4449"/>
    <w:rsid w:val="000D471E"/>
    <w:rsid w:val="000D5B3D"/>
    <w:rsid w:val="000D6B10"/>
    <w:rsid w:val="000D711F"/>
    <w:rsid w:val="000E0B72"/>
    <w:rsid w:val="000E66A4"/>
    <w:rsid w:val="000E694D"/>
    <w:rsid w:val="000F0C7B"/>
    <w:rsid w:val="000F15BA"/>
    <w:rsid w:val="000F71C0"/>
    <w:rsid w:val="00105649"/>
    <w:rsid w:val="00105927"/>
    <w:rsid w:val="001059BA"/>
    <w:rsid w:val="0011341B"/>
    <w:rsid w:val="00115E84"/>
    <w:rsid w:val="00116098"/>
    <w:rsid w:val="00124893"/>
    <w:rsid w:val="00124AA3"/>
    <w:rsid w:val="00132DB0"/>
    <w:rsid w:val="001339A4"/>
    <w:rsid w:val="001504B0"/>
    <w:rsid w:val="001516FA"/>
    <w:rsid w:val="001528FE"/>
    <w:rsid w:val="00153E82"/>
    <w:rsid w:val="00154E36"/>
    <w:rsid w:val="001609ED"/>
    <w:rsid w:val="00160F9B"/>
    <w:rsid w:val="00163A5A"/>
    <w:rsid w:val="00185C18"/>
    <w:rsid w:val="001924BC"/>
    <w:rsid w:val="001965A9"/>
    <w:rsid w:val="001A2303"/>
    <w:rsid w:val="001A387F"/>
    <w:rsid w:val="001A6027"/>
    <w:rsid w:val="001B12BA"/>
    <w:rsid w:val="001B4F9E"/>
    <w:rsid w:val="001B52B4"/>
    <w:rsid w:val="001C2AB3"/>
    <w:rsid w:val="001D039E"/>
    <w:rsid w:val="001D083E"/>
    <w:rsid w:val="001D76BF"/>
    <w:rsid w:val="001E4B23"/>
    <w:rsid w:val="001E5CAA"/>
    <w:rsid w:val="001F0FB2"/>
    <w:rsid w:val="00201909"/>
    <w:rsid w:val="00204E97"/>
    <w:rsid w:val="002132BF"/>
    <w:rsid w:val="002260C0"/>
    <w:rsid w:val="002279D6"/>
    <w:rsid w:val="00234F1A"/>
    <w:rsid w:val="00237BF3"/>
    <w:rsid w:val="00240999"/>
    <w:rsid w:val="00241A21"/>
    <w:rsid w:val="002436F9"/>
    <w:rsid w:val="002441AD"/>
    <w:rsid w:val="00244AB6"/>
    <w:rsid w:val="0024697B"/>
    <w:rsid w:val="002510CE"/>
    <w:rsid w:val="0025337B"/>
    <w:rsid w:val="002570C1"/>
    <w:rsid w:val="00265C5D"/>
    <w:rsid w:val="002672C3"/>
    <w:rsid w:val="00272C4C"/>
    <w:rsid w:val="00274232"/>
    <w:rsid w:val="00285E21"/>
    <w:rsid w:val="002905D6"/>
    <w:rsid w:val="00297100"/>
    <w:rsid w:val="002A6EF8"/>
    <w:rsid w:val="002B1ABB"/>
    <w:rsid w:val="002B2061"/>
    <w:rsid w:val="002B2EAA"/>
    <w:rsid w:val="002B3AF7"/>
    <w:rsid w:val="002B41F8"/>
    <w:rsid w:val="002B587B"/>
    <w:rsid w:val="002B6BA1"/>
    <w:rsid w:val="002B72F1"/>
    <w:rsid w:val="002B7A58"/>
    <w:rsid w:val="002C274E"/>
    <w:rsid w:val="002C31D0"/>
    <w:rsid w:val="002C5578"/>
    <w:rsid w:val="002D19A0"/>
    <w:rsid w:val="002D2375"/>
    <w:rsid w:val="002D25C2"/>
    <w:rsid w:val="002E0613"/>
    <w:rsid w:val="002E488E"/>
    <w:rsid w:val="002E5EDF"/>
    <w:rsid w:val="002E7DBF"/>
    <w:rsid w:val="002F4277"/>
    <w:rsid w:val="002F5E6A"/>
    <w:rsid w:val="003001BE"/>
    <w:rsid w:val="00301714"/>
    <w:rsid w:val="00306F9F"/>
    <w:rsid w:val="003078FC"/>
    <w:rsid w:val="00307E54"/>
    <w:rsid w:val="00307FB7"/>
    <w:rsid w:val="00310095"/>
    <w:rsid w:val="00310852"/>
    <w:rsid w:val="00313F03"/>
    <w:rsid w:val="00316BE4"/>
    <w:rsid w:val="003179D5"/>
    <w:rsid w:val="00320F7E"/>
    <w:rsid w:val="00322070"/>
    <w:rsid w:val="00323ABE"/>
    <w:rsid w:val="003374E1"/>
    <w:rsid w:val="00344985"/>
    <w:rsid w:val="003449ED"/>
    <w:rsid w:val="00357BF3"/>
    <w:rsid w:val="00360238"/>
    <w:rsid w:val="00364482"/>
    <w:rsid w:val="00375EE1"/>
    <w:rsid w:val="003837D4"/>
    <w:rsid w:val="00392D76"/>
    <w:rsid w:val="003B135C"/>
    <w:rsid w:val="003C0EA6"/>
    <w:rsid w:val="003C64BE"/>
    <w:rsid w:val="003C6EBD"/>
    <w:rsid w:val="003D17A0"/>
    <w:rsid w:val="003D2D79"/>
    <w:rsid w:val="003D4747"/>
    <w:rsid w:val="003D54A5"/>
    <w:rsid w:val="003F3BB4"/>
    <w:rsid w:val="003F57C1"/>
    <w:rsid w:val="00406C23"/>
    <w:rsid w:val="00412C00"/>
    <w:rsid w:val="00412F67"/>
    <w:rsid w:val="00413148"/>
    <w:rsid w:val="00413357"/>
    <w:rsid w:val="00416EA8"/>
    <w:rsid w:val="0042146B"/>
    <w:rsid w:val="00425DFA"/>
    <w:rsid w:val="00435640"/>
    <w:rsid w:val="004365C6"/>
    <w:rsid w:val="0043662D"/>
    <w:rsid w:val="00442D4D"/>
    <w:rsid w:val="004458A7"/>
    <w:rsid w:val="00445C3C"/>
    <w:rsid w:val="00447C0C"/>
    <w:rsid w:val="00461E1B"/>
    <w:rsid w:val="00467624"/>
    <w:rsid w:val="0047014D"/>
    <w:rsid w:val="004704FD"/>
    <w:rsid w:val="00470CB0"/>
    <w:rsid w:val="004802BC"/>
    <w:rsid w:val="00480953"/>
    <w:rsid w:val="0048525C"/>
    <w:rsid w:val="004916BD"/>
    <w:rsid w:val="00497F63"/>
    <w:rsid w:val="004A250F"/>
    <w:rsid w:val="004B5487"/>
    <w:rsid w:val="004C3A2F"/>
    <w:rsid w:val="004C5CF8"/>
    <w:rsid w:val="004C7812"/>
    <w:rsid w:val="004D3744"/>
    <w:rsid w:val="004F1024"/>
    <w:rsid w:val="004F1E1A"/>
    <w:rsid w:val="004F3A45"/>
    <w:rsid w:val="005064E8"/>
    <w:rsid w:val="00513000"/>
    <w:rsid w:val="00513557"/>
    <w:rsid w:val="0052112F"/>
    <w:rsid w:val="00527EDD"/>
    <w:rsid w:val="00530ADB"/>
    <w:rsid w:val="005373EA"/>
    <w:rsid w:val="00537CC2"/>
    <w:rsid w:val="00540FAA"/>
    <w:rsid w:val="005431F7"/>
    <w:rsid w:val="0054372F"/>
    <w:rsid w:val="005477F2"/>
    <w:rsid w:val="00574331"/>
    <w:rsid w:val="00575DD6"/>
    <w:rsid w:val="00577406"/>
    <w:rsid w:val="0058476E"/>
    <w:rsid w:val="00584F18"/>
    <w:rsid w:val="0059044A"/>
    <w:rsid w:val="00597AF4"/>
    <w:rsid w:val="005A2A17"/>
    <w:rsid w:val="005B2ED3"/>
    <w:rsid w:val="005B62D4"/>
    <w:rsid w:val="005C0DAE"/>
    <w:rsid w:val="005C11A4"/>
    <w:rsid w:val="005C269A"/>
    <w:rsid w:val="005C4B0A"/>
    <w:rsid w:val="005C6E51"/>
    <w:rsid w:val="005C76AA"/>
    <w:rsid w:val="005D3904"/>
    <w:rsid w:val="005E10A2"/>
    <w:rsid w:val="006006D4"/>
    <w:rsid w:val="0060330C"/>
    <w:rsid w:val="006059DC"/>
    <w:rsid w:val="00606CBA"/>
    <w:rsid w:val="006120D4"/>
    <w:rsid w:val="00612681"/>
    <w:rsid w:val="00613941"/>
    <w:rsid w:val="00616C9F"/>
    <w:rsid w:val="00622610"/>
    <w:rsid w:val="00623DCB"/>
    <w:rsid w:val="0063161D"/>
    <w:rsid w:val="00633BB4"/>
    <w:rsid w:val="00634E33"/>
    <w:rsid w:val="00637E98"/>
    <w:rsid w:val="00645669"/>
    <w:rsid w:val="00646BC4"/>
    <w:rsid w:val="00647D7D"/>
    <w:rsid w:val="00661E0A"/>
    <w:rsid w:val="00673ADE"/>
    <w:rsid w:val="00684B3B"/>
    <w:rsid w:val="006874A4"/>
    <w:rsid w:val="0068754E"/>
    <w:rsid w:val="006908F4"/>
    <w:rsid w:val="006941E3"/>
    <w:rsid w:val="006A08E2"/>
    <w:rsid w:val="006A29F0"/>
    <w:rsid w:val="006A4B31"/>
    <w:rsid w:val="006A67BA"/>
    <w:rsid w:val="006B7621"/>
    <w:rsid w:val="006B78E4"/>
    <w:rsid w:val="006D14D3"/>
    <w:rsid w:val="006D3824"/>
    <w:rsid w:val="006E24B3"/>
    <w:rsid w:val="006E7D8D"/>
    <w:rsid w:val="006F2E59"/>
    <w:rsid w:val="006F3E2E"/>
    <w:rsid w:val="006F53B9"/>
    <w:rsid w:val="007024E6"/>
    <w:rsid w:val="00714DBE"/>
    <w:rsid w:val="00714E4B"/>
    <w:rsid w:val="007162EA"/>
    <w:rsid w:val="00716AC4"/>
    <w:rsid w:val="007414C0"/>
    <w:rsid w:val="00745FAD"/>
    <w:rsid w:val="00747756"/>
    <w:rsid w:val="007517B3"/>
    <w:rsid w:val="007521C3"/>
    <w:rsid w:val="00754060"/>
    <w:rsid w:val="00755465"/>
    <w:rsid w:val="0076244F"/>
    <w:rsid w:val="00772701"/>
    <w:rsid w:val="00774CB5"/>
    <w:rsid w:val="0078207C"/>
    <w:rsid w:val="007948D4"/>
    <w:rsid w:val="007B0F30"/>
    <w:rsid w:val="007B5BC7"/>
    <w:rsid w:val="007C7418"/>
    <w:rsid w:val="007D0D17"/>
    <w:rsid w:val="007D5E35"/>
    <w:rsid w:val="007D6292"/>
    <w:rsid w:val="007E017B"/>
    <w:rsid w:val="007F4552"/>
    <w:rsid w:val="0080199A"/>
    <w:rsid w:val="008053CB"/>
    <w:rsid w:val="00807CE9"/>
    <w:rsid w:val="00811F22"/>
    <w:rsid w:val="00812EC2"/>
    <w:rsid w:val="00814606"/>
    <w:rsid w:val="00814DFD"/>
    <w:rsid w:val="00820091"/>
    <w:rsid w:val="00820C02"/>
    <w:rsid w:val="008232B7"/>
    <w:rsid w:val="00826F20"/>
    <w:rsid w:val="00832373"/>
    <w:rsid w:val="00833D9C"/>
    <w:rsid w:val="00834604"/>
    <w:rsid w:val="00834D31"/>
    <w:rsid w:val="00834DF7"/>
    <w:rsid w:val="00841354"/>
    <w:rsid w:val="00841ADE"/>
    <w:rsid w:val="00844B51"/>
    <w:rsid w:val="00853914"/>
    <w:rsid w:val="008618C5"/>
    <w:rsid w:val="00861C72"/>
    <w:rsid w:val="0087383E"/>
    <w:rsid w:val="00877858"/>
    <w:rsid w:val="00881798"/>
    <w:rsid w:val="00881A60"/>
    <w:rsid w:val="00882591"/>
    <w:rsid w:val="00885376"/>
    <w:rsid w:val="0088730C"/>
    <w:rsid w:val="008876BF"/>
    <w:rsid w:val="00890D27"/>
    <w:rsid w:val="0089642A"/>
    <w:rsid w:val="008A0B50"/>
    <w:rsid w:val="008A2D27"/>
    <w:rsid w:val="008B70B1"/>
    <w:rsid w:val="008C0981"/>
    <w:rsid w:val="008C1699"/>
    <w:rsid w:val="008C3DB3"/>
    <w:rsid w:val="008C6ADC"/>
    <w:rsid w:val="008D1704"/>
    <w:rsid w:val="008D435D"/>
    <w:rsid w:val="008D5822"/>
    <w:rsid w:val="008E4FF4"/>
    <w:rsid w:val="008E7A72"/>
    <w:rsid w:val="008F0929"/>
    <w:rsid w:val="008F1582"/>
    <w:rsid w:val="008F7981"/>
    <w:rsid w:val="00907BC3"/>
    <w:rsid w:val="00910362"/>
    <w:rsid w:val="0091291C"/>
    <w:rsid w:val="00930CA5"/>
    <w:rsid w:val="009312AC"/>
    <w:rsid w:val="00931495"/>
    <w:rsid w:val="00933B61"/>
    <w:rsid w:val="00941C34"/>
    <w:rsid w:val="00954A12"/>
    <w:rsid w:val="00960E89"/>
    <w:rsid w:val="0097609F"/>
    <w:rsid w:val="009804CC"/>
    <w:rsid w:val="00986583"/>
    <w:rsid w:val="00994215"/>
    <w:rsid w:val="009972EE"/>
    <w:rsid w:val="009A430F"/>
    <w:rsid w:val="009A5789"/>
    <w:rsid w:val="009A6EA9"/>
    <w:rsid w:val="009B0129"/>
    <w:rsid w:val="009B097E"/>
    <w:rsid w:val="009C23E7"/>
    <w:rsid w:val="009C594C"/>
    <w:rsid w:val="009D2B26"/>
    <w:rsid w:val="009D60C8"/>
    <w:rsid w:val="009E0E2F"/>
    <w:rsid w:val="009E14D7"/>
    <w:rsid w:val="009E247C"/>
    <w:rsid w:val="009E2CCC"/>
    <w:rsid w:val="009E6647"/>
    <w:rsid w:val="009F0FA3"/>
    <w:rsid w:val="009F5BD4"/>
    <w:rsid w:val="00A0085E"/>
    <w:rsid w:val="00A0358D"/>
    <w:rsid w:val="00A05E1F"/>
    <w:rsid w:val="00A1300C"/>
    <w:rsid w:val="00A14A2E"/>
    <w:rsid w:val="00A17BBC"/>
    <w:rsid w:val="00A21BF0"/>
    <w:rsid w:val="00A22A03"/>
    <w:rsid w:val="00A422D8"/>
    <w:rsid w:val="00A52ADF"/>
    <w:rsid w:val="00A53CE8"/>
    <w:rsid w:val="00A56AA7"/>
    <w:rsid w:val="00A6685A"/>
    <w:rsid w:val="00A72531"/>
    <w:rsid w:val="00A74E5F"/>
    <w:rsid w:val="00A86A0C"/>
    <w:rsid w:val="00A87591"/>
    <w:rsid w:val="00AA57D2"/>
    <w:rsid w:val="00AA636C"/>
    <w:rsid w:val="00AB5E74"/>
    <w:rsid w:val="00AB76F7"/>
    <w:rsid w:val="00AC163C"/>
    <w:rsid w:val="00AC26DF"/>
    <w:rsid w:val="00AC4D15"/>
    <w:rsid w:val="00AD27CB"/>
    <w:rsid w:val="00AD76CF"/>
    <w:rsid w:val="00AE471C"/>
    <w:rsid w:val="00AE63A6"/>
    <w:rsid w:val="00AE78EA"/>
    <w:rsid w:val="00AF2EE1"/>
    <w:rsid w:val="00AF37DF"/>
    <w:rsid w:val="00B01D16"/>
    <w:rsid w:val="00B01FC4"/>
    <w:rsid w:val="00B0474A"/>
    <w:rsid w:val="00B06515"/>
    <w:rsid w:val="00B076D7"/>
    <w:rsid w:val="00B07E4C"/>
    <w:rsid w:val="00B17169"/>
    <w:rsid w:val="00B2011F"/>
    <w:rsid w:val="00B21BB6"/>
    <w:rsid w:val="00B27E7E"/>
    <w:rsid w:val="00B3402D"/>
    <w:rsid w:val="00B40EA9"/>
    <w:rsid w:val="00B41C51"/>
    <w:rsid w:val="00B430A1"/>
    <w:rsid w:val="00B43880"/>
    <w:rsid w:val="00B4473B"/>
    <w:rsid w:val="00B465A2"/>
    <w:rsid w:val="00B5494A"/>
    <w:rsid w:val="00B65461"/>
    <w:rsid w:val="00B654E3"/>
    <w:rsid w:val="00B75EB4"/>
    <w:rsid w:val="00B803BF"/>
    <w:rsid w:val="00B80F37"/>
    <w:rsid w:val="00B85394"/>
    <w:rsid w:val="00B91545"/>
    <w:rsid w:val="00B9445F"/>
    <w:rsid w:val="00BA60A6"/>
    <w:rsid w:val="00BA72BF"/>
    <w:rsid w:val="00BB25EF"/>
    <w:rsid w:val="00BB55C4"/>
    <w:rsid w:val="00BC027A"/>
    <w:rsid w:val="00BD6E9A"/>
    <w:rsid w:val="00BD7646"/>
    <w:rsid w:val="00BE0E5C"/>
    <w:rsid w:val="00BF0ED2"/>
    <w:rsid w:val="00BF2643"/>
    <w:rsid w:val="00C1071F"/>
    <w:rsid w:val="00C11CD4"/>
    <w:rsid w:val="00C2170D"/>
    <w:rsid w:val="00C247A6"/>
    <w:rsid w:val="00C25B34"/>
    <w:rsid w:val="00C31944"/>
    <w:rsid w:val="00C409A5"/>
    <w:rsid w:val="00C40EA7"/>
    <w:rsid w:val="00C40FC4"/>
    <w:rsid w:val="00C45ED2"/>
    <w:rsid w:val="00C4787B"/>
    <w:rsid w:val="00C52506"/>
    <w:rsid w:val="00C550A2"/>
    <w:rsid w:val="00C60C6D"/>
    <w:rsid w:val="00C64C09"/>
    <w:rsid w:val="00C75C3C"/>
    <w:rsid w:val="00C76FF6"/>
    <w:rsid w:val="00C8038E"/>
    <w:rsid w:val="00C9206F"/>
    <w:rsid w:val="00C931C3"/>
    <w:rsid w:val="00CA50D9"/>
    <w:rsid w:val="00CA57A5"/>
    <w:rsid w:val="00CB024E"/>
    <w:rsid w:val="00CB16E6"/>
    <w:rsid w:val="00CB3CF6"/>
    <w:rsid w:val="00CB3D94"/>
    <w:rsid w:val="00CB49D6"/>
    <w:rsid w:val="00CB5436"/>
    <w:rsid w:val="00CC0121"/>
    <w:rsid w:val="00CC757F"/>
    <w:rsid w:val="00CE1147"/>
    <w:rsid w:val="00CE2BA7"/>
    <w:rsid w:val="00CE4D6A"/>
    <w:rsid w:val="00CF2087"/>
    <w:rsid w:val="00D0058C"/>
    <w:rsid w:val="00D070F4"/>
    <w:rsid w:val="00D1288F"/>
    <w:rsid w:val="00D15B88"/>
    <w:rsid w:val="00D2020A"/>
    <w:rsid w:val="00D33070"/>
    <w:rsid w:val="00D33CFD"/>
    <w:rsid w:val="00D363C2"/>
    <w:rsid w:val="00D4764A"/>
    <w:rsid w:val="00D50BFA"/>
    <w:rsid w:val="00D552C4"/>
    <w:rsid w:val="00D55E1F"/>
    <w:rsid w:val="00D6518F"/>
    <w:rsid w:val="00D65E0A"/>
    <w:rsid w:val="00D66419"/>
    <w:rsid w:val="00D81504"/>
    <w:rsid w:val="00D831E5"/>
    <w:rsid w:val="00D87321"/>
    <w:rsid w:val="00D925D5"/>
    <w:rsid w:val="00D95040"/>
    <w:rsid w:val="00D954B1"/>
    <w:rsid w:val="00D9761D"/>
    <w:rsid w:val="00DA7186"/>
    <w:rsid w:val="00DA7558"/>
    <w:rsid w:val="00DA758A"/>
    <w:rsid w:val="00DB1FC5"/>
    <w:rsid w:val="00DB3CAC"/>
    <w:rsid w:val="00DB4864"/>
    <w:rsid w:val="00DC397D"/>
    <w:rsid w:val="00DC4E09"/>
    <w:rsid w:val="00DD302A"/>
    <w:rsid w:val="00DD64AD"/>
    <w:rsid w:val="00DE33D0"/>
    <w:rsid w:val="00DE38D6"/>
    <w:rsid w:val="00DE3B1C"/>
    <w:rsid w:val="00DF1AD3"/>
    <w:rsid w:val="00DF3EE3"/>
    <w:rsid w:val="00E011DA"/>
    <w:rsid w:val="00E02E6F"/>
    <w:rsid w:val="00E13E6E"/>
    <w:rsid w:val="00E21205"/>
    <w:rsid w:val="00E31839"/>
    <w:rsid w:val="00E31CA4"/>
    <w:rsid w:val="00E34821"/>
    <w:rsid w:val="00E4531A"/>
    <w:rsid w:val="00E475D3"/>
    <w:rsid w:val="00E50E55"/>
    <w:rsid w:val="00E5355C"/>
    <w:rsid w:val="00E53B49"/>
    <w:rsid w:val="00E601B0"/>
    <w:rsid w:val="00E63F79"/>
    <w:rsid w:val="00E6420E"/>
    <w:rsid w:val="00E82962"/>
    <w:rsid w:val="00E82F54"/>
    <w:rsid w:val="00EA10AB"/>
    <w:rsid w:val="00EA77E1"/>
    <w:rsid w:val="00EB148B"/>
    <w:rsid w:val="00EB3C17"/>
    <w:rsid w:val="00EC64D7"/>
    <w:rsid w:val="00ED7806"/>
    <w:rsid w:val="00EE6EE0"/>
    <w:rsid w:val="00EE76E6"/>
    <w:rsid w:val="00EF2180"/>
    <w:rsid w:val="00EF4A75"/>
    <w:rsid w:val="00EF6841"/>
    <w:rsid w:val="00F004E6"/>
    <w:rsid w:val="00F02709"/>
    <w:rsid w:val="00F0408B"/>
    <w:rsid w:val="00F06479"/>
    <w:rsid w:val="00F1414F"/>
    <w:rsid w:val="00F15412"/>
    <w:rsid w:val="00F16278"/>
    <w:rsid w:val="00F17BDD"/>
    <w:rsid w:val="00F273CB"/>
    <w:rsid w:val="00F44579"/>
    <w:rsid w:val="00F5045F"/>
    <w:rsid w:val="00F56A77"/>
    <w:rsid w:val="00F5706D"/>
    <w:rsid w:val="00F576C4"/>
    <w:rsid w:val="00F62B36"/>
    <w:rsid w:val="00F63339"/>
    <w:rsid w:val="00F64C33"/>
    <w:rsid w:val="00F70CFF"/>
    <w:rsid w:val="00F8062D"/>
    <w:rsid w:val="00F8505C"/>
    <w:rsid w:val="00F90C53"/>
    <w:rsid w:val="00FC6EBF"/>
    <w:rsid w:val="00FD22AD"/>
    <w:rsid w:val="00FD451A"/>
    <w:rsid w:val="00FD47B4"/>
    <w:rsid w:val="00FF0EB3"/>
    <w:rsid w:val="00FF25A5"/>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100"/>
              <a:t>Actual Staffing Headcount</a:t>
            </a:r>
          </a:p>
          <a:p>
            <a:pPr>
              <a:defRPr/>
            </a:pPr>
            <a:endParaRPr lang="en-GB"/>
          </a:p>
        </c:rich>
      </c:tx>
      <c:layout>
        <c:manualLayout>
          <c:xMode val="edge"/>
          <c:yMode val="edge"/>
          <c:x val="0.65201399825021877"/>
          <c:y val="1.8518518518518517E-2"/>
        </c:manualLayout>
      </c:layout>
      <c:overlay val="0"/>
    </c:title>
    <c:autoTitleDeleted val="0"/>
    <c:plotArea>
      <c:layout>
        <c:manualLayout>
          <c:layoutTarget val="inner"/>
          <c:xMode val="edge"/>
          <c:yMode val="edge"/>
          <c:x val="7.2182852143482065E-2"/>
          <c:y val="2.8252405949256341E-2"/>
          <c:w val="0.56635892388451448"/>
          <c:h val="0.75665609507144937"/>
        </c:manualLayout>
      </c:layout>
      <c:barChart>
        <c:barDir val="col"/>
        <c:grouping val="stacked"/>
        <c:varyColors val="0"/>
        <c:ser>
          <c:idx val="2"/>
          <c:order val="0"/>
          <c:tx>
            <c:strRef>
              <c:f>'Summary tables'!$B$26:$C$26</c:f>
              <c:strCache>
                <c:ptCount val="1"/>
                <c:pt idx="0">
                  <c:v>Actual Staffing headcount 2013/14 </c:v>
                </c:pt>
              </c:strCache>
            </c:strRef>
          </c:tx>
          <c:invertIfNegative val="0"/>
          <c:cat>
            <c:strRef>
              <c:f>'Summary tables'!$D$25:$O$25</c:f>
              <c:strCache>
                <c:ptCount val="12"/>
                <c:pt idx="0">
                  <c:v>April</c:v>
                </c:pt>
                <c:pt idx="1">
                  <c:v>May</c:v>
                </c:pt>
                <c:pt idx="2">
                  <c:v>June</c:v>
                </c:pt>
                <c:pt idx="3">
                  <c:v>July</c:v>
                </c:pt>
                <c:pt idx="4">
                  <c:v>August</c:v>
                </c:pt>
                <c:pt idx="5">
                  <c:v>Sept</c:v>
                </c:pt>
                <c:pt idx="6">
                  <c:v>Oct</c:v>
                </c:pt>
                <c:pt idx="7">
                  <c:v>Nov</c:v>
                </c:pt>
                <c:pt idx="8">
                  <c:v>Dec</c:v>
                </c:pt>
                <c:pt idx="9">
                  <c:v>Jan</c:v>
                </c:pt>
                <c:pt idx="10">
                  <c:v>Feb</c:v>
                </c:pt>
                <c:pt idx="11">
                  <c:v>Mar</c:v>
                </c:pt>
              </c:strCache>
            </c:strRef>
          </c:cat>
          <c:val>
            <c:numRef>
              <c:f>'Summary tables'!$D$26:$O$26</c:f>
              <c:numCache>
                <c:formatCode>General</c:formatCode>
                <c:ptCount val="12"/>
              </c:numCache>
            </c:numRef>
          </c:val>
        </c:ser>
        <c:ser>
          <c:idx val="3"/>
          <c:order val="1"/>
          <c:tx>
            <c:strRef>
              <c:f>'Summary tables'!$B$27:$C$27</c:f>
              <c:strCache>
                <c:ptCount val="1"/>
                <c:pt idx="0">
                  <c:v>Permanent headcount</c:v>
                </c:pt>
              </c:strCache>
            </c:strRef>
          </c:tx>
          <c:invertIfNegative val="0"/>
          <c:cat>
            <c:strRef>
              <c:f>'Summary tables'!$D$25:$O$25</c:f>
              <c:strCache>
                <c:ptCount val="12"/>
                <c:pt idx="0">
                  <c:v>April</c:v>
                </c:pt>
                <c:pt idx="1">
                  <c:v>May</c:v>
                </c:pt>
                <c:pt idx="2">
                  <c:v>June</c:v>
                </c:pt>
                <c:pt idx="3">
                  <c:v>July</c:v>
                </c:pt>
                <c:pt idx="4">
                  <c:v>August</c:v>
                </c:pt>
                <c:pt idx="5">
                  <c:v>Sept</c:v>
                </c:pt>
                <c:pt idx="6">
                  <c:v>Oct</c:v>
                </c:pt>
                <c:pt idx="7">
                  <c:v>Nov</c:v>
                </c:pt>
                <c:pt idx="8">
                  <c:v>Dec</c:v>
                </c:pt>
                <c:pt idx="9">
                  <c:v>Jan</c:v>
                </c:pt>
                <c:pt idx="10">
                  <c:v>Feb</c:v>
                </c:pt>
                <c:pt idx="11">
                  <c:v>Mar</c:v>
                </c:pt>
              </c:strCache>
            </c:strRef>
          </c:cat>
          <c:val>
            <c:numRef>
              <c:f>'Summary tables'!$D$27:$O$27</c:f>
              <c:numCache>
                <c:formatCode>General</c:formatCode>
                <c:ptCount val="12"/>
                <c:pt idx="0">
                  <c:v>91</c:v>
                </c:pt>
                <c:pt idx="1">
                  <c:v>89</c:v>
                </c:pt>
                <c:pt idx="2">
                  <c:v>91</c:v>
                </c:pt>
                <c:pt idx="3">
                  <c:v>91</c:v>
                </c:pt>
                <c:pt idx="4">
                  <c:v>91</c:v>
                </c:pt>
                <c:pt idx="5">
                  <c:v>91</c:v>
                </c:pt>
                <c:pt idx="6">
                  <c:v>96</c:v>
                </c:pt>
                <c:pt idx="7">
                  <c:v>99</c:v>
                </c:pt>
                <c:pt idx="8">
                  <c:v>101</c:v>
                </c:pt>
                <c:pt idx="9">
                  <c:v>104</c:v>
                </c:pt>
                <c:pt idx="10">
                  <c:v>104</c:v>
                </c:pt>
                <c:pt idx="11">
                  <c:v>115</c:v>
                </c:pt>
              </c:numCache>
            </c:numRef>
          </c:val>
        </c:ser>
        <c:ser>
          <c:idx val="4"/>
          <c:order val="2"/>
          <c:tx>
            <c:strRef>
              <c:f>'Summary tables'!$B$28:$C$28</c:f>
              <c:strCache>
                <c:ptCount val="1"/>
                <c:pt idx="0">
                  <c:v>Fixed term headcount</c:v>
                </c:pt>
              </c:strCache>
            </c:strRef>
          </c:tx>
          <c:invertIfNegative val="0"/>
          <c:cat>
            <c:strRef>
              <c:f>'Summary tables'!$D$25:$O$25</c:f>
              <c:strCache>
                <c:ptCount val="12"/>
                <c:pt idx="0">
                  <c:v>April</c:v>
                </c:pt>
                <c:pt idx="1">
                  <c:v>May</c:v>
                </c:pt>
                <c:pt idx="2">
                  <c:v>June</c:v>
                </c:pt>
                <c:pt idx="3">
                  <c:v>July</c:v>
                </c:pt>
                <c:pt idx="4">
                  <c:v>August</c:v>
                </c:pt>
                <c:pt idx="5">
                  <c:v>Sept</c:v>
                </c:pt>
                <c:pt idx="6">
                  <c:v>Oct</c:v>
                </c:pt>
                <c:pt idx="7">
                  <c:v>Nov</c:v>
                </c:pt>
                <c:pt idx="8">
                  <c:v>Dec</c:v>
                </c:pt>
                <c:pt idx="9">
                  <c:v>Jan</c:v>
                </c:pt>
                <c:pt idx="10">
                  <c:v>Feb</c:v>
                </c:pt>
                <c:pt idx="11">
                  <c:v>Mar</c:v>
                </c:pt>
              </c:strCache>
            </c:strRef>
          </c:cat>
          <c:val>
            <c:numRef>
              <c:f>'Summary tables'!$D$28:$O$28</c:f>
              <c:numCache>
                <c:formatCode>General</c:formatCode>
                <c:ptCount val="12"/>
                <c:pt idx="0">
                  <c:v>27</c:v>
                </c:pt>
                <c:pt idx="1">
                  <c:v>34</c:v>
                </c:pt>
                <c:pt idx="2">
                  <c:v>33</c:v>
                </c:pt>
                <c:pt idx="3">
                  <c:v>30</c:v>
                </c:pt>
                <c:pt idx="4">
                  <c:v>27</c:v>
                </c:pt>
                <c:pt idx="5">
                  <c:v>32</c:v>
                </c:pt>
                <c:pt idx="6">
                  <c:v>32</c:v>
                </c:pt>
                <c:pt idx="7">
                  <c:v>30</c:v>
                </c:pt>
                <c:pt idx="8">
                  <c:v>29</c:v>
                </c:pt>
                <c:pt idx="9">
                  <c:v>29</c:v>
                </c:pt>
                <c:pt idx="10">
                  <c:v>32</c:v>
                </c:pt>
                <c:pt idx="11">
                  <c:v>19</c:v>
                </c:pt>
              </c:numCache>
            </c:numRef>
          </c:val>
        </c:ser>
        <c:ser>
          <c:idx val="0"/>
          <c:order val="3"/>
          <c:tx>
            <c:strRef>
              <c:f>'Summary tables'!$B$29:$C$29</c:f>
              <c:strCache>
                <c:ptCount val="1"/>
                <c:pt idx="0">
                  <c:v>Agency headcount</c:v>
                </c:pt>
              </c:strCache>
            </c:strRef>
          </c:tx>
          <c:invertIfNegative val="0"/>
          <c:cat>
            <c:strRef>
              <c:f>'Summary tables'!$D$25:$O$25</c:f>
              <c:strCache>
                <c:ptCount val="12"/>
                <c:pt idx="0">
                  <c:v>April</c:v>
                </c:pt>
                <c:pt idx="1">
                  <c:v>May</c:v>
                </c:pt>
                <c:pt idx="2">
                  <c:v>June</c:v>
                </c:pt>
                <c:pt idx="3">
                  <c:v>July</c:v>
                </c:pt>
                <c:pt idx="4">
                  <c:v>August</c:v>
                </c:pt>
                <c:pt idx="5">
                  <c:v>Sept</c:v>
                </c:pt>
                <c:pt idx="6">
                  <c:v>Oct</c:v>
                </c:pt>
                <c:pt idx="7">
                  <c:v>Nov</c:v>
                </c:pt>
                <c:pt idx="8">
                  <c:v>Dec</c:v>
                </c:pt>
                <c:pt idx="9">
                  <c:v>Jan</c:v>
                </c:pt>
                <c:pt idx="10">
                  <c:v>Feb</c:v>
                </c:pt>
                <c:pt idx="11">
                  <c:v>Mar</c:v>
                </c:pt>
              </c:strCache>
            </c:strRef>
          </c:cat>
          <c:val>
            <c:numRef>
              <c:f>'Summary tables'!$D$29:$O$29</c:f>
              <c:numCache>
                <c:formatCode>General</c:formatCode>
                <c:ptCount val="12"/>
                <c:pt idx="0">
                  <c:v>9</c:v>
                </c:pt>
                <c:pt idx="1">
                  <c:v>20</c:v>
                </c:pt>
                <c:pt idx="2">
                  <c:v>20</c:v>
                </c:pt>
                <c:pt idx="3">
                  <c:v>21</c:v>
                </c:pt>
                <c:pt idx="4">
                  <c:v>22</c:v>
                </c:pt>
                <c:pt idx="5">
                  <c:v>17</c:v>
                </c:pt>
                <c:pt idx="6">
                  <c:v>17</c:v>
                </c:pt>
                <c:pt idx="7">
                  <c:v>14</c:v>
                </c:pt>
                <c:pt idx="8">
                  <c:v>14</c:v>
                </c:pt>
                <c:pt idx="9">
                  <c:v>16</c:v>
                </c:pt>
                <c:pt idx="10">
                  <c:v>15</c:v>
                </c:pt>
                <c:pt idx="11">
                  <c:v>14</c:v>
                </c:pt>
              </c:numCache>
            </c:numRef>
          </c:val>
        </c:ser>
        <c:ser>
          <c:idx val="1"/>
          <c:order val="4"/>
          <c:tx>
            <c:strRef>
              <c:f>'Summary tables'!$B$30:$C$30</c:f>
              <c:strCache>
                <c:ptCount val="1"/>
                <c:pt idx="0">
                  <c:v>Secondees headcount</c:v>
                </c:pt>
              </c:strCache>
            </c:strRef>
          </c:tx>
          <c:invertIfNegative val="0"/>
          <c:cat>
            <c:strRef>
              <c:f>'Summary tables'!$D$25:$O$25</c:f>
              <c:strCache>
                <c:ptCount val="12"/>
                <c:pt idx="0">
                  <c:v>April</c:v>
                </c:pt>
                <c:pt idx="1">
                  <c:v>May</c:v>
                </c:pt>
                <c:pt idx="2">
                  <c:v>June</c:v>
                </c:pt>
                <c:pt idx="3">
                  <c:v>July</c:v>
                </c:pt>
                <c:pt idx="4">
                  <c:v>August</c:v>
                </c:pt>
                <c:pt idx="5">
                  <c:v>Sept</c:v>
                </c:pt>
                <c:pt idx="6">
                  <c:v>Oct</c:v>
                </c:pt>
                <c:pt idx="7">
                  <c:v>Nov</c:v>
                </c:pt>
                <c:pt idx="8">
                  <c:v>Dec</c:v>
                </c:pt>
                <c:pt idx="9">
                  <c:v>Jan</c:v>
                </c:pt>
                <c:pt idx="10">
                  <c:v>Feb</c:v>
                </c:pt>
                <c:pt idx="11">
                  <c:v>Mar</c:v>
                </c:pt>
              </c:strCache>
            </c:strRef>
          </c:cat>
          <c:val>
            <c:numRef>
              <c:f>'Summary tables'!$D$30:$O$30</c:f>
              <c:numCache>
                <c:formatCode>General</c:formatCode>
                <c:ptCount val="12"/>
                <c:pt idx="0">
                  <c:v>12</c:v>
                </c:pt>
                <c:pt idx="1">
                  <c:v>13</c:v>
                </c:pt>
                <c:pt idx="2">
                  <c:v>13</c:v>
                </c:pt>
                <c:pt idx="3">
                  <c:v>13</c:v>
                </c:pt>
                <c:pt idx="4">
                  <c:v>13</c:v>
                </c:pt>
                <c:pt idx="5">
                  <c:v>14</c:v>
                </c:pt>
                <c:pt idx="6">
                  <c:v>12</c:v>
                </c:pt>
                <c:pt idx="7">
                  <c:v>13</c:v>
                </c:pt>
                <c:pt idx="8">
                  <c:v>15</c:v>
                </c:pt>
                <c:pt idx="9">
                  <c:v>12</c:v>
                </c:pt>
                <c:pt idx="10">
                  <c:v>12</c:v>
                </c:pt>
                <c:pt idx="11">
                  <c:v>9</c:v>
                </c:pt>
              </c:numCache>
            </c:numRef>
          </c:val>
        </c:ser>
        <c:dLbls>
          <c:showLegendKey val="0"/>
          <c:showVal val="0"/>
          <c:showCatName val="0"/>
          <c:showSerName val="0"/>
          <c:showPercent val="0"/>
          <c:showBubbleSize val="0"/>
        </c:dLbls>
        <c:gapWidth val="150"/>
        <c:overlap val="100"/>
        <c:axId val="95471104"/>
        <c:axId val="95472640"/>
      </c:barChart>
      <c:catAx>
        <c:axId val="95471104"/>
        <c:scaling>
          <c:orientation val="minMax"/>
        </c:scaling>
        <c:delete val="0"/>
        <c:axPos val="b"/>
        <c:majorTickMark val="out"/>
        <c:minorTickMark val="none"/>
        <c:tickLblPos val="nextTo"/>
        <c:crossAx val="95472640"/>
        <c:crosses val="autoZero"/>
        <c:auto val="1"/>
        <c:lblAlgn val="ctr"/>
        <c:lblOffset val="100"/>
        <c:noMultiLvlLbl val="0"/>
      </c:catAx>
      <c:valAx>
        <c:axId val="95472640"/>
        <c:scaling>
          <c:orientation val="minMax"/>
        </c:scaling>
        <c:delete val="0"/>
        <c:axPos val="l"/>
        <c:majorGridlines/>
        <c:numFmt formatCode="General" sourceLinked="1"/>
        <c:majorTickMark val="out"/>
        <c:minorTickMark val="none"/>
        <c:tickLblPos val="nextTo"/>
        <c:crossAx val="95471104"/>
        <c:crosses val="autoZero"/>
        <c:crossBetween val="between"/>
      </c:valAx>
    </c:plotArea>
    <c:legend>
      <c:legendPos val="r"/>
      <c:legendEntry>
        <c:idx val="4"/>
        <c:delete val="1"/>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8769C-37C2-4E48-A578-0439ACAC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Debbie Corrigan</cp:lastModifiedBy>
  <cp:revision>4</cp:revision>
  <cp:lastPrinted>2014-04-29T10:37:00Z</cp:lastPrinted>
  <dcterms:created xsi:type="dcterms:W3CDTF">2014-04-30T08:16:00Z</dcterms:created>
  <dcterms:modified xsi:type="dcterms:W3CDTF">2014-04-30T09:35:00Z</dcterms:modified>
</cp:coreProperties>
</file>