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9" w:rsidRDefault="009A60D9" w:rsidP="006909E0">
      <w:pPr>
        <w:pStyle w:val="Title"/>
        <w:ind w:left="-142" w:right="-149"/>
        <w:jc w:val="center"/>
      </w:pPr>
    </w:p>
    <w:p w:rsidR="00AD0BCF" w:rsidRPr="00AD0BCF" w:rsidRDefault="00AD0BCF" w:rsidP="00AD0BCF"/>
    <w:p w:rsidR="009A60D9" w:rsidRDefault="006909E0" w:rsidP="006909E0">
      <w:pPr>
        <w:pStyle w:val="Title"/>
        <w:ind w:left="-142" w:right="-149"/>
        <w:jc w:val="center"/>
      </w:pPr>
      <w:r>
        <w:t>HRA Key Performance Indicators</w:t>
      </w:r>
      <w:r w:rsidR="006C2C03">
        <w:br/>
      </w:r>
    </w:p>
    <w:p w:rsidR="004621B7" w:rsidRPr="000E3974" w:rsidRDefault="008407A9" w:rsidP="006909E0">
      <w:pPr>
        <w:pStyle w:val="Title"/>
        <w:ind w:left="-142" w:right="-149"/>
        <w:jc w:val="center"/>
        <w:rPr>
          <w:sz w:val="52"/>
        </w:rPr>
      </w:pPr>
      <w:r>
        <w:t>Dec</w:t>
      </w:r>
      <w:r w:rsidR="00B102C5">
        <w:t>em</w:t>
      </w:r>
      <w:r w:rsidR="006C2C03">
        <w:t>ber</w:t>
      </w:r>
      <w:r w:rsidR="006909E0">
        <w:t xml:space="preserve"> 2013</w:t>
      </w:r>
      <w:r w:rsidR="000E3974">
        <w:br/>
      </w:r>
      <w:r w:rsidR="000E3974">
        <w:rPr>
          <w:sz w:val="52"/>
        </w:rPr>
        <w:t>(Quarter 3 report – 2013/14)</w:t>
      </w:r>
    </w:p>
    <w:p w:rsidR="000E3974" w:rsidRPr="000E3974" w:rsidRDefault="000E3974" w:rsidP="000E3974"/>
    <w:p w:rsidR="006909E0" w:rsidRPr="006909E0" w:rsidRDefault="001C1098" w:rsidP="006909E0">
      <w:pPr>
        <w:sectPr w:rsidR="006909E0" w:rsidRPr="006909E0" w:rsidSect="00241300">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3686" w:right="1134" w:bottom="680" w:left="1134" w:header="624" w:footer="624" w:gutter="0"/>
          <w:cols w:space="680"/>
          <w:titlePg/>
          <w:docGrid w:linePitch="360"/>
        </w:sectPr>
      </w:pPr>
      <w:r>
        <w:rPr>
          <w:noProof/>
          <w:lang w:eastAsia="en-GB"/>
        </w:rPr>
        <mc:AlternateContent>
          <mc:Choice Requires="wps">
            <w:drawing>
              <wp:anchor distT="0" distB="0" distL="114300" distR="114300" simplePos="0" relativeHeight="251745280" behindDoc="0" locked="0" layoutInCell="1" allowOverlap="1" wp14:editId="36B11C9B">
                <wp:simplePos x="0" y="0"/>
                <wp:positionH relativeFrom="column">
                  <wp:posOffset>-15240</wp:posOffset>
                </wp:positionH>
                <wp:positionV relativeFrom="paragraph">
                  <wp:posOffset>3244215</wp:posOffset>
                </wp:positionV>
                <wp:extent cx="2374265"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solidFill>
                          <a:srgbClr val="FFFFFF"/>
                        </a:solidFill>
                        <a:ln w="12700">
                          <a:noFill/>
                          <a:miter lim="800000"/>
                          <a:headEnd/>
                          <a:tailEnd/>
                        </a:ln>
                      </wps:spPr>
                      <wps:txbx>
                        <w:txbxContent>
                          <w:p w:rsidR="001C1098" w:rsidRDefault="001C1098" w:rsidP="001C1098">
                            <w:pPr>
                              <w:pBdr>
                                <w:top w:val="single" w:sz="8" w:space="1" w:color="auto"/>
                                <w:left w:val="single" w:sz="8" w:space="4" w:color="auto"/>
                                <w:bottom w:val="single" w:sz="8" w:space="1" w:color="auto"/>
                                <w:right w:val="single" w:sz="8" w:space="4" w:color="auto"/>
                                <w:between w:val="single" w:sz="8" w:space="1" w:color="auto"/>
                              </w:pBdr>
                              <w:rPr>
                                <w:sz w:val="20"/>
                              </w:rPr>
                            </w:pPr>
                            <w:r w:rsidRPr="001C1098">
                              <w:rPr>
                                <w:sz w:val="20"/>
                              </w:rPr>
                              <w:t>Final v 1.0</w:t>
                            </w:r>
                          </w:p>
                          <w:p w:rsidR="001C1098" w:rsidRPr="001C1098" w:rsidRDefault="001C1098"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14/02/2014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5.45pt;width:186.95pt;height:51.75pt;z-index:251745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oIQIAAB4EAAAOAAAAZHJzL2Uyb0RvYy54bWysU9tu2zAMfR+wfxD0vthxc+mMOEWXLsOA&#10;7gK0+wBalmNhsqhJSuzu60cpaZptb8P0IJAidXR4SK1uxl6zg3Reoan4dJJzJo3ARpldxb89bt9c&#10;c+YDmAY0GlnxJ+n5zfr1q9VgS1lgh7qRjhGI8eVgK96FYMss86KTPfgJWmko2KLrIZDrdlnjYCD0&#10;XmdFni+yAV1jHQrpPZ3eHYN8nfDbVorwpW29DExXnLiFtLu013HP1isodw5sp8SJBvwDix6UoUfP&#10;UHcQgO2d+guqV8KhxzZMBPYZtq0SMtVA1UzzP6p56MDKVAuJ4+1ZJv//YMXnw1fHVFPxq3zJmYGe&#10;mvQox8De4ciKqM9gfUlpD5YSw0jH1OdUq7f3KL57ZnDTgdnJW+dw6CQ0xG8ab2YXV484PoLUwyds&#10;6BnYB0xAY+v6KB7JwQid+vR07k2kIuiwuFrOisWcM0GxxXxZFPP0BJTPt63z4YPEnkWj4o56n9Dh&#10;cO9DZAPlc0p8zKNWzVZpnRy3qzfasQPQnGzTOqH/lqYNG6i2YpnnCdpgBEgz1KtAg6xVX/HrPK54&#10;H8oox3vTJDuA0kebqGhz0idKchQnjPVIiVG0GpsnUsrhcWDpg5HRofvJ2UDDWnH/Yw9OcqY/GlL7&#10;7XQ2i9OdnBmJQ467jNSXETCCoCoeODuam5B+RORr8Ja60qok2AuTE1cawqTj6cPEKb/0U9bLt17/&#10;AgAA//8DAFBLAwQUAAYACAAAACEA+PfP4+EAAAAKAQAADwAAAGRycy9kb3ducmV2LnhtbEyPTUvD&#10;QBCG74L/YRnBS2k3adOqMZsiooeCUKwePE6z0yS6HyG7SeO/dzzpcXgf3veZYjtZI0bqQ+udgnSR&#10;gCBXed26WsH72/P8FkSI6DQa70jBNwXYlpcXBeban90rjYdYCy5xIUcFTYxdLmWoGrIYFr4jx9nJ&#10;9xYjn30tdY9nLrdGLpNkIy22jhca7OixoerrMFgeecLVzOxf6DTsdp9t+Ni3MxqVur6aHu5BRJri&#10;Hwy/+qwOJTsd/eB0EEbBfJkxqWCdJncgGFjdpGsQRwWbNMtAloX8/0L5AwAA//8DAFBLAQItABQA&#10;BgAIAAAAIQC2gziS/gAAAOEBAAATAAAAAAAAAAAAAAAAAAAAAABbQ29udGVudF9UeXBlc10ueG1s&#10;UEsBAi0AFAAGAAgAAAAhADj9If/WAAAAlAEAAAsAAAAAAAAAAAAAAAAALwEAAF9yZWxzLy5yZWxz&#10;UEsBAi0AFAAGAAgAAAAhACfGFeghAgAAHgQAAA4AAAAAAAAAAAAAAAAALgIAAGRycy9lMm9Eb2Mu&#10;eG1sUEsBAi0AFAAGAAgAAAAhAPj3z+PhAAAACgEAAA8AAAAAAAAAAAAAAAAAewQAAGRycy9kb3du&#10;cmV2LnhtbFBLBQYAAAAABAAEAPMAAACJBQAAAAA=&#10;" stroked="f" strokeweight="1pt">
                <v:textbox>
                  <w:txbxContent>
                    <w:p w:rsidR="001C1098" w:rsidRDefault="001C1098" w:rsidP="001C1098">
                      <w:pPr>
                        <w:pBdr>
                          <w:top w:val="single" w:sz="8" w:space="1" w:color="auto"/>
                          <w:left w:val="single" w:sz="8" w:space="4" w:color="auto"/>
                          <w:bottom w:val="single" w:sz="8" w:space="1" w:color="auto"/>
                          <w:right w:val="single" w:sz="8" w:space="4" w:color="auto"/>
                          <w:between w:val="single" w:sz="8" w:space="1" w:color="auto"/>
                        </w:pBdr>
                        <w:rPr>
                          <w:sz w:val="20"/>
                        </w:rPr>
                      </w:pPr>
                      <w:bookmarkStart w:id="1" w:name="_GoBack"/>
                      <w:r w:rsidRPr="001C1098">
                        <w:rPr>
                          <w:sz w:val="20"/>
                        </w:rPr>
                        <w:t>Final v 1.0</w:t>
                      </w:r>
                    </w:p>
                    <w:p w:rsidR="001C1098" w:rsidRPr="001C1098" w:rsidRDefault="001C1098"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14/02/2014</w:t>
                      </w:r>
                      <w:bookmarkEnd w:id="1"/>
                    </w:p>
                  </w:txbxContent>
                </v:textbox>
              </v:shape>
            </w:pict>
          </mc:Fallback>
        </mc:AlternateContent>
      </w:r>
    </w:p>
    <w:p w:rsidR="008407A9" w:rsidRPr="00E51F68" w:rsidRDefault="008407A9" w:rsidP="008407A9">
      <w:pPr>
        <w:spacing w:after="360" w:line="240" w:lineRule="auto"/>
        <w:rPr>
          <w:color w:val="7030A0"/>
          <w:sz w:val="48"/>
          <w:szCs w:val="48"/>
        </w:rPr>
      </w:pPr>
      <w:r>
        <w:rPr>
          <w:color w:val="7030A0"/>
          <w:sz w:val="48"/>
          <w:szCs w:val="48"/>
        </w:rPr>
        <w:lastRenderedPageBreak/>
        <w:t>Summary dashboard</w:t>
      </w:r>
    </w:p>
    <w:p w:rsidR="000E3974" w:rsidRDefault="000E3974" w:rsidP="00684443">
      <w:pPr>
        <w:pStyle w:val="Heading2"/>
        <w:spacing w:after="120"/>
      </w:pPr>
      <w:r>
        <w:t>RAG status of 2013/14 Business Plan KPIs</w:t>
      </w: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1560"/>
        <w:gridCol w:w="3543"/>
      </w:tblGrid>
      <w:tr w:rsidR="00F57173" w:rsidTr="00472A77">
        <w:trPr>
          <w:cnfStyle w:val="100000000000" w:firstRow="1" w:lastRow="0" w:firstColumn="0" w:lastColumn="0" w:oddVBand="0" w:evenVBand="0" w:oddHBand="0" w:evenHBand="0" w:firstRowFirstColumn="0" w:firstRowLastColumn="0" w:lastRowFirstColumn="0" w:lastRowLastColumn="0"/>
        </w:trPr>
        <w:tc>
          <w:tcPr>
            <w:tcW w:w="6521" w:type="dxa"/>
            <w:gridSpan w:val="2"/>
            <w:tcBorders>
              <w:top w:val="none" w:sz="0" w:space="0" w:color="auto"/>
              <w:left w:val="none" w:sz="0" w:space="0" w:color="auto"/>
              <w:bottom w:val="none" w:sz="0" w:space="0" w:color="auto"/>
            </w:tcBorders>
            <w:shd w:val="clear" w:color="auto" w:fill="auto"/>
          </w:tcPr>
          <w:p w:rsidR="00F73D71" w:rsidRDefault="00F73D71" w:rsidP="00684443">
            <w:pPr>
              <w:spacing w:before="0" w:after="0"/>
            </w:pPr>
            <w:r>
              <w:rPr>
                <w:noProof/>
                <w:lang w:eastAsia="en-GB"/>
              </w:rPr>
              <w:drawing>
                <wp:anchor distT="0" distB="0" distL="114300" distR="114300" simplePos="0" relativeHeight="251728896" behindDoc="0" locked="0" layoutInCell="1" allowOverlap="1" wp14:anchorId="18743D2D" wp14:editId="3E5BAF21">
                  <wp:simplePos x="0" y="0"/>
                  <wp:positionH relativeFrom="column">
                    <wp:posOffset>-54610</wp:posOffset>
                  </wp:positionH>
                  <wp:positionV relativeFrom="paragraph">
                    <wp:posOffset>53340</wp:posOffset>
                  </wp:positionV>
                  <wp:extent cx="3981450" cy="3810000"/>
                  <wp:effectExtent l="0" t="0" r="19050" b="1905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3543" w:type="dxa"/>
            <w:tcBorders>
              <w:top w:val="none" w:sz="0" w:space="0" w:color="auto"/>
              <w:bottom w:val="none" w:sz="0" w:space="0" w:color="auto"/>
              <w:right w:val="none" w:sz="0" w:space="0" w:color="auto"/>
            </w:tcBorders>
            <w:shd w:val="clear" w:color="auto" w:fill="auto"/>
            <w:vAlign w:val="center"/>
          </w:tcPr>
          <w:tbl>
            <w:tblPr>
              <w:tblW w:w="3719" w:type="dxa"/>
              <w:jc w:val="center"/>
              <w:tblInd w:w="841" w:type="dxa"/>
              <w:tblLayout w:type="fixed"/>
              <w:tblLook w:val="04A0" w:firstRow="1" w:lastRow="0" w:firstColumn="1" w:lastColumn="0" w:noHBand="0" w:noVBand="1"/>
            </w:tblPr>
            <w:tblGrid>
              <w:gridCol w:w="3164"/>
              <w:gridCol w:w="555"/>
            </w:tblGrid>
            <w:tr w:rsidR="00F73D71" w:rsidRPr="002D455E" w:rsidTr="00472A77">
              <w:trPr>
                <w:trHeight w:val="270"/>
                <w:jc w:val="center"/>
              </w:trPr>
              <w:tc>
                <w:tcPr>
                  <w:tcW w:w="3719" w:type="dxa"/>
                  <w:gridSpan w:val="2"/>
                  <w:tcBorders>
                    <w:top w:val="single" w:sz="8" w:space="0" w:color="auto"/>
                    <w:left w:val="single" w:sz="8" w:space="0" w:color="auto"/>
                    <w:bottom w:val="single" w:sz="6" w:space="0" w:color="auto"/>
                    <w:right w:val="single" w:sz="8" w:space="0" w:color="auto"/>
                  </w:tcBorders>
                  <w:shd w:val="clear" w:color="000000" w:fill="7030A0"/>
                  <w:vAlign w:val="center"/>
                  <w:hideMark/>
                </w:tcPr>
                <w:p w:rsidR="00F73D71" w:rsidRPr="002D455E" w:rsidRDefault="00F73D71" w:rsidP="00F73D71">
                  <w:pPr>
                    <w:spacing w:after="0" w:line="240" w:lineRule="auto"/>
                    <w:jc w:val="center"/>
                    <w:rPr>
                      <w:rFonts w:eastAsia="Times New Roman" w:cs="Arial"/>
                      <w:b/>
                      <w:bCs/>
                      <w:color w:val="FFFFFF"/>
                      <w:sz w:val="20"/>
                      <w:szCs w:val="20"/>
                      <w:lang w:eastAsia="en-GB"/>
                    </w:rPr>
                  </w:pPr>
                  <w:r>
                    <w:rPr>
                      <w:rFonts w:eastAsia="Times New Roman" w:cs="Arial"/>
                      <w:b/>
                      <w:bCs/>
                      <w:color w:val="FFFFFF"/>
                      <w:sz w:val="20"/>
                      <w:szCs w:val="20"/>
                      <w:lang w:eastAsia="en-GB"/>
                    </w:rPr>
                    <w:t>No. of KPIs met</w:t>
                  </w:r>
                </w:p>
              </w:tc>
            </w:tr>
            <w:tr w:rsidR="00F73D71" w:rsidRPr="002D455E" w:rsidTr="00472A77">
              <w:trPr>
                <w:trHeight w:val="525"/>
                <w:jc w:val="center"/>
              </w:trPr>
              <w:tc>
                <w:tcPr>
                  <w:tcW w:w="3164" w:type="dxa"/>
                  <w:tcBorders>
                    <w:top w:val="single" w:sz="6" w:space="0" w:color="auto"/>
                    <w:left w:val="single" w:sz="8" w:space="0" w:color="auto"/>
                    <w:bottom w:val="single" w:sz="6"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has serious delays in achieving</w:t>
                  </w:r>
                </w:p>
              </w:tc>
              <w:tc>
                <w:tcPr>
                  <w:tcW w:w="555" w:type="dxa"/>
                  <w:tcBorders>
                    <w:top w:val="nil"/>
                    <w:left w:val="single" w:sz="8" w:space="0" w:color="auto"/>
                    <w:bottom w:val="single" w:sz="8" w:space="0" w:color="auto"/>
                    <w:right w:val="single" w:sz="8" w:space="0" w:color="auto"/>
                  </w:tcBorders>
                  <w:shd w:val="clear" w:color="000000" w:fill="FF0000"/>
                  <w:vAlign w:val="center"/>
                  <w:hideMark/>
                </w:tcPr>
                <w:p w:rsidR="00F73D71" w:rsidRPr="002D455E" w:rsidRDefault="00F73D71" w:rsidP="00F73D71">
                  <w:pPr>
                    <w:spacing w:after="0" w:line="240" w:lineRule="auto"/>
                    <w:jc w:val="center"/>
                    <w:rPr>
                      <w:rFonts w:eastAsia="Times New Roman" w:cs="Arial"/>
                      <w:color w:val="000000"/>
                      <w:sz w:val="20"/>
                      <w:szCs w:val="20"/>
                      <w:lang w:eastAsia="en-GB"/>
                    </w:rPr>
                  </w:pPr>
                  <w:r w:rsidRPr="002D455E">
                    <w:rPr>
                      <w:rFonts w:eastAsia="Times New Roman" w:cs="Arial"/>
                      <w:color w:val="000000"/>
                      <w:sz w:val="20"/>
                      <w:szCs w:val="20"/>
                      <w:lang w:eastAsia="en-GB"/>
                    </w:rPr>
                    <w:t>5</w:t>
                  </w:r>
                </w:p>
              </w:tc>
            </w:tr>
            <w:tr w:rsidR="00F73D71" w:rsidRPr="002D455E" w:rsidTr="00472A77">
              <w:trPr>
                <w:trHeight w:val="525"/>
                <w:jc w:val="center"/>
              </w:trPr>
              <w:tc>
                <w:tcPr>
                  <w:tcW w:w="3164" w:type="dxa"/>
                  <w:tcBorders>
                    <w:top w:val="single" w:sz="6" w:space="0" w:color="auto"/>
                    <w:left w:val="single" w:sz="8" w:space="0" w:color="auto"/>
                    <w:bottom w:val="single" w:sz="6" w:space="0" w:color="auto"/>
                    <w:right w:val="nil"/>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has some delays, expect to achieve by year end</w:t>
                  </w:r>
                </w:p>
              </w:tc>
              <w:tc>
                <w:tcPr>
                  <w:tcW w:w="555" w:type="dxa"/>
                  <w:tcBorders>
                    <w:top w:val="nil"/>
                    <w:left w:val="single" w:sz="8" w:space="0" w:color="auto"/>
                    <w:bottom w:val="single" w:sz="8" w:space="0" w:color="auto"/>
                    <w:right w:val="single" w:sz="8" w:space="0" w:color="auto"/>
                  </w:tcBorders>
                  <w:shd w:val="clear" w:color="000000" w:fill="F79646"/>
                  <w:vAlign w:val="center"/>
                  <w:hideMark/>
                </w:tcPr>
                <w:p w:rsidR="00F73D71" w:rsidRPr="002D455E" w:rsidRDefault="00F73D71" w:rsidP="00F73D71">
                  <w:pPr>
                    <w:spacing w:after="0" w:line="240" w:lineRule="auto"/>
                    <w:jc w:val="center"/>
                    <w:rPr>
                      <w:rFonts w:eastAsia="Times New Roman" w:cs="Arial"/>
                      <w:color w:val="000000"/>
                      <w:sz w:val="20"/>
                      <w:szCs w:val="20"/>
                      <w:lang w:eastAsia="en-GB"/>
                    </w:rPr>
                  </w:pPr>
                  <w:r w:rsidRPr="002D455E">
                    <w:rPr>
                      <w:rFonts w:eastAsia="Times New Roman" w:cs="Arial"/>
                      <w:color w:val="000000"/>
                      <w:sz w:val="20"/>
                      <w:szCs w:val="20"/>
                      <w:lang w:eastAsia="en-GB"/>
                    </w:rPr>
                    <w:t>0</w:t>
                  </w:r>
                </w:p>
              </w:tc>
            </w:tr>
            <w:tr w:rsidR="00F73D71" w:rsidRPr="002D455E" w:rsidTr="00472A77">
              <w:trPr>
                <w:trHeight w:val="270"/>
                <w:jc w:val="center"/>
              </w:trPr>
              <w:tc>
                <w:tcPr>
                  <w:tcW w:w="3164" w:type="dxa"/>
                  <w:tcBorders>
                    <w:top w:val="single" w:sz="6" w:space="0" w:color="auto"/>
                    <w:left w:val="single" w:sz="8" w:space="0" w:color="auto"/>
                    <w:bottom w:val="single" w:sz="6"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on target</w:t>
                  </w:r>
                </w:p>
              </w:tc>
              <w:tc>
                <w:tcPr>
                  <w:tcW w:w="555" w:type="dxa"/>
                  <w:tcBorders>
                    <w:top w:val="nil"/>
                    <w:left w:val="single" w:sz="8" w:space="0" w:color="auto"/>
                    <w:bottom w:val="single" w:sz="8" w:space="0" w:color="auto"/>
                    <w:right w:val="single" w:sz="8" w:space="0" w:color="auto"/>
                  </w:tcBorders>
                  <w:shd w:val="clear" w:color="000000" w:fill="9BBB59"/>
                  <w:vAlign w:val="center"/>
                  <w:hideMark/>
                </w:tcPr>
                <w:p w:rsidR="00F73D71" w:rsidRPr="002D455E" w:rsidRDefault="00F73D71" w:rsidP="00F73D71">
                  <w:pPr>
                    <w:spacing w:after="0" w:line="240" w:lineRule="auto"/>
                    <w:jc w:val="center"/>
                    <w:rPr>
                      <w:rFonts w:eastAsia="Times New Roman" w:cs="Arial"/>
                      <w:color w:val="000000"/>
                      <w:sz w:val="20"/>
                      <w:szCs w:val="20"/>
                      <w:lang w:eastAsia="en-GB"/>
                    </w:rPr>
                  </w:pPr>
                  <w:r w:rsidRPr="002D455E">
                    <w:rPr>
                      <w:rFonts w:eastAsia="Times New Roman" w:cs="Arial"/>
                      <w:color w:val="000000"/>
                      <w:sz w:val="20"/>
                      <w:szCs w:val="20"/>
                      <w:lang w:eastAsia="en-GB"/>
                    </w:rPr>
                    <w:t>15</w:t>
                  </w:r>
                </w:p>
              </w:tc>
            </w:tr>
            <w:tr w:rsidR="00F73D71" w:rsidRPr="002D455E" w:rsidTr="00472A77">
              <w:trPr>
                <w:trHeight w:val="270"/>
                <w:jc w:val="center"/>
              </w:trPr>
              <w:tc>
                <w:tcPr>
                  <w:tcW w:w="3164" w:type="dxa"/>
                  <w:tcBorders>
                    <w:top w:val="single" w:sz="6" w:space="0" w:color="auto"/>
                    <w:left w:val="single" w:sz="8" w:space="0" w:color="auto"/>
                    <w:bottom w:val="single" w:sz="8"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Completed</w:t>
                  </w:r>
                </w:p>
              </w:tc>
              <w:tc>
                <w:tcPr>
                  <w:tcW w:w="555" w:type="dxa"/>
                  <w:tcBorders>
                    <w:top w:val="nil"/>
                    <w:left w:val="single" w:sz="8" w:space="0" w:color="auto"/>
                    <w:bottom w:val="single" w:sz="8" w:space="0" w:color="auto"/>
                    <w:right w:val="single" w:sz="8" w:space="0" w:color="auto"/>
                  </w:tcBorders>
                  <w:shd w:val="clear" w:color="auto" w:fill="auto"/>
                  <w:vAlign w:val="center"/>
                  <w:hideMark/>
                </w:tcPr>
                <w:p w:rsidR="00F73D71" w:rsidRPr="002D455E" w:rsidRDefault="00F73D71" w:rsidP="00F73D71">
                  <w:pPr>
                    <w:spacing w:after="0" w:line="240" w:lineRule="auto"/>
                    <w:jc w:val="center"/>
                    <w:rPr>
                      <w:rFonts w:eastAsia="Times New Roman" w:cs="Arial"/>
                      <w:color w:val="000000"/>
                      <w:sz w:val="20"/>
                      <w:szCs w:val="20"/>
                      <w:lang w:eastAsia="en-GB"/>
                    </w:rPr>
                  </w:pPr>
                  <w:r w:rsidRPr="002D455E">
                    <w:rPr>
                      <w:rFonts w:eastAsia="Times New Roman" w:cs="Arial"/>
                      <w:color w:val="000000"/>
                      <w:sz w:val="20"/>
                      <w:szCs w:val="20"/>
                      <w:lang w:eastAsia="en-GB"/>
                    </w:rPr>
                    <w:t>4</w:t>
                  </w:r>
                </w:p>
              </w:tc>
            </w:tr>
          </w:tbl>
          <w:p w:rsidR="00F73D71" w:rsidRDefault="00F73D71" w:rsidP="00F73D71">
            <w:pPr>
              <w:jc w:val="right"/>
            </w:pPr>
          </w:p>
        </w:tc>
      </w:tr>
      <w:tr w:rsidR="00DB0034" w:rsidRPr="00684443" w:rsidTr="00472A77">
        <w:tc>
          <w:tcPr>
            <w:tcW w:w="10064" w:type="dxa"/>
            <w:gridSpan w:val="3"/>
            <w:tcBorders>
              <w:left w:val="single" w:sz="12" w:space="0" w:color="auto"/>
              <w:bottom w:val="single" w:sz="12" w:space="0" w:color="auto"/>
              <w:right w:val="single" w:sz="12" w:space="0" w:color="auto"/>
            </w:tcBorders>
            <w:shd w:val="clear" w:color="auto" w:fill="7030A0"/>
          </w:tcPr>
          <w:p w:rsidR="00DB0034" w:rsidRPr="00684443" w:rsidRDefault="00DB0034" w:rsidP="00050A38">
            <w:pPr>
              <w:spacing w:before="120" w:line="240" w:lineRule="auto"/>
              <w:jc w:val="center"/>
              <w:rPr>
                <w:b/>
                <w:color w:val="FFFFFF" w:themeColor="background1"/>
                <w:sz w:val="20"/>
                <w:szCs w:val="18"/>
              </w:rPr>
            </w:pPr>
            <w:r w:rsidRPr="00684443">
              <w:rPr>
                <w:b/>
                <w:color w:val="FFFFFF" w:themeColor="background1"/>
                <w:sz w:val="20"/>
                <w:szCs w:val="18"/>
              </w:rPr>
              <w:t>Objective has serious delays in achieving (red)</w:t>
            </w:r>
          </w:p>
        </w:tc>
      </w:tr>
      <w:tr w:rsidR="00DB0034" w:rsidRPr="00050A38" w:rsidTr="00472A77">
        <w:tc>
          <w:tcPr>
            <w:tcW w:w="4961" w:type="dxa"/>
            <w:tcBorders>
              <w:top w:val="single" w:sz="12" w:space="0" w:color="auto"/>
              <w:left w:val="single" w:sz="12" w:space="0" w:color="auto"/>
              <w:bottom w:val="single" w:sz="6" w:space="0" w:color="auto"/>
              <w:right w:val="single" w:sz="6" w:space="0" w:color="auto"/>
            </w:tcBorders>
            <w:shd w:val="clear" w:color="auto" w:fill="auto"/>
          </w:tcPr>
          <w:p w:rsidR="00DB0034" w:rsidRPr="00050A38" w:rsidRDefault="00DB0034" w:rsidP="00050A38">
            <w:pPr>
              <w:pStyle w:val="ListParagraph"/>
              <w:numPr>
                <w:ilvl w:val="0"/>
                <w:numId w:val="39"/>
              </w:numPr>
              <w:spacing w:before="120" w:line="240" w:lineRule="auto"/>
              <w:ind w:left="360"/>
              <w:rPr>
                <w:sz w:val="20"/>
                <w:szCs w:val="18"/>
              </w:rPr>
            </w:pPr>
            <w:r w:rsidRPr="00050A38">
              <w:rPr>
                <w:rFonts w:cs="Arial"/>
                <w:sz w:val="20"/>
                <w:szCs w:val="18"/>
              </w:rPr>
              <w:t>95% of applications to full research ethics committee meetings to receive final decision within 40 calendar days</w:t>
            </w:r>
            <w:r w:rsidR="00B14587" w:rsidRPr="00050A38">
              <w:rPr>
                <w:rFonts w:cs="Arial"/>
                <w:sz w:val="20"/>
                <w:szCs w:val="18"/>
              </w:rPr>
              <w:br/>
            </w:r>
            <w:r w:rsidR="00B14587" w:rsidRPr="00050A38">
              <w:rPr>
                <w:rFonts w:cs="Arial"/>
                <w:i/>
                <w:sz w:val="20"/>
                <w:szCs w:val="18"/>
              </w:rPr>
              <w:t>(REC requirement is 60 calendar days; the HRA has set stretched targets of 95% within 40 calendar days for applications going through full committee)</w:t>
            </w:r>
          </w:p>
        </w:tc>
        <w:tc>
          <w:tcPr>
            <w:tcW w:w="5103" w:type="dxa"/>
            <w:gridSpan w:val="2"/>
            <w:tcBorders>
              <w:top w:val="single" w:sz="12" w:space="0" w:color="auto"/>
              <w:left w:val="single" w:sz="6" w:space="0" w:color="auto"/>
              <w:bottom w:val="single" w:sz="6" w:space="0" w:color="auto"/>
              <w:right w:val="single" w:sz="12" w:space="0" w:color="auto"/>
            </w:tcBorders>
            <w:shd w:val="clear" w:color="auto" w:fill="auto"/>
          </w:tcPr>
          <w:p w:rsidR="00DB0034" w:rsidRPr="00050A38" w:rsidRDefault="00B14587" w:rsidP="003A4398">
            <w:pPr>
              <w:spacing w:before="120" w:line="240" w:lineRule="auto"/>
              <w:rPr>
                <w:sz w:val="20"/>
                <w:szCs w:val="18"/>
              </w:rPr>
            </w:pPr>
            <w:r w:rsidRPr="00050A38">
              <w:rPr>
                <w:rFonts w:cs="Arial"/>
                <w:sz w:val="20"/>
                <w:szCs w:val="18"/>
              </w:rPr>
              <w:t>77% compliance in December (75% in Nove</w:t>
            </w:r>
            <w:r w:rsidR="00050A38">
              <w:rPr>
                <w:rFonts w:cs="Arial"/>
                <w:sz w:val="20"/>
                <w:szCs w:val="18"/>
              </w:rPr>
              <w:t>mber)</w:t>
            </w:r>
            <w:r w:rsidRPr="00050A38">
              <w:rPr>
                <w:rFonts w:cs="Arial"/>
                <w:sz w:val="20"/>
                <w:szCs w:val="18"/>
              </w:rPr>
              <w:t xml:space="preserve"> </w:t>
            </w:r>
            <w:r w:rsidRPr="00050A38">
              <w:rPr>
                <w:rFonts w:cs="Arial"/>
                <w:sz w:val="20"/>
                <w:szCs w:val="18"/>
              </w:rPr>
              <w:br/>
            </w:r>
            <w:r w:rsidRPr="00050A38">
              <w:rPr>
                <w:rFonts w:cs="Arial"/>
                <w:sz w:val="20"/>
                <w:szCs w:val="18"/>
              </w:rPr>
              <w:br/>
              <w:t xml:space="preserve">2013/14 has seen an </w:t>
            </w:r>
            <w:r w:rsidR="00713D2E">
              <w:rPr>
                <w:rFonts w:cs="Arial"/>
                <w:sz w:val="20"/>
                <w:szCs w:val="18"/>
              </w:rPr>
              <w:t xml:space="preserve">ongoing </w:t>
            </w:r>
            <w:r w:rsidRPr="00050A38">
              <w:rPr>
                <w:rFonts w:cs="Arial"/>
                <w:sz w:val="20"/>
                <w:szCs w:val="18"/>
              </w:rPr>
              <w:t>improvement in the number of applications reviewed within statutory timelines (60 calendar days)</w:t>
            </w:r>
            <w:r w:rsidRPr="00050A38">
              <w:rPr>
                <w:rFonts w:cs="Arial"/>
                <w:sz w:val="20"/>
                <w:szCs w:val="18"/>
              </w:rPr>
              <w:br/>
            </w:r>
            <w:r w:rsidRPr="00050A38">
              <w:rPr>
                <w:rFonts w:cs="Arial"/>
                <w:sz w:val="20"/>
                <w:szCs w:val="18"/>
              </w:rPr>
              <w:br/>
            </w:r>
            <w:r w:rsidR="003A4398">
              <w:rPr>
                <w:rFonts w:cs="Arial"/>
                <w:i/>
                <w:sz w:val="20"/>
                <w:szCs w:val="18"/>
              </w:rPr>
              <w:t>(See p.22</w:t>
            </w:r>
            <w:r w:rsidRPr="00050A38">
              <w:rPr>
                <w:rFonts w:cs="Arial"/>
                <w:i/>
                <w:sz w:val="20"/>
                <w:szCs w:val="18"/>
              </w:rPr>
              <w:t>)</w:t>
            </w:r>
          </w:p>
        </w:tc>
      </w:tr>
      <w:tr w:rsidR="00B14587" w:rsidRPr="00050A38" w:rsidTr="00472A77">
        <w:tc>
          <w:tcPr>
            <w:tcW w:w="4961" w:type="dxa"/>
            <w:tcBorders>
              <w:top w:val="single" w:sz="6" w:space="0" w:color="auto"/>
              <w:left w:val="single" w:sz="12" w:space="0" w:color="auto"/>
              <w:bottom w:val="single" w:sz="6" w:space="0" w:color="auto"/>
              <w:right w:val="single" w:sz="6" w:space="0" w:color="auto"/>
            </w:tcBorders>
            <w:shd w:val="clear" w:color="auto" w:fill="auto"/>
          </w:tcPr>
          <w:p w:rsidR="00B14587" w:rsidRPr="00050A38" w:rsidRDefault="00B14587" w:rsidP="00050A38">
            <w:pPr>
              <w:pStyle w:val="ListParagraph"/>
              <w:numPr>
                <w:ilvl w:val="0"/>
                <w:numId w:val="39"/>
              </w:numPr>
              <w:spacing w:before="120" w:line="240" w:lineRule="auto"/>
              <w:ind w:left="360"/>
              <w:rPr>
                <w:rFonts w:cs="Arial"/>
                <w:sz w:val="20"/>
                <w:szCs w:val="18"/>
              </w:rPr>
            </w:pPr>
            <w:r w:rsidRPr="00050A38">
              <w:rPr>
                <w:rFonts w:cs="Arial"/>
                <w:sz w:val="20"/>
                <w:szCs w:val="18"/>
              </w:rPr>
              <w:t>95% of amendments, on approved applications, to receive a decision within 28 calendar days</w:t>
            </w:r>
            <w:r w:rsidRPr="00050A38">
              <w:rPr>
                <w:rFonts w:cs="Arial"/>
                <w:sz w:val="20"/>
                <w:szCs w:val="18"/>
              </w:rPr>
              <w:br/>
            </w:r>
            <w:r w:rsidRPr="00050A38">
              <w:rPr>
                <w:rFonts w:cs="Arial"/>
                <w:i/>
                <w:sz w:val="20"/>
                <w:szCs w:val="18"/>
              </w:rPr>
              <w:t>(REC requirement is 35 calendar days; the HRA has set a stretched target of 28 days)</w:t>
            </w:r>
          </w:p>
        </w:tc>
        <w:tc>
          <w:tcPr>
            <w:tcW w:w="5103" w:type="dxa"/>
            <w:gridSpan w:val="2"/>
            <w:tcBorders>
              <w:top w:val="single" w:sz="6" w:space="0" w:color="auto"/>
              <w:left w:val="single" w:sz="6" w:space="0" w:color="auto"/>
              <w:bottom w:val="single" w:sz="6" w:space="0" w:color="auto"/>
              <w:right w:val="single" w:sz="12" w:space="0" w:color="auto"/>
            </w:tcBorders>
            <w:shd w:val="clear" w:color="auto" w:fill="auto"/>
          </w:tcPr>
          <w:p w:rsidR="00050A38" w:rsidRDefault="00B14587" w:rsidP="00050A38">
            <w:pPr>
              <w:spacing w:before="120" w:line="240" w:lineRule="auto"/>
              <w:rPr>
                <w:rFonts w:cs="Arial"/>
                <w:sz w:val="20"/>
                <w:szCs w:val="18"/>
              </w:rPr>
            </w:pPr>
            <w:r w:rsidRPr="00050A38">
              <w:rPr>
                <w:rFonts w:cs="Arial"/>
                <w:sz w:val="20"/>
                <w:szCs w:val="18"/>
              </w:rPr>
              <w:t>88% compliance in December (87% in November</w:t>
            </w:r>
            <w:r w:rsidR="00050A38">
              <w:rPr>
                <w:rFonts w:cs="Arial"/>
                <w:sz w:val="20"/>
                <w:szCs w:val="18"/>
              </w:rPr>
              <w:t>)</w:t>
            </w:r>
          </w:p>
          <w:p w:rsidR="00B14587" w:rsidRPr="00050A38" w:rsidRDefault="00B14587" w:rsidP="00050A38">
            <w:pPr>
              <w:spacing w:before="120" w:line="240" w:lineRule="auto"/>
              <w:rPr>
                <w:rFonts w:cs="Arial"/>
                <w:i/>
                <w:sz w:val="20"/>
                <w:szCs w:val="18"/>
              </w:rPr>
            </w:pPr>
            <w:r w:rsidRPr="00050A38">
              <w:rPr>
                <w:rFonts w:cs="Arial"/>
                <w:sz w:val="20"/>
                <w:szCs w:val="18"/>
              </w:rPr>
              <w:br/>
            </w:r>
            <w:r w:rsidR="003A4398">
              <w:rPr>
                <w:rFonts w:cs="Arial"/>
                <w:i/>
                <w:sz w:val="20"/>
                <w:szCs w:val="18"/>
              </w:rPr>
              <w:t>(See p.24</w:t>
            </w:r>
            <w:r w:rsidRPr="00050A38">
              <w:rPr>
                <w:rFonts w:cs="Arial"/>
                <w:i/>
                <w:sz w:val="20"/>
                <w:szCs w:val="18"/>
              </w:rPr>
              <w:t>)</w:t>
            </w:r>
          </w:p>
        </w:tc>
      </w:tr>
      <w:tr w:rsidR="00DB0034" w:rsidRPr="00050A38" w:rsidTr="00472A77">
        <w:tc>
          <w:tcPr>
            <w:tcW w:w="4961" w:type="dxa"/>
            <w:tcBorders>
              <w:top w:val="single" w:sz="6" w:space="0" w:color="auto"/>
              <w:left w:val="single" w:sz="12" w:space="0" w:color="auto"/>
              <w:bottom w:val="single" w:sz="6" w:space="0" w:color="auto"/>
              <w:right w:val="single" w:sz="6" w:space="0" w:color="auto"/>
            </w:tcBorders>
            <w:shd w:val="clear" w:color="auto" w:fill="auto"/>
          </w:tcPr>
          <w:p w:rsidR="00DB0034" w:rsidRPr="00050A38" w:rsidRDefault="00DB0034" w:rsidP="00050A38">
            <w:pPr>
              <w:pStyle w:val="ListParagraph"/>
              <w:numPr>
                <w:ilvl w:val="0"/>
                <w:numId w:val="39"/>
              </w:numPr>
              <w:spacing w:before="120" w:line="240" w:lineRule="auto"/>
              <w:ind w:left="360"/>
              <w:rPr>
                <w:sz w:val="20"/>
                <w:szCs w:val="18"/>
              </w:rPr>
            </w:pPr>
            <w:r w:rsidRPr="00050A38">
              <w:rPr>
                <w:rFonts w:cs="Arial"/>
                <w:sz w:val="20"/>
                <w:szCs w:val="18"/>
              </w:rPr>
              <w:t>Reduce S251 approval timelines in line with other approvals within HRA</w:t>
            </w:r>
          </w:p>
        </w:tc>
        <w:tc>
          <w:tcPr>
            <w:tcW w:w="5103" w:type="dxa"/>
            <w:gridSpan w:val="2"/>
            <w:tcBorders>
              <w:top w:val="single" w:sz="6" w:space="0" w:color="auto"/>
              <w:left w:val="single" w:sz="6" w:space="0" w:color="auto"/>
              <w:bottom w:val="single" w:sz="6" w:space="0" w:color="auto"/>
              <w:right w:val="single" w:sz="12" w:space="0" w:color="auto"/>
            </w:tcBorders>
            <w:shd w:val="clear" w:color="auto" w:fill="auto"/>
          </w:tcPr>
          <w:p w:rsidR="00DB0034" w:rsidRPr="00050A38" w:rsidRDefault="00DB0034" w:rsidP="00050A38">
            <w:pPr>
              <w:spacing w:before="120" w:line="240" w:lineRule="auto"/>
              <w:rPr>
                <w:sz w:val="20"/>
                <w:szCs w:val="18"/>
              </w:rPr>
            </w:pPr>
            <w:r w:rsidRPr="00050A38">
              <w:rPr>
                <w:rFonts w:cs="Arial"/>
                <w:sz w:val="20"/>
                <w:szCs w:val="18"/>
              </w:rPr>
              <w:t>Reduction in processing timescales for CAG activities is expected to be reduced from January 2014 following successful recruitment</w:t>
            </w:r>
            <w:r w:rsidR="00713D2E">
              <w:rPr>
                <w:rFonts w:cs="Arial"/>
                <w:sz w:val="20"/>
                <w:szCs w:val="18"/>
              </w:rPr>
              <w:t xml:space="preserve"> to the team</w:t>
            </w:r>
          </w:p>
        </w:tc>
      </w:tr>
      <w:tr w:rsidR="00DB0034" w:rsidRPr="00050A38" w:rsidTr="00472A77">
        <w:tc>
          <w:tcPr>
            <w:tcW w:w="4961" w:type="dxa"/>
            <w:tcBorders>
              <w:top w:val="single" w:sz="6" w:space="0" w:color="auto"/>
              <w:left w:val="single" w:sz="12" w:space="0" w:color="auto"/>
              <w:bottom w:val="single" w:sz="6" w:space="0" w:color="auto"/>
              <w:right w:val="single" w:sz="6" w:space="0" w:color="auto"/>
            </w:tcBorders>
            <w:shd w:val="clear" w:color="auto" w:fill="auto"/>
          </w:tcPr>
          <w:p w:rsidR="00DB0034" w:rsidRPr="00050A38" w:rsidRDefault="00DB0034" w:rsidP="00050A38">
            <w:pPr>
              <w:pStyle w:val="ListParagraph"/>
              <w:numPr>
                <w:ilvl w:val="0"/>
                <w:numId w:val="39"/>
              </w:numPr>
              <w:spacing w:before="120" w:line="240" w:lineRule="auto"/>
              <w:ind w:left="360"/>
              <w:rPr>
                <w:sz w:val="20"/>
                <w:szCs w:val="18"/>
              </w:rPr>
            </w:pPr>
            <w:r w:rsidRPr="00050A38">
              <w:rPr>
                <w:rFonts w:cs="Arial"/>
                <w:sz w:val="20"/>
                <w:szCs w:val="18"/>
              </w:rPr>
              <w:t>Publish 50% of research summaries (from the current 15%) of applications receiving review at full committee</w:t>
            </w:r>
          </w:p>
        </w:tc>
        <w:tc>
          <w:tcPr>
            <w:tcW w:w="5103" w:type="dxa"/>
            <w:gridSpan w:val="2"/>
            <w:tcBorders>
              <w:top w:val="single" w:sz="6" w:space="0" w:color="auto"/>
              <w:left w:val="single" w:sz="6" w:space="0" w:color="auto"/>
              <w:bottom w:val="single" w:sz="6" w:space="0" w:color="auto"/>
              <w:right w:val="single" w:sz="12" w:space="0" w:color="auto"/>
            </w:tcBorders>
            <w:shd w:val="clear" w:color="auto" w:fill="auto"/>
          </w:tcPr>
          <w:p w:rsidR="00DB0034" w:rsidRPr="00050A38" w:rsidRDefault="00B14587" w:rsidP="00050A38">
            <w:pPr>
              <w:spacing w:before="120" w:line="240" w:lineRule="auto"/>
              <w:rPr>
                <w:sz w:val="20"/>
                <w:szCs w:val="18"/>
              </w:rPr>
            </w:pPr>
            <w:r w:rsidRPr="00050A38">
              <w:rPr>
                <w:rFonts w:cs="Arial"/>
                <w:sz w:val="20"/>
                <w:szCs w:val="18"/>
              </w:rPr>
              <w:t>T</w:t>
            </w:r>
            <w:r w:rsidR="00DB0034" w:rsidRPr="00050A38">
              <w:rPr>
                <w:rFonts w:cs="Arial"/>
                <w:sz w:val="20"/>
                <w:szCs w:val="18"/>
              </w:rPr>
              <w:t xml:space="preserve">echnical difficulties </w:t>
            </w:r>
            <w:r w:rsidRPr="00050A38">
              <w:rPr>
                <w:rFonts w:cs="Arial"/>
                <w:sz w:val="20"/>
                <w:szCs w:val="18"/>
              </w:rPr>
              <w:t>will</w:t>
            </w:r>
            <w:r w:rsidR="00DB0034" w:rsidRPr="00050A38">
              <w:rPr>
                <w:rFonts w:cs="Arial"/>
                <w:sz w:val="20"/>
                <w:szCs w:val="18"/>
              </w:rPr>
              <w:t xml:space="preserve"> </w:t>
            </w:r>
            <w:r w:rsidRPr="00050A38">
              <w:rPr>
                <w:rFonts w:cs="Arial"/>
                <w:sz w:val="20"/>
                <w:szCs w:val="18"/>
              </w:rPr>
              <w:t>preclude HRA from</w:t>
            </w:r>
            <w:r w:rsidR="00DB0034" w:rsidRPr="00050A38">
              <w:rPr>
                <w:rFonts w:cs="Arial"/>
                <w:sz w:val="20"/>
                <w:szCs w:val="18"/>
              </w:rPr>
              <w:t xml:space="preserve"> publish</w:t>
            </w:r>
            <w:r w:rsidRPr="00050A38">
              <w:rPr>
                <w:rFonts w:cs="Arial"/>
                <w:sz w:val="20"/>
                <w:szCs w:val="18"/>
              </w:rPr>
              <w:t>ing</w:t>
            </w:r>
            <w:r w:rsidR="00DB0034" w:rsidRPr="00050A38">
              <w:rPr>
                <w:rFonts w:cs="Arial"/>
                <w:sz w:val="20"/>
                <w:szCs w:val="18"/>
              </w:rPr>
              <w:t xml:space="preserve"> 50% by the end of March</w:t>
            </w:r>
            <w:r w:rsidR="00713D2E">
              <w:rPr>
                <w:rFonts w:cs="Arial"/>
                <w:sz w:val="20"/>
                <w:szCs w:val="18"/>
              </w:rPr>
              <w:t xml:space="preserve"> 2014</w:t>
            </w:r>
            <w:r w:rsidR="00DB0034" w:rsidRPr="00050A38">
              <w:rPr>
                <w:rFonts w:cs="Arial"/>
                <w:sz w:val="20"/>
                <w:szCs w:val="18"/>
              </w:rPr>
              <w:t xml:space="preserve">.  </w:t>
            </w:r>
            <w:r w:rsidRPr="00050A38">
              <w:rPr>
                <w:rFonts w:cs="Arial"/>
                <w:sz w:val="20"/>
                <w:szCs w:val="18"/>
              </w:rPr>
              <w:t>D</w:t>
            </w:r>
            <w:r w:rsidR="00DB0034" w:rsidRPr="00050A38">
              <w:rPr>
                <w:rFonts w:cs="Arial"/>
                <w:sz w:val="20"/>
                <w:szCs w:val="18"/>
              </w:rPr>
              <w:t xml:space="preserve">elivery of </w:t>
            </w:r>
            <w:r w:rsidR="00713D2E">
              <w:rPr>
                <w:rFonts w:cs="Arial"/>
                <w:sz w:val="20"/>
                <w:szCs w:val="18"/>
              </w:rPr>
              <w:t xml:space="preserve">a </w:t>
            </w:r>
            <w:r w:rsidR="00DB0034" w:rsidRPr="00050A38">
              <w:rPr>
                <w:rFonts w:cs="Arial"/>
                <w:sz w:val="20"/>
                <w:szCs w:val="18"/>
              </w:rPr>
              <w:t xml:space="preserve">new research ethics database (HARP) and </w:t>
            </w:r>
            <w:r w:rsidRPr="00050A38">
              <w:rPr>
                <w:rFonts w:cs="Arial"/>
                <w:sz w:val="20"/>
                <w:szCs w:val="18"/>
              </w:rPr>
              <w:t>enhancements to</w:t>
            </w:r>
            <w:r w:rsidR="00050A38">
              <w:rPr>
                <w:rFonts w:cs="Arial"/>
                <w:sz w:val="20"/>
                <w:szCs w:val="18"/>
              </w:rPr>
              <w:t xml:space="preserve"> the HRA website</w:t>
            </w:r>
            <w:r w:rsidR="00DB0034" w:rsidRPr="00050A38">
              <w:rPr>
                <w:rFonts w:cs="Arial"/>
                <w:sz w:val="20"/>
                <w:szCs w:val="18"/>
              </w:rPr>
              <w:t xml:space="preserve"> </w:t>
            </w:r>
            <w:r w:rsidRPr="00050A38">
              <w:rPr>
                <w:rFonts w:cs="Arial"/>
                <w:sz w:val="20"/>
                <w:szCs w:val="18"/>
              </w:rPr>
              <w:t>will enable</w:t>
            </w:r>
            <w:r w:rsidR="00DB0034" w:rsidRPr="00050A38">
              <w:rPr>
                <w:rFonts w:cs="Arial"/>
                <w:sz w:val="20"/>
                <w:szCs w:val="18"/>
              </w:rPr>
              <w:t xml:space="preserve"> all research summaries </w:t>
            </w:r>
            <w:r w:rsidRPr="00050A38">
              <w:rPr>
                <w:rFonts w:cs="Arial"/>
                <w:sz w:val="20"/>
                <w:szCs w:val="18"/>
              </w:rPr>
              <w:t xml:space="preserve">to be published early in </w:t>
            </w:r>
            <w:r w:rsidR="00713D2E">
              <w:rPr>
                <w:rFonts w:cs="Arial"/>
                <w:sz w:val="20"/>
                <w:szCs w:val="18"/>
              </w:rPr>
              <w:t xml:space="preserve">the </w:t>
            </w:r>
            <w:r w:rsidRPr="00050A38">
              <w:rPr>
                <w:rFonts w:cs="Arial"/>
                <w:sz w:val="20"/>
                <w:szCs w:val="18"/>
              </w:rPr>
              <w:t>new financial year</w:t>
            </w:r>
            <w:r w:rsidR="002D455E">
              <w:rPr>
                <w:rFonts w:cs="Arial"/>
                <w:sz w:val="20"/>
                <w:szCs w:val="18"/>
              </w:rPr>
              <w:t xml:space="preserve"> and moving forward</w:t>
            </w:r>
          </w:p>
        </w:tc>
      </w:tr>
      <w:tr w:rsidR="00050A38" w:rsidRPr="00050A38" w:rsidTr="00472A77">
        <w:tc>
          <w:tcPr>
            <w:tcW w:w="4961" w:type="dxa"/>
            <w:tcBorders>
              <w:top w:val="single" w:sz="6" w:space="0" w:color="auto"/>
              <w:left w:val="single" w:sz="12" w:space="0" w:color="auto"/>
              <w:bottom w:val="single" w:sz="12" w:space="0" w:color="auto"/>
              <w:right w:val="single" w:sz="6" w:space="0" w:color="auto"/>
            </w:tcBorders>
            <w:shd w:val="clear" w:color="auto" w:fill="auto"/>
          </w:tcPr>
          <w:p w:rsidR="00050A38" w:rsidRPr="00050A38" w:rsidRDefault="00050A38" w:rsidP="00050A38">
            <w:pPr>
              <w:pStyle w:val="ListParagraph"/>
              <w:numPr>
                <w:ilvl w:val="0"/>
                <w:numId w:val="39"/>
              </w:numPr>
              <w:spacing w:before="120" w:line="240" w:lineRule="auto"/>
              <w:ind w:left="317" w:hanging="317"/>
              <w:rPr>
                <w:rFonts w:cs="Arial"/>
                <w:sz w:val="20"/>
                <w:szCs w:val="18"/>
              </w:rPr>
            </w:pPr>
            <w:r w:rsidRPr="00050A38">
              <w:rPr>
                <w:rFonts w:cs="Arial"/>
                <w:sz w:val="20"/>
                <w:szCs w:val="18"/>
              </w:rPr>
              <w:lastRenderedPageBreak/>
              <w:t>Demonstrate improved website user satisfaction</w:t>
            </w:r>
          </w:p>
        </w:tc>
        <w:tc>
          <w:tcPr>
            <w:tcW w:w="5103" w:type="dxa"/>
            <w:gridSpan w:val="2"/>
            <w:tcBorders>
              <w:top w:val="single" w:sz="6" w:space="0" w:color="auto"/>
              <w:left w:val="single" w:sz="6" w:space="0" w:color="auto"/>
              <w:bottom w:val="single" w:sz="12" w:space="0" w:color="auto"/>
              <w:right w:val="single" w:sz="12" w:space="0" w:color="auto"/>
            </w:tcBorders>
            <w:shd w:val="clear" w:color="auto" w:fill="auto"/>
          </w:tcPr>
          <w:p w:rsidR="00050A38" w:rsidRPr="00050A38" w:rsidRDefault="00050A38" w:rsidP="00050A38">
            <w:pPr>
              <w:spacing w:before="120" w:line="240" w:lineRule="auto"/>
              <w:rPr>
                <w:sz w:val="20"/>
                <w:szCs w:val="18"/>
              </w:rPr>
            </w:pPr>
            <w:r w:rsidRPr="00050A38">
              <w:rPr>
                <w:rFonts w:cs="Arial"/>
                <w:sz w:val="20"/>
                <w:szCs w:val="18"/>
              </w:rPr>
              <w:t>User satisfaction survey still to be undertaken.  Anticipate results being available before end of June 2014</w:t>
            </w:r>
          </w:p>
        </w:tc>
      </w:tr>
    </w:tbl>
    <w:p w:rsidR="004D11EB" w:rsidRDefault="004D11EB" w:rsidP="008407A9"/>
    <w:tbl>
      <w:tblPr>
        <w:tblStyle w:val="TableGrid"/>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5358"/>
      </w:tblGrid>
      <w:tr w:rsidR="00050A38" w:rsidRPr="00050A38" w:rsidTr="00684443">
        <w:trPr>
          <w:cnfStyle w:val="100000000000" w:firstRow="1" w:lastRow="0" w:firstColumn="0" w:lastColumn="0" w:oddVBand="0" w:evenVBand="0" w:oddHBand="0" w:evenHBand="0" w:firstRowFirstColumn="0" w:firstRowLastColumn="0" w:lastRowFirstColumn="0" w:lastRowLastColumn="0"/>
        </w:trPr>
        <w:tc>
          <w:tcPr>
            <w:tcW w:w="10065" w:type="dxa"/>
            <w:gridSpan w:val="2"/>
            <w:shd w:val="clear" w:color="auto" w:fill="7030A0"/>
          </w:tcPr>
          <w:p w:rsidR="00050A38" w:rsidRPr="00050A38" w:rsidRDefault="00050A38" w:rsidP="00050A38">
            <w:pPr>
              <w:spacing w:before="120" w:line="240" w:lineRule="auto"/>
              <w:rPr>
                <w:color w:val="FFFFFF" w:themeColor="background1"/>
                <w:sz w:val="20"/>
                <w:szCs w:val="18"/>
              </w:rPr>
            </w:pPr>
            <w:r w:rsidRPr="00050A38">
              <w:rPr>
                <w:color w:val="FFFFFF" w:themeColor="background1"/>
                <w:sz w:val="20"/>
                <w:szCs w:val="18"/>
              </w:rPr>
              <w:t>Objective</w:t>
            </w:r>
            <w:r>
              <w:rPr>
                <w:color w:val="FFFFFF" w:themeColor="background1"/>
                <w:sz w:val="20"/>
                <w:szCs w:val="18"/>
              </w:rPr>
              <w:t>s</w:t>
            </w:r>
            <w:r w:rsidRPr="00050A38">
              <w:rPr>
                <w:color w:val="FFFFFF" w:themeColor="background1"/>
                <w:sz w:val="20"/>
                <w:szCs w:val="18"/>
              </w:rPr>
              <w:t xml:space="preserve"> on target (green)</w:t>
            </w:r>
          </w:p>
        </w:tc>
      </w:tr>
      <w:tr w:rsidR="00050A38" w:rsidRPr="00C44C26" w:rsidTr="00684443">
        <w:tc>
          <w:tcPr>
            <w:tcW w:w="4707" w:type="dxa"/>
            <w:tcBorders>
              <w:top w:val="single" w:sz="12"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57" w:hanging="357"/>
              <w:rPr>
                <w:sz w:val="20"/>
                <w:szCs w:val="20"/>
              </w:rPr>
            </w:pPr>
            <w:r w:rsidRPr="00C44C26">
              <w:rPr>
                <w:rFonts w:cs="Arial"/>
                <w:sz w:val="20"/>
                <w:szCs w:val="20"/>
              </w:rPr>
              <w:t>To consolidate the HRA corporate and visual identity</w:t>
            </w:r>
          </w:p>
        </w:tc>
        <w:tc>
          <w:tcPr>
            <w:tcW w:w="5358" w:type="dxa"/>
            <w:tcBorders>
              <w:top w:val="single" w:sz="12" w:space="0" w:color="auto"/>
              <w:left w:val="single" w:sz="6" w:space="0" w:color="auto"/>
              <w:bottom w:val="single" w:sz="6" w:space="0" w:color="auto"/>
              <w:right w:val="single" w:sz="12" w:space="0" w:color="auto"/>
            </w:tcBorders>
            <w:shd w:val="clear" w:color="auto" w:fill="auto"/>
          </w:tcPr>
          <w:p w:rsidR="00050A38" w:rsidRPr="00C44C26" w:rsidRDefault="00050A38" w:rsidP="00C44C26">
            <w:pPr>
              <w:spacing w:before="120" w:line="240" w:lineRule="auto"/>
              <w:rPr>
                <w:sz w:val="20"/>
                <w:szCs w:val="20"/>
              </w:rPr>
            </w:pPr>
            <w:r w:rsidRPr="00C44C26">
              <w:rPr>
                <w:sz w:val="20"/>
                <w:szCs w:val="20"/>
              </w:rPr>
              <w:t>Visual identity agreed; final development of guidelines/ templates still in progress.  To be completed by end March 2014</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rFonts w:cs="Arial"/>
                <w:sz w:val="20"/>
                <w:szCs w:val="20"/>
              </w:rPr>
            </w:pPr>
            <w:r w:rsidRPr="00C44C26">
              <w:rPr>
                <w:rFonts w:cs="Arial"/>
                <w:sz w:val="20"/>
                <w:szCs w:val="20"/>
              </w:rPr>
              <w:t>Create a common language and understanding within regulation, governance and compliance of quality, risks and standards; seek researcher feedback on how this leads to improved understanding of requirements for regulation and governance</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050A38" w:rsidP="00C44C26">
            <w:pPr>
              <w:spacing w:before="120" w:line="240" w:lineRule="auto"/>
              <w:rPr>
                <w:rFonts w:cs="Arial"/>
                <w:i/>
                <w:sz w:val="20"/>
                <w:szCs w:val="20"/>
              </w:rPr>
            </w:pPr>
            <w:r w:rsidRPr="00C44C26">
              <w:rPr>
                <w:rFonts w:cs="Arial"/>
                <w:sz w:val="20"/>
                <w:szCs w:val="20"/>
              </w:rPr>
              <w:t>Projects within collaboration &amp; development informing preparation for review of Research Governance Framework now brought together with other projects under a new UK-wide steering group</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sz w:val="20"/>
                <w:szCs w:val="20"/>
              </w:rPr>
            </w:pPr>
            <w:r w:rsidRPr="00C44C26">
              <w:rPr>
                <w:rFonts w:cs="Arial"/>
                <w:sz w:val="20"/>
                <w:szCs w:val="20"/>
              </w:rPr>
              <w:t>Monitor REC membership and demonstrate greater diversity in REC member profile so greater alignment with that of the general population</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050A38" w:rsidP="00C44C26">
            <w:pPr>
              <w:spacing w:before="120" w:line="240" w:lineRule="auto"/>
              <w:rPr>
                <w:sz w:val="20"/>
                <w:szCs w:val="20"/>
              </w:rPr>
            </w:pPr>
            <w:r w:rsidRPr="00C44C26">
              <w:rPr>
                <w:bCs/>
                <w:sz w:val="20"/>
                <w:szCs w:val="20"/>
              </w:rPr>
              <w:t>Survey of REC membership completed and report produced.  Awaiting management approval, prior to publication on HRA website</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sz w:val="20"/>
                <w:szCs w:val="20"/>
              </w:rPr>
            </w:pPr>
            <w:r w:rsidRPr="00C44C26">
              <w:rPr>
                <w:rFonts w:cs="Arial"/>
                <w:sz w:val="20"/>
                <w:szCs w:val="20"/>
              </w:rPr>
              <w:t>Publish advice from the Confidentiality Advisory Group and decisions made by the HRA on access to confidential data under Section 251 of the NHS act</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050A38" w:rsidP="00C44C26">
            <w:pPr>
              <w:spacing w:before="120" w:line="240" w:lineRule="auto"/>
              <w:rPr>
                <w:sz w:val="20"/>
                <w:szCs w:val="20"/>
              </w:rPr>
            </w:pPr>
            <w:r w:rsidRPr="00C44C26">
              <w:rPr>
                <w:rFonts w:cs="Arial"/>
                <w:sz w:val="20"/>
                <w:szCs w:val="20"/>
              </w:rPr>
              <w:t>Detailed CAG advice, HRA and Secretary of State approval decisions published in minutes on the HRA website</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rFonts w:cs="Arial"/>
                <w:sz w:val="20"/>
                <w:szCs w:val="20"/>
              </w:rPr>
            </w:pPr>
            <w:r w:rsidRPr="00C44C26">
              <w:rPr>
                <w:rFonts w:cs="Arial"/>
                <w:sz w:val="20"/>
                <w:szCs w:val="20"/>
              </w:rPr>
              <w:t>Determine baseline timeline across full integrated approval pathway to final approval</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050A38" w:rsidP="00C44C26">
            <w:pPr>
              <w:spacing w:before="120" w:line="240" w:lineRule="auto"/>
              <w:rPr>
                <w:rFonts w:cs="Arial"/>
                <w:sz w:val="20"/>
                <w:szCs w:val="20"/>
              </w:rPr>
            </w:pPr>
            <w:r w:rsidRPr="00C44C26">
              <w:rPr>
                <w:rFonts w:cs="Arial"/>
                <w:sz w:val="20"/>
                <w:szCs w:val="20"/>
              </w:rPr>
              <w:t>Proposals for timelines incorporated into business case for HRA Assessment and Approval.  Business case under discussion with DH and outcome awaited</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C44C26">
            <w:pPr>
              <w:pStyle w:val="ListParagraph"/>
              <w:numPr>
                <w:ilvl w:val="0"/>
                <w:numId w:val="39"/>
              </w:numPr>
              <w:spacing w:before="120" w:line="240" w:lineRule="auto"/>
              <w:ind w:left="360"/>
              <w:rPr>
                <w:rFonts w:cs="Arial"/>
                <w:sz w:val="20"/>
                <w:szCs w:val="20"/>
              </w:rPr>
            </w:pPr>
            <w:r w:rsidRPr="00C44C26">
              <w:rPr>
                <w:rFonts w:cs="Arial"/>
                <w:sz w:val="20"/>
                <w:szCs w:val="20"/>
              </w:rPr>
              <w:t>Set target to reduce the timeline UK-wide</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C44C26" w:rsidP="00C44C26">
            <w:pPr>
              <w:spacing w:before="120" w:line="240" w:lineRule="auto"/>
              <w:rPr>
                <w:rFonts w:cs="Arial"/>
                <w:sz w:val="20"/>
                <w:szCs w:val="20"/>
              </w:rPr>
            </w:pPr>
            <w:r w:rsidRPr="00C44C26">
              <w:rPr>
                <w:rFonts w:cs="Arial"/>
                <w:sz w:val="20"/>
                <w:szCs w:val="20"/>
              </w:rPr>
              <w:t>Proposals for HRA Assessment and Approval include performance management based on percentage meeting planned timelines – DH decision required for implementation</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C44C26">
            <w:pPr>
              <w:pStyle w:val="ListParagraph"/>
              <w:numPr>
                <w:ilvl w:val="0"/>
                <w:numId w:val="39"/>
              </w:numPr>
              <w:spacing w:before="120" w:line="240" w:lineRule="auto"/>
              <w:ind w:left="360"/>
              <w:rPr>
                <w:rFonts w:cs="Arial"/>
                <w:sz w:val="20"/>
                <w:szCs w:val="20"/>
              </w:rPr>
            </w:pPr>
            <w:r w:rsidRPr="00C44C26">
              <w:rPr>
                <w:rFonts w:cs="Arial"/>
                <w:sz w:val="20"/>
                <w:szCs w:val="20"/>
              </w:rPr>
              <w:t>Reduce GTAC timelines in line with other HRA RECs</w:t>
            </w:r>
            <w:r>
              <w:rPr>
                <w:rFonts w:cs="Arial"/>
                <w:sz w:val="20"/>
                <w:szCs w:val="20"/>
              </w:rPr>
              <w:br/>
            </w:r>
            <w:r>
              <w:rPr>
                <w:rFonts w:cs="Arial"/>
                <w:i/>
                <w:sz w:val="20"/>
                <w:szCs w:val="20"/>
              </w:rPr>
              <w:t>(</w:t>
            </w:r>
            <w:r w:rsidRPr="00C44C26">
              <w:rPr>
                <w:rFonts w:cs="Arial"/>
                <w:i/>
                <w:sz w:val="20"/>
                <w:szCs w:val="20"/>
              </w:rPr>
              <w:t>GTAC requirement is 90 calendar days; the HRA has stretched targets of 100% in 60</w:t>
            </w:r>
            <w:r>
              <w:rPr>
                <w:rFonts w:cs="Arial"/>
                <w:i/>
                <w:sz w:val="20"/>
                <w:szCs w:val="20"/>
              </w:rPr>
              <w:t> </w:t>
            </w:r>
            <w:r w:rsidRPr="00C44C26">
              <w:rPr>
                <w:rFonts w:cs="Arial"/>
                <w:i/>
                <w:sz w:val="20"/>
                <w:szCs w:val="20"/>
              </w:rPr>
              <w:t>calendar days (previous data shows over 100 days)</w:t>
            </w:r>
            <w:r w:rsidR="00263532">
              <w:rPr>
                <w:rFonts w:cs="Arial"/>
                <w:i/>
                <w:sz w:val="20"/>
                <w:szCs w:val="20"/>
              </w:rPr>
              <w:t>)</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C44C26" w:rsidP="00C44C26">
            <w:pPr>
              <w:spacing w:before="120" w:line="240" w:lineRule="auto"/>
              <w:rPr>
                <w:rFonts w:cs="Arial"/>
                <w:sz w:val="20"/>
                <w:szCs w:val="20"/>
              </w:rPr>
            </w:pPr>
            <w:r w:rsidRPr="00C44C26">
              <w:rPr>
                <w:rFonts w:cs="Arial"/>
                <w:sz w:val="20"/>
                <w:szCs w:val="20"/>
              </w:rPr>
              <w:t>GTAC (Gene Therapy Advisory Committee) has transferred to the HRA and timelines have reduced significantly, but numbers are small so it is too soon to average</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713D2E">
            <w:pPr>
              <w:pStyle w:val="ListParagraph"/>
              <w:numPr>
                <w:ilvl w:val="0"/>
                <w:numId w:val="39"/>
              </w:numPr>
              <w:spacing w:before="120" w:line="240" w:lineRule="auto"/>
              <w:ind w:left="360"/>
              <w:rPr>
                <w:rFonts w:cs="Arial"/>
                <w:sz w:val="20"/>
                <w:szCs w:val="20"/>
              </w:rPr>
            </w:pPr>
            <w:r w:rsidRPr="00C44C26">
              <w:rPr>
                <w:rFonts w:cs="Arial"/>
                <w:sz w:val="20"/>
                <w:szCs w:val="20"/>
              </w:rPr>
              <w:t>Maintain IRAS as an available system 24 hours a day, 7 days per week (to 99%)</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C44C26" w:rsidP="00050A38">
            <w:pPr>
              <w:spacing w:before="120" w:line="240" w:lineRule="auto"/>
              <w:rPr>
                <w:rFonts w:cs="Arial"/>
                <w:sz w:val="20"/>
                <w:szCs w:val="20"/>
              </w:rPr>
            </w:pPr>
            <w:r w:rsidRPr="00C44C26">
              <w:rPr>
                <w:rFonts w:cs="Arial"/>
                <w:sz w:val="20"/>
                <w:szCs w:val="20"/>
              </w:rPr>
              <w:t>100% compliance</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713D2E">
            <w:pPr>
              <w:pStyle w:val="ListParagraph"/>
              <w:numPr>
                <w:ilvl w:val="0"/>
                <w:numId w:val="39"/>
              </w:numPr>
              <w:spacing w:before="120" w:line="240" w:lineRule="auto"/>
              <w:ind w:left="360"/>
              <w:rPr>
                <w:rFonts w:cs="Arial"/>
                <w:sz w:val="20"/>
                <w:szCs w:val="20"/>
              </w:rPr>
            </w:pPr>
            <w:r w:rsidRPr="00C44C26">
              <w:rPr>
                <w:rFonts w:cs="Arial"/>
                <w:sz w:val="20"/>
                <w:szCs w:val="20"/>
              </w:rPr>
              <w:t>Maintain current 4 working days response times to requests for advice (90%)</w:t>
            </w:r>
            <w:r w:rsidRPr="00C44C26">
              <w:rPr>
                <w:rFonts w:cs="Arial"/>
                <w:sz w:val="20"/>
                <w:szCs w:val="20"/>
              </w:rPr>
              <w:br/>
            </w:r>
            <w:r w:rsidRPr="00C44C26">
              <w:rPr>
                <w:rFonts w:cs="Arial"/>
                <w:i/>
                <w:sz w:val="20"/>
                <w:szCs w:val="20"/>
              </w:rPr>
              <w:t>(Quarterly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3A4398" w:rsidP="003A4398">
            <w:pPr>
              <w:spacing w:before="120" w:line="240" w:lineRule="auto"/>
              <w:rPr>
                <w:rFonts w:cs="Arial"/>
                <w:sz w:val="20"/>
                <w:szCs w:val="20"/>
              </w:rPr>
            </w:pPr>
            <w:r>
              <w:rPr>
                <w:rFonts w:cs="Arial"/>
                <w:sz w:val="20"/>
                <w:szCs w:val="20"/>
              </w:rPr>
              <w:t>Quarter 3</w:t>
            </w:r>
            <w:r w:rsidR="00C44C26" w:rsidRPr="00C44C26">
              <w:rPr>
                <w:rFonts w:cs="Arial"/>
                <w:sz w:val="20"/>
                <w:szCs w:val="20"/>
              </w:rPr>
              <w:t xml:space="preserve"> report – </w:t>
            </w:r>
            <w:r w:rsidR="00C44C26" w:rsidRPr="003A4398">
              <w:rPr>
                <w:rFonts w:cs="Arial"/>
                <w:i/>
                <w:sz w:val="20"/>
                <w:szCs w:val="20"/>
              </w:rPr>
              <w:t xml:space="preserve">p. </w:t>
            </w:r>
            <w:r w:rsidRPr="003A4398">
              <w:rPr>
                <w:rFonts w:cs="Arial"/>
                <w:i/>
                <w:sz w:val="20"/>
                <w:szCs w:val="20"/>
              </w:rPr>
              <w:t>11</w:t>
            </w:r>
          </w:p>
        </w:tc>
      </w:tr>
      <w:tr w:rsidR="00050A38"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713D2E">
            <w:pPr>
              <w:pStyle w:val="ListParagraph"/>
              <w:numPr>
                <w:ilvl w:val="0"/>
                <w:numId w:val="39"/>
              </w:numPr>
              <w:spacing w:before="120" w:line="240" w:lineRule="auto"/>
              <w:ind w:left="360"/>
              <w:rPr>
                <w:rFonts w:cs="Arial"/>
                <w:sz w:val="20"/>
                <w:szCs w:val="20"/>
              </w:rPr>
            </w:pPr>
            <w:r w:rsidRPr="00C44C26">
              <w:rPr>
                <w:rFonts w:cs="Arial"/>
                <w:sz w:val="20"/>
                <w:szCs w:val="20"/>
              </w:rPr>
              <w:t>95% of applications to research ethics proportionate review service to receive decision within 14 calendar days</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C44C26" w:rsidP="00C44C26">
            <w:pPr>
              <w:rPr>
                <w:rFonts w:cs="Arial"/>
                <w:sz w:val="20"/>
                <w:szCs w:val="20"/>
              </w:rPr>
            </w:pPr>
            <w:r w:rsidRPr="00C44C26">
              <w:rPr>
                <w:rFonts w:cs="Arial"/>
                <w:sz w:val="20"/>
                <w:szCs w:val="20"/>
              </w:rPr>
              <w:t>97% compliance in December (96% in November)</w:t>
            </w:r>
          </w:p>
        </w:tc>
      </w:tr>
      <w:tr w:rsidR="00C44C26"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C44C26" w:rsidRPr="00C44C26" w:rsidRDefault="00C44C26" w:rsidP="00713D2E">
            <w:pPr>
              <w:pStyle w:val="ListParagraph"/>
              <w:numPr>
                <w:ilvl w:val="0"/>
                <w:numId w:val="39"/>
              </w:numPr>
              <w:spacing w:before="120" w:line="240" w:lineRule="auto"/>
              <w:ind w:left="360"/>
              <w:rPr>
                <w:rFonts w:cs="Arial"/>
                <w:sz w:val="20"/>
                <w:szCs w:val="20"/>
              </w:rPr>
            </w:pPr>
            <w:r w:rsidRPr="00C44C26">
              <w:rPr>
                <w:rFonts w:cs="Arial"/>
                <w:sz w:val="20"/>
                <w:szCs w:val="20"/>
              </w:rPr>
              <w:t>100% of audit action plans from the accreditation of research ethics committees to be completed within agreed timeframes</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3A4398" w:rsidRDefault="00C44C26" w:rsidP="00050A38">
            <w:pPr>
              <w:spacing w:before="120" w:line="240" w:lineRule="auto"/>
              <w:rPr>
                <w:rFonts w:cs="Arial"/>
                <w:sz w:val="20"/>
                <w:szCs w:val="20"/>
              </w:rPr>
            </w:pPr>
            <w:r w:rsidRPr="00C44C26">
              <w:rPr>
                <w:rFonts w:cs="Arial"/>
                <w:sz w:val="20"/>
                <w:szCs w:val="20"/>
              </w:rPr>
              <w:t>100% compliance for quarter.</w:t>
            </w:r>
          </w:p>
          <w:p w:rsidR="00C44C26" w:rsidRPr="00C44C26" w:rsidRDefault="003A4398" w:rsidP="003A4398">
            <w:pPr>
              <w:spacing w:before="120" w:line="240" w:lineRule="auto"/>
              <w:rPr>
                <w:rFonts w:cs="Arial"/>
                <w:sz w:val="20"/>
                <w:szCs w:val="20"/>
              </w:rPr>
            </w:pPr>
            <w:r>
              <w:rPr>
                <w:rFonts w:cs="Arial"/>
                <w:i/>
                <w:sz w:val="20"/>
                <w:szCs w:val="20"/>
              </w:rPr>
              <w:t>(See p. 25)</w:t>
            </w:r>
          </w:p>
        </w:tc>
      </w:tr>
      <w:tr w:rsidR="00706EF9"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706EF9" w:rsidRPr="00706EF9" w:rsidRDefault="00706EF9" w:rsidP="00706EF9">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lastRenderedPageBreak/>
              <w:t>Responding to complaints within 25 working days</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706EF9" w:rsidRPr="00706EF9" w:rsidRDefault="00706EF9" w:rsidP="00713D2E">
            <w:pPr>
              <w:rPr>
                <w:rFonts w:cs="Arial"/>
                <w:sz w:val="20"/>
                <w:szCs w:val="20"/>
              </w:rPr>
            </w:pPr>
            <w:r w:rsidRPr="00706EF9">
              <w:rPr>
                <w:rFonts w:cs="Arial"/>
                <w:sz w:val="20"/>
                <w:szCs w:val="20"/>
              </w:rPr>
              <w:t>100% compliance.</w:t>
            </w:r>
          </w:p>
          <w:p w:rsidR="00706EF9" w:rsidRPr="003A4398" w:rsidRDefault="003A4398" w:rsidP="003A4398">
            <w:pPr>
              <w:rPr>
                <w:rFonts w:cs="Arial"/>
                <w:i/>
                <w:sz w:val="20"/>
                <w:szCs w:val="20"/>
              </w:rPr>
            </w:pPr>
            <w:r>
              <w:rPr>
                <w:rFonts w:cs="Arial"/>
                <w:i/>
                <w:sz w:val="20"/>
                <w:szCs w:val="20"/>
              </w:rPr>
              <w:t>(</w:t>
            </w:r>
            <w:r w:rsidRPr="003A4398">
              <w:rPr>
                <w:rFonts w:cs="Arial"/>
                <w:i/>
                <w:sz w:val="20"/>
                <w:szCs w:val="20"/>
              </w:rPr>
              <w:t>See p.9</w:t>
            </w:r>
            <w:r>
              <w:rPr>
                <w:rFonts w:cs="Arial"/>
                <w:i/>
                <w:sz w:val="20"/>
                <w:szCs w:val="20"/>
              </w:rPr>
              <w:t>)</w:t>
            </w:r>
          </w:p>
        </w:tc>
      </w:tr>
      <w:tr w:rsidR="00706EF9"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706EF9" w:rsidRPr="00706EF9" w:rsidRDefault="00706EF9" w:rsidP="00706EF9">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t xml:space="preserve">100% of all FOI requests (valid and invalid) acknowledged and additional clarification sought within 10 working days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706EF9" w:rsidRPr="00706EF9" w:rsidRDefault="00706EF9" w:rsidP="00713D2E">
            <w:pPr>
              <w:rPr>
                <w:rFonts w:cs="Arial"/>
                <w:sz w:val="20"/>
                <w:szCs w:val="20"/>
              </w:rPr>
            </w:pPr>
            <w:r w:rsidRPr="00706EF9">
              <w:rPr>
                <w:rFonts w:cs="Arial"/>
                <w:sz w:val="20"/>
                <w:szCs w:val="20"/>
              </w:rPr>
              <w:t>100% compliance.</w:t>
            </w:r>
          </w:p>
          <w:p w:rsidR="00706EF9" w:rsidRPr="00706EF9" w:rsidRDefault="003A4398" w:rsidP="00713D2E">
            <w:pPr>
              <w:rPr>
                <w:rFonts w:cs="Arial"/>
                <w:sz w:val="20"/>
                <w:szCs w:val="20"/>
              </w:rPr>
            </w:pPr>
            <w:r>
              <w:rPr>
                <w:rFonts w:cs="Arial"/>
                <w:i/>
                <w:sz w:val="20"/>
                <w:szCs w:val="20"/>
              </w:rPr>
              <w:t>(</w:t>
            </w:r>
            <w:r w:rsidRPr="003A4398">
              <w:rPr>
                <w:rFonts w:cs="Arial"/>
                <w:i/>
                <w:sz w:val="20"/>
                <w:szCs w:val="20"/>
              </w:rPr>
              <w:t>See p.</w:t>
            </w:r>
            <w:r>
              <w:rPr>
                <w:rFonts w:cs="Arial"/>
                <w:i/>
                <w:sz w:val="20"/>
                <w:szCs w:val="20"/>
              </w:rPr>
              <w:t>10)</w:t>
            </w:r>
          </w:p>
        </w:tc>
      </w:tr>
      <w:tr w:rsidR="00706EF9" w:rsidRPr="00C44C26" w:rsidTr="00684443">
        <w:tc>
          <w:tcPr>
            <w:tcW w:w="4707" w:type="dxa"/>
            <w:tcBorders>
              <w:top w:val="single" w:sz="6" w:space="0" w:color="auto"/>
              <w:left w:val="single" w:sz="12" w:space="0" w:color="auto"/>
              <w:bottom w:val="single" w:sz="6" w:space="0" w:color="auto"/>
              <w:right w:val="single" w:sz="6" w:space="0" w:color="auto"/>
            </w:tcBorders>
            <w:shd w:val="clear" w:color="auto" w:fill="auto"/>
          </w:tcPr>
          <w:p w:rsidR="00706EF9" w:rsidRPr="00706EF9" w:rsidRDefault="00706EF9" w:rsidP="00706EF9">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t xml:space="preserve">100% of valid FOI requests to receive final response within 20 working days of receipt (where qualified exemption does not apply)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706EF9" w:rsidRPr="00706EF9" w:rsidRDefault="00706EF9" w:rsidP="00713D2E">
            <w:pPr>
              <w:rPr>
                <w:rFonts w:cs="Arial"/>
                <w:sz w:val="20"/>
                <w:szCs w:val="20"/>
              </w:rPr>
            </w:pPr>
            <w:r w:rsidRPr="00706EF9">
              <w:rPr>
                <w:rFonts w:cs="Arial"/>
                <w:sz w:val="20"/>
                <w:szCs w:val="20"/>
              </w:rPr>
              <w:t>100% compliance.</w:t>
            </w:r>
          </w:p>
          <w:p w:rsidR="00706EF9" w:rsidRPr="00706EF9" w:rsidRDefault="003A4398" w:rsidP="00713D2E">
            <w:pPr>
              <w:rPr>
                <w:rFonts w:cs="Arial"/>
                <w:sz w:val="20"/>
                <w:szCs w:val="20"/>
              </w:rPr>
            </w:pPr>
            <w:r>
              <w:rPr>
                <w:rFonts w:cs="Arial"/>
                <w:i/>
                <w:sz w:val="20"/>
                <w:szCs w:val="20"/>
              </w:rPr>
              <w:t>(</w:t>
            </w:r>
            <w:r w:rsidRPr="003A4398">
              <w:rPr>
                <w:rFonts w:cs="Arial"/>
                <w:i/>
                <w:sz w:val="20"/>
                <w:szCs w:val="20"/>
              </w:rPr>
              <w:t>See p.</w:t>
            </w:r>
            <w:r>
              <w:rPr>
                <w:rFonts w:cs="Arial"/>
                <w:i/>
                <w:sz w:val="20"/>
                <w:szCs w:val="20"/>
              </w:rPr>
              <w:t>10)</w:t>
            </w:r>
          </w:p>
        </w:tc>
      </w:tr>
      <w:tr w:rsidR="00706EF9" w:rsidRPr="00050A38" w:rsidTr="00684443">
        <w:tc>
          <w:tcPr>
            <w:tcW w:w="4707" w:type="dxa"/>
            <w:tcBorders>
              <w:top w:val="single" w:sz="6" w:space="0" w:color="auto"/>
              <w:left w:val="single" w:sz="12" w:space="0" w:color="auto"/>
              <w:bottom w:val="single" w:sz="12" w:space="0" w:color="auto"/>
              <w:right w:val="single" w:sz="6" w:space="0" w:color="auto"/>
            </w:tcBorders>
            <w:shd w:val="clear" w:color="auto" w:fill="auto"/>
          </w:tcPr>
          <w:p w:rsidR="00706EF9" w:rsidRPr="00706EF9" w:rsidRDefault="00706EF9" w:rsidP="00263532">
            <w:pPr>
              <w:pStyle w:val="ListParagraph"/>
              <w:numPr>
                <w:ilvl w:val="0"/>
                <w:numId w:val="39"/>
              </w:numPr>
              <w:spacing w:before="120" w:line="276" w:lineRule="auto"/>
              <w:ind w:left="403" w:hanging="403"/>
              <w:rPr>
                <w:rFonts w:cs="Arial"/>
                <w:sz w:val="20"/>
                <w:szCs w:val="20"/>
              </w:rPr>
            </w:pPr>
            <w:r w:rsidRPr="00706EF9">
              <w:rPr>
                <w:rFonts w:cs="Arial"/>
                <w:sz w:val="20"/>
                <w:szCs w:val="20"/>
              </w:rPr>
              <w:t xml:space="preserve">100% of valid FOI requests where qualified exemption applies, and a public interest test may be required, to receive a final response within 40 working days of receipt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12" w:space="0" w:color="auto"/>
              <w:right w:val="single" w:sz="12" w:space="0" w:color="auto"/>
            </w:tcBorders>
            <w:shd w:val="clear" w:color="auto" w:fill="auto"/>
            <w:vAlign w:val="center"/>
          </w:tcPr>
          <w:p w:rsidR="00706EF9" w:rsidRPr="00706EF9" w:rsidRDefault="00706EF9" w:rsidP="00713D2E">
            <w:pPr>
              <w:rPr>
                <w:rFonts w:cs="Arial"/>
                <w:sz w:val="20"/>
                <w:szCs w:val="20"/>
              </w:rPr>
            </w:pPr>
            <w:r w:rsidRPr="00706EF9">
              <w:rPr>
                <w:rFonts w:cs="Arial"/>
                <w:sz w:val="20"/>
                <w:szCs w:val="20"/>
              </w:rPr>
              <w:t xml:space="preserve">N/A </w:t>
            </w:r>
          </w:p>
        </w:tc>
      </w:tr>
    </w:tbl>
    <w:p w:rsidR="00050A38" w:rsidRDefault="00050A38" w:rsidP="008407A9"/>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5410"/>
      </w:tblGrid>
      <w:tr w:rsidR="00050A38" w:rsidRPr="00050A38" w:rsidTr="00713D2E">
        <w:trPr>
          <w:cnfStyle w:val="100000000000" w:firstRow="1" w:lastRow="0" w:firstColumn="0" w:lastColumn="0" w:oddVBand="0" w:evenVBand="0" w:oddHBand="0" w:evenHBand="0" w:firstRowFirstColumn="0" w:firstRowLastColumn="0" w:lastRowFirstColumn="0" w:lastRowLastColumn="0"/>
        </w:trPr>
        <w:tc>
          <w:tcPr>
            <w:tcW w:w="9781" w:type="dxa"/>
            <w:gridSpan w:val="2"/>
            <w:shd w:val="clear" w:color="auto" w:fill="7030A0"/>
          </w:tcPr>
          <w:p w:rsidR="00050A38" w:rsidRPr="00050A38" w:rsidRDefault="00050A38" w:rsidP="00050A38">
            <w:pPr>
              <w:spacing w:before="120" w:line="240" w:lineRule="auto"/>
              <w:rPr>
                <w:color w:val="FFFFFF" w:themeColor="background1"/>
                <w:sz w:val="20"/>
                <w:szCs w:val="18"/>
              </w:rPr>
            </w:pPr>
            <w:r>
              <w:rPr>
                <w:color w:val="FFFFFF" w:themeColor="background1"/>
                <w:sz w:val="20"/>
                <w:szCs w:val="18"/>
              </w:rPr>
              <w:t>Completed</w:t>
            </w:r>
          </w:p>
        </w:tc>
      </w:tr>
      <w:tr w:rsidR="00050A38" w:rsidRPr="00706EF9" w:rsidTr="00713D2E">
        <w:tc>
          <w:tcPr>
            <w:tcW w:w="4371" w:type="dxa"/>
            <w:tcBorders>
              <w:top w:val="single" w:sz="12" w:space="0" w:color="auto"/>
              <w:left w:val="single" w:sz="12" w:space="0" w:color="auto"/>
              <w:bottom w:val="single" w:sz="6" w:space="0" w:color="auto"/>
              <w:right w:val="single" w:sz="6" w:space="0" w:color="auto"/>
            </w:tcBorders>
            <w:shd w:val="clear" w:color="auto" w:fill="auto"/>
          </w:tcPr>
          <w:p w:rsidR="00706EF9" w:rsidRPr="00706EF9" w:rsidRDefault="00706EF9" w:rsidP="00EF0405">
            <w:pPr>
              <w:pStyle w:val="ListParagraph"/>
              <w:numPr>
                <w:ilvl w:val="0"/>
                <w:numId w:val="39"/>
              </w:numPr>
              <w:spacing w:before="0" w:line="240" w:lineRule="auto"/>
              <w:ind w:left="357" w:hanging="357"/>
              <w:contextualSpacing w:val="0"/>
              <w:rPr>
                <w:sz w:val="20"/>
                <w:szCs w:val="18"/>
              </w:rPr>
            </w:pPr>
            <w:r w:rsidRPr="00EF0405">
              <w:rPr>
                <w:rFonts w:cs="Arial"/>
                <w:sz w:val="20"/>
                <w:szCs w:val="20"/>
              </w:rPr>
              <w:t xml:space="preserve">Publish trends on number of individual applications to IRAS and individual </w:t>
            </w:r>
            <w:proofErr w:type="gramStart"/>
            <w:r w:rsidRPr="00EF0405">
              <w:rPr>
                <w:rFonts w:cs="Arial"/>
                <w:sz w:val="20"/>
                <w:szCs w:val="20"/>
              </w:rPr>
              <w:t>IRAS</w:t>
            </w:r>
            <w:proofErr w:type="gramEnd"/>
            <w:r w:rsidRPr="00EF0405">
              <w:rPr>
                <w:rFonts w:cs="Arial"/>
                <w:sz w:val="20"/>
                <w:szCs w:val="20"/>
              </w:rPr>
              <w:t xml:space="preserve"> partners, including NRES</w:t>
            </w:r>
            <w:r w:rsidR="00EF0405" w:rsidRPr="00EF0405">
              <w:rPr>
                <w:rFonts w:cs="Arial"/>
                <w:sz w:val="20"/>
                <w:szCs w:val="20"/>
              </w:rPr>
              <w:br/>
            </w:r>
            <w:r w:rsidR="00EF0405" w:rsidRPr="00EF0405">
              <w:rPr>
                <w:rFonts w:cs="Arial"/>
                <w:i/>
                <w:sz w:val="20"/>
                <w:szCs w:val="20"/>
              </w:rPr>
              <w:t xml:space="preserve">Many IRAS partners now publish data on numbers of applications, with explanation. </w:t>
            </w:r>
            <w:r w:rsidR="00EF0405" w:rsidRPr="00EF0405">
              <w:rPr>
                <w:rFonts w:cs="Arial"/>
                <w:i/>
                <w:sz w:val="20"/>
                <w:szCs w:val="20"/>
              </w:rPr>
              <w:br/>
              <w:t>HRA routinely publishes management information for NRES and CAG on the website and in this report</w:t>
            </w:r>
          </w:p>
        </w:tc>
        <w:tc>
          <w:tcPr>
            <w:tcW w:w="5410" w:type="dxa"/>
            <w:tcBorders>
              <w:top w:val="single" w:sz="12" w:space="0" w:color="auto"/>
              <w:left w:val="single" w:sz="6" w:space="0" w:color="auto"/>
              <w:bottom w:val="single" w:sz="6" w:space="0" w:color="auto"/>
              <w:right w:val="single" w:sz="12" w:space="0" w:color="auto"/>
            </w:tcBorders>
            <w:shd w:val="clear" w:color="auto" w:fill="auto"/>
          </w:tcPr>
          <w:p w:rsidR="00706EF9" w:rsidRPr="00706EF9" w:rsidRDefault="00706EF9" w:rsidP="00706EF9">
            <w:pPr>
              <w:pStyle w:val="ListParagraph"/>
              <w:numPr>
                <w:ilvl w:val="0"/>
                <w:numId w:val="39"/>
              </w:numPr>
              <w:spacing w:before="120" w:after="0"/>
              <w:ind w:left="357" w:hanging="357"/>
              <w:contextualSpacing w:val="0"/>
              <w:rPr>
                <w:rFonts w:cs="Arial"/>
                <w:sz w:val="20"/>
                <w:szCs w:val="20"/>
              </w:rPr>
            </w:pPr>
            <w:r w:rsidRPr="00706EF9">
              <w:rPr>
                <w:rFonts w:cs="Arial"/>
                <w:sz w:val="20"/>
                <w:szCs w:val="20"/>
              </w:rPr>
              <w:t>Publish all REC decisions</w:t>
            </w:r>
          </w:p>
          <w:p w:rsidR="00050A38" w:rsidRPr="00706EF9" w:rsidRDefault="00706EF9" w:rsidP="00706EF9">
            <w:pPr>
              <w:spacing w:before="0" w:line="240" w:lineRule="auto"/>
              <w:ind w:left="357"/>
              <w:rPr>
                <w:i/>
                <w:sz w:val="20"/>
                <w:szCs w:val="18"/>
              </w:rPr>
            </w:pPr>
            <w:r w:rsidRPr="00706EF9">
              <w:rPr>
                <w:i/>
                <w:sz w:val="20"/>
                <w:szCs w:val="20"/>
                <w:lang w:val="en"/>
              </w:rPr>
              <w:t>Annual Reports for RECs in England for the period April 2012 - March 2013 formally adopted by the HRA Board on 29 October 2013 and published on HRA website</w:t>
            </w:r>
          </w:p>
        </w:tc>
      </w:tr>
      <w:tr w:rsidR="00050A38" w:rsidRPr="00050A38" w:rsidTr="00713D2E">
        <w:tc>
          <w:tcPr>
            <w:tcW w:w="4371" w:type="dxa"/>
            <w:tcBorders>
              <w:top w:val="single" w:sz="6" w:space="0" w:color="auto"/>
              <w:left w:val="single" w:sz="12" w:space="0" w:color="auto"/>
              <w:bottom w:val="single" w:sz="12" w:space="0" w:color="auto"/>
              <w:right w:val="single" w:sz="6" w:space="0" w:color="auto"/>
            </w:tcBorders>
            <w:shd w:val="clear" w:color="auto" w:fill="auto"/>
          </w:tcPr>
          <w:p w:rsidR="00050A38" w:rsidRPr="00050A38" w:rsidRDefault="00706EF9" w:rsidP="00706EF9">
            <w:pPr>
              <w:pStyle w:val="ListParagraph"/>
              <w:numPr>
                <w:ilvl w:val="0"/>
                <w:numId w:val="39"/>
              </w:numPr>
              <w:spacing w:before="120" w:line="240" w:lineRule="auto"/>
              <w:ind w:left="317" w:hanging="317"/>
              <w:contextualSpacing w:val="0"/>
              <w:rPr>
                <w:rFonts w:cs="Arial"/>
                <w:sz w:val="20"/>
                <w:szCs w:val="18"/>
              </w:rPr>
            </w:pPr>
            <w:r w:rsidRPr="00706EF9">
              <w:rPr>
                <w:rFonts w:cs="Arial"/>
                <w:sz w:val="20"/>
                <w:szCs w:val="20"/>
              </w:rPr>
              <w:t>Determine baseline and set target to increase no. of applications through IRAS</w:t>
            </w:r>
            <w:r>
              <w:rPr>
                <w:rFonts w:cs="Arial"/>
                <w:sz w:val="20"/>
                <w:szCs w:val="20"/>
              </w:rPr>
              <w:br/>
            </w:r>
            <w:r w:rsidRPr="00706EF9">
              <w:rPr>
                <w:rFonts w:cs="Arial"/>
                <w:i/>
                <w:sz w:val="20"/>
                <w:szCs w:val="20"/>
              </w:rPr>
              <w:t xml:space="preserve">Agreement has been achieved that HFEA </w:t>
            </w:r>
            <w:r>
              <w:rPr>
                <w:rFonts w:cs="Arial"/>
                <w:i/>
                <w:sz w:val="20"/>
                <w:szCs w:val="20"/>
              </w:rPr>
              <w:t>(H</w:t>
            </w:r>
            <w:r w:rsidRPr="00706EF9">
              <w:rPr>
                <w:rStyle w:val="Emphasis"/>
                <w:rFonts w:cs="Arial"/>
                <w:b w:val="0"/>
                <w:i/>
                <w:sz w:val="20"/>
                <w:szCs w:val="20"/>
              </w:rPr>
              <w:t>uman Fertilisation and Embryology Authority</w:t>
            </w:r>
            <w:r>
              <w:rPr>
                <w:rStyle w:val="st1"/>
                <w:rFonts w:cs="Arial"/>
                <w:i/>
                <w:sz w:val="20"/>
              </w:rPr>
              <w:t>)</w:t>
            </w:r>
            <w:r w:rsidRPr="00706EF9">
              <w:rPr>
                <w:rFonts w:cs="Arial"/>
                <w:i/>
                <w:sz w:val="20"/>
                <w:szCs w:val="20"/>
              </w:rPr>
              <w:t xml:space="preserve"> will be a new partner and NOMS (</w:t>
            </w:r>
            <w:r w:rsidRPr="00706EF9">
              <w:rPr>
                <w:rStyle w:val="Emphasis"/>
                <w:rFonts w:cs="Arial"/>
                <w:b w:val="0"/>
                <w:i/>
                <w:sz w:val="20"/>
                <w:szCs w:val="20"/>
              </w:rPr>
              <w:t>National Offender Management Service</w:t>
            </w:r>
            <w:r w:rsidRPr="00706EF9">
              <w:rPr>
                <w:rStyle w:val="st1"/>
                <w:rFonts w:cs="Arial"/>
                <w:i/>
                <w:sz w:val="20"/>
                <w:szCs w:val="20"/>
              </w:rPr>
              <w:t xml:space="preserve">) </w:t>
            </w:r>
            <w:r w:rsidRPr="00706EF9">
              <w:rPr>
                <w:rFonts w:cs="Arial"/>
                <w:i/>
                <w:sz w:val="20"/>
                <w:szCs w:val="20"/>
              </w:rPr>
              <w:t>will increase their use of IRAS rather than off-line versions.  (Implementation not possible until IRAS4 developed)</w:t>
            </w:r>
          </w:p>
        </w:tc>
        <w:tc>
          <w:tcPr>
            <w:tcW w:w="5410" w:type="dxa"/>
            <w:tcBorders>
              <w:top w:val="single" w:sz="6" w:space="0" w:color="auto"/>
              <w:left w:val="single" w:sz="6" w:space="0" w:color="auto"/>
              <w:bottom w:val="single" w:sz="12" w:space="0" w:color="auto"/>
              <w:right w:val="single" w:sz="12" w:space="0" w:color="auto"/>
            </w:tcBorders>
            <w:shd w:val="clear" w:color="auto" w:fill="auto"/>
          </w:tcPr>
          <w:p w:rsidR="00050A38" w:rsidRPr="00050A38" w:rsidRDefault="00706EF9" w:rsidP="00706EF9">
            <w:pPr>
              <w:pStyle w:val="ListParagraph"/>
              <w:numPr>
                <w:ilvl w:val="0"/>
                <w:numId w:val="39"/>
              </w:numPr>
              <w:spacing w:before="120" w:line="240" w:lineRule="auto"/>
              <w:ind w:left="425" w:hanging="425"/>
              <w:contextualSpacing w:val="0"/>
              <w:rPr>
                <w:sz w:val="20"/>
                <w:szCs w:val="18"/>
              </w:rPr>
            </w:pPr>
            <w:r w:rsidRPr="00706EF9">
              <w:rPr>
                <w:rFonts w:cs="Arial"/>
                <w:sz w:val="20"/>
                <w:szCs w:val="20"/>
              </w:rPr>
              <w:t>Develop a fit-for-purpose website</w:t>
            </w:r>
            <w:r>
              <w:rPr>
                <w:rFonts w:cs="Arial"/>
                <w:sz w:val="20"/>
                <w:szCs w:val="20"/>
              </w:rPr>
              <w:br/>
            </w:r>
            <w:r w:rsidRPr="00706EF9">
              <w:rPr>
                <w:rFonts w:cs="Arial"/>
                <w:i/>
                <w:sz w:val="20"/>
                <w:szCs w:val="20"/>
              </w:rPr>
              <w:t>New website went live first week of October.  Ongoing improvements include a consultation area and revised CAG/s251 section</w:t>
            </w:r>
          </w:p>
        </w:tc>
      </w:tr>
    </w:tbl>
    <w:p w:rsidR="00050A38" w:rsidRDefault="00050A38" w:rsidP="008407A9"/>
    <w:p w:rsidR="008407A9" w:rsidRDefault="008407A9">
      <w:pPr>
        <w:spacing w:after="0" w:line="240" w:lineRule="auto"/>
      </w:pPr>
      <w:r>
        <w:br w:type="page"/>
      </w:r>
    </w:p>
    <w:p w:rsidR="00E51F68" w:rsidRDefault="00E51F68" w:rsidP="000C12FF"/>
    <w:p w:rsidR="00FA28DC" w:rsidRDefault="00FA28DC" w:rsidP="00FA28DC">
      <w:pPr>
        <w:spacing w:after="0"/>
      </w:pPr>
    </w:p>
    <w:p w:rsidR="004621B7" w:rsidRPr="00406B66" w:rsidRDefault="00DB1366" w:rsidP="00DB1366">
      <w:pPr>
        <w:pStyle w:val="Heading1"/>
        <w:rPr>
          <w:sz w:val="48"/>
          <w:szCs w:val="48"/>
        </w:rPr>
      </w:pPr>
      <w:r w:rsidRPr="00406B66">
        <w:rPr>
          <w:sz w:val="48"/>
          <w:szCs w:val="48"/>
        </w:rPr>
        <w:t xml:space="preserve">Section 1:  </w:t>
      </w:r>
      <w:r w:rsidR="00B71C29" w:rsidRPr="00406B66">
        <w:rPr>
          <w:sz w:val="48"/>
          <w:szCs w:val="48"/>
        </w:rPr>
        <w:t>Organisation m</w:t>
      </w:r>
      <w:r w:rsidR="006909E0" w:rsidRPr="00406B66">
        <w:rPr>
          <w:sz w:val="48"/>
          <w:szCs w:val="48"/>
        </w:rPr>
        <w:t>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25DF7" w:rsidRPr="00B25DF7" w:rsidTr="00B25DF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25DF7" w:rsidRPr="00B25DF7" w:rsidRDefault="00B25DF7" w:rsidP="0069051F">
            <w:pPr>
              <w:spacing w:before="120"/>
              <w:jc w:val="left"/>
              <w:rPr>
                <w:b w:val="0"/>
                <w:color w:val="F79646" w:themeColor="accent6"/>
                <w:sz w:val="28"/>
              </w:rPr>
            </w:pPr>
            <w:r w:rsidRPr="00B25DF7">
              <w:rPr>
                <w:b w:val="0"/>
                <w:color w:val="F79646" w:themeColor="accent6"/>
                <w:sz w:val="28"/>
              </w:rPr>
              <w:t>FINANC</w:t>
            </w:r>
            <w:r w:rsidR="0069051F">
              <w:rPr>
                <w:b w:val="0"/>
                <w:color w:val="F79646" w:themeColor="accent6"/>
                <w:sz w:val="28"/>
              </w:rPr>
              <w:t>E METRICS</w:t>
            </w:r>
          </w:p>
        </w:tc>
      </w:tr>
      <w:tr w:rsidR="00B25DF7" w:rsidTr="00215779">
        <w:trPr>
          <w:trHeight w:val="4710"/>
        </w:trPr>
        <w:tc>
          <w:tcPr>
            <w:tcW w:w="10415" w:type="dxa"/>
          </w:tcPr>
          <w:p w:rsidR="009C3BB2" w:rsidRPr="00634E33" w:rsidRDefault="009C3BB2" w:rsidP="009C3BB2">
            <w:pPr>
              <w:numPr>
                <w:ilvl w:val="0"/>
                <w:numId w:val="6"/>
              </w:numPr>
              <w:spacing w:before="120" w:after="0" w:line="240" w:lineRule="auto"/>
              <w:ind w:left="714" w:hanging="357"/>
              <w:rPr>
                <w:rFonts w:cs="Arial"/>
                <w:szCs w:val="22"/>
              </w:rPr>
            </w:pPr>
            <w:r>
              <w:rPr>
                <w:rFonts w:cs="Arial"/>
                <w:szCs w:val="22"/>
              </w:rPr>
              <w:t xml:space="preserve">The </w:t>
            </w:r>
            <w:r w:rsidRPr="00634E33">
              <w:rPr>
                <w:rFonts w:cs="Arial"/>
                <w:szCs w:val="22"/>
              </w:rPr>
              <w:t>HRA is reporting an under spend a</w:t>
            </w:r>
            <w:r>
              <w:rPr>
                <w:rFonts w:cs="Arial"/>
                <w:szCs w:val="22"/>
              </w:rPr>
              <w:t>gainst expenditure plans of £213k at the end of December</w:t>
            </w:r>
          </w:p>
          <w:p w:rsidR="009C3BB2" w:rsidRPr="00040F35" w:rsidRDefault="009C3BB2" w:rsidP="009C3BB2">
            <w:pPr>
              <w:numPr>
                <w:ilvl w:val="0"/>
                <w:numId w:val="6"/>
              </w:numPr>
              <w:spacing w:before="120" w:after="0" w:line="240" w:lineRule="auto"/>
              <w:ind w:left="714" w:hanging="357"/>
              <w:rPr>
                <w:rFonts w:cs="Arial"/>
                <w:szCs w:val="22"/>
              </w:rPr>
            </w:pPr>
            <w:r w:rsidRPr="00040F35">
              <w:rPr>
                <w:rFonts w:cs="Arial"/>
                <w:szCs w:val="22"/>
              </w:rPr>
              <w:t>67% (£6.5million) of t</w:t>
            </w:r>
            <w:r>
              <w:rPr>
                <w:rFonts w:cs="Arial"/>
                <w:szCs w:val="22"/>
              </w:rPr>
              <w:t>he annual budget has been spent</w:t>
            </w:r>
          </w:p>
          <w:p w:rsidR="009C3BB2" w:rsidRPr="00040F35" w:rsidRDefault="009C3BB2" w:rsidP="009C3BB2">
            <w:pPr>
              <w:numPr>
                <w:ilvl w:val="0"/>
                <w:numId w:val="6"/>
              </w:numPr>
              <w:tabs>
                <w:tab w:val="left" w:pos="2172"/>
              </w:tabs>
              <w:spacing w:before="120" w:after="0" w:line="240" w:lineRule="auto"/>
              <w:ind w:left="714" w:hanging="357"/>
              <w:rPr>
                <w:rFonts w:cs="Arial"/>
                <w:szCs w:val="22"/>
              </w:rPr>
            </w:pPr>
            <w:r w:rsidRPr="00040F35">
              <w:rPr>
                <w:rFonts w:cs="Arial"/>
                <w:szCs w:val="22"/>
              </w:rPr>
              <w:t>Revised forecasts point to an under spend of between £280k to £3</w:t>
            </w:r>
            <w:r>
              <w:rPr>
                <w:rFonts w:cs="Arial"/>
                <w:szCs w:val="22"/>
              </w:rPr>
              <w:t>8</w:t>
            </w:r>
            <w:r w:rsidRPr="00040F35">
              <w:rPr>
                <w:rFonts w:cs="Arial"/>
                <w:szCs w:val="22"/>
              </w:rPr>
              <w:t>4k</w:t>
            </w:r>
          </w:p>
          <w:p w:rsidR="00363A95" w:rsidRPr="00EE3619" w:rsidRDefault="009C3BB2" w:rsidP="009C3BB2">
            <w:pPr>
              <w:numPr>
                <w:ilvl w:val="0"/>
                <w:numId w:val="6"/>
              </w:numPr>
              <w:tabs>
                <w:tab w:val="left" w:pos="2172"/>
              </w:tabs>
              <w:spacing w:before="120"/>
            </w:pPr>
            <w:r w:rsidRPr="00316BE4">
              <w:rPr>
                <w:rFonts w:cs="Arial"/>
                <w:szCs w:val="22"/>
              </w:rPr>
              <w:t xml:space="preserve">The Better Payment Practice Code (BPPC) compliance for April to December maintained the performance levels of 97% for both the number and value of invoices paid.  This is within the 95% target set. The HRA is aiming to pay 60% of invoices within 10 days – current performance </w:t>
            </w:r>
            <w:r>
              <w:rPr>
                <w:rFonts w:cs="Arial"/>
                <w:szCs w:val="22"/>
              </w:rPr>
              <w:t xml:space="preserve">has dipped slightly and </w:t>
            </w:r>
            <w:r w:rsidRPr="00316BE4">
              <w:rPr>
                <w:rFonts w:cs="Arial"/>
                <w:szCs w:val="22"/>
              </w:rPr>
              <w:t>shows 3</w:t>
            </w:r>
            <w:r>
              <w:rPr>
                <w:rFonts w:cs="Arial"/>
                <w:szCs w:val="22"/>
              </w:rPr>
              <w:t>2</w:t>
            </w:r>
            <w:r w:rsidRPr="00316BE4">
              <w:rPr>
                <w:rFonts w:cs="Arial"/>
                <w:szCs w:val="22"/>
              </w:rPr>
              <w:t xml:space="preserve">% </w:t>
            </w:r>
            <w:r>
              <w:rPr>
                <w:rFonts w:cs="Arial"/>
                <w:szCs w:val="22"/>
              </w:rPr>
              <w:t xml:space="preserve">(33% November) </w:t>
            </w:r>
            <w:r w:rsidRPr="00316BE4">
              <w:rPr>
                <w:rFonts w:cs="Arial"/>
                <w:szCs w:val="22"/>
              </w:rPr>
              <w:t>on the number of invoices and 3</w:t>
            </w:r>
            <w:r>
              <w:rPr>
                <w:rFonts w:cs="Arial"/>
                <w:szCs w:val="22"/>
              </w:rPr>
              <w:t>7</w:t>
            </w:r>
            <w:r w:rsidRPr="00316BE4">
              <w:rPr>
                <w:rFonts w:cs="Arial"/>
                <w:szCs w:val="22"/>
              </w:rPr>
              <w:t xml:space="preserve">% </w:t>
            </w:r>
            <w:r>
              <w:rPr>
                <w:rFonts w:cs="Arial"/>
                <w:szCs w:val="22"/>
              </w:rPr>
              <w:t xml:space="preserve">(39% November) </w:t>
            </w:r>
            <w:r w:rsidRPr="00316BE4">
              <w:rPr>
                <w:rFonts w:cs="Arial"/>
                <w:szCs w:val="22"/>
              </w:rPr>
              <w:t>based on invoice values.  All approvers are asked to note this and to approve invoices promptly or place on hold if there is a dispute.  Performa</w:t>
            </w:r>
            <w:r>
              <w:rPr>
                <w:rFonts w:cs="Arial"/>
                <w:szCs w:val="22"/>
              </w:rPr>
              <w:t>nce is published on our websit</w:t>
            </w:r>
            <w:r w:rsidR="00064131">
              <w:rPr>
                <w:rFonts w:cs="Arial"/>
                <w:szCs w:val="22"/>
              </w:rPr>
              <w:t>e</w:t>
            </w:r>
          </w:p>
          <w:p w:rsidR="00363A95" w:rsidRDefault="00EE3619" w:rsidP="00215779">
            <w:pPr>
              <w:numPr>
                <w:ilvl w:val="0"/>
                <w:numId w:val="6"/>
              </w:numPr>
              <w:tabs>
                <w:tab w:val="left" w:pos="2172"/>
              </w:tabs>
              <w:spacing w:after="240"/>
              <w:ind w:left="714" w:hanging="357"/>
            </w:pPr>
            <w:r w:rsidRPr="00384F94">
              <w:t>Internal team objective set</w:t>
            </w:r>
            <w:r w:rsidR="00384F94">
              <w:t>:</w:t>
            </w:r>
            <w:r w:rsidRPr="00384F94">
              <w:t xml:space="preserve"> to achieve month e</w:t>
            </w:r>
            <w:r w:rsidR="00384F94">
              <w:t xml:space="preserve">nd close in 4 days </w:t>
            </w:r>
            <w:r w:rsidR="001F4747">
              <w:t>from a s</w:t>
            </w:r>
            <w:r w:rsidR="00384F94">
              <w:t xml:space="preserve">tart point </w:t>
            </w:r>
            <w:r w:rsidR="001F4747">
              <w:t>of</w:t>
            </w:r>
            <w:r w:rsidR="00384F94">
              <w:t xml:space="preserve"> 7 days. </w:t>
            </w:r>
            <w:r w:rsidRPr="00384F94">
              <w:t xml:space="preserve"> </w:t>
            </w:r>
            <w:r w:rsidR="001F4747">
              <w:rPr>
                <w:rFonts w:cs="Arial"/>
                <w:szCs w:val="22"/>
              </w:rPr>
              <w:t>To date t</w:t>
            </w:r>
            <w:r w:rsidR="001F4747" w:rsidRPr="001A2303">
              <w:rPr>
                <w:rFonts w:cs="Arial"/>
                <w:szCs w:val="22"/>
              </w:rPr>
              <w:t xml:space="preserve">he team has managed to reduce the close period from 7 days to </w:t>
            </w:r>
            <w:r w:rsidR="001F4747">
              <w:rPr>
                <w:rFonts w:cs="Arial"/>
                <w:szCs w:val="22"/>
              </w:rPr>
              <w:t>6</w:t>
            </w:r>
            <w:r w:rsidR="001F4747" w:rsidRPr="001A2303">
              <w:rPr>
                <w:rFonts w:cs="Arial"/>
                <w:szCs w:val="22"/>
              </w:rPr>
              <w:t xml:space="preserve"> days </w:t>
            </w:r>
            <w:r w:rsidR="001F4747">
              <w:rPr>
                <w:rFonts w:cs="Arial"/>
                <w:szCs w:val="22"/>
              </w:rPr>
              <w:t xml:space="preserve">in </w:t>
            </w:r>
            <w:r w:rsidR="001F4747" w:rsidRPr="001A2303">
              <w:rPr>
                <w:rFonts w:cs="Arial"/>
                <w:szCs w:val="22"/>
              </w:rPr>
              <w:t xml:space="preserve">September (a quarter end) and </w:t>
            </w:r>
            <w:r w:rsidR="001F4747">
              <w:rPr>
                <w:rFonts w:cs="Arial"/>
                <w:szCs w:val="22"/>
              </w:rPr>
              <w:t xml:space="preserve">6 days in October (a day was lost due to IT problems). </w:t>
            </w:r>
            <w:r w:rsidR="001F4747" w:rsidRPr="001A2303">
              <w:rPr>
                <w:rFonts w:cs="Arial"/>
                <w:szCs w:val="22"/>
              </w:rPr>
              <w:t xml:space="preserve">The finance team </w:t>
            </w:r>
            <w:r w:rsidR="001F4747">
              <w:rPr>
                <w:rFonts w:cs="Arial"/>
                <w:szCs w:val="22"/>
              </w:rPr>
              <w:t xml:space="preserve">achieved a 5 day close at December quarter end and </w:t>
            </w:r>
            <w:r w:rsidR="001F4747" w:rsidRPr="001A2303">
              <w:rPr>
                <w:rFonts w:cs="Arial"/>
                <w:szCs w:val="22"/>
              </w:rPr>
              <w:t xml:space="preserve">is on track to achieve a 4 </w:t>
            </w:r>
            <w:r w:rsidR="001F4747">
              <w:rPr>
                <w:rFonts w:cs="Arial"/>
                <w:szCs w:val="22"/>
              </w:rPr>
              <w:t xml:space="preserve">day close in </w:t>
            </w:r>
            <w:r w:rsidR="00215779">
              <w:rPr>
                <w:rFonts w:cs="Arial"/>
                <w:szCs w:val="22"/>
              </w:rPr>
              <w:t>January 2014</w:t>
            </w:r>
          </w:p>
        </w:tc>
      </w:tr>
    </w:tbl>
    <w:p w:rsidR="00B25DF7" w:rsidRDefault="00B25DF7" w:rsidP="00363A95">
      <w:pPr>
        <w:spacing w:after="0"/>
      </w:pPr>
    </w:p>
    <w:p w:rsidR="00ED3221" w:rsidRDefault="00ED3221" w:rsidP="00363A95">
      <w:pPr>
        <w:pStyle w:val="Heading2"/>
        <w:spacing w:before="120" w:after="240"/>
        <w:rPr>
          <w:sz w:val="28"/>
        </w:rPr>
      </w:pPr>
      <w:r w:rsidRPr="00E532E0">
        <w:rPr>
          <w:sz w:val="28"/>
        </w:rPr>
        <w:t>HRA Better Payment Practice Code for the p</w:t>
      </w:r>
      <w:r w:rsidR="00C21B05" w:rsidRPr="00E532E0">
        <w:rPr>
          <w:sz w:val="28"/>
        </w:rPr>
        <w:t>eriod 1 April to 3</w:t>
      </w:r>
      <w:r w:rsidR="0007656A">
        <w:rPr>
          <w:sz w:val="28"/>
        </w:rPr>
        <w:t>1 Dece</w:t>
      </w:r>
      <w:r w:rsidR="00A21ECE">
        <w:rPr>
          <w:sz w:val="28"/>
        </w:rPr>
        <w:t>m</w:t>
      </w:r>
      <w:r w:rsidR="00E51F68" w:rsidRPr="00E532E0">
        <w:rPr>
          <w:sz w:val="28"/>
        </w:rPr>
        <w:t>ber</w:t>
      </w:r>
      <w:r w:rsidR="00C21B05" w:rsidRPr="00E532E0">
        <w:rPr>
          <w:sz w:val="28"/>
        </w:rPr>
        <w:t xml:space="preserve"> 2013</w:t>
      </w:r>
    </w:p>
    <w:p w:rsidR="009C3BB2" w:rsidRDefault="009C3BB2" w:rsidP="00064131"/>
    <w:tbl>
      <w:tblPr>
        <w:tblpPr w:leftFromText="180" w:rightFromText="180" w:vertAnchor="text" w:horzAnchor="page" w:tblpX="1948" w:tblpY="-6"/>
        <w:tblW w:w="8046" w:type="dxa"/>
        <w:tblLook w:val="04A0" w:firstRow="1" w:lastRow="0" w:firstColumn="1" w:lastColumn="0" w:noHBand="0" w:noVBand="1"/>
      </w:tblPr>
      <w:tblGrid>
        <w:gridCol w:w="2518"/>
        <w:gridCol w:w="1559"/>
        <w:gridCol w:w="1276"/>
        <w:gridCol w:w="1276"/>
        <w:gridCol w:w="1417"/>
      </w:tblGrid>
      <w:tr w:rsidR="00464B59" w:rsidRPr="009C3BB2" w:rsidTr="00464B59">
        <w:trPr>
          <w:trHeight w:val="298"/>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ab/>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b/>
                <w:color w:val="FFFFFF" w:themeColor="background1"/>
                <w:szCs w:val="22"/>
              </w:rPr>
            </w:pPr>
            <w:r w:rsidRPr="009C3BB2">
              <w:rPr>
                <w:rFonts w:cs="Arial"/>
                <w:b/>
                <w:color w:val="FFFFFF" w:themeColor="background1"/>
                <w:szCs w:val="22"/>
              </w:rPr>
              <w:t>Number</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b/>
                <w:color w:val="FFFFFF" w:themeColor="background1"/>
                <w:szCs w:val="22"/>
              </w:rPr>
            </w:pPr>
            <w:r w:rsidRPr="009C3BB2">
              <w:rPr>
                <w:rFonts w:cs="Arial"/>
                <w:b/>
                <w:color w:val="FFFFFF" w:themeColor="background1"/>
                <w:szCs w:val="22"/>
              </w:rPr>
              <w:t>%</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b/>
                <w:color w:val="000000"/>
                <w:szCs w:val="22"/>
              </w:rPr>
            </w:pPr>
            <w:r w:rsidRPr="009C3BB2">
              <w:rPr>
                <w:rFonts w:cs="Arial"/>
                <w:b/>
                <w:color w:val="000000"/>
                <w:szCs w:val="22"/>
              </w:rPr>
              <w:t>Value (£)</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b/>
                <w:color w:val="000000"/>
                <w:szCs w:val="22"/>
              </w:rPr>
            </w:pPr>
            <w:r w:rsidRPr="009C3BB2">
              <w:rPr>
                <w:rFonts w:cs="Arial"/>
                <w:b/>
                <w:color w:val="000000"/>
                <w:szCs w:val="22"/>
              </w:rPr>
              <w:t>%</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tcPr>
          <w:p w:rsidR="00464B59" w:rsidRPr="009C3BB2" w:rsidRDefault="00464B59" w:rsidP="00464B59">
            <w:pPr>
              <w:rPr>
                <w:rFonts w:cs="Arial"/>
                <w:color w:val="000000"/>
                <w:szCs w:val="22"/>
              </w:rPr>
            </w:pPr>
            <w:r w:rsidRPr="009C3BB2">
              <w:rPr>
                <w:rFonts w:cs="Arial"/>
                <w:color w:val="000000"/>
                <w:szCs w:val="22"/>
              </w:rPr>
              <w:t>0-5 Days</w:t>
            </w:r>
          </w:p>
        </w:tc>
        <w:tc>
          <w:tcPr>
            <w:tcW w:w="1559" w:type="dxa"/>
            <w:tcBorders>
              <w:top w:val="single" w:sz="4" w:space="0" w:color="auto"/>
              <w:left w:val="nil"/>
              <w:bottom w:val="single" w:sz="4" w:space="0" w:color="auto"/>
              <w:right w:val="single" w:sz="4" w:space="0" w:color="auto"/>
            </w:tcBorders>
            <w:shd w:val="clear" w:color="auto" w:fill="56008C"/>
            <w:noWrap/>
            <w:vAlign w:val="center"/>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115</w:t>
            </w:r>
          </w:p>
        </w:tc>
        <w:tc>
          <w:tcPr>
            <w:tcW w:w="1276" w:type="dxa"/>
            <w:tcBorders>
              <w:top w:val="single" w:sz="4" w:space="0" w:color="auto"/>
              <w:left w:val="nil"/>
              <w:bottom w:val="single" w:sz="4" w:space="0" w:color="auto"/>
              <w:right w:val="single" w:sz="4" w:space="0" w:color="auto"/>
            </w:tcBorders>
            <w:shd w:val="clear" w:color="auto" w:fill="56008C"/>
            <w:noWrap/>
            <w:vAlign w:val="center"/>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3%</w:t>
            </w:r>
          </w:p>
        </w:tc>
        <w:tc>
          <w:tcPr>
            <w:tcW w:w="1276" w:type="dxa"/>
            <w:tcBorders>
              <w:top w:val="single" w:sz="4" w:space="0" w:color="auto"/>
              <w:left w:val="nil"/>
              <w:bottom w:val="single" w:sz="4" w:space="0" w:color="auto"/>
              <w:right w:val="single" w:sz="4" w:space="0" w:color="auto"/>
            </w:tcBorders>
            <w:shd w:val="clear" w:color="auto" w:fill="E28C05"/>
            <w:noWrap/>
            <w:vAlign w:val="center"/>
          </w:tcPr>
          <w:p w:rsidR="00464B59" w:rsidRPr="009C3BB2" w:rsidRDefault="00464B59" w:rsidP="00464B59">
            <w:pPr>
              <w:jc w:val="center"/>
              <w:rPr>
                <w:rFonts w:cs="Arial"/>
                <w:color w:val="000000"/>
                <w:szCs w:val="22"/>
              </w:rPr>
            </w:pPr>
            <w:r w:rsidRPr="009C3BB2">
              <w:rPr>
                <w:rFonts w:cs="Arial"/>
                <w:color w:val="000000"/>
                <w:szCs w:val="22"/>
              </w:rPr>
              <w:t>195,989</w:t>
            </w:r>
          </w:p>
        </w:tc>
        <w:tc>
          <w:tcPr>
            <w:tcW w:w="1417" w:type="dxa"/>
            <w:tcBorders>
              <w:top w:val="single" w:sz="4" w:space="0" w:color="auto"/>
              <w:left w:val="nil"/>
              <w:bottom w:val="single" w:sz="4" w:space="0" w:color="auto"/>
              <w:right w:val="single" w:sz="4" w:space="0" w:color="auto"/>
            </w:tcBorders>
            <w:shd w:val="clear" w:color="auto" w:fill="E28C05"/>
            <w:noWrap/>
            <w:vAlign w:val="center"/>
          </w:tcPr>
          <w:p w:rsidR="00464B59" w:rsidRPr="009C3BB2" w:rsidRDefault="00464B59" w:rsidP="00464B59">
            <w:pPr>
              <w:jc w:val="center"/>
              <w:rPr>
                <w:rFonts w:cs="Arial"/>
                <w:color w:val="000000"/>
                <w:szCs w:val="22"/>
              </w:rPr>
            </w:pPr>
            <w:r w:rsidRPr="009C3BB2">
              <w:rPr>
                <w:rFonts w:cs="Arial"/>
                <w:color w:val="000000"/>
                <w:szCs w:val="22"/>
              </w:rPr>
              <w:t>7%</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6-10 Days</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1005</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29%</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884,704</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30%</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11-20 Days</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1992</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58%</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1,438,180</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50%</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21-30 Days</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227</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7%</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296,549</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10%</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Over 30 Days</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112</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3%</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81,147</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3%</w:t>
            </w:r>
          </w:p>
        </w:tc>
      </w:tr>
      <w:tr w:rsidR="00464B59"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Total</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3,451</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color w:val="FFFFFF" w:themeColor="background1"/>
                <w:szCs w:val="22"/>
              </w:rPr>
            </w:pPr>
            <w:r w:rsidRPr="009C3BB2">
              <w:rPr>
                <w:rFonts w:cs="Arial"/>
                <w:color w:val="FFFFFF" w:themeColor="background1"/>
                <w:szCs w:val="22"/>
              </w:rPr>
              <w:t>100%</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2,896,570</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color w:val="000000"/>
                <w:szCs w:val="22"/>
              </w:rPr>
            </w:pPr>
            <w:r w:rsidRPr="009C3BB2">
              <w:rPr>
                <w:rFonts w:cs="Arial"/>
                <w:color w:val="000000"/>
                <w:szCs w:val="22"/>
              </w:rPr>
              <w:t>100%</w:t>
            </w:r>
          </w:p>
        </w:tc>
      </w:tr>
      <w:tr w:rsidR="00464B59" w:rsidRPr="009C3BB2" w:rsidTr="00464B59">
        <w:trPr>
          <w:trHeight w:val="298"/>
        </w:trPr>
        <w:tc>
          <w:tcPr>
            <w:tcW w:w="2518" w:type="dxa"/>
            <w:tcBorders>
              <w:top w:val="nil"/>
              <w:left w:val="nil"/>
              <w:bottom w:val="nil"/>
              <w:right w:val="nil"/>
            </w:tcBorders>
            <w:shd w:val="clear" w:color="auto" w:fill="auto"/>
            <w:noWrap/>
            <w:vAlign w:val="bottom"/>
            <w:hideMark/>
          </w:tcPr>
          <w:p w:rsidR="00464B59" w:rsidRPr="009C3BB2" w:rsidRDefault="00464B59" w:rsidP="00464B59">
            <w:pPr>
              <w:rPr>
                <w:rFonts w:cs="Arial"/>
                <w:color w:val="000000"/>
                <w:szCs w:val="22"/>
              </w:rPr>
            </w:pPr>
          </w:p>
        </w:tc>
        <w:tc>
          <w:tcPr>
            <w:tcW w:w="1559" w:type="dxa"/>
            <w:tcBorders>
              <w:top w:val="single" w:sz="4" w:space="0" w:color="auto"/>
              <w:left w:val="nil"/>
              <w:bottom w:val="single" w:sz="4" w:space="0" w:color="auto"/>
              <w:right w:val="nil"/>
            </w:tcBorders>
            <w:shd w:val="clear" w:color="auto" w:fill="56008C"/>
            <w:noWrap/>
            <w:vAlign w:val="center"/>
            <w:hideMark/>
          </w:tcPr>
          <w:p w:rsidR="00464B59" w:rsidRPr="009C3BB2" w:rsidRDefault="00464B59" w:rsidP="00464B59">
            <w:pPr>
              <w:jc w:val="center"/>
              <w:rPr>
                <w:rFonts w:cs="Arial"/>
                <w:color w:val="FFFFFF" w:themeColor="background1"/>
                <w:szCs w:val="22"/>
              </w:rPr>
            </w:pPr>
          </w:p>
        </w:tc>
        <w:tc>
          <w:tcPr>
            <w:tcW w:w="1276" w:type="dxa"/>
            <w:tcBorders>
              <w:top w:val="single" w:sz="4" w:space="0" w:color="auto"/>
              <w:left w:val="nil"/>
              <w:bottom w:val="single" w:sz="4" w:space="0" w:color="auto"/>
              <w:right w:val="nil"/>
            </w:tcBorders>
            <w:shd w:val="clear" w:color="auto" w:fill="56008C"/>
            <w:noWrap/>
            <w:vAlign w:val="center"/>
            <w:hideMark/>
          </w:tcPr>
          <w:p w:rsidR="00464B59" w:rsidRPr="009C3BB2" w:rsidRDefault="00464B59" w:rsidP="00464B59">
            <w:pPr>
              <w:jc w:val="center"/>
              <w:rPr>
                <w:rFonts w:cs="Arial"/>
                <w:color w:val="FFFFFF" w:themeColor="background1"/>
                <w:szCs w:val="22"/>
              </w:rPr>
            </w:pPr>
          </w:p>
        </w:tc>
        <w:tc>
          <w:tcPr>
            <w:tcW w:w="1276" w:type="dxa"/>
            <w:tcBorders>
              <w:top w:val="single" w:sz="4" w:space="0" w:color="auto"/>
              <w:left w:val="nil"/>
              <w:bottom w:val="single" w:sz="4" w:space="0" w:color="auto"/>
              <w:right w:val="nil"/>
            </w:tcBorders>
            <w:shd w:val="clear" w:color="auto" w:fill="E28C05"/>
            <w:noWrap/>
            <w:vAlign w:val="center"/>
            <w:hideMark/>
          </w:tcPr>
          <w:p w:rsidR="00464B59" w:rsidRPr="009C3BB2" w:rsidRDefault="00464B59" w:rsidP="00464B59">
            <w:pPr>
              <w:jc w:val="center"/>
              <w:rPr>
                <w:rFonts w:cs="Arial"/>
                <w:color w:val="000000"/>
                <w:szCs w:val="22"/>
              </w:rPr>
            </w:pPr>
          </w:p>
        </w:tc>
        <w:tc>
          <w:tcPr>
            <w:tcW w:w="1417" w:type="dxa"/>
            <w:tcBorders>
              <w:top w:val="single" w:sz="4" w:space="0" w:color="auto"/>
              <w:left w:val="nil"/>
              <w:bottom w:val="single" w:sz="4" w:space="0" w:color="auto"/>
              <w:right w:val="nil"/>
            </w:tcBorders>
            <w:shd w:val="clear" w:color="auto" w:fill="E28C05"/>
            <w:noWrap/>
            <w:vAlign w:val="center"/>
            <w:hideMark/>
          </w:tcPr>
          <w:p w:rsidR="00464B59" w:rsidRPr="009C3BB2" w:rsidRDefault="00464B59" w:rsidP="00464B59">
            <w:pPr>
              <w:jc w:val="center"/>
              <w:rPr>
                <w:rFonts w:cs="Arial"/>
                <w:color w:val="000000"/>
                <w:szCs w:val="22"/>
              </w:rPr>
            </w:pPr>
          </w:p>
        </w:tc>
      </w:tr>
      <w:tr w:rsidR="00464B59" w:rsidRPr="009C3BB2" w:rsidTr="00464B59">
        <w:trPr>
          <w:trHeight w:val="298"/>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b/>
                <w:bCs/>
                <w:color w:val="000000"/>
                <w:szCs w:val="22"/>
              </w:rPr>
            </w:pPr>
            <w:r w:rsidRPr="009C3BB2">
              <w:rPr>
                <w:rFonts w:cs="Arial"/>
                <w:b/>
                <w:bCs/>
                <w:color w:val="000000"/>
                <w:szCs w:val="22"/>
              </w:rPr>
              <w:t>BPPC achieved</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464B59" w:rsidRDefault="00464B59" w:rsidP="00464B59">
            <w:pPr>
              <w:jc w:val="center"/>
              <w:rPr>
                <w:rFonts w:cs="Arial"/>
                <w:b/>
                <w:color w:val="FFFFFF" w:themeColor="background1"/>
                <w:szCs w:val="22"/>
              </w:rPr>
            </w:pPr>
            <w:r w:rsidRPr="00464B59">
              <w:rPr>
                <w:rFonts w:cs="Arial"/>
                <w:b/>
                <w:color w:val="FFFFFF" w:themeColor="background1"/>
                <w:szCs w:val="22"/>
              </w:rPr>
              <w:t>97%</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464B59" w:rsidRDefault="00464B59" w:rsidP="00464B59">
            <w:pPr>
              <w:jc w:val="center"/>
              <w:rPr>
                <w:rFonts w:cs="Arial"/>
                <w:b/>
                <w:color w:val="FFFFFF" w:themeColor="background1"/>
                <w:szCs w:val="22"/>
              </w:rPr>
            </w:pPr>
            <w:r w:rsidRPr="00464B59">
              <w:rPr>
                <w:rFonts w:cs="Arial"/>
                <w:b/>
                <w:color w:val="FFFFFF" w:themeColor="background1"/>
                <w:szCs w:val="22"/>
              </w:rPr>
              <w:t>97%</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464B59" w:rsidRDefault="00464B59" w:rsidP="00464B59">
            <w:pPr>
              <w:jc w:val="center"/>
              <w:rPr>
                <w:rFonts w:cs="Arial"/>
                <w:b/>
                <w:color w:val="000000"/>
                <w:szCs w:val="22"/>
              </w:rPr>
            </w:pPr>
            <w:r w:rsidRPr="00464B59">
              <w:rPr>
                <w:rFonts w:cs="Arial"/>
                <w:b/>
                <w:color w:val="000000"/>
                <w:szCs w:val="22"/>
              </w:rPr>
              <w:t>97%</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464B59" w:rsidRDefault="00464B59" w:rsidP="00464B59">
            <w:pPr>
              <w:jc w:val="center"/>
              <w:rPr>
                <w:rFonts w:cs="Arial"/>
                <w:b/>
                <w:color w:val="000000"/>
                <w:szCs w:val="22"/>
              </w:rPr>
            </w:pPr>
            <w:r w:rsidRPr="00464B59">
              <w:rPr>
                <w:rFonts w:cs="Arial"/>
                <w:b/>
                <w:color w:val="000000"/>
                <w:szCs w:val="22"/>
              </w:rPr>
              <w:t>97%</w:t>
            </w:r>
          </w:p>
        </w:tc>
      </w:tr>
    </w:tbl>
    <w:p w:rsidR="009C3BB2" w:rsidRDefault="009C3BB2" w:rsidP="00064131"/>
    <w:p w:rsidR="009C3BB2" w:rsidRPr="00064131" w:rsidRDefault="009C3BB2" w:rsidP="00064131"/>
    <w:p w:rsidR="00E532E0" w:rsidRDefault="00E532E0" w:rsidP="00E532E0"/>
    <w:p w:rsidR="00E532E0" w:rsidRDefault="00E532E0" w:rsidP="00E532E0"/>
    <w:p w:rsidR="00E532E0" w:rsidRDefault="00E532E0">
      <w:pPr>
        <w:spacing w:after="0" w:line="240" w:lineRule="auto"/>
      </w:pPr>
      <w:r>
        <w:br w:type="page"/>
      </w:r>
    </w:p>
    <w:p w:rsidR="00E532E0" w:rsidRDefault="00E532E0" w:rsidP="00E532E0"/>
    <w:p w:rsidR="000775E4" w:rsidRPr="00E532E0" w:rsidRDefault="000775E4" w:rsidP="00E532E0">
      <w:pPr>
        <w:keepNext/>
        <w:keepLines/>
        <w:pBdr>
          <w:top w:val="single" w:sz="8" w:space="3" w:color="FFFFFF"/>
          <w:left w:val="single" w:sz="8" w:space="4" w:color="FFFFFF"/>
          <w:bottom w:val="single" w:sz="8" w:space="3" w:color="FFFFFF"/>
          <w:right w:val="single" w:sz="8" w:space="4" w:color="FFFFFF"/>
        </w:pBdr>
        <w:shd w:val="clear" w:color="auto" w:fill="FFFFFF" w:themeFill="background1"/>
        <w:spacing w:before="240" w:line="276" w:lineRule="auto"/>
        <w:outlineLvl w:val="1"/>
        <w:rPr>
          <w:rFonts w:eastAsia="Calibri"/>
          <w:bCs/>
          <w:color w:val="7030A0"/>
          <w:sz w:val="28"/>
          <w:szCs w:val="28"/>
        </w:rPr>
      </w:pPr>
      <w:r w:rsidRPr="00E532E0">
        <w:rPr>
          <w:rFonts w:eastAsia="Calibri"/>
          <w:bCs/>
          <w:color w:val="7030A0"/>
          <w:sz w:val="28"/>
          <w:szCs w:val="28"/>
        </w:rPr>
        <w:t>Aged Cred</w:t>
      </w:r>
      <w:r w:rsidR="0007656A">
        <w:rPr>
          <w:rFonts w:eastAsia="Calibri"/>
          <w:bCs/>
          <w:color w:val="7030A0"/>
          <w:sz w:val="28"/>
          <w:szCs w:val="28"/>
        </w:rPr>
        <w:t>itors at 31 Dec</w:t>
      </w:r>
      <w:bookmarkStart w:id="0" w:name="_GoBack"/>
      <w:bookmarkEnd w:id="0"/>
      <w:r w:rsidR="00A21ECE">
        <w:rPr>
          <w:rFonts w:eastAsia="Calibri"/>
          <w:bCs/>
          <w:color w:val="7030A0"/>
          <w:sz w:val="28"/>
          <w:szCs w:val="28"/>
        </w:rPr>
        <w:t>em</w:t>
      </w:r>
      <w:r w:rsidRPr="00E532E0">
        <w:rPr>
          <w:rFonts w:eastAsia="Calibri"/>
          <w:bCs/>
          <w:color w:val="7030A0"/>
          <w:sz w:val="28"/>
          <w:szCs w:val="28"/>
        </w:rPr>
        <w:t>ber 2013</w:t>
      </w:r>
    </w:p>
    <w:p w:rsidR="000775E4" w:rsidRPr="00E532E0" w:rsidRDefault="000775E4" w:rsidP="000775E4">
      <w:pPr>
        <w:rPr>
          <w:rFonts w:cs="Arial"/>
          <w:b/>
          <w:bCs/>
          <w:sz w:val="24"/>
          <w:szCs w:val="22"/>
        </w:rPr>
      </w:pPr>
      <w:r w:rsidRPr="00E532E0">
        <w:rPr>
          <w:rFonts w:cs="Arial"/>
          <w:b/>
          <w:bCs/>
          <w:sz w:val="24"/>
          <w:szCs w:val="22"/>
        </w:rPr>
        <w:t>Headlines</w:t>
      </w:r>
    </w:p>
    <w:p w:rsidR="000775E4" w:rsidRDefault="000775E4" w:rsidP="000775E4">
      <w:pPr>
        <w:rPr>
          <w:rFonts w:cs="Arial"/>
          <w:b/>
          <w:bCs/>
          <w:szCs w:val="22"/>
        </w:rPr>
      </w:pPr>
    </w:p>
    <w:p w:rsidR="000775E4" w:rsidRPr="002D19A0" w:rsidRDefault="000775E4" w:rsidP="000775E4">
      <w:pPr>
        <w:rPr>
          <w:rFonts w:cs="Arial"/>
          <w:b/>
          <w:bCs/>
          <w:szCs w:val="22"/>
        </w:rPr>
      </w:pPr>
      <w:r w:rsidRPr="002D19A0">
        <w:rPr>
          <w:rFonts w:cs="Arial"/>
          <w:b/>
          <w:bCs/>
          <w:szCs w:val="22"/>
        </w:rPr>
        <w:t>Non-NHS Trade</w:t>
      </w:r>
    </w:p>
    <w:p w:rsidR="00A21ECE" w:rsidRPr="002D19A0" w:rsidRDefault="00464B59" w:rsidP="00A21ECE">
      <w:pPr>
        <w:rPr>
          <w:rFonts w:cs="Arial"/>
          <w:szCs w:val="22"/>
        </w:rPr>
      </w:pPr>
      <w:r w:rsidRPr="002D19A0">
        <w:rPr>
          <w:rFonts w:cs="Arial"/>
          <w:szCs w:val="22"/>
        </w:rPr>
        <w:t>Only significant item</w:t>
      </w:r>
      <w:r>
        <w:rPr>
          <w:rFonts w:cs="Arial"/>
          <w:szCs w:val="22"/>
        </w:rPr>
        <w:t>s in 60+ days are credit notes £1,470 from Riverside Centre and £544 from Park Hotel.  Repayment is being sought in respect of all items through NHS SBS</w:t>
      </w:r>
      <w:r w:rsidR="00A21ECE">
        <w:rPr>
          <w:rFonts w:cs="Arial"/>
          <w:szCs w:val="22"/>
        </w:rPr>
        <w:t>.</w:t>
      </w:r>
    </w:p>
    <w:p w:rsidR="00E532E0" w:rsidRPr="002D19A0" w:rsidRDefault="00E532E0" w:rsidP="000775E4">
      <w:pPr>
        <w:rPr>
          <w:rFonts w:cs="Arial"/>
          <w:szCs w:val="22"/>
        </w:rPr>
      </w:pPr>
    </w:p>
    <w:p w:rsidR="000775E4" w:rsidRPr="002D19A0" w:rsidRDefault="000775E4" w:rsidP="000775E4">
      <w:pPr>
        <w:rPr>
          <w:rFonts w:cs="Arial"/>
          <w:b/>
          <w:bCs/>
          <w:szCs w:val="22"/>
        </w:rPr>
      </w:pPr>
      <w:r>
        <w:rPr>
          <w:rFonts w:cs="Arial"/>
          <w:b/>
          <w:bCs/>
          <w:szCs w:val="22"/>
        </w:rPr>
        <w:t xml:space="preserve">NHS </w:t>
      </w:r>
      <w:r w:rsidRPr="002D19A0">
        <w:rPr>
          <w:rFonts w:cs="Arial"/>
          <w:b/>
          <w:bCs/>
          <w:szCs w:val="22"/>
        </w:rPr>
        <w:t xml:space="preserve"> </w:t>
      </w:r>
    </w:p>
    <w:p w:rsidR="00A21ECE" w:rsidRDefault="00464B59" w:rsidP="000775E4">
      <w:pPr>
        <w:rPr>
          <w:rFonts w:cs="Arial"/>
          <w:szCs w:val="22"/>
        </w:rPr>
      </w:pPr>
      <w:r>
        <w:rPr>
          <w:rFonts w:cs="Arial"/>
          <w:szCs w:val="22"/>
        </w:rPr>
        <w:t>60</w:t>
      </w:r>
      <w:r w:rsidR="00215779">
        <w:rPr>
          <w:rFonts w:cs="Arial"/>
          <w:szCs w:val="22"/>
        </w:rPr>
        <w:t>+ day</w:t>
      </w:r>
      <w:r>
        <w:rPr>
          <w:rFonts w:cs="Arial"/>
          <w:szCs w:val="22"/>
        </w:rPr>
        <w:t xml:space="preserve"> item is an invoice from</w:t>
      </w:r>
      <w:r w:rsidR="00215779">
        <w:rPr>
          <w:rFonts w:cs="Arial"/>
          <w:szCs w:val="22"/>
        </w:rPr>
        <w:t xml:space="preserve"> the</w:t>
      </w:r>
      <w:r>
        <w:rPr>
          <w:rFonts w:cs="Arial"/>
          <w:szCs w:val="22"/>
        </w:rPr>
        <w:t xml:space="preserve"> Oxford University Hospitals NHS Trust </w:t>
      </w:r>
      <w:r w:rsidR="00215779">
        <w:rPr>
          <w:rFonts w:cs="Arial"/>
          <w:szCs w:val="22"/>
        </w:rPr>
        <w:t xml:space="preserve">for </w:t>
      </w:r>
      <w:r>
        <w:rPr>
          <w:rFonts w:cs="Arial"/>
          <w:szCs w:val="22"/>
        </w:rPr>
        <w:t>£38,484 which was dated 14</w:t>
      </w:r>
      <w:r w:rsidR="00215779">
        <w:rPr>
          <w:rFonts w:cs="Arial"/>
          <w:szCs w:val="22"/>
          <w:vertAlign w:val="superscript"/>
        </w:rPr>
        <w:t> </w:t>
      </w:r>
      <w:r>
        <w:rPr>
          <w:rFonts w:cs="Arial"/>
          <w:szCs w:val="22"/>
        </w:rPr>
        <w:t>October 2013 but which did not get onto the SBS system until the 18 December</w:t>
      </w:r>
      <w:r w:rsidR="00215779">
        <w:rPr>
          <w:rFonts w:cs="Arial"/>
          <w:szCs w:val="22"/>
        </w:rPr>
        <w:t xml:space="preserve"> and</w:t>
      </w:r>
      <w:r>
        <w:rPr>
          <w:rFonts w:cs="Arial"/>
          <w:szCs w:val="22"/>
        </w:rPr>
        <w:t xml:space="preserve"> was approved the same day.  There were no RFT payment runs until </w:t>
      </w:r>
      <w:r w:rsidR="00215779">
        <w:rPr>
          <w:rFonts w:cs="Arial"/>
          <w:szCs w:val="22"/>
        </w:rPr>
        <w:t xml:space="preserve">2 </w:t>
      </w:r>
      <w:r>
        <w:rPr>
          <w:rFonts w:cs="Arial"/>
          <w:szCs w:val="22"/>
        </w:rPr>
        <w:t xml:space="preserve">January </w:t>
      </w:r>
      <w:r w:rsidR="00215779">
        <w:rPr>
          <w:rFonts w:cs="Arial"/>
          <w:szCs w:val="22"/>
        </w:rPr>
        <w:t xml:space="preserve">2014 </w:t>
      </w:r>
      <w:r>
        <w:rPr>
          <w:rFonts w:cs="Arial"/>
          <w:szCs w:val="22"/>
        </w:rPr>
        <w:t>when it was then cleared.  The lack of RFT payment run is also the explanation for the number of NHS invoices remaining unpaid in the 30 days.</w:t>
      </w:r>
    </w:p>
    <w:p w:rsidR="00464B59" w:rsidRDefault="00464B59" w:rsidP="000775E4">
      <w:pPr>
        <w:rPr>
          <w:rFonts w:cs="Arial"/>
          <w:szCs w:val="22"/>
        </w:rPr>
      </w:pPr>
    </w:p>
    <w:tbl>
      <w:tblPr>
        <w:tblW w:w="8655" w:type="dxa"/>
        <w:jc w:val="center"/>
        <w:tblLook w:val="04A0" w:firstRow="1" w:lastRow="0" w:firstColumn="1" w:lastColumn="0" w:noHBand="0" w:noVBand="1"/>
      </w:tblPr>
      <w:tblGrid>
        <w:gridCol w:w="1773"/>
        <w:gridCol w:w="1752"/>
        <w:gridCol w:w="2700"/>
        <w:gridCol w:w="2430"/>
      </w:tblGrid>
      <w:tr w:rsidR="00C24951" w:rsidRPr="00C24951" w:rsidTr="00C24951">
        <w:trPr>
          <w:trHeight w:val="315"/>
          <w:jc w:val="center"/>
        </w:trPr>
        <w:tc>
          <w:tcPr>
            <w:tcW w:w="1773"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rPr>
                <w:rFonts w:cs="Arial"/>
                <w:color w:val="000000"/>
                <w:szCs w:val="22"/>
              </w:rPr>
            </w:pPr>
            <w:bookmarkStart w:id="1" w:name="OLE_LINK2"/>
            <w:r w:rsidRPr="00C24951">
              <w:rPr>
                <w:rFonts w:eastAsia="Calibri" w:cs="Arial"/>
                <w:b/>
                <w:bCs/>
                <w:color w:val="1F497D"/>
                <w:szCs w:val="26"/>
              </w:rPr>
              <w:br w:type="page"/>
            </w:r>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C24951" w:rsidRPr="00C24951" w:rsidRDefault="00C24951" w:rsidP="00C24951">
            <w:pPr>
              <w:spacing w:before="60" w:after="60" w:line="240" w:lineRule="auto"/>
              <w:jc w:val="center"/>
              <w:rPr>
                <w:rFonts w:cs="Arial"/>
                <w:b/>
                <w:bCs/>
                <w:color w:val="FFFFFF" w:themeColor="background1"/>
                <w:szCs w:val="22"/>
              </w:rPr>
            </w:pPr>
            <w:r w:rsidRPr="00C24951">
              <w:rPr>
                <w:rFonts w:cs="Arial"/>
                <w:b/>
                <w:bCs/>
                <w:color w:val="FFFFFF" w:themeColor="background1"/>
                <w:szCs w:val="22"/>
              </w:rPr>
              <w:t>Aged Creditors – (£) amounts past due date</w:t>
            </w:r>
          </w:p>
        </w:tc>
      </w:tr>
      <w:tr w:rsidR="00C24951" w:rsidRPr="00C24951" w:rsidTr="00C24951">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color w:val="000000"/>
                <w:szCs w:val="22"/>
              </w:rPr>
            </w:pP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60 + days</w:t>
            </w:r>
          </w:p>
        </w:tc>
      </w:tr>
      <w:tr w:rsidR="00C24951" w:rsidRPr="00C24951" w:rsidTr="00C24951">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b/>
                <w:color w:val="000000"/>
                <w:szCs w:val="22"/>
              </w:rPr>
            </w:pPr>
            <w:r w:rsidRPr="00C24951">
              <w:rPr>
                <w:rFonts w:cs="Arial"/>
                <w:b/>
                <w:color w:val="000000"/>
                <w:szCs w:val="22"/>
              </w:rPr>
              <w:t>Non NHS Trade</w:t>
            </w:r>
          </w:p>
        </w:tc>
        <w:tc>
          <w:tcPr>
            <w:tcW w:w="1752"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6,475</w:t>
            </w:r>
          </w:p>
        </w:tc>
        <w:tc>
          <w:tcPr>
            <w:tcW w:w="2700"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2,750</w:t>
            </w:r>
          </w:p>
        </w:tc>
        <w:tc>
          <w:tcPr>
            <w:tcW w:w="2430"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-2,160</w:t>
            </w:r>
          </w:p>
        </w:tc>
      </w:tr>
      <w:tr w:rsidR="00C24951" w:rsidRPr="00C24951" w:rsidTr="00C24951">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b/>
                <w:color w:val="000000"/>
                <w:szCs w:val="22"/>
              </w:rPr>
            </w:pPr>
            <w:r w:rsidRPr="00C24951">
              <w:rPr>
                <w:rFonts w:cs="Arial"/>
                <w:b/>
                <w:color w:val="000000"/>
                <w:szCs w:val="22"/>
              </w:rPr>
              <w:t>Non NHS Other</w:t>
            </w:r>
          </w:p>
        </w:tc>
        <w:tc>
          <w:tcPr>
            <w:tcW w:w="1752"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551</w:t>
            </w:r>
          </w:p>
        </w:tc>
        <w:tc>
          <w:tcPr>
            <w:tcW w:w="2700" w:type="dxa"/>
            <w:tcBorders>
              <w:top w:val="nil"/>
              <w:left w:val="nil"/>
              <w:bottom w:val="nil"/>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114</w:t>
            </w:r>
          </w:p>
        </w:tc>
        <w:tc>
          <w:tcPr>
            <w:tcW w:w="2430"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358</w:t>
            </w:r>
          </w:p>
        </w:tc>
      </w:tr>
      <w:tr w:rsidR="00C24951" w:rsidRPr="00C24951" w:rsidTr="00C24951">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b/>
                <w:color w:val="000000"/>
                <w:szCs w:val="22"/>
              </w:rPr>
            </w:pPr>
            <w:r w:rsidRPr="00C24951">
              <w:rPr>
                <w:rFonts w:cs="Arial"/>
                <w:b/>
                <w:color w:val="000000"/>
                <w:szCs w:val="22"/>
              </w:rPr>
              <w:t>NHS</w:t>
            </w:r>
          </w:p>
        </w:tc>
        <w:tc>
          <w:tcPr>
            <w:tcW w:w="1752"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30,198</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150</w:t>
            </w:r>
          </w:p>
        </w:tc>
        <w:tc>
          <w:tcPr>
            <w:tcW w:w="2430" w:type="dxa"/>
            <w:tcBorders>
              <w:top w:val="nil"/>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r w:rsidRPr="00C24951">
              <w:rPr>
                <w:rFonts w:cs="Arial"/>
                <w:color w:val="000000"/>
                <w:szCs w:val="22"/>
              </w:rPr>
              <w:t>38,485</w:t>
            </w:r>
          </w:p>
        </w:tc>
      </w:tr>
      <w:tr w:rsidR="00C24951" w:rsidRPr="00C24951" w:rsidTr="00C24951">
        <w:trPr>
          <w:trHeight w:val="315"/>
          <w:jc w:val="center"/>
        </w:trPr>
        <w:tc>
          <w:tcPr>
            <w:tcW w:w="1773"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rPr>
                <w:rFonts w:cs="Arial"/>
                <w:b/>
                <w:color w:val="000000"/>
                <w:szCs w:val="22"/>
              </w:rPr>
            </w:pPr>
          </w:p>
        </w:tc>
        <w:tc>
          <w:tcPr>
            <w:tcW w:w="1752"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p>
        </w:tc>
        <w:tc>
          <w:tcPr>
            <w:tcW w:w="2700"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p>
        </w:tc>
        <w:tc>
          <w:tcPr>
            <w:tcW w:w="2430"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jc w:val="center"/>
              <w:rPr>
                <w:rFonts w:cs="Arial"/>
                <w:color w:val="000000"/>
                <w:szCs w:val="22"/>
              </w:rPr>
            </w:pPr>
          </w:p>
        </w:tc>
      </w:tr>
      <w:tr w:rsidR="00C24951" w:rsidRPr="00C24951" w:rsidTr="00C24951">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b/>
                <w:color w:val="000000"/>
                <w:szCs w:val="22"/>
              </w:rPr>
            </w:pPr>
            <w:r w:rsidRPr="00C24951">
              <w:rPr>
                <w:rFonts w:cs="Arial"/>
                <w:b/>
                <w:color w:val="000000"/>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color w:val="000000"/>
                <w:szCs w:val="22"/>
              </w:rPr>
            </w:pPr>
            <w:r w:rsidRPr="00C24951">
              <w:rPr>
                <w:rFonts w:cs="Arial"/>
                <w:b/>
                <w:color w:val="000000"/>
                <w:szCs w:val="22"/>
              </w:rPr>
              <w:t>37,224</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color w:val="000000"/>
                <w:szCs w:val="22"/>
              </w:rPr>
            </w:pPr>
            <w:r w:rsidRPr="00C24951">
              <w:rPr>
                <w:rFonts w:cs="Arial"/>
                <w:b/>
                <w:color w:val="000000"/>
                <w:szCs w:val="22"/>
              </w:rPr>
              <w:t>3,014</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color w:val="000000"/>
                <w:szCs w:val="22"/>
              </w:rPr>
            </w:pPr>
            <w:r w:rsidRPr="00C24951">
              <w:rPr>
                <w:rFonts w:cs="Arial"/>
                <w:b/>
                <w:color w:val="000000"/>
                <w:szCs w:val="22"/>
              </w:rPr>
              <w:t>36,683</w:t>
            </w:r>
          </w:p>
        </w:tc>
      </w:tr>
      <w:bookmarkEnd w:id="1"/>
    </w:tbl>
    <w:p w:rsidR="00A21ECE" w:rsidRDefault="00A21ECE" w:rsidP="000775E4">
      <w:pPr>
        <w:rPr>
          <w:rFonts w:cs="Arial"/>
          <w:szCs w:val="22"/>
        </w:rPr>
      </w:pPr>
    </w:p>
    <w:p w:rsidR="00A21ECE" w:rsidRDefault="00A21ECE" w:rsidP="000775E4">
      <w:pPr>
        <w:rPr>
          <w:rFonts w:cs="Arial"/>
          <w:szCs w:val="22"/>
        </w:rPr>
      </w:pPr>
    </w:p>
    <w:p w:rsidR="00E532E0" w:rsidRPr="00FA3816" w:rsidRDefault="00E532E0" w:rsidP="000775E4">
      <w:pPr>
        <w:rPr>
          <w:rFonts w:cs="Arial"/>
          <w:szCs w:val="22"/>
        </w:rPr>
      </w:pPr>
    </w:p>
    <w:p w:rsidR="00E51F68" w:rsidRPr="00FA3816" w:rsidRDefault="00E51F68" w:rsidP="007C5EB3">
      <w:pPr>
        <w:rPr>
          <w:rFonts w:cs="Arial"/>
        </w:rPr>
      </w:pPr>
    </w:p>
    <w:p w:rsidR="00353070" w:rsidRPr="00FA3816" w:rsidRDefault="00353070">
      <w:pPr>
        <w:spacing w:after="0" w:line="240" w:lineRule="auto"/>
        <w:rPr>
          <w:rFonts w:cs="Arial"/>
        </w:rPr>
      </w:pPr>
    </w:p>
    <w:p w:rsidR="00A21ECE" w:rsidRDefault="00A21ECE">
      <w:pPr>
        <w:spacing w:after="0" w:line="240" w:lineRule="auto"/>
      </w:pPr>
      <w:r>
        <w:br w:type="page"/>
      </w:r>
    </w:p>
    <w:p w:rsidR="00363A95" w:rsidRDefault="00363A95" w:rsidP="007C5EB3"/>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69051F"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69051F" w:rsidRPr="00B25DF7" w:rsidRDefault="0069051F" w:rsidP="0069051F">
            <w:pPr>
              <w:spacing w:before="120"/>
              <w:jc w:val="left"/>
              <w:rPr>
                <w:b w:val="0"/>
                <w:color w:val="F79646" w:themeColor="accent6"/>
                <w:sz w:val="28"/>
              </w:rPr>
            </w:pPr>
            <w:r>
              <w:rPr>
                <w:b w:val="0"/>
                <w:color w:val="F79646" w:themeColor="accent6"/>
                <w:sz w:val="28"/>
              </w:rPr>
              <w:t>HR / STAFF METRICS</w:t>
            </w:r>
          </w:p>
        </w:tc>
      </w:tr>
    </w:tbl>
    <w:p w:rsidR="00233D04" w:rsidRDefault="00233D04" w:rsidP="007C5EB3">
      <w:pPr>
        <w:pStyle w:val="Heading2"/>
      </w:pPr>
    </w:p>
    <w:p w:rsidR="00233D04" w:rsidRPr="00550421" w:rsidRDefault="00233D04" w:rsidP="007C5EB3">
      <w:pPr>
        <w:pStyle w:val="Heading2"/>
        <w:rPr>
          <w:sz w:val="28"/>
        </w:rPr>
      </w:pPr>
      <w:r w:rsidRPr="00550421">
        <w:rPr>
          <w:sz w:val="28"/>
        </w:rPr>
        <w:t>Profile of staff headcount 2013-14</w:t>
      </w:r>
    </w:p>
    <w:p w:rsidR="00233D04" w:rsidRDefault="00233D04" w:rsidP="00233D04">
      <w:pPr>
        <w:pStyle w:val="ListParagraph"/>
        <w:spacing w:after="200" w:line="276" w:lineRule="auto"/>
        <w:rPr>
          <w:rFonts w:cs="Arial"/>
          <w:b/>
          <w:szCs w:val="22"/>
        </w:rPr>
      </w:pPr>
    </w:p>
    <w:p w:rsidR="00A21ECE" w:rsidRDefault="00A21ECE" w:rsidP="00A21ECE">
      <w:pPr>
        <w:pStyle w:val="ListParagraph"/>
        <w:spacing w:after="200" w:line="276" w:lineRule="auto"/>
        <w:rPr>
          <w:rFonts w:cs="Arial"/>
          <w:b/>
          <w:szCs w:val="22"/>
        </w:rPr>
      </w:pPr>
    </w:p>
    <w:p w:rsidR="00A21ECE" w:rsidRDefault="001F4747" w:rsidP="00A21ECE">
      <w:pPr>
        <w:pStyle w:val="ListParagraph"/>
        <w:spacing w:after="200" w:line="276" w:lineRule="auto"/>
        <w:rPr>
          <w:rFonts w:cs="Arial"/>
          <w:b/>
          <w:szCs w:val="22"/>
        </w:rPr>
      </w:pPr>
      <w:r>
        <w:rPr>
          <w:noProof/>
          <w:lang w:eastAsia="en-GB"/>
        </w:rPr>
        <w:drawing>
          <wp:inline distT="0" distB="0" distL="0" distR="0" wp14:anchorId="3367D03B" wp14:editId="30AC3715">
            <wp:extent cx="5362575" cy="3667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1ECE" w:rsidRDefault="00A21ECE" w:rsidP="00A21ECE">
      <w:pPr>
        <w:pStyle w:val="ListParagraph"/>
        <w:spacing w:after="200" w:line="276" w:lineRule="auto"/>
        <w:rPr>
          <w:rFonts w:cs="Arial"/>
          <w:b/>
          <w:szCs w:val="22"/>
        </w:rPr>
      </w:pPr>
    </w:p>
    <w:p w:rsidR="00353070" w:rsidRDefault="00353070" w:rsidP="00353070">
      <w:pPr>
        <w:pStyle w:val="ListParagraph"/>
        <w:spacing w:after="360" w:line="276" w:lineRule="auto"/>
        <w:rPr>
          <w:rFonts w:cs="Arial"/>
          <w:b/>
          <w:szCs w:val="22"/>
        </w:rPr>
      </w:pPr>
    </w:p>
    <w:p w:rsidR="00353070" w:rsidRPr="00524D39" w:rsidRDefault="00353070" w:rsidP="00353070">
      <w:pPr>
        <w:pStyle w:val="ListParagraph"/>
        <w:numPr>
          <w:ilvl w:val="0"/>
          <w:numId w:val="6"/>
        </w:numPr>
        <w:spacing w:before="240"/>
        <w:ind w:left="714" w:hanging="357"/>
        <w:contextualSpacing w:val="0"/>
        <w:rPr>
          <w:i/>
        </w:rPr>
      </w:pPr>
      <w:r>
        <w:t>Staff headcount for 2013-14 shows a fairly static position throughout the year to date</w:t>
      </w:r>
      <w:r w:rsidR="001F4747">
        <w:t xml:space="preserve"> (pay represents 64% of the costs incurred year to date)</w:t>
      </w:r>
    </w:p>
    <w:p w:rsidR="00524D39" w:rsidRPr="00363A95" w:rsidRDefault="00524D39" w:rsidP="00353070">
      <w:pPr>
        <w:pStyle w:val="ListParagraph"/>
        <w:numPr>
          <w:ilvl w:val="0"/>
          <w:numId w:val="6"/>
        </w:numPr>
        <w:spacing w:before="240"/>
        <w:ind w:left="714" w:hanging="357"/>
        <w:contextualSpacing w:val="0"/>
        <w:rPr>
          <w:i/>
        </w:rPr>
      </w:pPr>
      <w:r>
        <w:t xml:space="preserve">The HRA is </w:t>
      </w:r>
      <w:r w:rsidR="00A21ECE">
        <w:t>continuing to work</w:t>
      </w:r>
      <w:r>
        <w:t xml:space="preserve"> to reduce the number of agency staff employed</w:t>
      </w:r>
    </w:p>
    <w:p w:rsidR="00353070" w:rsidRDefault="00353070" w:rsidP="00233D04">
      <w:pPr>
        <w:pStyle w:val="ListParagraph"/>
        <w:spacing w:after="200" w:line="276" w:lineRule="auto"/>
        <w:rPr>
          <w:rFonts w:cs="Arial"/>
          <w:b/>
          <w:szCs w:val="22"/>
        </w:rPr>
      </w:pPr>
    </w:p>
    <w:p w:rsidR="00233D04" w:rsidRDefault="00233D04">
      <w:pPr>
        <w:spacing w:after="0" w:line="240" w:lineRule="auto"/>
        <w:rPr>
          <w:rFonts w:eastAsia="MS Gothic"/>
          <w:bCs/>
          <w:iCs/>
          <w:color w:val="331188"/>
          <w:sz w:val="24"/>
          <w:szCs w:val="28"/>
        </w:rPr>
      </w:pPr>
      <w:r>
        <w:br w:type="page"/>
      </w:r>
    </w:p>
    <w:p w:rsidR="00233D04" w:rsidRDefault="00233D04" w:rsidP="00F827D9">
      <w:pPr>
        <w:pStyle w:val="Heading2"/>
        <w:spacing w:before="0" w:after="360"/>
      </w:pPr>
      <w:r w:rsidRPr="00550421">
        <w:rPr>
          <w:sz w:val="28"/>
        </w:rPr>
        <w:lastRenderedPageBreak/>
        <w:t xml:space="preserve">Demographic breakdown – HRA </w:t>
      </w:r>
      <w:proofErr w:type="gramStart"/>
      <w:r w:rsidRPr="00550421">
        <w:rPr>
          <w:sz w:val="28"/>
        </w:rPr>
        <w:t>staff</w:t>
      </w:r>
      <w:proofErr w:type="gramEnd"/>
      <w:r w:rsidR="000A26BD" w:rsidRPr="00550421">
        <w:rPr>
          <w:sz w:val="28"/>
        </w:rPr>
        <w:br/>
      </w:r>
      <w:r w:rsidR="000A26BD" w:rsidRPr="000A26BD">
        <w:rPr>
          <w:i/>
          <w:color w:val="auto"/>
          <w:sz w:val="22"/>
          <w:szCs w:val="22"/>
        </w:rPr>
        <w:t>(updated quarterly</w:t>
      </w:r>
      <w:r w:rsidR="000A26BD">
        <w:rPr>
          <w:i/>
          <w:color w:val="auto"/>
          <w:sz w:val="22"/>
          <w:szCs w:val="22"/>
        </w:rPr>
        <w:t>)</w:t>
      </w:r>
    </w:p>
    <w:tbl>
      <w:tblPr>
        <w:tblW w:w="5920" w:type="dxa"/>
        <w:tblInd w:w="720" w:type="dxa"/>
        <w:tblLook w:val="04A0" w:firstRow="1" w:lastRow="0" w:firstColumn="1" w:lastColumn="0" w:noHBand="0" w:noVBand="1"/>
      </w:tblPr>
      <w:tblGrid>
        <w:gridCol w:w="4840"/>
        <w:gridCol w:w="1080"/>
      </w:tblGrid>
      <w:tr w:rsidR="00FC5704" w:rsidRPr="00353070" w:rsidTr="00FA28DC">
        <w:trPr>
          <w:trHeight w:val="255"/>
        </w:trPr>
        <w:tc>
          <w:tcPr>
            <w:tcW w:w="4840" w:type="dxa"/>
            <w:tcBorders>
              <w:top w:val="single" w:sz="4" w:space="0" w:color="7030A0"/>
              <w:left w:val="single" w:sz="4" w:space="0" w:color="7030A0"/>
              <w:bottom w:val="single" w:sz="4" w:space="0" w:color="7030A0"/>
              <w:right w:val="single" w:sz="4" w:space="0" w:color="7030A0"/>
            </w:tcBorders>
            <w:shd w:val="clear" w:color="000000" w:fill="7030A0"/>
            <w:noWrap/>
            <w:vAlign w:val="center"/>
          </w:tcPr>
          <w:p w:rsidR="00FC5704" w:rsidRPr="00353070" w:rsidRDefault="00FC5704" w:rsidP="00FC5704">
            <w:pPr>
              <w:spacing w:after="0" w:line="240" w:lineRule="auto"/>
              <w:jc w:val="center"/>
              <w:rPr>
                <w:rFonts w:eastAsia="Times New Roman" w:cs="Arial"/>
                <w:b/>
                <w:bCs/>
                <w:color w:val="FFFFFF"/>
                <w:szCs w:val="22"/>
                <w:lang w:eastAsia="en-GB"/>
              </w:rPr>
            </w:pPr>
            <w:r>
              <w:rPr>
                <w:rFonts w:eastAsia="Times New Roman" w:cs="Arial"/>
                <w:b/>
                <w:bCs/>
                <w:color w:val="FFFFFF"/>
                <w:szCs w:val="22"/>
                <w:lang w:eastAsia="en-GB"/>
              </w:rPr>
              <w:t>Quarter 3</w:t>
            </w:r>
          </w:p>
        </w:tc>
        <w:tc>
          <w:tcPr>
            <w:tcW w:w="1080" w:type="dxa"/>
            <w:tcBorders>
              <w:top w:val="single" w:sz="4" w:space="0" w:color="7030A0"/>
              <w:left w:val="nil"/>
              <w:bottom w:val="single" w:sz="4" w:space="0" w:color="7030A0"/>
              <w:right w:val="single" w:sz="4" w:space="0" w:color="7030A0"/>
            </w:tcBorders>
            <w:shd w:val="clear" w:color="000000" w:fill="7030A0"/>
            <w:noWrap/>
            <w:vAlign w:val="center"/>
          </w:tcPr>
          <w:p w:rsidR="00FC5704" w:rsidRPr="00353070" w:rsidRDefault="00FC5704" w:rsidP="00FA28DC">
            <w:pPr>
              <w:spacing w:after="0" w:line="240" w:lineRule="auto"/>
              <w:jc w:val="center"/>
              <w:rPr>
                <w:rFonts w:eastAsia="Times New Roman" w:cs="Arial"/>
                <w:b/>
                <w:bCs/>
                <w:color w:val="FFFFFF"/>
                <w:szCs w:val="22"/>
                <w:lang w:eastAsia="en-GB"/>
              </w:rPr>
            </w:pPr>
          </w:p>
        </w:tc>
      </w:tr>
      <w:tr w:rsidR="00233D04" w:rsidRPr="00353070" w:rsidTr="00FA28DC">
        <w:trPr>
          <w:trHeight w:val="255"/>
        </w:trPr>
        <w:tc>
          <w:tcPr>
            <w:tcW w:w="4840" w:type="dxa"/>
            <w:tcBorders>
              <w:top w:val="single" w:sz="4" w:space="0" w:color="7030A0"/>
              <w:left w:val="single" w:sz="4" w:space="0" w:color="7030A0"/>
              <w:bottom w:val="single" w:sz="4" w:space="0" w:color="7030A0"/>
              <w:right w:val="single" w:sz="4" w:space="0" w:color="7030A0"/>
            </w:tcBorders>
            <w:shd w:val="clear" w:color="000000" w:fill="7030A0"/>
            <w:noWrap/>
            <w:vAlign w:val="center"/>
            <w:hideMark/>
          </w:tcPr>
          <w:p w:rsidR="00233D04" w:rsidRPr="00FC5704" w:rsidRDefault="00233D04" w:rsidP="005E40EE">
            <w:pPr>
              <w:spacing w:after="0" w:line="240" w:lineRule="auto"/>
              <w:rPr>
                <w:rFonts w:eastAsia="Times New Roman" w:cs="Arial"/>
                <w:bCs/>
                <w:color w:val="FFFFFF"/>
                <w:szCs w:val="22"/>
                <w:lang w:eastAsia="en-GB"/>
              </w:rPr>
            </w:pPr>
            <w:r w:rsidRPr="00FC5704">
              <w:rPr>
                <w:rFonts w:eastAsia="Times New Roman" w:cs="Arial"/>
                <w:bCs/>
                <w:color w:val="FFFFFF"/>
                <w:szCs w:val="22"/>
                <w:lang w:eastAsia="en-GB"/>
              </w:rPr>
              <w:t>Ethnicity</w:t>
            </w:r>
          </w:p>
        </w:tc>
        <w:tc>
          <w:tcPr>
            <w:tcW w:w="1080" w:type="dxa"/>
            <w:tcBorders>
              <w:top w:val="single" w:sz="4" w:space="0" w:color="7030A0"/>
              <w:left w:val="nil"/>
              <w:bottom w:val="single" w:sz="4" w:space="0" w:color="7030A0"/>
              <w:right w:val="single" w:sz="4" w:space="0" w:color="7030A0"/>
            </w:tcBorders>
            <w:shd w:val="clear" w:color="000000" w:fill="7030A0"/>
            <w:noWrap/>
            <w:vAlign w:val="center"/>
            <w:hideMark/>
          </w:tcPr>
          <w:p w:rsidR="00233D04" w:rsidRPr="00353070" w:rsidRDefault="00233D04" w:rsidP="00FA28DC">
            <w:pPr>
              <w:spacing w:after="0" w:line="240" w:lineRule="auto"/>
              <w:jc w:val="center"/>
              <w:rPr>
                <w:rFonts w:eastAsia="Times New Roman" w:cs="Arial"/>
                <w:b/>
                <w:bCs/>
                <w:color w:val="FFFFFF"/>
                <w:szCs w:val="22"/>
                <w:lang w:eastAsia="en-GB"/>
              </w:rPr>
            </w:pPr>
            <w:r w:rsidRPr="00353070">
              <w:rPr>
                <w:rFonts w:eastAsia="Times New Roman" w:cs="Arial"/>
                <w:b/>
                <w:bCs/>
                <w:color w:val="FFFFFF"/>
                <w:szCs w:val="22"/>
                <w:lang w:eastAsia="en-GB"/>
              </w:rPr>
              <w:t>%</w:t>
            </w:r>
          </w:p>
        </w:tc>
      </w:tr>
      <w:tr w:rsidR="00233D04" w:rsidRPr="00353070"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 xml:space="preserve">White </w:t>
            </w:r>
            <w:r w:rsidR="00C50BA5">
              <w:rPr>
                <w:rFonts w:eastAsia="Times New Roman" w:cs="Arial"/>
                <w:color w:val="000000"/>
                <w:szCs w:val="22"/>
                <w:lang w:eastAsia="en-GB"/>
              </w:rPr>
              <w:t>–</w:t>
            </w:r>
            <w:r w:rsidRPr="00353070">
              <w:rPr>
                <w:rFonts w:eastAsia="Times New Roman" w:cs="Arial"/>
                <w:color w:val="000000"/>
                <w:szCs w:val="22"/>
                <w:lang w:eastAsia="en-GB"/>
              </w:rPr>
              <w:t xml:space="preserve"> British</w:t>
            </w:r>
            <w:r w:rsidR="00C50BA5">
              <w:rPr>
                <w:rFonts w:eastAsia="Times New Roman" w:cs="Arial"/>
                <w:color w:val="000000"/>
                <w:szCs w:val="22"/>
                <w:lang w:eastAsia="en-GB"/>
              </w:rPr>
              <w:t xml:space="preserve"> / Irish</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075767"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70</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White - Any other White background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075767"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4</w:t>
            </w:r>
            <w:r w:rsidR="005E40EE">
              <w:rPr>
                <w:rFonts w:eastAsia="Times New Roman" w:cs="Arial"/>
                <w:color w:val="000000"/>
                <w:szCs w:val="22"/>
                <w:lang w:eastAsia="en-GB"/>
              </w:rPr>
              <w:t>.5</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Mixed - Any other mixed background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075767"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1</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C50BA5" w:rsidP="00FA28DC">
            <w:pPr>
              <w:spacing w:after="0" w:line="240" w:lineRule="auto"/>
              <w:rPr>
                <w:rFonts w:eastAsia="Times New Roman" w:cs="Arial"/>
                <w:color w:val="000000"/>
                <w:szCs w:val="22"/>
                <w:lang w:eastAsia="en-GB"/>
              </w:rPr>
            </w:pPr>
            <w:r>
              <w:rPr>
                <w:rFonts w:eastAsia="Times New Roman" w:cs="Arial"/>
                <w:color w:val="000000"/>
                <w:szCs w:val="22"/>
                <w:lang w:eastAsia="en-GB"/>
              </w:rPr>
              <w:t>Asian or Asian British</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5E40EE"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4.</w:t>
            </w:r>
            <w:r w:rsidR="00075767">
              <w:rPr>
                <w:rFonts w:eastAsia="Times New Roman" w:cs="Arial"/>
                <w:color w:val="000000"/>
                <w:szCs w:val="22"/>
                <w:lang w:eastAsia="en-GB"/>
              </w:rPr>
              <w:t>5</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Bl</w:t>
            </w:r>
            <w:r w:rsidR="00C50BA5">
              <w:rPr>
                <w:rFonts w:eastAsia="Times New Roman" w:cs="Arial"/>
                <w:color w:val="000000"/>
                <w:szCs w:val="22"/>
                <w:lang w:eastAsia="en-GB"/>
              </w:rPr>
              <w:t>ack or Black British</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5E40EE"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7</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5E40EE" w:rsidP="00FA28DC">
            <w:pPr>
              <w:spacing w:after="0" w:line="240" w:lineRule="auto"/>
              <w:rPr>
                <w:rFonts w:eastAsia="Times New Roman" w:cs="Arial"/>
                <w:color w:val="000000"/>
                <w:szCs w:val="22"/>
                <w:lang w:eastAsia="en-GB"/>
              </w:rPr>
            </w:pPr>
            <w:r>
              <w:rPr>
                <w:rFonts w:eastAsia="Times New Roman" w:cs="Arial"/>
                <w:color w:val="000000"/>
                <w:szCs w:val="22"/>
                <w:lang w:eastAsia="en-GB"/>
              </w:rPr>
              <w:t xml:space="preserve">Other / </w:t>
            </w:r>
            <w:r w:rsidR="00233D04" w:rsidRPr="00353070">
              <w:rPr>
                <w:rFonts w:eastAsia="Times New Roman" w:cs="Arial"/>
                <w:color w:val="000000"/>
                <w:szCs w:val="22"/>
                <w:lang w:eastAsia="en-GB"/>
              </w:rPr>
              <w:t>Undefined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5E40EE"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6</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Not Stated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5E40EE"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7</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33D04" w:rsidRPr="00353070" w:rsidRDefault="00233D04" w:rsidP="00FA28DC">
            <w:pPr>
              <w:spacing w:after="0" w:line="240" w:lineRule="auto"/>
              <w:jc w:val="center"/>
              <w:rPr>
                <w:rFonts w:eastAsia="Times New Roman" w:cs="Arial"/>
                <w:color w:val="000000"/>
                <w:szCs w:val="22"/>
                <w:lang w:eastAsia="en-GB"/>
              </w:rPr>
            </w:pPr>
            <w:r w:rsidRPr="00353070">
              <w:rPr>
                <w:rFonts w:eastAsia="Times New Roman" w:cs="Arial"/>
                <w:color w:val="000000"/>
                <w:szCs w:val="22"/>
                <w:lang w:eastAsia="en-GB"/>
              </w:rPr>
              <w:t> </w:t>
            </w:r>
          </w:p>
        </w:tc>
      </w:tr>
      <w:tr w:rsidR="00233D04" w:rsidRPr="00353070"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33D04" w:rsidRPr="00353070" w:rsidRDefault="00233D04" w:rsidP="00FA28DC">
            <w:pPr>
              <w:spacing w:after="0" w:line="240" w:lineRule="auto"/>
              <w:rPr>
                <w:rFonts w:eastAsia="Times New Roman" w:cs="Arial"/>
                <w:color w:val="FFFFFF"/>
                <w:szCs w:val="22"/>
                <w:lang w:eastAsia="en-GB"/>
              </w:rPr>
            </w:pPr>
            <w:r w:rsidRPr="00353070">
              <w:rPr>
                <w:rFonts w:eastAsia="Times New Roman" w:cs="Arial"/>
                <w:color w:val="FFFFFF"/>
                <w:szCs w:val="22"/>
                <w:lang w:eastAsia="en-GB"/>
              </w:rPr>
              <w:t>Age</w:t>
            </w:r>
          </w:p>
        </w:tc>
        <w:tc>
          <w:tcPr>
            <w:tcW w:w="1080" w:type="dxa"/>
            <w:tcBorders>
              <w:top w:val="nil"/>
              <w:left w:val="nil"/>
              <w:bottom w:val="single" w:sz="4" w:space="0" w:color="7030A0"/>
              <w:right w:val="single" w:sz="4" w:space="0" w:color="7030A0"/>
            </w:tcBorders>
            <w:shd w:val="clear" w:color="000000" w:fill="7030A0"/>
            <w:noWrap/>
            <w:vAlign w:val="center"/>
            <w:hideMark/>
          </w:tcPr>
          <w:p w:rsidR="00233D04" w:rsidRPr="00353070" w:rsidRDefault="00233D04" w:rsidP="00FA28DC">
            <w:pPr>
              <w:spacing w:after="0" w:line="240" w:lineRule="auto"/>
              <w:jc w:val="center"/>
              <w:rPr>
                <w:rFonts w:eastAsia="Times New Roman" w:cs="Arial"/>
                <w:color w:val="FFFFFF"/>
                <w:szCs w:val="22"/>
                <w:lang w:eastAsia="en-GB"/>
              </w:rPr>
            </w:pPr>
            <w:r w:rsidRPr="00353070">
              <w:rPr>
                <w:rFonts w:eastAsia="Times New Roman" w:cs="Arial"/>
                <w:color w:val="FFFFFF"/>
                <w:szCs w:val="22"/>
                <w:lang w:eastAsia="en-GB"/>
              </w:rPr>
              <w:t>%</w:t>
            </w:r>
          </w:p>
        </w:tc>
      </w:tr>
      <w:tr w:rsidR="00233D04" w:rsidRPr="00353070"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&lt;20</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C50BA5"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0</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20-30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30</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31-40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C5704">
            <w:pPr>
              <w:spacing w:after="0" w:line="240" w:lineRule="auto"/>
              <w:jc w:val="center"/>
              <w:rPr>
                <w:rFonts w:eastAsia="Times New Roman" w:cs="Arial"/>
                <w:color w:val="000000"/>
                <w:szCs w:val="22"/>
                <w:lang w:eastAsia="en-GB"/>
              </w:rPr>
            </w:pPr>
            <w:r>
              <w:rPr>
                <w:rFonts w:eastAsia="Times New Roman" w:cs="Arial"/>
                <w:color w:val="000000"/>
                <w:szCs w:val="22"/>
                <w:lang w:eastAsia="en-GB"/>
              </w:rPr>
              <w:t>22</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41-50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24</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51-60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20</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60+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C50BA5"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4</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33D04" w:rsidRPr="00353070" w:rsidRDefault="00233D04" w:rsidP="00FA28DC">
            <w:pPr>
              <w:spacing w:after="0" w:line="240" w:lineRule="auto"/>
              <w:jc w:val="center"/>
              <w:rPr>
                <w:rFonts w:eastAsia="Times New Roman" w:cs="Arial"/>
                <w:color w:val="000000"/>
                <w:szCs w:val="22"/>
                <w:lang w:eastAsia="en-GB"/>
              </w:rPr>
            </w:pPr>
            <w:r w:rsidRPr="00353070">
              <w:rPr>
                <w:rFonts w:eastAsia="Times New Roman" w:cs="Arial"/>
                <w:color w:val="000000"/>
                <w:szCs w:val="22"/>
                <w:lang w:eastAsia="en-GB"/>
              </w:rPr>
              <w:t> </w:t>
            </w:r>
          </w:p>
        </w:tc>
      </w:tr>
      <w:tr w:rsidR="00233D04" w:rsidRPr="00353070"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33D04" w:rsidRPr="00353070" w:rsidRDefault="00233D04" w:rsidP="00FA28DC">
            <w:pPr>
              <w:spacing w:after="0" w:line="240" w:lineRule="auto"/>
              <w:rPr>
                <w:rFonts w:eastAsia="Times New Roman" w:cs="Arial"/>
                <w:color w:val="FFFFFF"/>
                <w:szCs w:val="22"/>
                <w:lang w:eastAsia="en-GB"/>
              </w:rPr>
            </w:pPr>
            <w:r w:rsidRPr="00353070">
              <w:rPr>
                <w:rFonts w:eastAsia="Times New Roman" w:cs="Arial"/>
                <w:color w:val="FFFFFF"/>
                <w:szCs w:val="22"/>
                <w:lang w:eastAsia="en-GB"/>
              </w:rPr>
              <w:t>Full-Time/Part Time</w:t>
            </w:r>
          </w:p>
        </w:tc>
        <w:tc>
          <w:tcPr>
            <w:tcW w:w="1080" w:type="dxa"/>
            <w:tcBorders>
              <w:top w:val="nil"/>
              <w:left w:val="nil"/>
              <w:bottom w:val="single" w:sz="4" w:space="0" w:color="7030A0"/>
              <w:right w:val="single" w:sz="4" w:space="0" w:color="7030A0"/>
            </w:tcBorders>
            <w:shd w:val="clear" w:color="000000" w:fill="7030A0"/>
            <w:noWrap/>
            <w:vAlign w:val="center"/>
            <w:hideMark/>
          </w:tcPr>
          <w:p w:rsidR="00233D04" w:rsidRPr="00353070" w:rsidRDefault="00233D04" w:rsidP="00FA28DC">
            <w:pPr>
              <w:spacing w:after="0" w:line="240" w:lineRule="auto"/>
              <w:jc w:val="center"/>
              <w:rPr>
                <w:rFonts w:eastAsia="Times New Roman" w:cs="Arial"/>
                <w:color w:val="FFFFFF"/>
                <w:szCs w:val="22"/>
                <w:lang w:eastAsia="en-GB"/>
              </w:rPr>
            </w:pPr>
            <w:r w:rsidRPr="00353070">
              <w:rPr>
                <w:rFonts w:eastAsia="Times New Roman" w:cs="Arial"/>
                <w:color w:val="FFFFFF"/>
                <w:szCs w:val="22"/>
                <w:lang w:eastAsia="en-GB"/>
              </w:rPr>
              <w:t>%</w:t>
            </w:r>
          </w:p>
        </w:tc>
      </w:tr>
      <w:tr w:rsidR="00233D04" w:rsidRPr="00353070"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Full-Time</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79</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Part-time</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21</w:t>
            </w:r>
            <w:r w:rsidR="00233D04" w:rsidRPr="00353070">
              <w:rPr>
                <w:rFonts w:eastAsia="Times New Roman" w:cs="Arial"/>
                <w:color w:val="000000"/>
                <w:szCs w:val="22"/>
                <w:lang w:eastAsia="en-GB"/>
              </w:rPr>
              <w:t>%</w:t>
            </w:r>
          </w:p>
        </w:tc>
      </w:tr>
      <w:tr w:rsidR="00233D04" w:rsidRPr="00353070" w:rsidTr="00FA28DC">
        <w:trPr>
          <w:trHeight w:val="255"/>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33D04" w:rsidRPr="00353070" w:rsidRDefault="00233D04" w:rsidP="00FA28DC">
            <w:pPr>
              <w:spacing w:after="0" w:line="240" w:lineRule="auto"/>
              <w:jc w:val="center"/>
              <w:rPr>
                <w:rFonts w:eastAsia="Times New Roman" w:cs="Arial"/>
                <w:color w:val="000000"/>
                <w:szCs w:val="22"/>
                <w:lang w:eastAsia="en-GB"/>
              </w:rPr>
            </w:pPr>
            <w:r w:rsidRPr="00353070">
              <w:rPr>
                <w:rFonts w:eastAsia="Times New Roman" w:cs="Arial"/>
                <w:color w:val="000000"/>
                <w:szCs w:val="22"/>
                <w:lang w:eastAsia="en-GB"/>
              </w:rPr>
              <w:t> </w:t>
            </w:r>
          </w:p>
        </w:tc>
      </w:tr>
      <w:tr w:rsidR="00233D04" w:rsidRPr="00353070"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33D04" w:rsidRPr="00353070" w:rsidRDefault="00233D04" w:rsidP="00FA28DC">
            <w:pPr>
              <w:spacing w:after="0" w:line="240" w:lineRule="auto"/>
              <w:rPr>
                <w:rFonts w:eastAsia="Times New Roman" w:cs="Arial"/>
                <w:color w:val="FFFFFF"/>
                <w:szCs w:val="22"/>
                <w:lang w:eastAsia="en-GB"/>
              </w:rPr>
            </w:pPr>
            <w:r w:rsidRPr="00353070">
              <w:rPr>
                <w:rFonts w:eastAsia="Times New Roman" w:cs="Arial"/>
                <w:color w:val="FFFFFF"/>
                <w:szCs w:val="22"/>
                <w:lang w:eastAsia="en-GB"/>
              </w:rPr>
              <w:t>Gender</w:t>
            </w:r>
          </w:p>
        </w:tc>
        <w:tc>
          <w:tcPr>
            <w:tcW w:w="1080" w:type="dxa"/>
            <w:tcBorders>
              <w:top w:val="nil"/>
              <w:left w:val="nil"/>
              <w:bottom w:val="single" w:sz="4" w:space="0" w:color="7030A0"/>
              <w:right w:val="single" w:sz="4" w:space="0" w:color="7030A0"/>
            </w:tcBorders>
            <w:shd w:val="clear" w:color="000000" w:fill="7030A0"/>
            <w:noWrap/>
            <w:vAlign w:val="center"/>
            <w:hideMark/>
          </w:tcPr>
          <w:p w:rsidR="00233D04" w:rsidRPr="00353070" w:rsidRDefault="00233D04" w:rsidP="00FA28DC">
            <w:pPr>
              <w:spacing w:after="0" w:line="240" w:lineRule="auto"/>
              <w:jc w:val="center"/>
              <w:rPr>
                <w:rFonts w:eastAsia="Times New Roman" w:cs="Arial"/>
                <w:color w:val="FFFFFF"/>
                <w:szCs w:val="22"/>
                <w:lang w:eastAsia="en-GB"/>
              </w:rPr>
            </w:pPr>
            <w:r w:rsidRPr="00353070">
              <w:rPr>
                <w:rFonts w:eastAsia="Times New Roman" w:cs="Arial"/>
                <w:color w:val="FFFFFF"/>
                <w:szCs w:val="22"/>
                <w:lang w:eastAsia="en-GB"/>
              </w:rPr>
              <w:t>%</w:t>
            </w:r>
          </w:p>
        </w:tc>
      </w:tr>
      <w:tr w:rsidR="00233D04" w:rsidRPr="00353070"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Female</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74</w:t>
            </w:r>
            <w:r w:rsidR="00233D04" w:rsidRPr="00353070">
              <w:rPr>
                <w:rFonts w:eastAsia="Times New Roman" w:cs="Arial"/>
                <w:color w:val="000000"/>
                <w:szCs w:val="22"/>
                <w:lang w:eastAsia="en-GB"/>
              </w:rPr>
              <w:t>%</w:t>
            </w:r>
          </w:p>
        </w:tc>
      </w:tr>
      <w:tr w:rsidR="00233D04" w:rsidRPr="00353070" w:rsidTr="00F827D9">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color w:val="000000"/>
                <w:szCs w:val="22"/>
                <w:lang w:eastAsia="en-GB"/>
              </w:rPr>
            </w:pPr>
            <w:r w:rsidRPr="00353070">
              <w:rPr>
                <w:rFonts w:eastAsia="Times New Roman" w:cs="Arial"/>
                <w:color w:val="000000"/>
                <w:szCs w:val="22"/>
                <w:lang w:eastAsia="en-GB"/>
              </w:rPr>
              <w:t>Male</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33D04" w:rsidRPr="00353070" w:rsidRDefault="00FC5704" w:rsidP="00FA28DC">
            <w:pPr>
              <w:spacing w:after="0" w:line="240" w:lineRule="auto"/>
              <w:jc w:val="center"/>
              <w:rPr>
                <w:rFonts w:eastAsia="Times New Roman" w:cs="Arial"/>
                <w:color w:val="000000"/>
                <w:szCs w:val="22"/>
                <w:lang w:eastAsia="en-GB"/>
              </w:rPr>
            </w:pPr>
            <w:r>
              <w:rPr>
                <w:rFonts w:eastAsia="Times New Roman" w:cs="Arial"/>
                <w:color w:val="000000"/>
                <w:szCs w:val="22"/>
                <w:lang w:eastAsia="en-GB"/>
              </w:rPr>
              <w:t>26</w:t>
            </w:r>
            <w:r w:rsidR="00233D04" w:rsidRPr="00353070">
              <w:rPr>
                <w:rFonts w:eastAsia="Times New Roman" w:cs="Arial"/>
                <w:color w:val="000000"/>
                <w:szCs w:val="22"/>
                <w:lang w:eastAsia="en-GB"/>
              </w:rPr>
              <w:t>%</w:t>
            </w:r>
          </w:p>
        </w:tc>
      </w:tr>
      <w:tr w:rsidR="00233D04" w:rsidRPr="00353070" w:rsidTr="00F827D9">
        <w:trPr>
          <w:trHeight w:val="255"/>
        </w:trPr>
        <w:tc>
          <w:tcPr>
            <w:tcW w:w="4840" w:type="dxa"/>
            <w:tcBorders>
              <w:top w:val="dotted" w:sz="4" w:space="0" w:color="7030A0"/>
              <w:left w:val="single" w:sz="4" w:space="0" w:color="7030A0"/>
              <w:bottom w:val="single" w:sz="4" w:space="0" w:color="7030A0"/>
              <w:right w:val="dotted" w:sz="4" w:space="0" w:color="7030A0"/>
            </w:tcBorders>
            <w:shd w:val="clear" w:color="auto" w:fill="auto"/>
            <w:noWrap/>
            <w:vAlign w:val="center"/>
            <w:hideMark/>
          </w:tcPr>
          <w:p w:rsidR="00233D04" w:rsidRPr="00353070" w:rsidRDefault="00233D04" w:rsidP="00FA28DC">
            <w:pPr>
              <w:spacing w:after="0" w:line="240" w:lineRule="auto"/>
              <w:rPr>
                <w:rFonts w:eastAsia="Times New Roman" w:cs="Arial"/>
                <w:b/>
                <w:bCs/>
                <w:color w:val="000000"/>
                <w:szCs w:val="22"/>
                <w:lang w:eastAsia="en-GB"/>
              </w:rPr>
            </w:pPr>
          </w:p>
        </w:tc>
        <w:tc>
          <w:tcPr>
            <w:tcW w:w="1080" w:type="dxa"/>
            <w:tcBorders>
              <w:top w:val="dotted" w:sz="4" w:space="0" w:color="7030A0"/>
              <w:left w:val="dotted" w:sz="4" w:space="0" w:color="7030A0"/>
              <w:bottom w:val="single" w:sz="4" w:space="0" w:color="7030A0"/>
              <w:right w:val="single" w:sz="4" w:space="0" w:color="7030A0"/>
            </w:tcBorders>
            <w:shd w:val="clear" w:color="auto" w:fill="auto"/>
            <w:noWrap/>
            <w:vAlign w:val="center"/>
            <w:hideMark/>
          </w:tcPr>
          <w:p w:rsidR="00233D04" w:rsidRPr="00353070" w:rsidRDefault="00233D04" w:rsidP="00FA28DC">
            <w:pPr>
              <w:spacing w:after="0" w:line="240" w:lineRule="auto"/>
              <w:jc w:val="center"/>
              <w:rPr>
                <w:rFonts w:eastAsia="Times New Roman" w:cs="Arial"/>
                <w:color w:val="000000"/>
                <w:szCs w:val="22"/>
                <w:lang w:eastAsia="en-GB"/>
              </w:rPr>
            </w:pPr>
            <w:r w:rsidRPr="00353070">
              <w:rPr>
                <w:rFonts w:eastAsia="Times New Roman" w:cs="Arial"/>
                <w:color w:val="000000"/>
                <w:szCs w:val="22"/>
                <w:lang w:eastAsia="en-GB"/>
              </w:rPr>
              <w:t> </w:t>
            </w:r>
          </w:p>
        </w:tc>
      </w:tr>
    </w:tbl>
    <w:p w:rsidR="00FC5704" w:rsidRDefault="00FC5704" w:rsidP="00F827D9">
      <w:pPr>
        <w:spacing w:after="0"/>
      </w:pPr>
    </w:p>
    <w:p w:rsidR="00F827D9" w:rsidRDefault="00F827D9" w:rsidP="00F827D9">
      <w:pPr>
        <w:pStyle w:val="Heading2"/>
      </w:pPr>
      <w:r>
        <w:t>Staff sickness absence 2013/14 (year to date)</w:t>
      </w:r>
    </w:p>
    <w:p w:rsidR="00353070" w:rsidRDefault="00353070" w:rsidP="007F2AE1">
      <w:pPr>
        <w:spacing w:after="0"/>
      </w:pPr>
    </w:p>
    <w:p w:rsidR="00BA476F" w:rsidRDefault="00BA476F" w:rsidP="00A21ECE">
      <w:pPr>
        <w:spacing w:after="240"/>
      </w:pPr>
      <w:r>
        <w:t>Long-term sickness:</w:t>
      </w:r>
    </w:p>
    <w:p w:rsidR="00BA476F" w:rsidRDefault="00E80486" w:rsidP="00BA476F">
      <w:pPr>
        <w:spacing w:after="0" w:line="240" w:lineRule="auto"/>
        <w:jc w:val="center"/>
      </w:pPr>
      <w:r>
        <w:rPr>
          <w:noProof/>
          <w:lang w:eastAsia="en-GB"/>
        </w:rPr>
        <w:drawing>
          <wp:inline distT="0" distB="0" distL="0" distR="0" wp14:anchorId="59C9FDB0" wp14:editId="351639B5">
            <wp:extent cx="5953125" cy="3019425"/>
            <wp:effectExtent l="0" t="0" r="9525" b="9525"/>
            <wp:docPr id="21" name="Picture 21" descr="cid:image005.png@01CF175F.14EF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5.png@01CF175F.14EF1A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53125" cy="3019425"/>
                    </a:xfrm>
                    <a:prstGeom prst="rect">
                      <a:avLst/>
                    </a:prstGeom>
                    <a:noFill/>
                    <a:ln>
                      <a:noFill/>
                    </a:ln>
                  </pic:spPr>
                </pic:pic>
              </a:graphicData>
            </a:graphic>
          </wp:inline>
        </w:drawing>
      </w:r>
    </w:p>
    <w:p w:rsidR="00BA476F" w:rsidRDefault="00BA476F" w:rsidP="007F2AE1">
      <w:pPr>
        <w:spacing w:after="0"/>
      </w:pPr>
    </w:p>
    <w:p w:rsidR="00BA476F" w:rsidRDefault="00BA476F" w:rsidP="007F2AE1">
      <w:pPr>
        <w:spacing w:after="0"/>
      </w:pPr>
      <w:r>
        <w:t>Short-term sickness:</w:t>
      </w:r>
    </w:p>
    <w:p w:rsidR="00BA476F" w:rsidRDefault="00E80486" w:rsidP="007F2AE1">
      <w:pPr>
        <w:spacing w:after="0"/>
      </w:pPr>
      <w:r>
        <w:rPr>
          <w:noProof/>
          <w:lang w:eastAsia="en-GB"/>
        </w:rPr>
        <w:drawing>
          <wp:anchor distT="0" distB="0" distL="114300" distR="114300" simplePos="0" relativeHeight="251715584" behindDoc="0" locked="0" layoutInCell="1" allowOverlap="1" wp14:anchorId="30B09664" wp14:editId="018658AB">
            <wp:simplePos x="0" y="0"/>
            <wp:positionH relativeFrom="column">
              <wp:posOffset>18415</wp:posOffset>
            </wp:positionH>
            <wp:positionV relativeFrom="paragraph">
              <wp:posOffset>203835</wp:posOffset>
            </wp:positionV>
            <wp:extent cx="6213475" cy="2495550"/>
            <wp:effectExtent l="0" t="0" r="0" b="0"/>
            <wp:wrapTopAndBottom/>
            <wp:docPr id="22" name="Picture 22" descr="cid:image006.png@01CF175F.14EF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6.png@01CF175F.14EF1A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21347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CD" w:rsidRDefault="00306FCD" w:rsidP="007F2AE1">
      <w:pPr>
        <w:spacing w:after="0"/>
      </w:pPr>
    </w:p>
    <w:p w:rsidR="00363A95" w:rsidRPr="00363A95" w:rsidRDefault="00363A95" w:rsidP="00E80486">
      <w:pPr>
        <w:pStyle w:val="Heading2"/>
        <w:numPr>
          <w:ilvl w:val="0"/>
          <w:numId w:val="22"/>
        </w:numPr>
        <w:spacing w:before="0" w:after="120"/>
        <w:ind w:left="993" w:hanging="426"/>
        <w:rPr>
          <w:sz w:val="22"/>
          <w:szCs w:val="22"/>
        </w:rPr>
      </w:pPr>
      <w:r w:rsidRPr="00363A95">
        <w:rPr>
          <w:color w:val="auto"/>
          <w:sz w:val="22"/>
          <w:szCs w:val="22"/>
        </w:rPr>
        <w:t>The combined</w:t>
      </w:r>
      <w:r>
        <w:rPr>
          <w:color w:val="auto"/>
          <w:sz w:val="22"/>
          <w:szCs w:val="22"/>
        </w:rPr>
        <w:t xml:space="preserve"> average </w:t>
      </w:r>
      <w:r w:rsidR="00EA79CD">
        <w:rPr>
          <w:color w:val="auto"/>
          <w:sz w:val="22"/>
          <w:szCs w:val="22"/>
        </w:rPr>
        <w:t xml:space="preserve">figure for NHS </w:t>
      </w:r>
      <w:r>
        <w:rPr>
          <w:color w:val="auto"/>
          <w:sz w:val="22"/>
          <w:szCs w:val="22"/>
        </w:rPr>
        <w:t xml:space="preserve">sickness </w:t>
      </w:r>
      <w:r w:rsidR="00EA79CD">
        <w:rPr>
          <w:color w:val="auto"/>
          <w:sz w:val="22"/>
          <w:szCs w:val="22"/>
        </w:rPr>
        <w:t>absence for 2012/13 was 4.24%</w:t>
      </w:r>
    </w:p>
    <w:p w:rsidR="00A476AB" w:rsidRPr="00F827D9" w:rsidRDefault="00A476AB" w:rsidP="00F827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621B7" w:rsidTr="007C5EB3">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4621B7" w:rsidRDefault="00363A95" w:rsidP="00054663">
            <w:pPr>
              <w:pStyle w:val="Heading2"/>
              <w:spacing w:before="0"/>
              <w:jc w:val="left"/>
              <w:outlineLvl w:val="1"/>
              <w:rPr>
                <w:b w:val="0"/>
                <w:color w:val="7030A0"/>
              </w:rPr>
            </w:pPr>
            <w:r>
              <w:rPr>
                <w:b w:val="0"/>
                <w:color w:val="7030A0"/>
              </w:rPr>
              <w:t>Staff turnover 2013/</w:t>
            </w:r>
            <w:r w:rsidR="00962B70" w:rsidRPr="007C5EB3">
              <w:rPr>
                <w:b w:val="0"/>
                <w:color w:val="7030A0"/>
              </w:rPr>
              <w:t>14 (year to date)</w:t>
            </w:r>
          </w:p>
          <w:p w:rsidR="00353070" w:rsidRPr="00353070" w:rsidRDefault="00353070" w:rsidP="00054663">
            <w:pPr>
              <w:spacing w:after="0"/>
            </w:pPr>
          </w:p>
        </w:tc>
      </w:tr>
      <w:tr w:rsidR="00DC6DFE" w:rsidTr="007C5EB3">
        <w:tc>
          <w:tcPr>
            <w:tcW w:w="10415" w:type="dxa"/>
          </w:tcPr>
          <w:p w:rsidR="00DC6DFE" w:rsidRDefault="00E80486" w:rsidP="00BA476F">
            <w:pPr>
              <w:spacing w:before="40" w:after="40" w:line="240" w:lineRule="auto"/>
              <w:jc w:val="center"/>
              <w:rPr>
                <w:i/>
              </w:rPr>
            </w:pPr>
            <w:r>
              <w:rPr>
                <w:noProof/>
                <w:lang w:eastAsia="en-GB"/>
              </w:rPr>
              <w:drawing>
                <wp:inline distT="0" distB="0" distL="0" distR="0" wp14:anchorId="1A043F89" wp14:editId="30063314">
                  <wp:extent cx="5953125" cy="2619375"/>
                  <wp:effectExtent l="0" t="0" r="9525" b="9525"/>
                  <wp:docPr id="23" name="Picture 23" descr="cid:image007.png@01CF175F.14EF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7.png@01CF175F.14EF1A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tc>
      </w:tr>
    </w:tbl>
    <w:p w:rsidR="00054663" w:rsidRDefault="00054663" w:rsidP="00054663">
      <w:pPr>
        <w:spacing w:after="0"/>
        <w:rPr>
          <w:rFonts w:ascii="Calibri" w:eastAsiaTheme="minorHAnsi" w:hAnsi="Calibri" w:cs="Calibri"/>
          <w:szCs w:val="22"/>
        </w:rPr>
      </w:pPr>
    </w:p>
    <w:p w:rsidR="00524D39" w:rsidRPr="003220D1" w:rsidRDefault="00524D39" w:rsidP="00524D39">
      <w:pPr>
        <w:pStyle w:val="ListParagraph"/>
        <w:numPr>
          <w:ilvl w:val="0"/>
          <w:numId w:val="29"/>
        </w:numPr>
        <w:spacing w:before="120" w:after="0" w:line="240" w:lineRule="auto"/>
        <w:ind w:left="714" w:hanging="357"/>
        <w:contextualSpacing w:val="0"/>
      </w:pPr>
      <w:r>
        <w:rPr>
          <w:rFonts w:cs="Arial"/>
          <w:szCs w:val="22"/>
          <w:lang w:eastAsia="en-GB"/>
        </w:rPr>
        <w:t>Includes staff on payroll only (</w:t>
      </w:r>
      <w:proofErr w:type="spellStart"/>
      <w:r>
        <w:rPr>
          <w:rFonts w:cs="Arial"/>
          <w:szCs w:val="22"/>
          <w:lang w:eastAsia="en-GB"/>
        </w:rPr>
        <w:t>ie</w:t>
      </w:r>
      <w:proofErr w:type="spellEnd"/>
      <w:r>
        <w:rPr>
          <w:rFonts w:cs="Arial"/>
          <w:szCs w:val="22"/>
          <w:lang w:eastAsia="en-GB"/>
        </w:rPr>
        <w:t xml:space="preserve"> excludes secondments and temporary staff)</w:t>
      </w:r>
    </w:p>
    <w:p w:rsidR="003220D1" w:rsidRPr="006838F0" w:rsidRDefault="003220D1" w:rsidP="003220D1">
      <w:pPr>
        <w:spacing w:before="120" w:after="0" w:line="240" w:lineRule="auto"/>
      </w:pPr>
    </w:p>
    <w:p w:rsidR="00353070" w:rsidRDefault="00353070" w:rsidP="00C85D68">
      <w:pPr>
        <w:pStyle w:val="ListParagraph"/>
        <w:numPr>
          <w:ilvl w:val="0"/>
          <w:numId w:val="29"/>
        </w:numPr>
        <w:spacing w:before="100" w:beforeAutospacing="1" w:after="0" w:line="240" w:lineRule="auto"/>
      </w:pPr>
      <w:r>
        <w:br w:type="page"/>
      </w:r>
    </w:p>
    <w:p w:rsidR="0069051F" w:rsidRDefault="0069051F">
      <w:pPr>
        <w:spacing w:after="0" w:line="240" w:lineRule="auto"/>
      </w:pP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B451E" w:rsidRPr="00B25DF7" w:rsidTr="008302DB">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B451E" w:rsidRPr="00B25DF7" w:rsidRDefault="00BB451E" w:rsidP="008302DB">
            <w:pPr>
              <w:spacing w:before="120"/>
              <w:jc w:val="left"/>
              <w:rPr>
                <w:b w:val="0"/>
                <w:color w:val="F79646" w:themeColor="accent6"/>
                <w:sz w:val="28"/>
              </w:rPr>
            </w:pPr>
            <w:r>
              <w:rPr>
                <w:b w:val="0"/>
                <w:color w:val="F79646" w:themeColor="accent6"/>
                <w:sz w:val="28"/>
              </w:rPr>
              <w:t>Response metrics</w:t>
            </w:r>
          </w:p>
        </w:tc>
      </w:tr>
      <w:tr w:rsidR="00BB451E" w:rsidTr="008302DB">
        <w:tc>
          <w:tcPr>
            <w:tcW w:w="10415" w:type="dxa"/>
          </w:tcPr>
          <w:p w:rsidR="00BB451E" w:rsidRDefault="000B445B" w:rsidP="00FA3816">
            <w:pPr>
              <w:pStyle w:val="ListParagraph"/>
              <w:numPr>
                <w:ilvl w:val="0"/>
                <w:numId w:val="6"/>
              </w:numPr>
              <w:spacing w:before="240"/>
              <w:ind w:left="357" w:hanging="357"/>
              <w:contextualSpacing w:val="0"/>
              <w:rPr>
                <w:i/>
              </w:rPr>
            </w:pPr>
            <w:r>
              <w:t xml:space="preserve">Target for responding to complaints, 25 working days </w:t>
            </w:r>
          </w:p>
          <w:p w:rsidR="00BB451E" w:rsidRDefault="000B445B" w:rsidP="000B445B">
            <w:pPr>
              <w:pStyle w:val="ListParagraph"/>
              <w:numPr>
                <w:ilvl w:val="0"/>
                <w:numId w:val="6"/>
              </w:numPr>
              <w:ind w:left="357" w:hanging="357"/>
              <w:contextualSpacing w:val="0"/>
            </w:pPr>
            <w:r>
              <w:t xml:space="preserve">Statutory target for responding to </w:t>
            </w:r>
            <w:r w:rsidR="00685265">
              <w:t>Freedom of Information (</w:t>
            </w:r>
            <w:r>
              <w:t>FOI</w:t>
            </w:r>
            <w:r w:rsidR="00685265">
              <w:t>)</w:t>
            </w:r>
            <w:r>
              <w:t xml:space="preserve"> requests, 20 working days </w:t>
            </w:r>
          </w:p>
          <w:p w:rsidR="00FA3816" w:rsidRDefault="00FA3816" w:rsidP="00FA3816"/>
        </w:tc>
      </w:tr>
    </w:tbl>
    <w:p w:rsidR="00EA79CD" w:rsidRDefault="00EA79CD">
      <w:pPr>
        <w:spacing w:after="0" w:line="240" w:lineRule="auto"/>
      </w:pPr>
    </w:p>
    <w:p w:rsidR="00A566C4" w:rsidRDefault="00A566C4">
      <w:pPr>
        <w:spacing w:after="0" w:line="240" w:lineRule="auto"/>
      </w:pPr>
    </w:p>
    <w:p w:rsidR="000B445B" w:rsidRPr="000B445B" w:rsidRDefault="00685265" w:rsidP="000B445B">
      <w:pPr>
        <w:pStyle w:val="Heading2"/>
        <w:spacing w:before="0"/>
        <w:rPr>
          <w:i/>
          <w:color w:val="7030A0"/>
        </w:rPr>
      </w:pPr>
      <w:r w:rsidRPr="00550421">
        <w:rPr>
          <w:color w:val="7030A0"/>
          <w:sz w:val="28"/>
        </w:rPr>
        <w:t xml:space="preserve">Summary of </w:t>
      </w:r>
      <w:r w:rsidR="000B445B" w:rsidRPr="00550421">
        <w:rPr>
          <w:color w:val="7030A0"/>
          <w:sz w:val="28"/>
        </w:rPr>
        <w:t>Complaints received (April - September 2013</w:t>
      </w:r>
      <w:proofErr w:type="gramStart"/>
      <w:r w:rsidR="000B445B" w:rsidRPr="00550421">
        <w:rPr>
          <w:color w:val="7030A0"/>
          <w:sz w:val="28"/>
        </w:rPr>
        <w:t>)</w:t>
      </w:r>
      <w:proofErr w:type="gramEnd"/>
      <w:r w:rsidR="000B445B" w:rsidRPr="00550421">
        <w:rPr>
          <w:color w:val="7030A0"/>
          <w:sz w:val="28"/>
        </w:rPr>
        <w:br/>
      </w:r>
      <w:r w:rsidR="000B445B">
        <w:rPr>
          <w:i/>
          <w:color w:val="7030A0"/>
        </w:rPr>
        <w:t>(half yearly reporting)</w:t>
      </w:r>
    </w:p>
    <w:p w:rsidR="000B445B" w:rsidRDefault="000B445B">
      <w:pPr>
        <w:spacing w:after="0" w:line="240" w:lineRule="auto"/>
      </w:pPr>
    </w:p>
    <w:p w:rsidR="00A566C4" w:rsidRDefault="00A566C4" w:rsidP="00A566C4">
      <w:pPr>
        <w:pStyle w:val="ListParagraph"/>
        <w:numPr>
          <w:ilvl w:val="0"/>
          <w:numId w:val="6"/>
        </w:numPr>
        <w:ind w:left="357" w:hanging="357"/>
        <w:contextualSpacing w:val="0"/>
        <w:rPr>
          <w:i/>
        </w:rPr>
      </w:pPr>
      <w:r>
        <w:t xml:space="preserve">The HRA considers a </w:t>
      </w:r>
      <w:r>
        <w:rPr>
          <w:szCs w:val="22"/>
        </w:rPr>
        <w:t xml:space="preserve">complaint relates to the standard or quality of services provided by the HRA; divergence from procedures by staff; the behaviour of HRA staff; and the behaviour of volunteer committee members, including Research Ethics Committees (RECs), the National Research Ethics Advisors’ Panel (NREAP) and the Confidentiality Advisory Group (CAG).  </w:t>
      </w:r>
      <w:r>
        <w:rPr>
          <w:szCs w:val="22"/>
        </w:rPr>
        <w:br/>
        <w:t>(A complaint does not apply where: matters have already been thoroughly and fully investigated; legal proceedings are already underway; appeals against the decision of a REC are covered by the NRES Appeals process; behaviour of committee members are addressed under the member management policy and procedures; alleged failure by a responsible body to comply with a request under the Data Protection Act 1998 and the Freedom of Information Act 2000.)</w:t>
      </w:r>
    </w:p>
    <w:p w:rsidR="00A566C4" w:rsidRDefault="00A566C4">
      <w:pPr>
        <w:spacing w:after="0" w:line="240" w:lineRule="auto"/>
      </w:pPr>
    </w:p>
    <w:p w:rsidR="00835867" w:rsidRDefault="00835867">
      <w:pPr>
        <w:spacing w:after="0" w:line="240" w:lineRule="auto"/>
      </w:pPr>
    </w:p>
    <w:tbl>
      <w:tblPr>
        <w:tblStyle w:val="TableGrid"/>
        <w:tblW w:w="0" w:type="auto"/>
        <w:tblLook w:val="04A0" w:firstRow="1" w:lastRow="0" w:firstColumn="1" w:lastColumn="0" w:noHBand="0" w:noVBand="1"/>
      </w:tblPr>
      <w:tblGrid>
        <w:gridCol w:w="4786"/>
        <w:gridCol w:w="2835"/>
        <w:gridCol w:w="2794"/>
      </w:tblGrid>
      <w:tr w:rsidR="00A566C4" w:rsidTr="00A566C4">
        <w:trPr>
          <w:cnfStyle w:val="100000000000" w:firstRow="1" w:lastRow="0" w:firstColumn="0" w:lastColumn="0" w:oddVBand="0" w:evenVBand="0" w:oddHBand="0" w:evenHBand="0" w:firstRowFirstColumn="0" w:firstRowLastColumn="0" w:lastRowFirstColumn="0" w:lastRowLastColumn="0"/>
        </w:trPr>
        <w:tc>
          <w:tcPr>
            <w:tcW w:w="4786" w:type="dxa"/>
            <w:shd w:val="clear" w:color="auto" w:fill="CCC0D9" w:themeFill="accent4" w:themeFillTint="66"/>
          </w:tcPr>
          <w:p w:rsidR="00A566C4" w:rsidRDefault="00A566C4" w:rsidP="00A566C4">
            <w:pPr>
              <w:spacing w:before="120" w:line="240" w:lineRule="auto"/>
            </w:pPr>
          </w:p>
        </w:tc>
        <w:tc>
          <w:tcPr>
            <w:tcW w:w="2835" w:type="dxa"/>
            <w:shd w:val="clear" w:color="auto" w:fill="CCC0D9" w:themeFill="accent4" w:themeFillTint="66"/>
          </w:tcPr>
          <w:p w:rsidR="00A566C4" w:rsidRDefault="00A566C4" w:rsidP="00A566C4">
            <w:pPr>
              <w:spacing w:before="120" w:line="240" w:lineRule="auto"/>
            </w:pPr>
            <w:r>
              <w:t>Apr - Sep 2013</w:t>
            </w:r>
          </w:p>
        </w:tc>
        <w:tc>
          <w:tcPr>
            <w:tcW w:w="2794" w:type="dxa"/>
            <w:shd w:val="clear" w:color="auto" w:fill="CCC0D9" w:themeFill="accent4" w:themeFillTint="66"/>
          </w:tcPr>
          <w:p w:rsidR="00A566C4" w:rsidRDefault="00A566C4" w:rsidP="00A566C4">
            <w:pPr>
              <w:spacing w:before="120" w:line="240" w:lineRule="auto"/>
            </w:pPr>
            <w:r>
              <w:t>Oct 2013 - March 2014</w:t>
            </w:r>
          </w:p>
        </w:tc>
      </w:tr>
      <w:tr w:rsidR="00A566C4" w:rsidTr="00A566C4">
        <w:tc>
          <w:tcPr>
            <w:tcW w:w="4786" w:type="dxa"/>
          </w:tcPr>
          <w:p w:rsidR="00A566C4" w:rsidRDefault="00A566C4" w:rsidP="00A566C4">
            <w:pPr>
              <w:spacing w:before="40" w:after="40" w:line="240" w:lineRule="auto"/>
            </w:pPr>
            <w:r>
              <w:t>No. of complaints received</w:t>
            </w:r>
          </w:p>
        </w:tc>
        <w:tc>
          <w:tcPr>
            <w:tcW w:w="2835" w:type="dxa"/>
          </w:tcPr>
          <w:p w:rsidR="00A566C4" w:rsidRDefault="00A566C4" w:rsidP="00A566C4">
            <w:pPr>
              <w:spacing w:before="40" w:after="40" w:line="240" w:lineRule="auto"/>
              <w:jc w:val="center"/>
            </w:pPr>
            <w:r>
              <w:t>2</w:t>
            </w:r>
          </w:p>
        </w:tc>
        <w:tc>
          <w:tcPr>
            <w:tcW w:w="2794" w:type="dxa"/>
          </w:tcPr>
          <w:p w:rsidR="00A566C4" w:rsidRDefault="00A566C4" w:rsidP="00A566C4">
            <w:pPr>
              <w:spacing w:before="40" w:after="40" w:line="240" w:lineRule="auto"/>
              <w:jc w:val="center"/>
            </w:pPr>
          </w:p>
        </w:tc>
      </w:tr>
      <w:tr w:rsidR="00A566C4" w:rsidTr="00A566C4">
        <w:tc>
          <w:tcPr>
            <w:tcW w:w="4786" w:type="dxa"/>
          </w:tcPr>
          <w:p w:rsidR="00A566C4" w:rsidRDefault="00A566C4" w:rsidP="00A566C4">
            <w:pPr>
              <w:spacing w:before="40" w:after="40" w:line="240" w:lineRule="auto"/>
            </w:pPr>
            <w:r>
              <w:t>No. of complaints upheld</w:t>
            </w:r>
          </w:p>
        </w:tc>
        <w:tc>
          <w:tcPr>
            <w:tcW w:w="2835" w:type="dxa"/>
          </w:tcPr>
          <w:p w:rsidR="00A566C4" w:rsidRDefault="00A566C4" w:rsidP="00A566C4">
            <w:pPr>
              <w:spacing w:before="40" w:after="40" w:line="240" w:lineRule="auto"/>
              <w:jc w:val="center"/>
            </w:pPr>
            <w:r>
              <w:t>2</w:t>
            </w:r>
          </w:p>
        </w:tc>
        <w:tc>
          <w:tcPr>
            <w:tcW w:w="2794" w:type="dxa"/>
          </w:tcPr>
          <w:p w:rsidR="00A566C4" w:rsidRDefault="00A566C4" w:rsidP="00A566C4">
            <w:pPr>
              <w:spacing w:before="40" w:after="40" w:line="240" w:lineRule="auto"/>
              <w:jc w:val="center"/>
            </w:pPr>
          </w:p>
        </w:tc>
      </w:tr>
      <w:tr w:rsidR="00835867" w:rsidTr="00510C74">
        <w:tc>
          <w:tcPr>
            <w:tcW w:w="4786" w:type="dxa"/>
            <w:vAlign w:val="center"/>
          </w:tcPr>
          <w:p w:rsidR="00835867" w:rsidRDefault="00835867" w:rsidP="00510C74">
            <w:pPr>
              <w:spacing w:before="40" w:after="40" w:line="240" w:lineRule="auto"/>
            </w:pPr>
            <w:r>
              <w:t>Average response time</w:t>
            </w:r>
          </w:p>
        </w:tc>
        <w:tc>
          <w:tcPr>
            <w:tcW w:w="2835" w:type="dxa"/>
            <w:vAlign w:val="center"/>
          </w:tcPr>
          <w:p w:rsidR="00835867" w:rsidRDefault="00835867" w:rsidP="00510C74">
            <w:pPr>
              <w:spacing w:before="40" w:after="40" w:line="240" w:lineRule="auto"/>
              <w:jc w:val="center"/>
            </w:pPr>
            <w:r>
              <w:t>5.5 days</w:t>
            </w:r>
          </w:p>
        </w:tc>
        <w:tc>
          <w:tcPr>
            <w:tcW w:w="2794" w:type="dxa"/>
            <w:vAlign w:val="center"/>
          </w:tcPr>
          <w:p w:rsidR="00835867" w:rsidRDefault="00835867" w:rsidP="00510C74">
            <w:pPr>
              <w:spacing w:before="40" w:after="40" w:line="240" w:lineRule="auto"/>
              <w:jc w:val="center"/>
            </w:pPr>
          </w:p>
        </w:tc>
      </w:tr>
      <w:tr w:rsidR="00835867" w:rsidTr="00510C74">
        <w:tc>
          <w:tcPr>
            <w:tcW w:w="4786" w:type="dxa"/>
            <w:vAlign w:val="center"/>
          </w:tcPr>
          <w:p w:rsidR="00835867" w:rsidRDefault="00835867" w:rsidP="00510C74">
            <w:pPr>
              <w:spacing w:before="40" w:after="40" w:line="240" w:lineRule="auto"/>
            </w:pPr>
            <w:r>
              <w:t>No. of complaints responded to within 25 days</w:t>
            </w:r>
          </w:p>
        </w:tc>
        <w:tc>
          <w:tcPr>
            <w:tcW w:w="2835" w:type="dxa"/>
            <w:vAlign w:val="center"/>
          </w:tcPr>
          <w:p w:rsidR="00835867" w:rsidRDefault="00835867" w:rsidP="00510C74">
            <w:pPr>
              <w:spacing w:before="40" w:after="40" w:line="240" w:lineRule="auto"/>
              <w:jc w:val="center"/>
            </w:pPr>
            <w:r>
              <w:t>2</w:t>
            </w:r>
          </w:p>
        </w:tc>
        <w:tc>
          <w:tcPr>
            <w:tcW w:w="2794" w:type="dxa"/>
            <w:vAlign w:val="center"/>
          </w:tcPr>
          <w:p w:rsidR="00835867" w:rsidRDefault="00835867" w:rsidP="00510C74">
            <w:pPr>
              <w:spacing w:before="40" w:after="40" w:line="240" w:lineRule="auto"/>
              <w:jc w:val="center"/>
            </w:pPr>
          </w:p>
        </w:tc>
      </w:tr>
      <w:tr w:rsidR="00A566C4" w:rsidTr="00510C74">
        <w:tc>
          <w:tcPr>
            <w:tcW w:w="4786" w:type="dxa"/>
            <w:vAlign w:val="center"/>
          </w:tcPr>
          <w:p w:rsidR="00A566C4" w:rsidRDefault="00A566C4" w:rsidP="00510C74">
            <w:pPr>
              <w:spacing w:before="40" w:after="40" w:line="240" w:lineRule="auto"/>
            </w:pPr>
            <w:r>
              <w:t>Categories:</w:t>
            </w:r>
          </w:p>
          <w:p w:rsidR="00A566C4" w:rsidRDefault="00A566C4" w:rsidP="00510C74">
            <w:pPr>
              <w:pStyle w:val="ListParagraph"/>
              <w:numPr>
                <w:ilvl w:val="0"/>
                <w:numId w:val="32"/>
              </w:numPr>
              <w:tabs>
                <w:tab w:val="left" w:pos="570"/>
              </w:tabs>
              <w:spacing w:before="0" w:after="0" w:line="240" w:lineRule="auto"/>
            </w:pPr>
            <w:r>
              <w:t>Corporate</w:t>
            </w:r>
          </w:p>
          <w:p w:rsidR="00A566C4" w:rsidRDefault="00835867" w:rsidP="00510C74">
            <w:pPr>
              <w:pStyle w:val="ListParagraph"/>
              <w:numPr>
                <w:ilvl w:val="0"/>
                <w:numId w:val="32"/>
              </w:numPr>
              <w:tabs>
                <w:tab w:val="left" w:pos="570"/>
              </w:tabs>
              <w:spacing w:before="0" w:after="0" w:line="240" w:lineRule="auto"/>
            </w:pPr>
            <w:r>
              <w:t>NRES</w:t>
            </w:r>
          </w:p>
          <w:p w:rsidR="00A566C4" w:rsidRDefault="00A566C4" w:rsidP="00510C74">
            <w:pPr>
              <w:pStyle w:val="ListParagraph"/>
              <w:numPr>
                <w:ilvl w:val="0"/>
                <w:numId w:val="32"/>
              </w:numPr>
              <w:tabs>
                <w:tab w:val="left" w:pos="570"/>
              </w:tabs>
              <w:spacing w:before="0" w:after="0" w:line="240" w:lineRule="auto"/>
            </w:pPr>
            <w:r>
              <w:t>TOPS</w:t>
            </w:r>
          </w:p>
          <w:p w:rsidR="00A566C4" w:rsidRDefault="00A566C4" w:rsidP="00510C74">
            <w:pPr>
              <w:pStyle w:val="ListParagraph"/>
              <w:numPr>
                <w:ilvl w:val="0"/>
                <w:numId w:val="32"/>
              </w:numPr>
              <w:tabs>
                <w:tab w:val="left" w:pos="570"/>
              </w:tabs>
              <w:spacing w:before="0" w:after="0" w:line="240" w:lineRule="auto"/>
            </w:pPr>
            <w:r>
              <w:t>NREAP</w:t>
            </w:r>
          </w:p>
          <w:p w:rsidR="00A566C4" w:rsidRDefault="00A566C4" w:rsidP="00510C74">
            <w:pPr>
              <w:pStyle w:val="ListParagraph"/>
              <w:numPr>
                <w:ilvl w:val="0"/>
                <w:numId w:val="32"/>
              </w:numPr>
              <w:tabs>
                <w:tab w:val="left" w:pos="570"/>
              </w:tabs>
              <w:spacing w:before="0" w:after="0" w:line="240" w:lineRule="auto"/>
            </w:pPr>
            <w:r>
              <w:t>CAG</w:t>
            </w:r>
          </w:p>
          <w:p w:rsidR="00A566C4" w:rsidRDefault="00A566C4" w:rsidP="00A566C4">
            <w:pPr>
              <w:pStyle w:val="ListParagraph"/>
              <w:numPr>
                <w:ilvl w:val="0"/>
                <w:numId w:val="32"/>
              </w:numPr>
              <w:tabs>
                <w:tab w:val="left" w:pos="570"/>
              </w:tabs>
              <w:spacing w:before="0" w:line="240" w:lineRule="auto"/>
            </w:pPr>
            <w:r>
              <w:t>Other</w:t>
            </w:r>
          </w:p>
        </w:tc>
        <w:tc>
          <w:tcPr>
            <w:tcW w:w="2835" w:type="dxa"/>
            <w:vAlign w:val="center"/>
          </w:tcPr>
          <w:p w:rsidR="00A566C4" w:rsidRDefault="00A566C4" w:rsidP="00835867">
            <w:pPr>
              <w:spacing w:before="0" w:after="0" w:line="240" w:lineRule="auto"/>
              <w:jc w:val="center"/>
            </w:pPr>
          </w:p>
          <w:p w:rsidR="00A566C4" w:rsidRDefault="00A566C4" w:rsidP="00835867">
            <w:pPr>
              <w:spacing w:before="0" w:after="0" w:line="240" w:lineRule="auto"/>
              <w:jc w:val="center"/>
            </w:pPr>
          </w:p>
          <w:p w:rsidR="00835867" w:rsidRDefault="00835867" w:rsidP="00835867">
            <w:pPr>
              <w:spacing w:before="0" w:after="0" w:line="240" w:lineRule="auto"/>
              <w:jc w:val="center"/>
            </w:pPr>
            <w:r>
              <w:t>2</w:t>
            </w:r>
          </w:p>
          <w:p w:rsidR="00835867" w:rsidRDefault="00835867" w:rsidP="00835867">
            <w:pPr>
              <w:spacing w:before="0" w:after="0" w:line="240" w:lineRule="auto"/>
              <w:jc w:val="center"/>
            </w:pPr>
          </w:p>
          <w:p w:rsidR="00835867" w:rsidRDefault="00835867" w:rsidP="00835867">
            <w:pPr>
              <w:spacing w:before="0" w:after="0" w:line="240" w:lineRule="auto"/>
              <w:jc w:val="center"/>
            </w:pPr>
          </w:p>
          <w:p w:rsidR="00835867" w:rsidRDefault="00835867" w:rsidP="00835867">
            <w:pPr>
              <w:spacing w:before="0" w:after="0" w:line="240" w:lineRule="auto"/>
              <w:jc w:val="center"/>
            </w:pPr>
          </w:p>
          <w:p w:rsidR="00835867" w:rsidRDefault="00835867" w:rsidP="00A566C4">
            <w:pPr>
              <w:spacing w:before="0" w:line="240" w:lineRule="auto"/>
              <w:jc w:val="center"/>
            </w:pPr>
          </w:p>
        </w:tc>
        <w:tc>
          <w:tcPr>
            <w:tcW w:w="2794" w:type="dxa"/>
          </w:tcPr>
          <w:p w:rsidR="00A566C4" w:rsidRDefault="00A566C4" w:rsidP="00A566C4">
            <w:pPr>
              <w:spacing w:before="40" w:after="40" w:line="240" w:lineRule="auto"/>
              <w:jc w:val="center"/>
            </w:pPr>
          </w:p>
        </w:tc>
      </w:tr>
    </w:tbl>
    <w:p w:rsidR="006838F0" w:rsidRDefault="006838F0">
      <w:pPr>
        <w:spacing w:after="0" w:line="240" w:lineRule="auto"/>
      </w:pPr>
    </w:p>
    <w:p w:rsidR="00835867" w:rsidRDefault="00835867">
      <w:pPr>
        <w:spacing w:after="0" w:line="240" w:lineRule="auto"/>
      </w:pPr>
    </w:p>
    <w:p w:rsidR="00A566C4" w:rsidRDefault="00A566C4">
      <w:pPr>
        <w:spacing w:after="0" w:line="240" w:lineRule="auto"/>
      </w:pPr>
      <w:r>
        <w:br w:type="page"/>
      </w:r>
    </w:p>
    <w:p w:rsidR="00A566C4" w:rsidRDefault="00A566C4">
      <w:pPr>
        <w:spacing w:after="0" w:line="240" w:lineRule="auto"/>
      </w:pPr>
    </w:p>
    <w:p w:rsidR="00685265" w:rsidRPr="000B445B" w:rsidRDefault="00685265" w:rsidP="00685265">
      <w:pPr>
        <w:pStyle w:val="Heading2"/>
        <w:spacing w:before="0"/>
        <w:rPr>
          <w:i/>
          <w:color w:val="7030A0"/>
        </w:rPr>
      </w:pPr>
      <w:r w:rsidRPr="00550421">
        <w:rPr>
          <w:color w:val="7030A0"/>
          <w:sz w:val="28"/>
        </w:rPr>
        <w:t>Summary of FOI requests (April - September 2013</w:t>
      </w:r>
      <w:proofErr w:type="gramStart"/>
      <w:r w:rsidRPr="00550421">
        <w:rPr>
          <w:color w:val="7030A0"/>
          <w:sz w:val="28"/>
        </w:rPr>
        <w:t>)</w:t>
      </w:r>
      <w:proofErr w:type="gramEnd"/>
      <w:r w:rsidRPr="00550421">
        <w:rPr>
          <w:color w:val="7030A0"/>
          <w:sz w:val="28"/>
        </w:rPr>
        <w:br/>
      </w:r>
      <w:r>
        <w:rPr>
          <w:i/>
          <w:color w:val="7030A0"/>
        </w:rPr>
        <w:t>(half yearly reporting)</w:t>
      </w:r>
    </w:p>
    <w:p w:rsidR="00685265" w:rsidRDefault="00685265" w:rsidP="00685265">
      <w:pPr>
        <w:spacing w:after="0" w:line="240" w:lineRule="auto"/>
      </w:pPr>
    </w:p>
    <w:tbl>
      <w:tblPr>
        <w:tblStyle w:val="TableGrid"/>
        <w:tblW w:w="0" w:type="auto"/>
        <w:tblLook w:val="04A0" w:firstRow="1" w:lastRow="0" w:firstColumn="1" w:lastColumn="0" w:noHBand="0" w:noVBand="1"/>
      </w:tblPr>
      <w:tblGrid>
        <w:gridCol w:w="4786"/>
        <w:gridCol w:w="2835"/>
        <w:gridCol w:w="2794"/>
      </w:tblGrid>
      <w:tr w:rsidR="00685265" w:rsidTr="00685265">
        <w:trPr>
          <w:cnfStyle w:val="100000000000" w:firstRow="1" w:lastRow="0" w:firstColumn="0" w:lastColumn="0" w:oddVBand="0" w:evenVBand="0" w:oddHBand="0" w:evenHBand="0" w:firstRowFirstColumn="0" w:firstRowLastColumn="0" w:lastRowFirstColumn="0" w:lastRowLastColumn="0"/>
        </w:trPr>
        <w:tc>
          <w:tcPr>
            <w:tcW w:w="4786" w:type="dxa"/>
            <w:shd w:val="clear" w:color="auto" w:fill="CCC0D9" w:themeFill="accent4" w:themeFillTint="66"/>
          </w:tcPr>
          <w:p w:rsidR="00685265" w:rsidRDefault="00685265" w:rsidP="00A566C4">
            <w:pPr>
              <w:spacing w:before="120" w:line="240" w:lineRule="auto"/>
            </w:pPr>
          </w:p>
        </w:tc>
        <w:tc>
          <w:tcPr>
            <w:tcW w:w="2835" w:type="dxa"/>
            <w:shd w:val="clear" w:color="auto" w:fill="CCC0D9" w:themeFill="accent4" w:themeFillTint="66"/>
          </w:tcPr>
          <w:p w:rsidR="00685265" w:rsidRDefault="00685265" w:rsidP="00A566C4">
            <w:pPr>
              <w:spacing w:before="120" w:line="240" w:lineRule="auto"/>
            </w:pPr>
            <w:r>
              <w:t>Apr - Sep 2013</w:t>
            </w:r>
          </w:p>
        </w:tc>
        <w:tc>
          <w:tcPr>
            <w:tcW w:w="2794" w:type="dxa"/>
            <w:shd w:val="clear" w:color="auto" w:fill="CCC0D9" w:themeFill="accent4" w:themeFillTint="66"/>
          </w:tcPr>
          <w:p w:rsidR="00685265" w:rsidRDefault="00685265" w:rsidP="00A566C4">
            <w:pPr>
              <w:spacing w:before="120" w:line="240" w:lineRule="auto"/>
            </w:pPr>
            <w:r>
              <w:t>Oct 2013 - March 2014</w:t>
            </w:r>
          </w:p>
        </w:tc>
      </w:tr>
      <w:tr w:rsidR="00685265" w:rsidTr="00685265">
        <w:tc>
          <w:tcPr>
            <w:tcW w:w="4786" w:type="dxa"/>
            <w:vAlign w:val="center"/>
          </w:tcPr>
          <w:p w:rsidR="00685265" w:rsidRDefault="00685265" w:rsidP="00685265">
            <w:pPr>
              <w:spacing w:before="40" w:after="40" w:line="240" w:lineRule="auto"/>
            </w:pPr>
            <w:r>
              <w:t>No. of FOI requests received</w:t>
            </w:r>
          </w:p>
        </w:tc>
        <w:tc>
          <w:tcPr>
            <w:tcW w:w="2835" w:type="dxa"/>
            <w:vAlign w:val="center"/>
          </w:tcPr>
          <w:p w:rsidR="00685265" w:rsidRDefault="00685265" w:rsidP="00685265">
            <w:pPr>
              <w:spacing w:before="40" w:after="40" w:line="240" w:lineRule="auto"/>
              <w:jc w:val="center"/>
            </w:pPr>
            <w:r>
              <w:t>22</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Average acknowledgement time</w:t>
            </w:r>
          </w:p>
        </w:tc>
        <w:tc>
          <w:tcPr>
            <w:tcW w:w="2835" w:type="dxa"/>
            <w:vAlign w:val="center"/>
          </w:tcPr>
          <w:p w:rsidR="00685265" w:rsidRDefault="00685265" w:rsidP="00685265">
            <w:pPr>
              <w:spacing w:before="40" w:after="40" w:line="240" w:lineRule="auto"/>
              <w:jc w:val="center"/>
            </w:pPr>
            <w:r>
              <w:t>3.1 days</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No. of FOIs acknowledged within 10 days</w:t>
            </w:r>
          </w:p>
        </w:tc>
        <w:tc>
          <w:tcPr>
            <w:tcW w:w="2835" w:type="dxa"/>
            <w:vAlign w:val="center"/>
          </w:tcPr>
          <w:p w:rsidR="00685265" w:rsidRDefault="00685265" w:rsidP="00685265">
            <w:pPr>
              <w:spacing w:before="40" w:after="40" w:line="240" w:lineRule="auto"/>
              <w:jc w:val="center"/>
            </w:pPr>
            <w:r>
              <w:t>100%</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Average response time</w:t>
            </w:r>
          </w:p>
        </w:tc>
        <w:tc>
          <w:tcPr>
            <w:tcW w:w="2835" w:type="dxa"/>
            <w:vAlign w:val="center"/>
          </w:tcPr>
          <w:p w:rsidR="00685265" w:rsidRDefault="00685265" w:rsidP="00685265">
            <w:pPr>
              <w:spacing w:before="40" w:after="40" w:line="240" w:lineRule="auto"/>
              <w:jc w:val="center"/>
            </w:pPr>
            <w:r>
              <w:t>11.2 days</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No. of FOIs responded to within 20 days</w:t>
            </w:r>
          </w:p>
        </w:tc>
        <w:tc>
          <w:tcPr>
            <w:tcW w:w="2835" w:type="dxa"/>
            <w:vAlign w:val="center"/>
          </w:tcPr>
          <w:p w:rsidR="00685265" w:rsidRDefault="00685265" w:rsidP="00685265">
            <w:pPr>
              <w:spacing w:before="40" w:after="40" w:line="240" w:lineRule="auto"/>
              <w:jc w:val="center"/>
            </w:pPr>
            <w:r>
              <w:t>100%</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No. of requests where information not held</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Pr="00685265" w:rsidRDefault="00685265" w:rsidP="00685265">
            <w:pPr>
              <w:spacing w:before="40" w:after="40" w:line="240" w:lineRule="auto"/>
              <w:rPr>
                <w:sz w:val="20"/>
              </w:rPr>
            </w:pPr>
            <w:r>
              <w:t xml:space="preserve">No. of requests where Section 21 exemption applied </w:t>
            </w:r>
            <w:r>
              <w:rPr>
                <w:sz w:val="20"/>
              </w:rPr>
              <w:t>(information available by other means)</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 xml:space="preserve">No. of request where Section 41 exemption applied </w:t>
            </w:r>
            <w:r>
              <w:rPr>
                <w:sz w:val="20"/>
              </w:rPr>
              <w:t>(breach of confidence)</w:t>
            </w:r>
          </w:p>
        </w:tc>
        <w:tc>
          <w:tcPr>
            <w:tcW w:w="2835" w:type="dxa"/>
            <w:vAlign w:val="center"/>
          </w:tcPr>
          <w:p w:rsidR="00685265" w:rsidRDefault="00524D39" w:rsidP="00685265">
            <w:pPr>
              <w:spacing w:before="40" w:after="40" w:line="240" w:lineRule="auto"/>
              <w:jc w:val="center"/>
            </w:pPr>
            <w:r>
              <w:t>1</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Pr="00685265" w:rsidRDefault="00685265" w:rsidP="00685265">
            <w:pPr>
              <w:spacing w:before="40" w:after="40" w:line="240" w:lineRule="auto"/>
              <w:rPr>
                <w:sz w:val="20"/>
              </w:rPr>
            </w:pPr>
            <w:r>
              <w:t xml:space="preserve">No. of request where Section 43 exemption applied </w:t>
            </w:r>
            <w:r>
              <w:rPr>
                <w:sz w:val="20"/>
              </w:rPr>
              <w:t>(commercial interests)</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685265" w:rsidP="00685265">
            <w:pPr>
              <w:spacing w:before="40" w:after="40" w:line="240" w:lineRule="auto"/>
              <w:jc w:val="center"/>
            </w:pPr>
          </w:p>
        </w:tc>
      </w:tr>
      <w:tr w:rsidR="00685265" w:rsidTr="00835867">
        <w:trPr>
          <w:trHeight w:val="2070"/>
        </w:trPr>
        <w:tc>
          <w:tcPr>
            <w:tcW w:w="4786" w:type="dxa"/>
            <w:vAlign w:val="center"/>
          </w:tcPr>
          <w:p w:rsidR="00685265" w:rsidRDefault="00685265" w:rsidP="00835867">
            <w:pPr>
              <w:spacing w:before="0" w:after="0" w:line="240" w:lineRule="auto"/>
            </w:pPr>
            <w:r>
              <w:t>Categories:</w:t>
            </w:r>
          </w:p>
          <w:p w:rsidR="00685265" w:rsidRDefault="00685265" w:rsidP="00685265">
            <w:pPr>
              <w:pStyle w:val="ListParagraph"/>
              <w:numPr>
                <w:ilvl w:val="0"/>
                <w:numId w:val="32"/>
              </w:numPr>
              <w:tabs>
                <w:tab w:val="left" w:pos="570"/>
              </w:tabs>
              <w:spacing w:before="0" w:after="0" w:line="240" w:lineRule="auto"/>
            </w:pPr>
            <w:r>
              <w:t>Corporate</w:t>
            </w:r>
          </w:p>
          <w:p w:rsidR="00685265" w:rsidRDefault="000F733D" w:rsidP="00685265">
            <w:pPr>
              <w:pStyle w:val="ListParagraph"/>
              <w:numPr>
                <w:ilvl w:val="0"/>
                <w:numId w:val="32"/>
              </w:numPr>
              <w:tabs>
                <w:tab w:val="left" w:pos="570"/>
              </w:tabs>
              <w:spacing w:before="0" w:after="0" w:line="240" w:lineRule="auto"/>
            </w:pPr>
            <w:r>
              <w:t>NRES</w:t>
            </w:r>
          </w:p>
          <w:p w:rsidR="00685265" w:rsidRDefault="00685265" w:rsidP="00685265">
            <w:pPr>
              <w:pStyle w:val="ListParagraph"/>
              <w:numPr>
                <w:ilvl w:val="0"/>
                <w:numId w:val="32"/>
              </w:numPr>
              <w:tabs>
                <w:tab w:val="left" w:pos="570"/>
              </w:tabs>
              <w:spacing w:before="0" w:after="0" w:line="240" w:lineRule="auto"/>
            </w:pPr>
            <w:r>
              <w:t>TOPS</w:t>
            </w:r>
          </w:p>
          <w:p w:rsidR="00685265" w:rsidRDefault="00685265" w:rsidP="00685265">
            <w:pPr>
              <w:pStyle w:val="ListParagraph"/>
              <w:numPr>
                <w:ilvl w:val="0"/>
                <w:numId w:val="32"/>
              </w:numPr>
              <w:tabs>
                <w:tab w:val="left" w:pos="570"/>
              </w:tabs>
              <w:spacing w:before="0" w:after="0" w:line="240" w:lineRule="auto"/>
            </w:pPr>
            <w:r>
              <w:t>NREAP</w:t>
            </w:r>
          </w:p>
          <w:p w:rsidR="00685265" w:rsidRDefault="00685265" w:rsidP="00685265">
            <w:pPr>
              <w:pStyle w:val="ListParagraph"/>
              <w:numPr>
                <w:ilvl w:val="0"/>
                <w:numId w:val="32"/>
              </w:numPr>
              <w:tabs>
                <w:tab w:val="left" w:pos="570"/>
              </w:tabs>
              <w:spacing w:before="0" w:after="0" w:line="240" w:lineRule="auto"/>
            </w:pPr>
            <w:r>
              <w:t>CAG</w:t>
            </w:r>
          </w:p>
          <w:p w:rsidR="00685265" w:rsidRDefault="00685265" w:rsidP="00685265">
            <w:pPr>
              <w:pStyle w:val="ListParagraph"/>
              <w:numPr>
                <w:ilvl w:val="0"/>
                <w:numId w:val="32"/>
              </w:numPr>
              <w:tabs>
                <w:tab w:val="left" w:pos="570"/>
              </w:tabs>
              <w:spacing w:before="0" w:after="0" w:line="240" w:lineRule="auto"/>
            </w:pPr>
            <w:r>
              <w:t>Other</w:t>
            </w:r>
          </w:p>
        </w:tc>
        <w:tc>
          <w:tcPr>
            <w:tcW w:w="2835" w:type="dxa"/>
            <w:vAlign w:val="center"/>
          </w:tcPr>
          <w:p w:rsidR="00685265" w:rsidRDefault="00685265" w:rsidP="00835867">
            <w:pPr>
              <w:spacing w:before="40" w:after="0" w:line="240" w:lineRule="auto"/>
              <w:jc w:val="center"/>
            </w:pPr>
          </w:p>
          <w:p w:rsidR="00685265" w:rsidRDefault="00685265" w:rsidP="00685265">
            <w:pPr>
              <w:spacing w:before="0" w:after="0" w:line="240" w:lineRule="auto"/>
              <w:jc w:val="center"/>
            </w:pPr>
            <w:r>
              <w:t>5</w:t>
            </w:r>
          </w:p>
          <w:p w:rsidR="00685265" w:rsidRDefault="000F733D" w:rsidP="00685265">
            <w:pPr>
              <w:spacing w:before="0" w:after="0" w:line="240" w:lineRule="auto"/>
              <w:jc w:val="center"/>
            </w:pPr>
            <w:r>
              <w:t>11</w:t>
            </w:r>
          </w:p>
          <w:p w:rsidR="00685265" w:rsidRDefault="00685265" w:rsidP="00685265">
            <w:pPr>
              <w:spacing w:before="0" w:after="0" w:line="240" w:lineRule="auto"/>
              <w:jc w:val="center"/>
            </w:pPr>
            <w:r>
              <w:t>2</w:t>
            </w:r>
          </w:p>
          <w:p w:rsidR="00685265" w:rsidRDefault="00685265" w:rsidP="00685265">
            <w:pPr>
              <w:spacing w:before="0" w:after="0" w:line="240" w:lineRule="auto"/>
              <w:jc w:val="center"/>
            </w:pPr>
            <w:r>
              <w:t>1</w:t>
            </w:r>
          </w:p>
          <w:p w:rsidR="00685265" w:rsidRDefault="000F733D" w:rsidP="00685265">
            <w:pPr>
              <w:spacing w:before="0" w:after="0" w:line="240" w:lineRule="auto"/>
              <w:jc w:val="center"/>
            </w:pPr>
            <w:r>
              <w:t>1</w:t>
            </w:r>
          </w:p>
          <w:p w:rsidR="00685265" w:rsidRDefault="000F733D" w:rsidP="00835867">
            <w:pPr>
              <w:spacing w:before="0" w:after="0" w:line="240" w:lineRule="auto"/>
              <w:jc w:val="center"/>
            </w:pPr>
            <w:r>
              <w:t>2</w:t>
            </w:r>
          </w:p>
        </w:tc>
        <w:tc>
          <w:tcPr>
            <w:tcW w:w="2794" w:type="dxa"/>
            <w:vAlign w:val="center"/>
          </w:tcPr>
          <w:p w:rsidR="00685265" w:rsidRDefault="00685265" w:rsidP="00685265">
            <w:pPr>
              <w:spacing w:before="40" w:after="40" w:line="240" w:lineRule="auto"/>
              <w:jc w:val="center"/>
            </w:pPr>
          </w:p>
        </w:tc>
      </w:tr>
    </w:tbl>
    <w:p w:rsidR="00685265" w:rsidRDefault="00685265" w:rsidP="00685265">
      <w:pPr>
        <w:spacing w:after="0" w:line="240" w:lineRule="auto"/>
      </w:pPr>
    </w:p>
    <w:p w:rsidR="00835867" w:rsidRDefault="00835867" w:rsidP="00685265">
      <w:pPr>
        <w:spacing w:after="0" w:line="240" w:lineRule="auto"/>
      </w:pPr>
    </w:p>
    <w:p w:rsidR="006838F0" w:rsidRPr="00406B66" w:rsidRDefault="006838F0" w:rsidP="00B050C8">
      <w:pPr>
        <w:pStyle w:val="Heading2"/>
        <w:spacing w:after="240"/>
      </w:pPr>
      <w:r>
        <w:t>Response to Parliamentary Question</w:t>
      </w:r>
      <w:r w:rsidR="00B050C8">
        <w:t xml:space="preserve"> (PQ)</w:t>
      </w:r>
      <w:r>
        <w:t xml:space="preserve"> requests</w:t>
      </w:r>
    </w:p>
    <w:p w:rsidR="006838F0" w:rsidRDefault="00B050C8" w:rsidP="00B050C8">
      <w:pPr>
        <w:pStyle w:val="ListParagraph"/>
        <w:numPr>
          <w:ilvl w:val="0"/>
          <w:numId w:val="30"/>
        </w:numPr>
        <w:spacing w:after="240" w:line="240" w:lineRule="auto"/>
      </w:pPr>
      <w:r>
        <w:t>All PQs have been responded to within stipulated time period</w:t>
      </w:r>
      <w:r w:rsidR="00A566C4">
        <w:t xml:space="preserve"> </w:t>
      </w:r>
    </w:p>
    <w:tbl>
      <w:tblPr>
        <w:tblW w:w="1017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817"/>
        <w:gridCol w:w="850"/>
        <w:gridCol w:w="851"/>
        <w:gridCol w:w="850"/>
        <w:gridCol w:w="851"/>
        <w:gridCol w:w="850"/>
        <w:gridCol w:w="851"/>
        <w:gridCol w:w="851"/>
        <w:gridCol w:w="851"/>
        <w:gridCol w:w="851"/>
        <w:gridCol w:w="851"/>
        <w:gridCol w:w="851"/>
      </w:tblGrid>
      <w:tr w:rsidR="00B050C8" w:rsidRPr="00DC6DFE" w:rsidTr="00835867">
        <w:trPr>
          <w:trHeight w:val="765"/>
        </w:trPr>
        <w:tc>
          <w:tcPr>
            <w:tcW w:w="10175" w:type="dxa"/>
            <w:gridSpan w:val="12"/>
            <w:tcBorders>
              <w:bottom w:val="single" w:sz="4" w:space="0" w:color="FFFFFF" w:themeColor="background1"/>
            </w:tcBorders>
            <w:shd w:val="clear" w:color="000000" w:fill="7030A0"/>
            <w:vAlign w:val="center"/>
            <w:hideMark/>
          </w:tcPr>
          <w:p w:rsidR="00B050C8" w:rsidRPr="00DC6DFE" w:rsidRDefault="00B050C8" w:rsidP="00B050C8">
            <w:pPr>
              <w:spacing w:before="40" w:after="40" w:line="240" w:lineRule="auto"/>
              <w:ind w:left="-57" w:right="-57"/>
              <w:jc w:val="center"/>
              <w:rPr>
                <w:rFonts w:eastAsia="Times New Roman" w:cs="Arial"/>
                <w:color w:val="FFFFFF"/>
                <w:sz w:val="20"/>
                <w:szCs w:val="20"/>
                <w:lang w:eastAsia="en-GB"/>
              </w:rPr>
            </w:pPr>
            <w:r w:rsidRPr="00725779">
              <w:rPr>
                <w:rFonts w:eastAsia="Times New Roman" w:cs="Arial"/>
                <w:color w:val="FFFFFF"/>
                <w:szCs w:val="20"/>
                <w:lang w:eastAsia="en-GB"/>
              </w:rPr>
              <w:t>No. Parliamentary Questions received per month</w:t>
            </w:r>
          </w:p>
        </w:tc>
      </w:tr>
      <w:tr w:rsidR="00835867" w:rsidRPr="00835867" w:rsidTr="00835867">
        <w:trPr>
          <w:trHeight w:val="647"/>
        </w:trPr>
        <w:tc>
          <w:tcPr>
            <w:tcW w:w="817" w:type="dxa"/>
            <w:tcBorders>
              <w:top w:val="single" w:sz="4" w:space="0" w:color="FFFFFF" w:themeColor="background1"/>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jc w:val="center"/>
              <w:rPr>
                <w:rFonts w:eastAsia="Times New Roman" w:cs="Arial"/>
                <w:sz w:val="20"/>
                <w:szCs w:val="20"/>
                <w:lang w:eastAsia="en-GB"/>
              </w:rPr>
            </w:pPr>
            <w:r w:rsidRPr="00835867">
              <w:rPr>
                <w:rFonts w:eastAsia="Times New Roman" w:cs="Arial"/>
                <w:sz w:val="20"/>
                <w:szCs w:val="20"/>
                <w:lang w:eastAsia="en-GB"/>
              </w:rPr>
              <w:t>Apr</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May</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Jun</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Jul</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Aug</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Sep</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Oct</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Nov</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Dec</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Jan</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Feb</w:t>
            </w:r>
          </w:p>
        </w:tc>
        <w:tc>
          <w:tcPr>
            <w:tcW w:w="851" w:type="dxa"/>
            <w:tcBorders>
              <w:top w:val="single" w:sz="4" w:space="0" w:color="FFFFFF" w:themeColor="background1"/>
              <w:left w:val="single" w:sz="4" w:space="0" w:color="auto"/>
              <w:bottom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Mar</w:t>
            </w:r>
          </w:p>
        </w:tc>
      </w:tr>
      <w:tr w:rsidR="00B050C8" w:rsidRPr="00DC6DFE" w:rsidTr="00835867">
        <w:trPr>
          <w:trHeight w:val="557"/>
        </w:trPr>
        <w:tc>
          <w:tcPr>
            <w:tcW w:w="817" w:type="dxa"/>
            <w:tcBorders>
              <w:top w:val="single" w:sz="4" w:space="0" w:color="auto"/>
              <w:bottom w:val="single" w:sz="12" w:space="0" w:color="auto"/>
              <w:right w:val="single" w:sz="4" w:space="0" w:color="auto"/>
            </w:tcBorders>
            <w:shd w:val="clear" w:color="auto" w:fill="auto"/>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4F4E8F"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835867"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835867"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FA3816"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306FCD"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C563EF" w:rsidP="00835867">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B050C8" w:rsidP="00835867">
            <w:pPr>
              <w:spacing w:before="60" w:after="60" w:line="240" w:lineRule="auto"/>
              <w:jc w:val="center"/>
              <w:rPr>
                <w:rFonts w:eastAsia="Times New Roman" w:cs="Arial"/>
                <w:color w:val="000000"/>
                <w:sz w:val="20"/>
                <w:szCs w:val="20"/>
                <w:lang w:eastAsia="en-GB"/>
              </w:rPr>
            </w:pP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B050C8" w:rsidP="00835867">
            <w:pPr>
              <w:spacing w:before="60" w:after="60" w:line="240" w:lineRule="auto"/>
              <w:jc w:val="center"/>
              <w:rPr>
                <w:rFonts w:eastAsia="Times New Roman" w:cs="Arial"/>
                <w:color w:val="000000"/>
                <w:sz w:val="20"/>
                <w:szCs w:val="20"/>
                <w:lang w:eastAsia="en-GB"/>
              </w:rPr>
            </w:pPr>
          </w:p>
        </w:tc>
        <w:tc>
          <w:tcPr>
            <w:tcW w:w="851" w:type="dxa"/>
            <w:tcBorders>
              <w:top w:val="single" w:sz="4" w:space="0" w:color="auto"/>
              <w:left w:val="single" w:sz="4" w:space="0" w:color="auto"/>
              <w:bottom w:val="single" w:sz="12" w:space="0" w:color="auto"/>
            </w:tcBorders>
            <w:vAlign w:val="center"/>
          </w:tcPr>
          <w:p w:rsidR="00B050C8" w:rsidRPr="00DC6DFE" w:rsidRDefault="00B050C8" w:rsidP="00835867">
            <w:pPr>
              <w:spacing w:before="60" w:after="60" w:line="240" w:lineRule="auto"/>
              <w:jc w:val="center"/>
              <w:rPr>
                <w:rFonts w:eastAsia="Times New Roman" w:cs="Arial"/>
                <w:color w:val="000000"/>
                <w:sz w:val="20"/>
                <w:szCs w:val="20"/>
                <w:lang w:eastAsia="en-GB"/>
              </w:rPr>
            </w:pPr>
          </w:p>
        </w:tc>
      </w:tr>
    </w:tbl>
    <w:p w:rsidR="006838F0" w:rsidRDefault="006838F0">
      <w:pPr>
        <w:spacing w:after="0" w:line="240" w:lineRule="auto"/>
      </w:pPr>
    </w:p>
    <w:p w:rsidR="00341CF7" w:rsidRDefault="00341CF7">
      <w:pPr>
        <w:spacing w:after="0" w:line="240" w:lineRule="auto"/>
      </w:pPr>
      <w:r>
        <w:br w:type="page"/>
      </w:r>
    </w:p>
    <w:p w:rsidR="00F96A37" w:rsidRDefault="00F96A37" w:rsidP="00F96A37">
      <w:pPr>
        <w:spacing w:after="0" w:line="240" w:lineRule="auto"/>
      </w:pPr>
    </w:p>
    <w:p w:rsidR="00F96A37" w:rsidRPr="00406B66" w:rsidRDefault="00DB1366" w:rsidP="00F96A37">
      <w:pPr>
        <w:pStyle w:val="Heading1"/>
        <w:rPr>
          <w:sz w:val="48"/>
          <w:szCs w:val="48"/>
        </w:rPr>
      </w:pPr>
      <w:r w:rsidRPr="00406B66">
        <w:rPr>
          <w:sz w:val="48"/>
          <w:szCs w:val="48"/>
        </w:rPr>
        <w:t xml:space="preserve">Section 2:  </w:t>
      </w:r>
      <w:r w:rsidR="00B71C29" w:rsidRPr="00406B66">
        <w:rPr>
          <w:sz w:val="48"/>
          <w:szCs w:val="48"/>
        </w:rPr>
        <w:t>Queries l</w:t>
      </w:r>
      <w:r w:rsidR="00F96A37" w:rsidRPr="00406B66">
        <w:rPr>
          <w:sz w:val="48"/>
          <w:szCs w:val="48"/>
        </w:rPr>
        <w:t>ine</w:t>
      </w:r>
      <w:r w:rsidR="00B71C29" w:rsidRPr="00406B66">
        <w:rPr>
          <w:sz w:val="48"/>
          <w:szCs w:val="48"/>
        </w:rPr>
        <w:t xml:space="preserve"> m</w:t>
      </w:r>
      <w:r w:rsidR="00F96A37" w:rsidRPr="00406B66">
        <w:rPr>
          <w:sz w:val="48"/>
          <w:szCs w:val="48"/>
        </w:rPr>
        <w:t>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F96A37"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F96A37" w:rsidRPr="00B25DF7" w:rsidRDefault="00F96A37" w:rsidP="004621B7">
            <w:pPr>
              <w:spacing w:before="120"/>
              <w:jc w:val="left"/>
              <w:rPr>
                <w:b w:val="0"/>
                <w:color w:val="F79646" w:themeColor="accent6"/>
                <w:sz w:val="28"/>
              </w:rPr>
            </w:pPr>
            <w:r>
              <w:rPr>
                <w:b w:val="0"/>
                <w:color w:val="F79646" w:themeColor="accent6"/>
                <w:sz w:val="28"/>
              </w:rPr>
              <w:t>QUERIES LINE METRICS</w:t>
            </w:r>
          </w:p>
        </w:tc>
      </w:tr>
      <w:tr w:rsidR="00F96A37" w:rsidTr="004621B7">
        <w:tc>
          <w:tcPr>
            <w:tcW w:w="10415" w:type="dxa"/>
          </w:tcPr>
          <w:p w:rsidR="00F96A37" w:rsidRDefault="00F96A37" w:rsidP="00C563EF">
            <w:pPr>
              <w:numPr>
                <w:ilvl w:val="0"/>
                <w:numId w:val="6"/>
              </w:numPr>
              <w:ind w:left="357" w:hanging="357"/>
              <w:rPr>
                <w:rFonts w:cs="Arial"/>
                <w:szCs w:val="22"/>
              </w:rPr>
            </w:pPr>
            <w:r>
              <w:rPr>
                <w:rFonts w:cs="Arial"/>
                <w:szCs w:val="22"/>
              </w:rPr>
              <w:t>Measurement is based on a sample (first 10 queries in a day; days selected so that every month, week in the month and day in the week are covered) –</w:t>
            </w:r>
            <w:r w:rsidR="00D4382F">
              <w:rPr>
                <w:rFonts w:cs="Arial"/>
                <w:szCs w:val="22"/>
              </w:rPr>
              <w:t xml:space="preserve"> </w:t>
            </w:r>
            <w:r w:rsidR="009270F6">
              <w:rPr>
                <w:rFonts w:cs="Arial"/>
                <w:szCs w:val="22"/>
              </w:rPr>
              <w:t xml:space="preserve">the </w:t>
            </w:r>
            <w:r w:rsidR="00D4382F">
              <w:t xml:space="preserve">sampling procedure </w:t>
            </w:r>
            <w:r w:rsidR="009270F6">
              <w:t xml:space="preserve">was </w:t>
            </w:r>
            <w:r w:rsidR="00D4382F">
              <w:t>established by the Quality Assurance Audit of</w:t>
            </w:r>
            <w:r w:rsidR="009270F6">
              <w:t xml:space="preserve"> the</w:t>
            </w:r>
            <w:r w:rsidR="00D4382F">
              <w:t xml:space="preserve"> NRES Queries line in 2008</w:t>
            </w:r>
            <w:r w:rsidR="00B013AD">
              <w:rPr>
                <w:rFonts w:cs="Arial"/>
                <w:szCs w:val="22"/>
              </w:rPr>
              <w:t xml:space="preserve"> and is to be revisited in Quarter 4</w:t>
            </w:r>
          </w:p>
          <w:p w:rsidR="00E51F68" w:rsidRDefault="00233D04" w:rsidP="00C563EF">
            <w:pPr>
              <w:numPr>
                <w:ilvl w:val="0"/>
                <w:numId w:val="6"/>
              </w:numPr>
              <w:ind w:left="357" w:hanging="357"/>
              <w:rPr>
                <w:rFonts w:cs="Arial"/>
                <w:szCs w:val="22"/>
              </w:rPr>
            </w:pPr>
            <w:r>
              <w:rPr>
                <w:rFonts w:cs="Arial"/>
                <w:szCs w:val="22"/>
              </w:rPr>
              <w:t>M</w:t>
            </w:r>
            <w:r w:rsidR="00E51F68">
              <w:rPr>
                <w:rFonts w:cs="Arial"/>
                <w:szCs w:val="22"/>
              </w:rPr>
              <w:t>etrics are produced on a quarterly basis –</w:t>
            </w:r>
            <w:r w:rsidR="000A26BD">
              <w:rPr>
                <w:rFonts w:cs="Arial"/>
                <w:szCs w:val="22"/>
              </w:rPr>
              <w:t xml:space="preserve"> Q</w:t>
            </w:r>
            <w:r w:rsidR="00E51F68">
              <w:rPr>
                <w:rFonts w:cs="Arial"/>
                <w:szCs w:val="22"/>
              </w:rPr>
              <w:t xml:space="preserve">uarter </w:t>
            </w:r>
            <w:r w:rsidR="00B013AD">
              <w:rPr>
                <w:rFonts w:cs="Arial"/>
                <w:szCs w:val="22"/>
              </w:rPr>
              <w:t>3</w:t>
            </w:r>
            <w:r w:rsidR="00E51F68">
              <w:rPr>
                <w:rFonts w:cs="Arial"/>
                <w:szCs w:val="22"/>
              </w:rPr>
              <w:t xml:space="preserve"> position is </w:t>
            </w:r>
            <w:r w:rsidR="00AD2B98">
              <w:rPr>
                <w:rFonts w:cs="Arial"/>
                <w:szCs w:val="22"/>
              </w:rPr>
              <w:t>shown</w:t>
            </w:r>
            <w:r w:rsidR="00E51F68">
              <w:rPr>
                <w:rFonts w:cs="Arial"/>
                <w:szCs w:val="22"/>
              </w:rPr>
              <w:t xml:space="preserve"> below</w:t>
            </w:r>
            <w:r>
              <w:rPr>
                <w:rFonts w:cs="Arial"/>
                <w:szCs w:val="22"/>
              </w:rPr>
              <w:t xml:space="preserve"> </w:t>
            </w:r>
          </w:p>
          <w:p w:rsidR="00B042AF" w:rsidRDefault="009270F6" w:rsidP="00C563EF">
            <w:pPr>
              <w:numPr>
                <w:ilvl w:val="0"/>
                <w:numId w:val="6"/>
              </w:numPr>
              <w:ind w:left="357" w:hanging="357"/>
            </w:pPr>
            <w:r>
              <w:t xml:space="preserve">The Queries line traffic for quarter </w:t>
            </w:r>
            <w:r w:rsidR="00C563EF">
              <w:t>3</w:t>
            </w:r>
            <w:r>
              <w:t xml:space="preserve"> has increased by </w:t>
            </w:r>
            <w:r w:rsidR="00C563EF">
              <w:t>63</w:t>
            </w:r>
            <w:r>
              <w:t>% in comparison with the same period in 2012</w:t>
            </w:r>
            <w:r w:rsidR="00215779">
              <w:t>/13</w:t>
            </w:r>
            <w:r>
              <w:t xml:space="preserve">.  This is the first change from the downward trend since October 2011.  </w:t>
            </w:r>
            <w:r w:rsidR="00B042AF">
              <w:t xml:space="preserve">The increased traffic may be as a result of the launch of the new HRA website (early October) with an inability </w:t>
            </w:r>
            <w:r w:rsidR="00215779">
              <w:t>of clients</w:t>
            </w:r>
            <w:r w:rsidR="00B042AF">
              <w:t xml:space="preserve"> find</w:t>
            </w:r>
            <w:r w:rsidR="00215779">
              <w:t>ing</w:t>
            </w:r>
            <w:r w:rsidR="00B042AF">
              <w:t xml:space="preserve"> the relevant information and </w:t>
            </w:r>
            <w:r w:rsidR="00215779">
              <w:t xml:space="preserve">thus </w:t>
            </w:r>
            <w:r w:rsidR="00B042AF">
              <w:t>resorting to an email enquiry</w:t>
            </w:r>
          </w:p>
          <w:p w:rsidR="00FA3816" w:rsidRPr="008302DB" w:rsidRDefault="00D012E0" w:rsidP="00215779">
            <w:pPr>
              <w:numPr>
                <w:ilvl w:val="0"/>
                <w:numId w:val="6"/>
              </w:numPr>
              <w:ind w:left="357" w:hanging="357"/>
            </w:pPr>
            <w:r>
              <w:t xml:space="preserve">The majority of enquiries submitted to the Queries line seek advice on whether the study is research and/or research requiring ethical review.  The two linked decision tools were launched by the HRA in May 2013.  </w:t>
            </w:r>
            <w:r w:rsidR="003F2854">
              <w:t xml:space="preserve">These may have accounted for </w:t>
            </w:r>
            <w:r w:rsidR="0090610D">
              <w:t>a portion of the</w:t>
            </w:r>
            <w:r w:rsidR="003F2854">
              <w:t xml:space="preserve"> rise in email </w:t>
            </w:r>
            <w:r w:rsidR="00215779">
              <w:t>traffic</w:t>
            </w:r>
            <w:r w:rsidR="003F2854">
              <w:t xml:space="preserve"> as the HRA was being asked to confirm the decision outcome (approx. </w:t>
            </w:r>
            <w:r w:rsidR="0090610D">
              <w:t>144</w:t>
            </w:r>
            <w:r w:rsidR="003F2854">
              <w:t xml:space="preserve"> emails received between </w:t>
            </w:r>
            <w:r w:rsidR="0090610D">
              <w:t>October-Decem</w:t>
            </w:r>
            <w:r w:rsidR="003F2854">
              <w:t>ber</w:t>
            </w:r>
            <w:r w:rsidR="0090610D">
              <w:t>, equating to 20% of the email traffic</w:t>
            </w:r>
            <w:r w:rsidR="003F2854">
              <w:t>).  It is now made clear to researchers that the decision is an authoritative source that can be relied on</w:t>
            </w:r>
          </w:p>
        </w:tc>
      </w:tr>
    </w:tbl>
    <w:p w:rsidR="00F96A37" w:rsidRDefault="00F96A37" w:rsidP="0090610D">
      <w:pPr>
        <w:spacing w:after="0"/>
      </w:pPr>
    </w:p>
    <w:tbl>
      <w:tblPr>
        <w:tblW w:w="10274" w:type="dxa"/>
        <w:tblInd w:w="9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202"/>
        <w:gridCol w:w="992"/>
        <w:gridCol w:w="1134"/>
        <w:gridCol w:w="992"/>
        <w:gridCol w:w="1276"/>
        <w:gridCol w:w="992"/>
        <w:gridCol w:w="1315"/>
        <w:gridCol w:w="1057"/>
        <w:gridCol w:w="322"/>
        <w:gridCol w:w="992"/>
      </w:tblGrid>
      <w:tr w:rsidR="00B71C29" w:rsidRPr="005C4D3F" w:rsidTr="00B71C29">
        <w:trPr>
          <w:trHeight w:val="270"/>
        </w:trPr>
        <w:tc>
          <w:tcPr>
            <w:tcW w:w="8960" w:type="dxa"/>
            <w:gridSpan w:val="8"/>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7F2AE1">
              <w:rPr>
                <w:rFonts w:eastAsia="Times New Roman" w:cs="Arial"/>
                <w:b/>
                <w:color w:val="F79646" w:themeColor="accent6"/>
                <w:szCs w:val="20"/>
                <w:lang w:eastAsia="en-GB"/>
              </w:rPr>
              <w:t>Queries per month in 2013</w:t>
            </w:r>
            <w:r w:rsidR="00C563EF">
              <w:rPr>
                <w:rFonts w:eastAsia="Times New Roman" w:cs="Arial"/>
                <w:b/>
                <w:color w:val="F79646" w:themeColor="accent6"/>
                <w:szCs w:val="20"/>
                <w:lang w:eastAsia="en-GB"/>
              </w:rPr>
              <w:t>-14</w:t>
            </w:r>
          </w:p>
        </w:tc>
        <w:tc>
          <w:tcPr>
            <w:tcW w:w="322" w:type="dxa"/>
            <w:shd w:val="clear" w:color="auto" w:fill="auto"/>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c>
          <w:tcPr>
            <w:tcW w:w="992" w:type="dxa"/>
            <w:vMerge w:val="restart"/>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Year Total</w:t>
            </w:r>
          </w:p>
        </w:tc>
      </w:tr>
      <w:tr w:rsidR="00B71C29" w:rsidRPr="005C4D3F" w:rsidTr="00B71C29">
        <w:trPr>
          <w:trHeight w:val="270"/>
        </w:trPr>
        <w:tc>
          <w:tcPr>
            <w:tcW w:w="2194"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1</w:t>
            </w:r>
          </w:p>
        </w:tc>
        <w:tc>
          <w:tcPr>
            <w:tcW w:w="2126"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2</w:t>
            </w:r>
          </w:p>
        </w:tc>
        <w:tc>
          <w:tcPr>
            <w:tcW w:w="2268"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3</w:t>
            </w:r>
          </w:p>
        </w:tc>
        <w:tc>
          <w:tcPr>
            <w:tcW w:w="2372"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4</w:t>
            </w:r>
          </w:p>
        </w:tc>
        <w:tc>
          <w:tcPr>
            <w:tcW w:w="322" w:type="dxa"/>
            <w:shd w:val="clear" w:color="auto" w:fill="auto"/>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c>
          <w:tcPr>
            <w:tcW w:w="992" w:type="dxa"/>
            <w:vMerge/>
            <w:shd w:val="clear" w:color="auto" w:fill="7030A0"/>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r>
      <w:tr w:rsidR="00C563EF" w:rsidRPr="00F96A37" w:rsidTr="00A77904">
        <w:trPr>
          <w:trHeight w:val="255"/>
        </w:trPr>
        <w:tc>
          <w:tcPr>
            <w:tcW w:w="1202"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Apr-13</w:t>
            </w: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144</w:t>
            </w:r>
          </w:p>
        </w:tc>
        <w:tc>
          <w:tcPr>
            <w:tcW w:w="1134"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Jul-13</w:t>
            </w: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199</w:t>
            </w:r>
          </w:p>
        </w:tc>
        <w:tc>
          <w:tcPr>
            <w:tcW w:w="1276"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Oct-13</w:t>
            </w:r>
          </w:p>
        </w:tc>
        <w:tc>
          <w:tcPr>
            <w:tcW w:w="992" w:type="dxa"/>
            <w:shd w:val="clear" w:color="auto" w:fill="auto"/>
            <w:noWrap/>
            <w:vAlign w:val="bottom"/>
            <w:hideMark/>
          </w:tcPr>
          <w:p w:rsidR="00C563EF" w:rsidRDefault="00C563EF" w:rsidP="00C563EF">
            <w:pPr>
              <w:spacing w:before="40" w:after="40" w:line="240" w:lineRule="auto"/>
              <w:jc w:val="center"/>
              <w:rPr>
                <w:rFonts w:cs="Arial"/>
                <w:sz w:val="20"/>
                <w:szCs w:val="20"/>
              </w:rPr>
            </w:pPr>
            <w:r>
              <w:rPr>
                <w:rFonts w:cs="Arial"/>
                <w:sz w:val="20"/>
                <w:szCs w:val="20"/>
              </w:rPr>
              <w:t>284</w:t>
            </w:r>
          </w:p>
        </w:tc>
        <w:tc>
          <w:tcPr>
            <w:tcW w:w="1315"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Jan-14</w:t>
            </w:r>
          </w:p>
        </w:tc>
        <w:tc>
          <w:tcPr>
            <w:tcW w:w="1057"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0</w:t>
            </w:r>
          </w:p>
        </w:tc>
        <w:tc>
          <w:tcPr>
            <w:tcW w:w="32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r>
      <w:tr w:rsidR="00C563EF" w:rsidRPr="00F96A37" w:rsidTr="00A77904">
        <w:trPr>
          <w:trHeight w:val="255"/>
        </w:trPr>
        <w:tc>
          <w:tcPr>
            <w:tcW w:w="1202"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May-13</w:t>
            </w: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160</w:t>
            </w:r>
          </w:p>
        </w:tc>
        <w:tc>
          <w:tcPr>
            <w:tcW w:w="1134"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Aug-13</w:t>
            </w: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174</w:t>
            </w:r>
          </w:p>
        </w:tc>
        <w:tc>
          <w:tcPr>
            <w:tcW w:w="1276"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Nov-13</w:t>
            </w:r>
          </w:p>
        </w:tc>
        <w:tc>
          <w:tcPr>
            <w:tcW w:w="992" w:type="dxa"/>
            <w:shd w:val="clear" w:color="auto" w:fill="auto"/>
            <w:noWrap/>
            <w:vAlign w:val="bottom"/>
            <w:hideMark/>
          </w:tcPr>
          <w:p w:rsidR="00C563EF" w:rsidRDefault="00C563EF" w:rsidP="00C563EF">
            <w:pPr>
              <w:spacing w:before="40" w:after="40" w:line="240" w:lineRule="auto"/>
              <w:jc w:val="center"/>
              <w:rPr>
                <w:rFonts w:cs="Arial"/>
                <w:sz w:val="20"/>
                <w:szCs w:val="20"/>
              </w:rPr>
            </w:pPr>
            <w:r>
              <w:rPr>
                <w:rFonts w:cs="Arial"/>
                <w:sz w:val="20"/>
                <w:szCs w:val="20"/>
              </w:rPr>
              <w:t>268</w:t>
            </w:r>
          </w:p>
        </w:tc>
        <w:tc>
          <w:tcPr>
            <w:tcW w:w="1315"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Feb-14</w:t>
            </w:r>
          </w:p>
        </w:tc>
        <w:tc>
          <w:tcPr>
            <w:tcW w:w="1057"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0</w:t>
            </w:r>
          </w:p>
        </w:tc>
        <w:tc>
          <w:tcPr>
            <w:tcW w:w="32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r>
      <w:tr w:rsidR="00C563EF" w:rsidRPr="00F96A37" w:rsidTr="00A77904">
        <w:trPr>
          <w:trHeight w:val="270"/>
        </w:trPr>
        <w:tc>
          <w:tcPr>
            <w:tcW w:w="1202" w:type="dxa"/>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Jun-13</w:t>
            </w:r>
          </w:p>
        </w:tc>
        <w:tc>
          <w:tcPr>
            <w:tcW w:w="992" w:type="dxa"/>
            <w:tcBorders>
              <w:bottom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131</w:t>
            </w:r>
          </w:p>
        </w:tc>
        <w:tc>
          <w:tcPr>
            <w:tcW w:w="1134" w:type="dxa"/>
            <w:tcBorders>
              <w:bottom w:val="single" w:sz="12" w:space="0" w:color="7030A0"/>
            </w:tcBorders>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Sep-13</w:t>
            </w:r>
          </w:p>
        </w:tc>
        <w:tc>
          <w:tcPr>
            <w:tcW w:w="992" w:type="dxa"/>
            <w:tcBorders>
              <w:bottom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126</w:t>
            </w:r>
          </w:p>
        </w:tc>
        <w:tc>
          <w:tcPr>
            <w:tcW w:w="1276" w:type="dxa"/>
            <w:tcBorders>
              <w:bottom w:val="single" w:sz="12" w:space="0" w:color="7030A0"/>
            </w:tcBorders>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Dec-13</w:t>
            </w:r>
          </w:p>
        </w:tc>
        <w:tc>
          <w:tcPr>
            <w:tcW w:w="992" w:type="dxa"/>
            <w:tcBorders>
              <w:bottom w:val="single" w:sz="12" w:space="0" w:color="7030A0"/>
            </w:tcBorders>
            <w:shd w:val="clear" w:color="auto" w:fill="auto"/>
            <w:noWrap/>
            <w:vAlign w:val="bottom"/>
            <w:hideMark/>
          </w:tcPr>
          <w:p w:rsidR="00C563EF" w:rsidRDefault="00C563EF" w:rsidP="00C563EF">
            <w:pPr>
              <w:spacing w:before="40" w:after="40" w:line="240" w:lineRule="auto"/>
              <w:jc w:val="center"/>
              <w:rPr>
                <w:rFonts w:cs="Arial"/>
                <w:sz w:val="20"/>
                <w:szCs w:val="20"/>
              </w:rPr>
            </w:pPr>
            <w:r>
              <w:rPr>
                <w:rFonts w:cs="Arial"/>
                <w:sz w:val="20"/>
                <w:szCs w:val="20"/>
              </w:rPr>
              <w:t>161</w:t>
            </w:r>
          </w:p>
        </w:tc>
        <w:tc>
          <w:tcPr>
            <w:tcW w:w="1315" w:type="dxa"/>
            <w:tcBorders>
              <w:bottom w:val="single" w:sz="12" w:space="0" w:color="7030A0"/>
            </w:tcBorders>
            <w:shd w:val="clear" w:color="000000" w:fill="CCC0D9" w:themeFill="accent4" w:themeFillTint="66"/>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Mar-14</w:t>
            </w:r>
          </w:p>
        </w:tc>
        <w:tc>
          <w:tcPr>
            <w:tcW w:w="1057" w:type="dxa"/>
            <w:tcBorders>
              <w:bottom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0</w:t>
            </w:r>
          </w:p>
        </w:tc>
        <w:tc>
          <w:tcPr>
            <w:tcW w:w="322" w:type="dxa"/>
            <w:tcBorders>
              <w:bottom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tcBorders>
              <w:bottom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r>
      <w:tr w:rsidR="00C563EF" w:rsidRPr="00F96A37" w:rsidTr="00A77904">
        <w:trPr>
          <w:trHeight w:val="270"/>
        </w:trPr>
        <w:tc>
          <w:tcPr>
            <w:tcW w:w="120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r w:rsidRPr="00F96A37">
              <w:rPr>
                <w:rFonts w:eastAsia="Times New Roman" w:cs="Arial"/>
                <w:b/>
                <w:sz w:val="20"/>
                <w:szCs w:val="20"/>
                <w:lang w:eastAsia="en-GB"/>
              </w:rPr>
              <w:t>435</w:t>
            </w:r>
          </w:p>
        </w:tc>
        <w:tc>
          <w:tcPr>
            <w:tcW w:w="1134"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r w:rsidRPr="00F96A37">
              <w:rPr>
                <w:rFonts w:eastAsia="Times New Roman" w:cs="Arial"/>
                <w:b/>
                <w:sz w:val="20"/>
                <w:szCs w:val="20"/>
                <w:lang w:eastAsia="en-GB"/>
              </w:rPr>
              <w:t>499</w:t>
            </w:r>
          </w:p>
        </w:tc>
        <w:tc>
          <w:tcPr>
            <w:tcW w:w="1276"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bottom"/>
            <w:hideMark/>
          </w:tcPr>
          <w:p w:rsidR="00C563EF" w:rsidRPr="00C563EF" w:rsidRDefault="00C563EF" w:rsidP="00C563EF">
            <w:pPr>
              <w:spacing w:before="40" w:after="40" w:line="240" w:lineRule="auto"/>
              <w:jc w:val="center"/>
              <w:rPr>
                <w:rFonts w:cs="Arial"/>
                <w:b/>
                <w:sz w:val="20"/>
                <w:szCs w:val="20"/>
              </w:rPr>
            </w:pPr>
            <w:r w:rsidRPr="00C563EF">
              <w:rPr>
                <w:rFonts w:cs="Arial"/>
                <w:b/>
                <w:sz w:val="20"/>
                <w:szCs w:val="20"/>
              </w:rPr>
              <w:t>713</w:t>
            </w:r>
          </w:p>
        </w:tc>
        <w:tc>
          <w:tcPr>
            <w:tcW w:w="1315"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p>
        </w:tc>
        <w:tc>
          <w:tcPr>
            <w:tcW w:w="1057"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r w:rsidRPr="00F96A37">
              <w:rPr>
                <w:rFonts w:eastAsia="Times New Roman" w:cs="Arial"/>
                <w:b/>
                <w:sz w:val="20"/>
                <w:szCs w:val="20"/>
                <w:lang w:eastAsia="en-GB"/>
              </w:rPr>
              <w:t>0</w:t>
            </w:r>
          </w:p>
        </w:tc>
        <w:tc>
          <w:tcPr>
            <w:tcW w:w="322" w:type="dxa"/>
            <w:tcBorders>
              <w:top w:val="single" w:sz="12" w:space="0" w:color="7030A0"/>
            </w:tcBorders>
            <w:shd w:val="clear" w:color="auto" w:fill="auto"/>
            <w:noWrap/>
            <w:vAlign w:val="center"/>
            <w:hideMark/>
          </w:tcPr>
          <w:p w:rsidR="00C563EF" w:rsidRPr="00F96A37" w:rsidRDefault="00C563EF" w:rsidP="00C563EF">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bottom"/>
            <w:hideMark/>
          </w:tcPr>
          <w:p w:rsidR="00C563EF" w:rsidRPr="00C563EF" w:rsidRDefault="00C563EF" w:rsidP="00C563EF">
            <w:pPr>
              <w:spacing w:before="40" w:after="40" w:line="240" w:lineRule="auto"/>
              <w:jc w:val="center"/>
              <w:rPr>
                <w:rFonts w:cs="Arial"/>
                <w:b/>
                <w:sz w:val="20"/>
                <w:szCs w:val="20"/>
              </w:rPr>
            </w:pPr>
            <w:r w:rsidRPr="00C563EF">
              <w:rPr>
                <w:rFonts w:cs="Arial"/>
                <w:b/>
                <w:sz w:val="20"/>
                <w:szCs w:val="20"/>
              </w:rPr>
              <w:t>1,844</w:t>
            </w:r>
          </w:p>
        </w:tc>
      </w:tr>
      <w:tr w:rsidR="00C563EF" w:rsidRPr="00F96A37" w:rsidTr="00A77904">
        <w:trPr>
          <w:trHeight w:val="255"/>
        </w:trPr>
        <w:tc>
          <w:tcPr>
            <w:tcW w:w="1202" w:type="dxa"/>
            <w:vMerge w:val="restart"/>
            <w:shd w:val="clear" w:color="auto" w:fill="auto"/>
            <w:noWrap/>
            <w:vAlign w:val="center"/>
            <w:hideMark/>
          </w:tcPr>
          <w:p w:rsidR="00C563EF" w:rsidRPr="00F96A37" w:rsidRDefault="00C563EF" w:rsidP="00C563EF">
            <w:pPr>
              <w:spacing w:before="40" w:after="40" w:line="240" w:lineRule="auto"/>
              <w:jc w:val="center"/>
              <w:rPr>
                <w:rFonts w:eastAsia="Times New Roman" w:cs="Arial"/>
                <w:b/>
                <w:bCs/>
                <w:sz w:val="16"/>
                <w:szCs w:val="16"/>
                <w:lang w:eastAsia="en-GB"/>
              </w:rPr>
            </w:pPr>
            <w:r>
              <w:rPr>
                <w:rFonts w:eastAsia="Times New Roman" w:cs="Arial"/>
                <w:b/>
                <w:bCs/>
                <w:sz w:val="16"/>
                <w:szCs w:val="16"/>
                <w:lang w:eastAsia="en-GB"/>
              </w:rPr>
              <w:t>Comparison with 2012-13</w:t>
            </w: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-108</w:t>
            </w:r>
          </w:p>
        </w:tc>
        <w:tc>
          <w:tcPr>
            <w:tcW w:w="1134"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86</w:t>
            </w:r>
          </w:p>
        </w:tc>
        <w:tc>
          <w:tcPr>
            <w:tcW w:w="1276"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C563EF" w:rsidRDefault="00C563EF" w:rsidP="00C563EF">
            <w:pPr>
              <w:spacing w:before="40" w:after="40" w:line="240" w:lineRule="auto"/>
              <w:jc w:val="center"/>
              <w:rPr>
                <w:rFonts w:cs="Arial"/>
                <w:sz w:val="20"/>
                <w:szCs w:val="20"/>
              </w:rPr>
            </w:pPr>
            <w:r>
              <w:rPr>
                <w:rFonts w:cs="Arial"/>
                <w:sz w:val="20"/>
                <w:szCs w:val="20"/>
              </w:rPr>
              <w:t>275</w:t>
            </w:r>
          </w:p>
        </w:tc>
        <w:tc>
          <w:tcPr>
            <w:tcW w:w="1315"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1057" w:type="dxa"/>
            <w:shd w:val="clear" w:color="auto" w:fill="auto"/>
            <w:noWrap/>
            <w:vAlign w:val="center"/>
          </w:tcPr>
          <w:p w:rsidR="00C563EF" w:rsidRPr="00F96A37" w:rsidRDefault="00C563EF" w:rsidP="00C563EF">
            <w:pPr>
              <w:spacing w:before="40" w:after="40" w:line="240" w:lineRule="auto"/>
              <w:jc w:val="center"/>
              <w:rPr>
                <w:rFonts w:eastAsia="Times New Roman" w:cs="Arial"/>
                <w:sz w:val="20"/>
                <w:szCs w:val="20"/>
                <w:lang w:eastAsia="en-GB"/>
              </w:rPr>
            </w:pPr>
          </w:p>
        </w:tc>
        <w:tc>
          <w:tcPr>
            <w:tcW w:w="322" w:type="dxa"/>
            <w:shd w:val="clear" w:color="auto" w:fill="auto"/>
            <w:noWrap/>
            <w:vAlign w:val="center"/>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564393" w:rsidRDefault="00564393" w:rsidP="00564393">
            <w:pPr>
              <w:spacing w:before="40" w:after="40" w:line="240" w:lineRule="auto"/>
              <w:jc w:val="center"/>
              <w:rPr>
                <w:rFonts w:cs="Arial"/>
                <w:sz w:val="20"/>
                <w:szCs w:val="20"/>
              </w:rPr>
            </w:pPr>
          </w:p>
        </w:tc>
      </w:tr>
      <w:tr w:rsidR="00C563EF" w:rsidRPr="00F96A37" w:rsidTr="00A77904">
        <w:trPr>
          <w:trHeight w:val="270"/>
        </w:trPr>
        <w:tc>
          <w:tcPr>
            <w:tcW w:w="1202" w:type="dxa"/>
            <w:vMerge/>
            <w:vAlign w:val="center"/>
            <w:hideMark/>
          </w:tcPr>
          <w:p w:rsidR="00C563EF" w:rsidRPr="00F96A37" w:rsidRDefault="00C563EF" w:rsidP="00C563EF">
            <w:pPr>
              <w:spacing w:before="40" w:after="40" w:line="240" w:lineRule="auto"/>
              <w:jc w:val="center"/>
              <w:rPr>
                <w:rFonts w:eastAsia="Times New Roman" w:cs="Arial"/>
                <w:b/>
                <w:bCs/>
                <w:sz w:val="16"/>
                <w:szCs w:val="16"/>
                <w:lang w:eastAsia="en-GB"/>
              </w:rPr>
            </w:pP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-20%</w:t>
            </w:r>
          </w:p>
        </w:tc>
        <w:tc>
          <w:tcPr>
            <w:tcW w:w="1134"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21%</w:t>
            </w:r>
          </w:p>
        </w:tc>
        <w:tc>
          <w:tcPr>
            <w:tcW w:w="1276"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C563EF" w:rsidRDefault="00C563EF" w:rsidP="00C563EF">
            <w:pPr>
              <w:spacing w:before="40" w:after="40" w:line="240" w:lineRule="auto"/>
              <w:jc w:val="center"/>
              <w:rPr>
                <w:rFonts w:cs="Arial"/>
                <w:sz w:val="20"/>
                <w:szCs w:val="20"/>
              </w:rPr>
            </w:pPr>
            <w:r>
              <w:rPr>
                <w:rFonts w:cs="Arial"/>
                <w:sz w:val="20"/>
                <w:szCs w:val="20"/>
              </w:rPr>
              <w:t>63%</w:t>
            </w:r>
          </w:p>
        </w:tc>
        <w:tc>
          <w:tcPr>
            <w:tcW w:w="1315" w:type="dxa"/>
            <w:shd w:val="clear" w:color="auto" w:fill="auto"/>
            <w:noWrap/>
            <w:vAlign w:val="center"/>
            <w:hideMark/>
          </w:tcPr>
          <w:p w:rsidR="00C563EF" w:rsidRPr="00F96A37" w:rsidRDefault="00C563EF" w:rsidP="00C563EF">
            <w:pPr>
              <w:spacing w:before="40" w:after="40" w:line="240" w:lineRule="auto"/>
              <w:jc w:val="center"/>
              <w:rPr>
                <w:rFonts w:eastAsia="Times New Roman" w:cs="Arial"/>
                <w:sz w:val="20"/>
                <w:szCs w:val="20"/>
                <w:lang w:eastAsia="en-GB"/>
              </w:rPr>
            </w:pPr>
          </w:p>
        </w:tc>
        <w:tc>
          <w:tcPr>
            <w:tcW w:w="1057" w:type="dxa"/>
            <w:shd w:val="clear" w:color="auto" w:fill="auto"/>
            <w:noWrap/>
            <w:vAlign w:val="center"/>
          </w:tcPr>
          <w:p w:rsidR="00C563EF" w:rsidRPr="00F96A37" w:rsidRDefault="00C563EF" w:rsidP="00C563EF">
            <w:pPr>
              <w:spacing w:before="40" w:after="40" w:line="240" w:lineRule="auto"/>
              <w:jc w:val="center"/>
              <w:rPr>
                <w:rFonts w:eastAsia="Times New Roman" w:cs="Arial"/>
                <w:sz w:val="20"/>
                <w:szCs w:val="20"/>
                <w:lang w:eastAsia="en-GB"/>
              </w:rPr>
            </w:pPr>
          </w:p>
        </w:tc>
        <w:tc>
          <w:tcPr>
            <w:tcW w:w="322" w:type="dxa"/>
            <w:shd w:val="clear" w:color="auto" w:fill="auto"/>
            <w:noWrap/>
            <w:vAlign w:val="center"/>
          </w:tcPr>
          <w:p w:rsidR="00C563EF" w:rsidRPr="00F96A37" w:rsidRDefault="00C563EF"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C563EF" w:rsidRDefault="00C563EF" w:rsidP="00C563EF">
            <w:pPr>
              <w:spacing w:before="40" w:after="40" w:line="240" w:lineRule="auto"/>
              <w:jc w:val="center"/>
              <w:rPr>
                <w:rFonts w:cs="Arial"/>
                <w:sz w:val="20"/>
                <w:szCs w:val="20"/>
              </w:rPr>
            </w:pPr>
          </w:p>
        </w:tc>
      </w:tr>
    </w:tbl>
    <w:p w:rsidR="0069051F" w:rsidRDefault="0069051F" w:rsidP="0090610D">
      <w:pPr>
        <w:spacing w:after="0" w:line="240" w:lineRule="auto"/>
      </w:pPr>
    </w:p>
    <w:tbl>
      <w:tblPr>
        <w:tblW w:w="6814" w:type="dxa"/>
        <w:jc w:val="center"/>
        <w:tblInd w:w="98" w:type="dxa"/>
        <w:tblBorders>
          <w:top w:val="single" w:sz="4" w:space="0" w:color="7030A0"/>
          <w:left w:val="single" w:sz="4" w:space="0" w:color="7030A0"/>
          <w:bottom w:val="single" w:sz="8" w:space="0" w:color="auto"/>
          <w:right w:val="single" w:sz="4" w:space="0" w:color="7030A0"/>
          <w:insideH w:val="single" w:sz="4" w:space="0" w:color="7030A0"/>
          <w:insideV w:val="single" w:sz="4" w:space="0" w:color="auto"/>
        </w:tblBorders>
        <w:tblLook w:val="04A0" w:firstRow="1" w:lastRow="0" w:firstColumn="1" w:lastColumn="0" w:noHBand="0" w:noVBand="1"/>
      </w:tblPr>
      <w:tblGrid>
        <w:gridCol w:w="1202"/>
        <w:gridCol w:w="2835"/>
        <w:gridCol w:w="2777"/>
      </w:tblGrid>
      <w:tr w:rsidR="00006C0B" w:rsidRPr="00B71C29" w:rsidTr="00B013AD">
        <w:trPr>
          <w:trHeight w:val="399"/>
          <w:jc w:val="center"/>
        </w:trPr>
        <w:tc>
          <w:tcPr>
            <w:tcW w:w="6814" w:type="dxa"/>
            <w:gridSpan w:val="3"/>
            <w:tcBorders>
              <w:top w:val="nil"/>
              <w:bottom w:val="single" w:sz="4" w:space="0" w:color="7030A0"/>
            </w:tcBorders>
            <w:shd w:val="clear" w:color="auto" w:fill="7030A0"/>
            <w:vAlign w:val="center"/>
            <w:hideMark/>
          </w:tcPr>
          <w:p w:rsidR="00006C0B" w:rsidRPr="00B71C29" w:rsidRDefault="00006C0B" w:rsidP="007F2AE1">
            <w:pPr>
              <w:jc w:val="center"/>
              <w:rPr>
                <w:rFonts w:eastAsia="Times New Roman" w:cs="Arial"/>
                <w:b/>
                <w:bCs/>
                <w:color w:val="FFFFFF" w:themeColor="background1"/>
                <w:sz w:val="20"/>
                <w:szCs w:val="20"/>
                <w:lang w:eastAsia="en-GB"/>
              </w:rPr>
            </w:pPr>
            <w:r w:rsidRPr="007F2AE1">
              <w:rPr>
                <w:rFonts w:eastAsia="Times New Roman" w:cs="Arial"/>
                <w:b/>
                <w:color w:val="F79646" w:themeColor="accent6"/>
                <w:szCs w:val="20"/>
                <w:lang w:eastAsia="en-GB"/>
              </w:rPr>
              <w:t>Time taken to respond to</w:t>
            </w:r>
            <w:r w:rsidR="007F2AE1" w:rsidRPr="007F2AE1">
              <w:rPr>
                <w:rFonts w:eastAsia="Times New Roman" w:cs="Arial"/>
                <w:b/>
                <w:color w:val="F79646" w:themeColor="accent6"/>
                <w:szCs w:val="20"/>
                <w:lang w:eastAsia="en-GB"/>
              </w:rPr>
              <w:t xml:space="preserve"> sampled queries per month 2013</w:t>
            </w:r>
            <w:r w:rsidRPr="007F2AE1">
              <w:rPr>
                <w:rFonts w:eastAsia="Times New Roman" w:cs="Arial"/>
                <w:b/>
                <w:color w:val="F79646" w:themeColor="accent6"/>
                <w:szCs w:val="20"/>
                <w:lang w:eastAsia="en-GB"/>
              </w:rPr>
              <w:t>-14</w:t>
            </w:r>
          </w:p>
        </w:tc>
      </w:tr>
      <w:tr w:rsidR="00006C0B" w:rsidRPr="00B71C29" w:rsidTr="00B013AD">
        <w:trPr>
          <w:trHeight w:val="827"/>
          <w:jc w:val="center"/>
        </w:trPr>
        <w:tc>
          <w:tcPr>
            <w:tcW w:w="1202" w:type="dxa"/>
            <w:tcBorders>
              <w:top w:val="nil"/>
              <w:bottom w:val="single" w:sz="4" w:space="0" w:color="7030A0"/>
            </w:tcBorders>
            <w:shd w:val="clear" w:color="auto" w:fill="7030A0"/>
            <w:vAlign w:val="center"/>
          </w:tcPr>
          <w:p w:rsidR="00006C0B" w:rsidRPr="00B71C29" w:rsidRDefault="00006C0B" w:rsidP="00B71C29">
            <w:pPr>
              <w:spacing w:after="0" w:line="240" w:lineRule="auto"/>
              <w:jc w:val="center"/>
              <w:rPr>
                <w:rFonts w:eastAsia="Times New Roman" w:cs="Arial"/>
                <w:b/>
                <w:bCs/>
                <w:sz w:val="20"/>
                <w:szCs w:val="20"/>
                <w:lang w:eastAsia="en-GB"/>
              </w:rPr>
            </w:pPr>
          </w:p>
        </w:tc>
        <w:tc>
          <w:tcPr>
            <w:tcW w:w="2835" w:type="dxa"/>
            <w:tcBorders>
              <w:top w:val="nil"/>
              <w:bottom w:val="single" w:sz="4" w:space="0" w:color="7030A0"/>
            </w:tcBorders>
            <w:shd w:val="clear" w:color="auto" w:fill="7030A0"/>
            <w:vAlign w:val="center"/>
          </w:tcPr>
          <w:p w:rsidR="00006C0B" w:rsidRDefault="00006C0B" w:rsidP="00B71C29">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w:t>
            </w:r>
            <w:r w:rsidRPr="00B71C29">
              <w:rPr>
                <w:rFonts w:eastAsia="Times New Roman" w:cs="Arial"/>
                <w:b/>
                <w:bCs/>
                <w:color w:val="FFFFFF" w:themeColor="background1"/>
                <w:sz w:val="20"/>
                <w:szCs w:val="20"/>
                <w:lang w:eastAsia="en-GB"/>
              </w:rPr>
              <w:t xml:space="preserve"> of queries responded to within 4 working days</w:t>
            </w:r>
          </w:p>
        </w:tc>
        <w:tc>
          <w:tcPr>
            <w:tcW w:w="2777" w:type="dxa"/>
            <w:tcBorders>
              <w:top w:val="nil"/>
              <w:bottom w:val="single" w:sz="4" w:space="0" w:color="7030A0"/>
            </w:tcBorders>
            <w:shd w:val="clear" w:color="auto" w:fill="7030A0"/>
            <w:vAlign w:val="center"/>
          </w:tcPr>
          <w:p w:rsidR="00006C0B" w:rsidRDefault="00006C0B" w:rsidP="00B71C29">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Mean a</w:t>
            </w:r>
            <w:r w:rsidRPr="00B71C29">
              <w:rPr>
                <w:rFonts w:eastAsia="Times New Roman" w:cs="Arial"/>
                <w:b/>
                <w:bCs/>
                <w:color w:val="FFFFFF" w:themeColor="background1"/>
                <w:sz w:val="20"/>
                <w:szCs w:val="20"/>
                <w:lang w:eastAsia="en-GB"/>
              </w:rPr>
              <w:t>verage response time</w:t>
            </w:r>
          </w:p>
        </w:tc>
      </w:tr>
      <w:tr w:rsidR="00006C0B" w:rsidRPr="00B71C29" w:rsidTr="00B013AD">
        <w:trPr>
          <w:trHeight w:val="255"/>
          <w:jc w:val="center"/>
        </w:trPr>
        <w:tc>
          <w:tcPr>
            <w:tcW w:w="1202" w:type="dxa"/>
            <w:tcBorders>
              <w:top w:val="single"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Apr-13</w:t>
            </w:r>
          </w:p>
        </w:tc>
        <w:tc>
          <w:tcPr>
            <w:tcW w:w="2835" w:type="dxa"/>
            <w:tcBorders>
              <w:top w:val="single"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single"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0.9</w:t>
            </w:r>
          </w:p>
        </w:tc>
      </w:tr>
      <w:tr w:rsidR="00006C0B" w:rsidRPr="00B71C29" w:rsidTr="00B013AD">
        <w:trPr>
          <w:trHeight w:val="255"/>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May-13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90%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0.6</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Jun-13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0.5</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Jul-13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0.7</w:t>
            </w:r>
          </w:p>
        </w:tc>
      </w:tr>
      <w:tr w:rsidR="00006C0B" w:rsidRPr="00B71C29" w:rsidTr="00B013AD">
        <w:trPr>
          <w:trHeight w:val="255"/>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Aug-13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1.1</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Sep-13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0.7</w:t>
            </w:r>
          </w:p>
        </w:tc>
      </w:tr>
      <w:tr w:rsidR="00C563EF"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Oct -13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90%</w:t>
            </w:r>
          </w:p>
        </w:tc>
        <w:tc>
          <w:tcPr>
            <w:tcW w:w="2777" w:type="dxa"/>
            <w:tcBorders>
              <w:top w:val="dotted" w:sz="4" w:space="0" w:color="7030A0"/>
              <w:left w:val="single" w:sz="4" w:space="0" w:color="7030A0"/>
              <w:bottom w:val="dotted"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1.0</w:t>
            </w:r>
          </w:p>
        </w:tc>
      </w:tr>
      <w:tr w:rsidR="00C563EF"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Nov-13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70%</w:t>
            </w:r>
          </w:p>
        </w:tc>
        <w:tc>
          <w:tcPr>
            <w:tcW w:w="2777" w:type="dxa"/>
            <w:tcBorders>
              <w:top w:val="dotted" w:sz="4" w:space="0" w:color="7030A0"/>
              <w:left w:val="single" w:sz="4" w:space="0" w:color="7030A0"/>
              <w:bottom w:val="dotted"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1.9</w:t>
            </w:r>
          </w:p>
        </w:tc>
      </w:tr>
      <w:tr w:rsidR="00C563EF" w:rsidRPr="00B71C29" w:rsidTr="00B013AD">
        <w:trPr>
          <w:trHeight w:val="270"/>
          <w:jc w:val="center"/>
        </w:trPr>
        <w:tc>
          <w:tcPr>
            <w:tcW w:w="1202" w:type="dxa"/>
            <w:tcBorders>
              <w:top w:val="dotted" w:sz="4" w:space="0" w:color="7030A0"/>
              <w:bottom w:val="single"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Dec-13</w:t>
            </w:r>
          </w:p>
        </w:tc>
        <w:tc>
          <w:tcPr>
            <w:tcW w:w="2835" w:type="dxa"/>
            <w:tcBorders>
              <w:top w:val="dotted" w:sz="4" w:space="0" w:color="7030A0"/>
              <w:left w:val="single" w:sz="4" w:space="0" w:color="7030A0"/>
              <w:bottom w:val="single"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100%</w:t>
            </w:r>
          </w:p>
        </w:tc>
        <w:tc>
          <w:tcPr>
            <w:tcW w:w="2777" w:type="dxa"/>
            <w:tcBorders>
              <w:top w:val="dotted" w:sz="4" w:space="0" w:color="7030A0"/>
              <w:left w:val="single" w:sz="4" w:space="0" w:color="7030A0"/>
              <w:bottom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0.2</w:t>
            </w:r>
          </w:p>
        </w:tc>
      </w:tr>
    </w:tbl>
    <w:p w:rsidR="00B013AD" w:rsidRDefault="00B013AD" w:rsidP="0069051F"/>
    <w:p w:rsidR="00B013AD" w:rsidRDefault="003665A2" w:rsidP="0090610D">
      <w:pPr>
        <w:pStyle w:val="ListParagraph"/>
        <w:numPr>
          <w:ilvl w:val="0"/>
          <w:numId w:val="37"/>
        </w:numPr>
        <w:spacing w:before="120" w:after="240"/>
        <w:ind w:left="714" w:hanging="357"/>
        <w:contextualSpacing w:val="0"/>
      </w:pPr>
      <w:r>
        <w:t xml:space="preserve">The missed target, and apparent poor performance, </w:t>
      </w:r>
      <w:r w:rsidR="00B013AD">
        <w:t xml:space="preserve">in November 2013 has been investigated.  </w:t>
      </w:r>
      <w:r>
        <w:t>The data for the entire month has been analysed and</w:t>
      </w:r>
      <w:r w:rsidR="0090610D">
        <w:t xml:space="preserve"> is</w:t>
      </w:r>
      <w:r>
        <w:t xml:space="preserve"> summarised in the</w:t>
      </w:r>
      <w:r w:rsidR="00B013AD">
        <w:t xml:space="preserve"> table below</w:t>
      </w:r>
      <w:r w:rsidR="0090610D">
        <w:t>:</w:t>
      </w:r>
    </w:p>
    <w:tbl>
      <w:tblPr>
        <w:tblW w:w="4380" w:type="dxa"/>
        <w:jc w:val="center"/>
        <w:tblInd w:w="93" w:type="dxa"/>
        <w:tblLook w:val="04A0" w:firstRow="1" w:lastRow="0" w:firstColumn="1" w:lastColumn="0" w:noHBand="0" w:noVBand="1"/>
      </w:tblPr>
      <w:tblGrid>
        <w:gridCol w:w="3502"/>
        <w:gridCol w:w="878"/>
      </w:tblGrid>
      <w:tr w:rsidR="0090610D" w:rsidRPr="00B013AD" w:rsidTr="0090610D">
        <w:trPr>
          <w:trHeight w:val="300"/>
          <w:jc w:val="center"/>
        </w:trPr>
        <w:tc>
          <w:tcPr>
            <w:tcW w:w="4380" w:type="dxa"/>
            <w:gridSpan w:val="2"/>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B013AD" w:rsidRPr="00B013AD" w:rsidRDefault="00B013AD" w:rsidP="0090610D">
            <w:pPr>
              <w:spacing w:before="60" w:after="60" w:line="240" w:lineRule="auto"/>
              <w:jc w:val="center"/>
              <w:rPr>
                <w:rFonts w:eastAsia="Times New Roman" w:cs="Arial"/>
                <w:b/>
                <w:bCs/>
                <w:color w:val="FFFFFF" w:themeColor="background1"/>
                <w:szCs w:val="22"/>
                <w:lang w:eastAsia="en-GB"/>
              </w:rPr>
            </w:pPr>
            <w:r w:rsidRPr="00B013AD">
              <w:rPr>
                <w:rFonts w:eastAsia="Times New Roman" w:cs="Arial"/>
                <w:b/>
                <w:bCs/>
                <w:color w:val="FFFFFF" w:themeColor="background1"/>
                <w:szCs w:val="22"/>
                <w:lang w:eastAsia="en-GB"/>
              </w:rPr>
              <w:t>Summary</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3665A2" w:rsidP="00B013AD">
            <w:pPr>
              <w:spacing w:after="0" w:line="240" w:lineRule="auto"/>
              <w:rPr>
                <w:rFonts w:eastAsia="Times New Roman" w:cs="Arial"/>
                <w:color w:val="000000"/>
                <w:szCs w:val="22"/>
                <w:lang w:eastAsia="en-GB"/>
              </w:rPr>
            </w:pPr>
            <w:r>
              <w:rPr>
                <w:rFonts w:eastAsia="Times New Roman" w:cs="Arial"/>
                <w:color w:val="000000"/>
                <w:szCs w:val="22"/>
                <w:lang w:eastAsia="en-GB"/>
              </w:rPr>
              <w:t>Total q</w:t>
            </w:r>
            <w:r w:rsidR="00B013AD" w:rsidRPr="00B013AD">
              <w:rPr>
                <w:rFonts w:eastAsia="Times New Roman" w:cs="Arial"/>
                <w:color w:val="000000"/>
                <w:szCs w:val="22"/>
                <w:lang w:eastAsia="en-GB"/>
              </w:rPr>
              <w:t>ueries</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bookmarkStart w:id="2" w:name="RANGE!C7"/>
            <w:r w:rsidRPr="00B013AD">
              <w:rPr>
                <w:rFonts w:eastAsia="Times New Roman" w:cs="Arial"/>
                <w:color w:val="000000"/>
                <w:szCs w:val="22"/>
                <w:lang w:eastAsia="en-GB"/>
              </w:rPr>
              <w:t>262</w:t>
            </w:r>
            <w:bookmarkEnd w:id="2"/>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3665A2" w:rsidP="00B013AD">
            <w:pPr>
              <w:spacing w:after="0" w:line="240" w:lineRule="auto"/>
              <w:rPr>
                <w:rFonts w:eastAsia="Times New Roman" w:cs="Arial"/>
                <w:color w:val="000000"/>
                <w:szCs w:val="22"/>
                <w:lang w:eastAsia="en-GB"/>
              </w:rPr>
            </w:pPr>
            <w:r>
              <w:rPr>
                <w:rFonts w:eastAsia="Times New Roman" w:cs="Arial"/>
                <w:color w:val="000000"/>
                <w:szCs w:val="22"/>
                <w:lang w:eastAsia="en-GB"/>
              </w:rPr>
              <w:t>In t</w:t>
            </w:r>
            <w:r w:rsidR="00B013AD" w:rsidRPr="00B013AD">
              <w:rPr>
                <w:rFonts w:eastAsia="Times New Roman" w:cs="Arial"/>
                <w:color w:val="000000"/>
                <w:szCs w:val="22"/>
                <w:lang w:eastAsia="en-GB"/>
              </w:rPr>
              <w:t>arget</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246</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3665A2" w:rsidP="00B013AD">
            <w:pPr>
              <w:spacing w:after="0" w:line="240" w:lineRule="auto"/>
              <w:rPr>
                <w:rFonts w:eastAsia="Times New Roman" w:cs="Arial"/>
                <w:color w:val="000000"/>
                <w:szCs w:val="22"/>
                <w:lang w:eastAsia="en-GB"/>
              </w:rPr>
            </w:pPr>
            <w:r>
              <w:rPr>
                <w:rFonts w:eastAsia="Times New Roman" w:cs="Arial"/>
                <w:color w:val="000000"/>
                <w:szCs w:val="22"/>
                <w:lang w:eastAsia="en-GB"/>
              </w:rPr>
              <w:t>Out of t</w:t>
            </w:r>
            <w:r w:rsidR="00B013AD" w:rsidRPr="00B013AD">
              <w:rPr>
                <w:rFonts w:eastAsia="Times New Roman" w:cs="Arial"/>
                <w:color w:val="000000"/>
                <w:szCs w:val="22"/>
                <w:lang w:eastAsia="en-GB"/>
              </w:rPr>
              <w:t>arget</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16</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rPr>
                <w:rFonts w:eastAsia="Times New Roman" w:cs="Arial"/>
                <w:color w:val="000000"/>
                <w:szCs w:val="22"/>
                <w:lang w:eastAsia="en-GB"/>
              </w:rPr>
            </w:pPr>
            <w:r w:rsidRPr="00B013AD">
              <w:rPr>
                <w:rFonts w:eastAsia="Times New Roman" w:cs="Arial"/>
                <w:color w:val="000000"/>
                <w:szCs w:val="22"/>
                <w:lang w:eastAsia="en-GB"/>
              </w:rPr>
              <w:t>Percent complete within 4 days</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94%</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3665A2" w:rsidP="00B013AD">
            <w:pPr>
              <w:spacing w:after="0" w:line="240" w:lineRule="auto"/>
              <w:rPr>
                <w:rFonts w:eastAsia="Times New Roman" w:cs="Arial"/>
                <w:color w:val="000000"/>
                <w:szCs w:val="22"/>
                <w:lang w:eastAsia="en-GB"/>
              </w:rPr>
            </w:pPr>
            <w:r>
              <w:rPr>
                <w:rFonts w:eastAsia="Times New Roman" w:cs="Arial"/>
                <w:color w:val="000000"/>
                <w:szCs w:val="22"/>
                <w:lang w:eastAsia="en-GB"/>
              </w:rPr>
              <w:t>Mean a</w:t>
            </w:r>
            <w:r w:rsidR="00B013AD" w:rsidRPr="00B013AD">
              <w:rPr>
                <w:rFonts w:eastAsia="Times New Roman" w:cs="Arial"/>
                <w:color w:val="000000"/>
                <w:szCs w:val="22"/>
                <w:lang w:eastAsia="en-GB"/>
              </w:rPr>
              <w:t>verage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1.02</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rPr>
                <w:rFonts w:eastAsia="Times New Roman" w:cs="Arial"/>
                <w:color w:val="000000"/>
                <w:szCs w:val="22"/>
                <w:lang w:eastAsia="en-GB"/>
              </w:rPr>
            </w:pPr>
            <w:r w:rsidRPr="00B013AD">
              <w:rPr>
                <w:rFonts w:eastAsia="Times New Roman" w:cs="Arial"/>
                <w:color w:val="000000"/>
                <w:szCs w:val="22"/>
                <w:lang w:eastAsia="en-GB"/>
              </w:rPr>
              <w:t>Modal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0</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rPr>
                <w:rFonts w:eastAsia="Times New Roman" w:cs="Arial"/>
                <w:color w:val="000000"/>
                <w:szCs w:val="22"/>
                <w:lang w:eastAsia="en-GB"/>
              </w:rPr>
            </w:pPr>
            <w:r w:rsidRPr="00B013AD">
              <w:rPr>
                <w:rFonts w:eastAsia="Times New Roman" w:cs="Arial"/>
                <w:color w:val="000000"/>
                <w:szCs w:val="22"/>
                <w:lang w:eastAsia="en-GB"/>
              </w:rPr>
              <w:t>Longest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28</w:t>
            </w:r>
          </w:p>
        </w:tc>
      </w:tr>
      <w:tr w:rsidR="00B013AD" w:rsidRPr="00B013AD"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rPr>
                <w:rFonts w:eastAsia="Times New Roman" w:cs="Arial"/>
                <w:color w:val="000000"/>
                <w:szCs w:val="22"/>
                <w:lang w:eastAsia="en-GB"/>
              </w:rPr>
            </w:pPr>
            <w:r w:rsidRPr="00B013AD">
              <w:rPr>
                <w:rFonts w:eastAsia="Times New Roman" w:cs="Arial"/>
                <w:color w:val="000000"/>
                <w:szCs w:val="22"/>
                <w:lang w:eastAsia="en-GB"/>
              </w:rPr>
              <w:t>Shortest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B013AD" w:rsidRDefault="00B013AD" w:rsidP="00B013AD">
            <w:pPr>
              <w:spacing w:after="0" w:line="240" w:lineRule="auto"/>
              <w:jc w:val="right"/>
              <w:rPr>
                <w:rFonts w:eastAsia="Times New Roman" w:cs="Arial"/>
                <w:color w:val="000000"/>
                <w:szCs w:val="22"/>
                <w:lang w:eastAsia="en-GB"/>
              </w:rPr>
            </w:pPr>
            <w:r w:rsidRPr="00B013AD">
              <w:rPr>
                <w:rFonts w:eastAsia="Times New Roman" w:cs="Arial"/>
                <w:color w:val="000000"/>
                <w:szCs w:val="22"/>
                <w:lang w:eastAsia="en-GB"/>
              </w:rPr>
              <w:t>0</w:t>
            </w:r>
          </w:p>
        </w:tc>
      </w:tr>
    </w:tbl>
    <w:p w:rsidR="0090610D" w:rsidRDefault="0090610D" w:rsidP="00215779">
      <w:pPr>
        <w:tabs>
          <w:tab w:val="left" w:pos="851"/>
        </w:tabs>
        <w:spacing w:before="120"/>
        <w:ind w:left="850" w:right="560"/>
      </w:pPr>
      <w:r w:rsidRPr="00215779">
        <w:rPr>
          <w:sz w:val="18"/>
        </w:rPr>
        <w:t>Please note: the apparent difference in the no. of queries received for November is due to the above figure indicating the total no. of enquiries received, while the figure included in the Queries per month table includes all traffic (where there may have been subsequent follow up emails from the enquirer)</w:t>
      </w:r>
    </w:p>
    <w:p w:rsidR="0090610D" w:rsidRDefault="0090610D" w:rsidP="0090610D"/>
    <w:p w:rsidR="00B013AD" w:rsidRDefault="0090610D" w:rsidP="00BD6824">
      <w:pPr>
        <w:pStyle w:val="ListParagraph"/>
        <w:numPr>
          <w:ilvl w:val="0"/>
          <w:numId w:val="38"/>
        </w:numPr>
        <w:tabs>
          <w:tab w:val="left" w:pos="851"/>
        </w:tabs>
        <w:spacing w:after="0"/>
        <w:ind w:left="850" w:hanging="425"/>
      </w:pPr>
      <w:r>
        <w:t xml:space="preserve">It would appear that a number of </w:t>
      </w:r>
      <w:r w:rsidR="003A4398">
        <w:t xml:space="preserve">complex queries were received, of which </w:t>
      </w:r>
      <w:r>
        <w:t xml:space="preserve">some </w:t>
      </w:r>
      <w:r w:rsidR="003A4398">
        <w:t>may have been</w:t>
      </w:r>
      <w:r>
        <w:t xml:space="preserve"> inappropriate to </w:t>
      </w:r>
      <w:r w:rsidR="003A4398">
        <w:t>manage</w:t>
      </w:r>
      <w:r>
        <w:t xml:space="preserve"> through the queries line channel.</w:t>
      </w:r>
      <w:r w:rsidR="00BD6824">
        <w:t xml:space="preserve">  A breakdown of the reasons for delay is shown below:</w:t>
      </w:r>
    </w:p>
    <w:p w:rsidR="00B013AD" w:rsidRDefault="0090610D" w:rsidP="00BD6824">
      <w:pPr>
        <w:spacing w:after="0"/>
      </w:pPr>
      <w:r>
        <w:rPr>
          <w:noProof/>
          <w:lang w:eastAsia="en-GB"/>
        </w:rPr>
        <w:drawing>
          <wp:anchor distT="0" distB="0" distL="114300" distR="114300" simplePos="0" relativeHeight="251716608" behindDoc="0" locked="0" layoutInCell="1" allowOverlap="1" wp14:anchorId="78E2501B" wp14:editId="1D280918">
            <wp:simplePos x="0" y="0"/>
            <wp:positionH relativeFrom="column">
              <wp:posOffset>818515</wp:posOffset>
            </wp:positionH>
            <wp:positionV relativeFrom="paragraph">
              <wp:posOffset>236855</wp:posOffset>
            </wp:positionV>
            <wp:extent cx="4914900" cy="3314700"/>
            <wp:effectExtent l="0" t="0" r="19050" b="1905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013AD" w:rsidRDefault="00B013AD" w:rsidP="0069051F"/>
    <w:p w:rsidR="00BD6824" w:rsidRDefault="00BD6824">
      <w:pPr>
        <w:spacing w:after="0" w:line="240" w:lineRule="auto"/>
      </w:pPr>
    </w:p>
    <w:p w:rsidR="00E80486" w:rsidRDefault="00E80486">
      <w:pPr>
        <w:spacing w:after="0" w:line="240" w:lineRule="auto"/>
      </w:pPr>
      <w:r>
        <w:br w:type="page"/>
      </w:r>
    </w:p>
    <w:p w:rsidR="00E80486" w:rsidRDefault="00E80486" w:rsidP="0069051F"/>
    <w:p w:rsidR="00B71C29" w:rsidRPr="00406B66" w:rsidRDefault="00DB1366" w:rsidP="00B71C29">
      <w:pPr>
        <w:pStyle w:val="Heading1"/>
        <w:rPr>
          <w:sz w:val="48"/>
          <w:szCs w:val="48"/>
        </w:rPr>
      </w:pPr>
      <w:r w:rsidRPr="00406B66">
        <w:rPr>
          <w:sz w:val="48"/>
          <w:szCs w:val="48"/>
        </w:rPr>
        <w:t xml:space="preserve">Section 3:  </w:t>
      </w:r>
      <w:r w:rsidR="00B71C29" w:rsidRPr="00406B66">
        <w:rPr>
          <w:sz w:val="48"/>
          <w:szCs w:val="48"/>
        </w:rPr>
        <w:t>Systems 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71C29"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71C29" w:rsidRPr="00B25DF7" w:rsidRDefault="00B71C29" w:rsidP="004621B7">
            <w:pPr>
              <w:spacing w:before="120"/>
              <w:jc w:val="left"/>
              <w:rPr>
                <w:b w:val="0"/>
                <w:color w:val="F79646" w:themeColor="accent6"/>
                <w:sz w:val="28"/>
              </w:rPr>
            </w:pPr>
            <w:r>
              <w:rPr>
                <w:b w:val="0"/>
                <w:color w:val="F79646" w:themeColor="accent6"/>
                <w:sz w:val="28"/>
              </w:rPr>
              <w:t>SYSTEMS METRICS</w:t>
            </w:r>
          </w:p>
        </w:tc>
      </w:tr>
      <w:tr w:rsidR="00B71C29" w:rsidTr="004621B7">
        <w:tc>
          <w:tcPr>
            <w:tcW w:w="10415" w:type="dxa"/>
          </w:tcPr>
          <w:p w:rsidR="00B71C29" w:rsidRPr="00B25DF7" w:rsidRDefault="00EA79CD" w:rsidP="00EA79CD">
            <w:pPr>
              <w:numPr>
                <w:ilvl w:val="0"/>
                <w:numId w:val="6"/>
              </w:numPr>
              <w:spacing w:before="120"/>
              <w:ind w:left="357" w:hanging="357"/>
              <w:rPr>
                <w:rFonts w:cs="Arial"/>
                <w:szCs w:val="22"/>
              </w:rPr>
            </w:pPr>
            <w:r>
              <w:rPr>
                <w:rFonts w:cs="Arial"/>
                <w:szCs w:val="22"/>
              </w:rPr>
              <w:t xml:space="preserve">The </w:t>
            </w:r>
            <w:r w:rsidR="008302DB">
              <w:rPr>
                <w:rFonts w:cs="Arial"/>
                <w:szCs w:val="22"/>
              </w:rPr>
              <w:t>HRA receives a separate IRAS helpdesk report and no major issues to note this year to date</w:t>
            </w:r>
          </w:p>
          <w:p w:rsidR="00B71C29" w:rsidRDefault="00EA79CD" w:rsidP="004B4042">
            <w:pPr>
              <w:numPr>
                <w:ilvl w:val="0"/>
                <w:numId w:val="6"/>
              </w:numPr>
              <w:spacing w:after="240"/>
              <w:ind w:left="357" w:hanging="357"/>
            </w:pPr>
            <w:r>
              <w:rPr>
                <w:rFonts w:cs="Arial"/>
                <w:szCs w:val="22"/>
              </w:rPr>
              <w:t xml:space="preserve">The </w:t>
            </w:r>
            <w:r w:rsidR="008302DB">
              <w:rPr>
                <w:rFonts w:cs="Arial"/>
                <w:szCs w:val="22"/>
              </w:rPr>
              <w:t xml:space="preserve">HRA </w:t>
            </w:r>
            <w:r w:rsidR="00461DC0">
              <w:rPr>
                <w:rFonts w:cs="Arial"/>
                <w:szCs w:val="22"/>
              </w:rPr>
              <w:t>has received initial performance metrics</w:t>
            </w:r>
            <w:r w:rsidR="007A1960">
              <w:rPr>
                <w:rFonts w:cs="Arial"/>
                <w:szCs w:val="22"/>
              </w:rPr>
              <w:t xml:space="preserve"> on </w:t>
            </w:r>
            <w:r w:rsidR="008302DB">
              <w:rPr>
                <w:rFonts w:cs="Arial"/>
                <w:szCs w:val="22"/>
              </w:rPr>
              <w:t xml:space="preserve">Open Service </w:t>
            </w:r>
            <w:r w:rsidR="007A1960">
              <w:rPr>
                <w:rFonts w:cs="Arial"/>
                <w:szCs w:val="22"/>
              </w:rPr>
              <w:t>(</w:t>
            </w:r>
            <w:r w:rsidR="0002651F">
              <w:rPr>
                <w:rFonts w:cs="Arial"/>
                <w:szCs w:val="22"/>
              </w:rPr>
              <w:t xml:space="preserve">DH-managed </w:t>
            </w:r>
            <w:r w:rsidR="007A1960">
              <w:rPr>
                <w:rFonts w:cs="Arial"/>
                <w:szCs w:val="22"/>
              </w:rPr>
              <w:t>IT</w:t>
            </w:r>
            <w:r w:rsidR="00461DC0">
              <w:rPr>
                <w:rFonts w:cs="Arial"/>
                <w:szCs w:val="22"/>
              </w:rPr>
              <w:t xml:space="preserve"> system</w:t>
            </w:r>
            <w:r w:rsidR="007A1960">
              <w:rPr>
                <w:rFonts w:cs="Arial"/>
                <w:szCs w:val="22"/>
              </w:rPr>
              <w:t>)</w:t>
            </w:r>
            <w:r w:rsidR="000E3974">
              <w:rPr>
                <w:rFonts w:cs="Arial"/>
                <w:szCs w:val="22"/>
              </w:rPr>
              <w:t>.  A summary of the December metrics is report</w:t>
            </w:r>
            <w:r w:rsidR="0002651F">
              <w:rPr>
                <w:rFonts w:cs="Arial"/>
                <w:szCs w:val="22"/>
              </w:rPr>
              <w:t>ed below and relate to the service delivered to the HRA</w:t>
            </w:r>
          </w:p>
        </w:tc>
      </w:tr>
    </w:tbl>
    <w:p w:rsidR="00B71C29" w:rsidRDefault="00B71C29" w:rsidP="00B71C29"/>
    <w:p w:rsidR="00B71C29" w:rsidRPr="00406B66" w:rsidRDefault="00960CF9" w:rsidP="00960CF9">
      <w:pPr>
        <w:pStyle w:val="Heading2"/>
        <w:spacing w:after="120"/>
      </w:pPr>
      <w:r>
        <w:t>Provision of the Integrated Research Application System</w:t>
      </w:r>
      <w:r w:rsidR="005C4D3F" w:rsidRPr="00406B66">
        <w:t xml:space="preserve"> </w:t>
      </w:r>
      <w:r>
        <w:t>(</w:t>
      </w:r>
      <w:r w:rsidR="005C4D3F" w:rsidRPr="00406B66">
        <w:t>IRAS</w:t>
      </w:r>
      <w:r>
        <w:t>)</w:t>
      </w:r>
    </w:p>
    <w:p w:rsidR="005C4D3F" w:rsidRDefault="005C4D3F" w:rsidP="005C4D3F">
      <w:pPr>
        <w:pStyle w:val="ListParagraph"/>
        <w:numPr>
          <w:ilvl w:val="0"/>
          <w:numId w:val="6"/>
        </w:numPr>
        <w:ind w:left="360"/>
      </w:pPr>
      <w:r>
        <w:t>100% achievement</w:t>
      </w:r>
      <w:r w:rsidR="00960CF9">
        <w:t>, with IRAS available 24 hours/day, 7 days per week</w:t>
      </w:r>
    </w:p>
    <w:p w:rsidR="005C4D3F" w:rsidRDefault="005C4D3F" w:rsidP="005C4D3F"/>
    <w:p w:rsidR="005C4D3F" w:rsidRPr="00406B66" w:rsidRDefault="00AD7918" w:rsidP="00960CF9">
      <w:pPr>
        <w:pStyle w:val="Heading2"/>
        <w:spacing w:after="120"/>
      </w:pPr>
      <w:r>
        <w:t>Provision of</w:t>
      </w:r>
      <w:r w:rsidR="005C4D3F" w:rsidRPr="00406B66">
        <w:t xml:space="preserve"> website </w:t>
      </w:r>
    </w:p>
    <w:p w:rsidR="005C4D3F" w:rsidRDefault="005C4D3F" w:rsidP="005C4D3F">
      <w:pPr>
        <w:pStyle w:val="ListParagraph"/>
        <w:numPr>
          <w:ilvl w:val="0"/>
          <w:numId w:val="6"/>
        </w:numPr>
        <w:ind w:left="360"/>
      </w:pPr>
      <w:r>
        <w:t>100% achievement</w:t>
      </w:r>
      <w:r w:rsidR="00960CF9">
        <w:t xml:space="preserve">, with the </w:t>
      </w:r>
      <w:r w:rsidR="00AD7918">
        <w:t xml:space="preserve">current </w:t>
      </w:r>
      <w:r w:rsidR="00960CF9">
        <w:t>website available 24 hours/day, 7 days per week</w:t>
      </w:r>
    </w:p>
    <w:p w:rsidR="005C4D3F" w:rsidRDefault="005C4D3F" w:rsidP="005C4D3F"/>
    <w:p w:rsidR="000E3974" w:rsidRDefault="000E3974" w:rsidP="004B4042">
      <w:pPr>
        <w:pStyle w:val="Heading2"/>
        <w:spacing w:after="240"/>
      </w:pPr>
      <w:r>
        <w:t>Open Service dashboard</w:t>
      </w:r>
      <w:r w:rsidRPr="00406B6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D11EB" w:rsidTr="004D11EB">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4D11EB" w:rsidRDefault="004D11EB" w:rsidP="00EF0405">
            <w:pPr>
              <w:spacing w:before="0" w:after="0" w:line="240" w:lineRule="auto"/>
            </w:pPr>
            <w:r>
              <w:rPr>
                <w:noProof/>
                <w:lang w:eastAsia="en-GB"/>
              </w:rPr>
              <w:drawing>
                <wp:anchor distT="0" distB="0" distL="114300" distR="114300" simplePos="0" relativeHeight="251726848" behindDoc="0" locked="0" layoutInCell="1" allowOverlap="1" wp14:anchorId="23F1A162" wp14:editId="07C8E0E8">
                  <wp:simplePos x="0" y="0"/>
                  <wp:positionH relativeFrom="column">
                    <wp:posOffset>1342390</wp:posOffset>
                  </wp:positionH>
                  <wp:positionV relativeFrom="paragraph">
                    <wp:posOffset>124460</wp:posOffset>
                  </wp:positionV>
                  <wp:extent cx="3800475" cy="2714625"/>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r>
    </w:tbl>
    <w:p w:rsidR="004B4042" w:rsidRDefault="004B404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D11EB" w:rsidTr="004B4042">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tbl>
            <w:tblPr>
              <w:tblW w:w="7140" w:type="dxa"/>
              <w:jc w:val="center"/>
              <w:tblInd w:w="103" w:type="dxa"/>
              <w:tblLook w:val="04A0" w:firstRow="1" w:lastRow="0" w:firstColumn="1" w:lastColumn="0" w:noHBand="0" w:noVBand="1"/>
            </w:tblPr>
            <w:tblGrid>
              <w:gridCol w:w="2203"/>
              <w:gridCol w:w="1020"/>
              <w:gridCol w:w="1183"/>
              <w:gridCol w:w="1439"/>
              <w:gridCol w:w="1295"/>
            </w:tblGrid>
            <w:tr w:rsidR="004D11EB" w:rsidRPr="000E3974" w:rsidTr="00EF0405">
              <w:trPr>
                <w:trHeight w:val="600"/>
                <w:jc w:val="center"/>
              </w:trPr>
              <w:tc>
                <w:tcPr>
                  <w:tcW w:w="2203"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rsidR="004D11EB" w:rsidRPr="000E3974" w:rsidRDefault="004D11EB" w:rsidP="00EF0405">
                  <w:pPr>
                    <w:spacing w:after="0" w:line="240" w:lineRule="auto"/>
                    <w:jc w:val="center"/>
                    <w:rPr>
                      <w:rFonts w:eastAsia="Times New Roman" w:cs="Arial"/>
                      <w:b/>
                      <w:bCs/>
                      <w:color w:val="FFFFFF"/>
                      <w:sz w:val="20"/>
                      <w:szCs w:val="20"/>
                      <w:lang w:eastAsia="en-GB"/>
                    </w:rPr>
                  </w:pPr>
                  <w:r w:rsidRPr="000E3974">
                    <w:rPr>
                      <w:rFonts w:eastAsia="Times New Roman" w:cs="Arial"/>
                      <w:b/>
                      <w:bCs/>
                      <w:color w:val="FFFFFF"/>
                      <w:sz w:val="20"/>
                      <w:szCs w:val="20"/>
                      <w:lang w:eastAsia="en-GB"/>
                    </w:rPr>
                    <w:lastRenderedPageBreak/>
                    <w:t>Main SLAs/KPIs</w:t>
                  </w:r>
                </w:p>
              </w:tc>
              <w:tc>
                <w:tcPr>
                  <w:tcW w:w="1020" w:type="dxa"/>
                  <w:tcBorders>
                    <w:top w:val="single" w:sz="4" w:space="0" w:color="C00000"/>
                    <w:left w:val="nil"/>
                    <w:bottom w:val="single" w:sz="4" w:space="0" w:color="C00000"/>
                    <w:right w:val="single" w:sz="4" w:space="0" w:color="C00000"/>
                  </w:tcBorders>
                  <w:shd w:val="clear" w:color="000000" w:fill="C00000"/>
                  <w:vAlign w:val="center"/>
                  <w:hideMark/>
                </w:tcPr>
                <w:p w:rsidR="004D11EB" w:rsidRPr="000E3974" w:rsidRDefault="004D11EB" w:rsidP="00EF0405">
                  <w:pPr>
                    <w:spacing w:after="0" w:line="240" w:lineRule="auto"/>
                    <w:jc w:val="center"/>
                    <w:rPr>
                      <w:rFonts w:eastAsia="Times New Roman" w:cs="Arial"/>
                      <w:b/>
                      <w:bCs/>
                      <w:color w:val="FFFFFF"/>
                      <w:sz w:val="20"/>
                      <w:szCs w:val="20"/>
                      <w:lang w:eastAsia="en-GB"/>
                    </w:rPr>
                  </w:pPr>
                  <w:r w:rsidRPr="000E3974">
                    <w:rPr>
                      <w:rFonts w:eastAsia="Times New Roman" w:cs="Arial"/>
                      <w:b/>
                      <w:bCs/>
                      <w:color w:val="FFFFFF"/>
                      <w:sz w:val="20"/>
                      <w:szCs w:val="20"/>
                      <w:lang w:eastAsia="en-GB"/>
                    </w:rPr>
                    <w:t>Target</w:t>
                  </w:r>
                </w:p>
              </w:tc>
              <w:tc>
                <w:tcPr>
                  <w:tcW w:w="1183" w:type="dxa"/>
                  <w:tcBorders>
                    <w:top w:val="single" w:sz="4" w:space="0" w:color="C00000"/>
                    <w:left w:val="nil"/>
                    <w:bottom w:val="single" w:sz="4" w:space="0" w:color="C00000"/>
                    <w:right w:val="nil"/>
                  </w:tcBorders>
                  <w:shd w:val="clear" w:color="000000" w:fill="C00000"/>
                  <w:vAlign w:val="center"/>
                  <w:hideMark/>
                </w:tcPr>
                <w:p w:rsidR="004D11EB" w:rsidRPr="000E3974" w:rsidRDefault="004D11EB" w:rsidP="00EF0405">
                  <w:pPr>
                    <w:spacing w:after="0" w:line="240" w:lineRule="auto"/>
                    <w:jc w:val="center"/>
                    <w:rPr>
                      <w:rFonts w:eastAsia="Times New Roman" w:cs="Arial"/>
                      <w:b/>
                      <w:bCs/>
                      <w:color w:val="FFFFFF"/>
                      <w:sz w:val="20"/>
                      <w:szCs w:val="20"/>
                      <w:lang w:eastAsia="en-GB"/>
                    </w:rPr>
                  </w:pPr>
                  <w:proofErr w:type="spellStart"/>
                  <w:r w:rsidRPr="000E3974">
                    <w:rPr>
                      <w:rFonts w:eastAsia="Times New Roman" w:cs="Arial"/>
                      <w:b/>
                      <w:bCs/>
                      <w:color w:val="FFFFFF"/>
                      <w:sz w:val="20"/>
                      <w:szCs w:val="20"/>
                      <w:lang w:eastAsia="en-GB"/>
                    </w:rPr>
                    <w:t>Perf</w:t>
                  </w:r>
                  <w:proofErr w:type="spellEnd"/>
                  <w:r w:rsidRPr="000E3974">
                    <w:rPr>
                      <w:rFonts w:eastAsia="Times New Roman" w:cs="Arial"/>
                      <w:b/>
                      <w:bCs/>
                      <w:color w:val="FFFFFF"/>
                      <w:sz w:val="20"/>
                      <w:szCs w:val="20"/>
                      <w:lang w:eastAsia="en-GB"/>
                    </w:rPr>
                    <w:t>. Threshold</w:t>
                  </w:r>
                </w:p>
              </w:tc>
              <w:tc>
                <w:tcPr>
                  <w:tcW w:w="1439"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rsidR="004D11EB" w:rsidRPr="000E3974" w:rsidRDefault="004D11EB" w:rsidP="00EF0405">
                  <w:pPr>
                    <w:spacing w:after="0" w:line="240" w:lineRule="auto"/>
                    <w:jc w:val="center"/>
                    <w:rPr>
                      <w:rFonts w:eastAsia="Times New Roman" w:cs="Arial"/>
                      <w:b/>
                      <w:bCs/>
                      <w:color w:val="FFFFFF"/>
                      <w:sz w:val="20"/>
                      <w:szCs w:val="20"/>
                      <w:lang w:eastAsia="en-GB"/>
                    </w:rPr>
                  </w:pPr>
                  <w:r w:rsidRPr="000E3974">
                    <w:rPr>
                      <w:rFonts w:eastAsia="Times New Roman" w:cs="Arial"/>
                      <w:b/>
                      <w:bCs/>
                      <w:color w:val="FFFFFF"/>
                      <w:sz w:val="20"/>
                      <w:szCs w:val="20"/>
                      <w:lang w:eastAsia="en-GB"/>
                    </w:rPr>
                    <w:t>Performance</w:t>
                  </w:r>
                </w:p>
              </w:tc>
              <w:tc>
                <w:tcPr>
                  <w:tcW w:w="1295" w:type="dxa"/>
                  <w:tcBorders>
                    <w:top w:val="single" w:sz="4" w:space="0" w:color="C00000"/>
                    <w:left w:val="nil"/>
                    <w:bottom w:val="single" w:sz="4" w:space="0" w:color="C00000"/>
                    <w:right w:val="single" w:sz="4" w:space="0" w:color="C00000"/>
                  </w:tcBorders>
                  <w:shd w:val="clear" w:color="000000" w:fill="C00000"/>
                  <w:vAlign w:val="center"/>
                  <w:hideMark/>
                </w:tcPr>
                <w:p w:rsidR="004D11EB" w:rsidRPr="000E3974" w:rsidRDefault="004D11EB" w:rsidP="00EF0405">
                  <w:pPr>
                    <w:spacing w:after="0" w:line="240" w:lineRule="auto"/>
                    <w:jc w:val="center"/>
                    <w:rPr>
                      <w:rFonts w:eastAsia="Times New Roman" w:cs="Arial"/>
                      <w:b/>
                      <w:bCs/>
                      <w:color w:val="FFFFFF"/>
                      <w:sz w:val="20"/>
                      <w:szCs w:val="20"/>
                      <w:lang w:eastAsia="en-GB"/>
                    </w:rPr>
                  </w:pPr>
                  <w:r w:rsidRPr="000E3974">
                    <w:rPr>
                      <w:rFonts w:eastAsia="Times New Roman" w:cs="Arial"/>
                      <w:b/>
                      <w:bCs/>
                      <w:color w:val="FFFFFF"/>
                      <w:sz w:val="20"/>
                      <w:szCs w:val="20"/>
                      <w:lang w:eastAsia="en-GB"/>
                    </w:rPr>
                    <w:t>Missed/Met</w:t>
                  </w:r>
                </w:p>
              </w:tc>
            </w:tr>
            <w:tr w:rsidR="004D11EB" w:rsidRPr="000E3974" w:rsidTr="00EF0405">
              <w:trPr>
                <w:trHeight w:val="811"/>
                <w:jc w:val="center"/>
              </w:trPr>
              <w:tc>
                <w:tcPr>
                  <w:tcW w:w="2203" w:type="dxa"/>
                  <w:tcBorders>
                    <w:top w:val="nil"/>
                    <w:left w:val="single" w:sz="4" w:space="0" w:color="C00000"/>
                    <w:bottom w:val="single" w:sz="4" w:space="0" w:color="C00000"/>
                    <w:right w:val="single" w:sz="4" w:space="0" w:color="C00000"/>
                  </w:tcBorders>
                  <w:shd w:val="clear" w:color="F2DCDB" w:fill="F2DCDB"/>
                  <w:vAlign w:val="center"/>
                  <w:hideMark/>
                </w:tcPr>
                <w:p w:rsidR="004D11EB" w:rsidRPr="000E3974" w:rsidRDefault="004D11EB" w:rsidP="00EF0405">
                  <w:pPr>
                    <w:spacing w:after="0" w:line="240" w:lineRule="auto"/>
                    <w:rPr>
                      <w:rFonts w:eastAsia="Times New Roman" w:cs="Arial"/>
                      <w:color w:val="000000"/>
                      <w:sz w:val="20"/>
                      <w:szCs w:val="20"/>
                      <w:lang w:eastAsia="en-GB"/>
                    </w:rPr>
                  </w:pPr>
                  <w:r w:rsidRPr="000E3974">
                    <w:rPr>
                      <w:rFonts w:eastAsia="Times New Roman" w:cs="Arial"/>
                      <w:color w:val="000000"/>
                      <w:sz w:val="20"/>
                      <w:szCs w:val="20"/>
                      <w:lang w:eastAsia="en-GB"/>
                    </w:rPr>
                    <w:t>Call Answering - Average Wait Time (seconds)</w:t>
                  </w:r>
                </w:p>
              </w:tc>
              <w:tc>
                <w:tcPr>
                  <w:tcW w:w="1020" w:type="dxa"/>
                  <w:tcBorders>
                    <w:top w:val="nil"/>
                    <w:left w:val="nil"/>
                    <w:bottom w:val="single" w:sz="4" w:space="0" w:color="C00000"/>
                    <w:right w:val="single" w:sz="4" w:space="0" w:color="C00000"/>
                  </w:tcBorders>
                  <w:shd w:val="clear" w:color="F2DCDB" w:fill="F2DCDB"/>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20</w:t>
                  </w:r>
                </w:p>
              </w:tc>
              <w:tc>
                <w:tcPr>
                  <w:tcW w:w="1183" w:type="dxa"/>
                  <w:tcBorders>
                    <w:top w:val="nil"/>
                    <w:left w:val="nil"/>
                    <w:bottom w:val="nil"/>
                    <w:right w:val="nil"/>
                  </w:tcBorders>
                  <w:shd w:val="clear" w:color="F2DCDB" w:fill="F2DCDB"/>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97%</w:t>
                  </w:r>
                </w:p>
              </w:tc>
              <w:tc>
                <w:tcPr>
                  <w:tcW w:w="1439" w:type="dxa"/>
                  <w:tcBorders>
                    <w:top w:val="nil"/>
                    <w:left w:val="single" w:sz="4" w:space="0" w:color="C00000"/>
                    <w:bottom w:val="nil"/>
                    <w:right w:val="single" w:sz="4" w:space="0" w:color="C00000"/>
                  </w:tcBorders>
                  <w:shd w:val="clear" w:color="000000" w:fill="F2DCDB"/>
                  <w:vAlign w:val="center"/>
                  <w:hideMark/>
                </w:tcPr>
                <w:p w:rsidR="004D11EB" w:rsidRPr="000E3974" w:rsidRDefault="004D11EB" w:rsidP="00EF0405">
                  <w:pPr>
                    <w:spacing w:after="0" w:line="240" w:lineRule="auto"/>
                    <w:jc w:val="center"/>
                    <w:rPr>
                      <w:rFonts w:eastAsia="Times New Roman" w:cs="Arial"/>
                      <w:sz w:val="20"/>
                      <w:szCs w:val="20"/>
                      <w:lang w:eastAsia="en-GB"/>
                    </w:rPr>
                  </w:pPr>
                  <w:r w:rsidRPr="000E3974">
                    <w:rPr>
                      <w:rFonts w:eastAsia="Times New Roman" w:cs="Arial"/>
                      <w:sz w:val="20"/>
                      <w:szCs w:val="20"/>
                      <w:lang w:eastAsia="en-GB"/>
                    </w:rPr>
                    <w:t>79.3%</w:t>
                  </w:r>
                </w:p>
              </w:tc>
              <w:tc>
                <w:tcPr>
                  <w:tcW w:w="1295" w:type="dxa"/>
                  <w:tcBorders>
                    <w:top w:val="nil"/>
                    <w:left w:val="nil"/>
                    <w:bottom w:val="nil"/>
                    <w:right w:val="single" w:sz="4" w:space="0" w:color="C00000"/>
                  </w:tcBorders>
                  <w:shd w:val="clear" w:color="F2DCDB" w:fill="F2DCDB"/>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Missed</w:t>
                  </w:r>
                </w:p>
              </w:tc>
            </w:tr>
            <w:tr w:rsidR="004D11EB" w:rsidRPr="000E3974" w:rsidTr="00EF0405">
              <w:trPr>
                <w:trHeight w:val="690"/>
                <w:jc w:val="center"/>
              </w:trPr>
              <w:tc>
                <w:tcPr>
                  <w:tcW w:w="2203" w:type="dxa"/>
                  <w:tcBorders>
                    <w:top w:val="nil"/>
                    <w:left w:val="single" w:sz="4" w:space="0" w:color="C00000"/>
                    <w:bottom w:val="single" w:sz="4" w:space="0" w:color="C00000"/>
                    <w:right w:val="single" w:sz="4" w:space="0" w:color="C00000"/>
                  </w:tcBorders>
                  <w:shd w:val="clear" w:color="auto" w:fill="auto"/>
                  <w:vAlign w:val="center"/>
                  <w:hideMark/>
                </w:tcPr>
                <w:p w:rsidR="004D11EB" w:rsidRPr="000E3974" w:rsidRDefault="004D11EB" w:rsidP="00EF0405">
                  <w:pPr>
                    <w:spacing w:after="0" w:line="240" w:lineRule="auto"/>
                    <w:rPr>
                      <w:rFonts w:eastAsia="Times New Roman" w:cs="Arial"/>
                      <w:color w:val="000000"/>
                      <w:sz w:val="20"/>
                      <w:szCs w:val="20"/>
                      <w:lang w:eastAsia="en-GB"/>
                    </w:rPr>
                  </w:pPr>
                  <w:r w:rsidRPr="000E3974">
                    <w:rPr>
                      <w:rFonts w:eastAsia="Times New Roman" w:cs="Arial"/>
                      <w:color w:val="000000"/>
                      <w:sz w:val="20"/>
                      <w:szCs w:val="20"/>
                      <w:lang w:eastAsia="en-GB"/>
                    </w:rPr>
                    <w:t>First Call Resolution (%)</w:t>
                  </w:r>
                </w:p>
              </w:tc>
              <w:tc>
                <w:tcPr>
                  <w:tcW w:w="1020" w:type="dxa"/>
                  <w:tcBorders>
                    <w:top w:val="nil"/>
                    <w:left w:val="nil"/>
                    <w:bottom w:val="single" w:sz="4" w:space="0" w:color="C00000"/>
                    <w:right w:val="nil"/>
                  </w:tcBorders>
                  <w:shd w:val="clear" w:color="auto" w:fill="auto"/>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70</w:t>
                  </w:r>
                </w:p>
              </w:tc>
              <w:tc>
                <w:tcPr>
                  <w:tcW w:w="1183" w:type="dxa"/>
                  <w:tcBorders>
                    <w:top w:val="single" w:sz="4" w:space="0" w:color="C00000"/>
                    <w:left w:val="single" w:sz="4" w:space="0" w:color="C00000"/>
                    <w:bottom w:val="single" w:sz="4" w:space="0" w:color="C00000"/>
                    <w:right w:val="nil"/>
                  </w:tcBorders>
                  <w:shd w:val="clear" w:color="auto" w:fill="auto"/>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70%</w:t>
                  </w:r>
                </w:p>
              </w:tc>
              <w:tc>
                <w:tcPr>
                  <w:tcW w:w="1439" w:type="dxa"/>
                  <w:tcBorders>
                    <w:top w:val="single" w:sz="4" w:space="0" w:color="C00000"/>
                    <w:left w:val="single" w:sz="4" w:space="0" w:color="C00000"/>
                    <w:bottom w:val="single" w:sz="4" w:space="0" w:color="C00000"/>
                    <w:right w:val="single" w:sz="4" w:space="0" w:color="C00000"/>
                  </w:tcBorders>
                  <w:shd w:val="clear" w:color="F2DCDB" w:fill="FFFFFF"/>
                  <w:vAlign w:val="center"/>
                  <w:hideMark/>
                </w:tcPr>
                <w:p w:rsidR="004D11EB" w:rsidRPr="000E3974" w:rsidRDefault="004D11EB" w:rsidP="00EF0405">
                  <w:pPr>
                    <w:spacing w:after="0" w:line="240" w:lineRule="auto"/>
                    <w:jc w:val="center"/>
                    <w:rPr>
                      <w:rFonts w:eastAsia="Times New Roman" w:cs="Arial"/>
                      <w:sz w:val="20"/>
                      <w:szCs w:val="20"/>
                      <w:lang w:eastAsia="en-GB"/>
                    </w:rPr>
                  </w:pPr>
                  <w:r w:rsidRPr="000E3974">
                    <w:rPr>
                      <w:rFonts w:eastAsia="Times New Roman" w:cs="Arial"/>
                      <w:sz w:val="20"/>
                      <w:szCs w:val="20"/>
                      <w:lang w:eastAsia="en-GB"/>
                    </w:rPr>
                    <w:t>42.5%</w:t>
                  </w:r>
                </w:p>
              </w:tc>
              <w:tc>
                <w:tcPr>
                  <w:tcW w:w="1295" w:type="dxa"/>
                  <w:tcBorders>
                    <w:top w:val="single" w:sz="4" w:space="0" w:color="C00000"/>
                    <w:left w:val="nil"/>
                    <w:bottom w:val="single" w:sz="4" w:space="0" w:color="C00000"/>
                    <w:right w:val="single" w:sz="4" w:space="0" w:color="C00000"/>
                  </w:tcBorders>
                  <w:shd w:val="clear" w:color="auto" w:fill="auto"/>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Missed</w:t>
                  </w:r>
                </w:p>
              </w:tc>
            </w:tr>
            <w:tr w:rsidR="004D11EB" w:rsidRPr="000E3974" w:rsidTr="00EF0405">
              <w:trPr>
                <w:trHeight w:val="705"/>
                <w:jc w:val="center"/>
              </w:trPr>
              <w:tc>
                <w:tcPr>
                  <w:tcW w:w="2203" w:type="dxa"/>
                  <w:tcBorders>
                    <w:top w:val="nil"/>
                    <w:left w:val="single" w:sz="4" w:space="0" w:color="C00000"/>
                    <w:bottom w:val="single" w:sz="4" w:space="0" w:color="C00000"/>
                    <w:right w:val="single" w:sz="4" w:space="0" w:color="C00000"/>
                  </w:tcBorders>
                  <w:shd w:val="clear" w:color="000000" w:fill="F2DCDB"/>
                  <w:vAlign w:val="center"/>
                  <w:hideMark/>
                </w:tcPr>
                <w:p w:rsidR="004D11EB" w:rsidRPr="000E3974" w:rsidRDefault="004D11EB" w:rsidP="00EF0405">
                  <w:pPr>
                    <w:spacing w:after="0" w:line="240" w:lineRule="auto"/>
                    <w:rPr>
                      <w:rFonts w:eastAsia="Times New Roman" w:cs="Arial"/>
                      <w:color w:val="000000"/>
                      <w:sz w:val="20"/>
                      <w:szCs w:val="20"/>
                      <w:lang w:eastAsia="en-GB"/>
                    </w:rPr>
                  </w:pPr>
                  <w:r w:rsidRPr="000E3974">
                    <w:rPr>
                      <w:rFonts w:eastAsia="Times New Roman" w:cs="Arial"/>
                      <w:color w:val="000000"/>
                      <w:sz w:val="20"/>
                      <w:szCs w:val="20"/>
                      <w:lang w:eastAsia="en-GB"/>
                    </w:rPr>
                    <w:t xml:space="preserve">Incident Resolution - Priority 1 (core hours) </w:t>
                  </w:r>
                </w:p>
              </w:tc>
              <w:tc>
                <w:tcPr>
                  <w:tcW w:w="1020" w:type="dxa"/>
                  <w:tcBorders>
                    <w:top w:val="nil"/>
                    <w:left w:val="nil"/>
                    <w:bottom w:val="single" w:sz="4" w:space="0" w:color="C00000"/>
                    <w:right w:val="nil"/>
                  </w:tcBorders>
                  <w:shd w:val="clear" w:color="000000" w:fill="F2DCDB"/>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24</w:t>
                  </w:r>
                </w:p>
              </w:tc>
              <w:tc>
                <w:tcPr>
                  <w:tcW w:w="1183" w:type="dxa"/>
                  <w:tcBorders>
                    <w:top w:val="nil"/>
                    <w:left w:val="single" w:sz="4" w:space="0" w:color="C00000"/>
                    <w:bottom w:val="single" w:sz="4" w:space="0" w:color="C00000"/>
                    <w:right w:val="single" w:sz="4" w:space="0" w:color="C00000"/>
                  </w:tcBorders>
                  <w:shd w:val="clear" w:color="000000" w:fill="F2DCDB"/>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95%</w:t>
                  </w:r>
                </w:p>
              </w:tc>
              <w:tc>
                <w:tcPr>
                  <w:tcW w:w="1439" w:type="dxa"/>
                  <w:tcBorders>
                    <w:top w:val="nil"/>
                    <w:left w:val="nil"/>
                    <w:bottom w:val="single" w:sz="4" w:space="0" w:color="C00000"/>
                    <w:right w:val="nil"/>
                  </w:tcBorders>
                  <w:shd w:val="clear" w:color="000000" w:fill="F2DCDB"/>
                  <w:noWrap/>
                  <w:vAlign w:val="center"/>
                  <w:hideMark/>
                </w:tcPr>
                <w:p w:rsidR="004D11EB" w:rsidRPr="000E3974" w:rsidRDefault="004D11EB" w:rsidP="00EF0405">
                  <w:pPr>
                    <w:spacing w:after="0" w:line="240" w:lineRule="auto"/>
                    <w:jc w:val="center"/>
                    <w:rPr>
                      <w:rFonts w:eastAsia="Times New Roman" w:cs="Arial"/>
                      <w:sz w:val="20"/>
                      <w:szCs w:val="20"/>
                      <w:lang w:eastAsia="en-GB"/>
                    </w:rPr>
                  </w:pPr>
                  <w:r w:rsidRPr="000E3974">
                    <w:rPr>
                      <w:rFonts w:eastAsia="Times New Roman" w:cs="Arial"/>
                      <w:sz w:val="20"/>
                      <w:szCs w:val="20"/>
                      <w:lang w:eastAsia="en-GB"/>
                    </w:rPr>
                    <w:t>67%</w:t>
                  </w:r>
                </w:p>
              </w:tc>
              <w:tc>
                <w:tcPr>
                  <w:tcW w:w="1295" w:type="dxa"/>
                  <w:tcBorders>
                    <w:top w:val="nil"/>
                    <w:left w:val="single" w:sz="4" w:space="0" w:color="C00000"/>
                    <w:bottom w:val="single" w:sz="4" w:space="0" w:color="C00000"/>
                    <w:right w:val="single" w:sz="4" w:space="0" w:color="C00000"/>
                  </w:tcBorders>
                  <w:shd w:val="clear" w:color="000000" w:fill="F2DCDB"/>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Missed</w:t>
                  </w:r>
                </w:p>
              </w:tc>
            </w:tr>
            <w:tr w:rsidR="004D11EB" w:rsidRPr="000E3974" w:rsidTr="00EF0405">
              <w:trPr>
                <w:trHeight w:val="715"/>
                <w:jc w:val="center"/>
              </w:trPr>
              <w:tc>
                <w:tcPr>
                  <w:tcW w:w="2203" w:type="dxa"/>
                  <w:tcBorders>
                    <w:top w:val="nil"/>
                    <w:left w:val="single" w:sz="4" w:space="0" w:color="C00000"/>
                    <w:bottom w:val="single" w:sz="4" w:space="0" w:color="C00000"/>
                    <w:right w:val="single" w:sz="4" w:space="0" w:color="C00000"/>
                  </w:tcBorders>
                  <w:shd w:val="clear" w:color="auto" w:fill="auto"/>
                  <w:vAlign w:val="center"/>
                  <w:hideMark/>
                </w:tcPr>
                <w:p w:rsidR="004D11EB" w:rsidRPr="000E3974" w:rsidRDefault="004D11EB" w:rsidP="00EF0405">
                  <w:pPr>
                    <w:spacing w:after="0" w:line="240" w:lineRule="auto"/>
                    <w:rPr>
                      <w:rFonts w:eastAsia="Times New Roman" w:cs="Arial"/>
                      <w:color w:val="000000"/>
                      <w:sz w:val="20"/>
                      <w:szCs w:val="20"/>
                      <w:lang w:eastAsia="en-GB"/>
                    </w:rPr>
                  </w:pPr>
                  <w:r w:rsidRPr="000E3974">
                    <w:rPr>
                      <w:rFonts w:eastAsia="Times New Roman" w:cs="Arial"/>
                      <w:color w:val="000000"/>
                      <w:sz w:val="20"/>
                      <w:szCs w:val="20"/>
                      <w:lang w:eastAsia="en-GB"/>
                    </w:rPr>
                    <w:t>Request Type 1 (core hours)</w:t>
                  </w:r>
                </w:p>
              </w:tc>
              <w:tc>
                <w:tcPr>
                  <w:tcW w:w="1020" w:type="dxa"/>
                  <w:tcBorders>
                    <w:top w:val="nil"/>
                    <w:left w:val="nil"/>
                    <w:bottom w:val="nil"/>
                    <w:right w:val="nil"/>
                  </w:tcBorders>
                  <w:shd w:val="clear" w:color="000000" w:fill="FFFFFF"/>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12</w:t>
                  </w:r>
                </w:p>
              </w:tc>
              <w:tc>
                <w:tcPr>
                  <w:tcW w:w="1183" w:type="dxa"/>
                  <w:tcBorders>
                    <w:top w:val="nil"/>
                    <w:left w:val="single" w:sz="4" w:space="0" w:color="C00000"/>
                    <w:bottom w:val="single" w:sz="4" w:space="0" w:color="C00000"/>
                    <w:right w:val="single" w:sz="4" w:space="0" w:color="4F81BD"/>
                  </w:tcBorders>
                  <w:shd w:val="clear" w:color="000000" w:fill="FFFFFF"/>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99%</w:t>
                  </w:r>
                </w:p>
              </w:tc>
              <w:tc>
                <w:tcPr>
                  <w:tcW w:w="1439" w:type="dxa"/>
                  <w:tcBorders>
                    <w:top w:val="nil"/>
                    <w:left w:val="nil"/>
                    <w:bottom w:val="single" w:sz="4" w:space="0" w:color="C00000"/>
                    <w:right w:val="nil"/>
                  </w:tcBorders>
                  <w:shd w:val="clear" w:color="000000" w:fill="FFFFFF"/>
                  <w:noWrap/>
                  <w:vAlign w:val="center"/>
                  <w:hideMark/>
                </w:tcPr>
                <w:p w:rsidR="004D11EB" w:rsidRPr="000E3974" w:rsidRDefault="004D11EB" w:rsidP="00EF0405">
                  <w:pPr>
                    <w:spacing w:after="0" w:line="240" w:lineRule="auto"/>
                    <w:jc w:val="center"/>
                    <w:rPr>
                      <w:rFonts w:eastAsia="Times New Roman" w:cs="Arial"/>
                      <w:sz w:val="20"/>
                      <w:szCs w:val="20"/>
                      <w:lang w:eastAsia="en-GB"/>
                    </w:rPr>
                  </w:pPr>
                  <w:r w:rsidRPr="000E3974">
                    <w:rPr>
                      <w:rFonts w:eastAsia="Times New Roman" w:cs="Arial"/>
                      <w:sz w:val="20"/>
                      <w:szCs w:val="20"/>
                      <w:lang w:eastAsia="en-GB"/>
                    </w:rPr>
                    <w:t>90%</w:t>
                  </w:r>
                </w:p>
              </w:tc>
              <w:tc>
                <w:tcPr>
                  <w:tcW w:w="1295" w:type="dxa"/>
                  <w:tcBorders>
                    <w:top w:val="nil"/>
                    <w:left w:val="single" w:sz="4" w:space="0" w:color="C00000"/>
                    <w:bottom w:val="single" w:sz="4" w:space="0" w:color="C00000"/>
                    <w:right w:val="single" w:sz="4" w:space="0" w:color="C00000"/>
                  </w:tcBorders>
                  <w:shd w:val="clear" w:color="000000" w:fill="FFFFFF"/>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Missed</w:t>
                  </w:r>
                </w:p>
              </w:tc>
            </w:tr>
            <w:tr w:rsidR="004D11EB" w:rsidRPr="000E3974" w:rsidTr="00EF0405">
              <w:trPr>
                <w:trHeight w:val="541"/>
                <w:jc w:val="center"/>
              </w:trPr>
              <w:tc>
                <w:tcPr>
                  <w:tcW w:w="2203" w:type="dxa"/>
                  <w:tcBorders>
                    <w:top w:val="nil"/>
                    <w:left w:val="single" w:sz="4" w:space="0" w:color="C00000"/>
                    <w:bottom w:val="single" w:sz="4" w:space="0" w:color="C00000"/>
                    <w:right w:val="single" w:sz="4" w:space="0" w:color="C00000"/>
                  </w:tcBorders>
                  <w:shd w:val="clear" w:color="000000" w:fill="F2DCDB"/>
                  <w:vAlign w:val="center"/>
                  <w:hideMark/>
                </w:tcPr>
                <w:p w:rsidR="004D11EB" w:rsidRPr="000E3974" w:rsidRDefault="004D11EB" w:rsidP="00EF0405">
                  <w:pPr>
                    <w:spacing w:after="0" w:line="240" w:lineRule="auto"/>
                    <w:rPr>
                      <w:rFonts w:eastAsia="Times New Roman" w:cs="Arial"/>
                      <w:color w:val="000000"/>
                      <w:sz w:val="20"/>
                      <w:szCs w:val="20"/>
                      <w:lang w:eastAsia="en-GB"/>
                    </w:rPr>
                  </w:pPr>
                  <w:r w:rsidRPr="000E3974">
                    <w:rPr>
                      <w:rFonts w:eastAsia="Times New Roman" w:cs="Arial"/>
                      <w:color w:val="000000"/>
                      <w:sz w:val="20"/>
                      <w:szCs w:val="20"/>
                      <w:lang w:eastAsia="en-GB"/>
                    </w:rPr>
                    <w:t>Aged Incidents (%)</w:t>
                  </w:r>
                </w:p>
              </w:tc>
              <w:tc>
                <w:tcPr>
                  <w:tcW w:w="1020" w:type="dxa"/>
                  <w:tcBorders>
                    <w:top w:val="single" w:sz="4" w:space="0" w:color="C00000"/>
                    <w:left w:val="nil"/>
                    <w:bottom w:val="single" w:sz="4" w:space="0" w:color="C00000"/>
                    <w:right w:val="single" w:sz="4" w:space="0" w:color="C00000"/>
                  </w:tcBorders>
                  <w:shd w:val="clear" w:color="000000" w:fill="F2DCDB"/>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5</w:t>
                  </w:r>
                </w:p>
              </w:tc>
              <w:tc>
                <w:tcPr>
                  <w:tcW w:w="1183" w:type="dxa"/>
                  <w:tcBorders>
                    <w:top w:val="nil"/>
                    <w:left w:val="nil"/>
                    <w:bottom w:val="single" w:sz="4" w:space="0" w:color="C00000"/>
                    <w:right w:val="single" w:sz="4" w:space="0" w:color="C00000"/>
                  </w:tcBorders>
                  <w:shd w:val="clear" w:color="000000" w:fill="F2DCDB"/>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95%</w:t>
                  </w:r>
                </w:p>
              </w:tc>
              <w:tc>
                <w:tcPr>
                  <w:tcW w:w="1439" w:type="dxa"/>
                  <w:tcBorders>
                    <w:top w:val="nil"/>
                    <w:left w:val="nil"/>
                    <w:bottom w:val="single" w:sz="4" w:space="0" w:color="C00000"/>
                    <w:right w:val="nil"/>
                  </w:tcBorders>
                  <w:shd w:val="clear" w:color="000000" w:fill="F2DCDB"/>
                  <w:noWrap/>
                  <w:vAlign w:val="center"/>
                  <w:hideMark/>
                </w:tcPr>
                <w:p w:rsidR="004D11EB" w:rsidRPr="000E3974" w:rsidRDefault="004D11EB" w:rsidP="00EF0405">
                  <w:pPr>
                    <w:spacing w:after="0" w:line="240" w:lineRule="auto"/>
                    <w:jc w:val="center"/>
                    <w:rPr>
                      <w:rFonts w:eastAsia="Times New Roman" w:cs="Arial"/>
                      <w:sz w:val="20"/>
                      <w:szCs w:val="20"/>
                      <w:lang w:eastAsia="en-GB"/>
                    </w:rPr>
                  </w:pPr>
                  <w:r w:rsidRPr="000E3974">
                    <w:rPr>
                      <w:rFonts w:eastAsia="Times New Roman" w:cs="Arial"/>
                      <w:sz w:val="20"/>
                      <w:szCs w:val="20"/>
                      <w:lang w:eastAsia="en-GB"/>
                    </w:rPr>
                    <w:t>52%</w:t>
                  </w:r>
                </w:p>
              </w:tc>
              <w:tc>
                <w:tcPr>
                  <w:tcW w:w="1295" w:type="dxa"/>
                  <w:tcBorders>
                    <w:top w:val="nil"/>
                    <w:left w:val="single" w:sz="4" w:space="0" w:color="C00000"/>
                    <w:bottom w:val="single" w:sz="4" w:space="0" w:color="C00000"/>
                    <w:right w:val="single" w:sz="4" w:space="0" w:color="C00000"/>
                  </w:tcBorders>
                  <w:shd w:val="clear" w:color="000000" w:fill="F2DCDB"/>
                  <w:noWrap/>
                  <w:vAlign w:val="center"/>
                  <w:hideMark/>
                </w:tcPr>
                <w:p w:rsidR="004D11EB" w:rsidRPr="000E3974" w:rsidRDefault="004D11EB" w:rsidP="00EF0405">
                  <w:pPr>
                    <w:spacing w:after="0" w:line="240" w:lineRule="auto"/>
                    <w:jc w:val="center"/>
                    <w:rPr>
                      <w:rFonts w:eastAsia="Times New Roman" w:cs="Arial"/>
                      <w:color w:val="000000"/>
                      <w:sz w:val="20"/>
                      <w:szCs w:val="20"/>
                      <w:lang w:eastAsia="en-GB"/>
                    </w:rPr>
                  </w:pPr>
                  <w:r w:rsidRPr="000E3974">
                    <w:rPr>
                      <w:rFonts w:eastAsia="Times New Roman" w:cs="Arial"/>
                      <w:color w:val="000000"/>
                      <w:sz w:val="20"/>
                      <w:szCs w:val="20"/>
                      <w:lang w:eastAsia="en-GB"/>
                    </w:rPr>
                    <w:t>Missed</w:t>
                  </w:r>
                </w:p>
              </w:tc>
            </w:tr>
          </w:tbl>
          <w:p w:rsidR="004D11EB" w:rsidRDefault="004D11EB" w:rsidP="004D11EB"/>
        </w:tc>
      </w:tr>
      <w:tr w:rsidR="004D11EB" w:rsidTr="004B4042">
        <w:trPr>
          <w:trHeight w:val="4664"/>
        </w:trPr>
        <w:tc>
          <w:tcPr>
            <w:tcW w:w="10415" w:type="dxa"/>
          </w:tcPr>
          <w:p w:rsidR="004D11EB" w:rsidRDefault="00EF0405" w:rsidP="00EF0405">
            <w:pPr>
              <w:jc w:val="center"/>
            </w:pPr>
            <w:r>
              <w:rPr>
                <w:noProof/>
                <w:lang w:eastAsia="en-GB"/>
              </w:rPr>
              <w:drawing>
                <wp:anchor distT="0" distB="0" distL="114300" distR="114300" simplePos="0" relativeHeight="251729920" behindDoc="0" locked="0" layoutInCell="1" allowOverlap="1" wp14:anchorId="4068CF84" wp14:editId="0FEDCD61">
                  <wp:simplePos x="0" y="0"/>
                  <wp:positionH relativeFrom="column">
                    <wp:posOffset>1228090</wp:posOffset>
                  </wp:positionH>
                  <wp:positionV relativeFrom="paragraph">
                    <wp:posOffset>127635</wp:posOffset>
                  </wp:positionV>
                  <wp:extent cx="3915410" cy="2748915"/>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r>
      <w:tr w:rsidR="004D11EB" w:rsidRPr="00EF0405" w:rsidTr="004D11EB">
        <w:tc>
          <w:tcPr>
            <w:tcW w:w="10415" w:type="dxa"/>
          </w:tcPr>
          <w:tbl>
            <w:tblPr>
              <w:tblW w:w="8040" w:type="dxa"/>
              <w:jc w:val="center"/>
              <w:tblLook w:val="04A0" w:firstRow="1" w:lastRow="0" w:firstColumn="1" w:lastColumn="0" w:noHBand="0" w:noVBand="1"/>
            </w:tblPr>
            <w:tblGrid>
              <w:gridCol w:w="2540"/>
              <w:gridCol w:w="1330"/>
              <w:gridCol w:w="1330"/>
              <w:gridCol w:w="2240"/>
              <w:gridCol w:w="600"/>
            </w:tblGrid>
            <w:tr w:rsidR="00EF0405" w:rsidRPr="00EF0405" w:rsidTr="00EF0405">
              <w:trPr>
                <w:trHeight w:val="415"/>
                <w:jc w:val="center"/>
              </w:trPr>
              <w:tc>
                <w:tcPr>
                  <w:tcW w:w="2540" w:type="dxa"/>
                  <w:tcBorders>
                    <w:top w:val="single" w:sz="4" w:space="0" w:color="76933C"/>
                    <w:left w:val="single" w:sz="4" w:space="0" w:color="76933C"/>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Top Issues</w:t>
                  </w:r>
                </w:p>
              </w:tc>
              <w:tc>
                <w:tcPr>
                  <w:tcW w:w="2660" w:type="dxa"/>
                  <w:gridSpan w:val="2"/>
                  <w:tcBorders>
                    <w:top w:val="single" w:sz="4" w:space="0" w:color="76933C"/>
                    <w:left w:val="nil"/>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Details</w:t>
                  </w:r>
                </w:p>
              </w:tc>
              <w:tc>
                <w:tcPr>
                  <w:tcW w:w="2240" w:type="dxa"/>
                  <w:tcBorders>
                    <w:top w:val="single" w:sz="4" w:space="0" w:color="76933C"/>
                    <w:left w:val="nil"/>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Result</w:t>
                  </w:r>
                </w:p>
              </w:tc>
              <w:tc>
                <w:tcPr>
                  <w:tcW w:w="600" w:type="dxa"/>
                  <w:tcBorders>
                    <w:top w:val="single" w:sz="4" w:space="0" w:color="76933C"/>
                    <w:left w:val="nil"/>
                    <w:bottom w:val="single" w:sz="4" w:space="0" w:color="76933C"/>
                    <w:right w:val="single" w:sz="4" w:space="0" w:color="76933C"/>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No.</w:t>
                  </w:r>
                </w:p>
              </w:tc>
            </w:tr>
            <w:tr w:rsidR="00EF0405" w:rsidRPr="00EF0405" w:rsidTr="004B4042">
              <w:trPr>
                <w:trHeight w:val="776"/>
                <w:jc w:val="center"/>
              </w:trPr>
              <w:tc>
                <w:tcPr>
                  <w:tcW w:w="2540" w:type="dxa"/>
                  <w:tcBorders>
                    <w:top w:val="nil"/>
                    <w:left w:val="single" w:sz="4" w:space="0" w:color="4F6228"/>
                    <w:bottom w:val="single" w:sz="4" w:space="0" w:color="auto"/>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VDI (Thin Client)</w:t>
                  </w:r>
                </w:p>
              </w:tc>
              <w:tc>
                <w:tcPr>
                  <w:tcW w:w="2660" w:type="dxa"/>
                  <w:gridSpan w:val="2"/>
                  <w:tcBorders>
                    <w:top w:val="single" w:sz="4" w:space="0" w:color="76933C"/>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Users getting error messages when logging in/ sessions ending</w:t>
                  </w:r>
                </w:p>
              </w:tc>
              <w:tc>
                <w:tcPr>
                  <w:tcW w:w="2240" w:type="dxa"/>
                  <w:tcBorders>
                    <w:top w:val="nil"/>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Resetting VDI account - resolved same day</w:t>
                  </w:r>
                </w:p>
              </w:tc>
              <w:tc>
                <w:tcPr>
                  <w:tcW w:w="600" w:type="dxa"/>
                  <w:tcBorders>
                    <w:top w:val="nil"/>
                    <w:left w:val="nil"/>
                    <w:bottom w:val="single" w:sz="4" w:space="0" w:color="4F6228"/>
                    <w:right w:val="single" w:sz="4" w:space="0" w:color="4F6228"/>
                  </w:tcBorders>
                  <w:shd w:val="clear" w:color="EBF1DE" w:fill="EBF1DE"/>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18</w:t>
                  </w:r>
                </w:p>
              </w:tc>
            </w:tr>
            <w:tr w:rsidR="00EF0405" w:rsidRPr="00EF0405" w:rsidTr="004B4042">
              <w:trPr>
                <w:trHeight w:val="547"/>
                <w:jc w:val="center"/>
              </w:trPr>
              <w:tc>
                <w:tcPr>
                  <w:tcW w:w="2540" w:type="dxa"/>
                  <w:tcBorders>
                    <w:top w:val="single" w:sz="4" w:space="0" w:color="4F6228"/>
                    <w:left w:val="single" w:sz="4" w:space="0" w:color="4F6228"/>
                    <w:bottom w:val="nil"/>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Remote access</w:t>
                  </w:r>
                </w:p>
              </w:tc>
              <w:tc>
                <w:tcPr>
                  <w:tcW w:w="2660" w:type="dxa"/>
                  <w:gridSpan w:val="2"/>
                  <w:tcBorders>
                    <w:top w:val="single" w:sz="4" w:space="0" w:color="4F6228"/>
                    <w:left w:val="nil"/>
                    <w:bottom w:val="single" w:sz="4" w:space="0" w:color="auto"/>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User unable to login to network connect</w:t>
                  </w:r>
                </w:p>
              </w:tc>
              <w:tc>
                <w:tcPr>
                  <w:tcW w:w="2240" w:type="dxa"/>
                  <w:tcBorders>
                    <w:top w:val="nil"/>
                    <w:left w:val="nil"/>
                    <w:bottom w:val="nil"/>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Issues resolved by 1st or 2nd Line Support</w:t>
                  </w:r>
                </w:p>
              </w:tc>
              <w:tc>
                <w:tcPr>
                  <w:tcW w:w="600" w:type="dxa"/>
                  <w:tcBorders>
                    <w:top w:val="nil"/>
                    <w:left w:val="nil"/>
                    <w:bottom w:val="nil"/>
                    <w:right w:val="single" w:sz="4" w:space="0" w:color="4F6228"/>
                  </w:tcBorders>
                  <w:shd w:val="clear" w:color="auto" w:fill="auto"/>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5</w:t>
                  </w:r>
                </w:p>
              </w:tc>
            </w:tr>
            <w:tr w:rsidR="00EF0405" w:rsidRPr="00EF0405" w:rsidTr="004B4042">
              <w:trPr>
                <w:trHeight w:val="555"/>
                <w:jc w:val="center"/>
              </w:trPr>
              <w:tc>
                <w:tcPr>
                  <w:tcW w:w="2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Outlook</w:t>
                  </w:r>
                </w:p>
              </w:tc>
              <w:tc>
                <w:tcPr>
                  <w:tcW w:w="2660" w:type="dxa"/>
                  <w:gridSpan w:val="2"/>
                  <w:tcBorders>
                    <w:top w:val="single" w:sz="4" w:space="0" w:color="auto"/>
                    <w:left w:val="nil"/>
                    <w:bottom w:val="single" w:sz="4" w:space="0" w:color="auto"/>
                    <w:right w:val="single" w:sz="4" w:space="0" w:color="000000"/>
                  </w:tcBorders>
                  <w:shd w:val="clear" w:color="000000" w:fill="D8E4BC"/>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General Outlook issues</w:t>
                  </w:r>
                </w:p>
              </w:tc>
              <w:tc>
                <w:tcPr>
                  <w:tcW w:w="2240" w:type="dxa"/>
                  <w:tcBorders>
                    <w:top w:val="single" w:sz="4" w:space="0" w:color="auto"/>
                    <w:left w:val="nil"/>
                    <w:bottom w:val="single" w:sz="4" w:space="0" w:color="auto"/>
                    <w:right w:val="single" w:sz="4" w:space="0" w:color="auto"/>
                  </w:tcBorders>
                  <w:shd w:val="clear" w:color="000000" w:fill="D8E4BC"/>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Issues resolved by 1st or 2nd Line Support</w:t>
                  </w:r>
                </w:p>
              </w:tc>
              <w:tc>
                <w:tcPr>
                  <w:tcW w:w="600" w:type="dxa"/>
                  <w:tcBorders>
                    <w:top w:val="single" w:sz="4" w:space="0" w:color="auto"/>
                    <w:left w:val="nil"/>
                    <w:bottom w:val="single" w:sz="4" w:space="0" w:color="auto"/>
                    <w:right w:val="single" w:sz="4" w:space="0" w:color="auto"/>
                  </w:tcBorders>
                  <w:shd w:val="clear" w:color="000000" w:fill="D8E4BC"/>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4</w:t>
                  </w:r>
                </w:p>
              </w:tc>
            </w:tr>
            <w:tr w:rsidR="00EF0405" w:rsidRPr="00EF0405" w:rsidTr="00EF0405">
              <w:trPr>
                <w:trHeight w:val="272"/>
                <w:jc w:val="center"/>
              </w:trPr>
              <w:tc>
                <w:tcPr>
                  <w:tcW w:w="2540" w:type="dxa"/>
                  <w:tcBorders>
                    <w:top w:val="nil"/>
                    <w:left w:val="nil"/>
                    <w:bottom w:val="nil"/>
                    <w:right w:val="nil"/>
                  </w:tcBorders>
                  <w:shd w:val="clear" w:color="000000" w:fill="FFFFFF"/>
                  <w:noWrap/>
                  <w:vAlign w:val="bottom"/>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 </w:t>
                  </w:r>
                </w:p>
              </w:tc>
              <w:tc>
                <w:tcPr>
                  <w:tcW w:w="1330" w:type="dxa"/>
                  <w:tcBorders>
                    <w:top w:val="nil"/>
                    <w:left w:val="nil"/>
                    <w:bottom w:val="nil"/>
                    <w:right w:val="nil"/>
                  </w:tcBorders>
                  <w:shd w:val="clear" w:color="000000" w:fill="FFFFFF"/>
                  <w:noWrap/>
                  <w:vAlign w:val="bottom"/>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 </w:t>
                  </w:r>
                </w:p>
              </w:tc>
              <w:tc>
                <w:tcPr>
                  <w:tcW w:w="1330" w:type="dxa"/>
                  <w:tcBorders>
                    <w:top w:val="nil"/>
                    <w:left w:val="nil"/>
                    <w:bottom w:val="nil"/>
                    <w:right w:val="nil"/>
                  </w:tcBorders>
                  <w:shd w:val="clear" w:color="000000" w:fill="FFFFFF"/>
                  <w:noWrap/>
                  <w:vAlign w:val="bottom"/>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 </w:t>
                  </w:r>
                </w:p>
              </w:tc>
              <w:tc>
                <w:tcPr>
                  <w:tcW w:w="2240" w:type="dxa"/>
                  <w:tcBorders>
                    <w:top w:val="nil"/>
                    <w:left w:val="nil"/>
                    <w:bottom w:val="nil"/>
                    <w:right w:val="nil"/>
                  </w:tcBorders>
                  <w:shd w:val="clear" w:color="000000" w:fill="FFFFFF"/>
                  <w:noWrap/>
                  <w:vAlign w:val="bottom"/>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 </w:t>
                  </w:r>
                </w:p>
              </w:tc>
              <w:tc>
                <w:tcPr>
                  <w:tcW w:w="600" w:type="dxa"/>
                  <w:tcBorders>
                    <w:top w:val="nil"/>
                    <w:left w:val="nil"/>
                    <w:bottom w:val="nil"/>
                    <w:right w:val="nil"/>
                  </w:tcBorders>
                  <w:shd w:val="clear" w:color="000000" w:fill="FFFFFF"/>
                  <w:noWrap/>
                  <w:vAlign w:val="bottom"/>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 </w:t>
                  </w:r>
                </w:p>
              </w:tc>
            </w:tr>
            <w:tr w:rsidR="00EF0405" w:rsidRPr="00EF0405" w:rsidTr="00EF0405">
              <w:trPr>
                <w:trHeight w:val="417"/>
                <w:jc w:val="center"/>
              </w:trPr>
              <w:tc>
                <w:tcPr>
                  <w:tcW w:w="2540" w:type="dxa"/>
                  <w:tcBorders>
                    <w:top w:val="single" w:sz="4" w:space="0" w:color="76933C"/>
                    <w:left w:val="single" w:sz="4" w:space="0" w:color="76933C"/>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Top Requests</w:t>
                  </w:r>
                </w:p>
              </w:tc>
              <w:tc>
                <w:tcPr>
                  <w:tcW w:w="2660" w:type="dxa"/>
                  <w:gridSpan w:val="2"/>
                  <w:tcBorders>
                    <w:top w:val="single" w:sz="4" w:space="0" w:color="76933C"/>
                    <w:left w:val="nil"/>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Details</w:t>
                  </w:r>
                </w:p>
              </w:tc>
              <w:tc>
                <w:tcPr>
                  <w:tcW w:w="2240" w:type="dxa"/>
                  <w:tcBorders>
                    <w:top w:val="single" w:sz="4" w:space="0" w:color="76933C"/>
                    <w:left w:val="nil"/>
                    <w:bottom w:val="single" w:sz="4" w:space="0" w:color="76933C"/>
                    <w:right w:val="single" w:sz="4" w:space="0" w:color="4F6228"/>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Result</w:t>
                  </w:r>
                </w:p>
              </w:tc>
              <w:tc>
                <w:tcPr>
                  <w:tcW w:w="600" w:type="dxa"/>
                  <w:tcBorders>
                    <w:top w:val="single" w:sz="4" w:space="0" w:color="76933C"/>
                    <w:left w:val="nil"/>
                    <w:bottom w:val="single" w:sz="4" w:space="0" w:color="76933C"/>
                    <w:right w:val="single" w:sz="4" w:space="0" w:color="76933C"/>
                  </w:tcBorders>
                  <w:shd w:val="clear" w:color="000000" w:fill="9BBB59"/>
                  <w:hideMark/>
                </w:tcPr>
                <w:p w:rsidR="00EF0405" w:rsidRPr="00EF0405" w:rsidRDefault="00EF0405" w:rsidP="004B4042">
                  <w:pPr>
                    <w:spacing w:before="60" w:after="0" w:line="240" w:lineRule="auto"/>
                    <w:jc w:val="center"/>
                    <w:rPr>
                      <w:rFonts w:eastAsia="Times New Roman" w:cs="Arial"/>
                      <w:b/>
                      <w:bCs/>
                      <w:color w:val="000000"/>
                      <w:sz w:val="20"/>
                      <w:szCs w:val="20"/>
                      <w:lang w:eastAsia="en-GB"/>
                    </w:rPr>
                  </w:pPr>
                  <w:r w:rsidRPr="00EF0405">
                    <w:rPr>
                      <w:rFonts w:eastAsia="Times New Roman" w:cs="Arial"/>
                      <w:b/>
                      <w:bCs/>
                      <w:color w:val="000000"/>
                      <w:sz w:val="20"/>
                      <w:szCs w:val="20"/>
                      <w:lang w:eastAsia="en-GB"/>
                    </w:rPr>
                    <w:t>No.</w:t>
                  </w:r>
                </w:p>
              </w:tc>
            </w:tr>
            <w:tr w:rsidR="00EF0405" w:rsidRPr="00EF0405" w:rsidTr="00EF0405">
              <w:trPr>
                <w:trHeight w:val="600"/>
                <w:jc w:val="center"/>
              </w:trPr>
              <w:tc>
                <w:tcPr>
                  <w:tcW w:w="2540" w:type="dxa"/>
                  <w:tcBorders>
                    <w:top w:val="nil"/>
                    <w:left w:val="single" w:sz="4" w:space="0" w:color="4F6228"/>
                    <w:bottom w:val="single" w:sz="4" w:space="0" w:color="auto"/>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Accounts</w:t>
                  </w:r>
                </w:p>
              </w:tc>
              <w:tc>
                <w:tcPr>
                  <w:tcW w:w="2660" w:type="dxa"/>
                  <w:gridSpan w:val="2"/>
                  <w:tcBorders>
                    <w:top w:val="single" w:sz="4" w:space="0" w:color="76933C"/>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Requests for new IT accounts</w:t>
                  </w:r>
                </w:p>
              </w:tc>
              <w:tc>
                <w:tcPr>
                  <w:tcW w:w="2240" w:type="dxa"/>
                  <w:tcBorders>
                    <w:top w:val="nil"/>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Accounts created within agreed SLAs</w:t>
                  </w:r>
                </w:p>
              </w:tc>
              <w:tc>
                <w:tcPr>
                  <w:tcW w:w="600" w:type="dxa"/>
                  <w:tcBorders>
                    <w:top w:val="nil"/>
                    <w:left w:val="nil"/>
                    <w:bottom w:val="single" w:sz="4" w:space="0" w:color="4F6228"/>
                    <w:right w:val="single" w:sz="4" w:space="0" w:color="4F6228"/>
                  </w:tcBorders>
                  <w:shd w:val="clear" w:color="EBF1DE" w:fill="EBF1DE"/>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5</w:t>
                  </w:r>
                </w:p>
              </w:tc>
            </w:tr>
            <w:tr w:rsidR="00EF0405" w:rsidRPr="00EF0405" w:rsidTr="004B4042">
              <w:trPr>
                <w:trHeight w:val="667"/>
                <w:jc w:val="center"/>
              </w:trPr>
              <w:tc>
                <w:tcPr>
                  <w:tcW w:w="2540" w:type="dxa"/>
                  <w:tcBorders>
                    <w:top w:val="nil"/>
                    <w:left w:val="single" w:sz="4" w:space="0" w:color="4F6228"/>
                    <w:bottom w:val="nil"/>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Software</w:t>
                  </w:r>
                </w:p>
              </w:tc>
              <w:tc>
                <w:tcPr>
                  <w:tcW w:w="2660" w:type="dxa"/>
                  <w:gridSpan w:val="2"/>
                  <w:tcBorders>
                    <w:top w:val="single" w:sz="4" w:space="0" w:color="4F6228"/>
                    <w:left w:val="nil"/>
                    <w:bottom w:val="single" w:sz="4" w:space="0" w:color="4F6228"/>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Requests for additional software</w:t>
                  </w:r>
                </w:p>
              </w:tc>
              <w:tc>
                <w:tcPr>
                  <w:tcW w:w="2240" w:type="dxa"/>
                  <w:tcBorders>
                    <w:top w:val="nil"/>
                    <w:left w:val="nil"/>
                    <w:bottom w:val="nil"/>
                    <w:right w:val="single" w:sz="4" w:space="0" w:color="4F6228"/>
                  </w:tcBorders>
                  <w:shd w:val="clear" w:color="auto" w:fill="auto"/>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Software installed within agreed SLAs</w:t>
                  </w:r>
                </w:p>
              </w:tc>
              <w:tc>
                <w:tcPr>
                  <w:tcW w:w="600" w:type="dxa"/>
                  <w:tcBorders>
                    <w:top w:val="nil"/>
                    <w:left w:val="nil"/>
                    <w:bottom w:val="nil"/>
                    <w:right w:val="single" w:sz="4" w:space="0" w:color="4F6228"/>
                  </w:tcBorders>
                  <w:shd w:val="clear" w:color="auto" w:fill="auto"/>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3</w:t>
                  </w:r>
                </w:p>
              </w:tc>
            </w:tr>
            <w:tr w:rsidR="00EF0405" w:rsidRPr="00EF0405" w:rsidTr="00EF0405">
              <w:trPr>
                <w:trHeight w:val="600"/>
                <w:jc w:val="center"/>
              </w:trPr>
              <w:tc>
                <w:tcPr>
                  <w:tcW w:w="2540" w:type="dxa"/>
                  <w:tcBorders>
                    <w:top w:val="single" w:sz="4" w:space="0" w:color="4F6228"/>
                    <w:left w:val="single" w:sz="4" w:space="0" w:color="4F6228"/>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Shared Drives</w:t>
                  </w:r>
                </w:p>
              </w:tc>
              <w:tc>
                <w:tcPr>
                  <w:tcW w:w="2660" w:type="dxa"/>
                  <w:gridSpan w:val="2"/>
                  <w:tcBorders>
                    <w:top w:val="single" w:sz="4" w:space="0" w:color="4F6228"/>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Requests for shared drive access</w:t>
                  </w:r>
                </w:p>
              </w:tc>
              <w:tc>
                <w:tcPr>
                  <w:tcW w:w="2240" w:type="dxa"/>
                  <w:tcBorders>
                    <w:top w:val="single" w:sz="4" w:space="0" w:color="4F6228"/>
                    <w:left w:val="nil"/>
                    <w:bottom w:val="single" w:sz="4" w:space="0" w:color="4F6228"/>
                    <w:right w:val="single" w:sz="4" w:space="0" w:color="4F6228"/>
                  </w:tcBorders>
                  <w:shd w:val="clear" w:color="EBF1DE" w:fill="EBF1DE"/>
                  <w:vAlign w:val="center"/>
                  <w:hideMark/>
                </w:tcPr>
                <w:p w:rsidR="00EF0405" w:rsidRPr="00EF0405" w:rsidRDefault="00EF0405" w:rsidP="004B4042">
                  <w:pPr>
                    <w:spacing w:after="0" w:line="240" w:lineRule="auto"/>
                    <w:rPr>
                      <w:rFonts w:eastAsia="Times New Roman" w:cs="Arial"/>
                      <w:color w:val="000000"/>
                      <w:sz w:val="20"/>
                      <w:szCs w:val="20"/>
                      <w:lang w:eastAsia="en-GB"/>
                    </w:rPr>
                  </w:pPr>
                  <w:r w:rsidRPr="00EF0405">
                    <w:rPr>
                      <w:rFonts w:eastAsia="Times New Roman" w:cs="Arial"/>
                      <w:color w:val="000000"/>
                      <w:sz w:val="20"/>
                      <w:szCs w:val="20"/>
                      <w:lang w:eastAsia="en-GB"/>
                    </w:rPr>
                    <w:t>Access granted within agreed SLAs</w:t>
                  </w:r>
                </w:p>
              </w:tc>
              <w:tc>
                <w:tcPr>
                  <w:tcW w:w="600" w:type="dxa"/>
                  <w:tcBorders>
                    <w:top w:val="single" w:sz="4" w:space="0" w:color="4F6228"/>
                    <w:left w:val="nil"/>
                    <w:bottom w:val="single" w:sz="4" w:space="0" w:color="4F6228"/>
                    <w:right w:val="single" w:sz="4" w:space="0" w:color="4F6228"/>
                  </w:tcBorders>
                  <w:shd w:val="clear" w:color="EBF1DE" w:fill="EBF1DE"/>
                  <w:noWrap/>
                  <w:vAlign w:val="center"/>
                  <w:hideMark/>
                </w:tcPr>
                <w:p w:rsidR="00EF0405" w:rsidRPr="00EF0405" w:rsidRDefault="00EF0405" w:rsidP="004B4042">
                  <w:pPr>
                    <w:spacing w:after="0" w:line="240" w:lineRule="auto"/>
                    <w:jc w:val="right"/>
                    <w:rPr>
                      <w:rFonts w:eastAsia="Times New Roman" w:cs="Arial"/>
                      <w:color w:val="000000"/>
                      <w:sz w:val="20"/>
                      <w:szCs w:val="20"/>
                      <w:lang w:eastAsia="en-GB"/>
                    </w:rPr>
                  </w:pPr>
                  <w:r w:rsidRPr="00EF0405">
                    <w:rPr>
                      <w:rFonts w:eastAsia="Times New Roman" w:cs="Arial"/>
                      <w:color w:val="000000"/>
                      <w:sz w:val="20"/>
                      <w:szCs w:val="20"/>
                      <w:lang w:eastAsia="en-GB"/>
                    </w:rPr>
                    <w:t>3</w:t>
                  </w:r>
                </w:p>
              </w:tc>
            </w:tr>
          </w:tbl>
          <w:p w:rsidR="004D11EB" w:rsidRPr="00EF0405" w:rsidRDefault="004D11EB" w:rsidP="00EF0405">
            <w:pPr>
              <w:spacing w:before="0" w:after="0" w:line="240" w:lineRule="auto"/>
              <w:jc w:val="center"/>
              <w:rPr>
                <w:rFonts w:cs="Arial"/>
                <w:sz w:val="20"/>
                <w:szCs w:val="20"/>
              </w:rPr>
            </w:pPr>
          </w:p>
        </w:tc>
      </w:tr>
    </w:tbl>
    <w:p w:rsidR="005C4D3F" w:rsidRDefault="005C4D3F">
      <w:pPr>
        <w:spacing w:after="0" w:line="240" w:lineRule="auto"/>
      </w:pPr>
      <w:r>
        <w:br w:type="page"/>
      </w:r>
    </w:p>
    <w:p w:rsidR="005C4D3F" w:rsidRDefault="00DB1366" w:rsidP="00DB1366">
      <w:pPr>
        <w:pStyle w:val="Heading1"/>
      </w:pPr>
      <w:r>
        <w:lastRenderedPageBreak/>
        <w:t>Section 4:  Training</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DB1366"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DB1366" w:rsidRPr="00B25DF7" w:rsidRDefault="00DB1366" w:rsidP="004621B7">
            <w:pPr>
              <w:spacing w:before="120"/>
              <w:jc w:val="left"/>
              <w:rPr>
                <w:b w:val="0"/>
                <w:color w:val="F79646" w:themeColor="accent6"/>
                <w:sz w:val="28"/>
              </w:rPr>
            </w:pPr>
            <w:r>
              <w:rPr>
                <w:b w:val="0"/>
                <w:color w:val="F79646" w:themeColor="accent6"/>
                <w:sz w:val="28"/>
              </w:rPr>
              <w:t>TRAINING METRICS</w:t>
            </w:r>
          </w:p>
        </w:tc>
      </w:tr>
      <w:tr w:rsidR="00DB1366" w:rsidTr="004621B7">
        <w:tc>
          <w:tcPr>
            <w:tcW w:w="10415" w:type="dxa"/>
          </w:tcPr>
          <w:p w:rsidR="00DB1366" w:rsidRDefault="00084A30" w:rsidP="00084A30">
            <w:pPr>
              <w:pStyle w:val="ListParagraph"/>
              <w:numPr>
                <w:ilvl w:val="0"/>
                <w:numId w:val="6"/>
              </w:numPr>
            </w:pPr>
            <w:r>
              <w:t>34 unique courses / 62 events</w:t>
            </w:r>
            <w:r w:rsidR="00FB5E2C">
              <w:t xml:space="preserve"> provided between April - December 2013</w:t>
            </w:r>
          </w:p>
        </w:tc>
      </w:tr>
    </w:tbl>
    <w:p w:rsidR="0002651F" w:rsidRPr="005953A9" w:rsidRDefault="0002651F" w:rsidP="0002651F">
      <w:pPr>
        <w:pStyle w:val="Heading2"/>
      </w:pPr>
      <w:r w:rsidRPr="005953A9">
        <w:t>All Training:</w:t>
      </w:r>
    </w:p>
    <w:p w:rsidR="00DB1366" w:rsidRDefault="00DB1366" w:rsidP="00DB1366"/>
    <w:tbl>
      <w:tblPr>
        <w:tblW w:w="4438" w:type="pct"/>
        <w:tblInd w:w="562" w:type="dxa"/>
        <w:tblLook w:val="04A0" w:firstRow="1" w:lastRow="0" w:firstColumn="1" w:lastColumn="0" w:noHBand="0" w:noVBand="1"/>
      </w:tblPr>
      <w:tblGrid>
        <w:gridCol w:w="2882"/>
        <w:gridCol w:w="1470"/>
        <w:gridCol w:w="1470"/>
        <w:gridCol w:w="3422"/>
      </w:tblGrid>
      <w:tr w:rsidR="00084A30" w:rsidRPr="00FB5E2C" w:rsidTr="004B4042">
        <w:trPr>
          <w:trHeight w:val="300"/>
        </w:trPr>
        <w:tc>
          <w:tcPr>
            <w:tcW w:w="2882"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084A30" w:rsidRPr="004B4042" w:rsidRDefault="00084A30" w:rsidP="00713D2E">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 xml:space="preserve">Total Seats </w:t>
            </w:r>
            <w:r w:rsidR="0002651F" w:rsidRPr="004B4042">
              <w:rPr>
                <w:rFonts w:eastAsia="Times New Roman" w:cs="Arial"/>
                <w:b/>
                <w:color w:val="FFFFFF" w:themeColor="background1"/>
                <w:lang w:eastAsia="en-GB"/>
              </w:rPr>
              <w:t>p</w:t>
            </w:r>
            <w:r w:rsidRPr="004B4042">
              <w:rPr>
                <w:rFonts w:eastAsia="Times New Roman" w:cs="Arial"/>
                <w:b/>
                <w:color w:val="FFFFFF" w:themeColor="background1"/>
                <w:lang w:eastAsia="en-GB"/>
              </w:rPr>
              <w:t>rovided</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bookmarkStart w:id="3" w:name="RANGE!M2"/>
            <w:r w:rsidRPr="004B4042">
              <w:rPr>
                <w:rFonts w:eastAsia="Times New Roman" w:cs="Arial"/>
                <w:color w:val="000000"/>
                <w:lang w:eastAsia="en-GB"/>
              </w:rPr>
              <w:t>1</w:t>
            </w:r>
            <w:r w:rsidR="0002651F" w:rsidRPr="004B4042">
              <w:rPr>
                <w:rFonts w:eastAsia="Times New Roman" w:cs="Arial"/>
                <w:color w:val="000000"/>
                <w:lang w:eastAsia="en-GB"/>
              </w:rPr>
              <w:t>,</w:t>
            </w:r>
            <w:r w:rsidRPr="004B4042">
              <w:rPr>
                <w:rFonts w:eastAsia="Times New Roman" w:cs="Arial"/>
                <w:color w:val="000000"/>
                <w:lang w:eastAsia="en-GB"/>
              </w:rPr>
              <w:t>559</w:t>
            </w:r>
            <w:bookmarkEnd w:id="3"/>
          </w:p>
        </w:tc>
        <w:tc>
          <w:tcPr>
            <w:tcW w:w="1470" w:type="dxa"/>
            <w:tcBorders>
              <w:top w:val="single" w:sz="4" w:space="0" w:color="auto"/>
              <w:left w:val="nil"/>
              <w:bottom w:val="nil"/>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b/>
                <w:bCs/>
                <w:color w:val="000000"/>
                <w:lang w:eastAsia="en-GB"/>
              </w:rPr>
            </w:pPr>
            <w:r w:rsidRPr="004B4042">
              <w:rPr>
                <w:rFonts w:eastAsia="Times New Roman" w:cs="Arial"/>
                <w:b/>
                <w:bCs/>
                <w:color w:val="000000"/>
                <w:lang w:eastAsia="en-GB"/>
              </w:rPr>
              <w:t> </w:t>
            </w:r>
          </w:p>
        </w:tc>
        <w:tc>
          <w:tcPr>
            <w:tcW w:w="3422" w:type="dxa"/>
            <w:tcBorders>
              <w:top w:val="single" w:sz="4" w:space="0" w:color="auto"/>
              <w:left w:val="nil"/>
              <w:bottom w:val="nil"/>
              <w:right w:val="single" w:sz="4" w:space="0" w:color="auto"/>
            </w:tcBorders>
            <w:shd w:val="clear" w:color="auto" w:fill="auto"/>
            <w:noWrap/>
            <w:vAlign w:val="bottom"/>
            <w:hideMark/>
          </w:tcPr>
          <w:p w:rsidR="00084A30" w:rsidRPr="004B4042" w:rsidRDefault="00084A30" w:rsidP="00713D2E">
            <w:pPr>
              <w:spacing w:after="0" w:line="240" w:lineRule="auto"/>
              <w:rPr>
                <w:rFonts w:eastAsia="Times New Roman" w:cs="Arial"/>
                <w:b/>
                <w:bCs/>
                <w:color w:val="000000"/>
                <w:lang w:eastAsia="en-GB"/>
              </w:rPr>
            </w:pPr>
            <w:r w:rsidRPr="004B4042">
              <w:rPr>
                <w:rFonts w:eastAsia="Times New Roman" w:cs="Arial"/>
                <w:b/>
                <w:bCs/>
                <w:color w:val="000000"/>
                <w:lang w:eastAsia="en-GB"/>
              </w:rPr>
              <w:t> </w:t>
            </w:r>
          </w:p>
        </w:tc>
      </w:tr>
      <w:tr w:rsidR="00084A30" w:rsidRPr="00FB5E2C" w:rsidTr="004B4042">
        <w:trPr>
          <w:trHeight w:val="300"/>
        </w:trPr>
        <w:tc>
          <w:tcPr>
            <w:tcW w:w="2882"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084A30" w:rsidRPr="004B4042" w:rsidRDefault="00084A30" w:rsidP="00713D2E">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Total Registrations</w:t>
            </w:r>
          </w:p>
        </w:tc>
        <w:tc>
          <w:tcPr>
            <w:tcW w:w="1470" w:type="dxa"/>
            <w:tcBorders>
              <w:top w:val="nil"/>
              <w:left w:val="nil"/>
              <w:bottom w:val="single" w:sz="4" w:space="0" w:color="auto"/>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bookmarkStart w:id="4" w:name="RANGE!M3"/>
            <w:r w:rsidRPr="004B4042">
              <w:rPr>
                <w:rFonts w:eastAsia="Times New Roman" w:cs="Arial"/>
                <w:color w:val="000000"/>
                <w:lang w:eastAsia="en-GB"/>
              </w:rPr>
              <w:t>1</w:t>
            </w:r>
            <w:r w:rsidR="0002651F" w:rsidRPr="004B4042">
              <w:rPr>
                <w:rFonts w:eastAsia="Times New Roman" w:cs="Arial"/>
                <w:color w:val="000000"/>
                <w:lang w:eastAsia="en-GB"/>
              </w:rPr>
              <w:t>,</w:t>
            </w:r>
            <w:r w:rsidRPr="004B4042">
              <w:rPr>
                <w:rFonts w:eastAsia="Times New Roman" w:cs="Arial"/>
                <w:color w:val="000000"/>
                <w:lang w:eastAsia="en-GB"/>
              </w:rPr>
              <w:t>295</w:t>
            </w:r>
            <w:bookmarkEnd w:id="4"/>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r w:rsidRPr="004B4042">
              <w:rPr>
                <w:rFonts w:eastAsia="Times New Roman" w:cs="Arial"/>
                <w:color w:val="000000"/>
                <w:lang w:eastAsia="en-GB"/>
              </w:rPr>
              <w:t>83%</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rsidR="00084A30" w:rsidRPr="004B4042" w:rsidRDefault="00084A30" w:rsidP="00713D2E">
            <w:pPr>
              <w:spacing w:after="0" w:line="240" w:lineRule="auto"/>
              <w:rPr>
                <w:rFonts w:eastAsia="Times New Roman" w:cs="Arial"/>
                <w:color w:val="000000"/>
                <w:lang w:eastAsia="en-GB"/>
              </w:rPr>
            </w:pPr>
            <w:r w:rsidRPr="004B4042">
              <w:rPr>
                <w:rFonts w:eastAsia="Times New Roman" w:cs="Arial"/>
                <w:color w:val="000000"/>
                <w:lang w:eastAsia="en-GB"/>
              </w:rPr>
              <w:t>of seats provided were booked</w:t>
            </w:r>
          </w:p>
        </w:tc>
      </w:tr>
      <w:tr w:rsidR="00084A30" w:rsidRPr="00FB5E2C" w:rsidTr="004B4042">
        <w:trPr>
          <w:trHeight w:val="300"/>
        </w:trPr>
        <w:tc>
          <w:tcPr>
            <w:tcW w:w="2882" w:type="dxa"/>
            <w:tcBorders>
              <w:top w:val="single" w:sz="4" w:space="0" w:color="auto"/>
              <w:left w:val="single" w:sz="4" w:space="0" w:color="auto"/>
              <w:bottom w:val="single" w:sz="4" w:space="0" w:color="auto"/>
              <w:right w:val="nil"/>
            </w:tcBorders>
            <w:shd w:val="clear" w:color="auto" w:fill="7030A0"/>
            <w:noWrap/>
            <w:vAlign w:val="bottom"/>
            <w:hideMark/>
          </w:tcPr>
          <w:p w:rsidR="00084A30" w:rsidRPr="004B4042" w:rsidRDefault="00084A30" w:rsidP="00713D2E">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Total Attendances</w:t>
            </w:r>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bookmarkStart w:id="5" w:name="RANGE!M4"/>
            <w:r w:rsidRPr="004B4042">
              <w:rPr>
                <w:rFonts w:eastAsia="Times New Roman" w:cs="Arial"/>
                <w:color w:val="000000"/>
                <w:lang w:eastAsia="en-GB"/>
              </w:rPr>
              <w:t>1</w:t>
            </w:r>
            <w:r w:rsidR="0002651F" w:rsidRPr="004B4042">
              <w:rPr>
                <w:rFonts w:eastAsia="Times New Roman" w:cs="Arial"/>
                <w:color w:val="000000"/>
                <w:lang w:eastAsia="en-GB"/>
              </w:rPr>
              <w:t>,</w:t>
            </w:r>
            <w:r w:rsidRPr="004B4042">
              <w:rPr>
                <w:rFonts w:eastAsia="Times New Roman" w:cs="Arial"/>
                <w:color w:val="000000"/>
                <w:lang w:eastAsia="en-GB"/>
              </w:rPr>
              <w:t>100</w:t>
            </w:r>
            <w:bookmarkEnd w:id="5"/>
          </w:p>
        </w:tc>
        <w:tc>
          <w:tcPr>
            <w:tcW w:w="1470" w:type="dxa"/>
            <w:tcBorders>
              <w:top w:val="nil"/>
              <w:left w:val="single" w:sz="4" w:space="0" w:color="auto"/>
              <w:bottom w:val="single" w:sz="4" w:space="0" w:color="auto"/>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r w:rsidRPr="004B4042">
              <w:rPr>
                <w:rFonts w:eastAsia="Times New Roman" w:cs="Arial"/>
                <w:color w:val="000000"/>
                <w:lang w:eastAsia="en-GB"/>
              </w:rPr>
              <w:t>85%</w:t>
            </w:r>
          </w:p>
        </w:tc>
        <w:tc>
          <w:tcPr>
            <w:tcW w:w="3422" w:type="dxa"/>
            <w:tcBorders>
              <w:top w:val="nil"/>
              <w:left w:val="nil"/>
              <w:bottom w:val="single" w:sz="4" w:space="0" w:color="auto"/>
              <w:right w:val="single" w:sz="4" w:space="0" w:color="auto"/>
            </w:tcBorders>
            <w:shd w:val="clear" w:color="auto" w:fill="auto"/>
            <w:noWrap/>
            <w:vAlign w:val="bottom"/>
            <w:hideMark/>
          </w:tcPr>
          <w:p w:rsidR="00084A30" w:rsidRPr="004B4042" w:rsidRDefault="004B4042" w:rsidP="00713D2E">
            <w:pPr>
              <w:spacing w:after="0" w:line="240" w:lineRule="auto"/>
              <w:rPr>
                <w:rFonts w:eastAsia="Times New Roman" w:cs="Arial"/>
                <w:color w:val="000000"/>
                <w:lang w:eastAsia="en-GB"/>
              </w:rPr>
            </w:pPr>
            <w:r>
              <w:rPr>
                <w:rFonts w:eastAsia="Times New Roman" w:cs="Arial"/>
                <w:color w:val="000000"/>
                <w:lang w:eastAsia="en-GB"/>
              </w:rPr>
              <w:t xml:space="preserve">of bookings were </w:t>
            </w:r>
            <w:r w:rsidR="00084A30" w:rsidRPr="004B4042">
              <w:rPr>
                <w:rFonts w:eastAsia="Times New Roman" w:cs="Arial"/>
                <w:color w:val="000000"/>
                <w:lang w:eastAsia="en-GB"/>
              </w:rPr>
              <w:t>attended</w:t>
            </w:r>
          </w:p>
        </w:tc>
      </w:tr>
      <w:tr w:rsidR="00084A30" w:rsidRPr="00FB5E2C" w:rsidTr="004B4042">
        <w:trPr>
          <w:trHeight w:val="300"/>
        </w:trPr>
        <w:tc>
          <w:tcPr>
            <w:tcW w:w="2882" w:type="dxa"/>
            <w:tcBorders>
              <w:top w:val="single" w:sz="4" w:space="0" w:color="auto"/>
            </w:tcBorders>
            <w:shd w:val="clear" w:color="auto" w:fill="auto"/>
            <w:noWrap/>
            <w:vAlign w:val="bottom"/>
            <w:hideMark/>
          </w:tcPr>
          <w:p w:rsidR="00084A30" w:rsidRPr="004B4042" w:rsidRDefault="00084A30" w:rsidP="00713D2E">
            <w:pPr>
              <w:spacing w:after="0" w:line="240" w:lineRule="auto"/>
              <w:rPr>
                <w:rFonts w:eastAsia="Times New Roman" w:cs="Arial"/>
                <w:color w:val="000000"/>
                <w:lang w:eastAsia="en-GB"/>
              </w:rPr>
            </w:pPr>
            <w:r w:rsidRPr="004B4042">
              <w:rPr>
                <w:rFonts w:eastAsia="Times New Roman" w:cs="Arial"/>
                <w:color w:val="000000"/>
                <w:lang w:eastAsia="en-GB"/>
              </w:rPr>
              <w:t> </w:t>
            </w:r>
          </w:p>
        </w:tc>
        <w:tc>
          <w:tcPr>
            <w:tcW w:w="1470" w:type="dxa"/>
            <w:tcBorders>
              <w:top w:val="single" w:sz="4" w:space="0" w:color="auto"/>
              <w:right w:val="nil"/>
            </w:tcBorders>
            <w:shd w:val="clear" w:color="auto" w:fill="auto"/>
            <w:noWrap/>
            <w:vAlign w:val="bottom"/>
            <w:hideMark/>
          </w:tcPr>
          <w:p w:rsidR="00084A30" w:rsidRPr="004B4042" w:rsidRDefault="00084A30" w:rsidP="00713D2E">
            <w:pPr>
              <w:spacing w:after="0" w:line="240" w:lineRule="auto"/>
              <w:rPr>
                <w:rFonts w:eastAsia="Times New Roman" w:cs="Arial"/>
                <w:color w:val="000000"/>
                <w:lang w:eastAsia="en-GB"/>
              </w:rPr>
            </w:pPr>
            <w:r w:rsidRPr="004B4042">
              <w:rPr>
                <w:rFonts w:eastAsia="Times New Roman" w:cs="Arial"/>
                <w:color w:val="000000"/>
                <w:lang w:eastAsia="en-GB"/>
              </w:rPr>
              <w:t> </w:t>
            </w:r>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084A30" w:rsidRPr="004B4042" w:rsidRDefault="00084A30" w:rsidP="00713D2E">
            <w:pPr>
              <w:spacing w:after="0" w:line="240" w:lineRule="auto"/>
              <w:jc w:val="center"/>
              <w:rPr>
                <w:rFonts w:eastAsia="Times New Roman" w:cs="Arial"/>
                <w:color w:val="000000"/>
                <w:lang w:eastAsia="en-GB"/>
              </w:rPr>
            </w:pPr>
            <w:r w:rsidRPr="004B4042">
              <w:rPr>
                <w:rFonts w:eastAsia="Times New Roman" w:cs="Arial"/>
                <w:color w:val="000000"/>
                <w:lang w:eastAsia="en-GB"/>
              </w:rPr>
              <w:t>71%</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rsidR="00084A30" w:rsidRPr="004B4042" w:rsidRDefault="00084A30" w:rsidP="00713D2E">
            <w:pPr>
              <w:spacing w:after="0" w:line="240" w:lineRule="auto"/>
              <w:rPr>
                <w:rFonts w:eastAsia="Times New Roman" w:cs="Arial"/>
                <w:color w:val="000000"/>
                <w:lang w:eastAsia="en-GB"/>
              </w:rPr>
            </w:pPr>
            <w:r w:rsidRPr="004B4042">
              <w:rPr>
                <w:rFonts w:eastAsia="Times New Roman" w:cs="Arial"/>
                <w:color w:val="000000"/>
                <w:lang w:eastAsia="en-GB"/>
              </w:rPr>
              <w:t>of seats provided were filled</w:t>
            </w:r>
          </w:p>
        </w:tc>
      </w:tr>
    </w:tbl>
    <w:p w:rsidR="00084A30" w:rsidRDefault="00084A30" w:rsidP="00084A30">
      <w:r>
        <w:rPr>
          <w:noProof/>
          <w:lang w:eastAsia="en-GB"/>
        </w:rPr>
        <w:drawing>
          <wp:anchor distT="0" distB="0" distL="114300" distR="114300" simplePos="0" relativeHeight="251731968" behindDoc="0" locked="0" layoutInCell="1" allowOverlap="1" wp14:anchorId="30ECAE39" wp14:editId="02E48C17">
            <wp:simplePos x="0" y="0"/>
            <wp:positionH relativeFrom="column">
              <wp:posOffset>866140</wp:posOffset>
            </wp:positionH>
            <wp:positionV relativeFrom="paragraph">
              <wp:posOffset>3070860</wp:posOffset>
            </wp:positionV>
            <wp:extent cx="4584700" cy="2755900"/>
            <wp:effectExtent l="0" t="0" r="635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0944" behindDoc="0" locked="0" layoutInCell="1" allowOverlap="1" wp14:anchorId="14DEF77E" wp14:editId="48C96BE6">
            <wp:simplePos x="0" y="0"/>
            <wp:positionH relativeFrom="column">
              <wp:posOffset>866140</wp:posOffset>
            </wp:positionH>
            <wp:positionV relativeFrom="paragraph">
              <wp:posOffset>127635</wp:posOffset>
            </wp:positionV>
            <wp:extent cx="4578350" cy="2755900"/>
            <wp:effectExtent l="0" t="0" r="0"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14:sizeRelH relativeFrom="page">
              <wp14:pctWidth>0</wp14:pctWidth>
            </wp14:sizeRelH>
            <wp14:sizeRelV relativeFrom="page">
              <wp14:pctHeight>0</wp14:pctHeight>
            </wp14:sizeRelV>
          </wp:anchor>
        </w:drawing>
      </w:r>
    </w:p>
    <w:p w:rsidR="00084A30" w:rsidRDefault="00084A30" w:rsidP="00084A30"/>
    <w:p w:rsidR="00084A30" w:rsidRPr="00C27BAE" w:rsidRDefault="00084A30" w:rsidP="00084A30">
      <w:pPr>
        <w:pStyle w:val="Heading2"/>
      </w:pPr>
      <w:r w:rsidRPr="00C27BAE">
        <w:t>Staff Training</w:t>
      </w:r>
    </w:p>
    <w:p w:rsidR="00084A30" w:rsidRDefault="00084A30" w:rsidP="00084A30"/>
    <w:tbl>
      <w:tblPr>
        <w:tblW w:w="4423" w:type="pct"/>
        <w:tblInd w:w="675" w:type="dxa"/>
        <w:tblLook w:val="04A0" w:firstRow="1" w:lastRow="0" w:firstColumn="1" w:lastColumn="0" w:noHBand="0" w:noVBand="1"/>
      </w:tblPr>
      <w:tblGrid>
        <w:gridCol w:w="2031"/>
        <w:gridCol w:w="2604"/>
        <w:gridCol w:w="2604"/>
        <w:gridCol w:w="1975"/>
      </w:tblGrid>
      <w:tr w:rsidR="00FB5E2C" w:rsidRPr="00FB5E2C" w:rsidTr="00FB5E2C">
        <w:trPr>
          <w:trHeight w:val="465"/>
        </w:trPr>
        <w:tc>
          <w:tcPr>
            <w:tcW w:w="4635"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booked</w:t>
            </w:r>
          </w:p>
        </w:tc>
        <w:tc>
          <w:tcPr>
            <w:tcW w:w="2604"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bookings attended</w:t>
            </w:r>
          </w:p>
        </w:tc>
        <w:tc>
          <w:tcPr>
            <w:tcW w:w="1975"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attended</w:t>
            </w:r>
          </w:p>
        </w:tc>
      </w:tr>
      <w:tr w:rsidR="00084A30" w:rsidRPr="00FB5E2C" w:rsidTr="004B4042">
        <w:trPr>
          <w:trHeight w:val="465"/>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69%</w:t>
            </w:r>
          </w:p>
        </w:tc>
        <w:tc>
          <w:tcPr>
            <w:tcW w:w="2604"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96%</w:t>
            </w:r>
          </w:p>
        </w:tc>
        <w:tc>
          <w:tcPr>
            <w:tcW w:w="4579" w:type="dxa"/>
            <w:gridSpan w:val="2"/>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66%</w:t>
            </w:r>
          </w:p>
        </w:tc>
      </w:tr>
    </w:tbl>
    <w:p w:rsidR="00084A30" w:rsidRDefault="00084A30" w:rsidP="00084A30">
      <w:r>
        <w:rPr>
          <w:noProof/>
          <w:lang w:eastAsia="en-GB"/>
        </w:rPr>
        <w:drawing>
          <wp:anchor distT="0" distB="0" distL="114300" distR="114300" simplePos="0" relativeHeight="251732992" behindDoc="0" locked="0" layoutInCell="1" allowOverlap="1" wp14:anchorId="723D4033" wp14:editId="32D4E914">
            <wp:simplePos x="0" y="0"/>
            <wp:positionH relativeFrom="column">
              <wp:posOffset>1132840</wp:posOffset>
            </wp:positionH>
            <wp:positionV relativeFrom="paragraph">
              <wp:posOffset>241935</wp:posOffset>
            </wp:positionV>
            <wp:extent cx="4584700" cy="2755900"/>
            <wp:effectExtent l="0" t="0" r="635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084A30" w:rsidRDefault="00084A30" w:rsidP="004B4042">
      <w:pPr>
        <w:pStyle w:val="ListParagraph"/>
        <w:numPr>
          <w:ilvl w:val="0"/>
          <w:numId w:val="6"/>
        </w:numPr>
        <w:ind w:left="714" w:hanging="357"/>
        <w:contextualSpacing w:val="0"/>
      </w:pPr>
      <w:r>
        <w:t xml:space="preserve">The peak in events in July was due to a country-wide programme of appraisal training for all staff.  </w:t>
      </w:r>
    </w:p>
    <w:p w:rsidR="00084A30" w:rsidRDefault="00084A30" w:rsidP="004B4042">
      <w:pPr>
        <w:pStyle w:val="ListParagraph"/>
        <w:numPr>
          <w:ilvl w:val="0"/>
          <w:numId w:val="6"/>
        </w:numPr>
        <w:ind w:left="714" w:hanging="357"/>
        <w:contextualSpacing w:val="0"/>
      </w:pPr>
      <w:r>
        <w:t>There were no staff training events in December.</w:t>
      </w:r>
    </w:p>
    <w:p w:rsidR="00084A30" w:rsidRDefault="00084A30" w:rsidP="00084A30">
      <w:r>
        <w:rPr>
          <w:noProof/>
          <w:lang w:eastAsia="en-GB"/>
        </w:rPr>
        <w:drawing>
          <wp:anchor distT="0" distB="0" distL="114300" distR="114300" simplePos="0" relativeHeight="251734016" behindDoc="0" locked="0" layoutInCell="1" allowOverlap="1" wp14:anchorId="2CFE642E" wp14:editId="3656103A">
            <wp:simplePos x="0" y="0"/>
            <wp:positionH relativeFrom="column">
              <wp:posOffset>857885</wp:posOffset>
            </wp:positionH>
            <wp:positionV relativeFrom="paragraph">
              <wp:posOffset>215900</wp:posOffset>
            </wp:positionV>
            <wp:extent cx="4584700" cy="2755900"/>
            <wp:effectExtent l="0" t="0" r="635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9C78E2" w:rsidRDefault="009C78E2" w:rsidP="004B4042">
      <w:pPr>
        <w:pStyle w:val="ListParagraph"/>
        <w:numPr>
          <w:ilvl w:val="0"/>
          <w:numId w:val="40"/>
        </w:numPr>
        <w:ind w:left="717"/>
      </w:pPr>
      <w:r>
        <w:t>The apparent over-provision will be explored in more detail on an event by event basis.</w:t>
      </w:r>
    </w:p>
    <w:p w:rsidR="00084A30" w:rsidRDefault="00084A30" w:rsidP="00084A30"/>
    <w:p w:rsidR="00084A30" w:rsidRDefault="00084A30" w:rsidP="00084A30">
      <w:pPr>
        <w:pStyle w:val="Heading2"/>
      </w:pPr>
      <w:r>
        <w:lastRenderedPageBreak/>
        <w:t>Non-Staff (REC Members and Research Community)</w:t>
      </w:r>
    </w:p>
    <w:p w:rsidR="00084A30" w:rsidRPr="00C27BAE" w:rsidRDefault="00084A30" w:rsidP="00084A30"/>
    <w:tbl>
      <w:tblPr>
        <w:tblW w:w="4355" w:type="pct"/>
        <w:tblInd w:w="704" w:type="dxa"/>
        <w:tblLook w:val="04A0" w:firstRow="1" w:lastRow="0" w:firstColumn="1" w:lastColumn="0" w:noHBand="0" w:noVBand="1"/>
      </w:tblPr>
      <w:tblGrid>
        <w:gridCol w:w="2871"/>
        <w:gridCol w:w="3472"/>
        <w:gridCol w:w="2729"/>
      </w:tblGrid>
      <w:tr w:rsidR="00084A30" w:rsidRPr="00FB5E2C" w:rsidTr="004B4042">
        <w:trPr>
          <w:trHeight w:val="465"/>
        </w:trPr>
        <w:tc>
          <w:tcPr>
            <w:tcW w:w="287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booked</w:t>
            </w:r>
          </w:p>
        </w:tc>
        <w:tc>
          <w:tcPr>
            <w:tcW w:w="3472"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bookings attended</w:t>
            </w:r>
          </w:p>
        </w:tc>
        <w:tc>
          <w:tcPr>
            <w:tcW w:w="2729"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attended</w:t>
            </w:r>
          </w:p>
        </w:tc>
      </w:tr>
      <w:tr w:rsidR="00084A30" w:rsidRPr="00FB5E2C" w:rsidTr="004B4042">
        <w:trPr>
          <w:trHeight w:val="465"/>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92%</w:t>
            </w:r>
          </w:p>
        </w:tc>
        <w:tc>
          <w:tcPr>
            <w:tcW w:w="3472"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80%</w:t>
            </w:r>
          </w:p>
        </w:tc>
        <w:tc>
          <w:tcPr>
            <w:tcW w:w="2729"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74%</w:t>
            </w:r>
          </w:p>
        </w:tc>
      </w:tr>
    </w:tbl>
    <w:p w:rsidR="00084A30" w:rsidRDefault="009C78E2" w:rsidP="00084A30">
      <w:r>
        <w:rPr>
          <w:noProof/>
          <w:lang w:eastAsia="en-GB"/>
        </w:rPr>
        <w:drawing>
          <wp:anchor distT="0" distB="0" distL="114300" distR="114300" simplePos="0" relativeHeight="251735040" behindDoc="0" locked="0" layoutInCell="1" allowOverlap="1" wp14:anchorId="1EB960E8" wp14:editId="48C763F8">
            <wp:simplePos x="0" y="0"/>
            <wp:positionH relativeFrom="column">
              <wp:posOffset>1037590</wp:posOffset>
            </wp:positionH>
            <wp:positionV relativeFrom="paragraph">
              <wp:posOffset>213360</wp:posOffset>
            </wp:positionV>
            <wp:extent cx="4584700" cy="2755900"/>
            <wp:effectExtent l="0" t="0" r="635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084A30" w:rsidRDefault="00084A30" w:rsidP="004B4042">
      <w:pPr>
        <w:pStyle w:val="ListParagraph"/>
        <w:numPr>
          <w:ilvl w:val="0"/>
          <w:numId w:val="40"/>
        </w:numPr>
      </w:pPr>
      <w:r>
        <w:t xml:space="preserve">There </w:t>
      </w:r>
      <w:proofErr w:type="gramStart"/>
      <w:r>
        <w:t>was</w:t>
      </w:r>
      <w:proofErr w:type="gramEnd"/>
      <w:r>
        <w:t xml:space="preserve"> no non-staff training in August.</w:t>
      </w:r>
    </w:p>
    <w:p w:rsidR="00084A30" w:rsidRDefault="009C78E2" w:rsidP="00084A30">
      <w:r>
        <w:rPr>
          <w:noProof/>
          <w:lang w:eastAsia="en-GB"/>
        </w:rPr>
        <w:drawing>
          <wp:anchor distT="0" distB="0" distL="114300" distR="114300" simplePos="0" relativeHeight="251736064" behindDoc="0" locked="0" layoutInCell="1" allowOverlap="1" wp14:anchorId="24530A12" wp14:editId="20B61A60">
            <wp:simplePos x="0" y="0"/>
            <wp:positionH relativeFrom="column">
              <wp:posOffset>961390</wp:posOffset>
            </wp:positionH>
            <wp:positionV relativeFrom="paragraph">
              <wp:posOffset>62865</wp:posOffset>
            </wp:positionV>
            <wp:extent cx="4584700" cy="2755900"/>
            <wp:effectExtent l="0" t="0" r="6350" b="635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084A30" w:rsidRDefault="00084A30" w:rsidP="004B4042">
      <w:pPr>
        <w:pStyle w:val="ListParagraph"/>
        <w:numPr>
          <w:ilvl w:val="0"/>
          <w:numId w:val="40"/>
        </w:numPr>
      </w:pPr>
      <w:r>
        <w:t>The provision matches demand more closely for non-staff training.  The broadening of audiences beyond REC members, to include researchers and other members of the research community</w:t>
      </w:r>
      <w:r w:rsidR="00FB5E2C">
        <w:t>,</w:t>
      </w:r>
      <w:r>
        <w:t xml:space="preserve"> has increased demand for places. </w:t>
      </w:r>
    </w:p>
    <w:p w:rsidR="00084A30" w:rsidRDefault="00084A30" w:rsidP="00084A30">
      <w:pPr>
        <w:rPr>
          <w:rFonts w:eastAsiaTheme="majorEastAsia" w:cs="Arial"/>
          <w:b/>
          <w:bCs/>
          <w:color w:val="4F81BD" w:themeColor="accent1"/>
          <w:sz w:val="26"/>
          <w:szCs w:val="26"/>
        </w:rPr>
      </w:pPr>
      <w:r>
        <w:br w:type="page"/>
      </w:r>
    </w:p>
    <w:p w:rsidR="00084A30" w:rsidRDefault="004B4042" w:rsidP="00084A30">
      <w:pPr>
        <w:pStyle w:val="Heading2"/>
      </w:pPr>
      <w:r>
        <w:lastRenderedPageBreak/>
        <w:t>Geographical d</w:t>
      </w:r>
      <w:r w:rsidR="00084A30">
        <w:t>istribution</w:t>
      </w:r>
      <w:r>
        <w:t xml:space="preserve"> of all training provided</w:t>
      </w:r>
    </w:p>
    <w:p w:rsidR="00084A30" w:rsidRPr="00C27BAE" w:rsidRDefault="00084A30" w:rsidP="00084A30"/>
    <w:tbl>
      <w:tblPr>
        <w:tblW w:w="8200" w:type="dxa"/>
        <w:jc w:val="center"/>
        <w:tblInd w:w="103" w:type="dxa"/>
        <w:tblLook w:val="04A0" w:firstRow="1" w:lastRow="0" w:firstColumn="1" w:lastColumn="0" w:noHBand="0" w:noVBand="1"/>
      </w:tblPr>
      <w:tblGrid>
        <w:gridCol w:w="1480"/>
        <w:gridCol w:w="960"/>
        <w:gridCol w:w="960"/>
        <w:gridCol w:w="1622"/>
        <w:gridCol w:w="1537"/>
        <w:gridCol w:w="960"/>
        <w:gridCol w:w="1219"/>
        <w:gridCol w:w="1219"/>
      </w:tblGrid>
      <w:tr w:rsidR="00084A30" w:rsidRPr="00FB5E2C" w:rsidTr="004B4042">
        <w:trPr>
          <w:trHeight w:val="600"/>
          <w:jc w:val="center"/>
        </w:trPr>
        <w:tc>
          <w:tcPr>
            <w:tcW w:w="148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4A30" w:rsidRPr="004B4042" w:rsidRDefault="00084A30" w:rsidP="00FB5E2C">
            <w:pPr>
              <w:spacing w:after="0" w:line="240" w:lineRule="auto"/>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Location</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Events</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Seats</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Registrations</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Attendances</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Uptake %</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Bookings Attended %</w:t>
            </w:r>
          </w:p>
        </w:tc>
        <w:tc>
          <w:tcPr>
            <w:tcW w:w="960"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after="0" w:line="240" w:lineRule="auto"/>
              <w:jc w:val="center"/>
              <w:rPr>
                <w:rFonts w:eastAsia="Times New Roman" w:cs="Arial"/>
                <w:b/>
                <w:bCs/>
                <w:color w:val="FFFFFF" w:themeColor="background1"/>
                <w:szCs w:val="22"/>
                <w:lang w:eastAsia="en-GB"/>
              </w:rPr>
            </w:pPr>
            <w:r w:rsidRPr="004B4042">
              <w:rPr>
                <w:rFonts w:eastAsia="Times New Roman" w:cs="Arial"/>
                <w:b/>
                <w:bCs/>
                <w:color w:val="FFFFFF" w:themeColor="background1"/>
                <w:szCs w:val="22"/>
                <w:lang w:eastAsia="en-GB"/>
              </w:rPr>
              <w:t>Bookings not attended %</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London</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774</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693</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532</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69%</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23%</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Manchester</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354</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289</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271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82%</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77%</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Bristol</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125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87</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Jarrow</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101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Nottingham</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63</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72%</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Leeds</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58</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53</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4%</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Edinburgh</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26</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100%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77%</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23%</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Glasgow</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5%</w:t>
            </w:r>
          </w:p>
        </w:tc>
      </w:tr>
      <w:tr w:rsidR="00084A30" w:rsidRPr="00FB5E2C" w:rsidTr="004B404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rPr>
                <w:rFonts w:eastAsia="Times New Roman" w:cs="Arial"/>
                <w:color w:val="000000"/>
                <w:szCs w:val="22"/>
                <w:lang w:eastAsia="en-GB"/>
              </w:rPr>
            </w:pPr>
            <w:r w:rsidRPr="004B4042">
              <w:rPr>
                <w:rFonts w:eastAsia="Times New Roman" w:cs="Arial"/>
                <w:color w:val="000000"/>
                <w:szCs w:val="22"/>
                <w:lang w:eastAsia="en-GB"/>
              </w:rPr>
              <w:t>Dundee</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83%</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75%</w:t>
            </w:r>
          </w:p>
        </w:tc>
        <w:tc>
          <w:tcPr>
            <w:tcW w:w="960"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10%</w:t>
            </w:r>
          </w:p>
        </w:tc>
      </w:tr>
    </w:tbl>
    <w:p w:rsidR="00084A30" w:rsidRDefault="00084A30" w:rsidP="00084A30"/>
    <w:p w:rsidR="00084A30" w:rsidRDefault="009C78E2" w:rsidP="00FB5E2C">
      <w:r>
        <w:rPr>
          <w:noProof/>
          <w:lang w:eastAsia="en-GB"/>
        </w:rPr>
        <w:drawing>
          <wp:anchor distT="0" distB="0" distL="114300" distR="114300" simplePos="0" relativeHeight="251737088" behindDoc="0" locked="0" layoutInCell="1" allowOverlap="1" wp14:anchorId="051E9372" wp14:editId="010B233B">
            <wp:simplePos x="0" y="0"/>
            <wp:positionH relativeFrom="column">
              <wp:posOffset>847725</wp:posOffset>
            </wp:positionH>
            <wp:positionV relativeFrom="paragraph">
              <wp:posOffset>171450</wp:posOffset>
            </wp:positionV>
            <wp:extent cx="4913630" cy="2755900"/>
            <wp:effectExtent l="0" t="0" r="1270" b="635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3630" cy="2755900"/>
                    </a:xfrm>
                    <a:prstGeom prst="rect">
                      <a:avLst/>
                    </a:prstGeom>
                    <a:noFill/>
                  </pic:spPr>
                </pic:pic>
              </a:graphicData>
            </a:graphic>
            <wp14:sizeRelH relativeFrom="page">
              <wp14:pctWidth>0</wp14:pctWidth>
            </wp14:sizeRelH>
            <wp14:sizeRelV relativeFrom="page">
              <wp14:pctHeight>0</wp14:pctHeight>
            </wp14:sizeRelV>
          </wp:anchor>
        </w:drawing>
      </w:r>
    </w:p>
    <w:p w:rsidR="00084A30" w:rsidRDefault="00084A30" w:rsidP="004B4042">
      <w:pPr>
        <w:pStyle w:val="ListParagraph"/>
        <w:numPr>
          <w:ilvl w:val="0"/>
          <w:numId w:val="40"/>
        </w:numPr>
      </w:pPr>
      <w:r>
        <w:t xml:space="preserve">The majority of events are held in London and Manchester because those HRA offices have the largest in-house meeting rooms and are easily accessible via main rail routes.  </w:t>
      </w:r>
    </w:p>
    <w:p w:rsidR="00406B66" w:rsidRDefault="00406B66">
      <w:pPr>
        <w:spacing w:after="0" w:line="240" w:lineRule="auto"/>
      </w:pPr>
      <w:r>
        <w:br w:type="page"/>
      </w:r>
    </w:p>
    <w:p w:rsidR="00406B66" w:rsidRDefault="00406B66" w:rsidP="00EA79CD">
      <w:pPr>
        <w:spacing w:after="0"/>
      </w:pPr>
    </w:p>
    <w:p w:rsidR="00406B66" w:rsidRPr="00406B66" w:rsidRDefault="00406B66" w:rsidP="00EA79CD">
      <w:pPr>
        <w:pStyle w:val="Heading1"/>
        <w:spacing w:after="360"/>
        <w:rPr>
          <w:sz w:val="48"/>
          <w:szCs w:val="48"/>
        </w:rPr>
      </w:pPr>
      <w:r w:rsidRPr="00406B66">
        <w:rPr>
          <w:sz w:val="48"/>
          <w:szCs w:val="48"/>
        </w:rPr>
        <w:t>Section 5:  Research Ethics Committee 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406B66"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406B66" w:rsidRPr="00B25DF7" w:rsidRDefault="00406B66" w:rsidP="004621B7">
            <w:pPr>
              <w:spacing w:before="120"/>
              <w:jc w:val="left"/>
              <w:rPr>
                <w:b w:val="0"/>
                <w:color w:val="F79646" w:themeColor="accent6"/>
                <w:sz w:val="28"/>
              </w:rPr>
            </w:pPr>
            <w:r>
              <w:rPr>
                <w:b w:val="0"/>
                <w:color w:val="F79646" w:themeColor="accent6"/>
                <w:sz w:val="28"/>
              </w:rPr>
              <w:t>REC METRICS</w:t>
            </w:r>
          </w:p>
        </w:tc>
      </w:tr>
      <w:tr w:rsidR="00406B66" w:rsidTr="004621B7">
        <w:tc>
          <w:tcPr>
            <w:tcW w:w="10415" w:type="dxa"/>
          </w:tcPr>
          <w:p w:rsidR="00125FE7" w:rsidRPr="00125FE7" w:rsidRDefault="00CE6EFF" w:rsidP="00125FE7">
            <w:pPr>
              <w:numPr>
                <w:ilvl w:val="0"/>
                <w:numId w:val="6"/>
              </w:numPr>
              <w:ind w:left="357" w:hanging="357"/>
              <w:rPr>
                <w:rFonts w:cs="Arial"/>
                <w:szCs w:val="22"/>
              </w:rPr>
            </w:pPr>
            <w:r>
              <w:rPr>
                <w:rFonts w:cs="Arial"/>
                <w:szCs w:val="22"/>
              </w:rPr>
              <w:t>REC requirement is 60 calendar d</w:t>
            </w:r>
            <w:r w:rsidR="00EA79CD">
              <w:rPr>
                <w:rFonts w:cs="Arial"/>
                <w:szCs w:val="22"/>
              </w:rPr>
              <w:t>ays; the</w:t>
            </w:r>
            <w:r>
              <w:rPr>
                <w:rFonts w:cs="Arial"/>
                <w:szCs w:val="22"/>
              </w:rPr>
              <w:t xml:space="preserve"> HRA has set stretched targets of 95% within 40 calendar days for applications going through full committee</w:t>
            </w:r>
            <w:r w:rsidR="00125FE7">
              <w:rPr>
                <w:rFonts w:cs="Arial"/>
                <w:szCs w:val="22"/>
              </w:rPr>
              <w:t>.  2013/14 has seen a</w:t>
            </w:r>
            <w:r w:rsidR="00FB5E2C">
              <w:rPr>
                <w:rFonts w:cs="Arial"/>
                <w:szCs w:val="22"/>
              </w:rPr>
              <w:t xml:space="preserve"> continuing</w:t>
            </w:r>
            <w:r w:rsidR="00125FE7">
              <w:rPr>
                <w:rFonts w:cs="Arial"/>
                <w:szCs w:val="22"/>
              </w:rPr>
              <w:t xml:space="preserve"> improvement in the number of applications reviewed w</w:t>
            </w:r>
            <w:r w:rsidR="000F733D">
              <w:rPr>
                <w:rFonts w:cs="Arial"/>
                <w:szCs w:val="22"/>
              </w:rPr>
              <w:t>ithin statutory timelines</w:t>
            </w:r>
            <w:r w:rsidR="00FB5E2C">
              <w:rPr>
                <w:rFonts w:cs="Arial"/>
                <w:szCs w:val="22"/>
              </w:rPr>
              <w:t>, despite ongoing IT issues which have seriously comprised work output</w:t>
            </w:r>
            <w:r w:rsidR="00005A28">
              <w:rPr>
                <w:rFonts w:cs="Arial"/>
                <w:szCs w:val="22"/>
              </w:rPr>
              <w:t xml:space="preserve"> on many occasions</w:t>
            </w:r>
          </w:p>
          <w:p w:rsidR="00CE6EFF" w:rsidRDefault="00EA79CD" w:rsidP="004621B7">
            <w:pPr>
              <w:numPr>
                <w:ilvl w:val="0"/>
                <w:numId w:val="6"/>
              </w:numPr>
              <w:ind w:left="357" w:hanging="357"/>
              <w:rPr>
                <w:rFonts w:cs="Arial"/>
                <w:szCs w:val="22"/>
              </w:rPr>
            </w:pPr>
            <w:r>
              <w:rPr>
                <w:rFonts w:cs="Arial"/>
                <w:szCs w:val="22"/>
              </w:rPr>
              <w:t>Proportionate sub-committee review for low-</w:t>
            </w:r>
            <w:r w:rsidR="00CE6EFF">
              <w:rPr>
                <w:rFonts w:cs="Arial"/>
                <w:szCs w:val="22"/>
              </w:rPr>
              <w:t>risk studies has a target of 14 days</w:t>
            </w:r>
          </w:p>
          <w:p w:rsidR="00CE6EFF" w:rsidRDefault="00CE6EFF" w:rsidP="004621B7">
            <w:pPr>
              <w:numPr>
                <w:ilvl w:val="0"/>
                <w:numId w:val="6"/>
              </w:numPr>
              <w:ind w:left="357" w:hanging="357"/>
              <w:rPr>
                <w:rFonts w:cs="Arial"/>
                <w:szCs w:val="22"/>
              </w:rPr>
            </w:pPr>
            <w:r>
              <w:rPr>
                <w:rFonts w:cs="Arial"/>
                <w:szCs w:val="22"/>
              </w:rPr>
              <w:t xml:space="preserve">GTAC </w:t>
            </w:r>
            <w:r w:rsidR="00EA79CD">
              <w:rPr>
                <w:rFonts w:cs="Arial"/>
                <w:szCs w:val="22"/>
              </w:rPr>
              <w:t xml:space="preserve">(Gene Therapy Advisory Committee) </w:t>
            </w:r>
            <w:r>
              <w:rPr>
                <w:rFonts w:cs="Arial"/>
                <w:szCs w:val="22"/>
              </w:rPr>
              <w:t>has transferred to</w:t>
            </w:r>
            <w:r w:rsidR="00EA79CD">
              <w:rPr>
                <w:rFonts w:cs="Arial"/>
                <w:szCs w:val="22"/>
              </w:rPr>
              <w:t xml:space="preserve"> the</w:t>
            </w:r>
            <w:r>
              <w:rPr>
                <w:rFonts w:cs="Arial"/>
                <w:szCs w:val="22"/>
              </w:rPr>
              <w:t xml:space="preserve"> HRA and timelines have reduced significantly, but numbers are small so it is too soon to average</w:t>
            </w:r>
            <w:r w:rsidR="00EA79CD">
              <w:rPr>
                <w:rFonts w:cs="Arial"/>
                <w:szCs w:val="22"/>
              </w:rPr>
              <w:t xml:space="preserve">.  </w:t>
            </w:r>
            <w:r w:rsidR="000F733D">
              <w:rPr>
                <w:rFonts w:cs="Arial"/>
                <w:szCs w:val="22"/>
              </w:rPr>
              <w:t>GTAC requirement is 90 calendar days;</w:t>
            </w:r>
            <w:r w:rsidR="00125FE7">
              <w:rPr>
                <w:rFonts w:cs="Arial"/>
                <w:szCs w:val="22"/>
              </w:rPr>
              <w:t xml:space="preserve"> the HRA has stretched targets of 100% in 60 days. </w:t>
            </w:r>
            <w:r w:rsidR="000F733D">
              <w:rPr>
                <w:rFonts w:cs="Arial"/>
                <w:szCs w:val="22"/>
              </w:rPr>
              <w:t xml:space="preserve"> </w:t>
            </w:r>
            <w:r w:rsidR="00125FE7">
              <w:rPr>
                <w:rFonts w:cs="Arial"/>
                <w:szCs w:val="22"/>
              </w:rPr>
              <w:t>P</w:t>
            </w:r>
            <w:r>
              <w:rPr>
                <w:rFonts w:cs="Arial"/>
                <w:szCs w:val="22"/>
              </w:rPr>
              <w:t>revious data was over 100 days</w:t>
            </w:r>
          </w:p>
          <w:p w:rsidR="00CE6EFF" w:rsidRPr="00125FE7" w:rsidRDefault="007F2AE1" w:rsidP="00125FE7">
            <w:pPr>
              <w:numPr>
                <w:ilvl w:val="0"/>
                <w:numId w:val="6"/>
              </w:numPr>
              <w:ind w:left="357" w:hanging="357"/>
              <w:rPr>
                <w:rFonts w:cs="Arial"/>
                <w:szCs w:val="22"/>
              </w:rPr>
            </w:pPr>
            <w:r w:rsidRPr="00125FE7">
              <w:rPr>
                <w:rFonts w:cs="Arial"/>
                <w:szCs w:val="22"/>
              </w:rPr>
              <w:t>Reduction</w:t>
            </w:r>
            <w:r w:rsidR="00125FE7" w:rsidRPr="00125FE7">
              <w:rPr>
                <w:rFonts w:cs="Arial"/>
                <w:szCs w:val="22"/>
              </w:rPr>
              <w:t xml:space="preserve"> of applications</w:t>
            </w:r>
            <w:r w:rsidRPr="00125FE7">
              <w:rPr>
                <w:rFonts w:cs="Arial"/>
                <w:szCs w:val="22"/>
              </w:rPr>
              <w:t xml:space="preserve"> year-on-</w:t>
            </w:r>
            <w:r w:rsidR="00CE6EFF" w:rsidRPr="00125FE7">
              <w:rPr>
                <w:rFonts w:cs="Arial"/>
                <w:szCs w:val="22"/>
              </w:rPr>
              <w:t>year ha</w:t>
            </w:r>
            <w:r w:rsidR="00125FE7" w:rsidRPr="00125FE7">
              <w:rPr>
                <w:rFonts w:cs="Arial"/>
                <w:szCs w:val="22"/>
              </w:rPr>
              <w:t>s</w:t>
            </w:r>
            <w:r w:rsidR="00CE6EFF" w:rsidRPr="00125FE7">
              <w:rPr>
                <w:rFonts w:cs="Arial"/>
                <w:szCs w:val="22"/>
              </w:rPr>
              <w:t xml:space="preserve"> been due to service improvements, including database and tissue bank approvals which removed the need for individual applications</w:t>
            </w:r>
            <w:r w:rsidR="00457EF7">
              <w:rPr>
                <w:rFonts w:cs="Arial"/>
                <w:szCs w:val="22"/>
              </w:rPr>
              <w:t>, and</w:t>
            </w:r>
            <w:r w:rsidR="00125FE7" w:rsidRPr="00DB190D">
              <w:rPr>
                <w:rFonts w:cs="Arial"/>
                <w:szCs w:val="22"/>
              </w:rPr>
              <w:t xml:space="preserve"> </w:t>
            </w:r>
            <w:r w:rsidR="00CE6EFF" w:rsidRPr="00125FE7">
              <w:rPr>
                <w:rFonts w:cs="Arial"/>
                <w:szCs w:val="22"/>
              </w:rPr>
              <w:t>policy changes to REC remit</w:t>
            </w:r>
          </w:p>
          <w:p w:rsidR="00406B66" w:rsidRDefault="003C4B2F" w:rsidP="00457EF7">
            <w:pPr>
              <w:numPr>
                <w:ilvl w:val="0"/>
                <w:numId w:val="6"/>
              </w:numPr>
              <w:spacing w:after="240"/>
              <w:ind w:left="357" w:hanging="357"/>
            </w:pPr>
            <w:r>
              <w:rPr>
                <w:rFonts w:cs="Arial"/>
                <w:szCs w:val="22"/>
              </w:rPr>
              <w:t xml:space="preserve">Amendment requirements are 35 </w:t>
            </w:r>
            <w:r w:rsidR="00125FE7">
              <w:rPr>
                <w:rFonts w:cs="Arial"/>
                <w:szCs w:val="22"/>
              </w:rPr>
              <w:t xml:space="preserve">calendar </w:t>
            </w:r>
            <w:r w:rsidR="00EA79CD">
              <w:rPr>
                <w:rFonts w:cs="Arial"/>
                <w:szCs w:val="22"/>
              </w:rPr>
              <w:t xml:space="preserve">days </w:t>
            </w:r>
            <w:r>
              <w:rPr>
                <w:rFonts w:cs="Arial"/>
                <w:szCs w:val="22"/>
              </w:rPr>
              <w:t xml:space="preserve">and the HRA has set </w:t>
            </w:r>
            <w:r w:rsidR="007F2AE1">
              <w:rPr>
                <w:rFonts w:cs="Arial"/>
                <w:szCs w:val="22"/>
              </w:rPr>
              <w:t xml:space="preserve">a </w:t>
            </w:r>
            <w:r>
              <w:rPr>
                <w:rFonts w:cs="Arial"/>
                <w:szCs w:val="22"/>
              </w:rPr>
              <w:t>stretched target of 28 days</w:t>
            </w:r>
          </w:p>
        </w:tc>
      </w:tr>
    </w:tbl>
    <w:p w:rsidR="00406B66" w:rsidRPr="00EA79CD" w:rsidRDefault="00406B66" w:rsidP="00EA79CD">
      <w:pPr>
        <w:rPr>
          <w:sz w:val="16"/>
        </w:rPr>
      </w:pPr>
    </w:p>
    <w:p w:rsidR="00406B66" w:rsidRPr="00FA3816" w:rsidRDefault="00406B66" w:rsidP="00EA79CD">
      <w:pPr>
        <w:pStyle w:val="Heading2"/>
        <w:spacing w:before="120" w:after="120"/>
        <w:rPr>
          <w:sz w:val="28"/>
        </w:rPr>
      </w:pPr>
      <w:r w:rsidRPr="00FA3816">
        <w:rPr>
          <w:sz w:val="28"/>
        </w:rPr>
        <w:t xml:space="preserve">Time to complete </w:t>
      </w:r>
      <w:r w:rsidR="007A1960" w:rsidRPr="00FA3816">
        <w:rPr>
          <w:sz w:val="28"/>
        </w:rPr>
        <w:t xml:space="preserve">ethical </w:t>
      </w:r>
      <w:r w:rsidRPr="00FA3816">
        <w:rPr>
          <w:sz w:val="28"/>
        </w:rPr>
        <w:t>review – all application types</w:t>
      </w:r>
      <w:r w:rsidR="00F555B6" w:rsidRPr="00FA3816">
        <w:rPr>
          <w:sz w:val="28"/>
        </w:rPr>
        <w:t xml:space="preserve">, </w:t>
      </w:r>
      <w:r w:rsidRPr="00FA3816">
        <w:rPr>
          <w:sz w:val="28"/>
        </w:rPr>
        <w:t>England</w:t>
      </w:r>
      <w:r w:rsidR="007A1960" w:rsidRPr="00FA3816">
        <w:rPr>
          <w:sz w:val="28"/>
        </w:rPr>
        <w:t xml:space="preserve"> (year to date)</w:t>
      </w:r>
    </w:p>
    <w:p w:rsidR="00FA28DC" w:rsidRDefault="00FA28D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DB49B0" w:rsidRPr="00DB49B0" w:rsidTr="00DB49B0">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DB49B0" w:rsidRPr="00DB49B0" w:rsidRDefault="00DB49B0">
            <w:pPr>
              <w:spacing w:after="0" w:line="240" w:lineRule="auto"/>
              <w:rPr>
                <w:b w:val="0"/>
              </w:rPr>
            </w:pPr>
            <w:r>
              <w:rPr>
                <w:noProof/>
                <w:lang w:eastAsia="en-GB"/>
              </w:rPr>
              <w:drawing>
                <wp:anchor distT="0" distB="0" distL="114300" distR="114300" simplePos="0" relativeHeight="251739136" behindDoc="0" locked="0" layoutInCell="1" allowOverlap="1" wp14:anchorId="47F4BB4C" wp14:editId="12C22855">
                  <wp:simplePos x="0" y="0"/>
                  <wp:positionH relativeFrom="column">
                    <wp:posOffset>10160</wp:posOffset>
                  </wp:positionH>
                  <wp:positionV relativeFrom="paragraph">
                    <wp:posOffset>0</wp:posOffset>
                  </wp:positionV>
                  <wp:extent cx="6479540" cy="3862705"/>
                  <wp:effectExtent l="0" t="0" r="16510" b="23495"/>
                  <wp:wrapTopAndBottom/>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tc>
      </w:tr>
    </w:tbl>
    <w:p w:rsidR="00FA3816" w:rsidRDefault="00FA3816">
      <w:pPr>
        <w:spacing w:after="0" w:line="240" w:lineRule="auto"/>
      </w:pPr>
    </w:p>
    <w:p w:rsidR="00FA28DC" w:rsidRDefault="00FA28DC">
      <w:pPr>
        <w:spacing w:after="0" w:line="240" w:lineRule="auto"/>
      </w:pPr>
      <w:r>
        <w:br w:type="page"/>
      </w:r>
    </w:p>
    <w:p w:rsidR="00406B66" w:rsidRDefault="00406B66" w:rsidP="00014B40">
      <w:pPr>
        <w:spacing w:after="0"/>
      </w:pPr>
    </w:p>
    <w:p w:rsidR="00626504" w:rsidRDefault="00626504" w:rsidP="00014B40">
      <w:pPr>
        <w:pStyle w:val="Heading2"/>
        <w:spacing w:before="0" w:after="240"/>
      </w:pPr>
      <w:r w:rsidRPr="00626504">
        <w:t>Applications to RECs in Englan</w:t>
      </w:r>
      <w:r>
        <w:t>d</w:t>
      </w:r>
      <w:r w:rsidR="00F555B6">
        <w:t xml:space="preserve"> (year to date)</w:t>
      </w:r>
    </w:p>
    <w:tbl>
      <w:tblPr>
        <w:tblStyle w:val="TableGrid"/>
        <w:tblW w:w="5000" w:type="pct"/>
        <w:tblLook w:val="04A0" w:firstRow="1" w:lastRow="0" w:firstColumn="1" w:lastColumn="0" w:noHBand="0" w:noVBand="1"/>
      </w:tblPr>
      <w:tblGrid>
        <w:gridCol w:w="1129"/>
        <w:gridCol w:w="1544"/>
        <w:gridCol w:w="1206"/>
        <w:gridCol w:w="1206"/>
        <w:gridCol w:w="1206"/>
        <w:gridCol w:w="1292"/>
        <w:gridCol w:w="1626"/>
        <w:gridCol w:w="1206"/>
      </w:tblGrid>
      <w:tr w:rsidR="00626504" w:rsidRPr="00626504" w:rsidTr="00626504">
        <w:trPr>
          <w:cnfStyle w:val="100000000000" w:firstRow="1" w:lastRow="0" w:firstColumn="0" w:lastColumn="0" w:oddVBand="0" w:evenVBand="0" w:oddHBand="0" w:evenHBand="0" w:firstRowFirstColumn="0" w:firstRowLastColumn="0" w:lastRowFirstColumn="0" w:lastRowLastColumn="0"/>
          <w:trHeight w:val="615"/>
        </w:trPr>
        <w:tc>
          <w:tcPr>
            <w:tcW w:w="1129" w:type="dxa"/>
            <w:tcBorders>
              <w:top w:val="single" w:sz="8" w:space="0" w:color="auto"/>
              <w:bottom w:val="single" w:sz="8" w:space="0" w:color="auto"/>
              <w:right w:val="single" w:sz="12" w:space="0" w:color="auto"/>
            </w:tcBorders>
            <w:shd w:val="clear" w:color="auto" w:fill="7030A0"/>
            <w:noWrap/>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p>
        </w:tc>
        <w:tc>
          <w:tcPr>
            <w:tcW w:w="1544" w:type="dxa"/>
            <w:tcBorders>
              <w:top w:val="single" w:sz="8" w:space="0" w:color="auto"/>
              <w:left w:val="single" w:sz="12" w:space="0" w:color="auto"/>
              <w:bottom w:val="single" w:sz="8" w:space="0" w:color="auto"/>
              <w:right w:val="single" w:sz="12"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All applications</w:t>
            </w:r>
          </w:p>
        </w:tc>
        <w:tc>
          <w:tcPr>
            <w:tcW w:w="1206" w:type="dxa"/>
            <w:tcBorders>
              <w:top w:val="single" w:sz="8" w:space="0" w:color="auto"/>
              <w:left w:val="single" w:sz="12"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CTIMPs</w:t>
            </w:r>
          </w:p>
        </w:tc>
        <w:tc>
          <w:tcPr>
            <w:tcW w:w="1206" w:type="dxa"/>
            <w:tcBorders>
              <w:top w:val="single" w:sz="8" w:space="0" w:color="auto"/>
              <w:bottom w:val="single" w:sz="8" w:space="0" w:color="auto"/>
            </w:tcBorders>
            <w:shd w:val="clear" w:color="auto" w:fill="7030A0"/>
            <w:vAlign w:val="center"/>
            <w:hideMark/>
          </w:tcPr>
          <w:p w:rsidR="00626504" w:rsidRPr="00626504" w:rsidRDefault="00626504" w:rsidP="00626504">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Other (full review)</w:t>
            </w:r>
          </w:p>
        </w:tc>
        <w:tc>
          <w:tcPr>
            <w:tcW w:w="1206" w:type="dxa"/>
            <w:tcBorders>
              <w:top w:val="single" w:sz="8"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Research Tissue Bank</w:t>
            </w:r>
          </w:p>
        </w:tc>
        <w:tc>
          <w:tcPr>
            <w:tcW w:w="1292" w:type="dxa"/>
            <w:tcBorders>
              <w:top w:val="single" w:sz="8" w:space="0" w:color="auto"/>
              <w:bottom w:val="single" w:sz="8" w:space="0" w:color="auto"/>
              <w:right w:val="single" w:sz="12"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Research Databases</w:t>
            </w:r>
          </w:p>
        </w:tc>
        <w:tc>
          <w:tcPr>
            <w:tcW w:w="1626" w:type="dxa"/>
            <w:tcBorders>
              <w:top w:val="single" w:sz="8" w:space="0" w:color="auto"/>
              <w:left w:val="single" w:sz="12"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Pr>
                <w:rFonts w:cs="Arial"/>
                <w:color w:val="FFFFFF" w:themeColor="background1"/>
                <w:sz w:val="20"/>
                <w:szCs w:val="20"/>
              </w:rPr>
              <w:t>Proportionate r</w:t>
            </w:r>
            <w:r w:rsidRPr="00626504">
              <w:rPr>
                <w:rFonts w:cs="Arial"/>
                <w:color w:val="FFFFFF" w:themeColor="background1"/>
                <w:sz w:val="20"/>
                <w:szCs w:val="20"/>
              </w:rPr>
              <w:t>eview</w:t>
            </w:r>
          </w:p>
        </w:tc>
        <w:tc>
          <w:tcPr>
            <w:tcW w:w="1206" w:type="dxa"/>
            <w:tcBorders>
              <w:top w:val="single" w:sz="8"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 xml:space="preserve">Full review </w:t>
            </w:r>
            <w:r>
              <w:rPr>
                <w:rFonts w:cs="Arial"/>
                <w:color w:val="FFFFFF" w:themeColor="background1"/>
                <w:sz w:val="20"/>
                <w:szCs w:val="20"/>
              </w:rPr>
              <w:t>(</w:t>
            </w:r>
            <w:proofErr w:type="spellStart"/>
            <w:r w:rsidRPr="00626504">
              <w:rPr>
                <w:rFonts w:cs="Arial"/>
                <w:color w:val="FFFFFF" w:themeColor="background1"/>
                <w:sz w:val="20"/>
                <w:szCs w:val="20"/>
              </w:rPr>
              <w:t>inc.</w:t>
            </w:r>
            <w:proofErr w:type="spellEnd"/>
            <w:r w:rsidRPr="00626504">
              <w:rPr>
                <w:rFonts w:cs="Arial"/>
                <w:color w:val="FFFFFF" w:themeColor="background1"/>
                <w:sz w:val="20"/>
                <w:szCs w:val="20"/>
              </w:rPr>
              <w:t xml:space="preserve"> CTIMPs</w:t>
            </w:r>
            <w:r>
              <w:rPr>
                <w:rFonts w:cs="Arial"/>
                <w:color w:val="FFFFFF" w:themeColor="background1"/>
                <w:sz w:val="20"/>
                <w:szCs w:val="20"/>
              </w:rPr>
              <w:t>)</w:t>
            </w:r>
          </w:p>
        </w:tc>
      </w:tr>
      <w:tr w:rsidR="00FA3816" w:rsidRPr="00FA3816" w:rsidTr="00626504">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Apr-13</w:t>
            </w:r>
          </w:p>
        </w:tc>
        <w:tc>
          <w:tcPr>
            <w:tcW w:w="1544"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433</w:t>
            </w:r>
          </w:p>
        </w:tc>
        <w:tc>
          <w:tcPr>
            <w:tcW w:w="1206" w:type="dxa"/>
            <w:tcBorders>
              <w:top w:val="single" w:sz="8" w:space="0" w:color="auto"/>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58</w:t>
            </w:r>
          </w:p>
        </w:tc>
        <w:tc>
          <w:tcPr>
            <w:tcW w:w="1206"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283</w:t>
            </w:r>
          </w:p>
        </w:tc>
        <w:tc>
          <w:tcPr>
            <w:tcW w:w="1206"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92" w:type="dxa"/>
            <w:tcBorders>
              <w:top w:val="single" w:sz="8" w:space="0" w:color="auto"/>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1</w:t>
            </w:r>
          </w:p>
        </w:tc>
        <w:tc>
          <w:tcPr>
            <w:tcW w:w="1626"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88</w:t>
            </w:r>
          </w:p>
        </w:tc>
        <w:tc>
          <w:tcPr>
            <w:tcW w:w="1206"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345</w:t>
            </w:r>
          </w:p>
        </w:tc>
      </w:tr>
      <w:tr w:rsidR="00FA3816" w:rsidRPr="00FA3816" w:rsidTr="00626504">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May-13</w:t>
            </w:r>
          </w:p>
        </w:tc>
        <w:tc>
          <w:tcPr>
            <w:tcW w:w="1544"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431</w:t>
            </w:r>
          </w:p>
        </w:tc>
        <w:tc>
          <w:tcPr>
            <w:tcW w:w="1206"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62</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252</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92"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4</w:t>
            </w:r>
          </w:p>
        </w:tc>
        <w:tc>
          <w:tcPr>
            <w:tcW w:w="1626"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110</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321</w:t>
            </w:r>
          </w:p>
        </w:tc>
      </w:tr>
      <w:tr w:rsidR="00FA3816" w:rsidRPr="00FA3816" w:rsidTr="00626504">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Jun-13</w:t>
            </w:r>
          </w:p>
        </w:tc>
        <w:tc>
          <w:tcPr>
            <w:tcW w:w="1544"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378</w:t>
            </w:r>
          </w:p>
        </w:tc>
        <w:tc>
          <w:tcPr>
            <w:tcW w:w="1206"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56</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251</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292"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w:t>
            </w:r>
          </w:p>
        </w:tc>
        <w:tc>
          <w:tcPr>
            <w:tcW w:w="1626"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64</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314</w:t>
            </w:r>
          </w:p>
        </w:tc>
      </w:tr>
      <w:tr w:rsidR="00FA3816" w:rsidRPr="00FA3816" w:rsidTr="00626504">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Jul-13</w:t>
            </w:r>
          </w:p>
        </w:tc>
        <w:tc>
          <w:tcPr>
            <w:tcW w:w="1544"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449</w:t>
            </w:r>
          </w:p>
        </w:tc>
        <w:tc>
          <w:tcPr>
            <w:tcW w:w="1206"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83</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261</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292"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626"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95</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354</w:t>
            </w:r>
          </w:p>
        </w:tc>
      </w:tr>
      <w:tr w:rsidR="00FA3816" w:rsidRPr="00FA3816" w:rsidTr="00FA28D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Aug-13</w:t>
            </w:r>
          </w:p>
        </w:tc>
        <w:tc>
          <w:tcPr>
            <w:tcW w:w="1544"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352</w:t>
            </w:r>
          </w:p>
        </w:tc>
        <w:tc>
          <w:tcPr>
            <w:tcW w:w="1206"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55</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207</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92"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0</w:t>
            </w:r>
          </w:p>
        </w:tc>
        <w:tc>
          <w:tcPr>
            <w:tcW w:w="1626"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87</w:t>
            </w:r>
          </w:p>
        </w:tc>
        <w:tc>
          <w:tcPr>
            <w:tcW w:w="1206"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265</w:t>
            </w:r>
          </w:p>
        </w:tc>
      </w:tr>
      <w:tr w:rsidR="00FA3816" w:rsidRPr="00FA3816" w:rsidTr="00FA3816">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tcPr>
          <w:p w:rsidR="00FA28DC" w:rsidRPr="00005A28" w:rsidRDefault="00FA28DC" w:rsidP="00461DC0">
            <w:pPr>
              <w:spacing w:beforeLines="40" w:before="96" w:afterLines="40" w:after="96" w:line="240" w:lineRule="auto"/>
              <w:jc w:val="center"/>
              <w:rPr>
                <w:b/>
                <w:sz w:val="20"/>
                <w:szCs w:val="20"/>
              </w:rPr>
            </w:pPr>
            <w:r w:rsidRPr="00005A28">
              <w:rPr>
                <w:b/>
                <w:sz w:val="20"/>
                <w:szCs w:val="20"/>
              </w:rPr>
              <w:t>Sep-13</w:t>
            </w:r>
          </w:p>
        </w:tc>
        <w:tc>
          <w:tcPr>
            <w:tcW w:w="1544" w:type="dxa"/>
            <w:tcBorders>
              <w:top w:val="single" w:sz="8" w:space="0" w:color="auto"/>
              <w:left w:val="single" w:sz="12" w:space="0" w:color="auto"/>
              <w:bottom w:val="single" w:sz="8" w:space="0" w:color="auto"/>
              <w:right w:val="single" w:sz="12" w:space="0" w:color="auto"/>
            </w:tcBorders>
            <w:noWrap/>
          </w:tcPr>
          <w:p w:rsidR="00FA28DC" w:rsidRPr="00005A28" w:rsidRDefault="00FA28DC" w:rsidP="00461DC0">
            <w:pPr>
              <w:spacing w:beforeLines="40" w:before="96" w:afterLines="40" w:after="96" w:line="240" w:lineRule="auto"/>
              <w:jc w:val="center"/>
              <w:rPr>
                <w:sz w:val="20"/>
                <w:szCs w:val="20"/>
              </w:rPr>
            </w:pPr>
            <w:r w:rsidRPr="00005A28">
              <w:rPr>
                <w:sz w:val="20"/>
                <w:szCs w:val="20"/>
              </w:rPr>
              <w:t>364</w:t>
            </w:r>
          </w:p>
        </w:tc>
        <w:tc>
          <w:tcPr>
            <w:tcW w:w="1206" w:type="dxa"/>
            <w:tcBorders>
              <w:left w:val="single" w:sz="12"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66</w:t>
            </w:r>
          </w:p>
        </w:tc>
        <w:tc>
          <w:tcPr>
            <w:tcW w:w="1206"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206</w:t>
            </w:r>
          </w:p>
        </w:tc>
        <w:tc>
          <w:tcPr>
            <w:tcW w:w="1206"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4</w:t>
            </w:r>
          </w:p>
        </w:tc>
        <w:tc>
          <w:tcPr>
            <w:tcW w:w="1292" w:type="dxa"/>
            <w:tcBorders>
              <w:right w:val="single" w:sz="12"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4</w:t>
            </w:r>
          </w:p>
        </w:tc>
        <w:tc>
          <w:tcPr>
            <w:tcW w:w="1626" w:type="dxa"/>
            <w:tcBorders>
              <w:top w:val="single" w:sz="8" w:space="0" w:color="auto"/>
              <w:left w:val="single" w:sz="12" w:space="0" w:color="auto"/>
              <w:bottom w:val="single" w:sz="8"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84</w:t>
            </w:r>
          </w:p>
        </w:tc>
        <w:tc>
          <w:tcPr>
            <w:tcW w:w="1206"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280</w:t>
            </w:r>
          </w:p>
        </w:tc>
      </w:tr>
      <w:tr w:rsidR="00FA3816" w:rsidRPr="00FA3816" w:rsidTr="00014B40">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tcPr>
          <w:p w:rsidR="00FA3816" w:rsidRPr="00005A28" w:rsidRDefault="00FA3816" w:rsidP="00461DC0">
            <w:pPr>
              <w:spacing w:beforeLines="40" w:before="96" w:afterLines="40" w:after="96" w:line="240" w:lineRule="auto"/>
              <w:jc w:val="center"/>
              <w:rPr>
                <w:b/>
                <w:sz w:val="20"/>
                <w:szCs w:val="20"/>
              </w:rPr>
            </w:pPr>
            <w:r w:rsidRPr="00005A28">
              <w:rPr>
                <w:b/>
                <w:sz w:val="20"/>
                <w:szCs w:val="20"/>
              </w:rPr>
              <w:t>Oct-13</w:t>
            </w:r>
          </w:p>
        </w:tc>
        <w:tc>
          <w:tcPr>
            <w:tcW w:w="1544" w:type="dxa"/>
            <w:tcBorders>
              <w:top w:val="single" w:sz="8" w:space="0" w:color="auto"/>
              <w:left w:val="single" w:sz="12" w:space="0" w:color="auto"/>
              <w:bottom w:val="single" w:sz="8" w:space="0" w:color="auto"/>
              <w:right w:val="single" w:sz="12" w:space="0" w:color="auto"/>
            </w:tcBorders>
            <w:noWrap/>
          </w:tcPr>
          <w:p w:rsidR="00FA3816" w:rsidRPr="00005A28" w:rsidRDefault="00FA3816" w:rsidP="00461DC0">
            <w:pPr>
              <w:spacing w:beforeLines="40" w:before="96" w:afterLines="40" w:after="96" w:line="240" w:lineRule="auto"/>
              <w:jc w:val="center"/>
              <w:rPr>
                <w:sz w:val="20"/>
                <w:szCs w:val="20"/>
              </w:rPr>
            </w:pPr>
            <w:r w:rsidRPr="00005A28">
              <w:rPr>
                <w:sz w:val="20"/>
                <w:szCs w:val="20"/>
              </w:rPr>
              <w:t>452</w:t>
            </w:r>
          </w:p>
        </w:tc>
        <w:tc>
          <w:tcPr>
            <w:tcW w:w="1206" w:type="dxa"/>
            <w:tcBorders>
              <w:left w:val="single" w:sz="12" w:space="0" w:color="auto"/>
            </w:tcBorders>
            <w:noWrap/>
          </w:tcPr>
          <w:p w:rsidR="00FA3816" w:rsidRPr="004C1AB7" w:rsidRDefault="00FA3816" w:rsidP="00461DC0">
            <w:pPr>
              <w:spacing w:beforeLines="40" w:before="96" w:afterLines="40" w:after="96" w:line="240" w:lineRule="auto"/>
              <w:jc w:val="center"/>
            </w:pPr>
            <w:r w:rsidRPr="004C1AB7">
              <w:t>99</w:t>
            </w:r>
          </w:p>
        </w:tc>
        <w:tc>
          <w:tcPr>
            <w:tcW w:w="1206" w:type="dxa"/>
            <w:noWrap/>
          </w:tcPr>
          <w:p w:rsidR="00FA3816" w:rsidRPr="004C1AB7" w:rsidRDefault="00FA3816" w:rsidP="00461DC0">
            <w:pPr>
              <w:spacing w:beforeLines="40" w:before="96" w:afterLines="40" w:after="96" w:line="240" w:lineRule="auto"/>
              <w:jc w:val="center"/>
            </w:pPr>
            <w:r w:rsidRPr="004C1AB7">
              <w:t>257</w:t>
            </w:r>
          </w:p>
        </w:tc>
        <w:tc>
          <w:tcPr>
            <w:tcW w:w="1206" w:type="dxa"/>
            <w:noWrap/>
          </w:tcPr>
          <w:p w:rsidR="00FA3816" w:rsidRPr="004C1AB7" w:rsidRDefault="00FA3816" w:rsidP="00461DC0">
            <w:pPr>
              <w:spacing w:beforeLines="40" w:before="96" w:afterLines="40" w:after="96" w:line="240" w:lineRule="auto"/>
              <w:jc w:val="center"/>
            </w:pPr>
            <w:r w:rsidRPr="004C1AB7">
              <w:t>3</w:t>
            </w:r>
          </w:p>
        </w:tc>
        <w:tc>
          <w:tcPr>
            <w:tcW w:w="1292" w:type="dxa"/>
            <w:tcBorders>
              <w:right w:val="single" w:sz="12" w:space="0" w:color="auto"/>
            </w:tcBorders>
            <w:noWrap/>
          </w:tcPr>
          <w:p w:rsidR="00FA3816" w:rsidRPr="004C1AB7" w:rsidRDefault="00FA3816" w:rsidP="00461DC0">
            <w:pPr>
              <w:spacing w:beforeLines="40" w:before="96" w:afterLines="40" w:after="96" w:line="240" w:lineRule="auto"/>
              <w:jc w:val="center"/>
            </w:pPr>
            <w:r w:rsidRPr="004C1AB7">
              <w:t>1</w:t>
            </w:r>
          </w:p>
        </w:tc>
        <w:tc>
          <w:tcPr>
            <w:tcW w:w="1626" w:type="dxa"/>
            <w:tcBorders>
              <w:top w:val="single" w:sz="8" w:space="0" w:color="auto"/>
              <w:left w:val="single" w:sz="12" w:space="0" w:color="auto"/>
              <w:bottom w:val="single" w:sz="8" w:space="0" w:color="auto"/>
            </w:tcBorders>
            <w:noWrap/>
          </w:tcPr>
          <w:p w:rsidR="00FA3816" w:rsidRPr="004C1AB7" w:rsidRDefault="00FA3816" w:rsidP="00461DC0">
            <w:pPr>
              <w:spacing w:beforeLines="40" w:before="96" w:afterLines="40" w:after="96" w:line="240" w:lineRule="auto"/>
              <w:jc w:val="center"/>
            </w:pPr>
            <w:r w:rsidRPr="004C1AB7">
              <w:t>92</w:t>
            </w:r>
          </w:p>
        </w:tc>
        <w:tc>
          <w:tcPr>
            <w:tcW w:w="1206" w:type="dxa"/>
            <w:noWrap/>
          </w:tcPr>
          <w:p w:rsidR="00FA3816" w:rsidRPr="004C1AB7" w:rsidRDefault="00FA3816" w:rsidP="00461DC0">
            <w:pPr>
              <w:spacing w:beforeLines="40" w:before="96" w:afterLines="40" w:after="96" w:line="240" w:lineRule="auto"/>
              <w:jc w:val="center"/>
            </w:pPr>
            <w:r w:rsidRPr="004C1AB7">
              <w:t>360</w:t>
            </w:r>
          </w:p>
        </w:tc>
      </w:tr>
      <w:tr w:rsidR="00DB49B0" w:rsidRPr="00014B40" w:rsidTr="00DB49B0">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tcPr>
          <w:p w:rsidR="00DB49B0" w:rsidRPr="00005A28" w:rsidRDefault="00DB49B0" w:rsidP="00461DC0">
            <w:pPr>
              <w:spacing w:beforeLines="40" w:before="96" w:afterLines="40" w:after="96" w:line="240" w:lineRule="auto"/>
              <w:jc w:val="center"/>
              <w:rPr>
                <w:b/>
                <w:sz w:val="20"/>
                <w:szCs w:val="20"/>
              </w:rPr>
            </w:pPr>
            <w:r w:rsidRPr="00005A28">
              <w:rPr>
                <w:b/>
                <w:sz w:val="20"/>
                <w:szCs w:val="20"/>
              </w:rPr>
              <w:t>Nov-13</w:t>
            </w:r>
          </w:p>
        </w:tc>
        <w:tc>
          <w:tcPr>
            <w:tcW w:w="1544" w:type="dxa"/>
            <w:tcBorders>
              <w:top w:val="single" w:sz="8" w:space="0" w:color="auto"/>
              <w:left w:val="single" w:sz="12" w:space="0" w:color="auto"/>
              <w:bottom w:val="single" w:sz="8" w:space="0" w:color="auto"/>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380</w:t>
            </w:r>
          </w:p>
        </w:tc>
        <w:tc>
          <w:tcPr>
            <w:tcW w:w="1206" w:type="dxa"/>
            <w:tcBorders>
              <w:lef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80</w:t>
            </w:r>
          </w:p>
        </w:tc>
        <w:tc>
          <w:tcPr>
            <w:tcW w:w="1206" w:type="dxa"/>
            <w:noWrap/>
            <w:vAlign w:val="center"/>
          </w:tcPr>
          <w:p w:rsidR="00DB49B0" w:rsidRPr="00DB49B0" w:rsidRDefault="00DB49B0" w:rsidP="00DB49B0">
            <w:pPr>
              <w:spacing w:after="0" w:line="240" w:lineRule="auto"/>
              <w:jc w:val="center"/>
              <w:rPr>
                <w:sz w:val="20"/>
              </w:rPr>
            </w:pPr>
            <w:r w:rsidRPr="00DB49B0">
              <w:rPr>
                <w:sz w:val="20"/>
              </w:rPr>
              <w:t>221</w:t>
            </w:r>
          </w:p>
        </w:tc>
        <w:tc>
          <w:tcPr>
            <w:tcW w:w="1206" w:type="dxa"/>
            <w:noWrap/>
            <w:vAlign w:val="center"/>
          </w:tcPr>
          <w:p w:rsidR="00DB49B0" w:rsidRPr="00DB49B0" w:rsidRDefault="00DB49B0" w:rsidP="00DB49B0">
            <w:pPr>
              <w:spacing w:after="0" w:line="240" w:lineRule="auto"/>
              <w:jc w:val="center"/>
              <w:rPr>
                <w:sz w:val="20"/>
              </w:rPr>
            </w:pPr>
            <w:r w:rsidRPr="00DB49B0">
              <w:rPr>
                <w:sz w:val="20"/>
              </w:rPr>
              <w:t>5</w:t>
            </w:r>
          </w:p>
        </w:tc>
        <w:tc>
          <w:tcPr>
            <w:tcW w:w="1292" w:type="dxa"/>
            <w:tcBorders>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w:t>
            </w:r>
          </w:p>
        </w:tc>
        <w:tc>
          <w:tcPr>
            <w:tcW w:w="1626" w:type="dxa"/>
            <w:tcBorders>
              <w:top w:val="single" w:sz="8" w:space="0" w:color="auto"/>
              <w:left w:val="single" w:sz="12" w:space="0" w:color="auto"/>
              <w:bottom w:val="single" w:sz="8" w:space="0" w:color="auto"/>
            </w:tcBorders>
            <w:noWrap/>
            <w:vAlign w:val="center"/>
          </w:tcPr>
          <w:p w:rsidR="00DB49B0" w:rsidRPr="00DB49B0" w:rsidRDefault="00DB49B0" w:rsidP="00DB49B0">
            <w:pPr>
              <w:spacing w:after="0" w:line="240" w:lineRule="auto"/>
              <w:jc w:val="center"/>
              <w:rPr>
                <w:sz w:val="20"/>
              </w:rPr>
            </w:pPr>
            <w:r w:rsidRPr="00DB49B0">
              <w:rPr>
                <w:sz w:val="20"/>
              </w:rPr>
              <w:t>71</w:t>
            </w:r>
          </w:p>
        </w:tc>
        <w:tc>
          <w:tcPr>
            <w:tcW w:w="1206" w:type="dxa"/>
            <w:noWrap/>
            <w:vAlign w:val="center"/>
          </w:tcPr>
          <w:p w:rsidR="00DB49B0" w:rsidRPr="00DB49B0" w:rsidRDefault="00DB49B0" w:rsidP="00DB49B0">
            <w:pPr>
              <w:spacing w:after="0" w:line="240" w:lineRule="auto"/>
              <w:jc w:val="center"/>
              <w:rPr>
                <w:sz w:val="20"/>
              </w:rPr>
            </w:pPr>
            <w:r w:rsidRPr="00DB49B0">
              <w:rPr>
                <w:sz w:val="20"/>
              </w:rPr>
              <w:t>309</w:t>
            </w:r>
          </w:p>
        </w:tc>
      </w:tr>
      <w:tr w:rsidR="00DB49B0" w:rsidRPr="00014B40" w:rsidTr="00DB49B0">
        <w:trPr>
          <w:trHeight w:val="300"/>
        </w:trPr>
        <w:tc>
          <w:tcPr>
            <w:tcW w:w="1129" w:type="dxa"/>
            <w:tcBorders>
              <w:top w:val="single" w:sz="8" w:space="0" w:color="auto"/>
              <w:bottom w:val="single" w:sz="12" w:space="0" w:color="auto"/>
              <w:right w:val="single" w:sz="12" w:space="0" w:color="auto"/>
            </w:tcBorders>
            <w:shd w:val="clear" w:color="auto" w:fill="CCC0D9" w:themeFill="accent4" w:themeFillTint="66"/>
            <w:noWrap/>
            <w:vAlign w:val="center"/>
          </w:tcPr>
          <w:p w:rsidR="00DB49B0" w:rsidRPr="00005A28" w:rsidRDefault="00DB49B0" w:rsidP="00461DC0">
            <w:pPr>
              <w:spacing w:beforeLines="40" w:before="96" w:afterLines="40" w:after="96" w:line="240" w:lineRule="auto"/>
              <w:jc w:val="center"/>
              <w:rPr>
                <w:b/>
                <w:sz w:val="20"/>
                <w:szCs w:val="20"/>
              </w:rPr>
            </w:pPr>
            <w:r w:rsidRPr="00005A28">
              <w:rPr>
                <w:b/>
                <w:sz w:val="20"/>
                <w:szCs w:val="20"/>
              </w:rPr>
              <w:t>Dec-13</w:t>
            </w:r>
          </w:p>
        </w:tc>
        <w:tc>
          <w:tcPr>
            <w:tcW w:w="1544" w:type="dxa"/>
            <w:tcBorders>
              <w:top w:val="single" w:sz="8" w:space="0" w:color="auto"/>
              <w:left w:val="single" w:sz="12" w:space="0" w:color="auto"/>
              <w:bottom w:val="single" w:sz="12" w:space="0" w:color="auto"/>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398</w:t>
            </w:r>
          </w:p>
        </w:tc>
        <w:tc>
          <w:tcPr>
            <w:tcW w:w="1206" w:type="dxa"/>
            <w:tcBorders>
              <w:lef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75</w:t>
            </w:r>
          </w:p>
        </w:tc>
        <w:tc>
          <w:tcPr>
            <w:tcW w:w="1206" w:type="dxa"/>
            <w:noWrap/>
            <w:vAlign w:val="center"/>
          </w:tcPr>
          <w:p w:rsidR="00DB49B0" w:rsidRPr="00DB49B0" w:rsidRDefault="00DB49B0" w:rsidP="00DB49B0">
            <w:pPr>
              <w:spacing w:after="0" w:line="240" w:lineRule="auto"/>
              <w:jc w:val="center"/>
              <w:rPr>
                <w:sz w:val="20"/>
              </w:rPr>
            </w:pPr>
            <w:r w:rsidRPr="00DB49B0">
              <w:rPr>
                <w:sz w:val="20"/>
              </w:rPr>
              <w:t>240</w:t>
            </w:r>
          </w:p>
        </w:tc>
        <w:tc>
          <w:tcPr>
            <w:tcW w:w="1206" w:type="dxa"/>
            <w:noWrap/>
            <w:vAlign w:val="center"/>
          </w:tcPr>
          <w:p w:rsidR="00DB49B0" w:rsidRPr="00DB49B0" w:rsidRDefault="00DB49B0" w:rsidP="00DB49B0">
            <w:pPr>
              <w:spacing w:after="0" w:line="240" w:lineRule="auto"/>
              <w:jc w:val="center"/>
              <w:rPr>
                <w:sz w:val="20"/>
              </w:rPr>
            </w:pPr>
            <w:r w:rsidRPr="00DB49B0">
              <w:rPr>
                <w:sz w:val="20"/>
              </w:rPr>
              <w:t>4</w:t>
            </w:r>
          </w:p>
        </w:tc>
        <w:tc>
          <w:tcPr>
            <w:tcW w:w="1292" w:type="dxa"/>
            <w:tcBorders>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4</w:t>
            </w:r>
          </w:p>
        </w:tc>
        <w:tc>
          <w:tcPr>
            <w:tcW w:w="1626" w:type="dxa"/>
            <w:tcBorders>
              <w:top w:val="single" w:sz="8" w:space="0" w:color="auto"/>
              <w:left w:val="single" w:sz="12" w:space="0" w:color="auto"/>
              <w:bottom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75</w:t>
            </w:r>
          </w:p>
        </w:tc>
        <w:tc>
          <w:tcPr>
            <w:tcW w:w="1206" w:type="dxa"/>
            <w:noWrap/>
            <w:vAlign w:val="center"/>
          </w:tcPr>
          <w:p w:rsidR="00DB49B0" w:rsidRPr="00DB49B0" w:rsidRDefault="00DB49B0" w:rsidP="00DB49B0">
            <w:pPr>
              <w:spacing w:after="0" w:line="240" w:lineRule="auto"/>
              <w:jc w:val="center"/>
              <w:rPr>
                <w:sz w:val="20"/>
              </w:rPr>
            </w:pPr>
            <w:r w:rsidRPr="00DB49B0">
              <w:rPr>
                <w:sz w:val="20"/>
              </w:rPr>
              <w:t>323</w:t>
            </w:r>
          </w:p>
        </w:tc>
      </w:tr>
    </w:tbl>
    <w:p w:rsidR="00F555B6" w:rsidRPr="009C4825" w:rsidRDefault="009C4825" w:rsidP="00461DC0">
      <w:pPr>
        <w:spacing w:before="120" w:after="360"/>
        <w:ind w:left="1440"/>
        <w:rPr>
          <w:sz w:val="20"/>
        </w:rPr>
      </w:pPr>
      <w:r>
        <w:rPr>
          <w:sz w:val="20"/>
        </w:rPr>
        <w:t xml:space="preserve">CTIMP: </w:t>
      </w:r>
      <w:r w:rsidR="00CE6EFF" w:rsidRPr="009C4825">
        <w:rPr>
          <w:sz w:val="20"/>
        </w:rPr>
        <w:t>Clinical Trial of Investigational Medicinal Product</w:t>
      </w:r>
    </w:p>
    <w:p w:rsidR="00F555B6" w:rsidRPr="00FA3816" w:rsidRDefault="00F555B6" w:rsidP="00F555B6">
      <w:pPr>
        <w:pStyle w:val="Heading2"/>
        <w:spacing w:after="240"/>
        <w:rPr>
          <w:sz w:val="28"/>
        </w:rPr>
      </w:pPr>
      <w:r w:rsidRPr="00FA3816">
        <w:rPr>
          <w:sz w:val="28"/>
        </w:rPr>
        <w:t>Total applications reviewed in England (year 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F555B6" w:rsidRPr="00DB49B0" w:rsidTr="004621B7">
        <w:trPr>
          <w:cnfStyle w:val="100000000000" w:firstRow="1" w:lastRow="0" w:firstColumn="0" w:lastColumn="0" w:oddVBand="0" w:evenVBand="0" w:oddHBand="0" w:evenHBand="0" w:firstRowFirstColumn="0" w:firstRowLastColumn="0" w:lastRowFirstColumn="0" w:lastRowLastColumn="0"/>
          <w:cantSplit/>
          <w:trHeight w:val="4001"/>
        </w:trPr>
        <w:tc>
          <w:tcPr>
            <w:tcW w:w="10415" w:type="dxa"/>
            <w:tcBorders>
              <w:top w:val="none" w:sz="0" w:space="0" w:color="auto"/>
              <w:left w:val="none" w:sz="0" w:space="0" w:color="auto"/>
              <w:bottom w:val="none" w:sz="0" w:space="0" w:color="auto"/>
              <w:right w:val="none" w:sz="0" w:space="0" w:color="auto"/>
            </w:tcBorders>
            <w:shd w:val="clear" w:color="auto" w:fill="auto"/>
          </w:tcPr>
          <w:p w:rsidR="00F555B6" w:rsidRPr="00DB49B0" w:rsidRDefault="00DB49B0" w:rsidP="004621B7">
            <w:pPr>
              <w:spacing w:after="0" w:line="240" w:lineRule="auto"/>
              <w:rPr>
                <w:b w:val="0"/>
                <w:noProof/>
                <w:lang w:eastAsia="en-GB"/>
              </w:rPr>
            </w:pPr>
            <w:r>
              <w:rPr>
                <w:noProof/>
                <w:lang w:eastAsia="en-GB"/>
              </w:rPr>
              <w:drawing>
                <wp:inline distT="0" distB="0" distL="0" distR="0" wp14:anchorId="3D91F090" wp14:editId="22C69A2F">
                  <wp:extent cx="6480000" cy="3855600"/>
                  <wp:effectExtent l="0" t="0" r="16510" b="1206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49B0" w:rsidRPr="00DB49B0" w:rsidRDefault="00DB49B0" w:rsidP="004621B7">
            <w:pPr>
              <w:spacing w:after="0" w:line="240" w:lineRule="auto"/>
              <w:rPr>
                <w:b w:val="0"/>
                <w:noProof/>
                <w:lang w:eastAsia="en-GB"/>
              </w:rPr>
            </w:pPr>
          </w:p>
        </w:tc>
      </w:tr>
    </w:tbl>
    <w:p w:rsidR="005A03A0" w:rsidRDefault="005A03A0">
      <w:pPr>
        <w:spacing w:after="0" w:line="240" w:lineRule="auto"/>
      </w:pPr>
    </w:p>
    <w:p w:rsidR="00F555B6" w:rsidRDefault="00A77904" w:rsidP="005A03A0">
      <w:pPr>
        <w:pStyle w:val="Heading2"/>
        <w:spacing w:before="0" w:after="240"/>
      </w:pPr>
      <w:r>
        <w:t>Review of full applications – c</w:t>
      </w:r>
      <w:r w:rsidR="00F555B6">
        <w:t xml:space="preserve">omparison of </w:t>
      </w:r>
      <w:r>
        <w:t>Centres</w:t>
      </w:r>
      <w:r w:rsidR="00F555B6">
        <w:t>,</w:t>
      </w:r>
      <w:r w:rsidR="00F555B6" w:rsidRPr="00626504">
        <w:t xml:space="preserve"> Englan</w:t>
      </w:r>
      <w:r w:rsidR="00F555B6">
        <w:t>d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F555B6" w:rsidRPr="00E26DE8" w:rsidTr="004621B7">
        <w:trPr>
          <w:cnfStyle w:val="100000000000" w:firstRow="1" w:lastRow="0" w:firstColumn="0" w:lastColumn="0" w:oddVBand="0" w:evenVBand="0" w:oddHBand="0" w:evenHBand="0" w:firstRowFirstColumn="0" w:firstRowLastColumn="0" w:lastRowFirstColumn="0" w:lastRowLastColumn="0"/>
          <w:trHeight w:val="3172"/>
        </w:trPr>
        <w:tc>
          <w:tcPr>
            <w:tcW w:w="10415" w:type="dxa"/>
            <w:tcBorders>
              <w:top w:val="none" w:sz="0" w:space="0" w:color="auto"/>
              <w:left w:val="none" w:sz="0" w:space="0" w:color="auto"/>
              <w:bottom w:val="none" w:sz="0" w:space="0" w:color="auto"/>
              <w:right w:val="none" w:sz="0" w:space="0" w:color="auto"/>
            </w:tcBorders>
            <w:shd w:val="clear" w:color="auto" w:fill="auto"/>
          </w:tcPr>
          <w:p w:rsidR="00A77904" w:rsidRDefault="00DB49B0" w:rsidP="00A77904">
            <w:pPr>
              <w:tabs>
                <w:tab w:val="left" w:pos="555"/>
              </w:tabs>
              <w:spacing w:before="120" w:after="0"/>
              <w:ind w:left="555"/>
              <w:jc w:val="left"/>
              <w:rPr>
                <w:noProof/>
                <w:lang w:eastAsia="en-GB"/>
              </w:rPr>
            </w:pPr>
            <w:r>
              <w:rPr>
                <w:noProof/>
                <w:lang w:eastAsia="en-GB"/>
              </w:rPr>
              <w:drawing>
                <wp:anchor distT="0" distB="0" distL="114300" distR="114300" simplePos="0" relativeHeight="251741184" behindDoc="0" locked="0" layoutInCell="1" allowOverlap="1" wp14:anchorId="3815B6B2" wp14:editId="340E984A">
                  <wp:simplePos x="0" y="0"/>
                  <wp:positionH relativeFrom="column">
                    <wp:posOffset>-17780</wp:posOffset>
                  </wp:positionH>
                  <wp:positionV relativeFrom="paragraph">
                    <wp:posOffset>0</wp:posOffset>
                  </wp:positionV>
                  <wp:extent cx="6479540" cy="3779520"/>
                  <wp:effectExtent l="0" t="0" r="16510" b="11430"/>
                  <wp:wrapTopAndBottom/>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A77904">
              <w:rPr>
                <w:rFonts w:cs="Arial"/>
                <w:b w:val="0"/>
                <w:sz w:val="20"/>
                <w:szCs w:val="22"/>
              </w:rPr>
              <w:t xml:space="preserve">Statutory timeline </w:t>
            </w:r>
            <w:r w:rsidR="00A77904" w:rsidRPr="007A1960">
              <w:rPr>
                <w:rFonts w:cs="Arial"/>
                <w:b w:val="0"/>
                <w:sz w:val="20"/>
                <w:szCs w:val="22"/>
              </w:rPr>
              <w:t xml:space="preserve">is </w:t>
            </w:r>
            <w:r w:rsidR="00A77904">
              <w:rPr>
                <w:rFonts w:cs="Arial"/>
                <w:b w:val="0"/>
                <w:sz w:val="20"/>
                <w:szCs w:val="22"/>
              </w:rPr>
              <w:t>60</w:t>
            </w:r>
            <w:r w:rsidR="00A77904" w:rsidRPr="007A1960">
              <w:rPr>
                <w:rFonts w:cs="Arial"/>
                <w:b w:val="0"/>
                <w:sz w:val="20"/>
                <w:szCs w:val="22"/>
              </w:rPr>
              <w:t xml:space="preserve"> calendar </w:t>
            </w:r>
            <w:r w:rsidR="00A77904">
              <w:rPr>
                <w:rFonts w:cs="Arial"/>
                <w:b w:val="0"/>
                <w:sz w:val="20"/>
                <w:szCs w:val="22"/>
              </w:rPr>
              <w:t xml:space="preserve">days – Business Plan </w:t>
            </w:r>
            <w:r w:rsidR="00A77904" w:rsidRPr="007A1960">
              <w:rPr>
                <w:rFonts w:cs="Arial"/>
                <w:b w:val="0"/>
                <w:sz w:val="20"/>
                <w:szCs w:val="22"/>
              </w:rPr>
              <w:t xml:space="preserve">KPI objective is </w:t>
            </w:r>
            <w:r w:rsidR="00A77904">
              <w:rPr>
                <w:rFonts w:cs="Arial"/>
                <w:b w:val="0"/>
                <w:sz w:val="20"/>
                <w:szCs w:val="22"/>
              </w:rPr>
              <w:t>40</w:t>
            </w:r>
            <w:r w:rsidR="00A77904" w:rsidRPr="007A1960">
              <w:rPr>
                <w:rFonts w:cs="Arial"/>
                <w:b w:val="0"/>
                <w:sz w:val="20"/>
                <w:szCs w:val="22"/>
              </w:rPr>
              <w:t xml:space="preserve"> calendar days</w:t>
            </w:r>
            <w:r w:rsidR="00A77904">
              <w:rPr>
                <w:noProof/>
                <w:lang w:eastAsia="en-GB"/>
              </w:rPr>
              <w:t xml:space="preserve"> </w:t>
            </w:r>
          </w:p>
          <w:p w:rsidR="00461DC0" w:rsidRPr="00781487" w:rsidRDefault="00461DC0" w:rsidP="00461DC0">
            <w:pPr>
              <w:tabs>
                <w:tab w:val="left" w:pos="555"/>
              </w:tabs>
              <w:spacing w:before="0" w:after="0"/>
              <w:jc w:val="left"/>
              <w:rPr>
                <w:b w:val="0"/>
              </w:rPr>
            </w:pPr>
          </w:p>
        </w:tc>
      </w:tr>
    </w:tbl>
    <w:p w:rsidR="00F555B6" w:rsidRDefault="00F555B6" w:rsidP="00081181">
      <w:pPr>
        <w:spacing w:after="0"/>
      </w:pPr>
    </w:p>
    <w:p w:rsidR="00E63DDC" w:rsidRDefault="00E63DDC" w:rsidP="00081181">
      <w:pPr>
        <w:spacing w:after="0"/>
      </w:pPr>
    </w:p>
    <w:tbl>
      <w:tblPr>
        <w:tblStyle w:val="TableGrid"/>
        <w:tblW w:w="5000" w:type="pct"/>
        <w:tblLook w:val="04A0" w:firstRow="1" w:lastRow="0" w:firstColumn="1" w:lastColumn="0" w:noHBand="0" w:noVBand="1"/>
      </w:tblPr>
      <w:tblGrid>
        <w:gridCol w:w="2093"/>
        <w:gridCol w:w="1984"/>
        <w:gridCol w:w="2127"/>
        <w:gridCol w:w="2128"/>
        <w:gridCol w:w="2083"/>
      </w:tblGrid>
      <w:tr w:rsidR="00A77904" w:rsidRPr="00A77904" w:rsidTr="00A77904">
        <w:trPr>
          <w:cnfStyle w:val="100000000000" w:firstRow="1" w:lastRow="0" w:firstColumn="0" w:lastColumn="0" w:oddVBand="0" w:evenVBand="0" w:oddHBand="0" w:evenHBand="0" w:firstRowFirstColumn="0" w:firstRowLastColumn="0" w:lastRowFirstColumn="0" w:lastRowLastColumn="0"/>
          <w:trHeight w:val="600"/>
        </w:trPr>
        <w:tc>
          <w:tcPr>
            <w:tcW w:w="2093" w:type="dxa"/>
            <w:shd w:val="clear" w:color="auto" w:fill="7030A0"/>
            <w:vAlign w:val="center"/>
            <w:hideMark/>
          </w:tcPr>
          <w:p w:rsidR="00A77904" w:rsidRPr="00A77904" w:rsidRDefault="00A77904" w:rsidP="00A77904">
            <w:pPr>
              <w:jc w:val="left"/>
              <w:rPr>
                <w:bCs/>
                <w:color w:val="FFFFFF" w:themeColor="background1"/>
              </w:rPr>
            </w:pPr>
            <w:r w:rsidRPr="00A77904">
              <w:rPr>
                <w:bCs/>
                <w:color w:val="FFFFFF" w:themeColor="background1"/>
              </w:rPr>
              <w:t>REC Centre</w:t>
            </w:r>
          </w:p>
        </w:tc>
        <w:tc>
          <w:tcPr>
            <w:tcW w:w="1984" w:type="dxa"/>
            <w:shd w:val="clear" w:color="auto" w:fill="7030A0"/>
            <w:vAlign w:val="center"/>
            <w:hideMark/>
          </w:tcPr>
          <w:p w:rsidR="00A77904" w:rsidRPr="00A77904" w:rsidRDefault="00A77904" w:rsidP="00A77904">
            <w:pPr>
              <w:rPr>
                <w:b w:val="0"/>
                <w:color w:val="FFFFFF" w:themeColor="background1"/>
                <w:sz w:val="20"/>
              </w:rPr>
            </w:pPr>
            <w:r w:rsidRPr="00A77904">
              <w:rPr>
                <w:color w:val="FFFFFF" w:themeColor="background1"/>
              </w:rPr>
              <w:t xml:space="preserve">Total no. applications </w:t>
            </w:r>
            <w:r w:rsidRPr="00A77904">
              <w:rPr>
                <w:b w:val="0"/>
                <w:color w:val="FFFFFF" w:themeColor="background1"/>
                <w:sz w:val="20"/>
              </w:rPr>
              <w:t>(year to date)</w:t>
            </w:r>
          </w:p>
        </w:tc>
        <w:tc>
          <w:tcPr>
            <w:tcW w:w="2127"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Mean average time to process</w:t>
            </w:r>
          </w:p>
        </w:tc>
        <w:tc>
          <w:tcPr>
            <w:tcW w:w="2128"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Complete within 40 days (%)</w:t>
            </w:r>
          </w:p>
        </w:tc>
        <w:tc>
          <w:tcPr>
            <w:tcW w:w="2083"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Complete within 60 days (%)</w:t>
            </w:r>
          </w:p>
        </w:tc>
      </w:tr>
      <w:tr w:rsidR="00A77904" w:rsidRPr="00950227" w:rsidTr="00A77904">
        <w:trPr>
          <w:trHeight w:val="300"/>
        </w:trPr>
        <w:tc>
          <w:tcPr>
            <w:tcW w:w="2093" w:type="dxa"/>
            <w:tcBorders>
              <w:top w:val="single" w:sz="12" w:space="0" w:color="auto"/>
              <w:bottom w:val="single" w:sz="8" w:space="0" w:color="auto"/>
            </w:tcBorders>
            <w:shd w:val="clear" w:color="auto" w:fill="CCC0D9" w:themeFill="accent4" w:themeFillTint="66"/>
            <w:noWrap/>
            <w:hideMark/>
          </w:tcPr>
          <w:p w:rsidR="00A77904" w:rsidRPr="00950227" w:rsidRDefault="00A77904" w:rsidP="00A77904">
            <w:pPr>
              <w:rPr>
                <w:b/>
                <w:bCs/>
              </w:rPr>
            </w:pPr>
            <w:r w:rsidRPr="00950227">
              <w:rPr>
                <w:b/>
                <w:bCs/>
              </w:rPr>
              <w:t>Bristol</w:t>
            </w:r>
          </w:p>
        </w:tc>
        <w:tc>
          <w:tcPr>
            <w:tcW w:w="1984" w:type="dxa"/>
            <w:noWrap/>
            <w:hideMark/>
          </w:tcPr>
          <w:p w:rsidR="00A77904" w:rsidRPr="00950227" w:rsidRDefault="00A77904" w:rsidP="00A77904">
            <w:pPr>
              <w:jc w:val="center"/>
            </w:pPr>
            <w:r w:rsidRPr="00950227">
              <w:t>786</w:t>
            </w:r>
          </w:p>
        </w:tc>
        <w:tc>
          <w:tcPr>
            <w:tcW w:w="2127" w:type="dxa"/>
            <w:noWrap/>
            <w:hideMark/>
          </w:tcPr>
          <w:p w:rsidR="00A77904" w:rsidRPr="00950227" w:rsidRDefault="00A77904" w:rsidP="00A77904">
            <w:pPr>
              <w:jc w:val="center"/>
            </w:pPr>
            <w:r w:rsidRPr="00950227">
              <w:t>34.93</w:t>
            </w:r>
          </w:p>
        </w:tc>
        <w:tc>
          <w:tcPr>
            <w:tcW w:w="2128" w:type="dxa"/>
            <w:noWrap/>
            <w:hideMark/>
          </w:tcPr>
          <w:p w:rsidR="00A77904" w:rsidRPr="00950227" w:rsidRDefault="00A77904" w:rsidP="00A77904">
            <w:pPr>
              <w:jc w:val="center"/>
            </w:pPr>
            <w:r w:rsidRPr="00950227">
              <w:t>71%</w:t>
            </w:r>
          </w:p>
        </w:tc>
        <w:tc>
          <w:tcPr>
            <w:tcW w:w="2083" w:type="dxa"/>
            <w:noWrap/>
            <w:hideMark/>
          </w:tcPr>
          <w:p w:rsidR="00A77904" w:rsidRPr="00950227" w:rsidRDefault="00A77904" w:rsidP="00A77904">
            <w:pPr>
              <w:jc w:val="center"/>
            </w:pPr>
            <w:r w:rsidRPr="00950227">
              <w:t>99%</w:t>
            </w:r>
          </w:p>
        </w:tc>
      </w:tr>
      <w:tr w:rsidR="00A77904" w:rsidRPr="00950227" w:rsidTr="00A77904">
        <w:trPr>
          <w:trHeight w:val="300"/>
        </w:trPr>
        <w:tc>
          <w:tcPr>
            <w:tcW w:w="2093" w:type="dxa"/>
            <w:tcBorders>
              <w:top w:val="single" w:sz="8" w:space="0" w:color="auto"/>
              <w:bottom w:val="single" w:sz="8" w:space="0" w:color="auto"/>
            </w:tcBorders>
            <w:shd w:val="clear" w:color="auto" w:fill="CCC0D9" w:themeFill="accent4" w:themeFillTint="66"/>
            <w:noWrap/>
            <w:hideMark/>
          </w:tcPr>
          <w:p w:rsidR="00A77904" w:rsidRPr="00950227" w:rsidRDefault="00A77904" w:rsidP="00A77904">
            <w:pPr>
              <w:rPr>
                <w:b/>
                <w:bCs/>
              </w:rPr>
            </w:pPr>
            <w:r w:rsidRPr="00950227">
              <w:rPr>
                <w:b/>
                <w:bCs/>
              </w:rPr>
              <w:t>Jarrow</w:t>
            </w:r>
          </w:p>
        </w:tc>
        <w:tc>
          <w:tcPr>
            <w:tcW w:w="1984" w:type="dxa"/>
            <w:noWrap/>
            <w:hideMark/>
          </w:tcPr>
          <w:p w:rsidR="00A77904" w:rsidRPr="00950227" w:rsidRDefault="00A77904" w:rsidP="00A77904">
            <w:pPr>
              <w:jc w:val="center"/>
            </w:pPr>
            <w:r w:rsidRPr="00950227">
              <w:t>366</w:t>
            </w:r>
          </w:p>
        </w:tc>
        <w:tc>
          <w:tcPr>
            <w:tcW w:w="2127" w:type="dxa"/>
            <w:noWrap/>
            <w:hideMark/>
          </w:tcPr>
          <w:p w:rsidR="00A77904" w:rsidRPr="00950227" w:rsidRDefault="00A77904" w:rsidP="00A77904">
            <w:pPr>
              <w:jc w:val="center"/>
            </w:pPr>
            <w:r w:rsidRPr="00950227">
              <w:t>31.15</w:t>
            </w:r>
          </w:p>
        </w:tc>
        <w:tc>
          <w:tcPr>
            <w:tcW w:w="2128" w:type="dxa"/>
            <w:noWrap/>
            <w:hideMark/>
          </w:tcPr>
          <w:p w:rsidR="00A77904" w:rsidRPr="00950227" w:rsidRDefault="00A77904" w:rsidP="00A77904">
            <w:pPr>
              <w:jc w:val="center"/>
            </w:pPr>
            <w:r w:rsidRPr="00950227">
              <w:t>81%</w:t>
            </w:r>
          </w:p>
        </w:tc>
        <w:tc>
          <w:tcPr>
            <w:tcW w:w="2083" w:type="dxa"/>
            <w:noWrap/>
            <w:hideMark/>
          </w:tcPr>
          <w:p w:rsidR="00A77904" w:rsidRPr="00950227" w:rsidRDefault="00A77904" w:rsidP="00A77904">
            <w:pPr>
              <w:jc w:val="center"/>
            </w:pPr>
            <w:r w:rsidRPr="00950227">
              <w:t>100%</w:t>
            </w:r>
          </w:p>
        </w:tc>
      </w:tr>
      <w:tr w:rsidR="00A77904" w:rsidRPr="00950227" w:rsidTr="00A77904">
        <w:trPr>
          <w:trHeight w:val="300"/>
        </w:trPr>
        <w:tc>
          <w:tcPr>
            <w:tcW w:w="2093" w:type="dxa"/>
            <w:tcBorders>
              <w:top w:val="single" w:sz="8" w:space="0" w:color="auto"/>
              <w:bottom w:val="single" w:sz="8" w:space="0" w:color="auto"/>
            </w:tcBorders>
            <w:shd w:val="clear" w:color="auto" w:fill="CCC0D9" w:themeFill="accent4" w:themeFillTint="66"/>
            <w:noWrap/>
            <w:hideMark/>
          </w:tcPr>
          <w:p w:rsidR="00A77904" w:rsidRPr="00950227" w:rsidRDefault="00A77904" w:rsidP="00A77904">
            <w:pPr>
              <w:rPr>
                <w:b/>
                <w:bCs/>
              </w:rPr>
            </w:pPr>
            <w:r w:rsidRPr="00950227">
              <w:rPr>
                <w:b/>
                <w:bCs/>
              </w:rPr>
              <w:t>London</w:t>
            </w:r>
          </w:p>
        </w:tc>
        <w:tc>
          <w:tcPr>
            <w:tcW w:w="1984" w:type="dxa"/>
            <w:noWrap/>
            <w:hideMark/>
          </w:tcPr>
          <w:p w:rsidR="00A77904" w:rsidRPr="00950227" w:rsidRDefault="00A77904" w:rsidP="00A77904">
            <w:pPr>
              <w:jc w:val="center"/>
            </w:pPr>
            <w:r w:rsidRPr="00950227">
              <w:t>545</w:t>
            </w:r>
          </w:p>
        </w:tc>
        <w:tc>
          <w:tcPr>
            <w:tcW w:w="2127" w:type="dxa"/>
            <w:noWrap/>
            <w:hideMark/>
          </w:tcPr>
          <w:p w:rsidR="00A77904" w:rsidRPr="00950227" w:rsidRDefault="00A77904" w:rsidP="00A77904">
            <w:pPr>
              <w:jc w:val="center"/>
            </w:pPr>
            <w:r w:rsidRPr="00950227">
              <w:t>37.79</w:t>
            </w:r>
          </w:p>
        </w:tc>
        <w:tc>
          <w:tcPr>
            <w:tcW w:w="2128" w:type="dxa"/>
            <w:noWrap/>
            <w:hideMark/>
          </w:tcPr>
          <w:p w:rsidR="00A77904" w:rsidRPr="00950227" w:rsidRDefault="00A77904" w:rsidP="00A77904">
            <w:pPr>
              <w:jc w:val="center"/>
            </w:pPr>
            <w:r w:rsidRPr="00950227">
              <w:t>59%</w:t>
            </w:r>
          </w:p>
        </w:tc>
        <w:tc>
          <w:tcPr>
            <w:tcW w:w="2083" w:type="dxa"/>
            <w:noWrap/>
            <w:hideMark/>
          </w:tcPr>
          <w:p w:rsidR="00A77904" w:rsidRPr="00950227" w:rsidRDefault="00A77904" w:rsidP="00A77904">
            <w:pPr>
              <w:jc w:val="center"/>
            </w:pPr>
            <w:r w:rsidRPr="00950227">
              <w:t>94%</w:t>
            </w:r>
          </w:p>
        </w:tc>
      </w:tr>
      <w:tr w:rsidR="00A77904" w:rsidRPr="00950227" w:rsidTr="00A77904">
        <w:trPr>
          <w:trHeight w:val="300"/>
        </w:trPr>
        <w:tc>
          <w:tcPr>
            <w:tcW w:w="2093" w:type="dxa"/>
            <w:tcBorders>
              <w:top w:val="single" w:sz="8" w:space="0" w:color="auto"/>
              <w:bottom w:val="single" w:sz="8" w:space="0" w:color="auto"/>
            </w:tcBorders>
            <w:shd w:val="clear" w:color="auto" w:fill="CCC0D9" w:themeFill="accent4" w:themeFillTint="66"/>
            <w:noWrap/>
            <w:hideMark/>
          </w:tcPr>
          <w:p w:rsidR="00A77904" w:rsidRPr="00950227" w:rsidRDefault="00A77904" w:rsidP="00A77904">
            <w:pPr>
              <w:rPr>
                <w:b/>
                <w:bCs/>
              </w:rPr>
            </w:pPr>
            <w:r w:rsidRPr="00950227">
              <w:rPr>
                <w:b/>
                <w:bCs/>
              </w:rPr>
              <w:t>Manchester</w:t>
            </w:r>
          </w:p>
        </w:tc>
        <w:tc>
          <w:tcPr>
            <w:tcW w:w="1984" w:type="dxa"/>
            <w:noWrap/>
            <w:hideMark/>
          </w:tcPr>
          <w:p w:rsidR="00A77904" w:rsidRPr="00950227" w:rsidRDefault="00A77904" w:rsidP="00A77904">
            <w:pPr>
              <w:jc w:val="center"/>
            </w:pPr>
            <w:r w:rsidRPr="00950227">
              <w:t>580</w:t>
            </w:r>
          </w:p>
        </w:tc>
        <w:tc>
          <w:tcPr>
            <w:tcW w:w="2127" w:type="dxa"/>
            <w:noWrap/>
            <w:hideMark/>
          </w:tcPr>
          <w:p w:rsidR="00A77904" w:rsidRPr="00950227" w:rsidRDefault="00A77904" w:rsidP="00A77904">
            <w:pPr>
              <w:jc w:val="center"/>
            </w:pPr>
            <w:r w:rsidRPr="00950227">
              <w:t>29.59</w:t>
            </w:r>
          </w:p>
        </w:tc>
        <w:tc>
          <w:tcPr>
            <w:tcW w:w="2128" w:type="dxa"/>
            <w:noWrap/>
            <w:hideMark/>
          </w:tcPr>
          <w:p w:rsidR="00A77904" w:rsidRPr="00950227" w:rsidRDefault="00A77904" w:rsidP="00A77904">
            <w:pPr>
              <w:jc w:val="center"/>
            </w:pPr>
            <w:r w:rsidRPr="00950227">
              <w:t>84%</w:t>
            </w:r>
          </w:p>
        </w:tc>
        <w:tc>
          <w:tcPr>
            <w:tcW w:w="2083" w:type="dxa"/>
            <w:noWrap/>
            <w:hideMark/>
          </w:tcPr>
          <w:p w:rsidR="00A77904" w:rsidRPr="00950227" w:rsidRDefault="00A77904" w:rsidP="00A77904">
            <w:pPr>
              <w:jc w:val="center"/>
            </w:pPr>
            <w:r w:rsidRPr="00950227">
              <w:t>99%</w:t>
            </w:r>
          </w:p>
        </w:tc>
      </w:tr>
      <w:tr w:rsidR="00A77904" w:rsidRPr="00950227" w:rsidTr="00A77904">
        <w:trPr>
          <w:trHeight w:val="300"/>
        </w:trPr>
        <w:tc>
          <w:tcPr>
            <w:tcW w:w="2093" w:type="dxa"/>
            <w:tcBorders>
              <w:top w:val="single" w:sz="8" w:space="0" w:color="auto"/>
              <w:bottom w:val="single" w:sz="12" w:space="0" w:color="auto"/>
            </w:tcBorders>
            <w:shd w:val="clear" w:color="auto" w:fill="CCC0D9" w:themeFill="accent4" w:themeFillTint="66"/>
            <w:noWrap/>
            <w:hideMark/>
          </w:tcPr>
          <w:p w:rsidR="00A77904" w:rsidRPr="00950227" w:rsidRDefault="00A77904" w:rsidP="00A77904">
            <w:pPr>
              <w:rPr>
                <w:b/>
                <w:bCs/>
              </w:rPr>
            </w:pPr>
            <w:r w:rsidRPr="00950227">
              <w:rPr>
                <w:b/>
                <w:bCs/>
              </w:rPr>
              <w:t>Nottingham</w:t>
            </w:r>
          </w:p>
        </w:tc>
        <w:tc>
          <w:tcPr>
            <w:tcW w:w="1984" w:type="dxa"/>
            <w:noWrap/>
            <w:hideMark/>
          </w:tcPr>
          <w:p w:rsidR="00A77904" w:rsidRPr="00950227" w:rsidRDefault="00A77904" w:rsidP="00A77904">
            <w:pPr>
              <w:jc w:val="center"/>
            </w:pPr>
            <w:r w:rsidRPr="00950227">
              <w:t>562</w:t>
            </w:r>
          </w:p>
        </w:tc>
        <w:tc>
          <w:tcPr>
            <w:tcW w:w="2127" w:type="dxa"/>
            <w:noWrap/>
            <w:hideMark/>
          </w:tcPr>
          <w:p w:rsidR="00A77904" w:rsidRPr="00950227" w:rsidRDefault="00A77904" w:rsidP="00A77904">
            <w:pPr>
              <w:jc w:val="center"/>
            </w:pPr>
            <w:r w:rsidRPr="00950227">
              <w:t>34.21</w:t>
            </w:r>
          </w:p>
        </w:tc>
        <w:tc>
          <w:tcPr>
            <w:tcW w:w="2128" w:type="dxa"/>
            <w:noWrap/>
            <w:hideMark/>
          </w:tcPr>
          <w:p w:rsidR="00A77904" w:rsidRPr="00950227" w:rsidRDefault="00A77904" w:rsidP="00A77904">
            <w:pPr>
              <w:jc w:val="center"/>
            </w:pPr>
            <w:r w:rsidRPr="00950227">
              <w:t>74%</w:t>
            </w:r>
          </w:p>
        </w:tc>
        <w:tc>
          <w:tcPr>
            <w:tcW w:w="2083" w:type="dxa"/>
            <w:noWrap/>
            <w:hideMark/>
          </w:tcPr>
          <w:p w:rsidR="00A77904" w:rsidRPr="00950227" w:rsidRDefault="00A77904" w:rsidP="00A77904">
            <w:pPr>
              <w:jc w:val="center"/>
            </w:pPr>
            <w:r w:rsidRPr="00950227">
              <w:t>99%</w:t>
            </w:r>
          </w:p>
        </w:tc>
      </w:tr>
    </w:tbl>
    <w:p w:rsidR="00A77904" w:rsidRDefault="00A77904" w:rsidP="00081181">
      <w:pPr>
        <w:spacing w:after="0"/>
      </w:pPr>
    </w:p>
    <w:p w:rsidR="00A77904" w:rsidRDefault="00A77904" w:rsidP="00081181">
      <w:pPr>
        <w:spacing w:after="0"/>
      </w:pPr>
    </w:p>
    <w:p w:rsidR="00A77904" w:rsidRDefault="00A77904">
      <w:pPr>
        <w:spacing w:after="0" w:line="240" w:lineRule="auto"/>
      </w:pPr>
      <w:r>
        <w:br w:type="page"/>
      </w:r>
    </w:p>
    <w:p w:rsidR="00A77904" w:rsidRDefault="00A77904" w:rsidP="005A03A0">
      <w:pPr>
        <w:pStyle w:val="Heading2"/>
        <w:spacing w:before="0" w:after="120"/>
      </w:pPr>
      <w:r>
        <w:lastRenderedPageBreak/>
        <w:t>Types of a</w:t>
      </w:r>
      <w:r w:rsidRPr="00626504">
        <w:t xml:space="preserve">pplications </w:t>
      </w:r>
      <w:r>
        <w:t>reviewed</w:t>
      </w:r>
      <w:r w:rsidRPr="00626504">
        <w:t xml:space="preserve"> </w:t>
      </w:r>
      <w:r>
        <w:t xml:space="preserve">per month, </w:t>
      </w:r>
      <w:r w:rsidRPr="00626504">
        <w:t>Englan</w:t>
      </w:r>
      <w:r>
        <w:t>d (rolling 2 years showing trend)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A77904" w:rsidTr="00A77904">
        <w:trPr>
          <w:cnfStyle w:val="100000000000" w:firstRow="1" w:lastRow="0" w:firstColumn="0" w:lastColumn="0" w:oddVBand="0" w:evenVBand="0" w:oddHBand="0" w:evenHBand="0" w:firstRowFirstColumn="0" w:firstRowLastColumn="0" w:lastRowFirstColumn="0" w:lastRowLastColumn="0"/>
          <w:trHeight w:val="6390"/>
        </w:trPr>
        <w:tc>
          <w:tcPr>
            <w:tcW w:w="10415" w:type="dxa"/>
            <w:tcBorders>
              <w:top w:val="none" w:sz="0" w:space="0" w:color="auto"/>
              <w:left w:val="none" w:sz="0" w:space="0" w:color="auto"/>
              <w:bottom w:val="none" w:sz="0" w:space="0" w:color="auto"/>
              <w:right w:val="none" w:sz="0" w:space="0" w:color="auto"/>
            </w:tcBorders>
            <w:shd w:val="clear" w:color="auto" w:fill="auto"/>
          </w:tcPr>
          <w:p w:rsidR="00A77904" w:rsidRDefault="00A77904" w:rsidP="00A77904">
            <w:pPr>
              <w:tabs>
                <w:tab w:val="left" w:pos="555"/>
              </w:tabs>
              <w:spacing w:before="0" w:after="0"/>
              <w:jc w:val="left"/>
            </w:pPr>
            <w:r>
              <w:rPr>
                <w:noProof/>
                <w:lang w:eastAsia="en-GB"/>
              </w:rPr>
              <w:drawing>
                <wp:anchor distT="0" distB="0" distL="114300" distR="114300" simplePos="0" relativeHeight="251724800" behindDoc="0" locked="0" layoutInCell="1" allowOverlap="1" wp14:anchorId="2EF52F9E" wp14:editId="0F3086FC">
                  <wp:simplePos x="0" y="0"/>
                  <wp:positionH relativeFrom="column">
                    <wp:posOffset>75565</wp:posOffset>
                  </wp:positionH>
                  <wp:positionV relativeFrom="paragraph">
                    <wp:posOffset>80010</wp:posOffset>
                  </wp:positionV>
                  <wp:extent cx="6381750" cy="3790950"/>
                  <wp:effectExtent l="0" t="0" r="19050" b="19050"/>
                  <wp:wrapTopAndBottom/>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tc>
      </w:tr>
    </w:tbl>
    <w:p w:rsidR="001F514A" w:rsidRDefault="001F514A" w:rsidP="005A03A0">
      <w:pPr>
        <w:pStyle w:val="Heading2"/>
        <w:spacing w:before="120" w:after="120"/>
      </w:pPr>
      <w:r>
        <w:t>Trends in REC opinion types at first review,</w:t>
      </w:r>
      <w:r w:rsidRPr="00626504">
        <w:t xml:space="preserve"> Englan</w:t>
      </w:r>
      <w:r>
        <w:t>d (rolling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1F514A" w:rsidRPr="005301AC" w:rsidTr="005A03A0">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1F514A" w:rsidRPr="001F514A" w:rsidRDefault="006A6D3E" w:rsidP="005A03A0">
            <w:pPr>
              <w:spacing w:before="0" w:after="0" w:line="240" w:lineRule="auto"/>
              <w:jc w:val="left"/>
              <w:rPr>
                <w:b w:val="0"/>
              </w:rPr>
            </w:pPr>
            <w:r w:rsidRPr="00A77904">
              <w:rPr>
                <w:noProof/>
                <w:sz w:val="20"/>
                <w:lang w:eastAsia="en-GB"/>
              </w:rPr>
              <w:drawing>
                <wp:anchor distT="0" distB="0" distL="114300" distR="114300" simplePos="0" relativeHeight="251712512" behindDoc="0" locked="0" layoutInCell="1" allowOverlap="1" wp14:anchorId="53B72911" wp14:editId="34AF61DE">
                  <wp:simplePos x="0" y="0"/>
                  <wp:positionH relativeFrom="column">
                    <wp:posOffset>-19685</wp:posOffset>
                  </wp:positionH>
                  <wp:positionV relativeFrom="paragraph">
                    <wp:posOffset>28575</wp:posOffset>
                  </wp:positionV>
                  <wp:extent cx="6410325" cy="3827145"/>
                  <wp:effectExtent l="0" t="0" r="9525" b="20955"/>
                  <wp:wrapTopAndBottom/>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1F514A" w:rsidRPr="00A77904">
              <w:rPr>
                <w:b w:val="0"/>
                <w:sz w:val="20"/>
              </w:rPr>
              <w:t>The 2012 HRA Business Plan determin</w:t>
            </w:r>
            <w:r w:rsidR="007A1960" w:rsidRPr="00A77904">
              <w:rPr>
                <w:b w:val="0"/>
                <w:sz w:val="20"/>
              </w:rPr>
              <w:t>ed that the use of Provisional o</w:t>
            </w:r>
            <w:r w:rsidR="001F514A" w:rsidRPr="00A77904">
              <w:rPr>
                <w:b w:val="0"/>
                <w:sz w:val="20"/>
              </w:rPr>
              <w:t>pinions at first review should be reduced in favour of Favourable with Additional Conditions (AC).  The</w:t>
            </w:r>
            <w:r w:rsidR="007A1960" w:rsidRPr="00A77904">
              <w:rPr>
                <w:b w:val="0"/>
                <w:sz w:val="20"/>
              </w:rPr>
              <w:t xml:space="preserve"> downward trend in Provisional o</w:t>
            </w:r>
            <w:r w:rsidR="001F514A" w:rsidRPr="00A77904">
              <w:rPr>
                <w:b w:val="0"/>
                <w:sz w:val="20"/>
              </w:rPr>
              <w:t>pinions and the upward trend in Favourable AC reflect progress in this.  Other opinion types remain stable</w:t>
            </w:r>
          </w:p>
        </w:tc>
      </w:tr>
    </w:tbl>
    <w:p w:rsidR="005A03A0" w:rsidRDefault="005A03A0" w:rsidP="001F514A">
      <w:pPr>
        <w:pStyle w:val="Heading2"/>
        <w:spacing w:before="120" w:after="240"/>
      </w:pPr>
    </w:p>
    <w:p w:rsidR="001F514A" w:rsidRDefault="001F514A" w:rsidP="001F514A">
      <w:pPr>
        <w:pStyle w:val="Heading2"/>
        <w:spacing w:before="120" w:after="240"/>
      </w:pPr>
      <w:r>
        <w:t>Review of amendments per REC Centre,</w:t>
      </w:r>
      <w:r w:rsidRPr="00626504">
        <w:t xml:space="preserve"> Englan</w:t>
      </w:r>
      <w:r>
        <w:t>d (year to date)</w:t>
      </w:r>
    </w:p>
    <w:tbl>
      <w:tblPr>
        <w:tblStyle w:val="TableGrid"/>
        <w:tblW w:w="5000" w:type="pct"/>
        <w:tblLayout w:type="fixed"/>
        <w:tblLook w:val="04A0" w:firstRow="1" w:lastRow="0" w:firstColumn="1" w:lastColumn="0" w:noHBand="0" w:noVBand="1"/>
      </w:tblPr>
      <w:tblGrid>
        <w:gridCol w:w="2083"/>
        <w:gridCol w:w="2083"/>
        <w:gridCol w:w="2083"/>
        <w:gridCol w:w="2083"/>
        <w:gridCol w:w="2083"/>
      </w:tblGrid>
      <w:tr w:rsidR="001F514A" w:rsidRPr="001F514A" w:rsidTr="001F514A">
        <w:trPr>
          <w:cnfStyle w:val="100000000000" w:firstRow="1" w:lastRow="0" w:firstColumn="0" w:lastColumn="0" w:oddVBand="0" w:evenVBand="0" w:oddHBand="0" w:evenHBand="0" w:firstRowFirstColumn="0" w:firstRowLastColumn="0" w:lastRowFirstColumn="0" w:lastRowLastColumn="0"/>
          <w:trHeight w:val="765"/>
        </w:trPr>
        <w:tc>
          <w:tcPr>
            <w:tcW w:w="2083" w:type="dxa"/>
            <w:shd w:val="clear" w:color="auto" w:fill="7030A0"/>
            <w:noWrap/>
            <w:vAlign w:val="center"/>
            <w:hideMark/>
          </w:tcPr>
          <w:p w:rsidR="001F514A" w:rsidRPr="001F514A" w:rsidRDefault="001F514A" w:rsidP="001F514A">
            <w:pPr>
              <w:pStyle w:val="Heading2"/>
              <w:spacing w:before="0"/>
              <w:outlineLvl w:val="1"/>
              <w:rPr>
                <w:color w:val="FFFFFF" w:themeColor="background1"/>
                <w:sz w:val="22"/>
              </w:rPr>
            </w:pPr>
            <w:r w:rsidRPr="001F514A">
              <w:rPr>
                <w:color w:val="FFFFFF" w:themeColor="background1"/>
                <w:sz w:val="22"/>
              </w:rPr>
              <w:t>REC Centre</w:t>
            </w:r>
          </w:p>
        </w:tc>
        <w:tc>
          <w:tcPr>
            <w:tcW w:w="2083"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Pr>
                <w:color w:val="FFFFFF" w:themeColor="background1"/>
                <w:sz w:val="22"/>
              </w:rPr>
              <w:t>Number of a</w:t>
            </w:r>
            <w:r w:rsidRPr="001F514A">
              <w:rPr>
                <w:color w:val="FFFFFF" w:themeColor="background1"/>
                <w:sz w:val="22"/>
              </w:rPr>
              <w:t>mendments</w:t>
            </w:r>
          </w:p>
        </w:tc>
        <w:tc>
          <w:tcPr>
            <w:tcW w:w="2083"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Pr>
                <w:color w:val="FFFFFF" w:themeColor="background1"/>
                <w:sz w:val="22"/>
              </w:rPr>
              <w:t>Mean average</w:t>
            </w:r>
            <w:r w:rsidRPr="001F514A">
              <w:rPr>
                <w:color w:val="FFFFFF" w:themeColor="background1"/>
                <w:sz w:val="22"/>
              </w:rPr>
              <w:t xml:space="preserve"> time to process</w:t>
            </w:r>
          </w:p>
        </w:tc>
        <w:tc>
          <w:tcPr>
            <w:tcW w:w="2083"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sidRPr="001F514A">
              <w:rPr>
                <w:color w:val="FFFFFF" w:themeColor="background1"/>
                <w:sz w:val="22"/>
              </w:rPr>
              <w:t>% in 35 day limit</w:t>
            </w:r>
          </w:p>
        </w:tc>
        <w:tc>
          <w:tcPr>
            <w:tcW w:w="2083"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sidRPr="001F514A">
              <w:rPr>
                <w:color w:val="FFFFFF" w:themeColor="background1"/>
                <w:sz w:val="22"/>
              </w:rPr>
              <w:t>% in 28 day target</w:t>
            </w:r>
          </w:p>
        </w:tc>
      </w:tr>
      <w:tr w:rsidR="0083267C" w:rsidRPr="003A34B7" w:rsidTr="0083267C">
        <w:trPr>
          <w:trHeight w:val="300"/>
        </w:trPr>
        <w:tc>
          <w:tcPr>
            <w:tcW w:w="2083" w:type="dxa"/>
            <w:tcBorders>
              <w:top w:val="single" w:sz="12" w:space="0" w:color="auto"/>
              <w:bottom w:val="single" w:sz="8" w:space="0" w:color="auto"/>
            </w:tcBorders>
            <w:shd w:val="clear" w:color="auto" w:fill="CCC0D9" w:themeFill="accent4" w:themeFillTint="66"/>
            <w:noWrap/>
            <w:hideMark/>
          </w:tcPr>
          <w:p w:rsidR="0083267C" w:rsidRPr="001F514A" w:rsidRDefault="0083267C" w:rsidP="001F514A">
            <w:pPr>
              <w:spacing w:after="60" w:line="240" w:lineRule="auto"/>
              <w:rPr>
                <w:rFonts w:cs="Arial"/>
                <w:bCs/>
                <w:szCs w:val="22"/>
              </w:rPr>
            </w:pPr>
            <w:r w:rsidRPr="001F514A">
              <w:rPr>
                <w:rFonts w:cs="Arial"/>
                <w:bCs/>
                <w:szCs w:val="22"/>
              </w:rPr>
              <w:t>Bristol</w:t>
            </w:r>
          </w:p>
        </w:tc>
        <w:tc>
          <w:tcPr>
            <w:tcW w:w="2083" w:type="dxa"/>
            <w:noWrap/>
            <w:vAlign w:val="center"/>
            <w:hideMark/>
          </w:tcPr>
          <w:p w:rsidR="0083267C" w:rsidRPr="00425B1A" w:rsidRDefault="0083267C" w:rsidP="0083267C">
            <w:pPr>
              <w:jc w:val="center"/>
            </w:pPr>
            <w:r w:rsidRPr="00425B1A">
              <w:t>1</w:t>
            </w:r>
            <w:r>
              <w:t>,</w:t>
            </w:r>
            <w:r w:rsidRPr="00425B1A">
              <w:t>560</w:t>
            </w:r>
          </w:p>
        </w:tc>
        <w:tc>
          <w:tcPr>
            <w:tcW w:w="2083" w:type="dxa"/>
            <w:noWrap/>
            <w:vAlign w:val="center"/>
            <w:hideMark/>
          </w:tcPr>
          <w:p w:rsidR="0083267C" w:rsidRPr="00425B1A" w:rsidRDefault="0083267C" w:rsidP="0083267C">
            <w:pPr>
              <w:jc w:val="center"/>
            </w:pPr>
            <w:r w:rsidRPr="00425B1A">
              <w:t>17.44</w:t>
            </w:r>
          </w:p>
        </w:tc>
        <w:tc>
          <w:tcPr>
            <w:tcW w:w="2083" w:type="dxa"/>
            <w:noWrap/>
            <w:vAlign w:val="center"/>
            <w:hideMark/>
          </w:tcPr>
          <w:p w:rsidR="0083267C" w:rsidRPr="00425B1A" w:rsidRDefault="0083267C" w:rsidP="0083267C">
            <w:pPr>
              <w:jc w:val="center"/>
            </w:pPr>
            <w:r w:rsidRPr="00425B1A">
              <w:t>98%</w:t>
            </w:r>
          </w:p>
        </w:tc>
        <w:tc>
          <w:tcPr>
            <w:tcW w:w="2083" w:type="dxa"/>
            <w:noWrap/>
            <w:vAlign w:val="center"/>
            <w:hideMark/>
          </w:tcPr>
          <w:p w:rsidR="0083267C" w:rsidRPr="00425B1A" w:rsidRDefault="0083267C" w:rsidP="0083267C">
            <w:pPr>
              <w:jc w:val="center"/>
            </w:pPr>
            <w:r w:rsidRPr="00425B1A">
              <w:t>86%</w:t>
            </w:r>
          </w:p>
        </w:tc>
      </w:tr>
      <w:tr w:rsidR="0083267C" w:rsidRPr="003A34B7" w:rsidTr="0083267C">
        <w:trPr>
          <w:trHeight w:val="300"/>
        </w:trPr>
        <w:tc>
          <w:tcPr>
            <w:tcW w:w="2083" w:type="dxa"/>
            <w:tcBorders>
              <w:top w:val="single" w:sz="8" w:space="0" w:color="auto"/>
              <w:bottom w:val="single" w:sz="8" w:space="0" w:color="auto"/>
            </w:tcBorders>
            <w:shd w:val="clear" w:color="auto" w:fill="CCC0D9" w:themeFill="accent4" w:themeFillTint="66"/>
            <w:noWrap/>
            <w:hideMark/>
          </w:tcPr>
          <w:p w:rsidR="0083267C" w:rsidRPr="001F514A" w:rsidRDefault="0083267C" w:rsidP="001F514A">
            <w:pPr>
              <w:spacing w:after="60" w:line="240" w:lineRule="auto"/>
              <w:rPr>
                <w:rFonts w:cs="Arial"/>
                <w:bCs/>
                <w:szCs w:val="22"/>
              </w:rPr>
            </w:pPr>
            <w:r w:rsidRPr="001F514A">
              <w:rPr>
                <w:rFonts w:cs="Arial"/>
                <w:bCs/>
                <w:szCs w:val="22"/>
              </w:rPr>
              <w:t>Jarrow</w:t>
            </w:r>
          </w:p>
        </w:tc>
        <w:tc>
          <w:tcPr>
            <w:tcW w:w="2083" w:type="dxa"/>
            <w:noWrap/>
            <w:vAlign w:val="center"/>
            <w:hideMark/>
          </w:tcPr>
          <w:p w:rsidR="0083267C" w:rsidRPr="00425B1A" w:rsidRDefault="0083267C" w:rsidP="0083267C">
            <w:pPr>
              <w:jc w:val="center"/>
            </w:pPr>
            <w:r w:rsidRPr="00425B1A">
              <w:t>642</w:t>
            </w:r>
          </w:p>
        </w:tc>
        <w:tc>
          <w:tcPr>
            <w:tcW w:w="2083" w:type="dxa"/>
            <w:noWrap/>
            <w:vAlign w:val="center"/>
            <w:hideMark/>
          </w:tcPr>
          <w:p w:rsidR="0083267C" w:rsidRPr="00425B1A" w:rsidRDefault="0083267C" w:rsidP="0083267C">
            <w:pPr>
              <w:jc w:val="center"/>
            </w:pPr>
            <w:r w:rsidRPr="00425B1A">
              <w:t>18.50</w:t>
            </w:r>
          </w:p>
        </w:tc>
        <w:tc>
          <w:tcPr>
            <w:tcW w:w="2083" w:type="dxa"/>
            <w:noWrap/>
            <w:vAlign w:val="center"/>
            <w:hideMark/>
          </w:tcPr>
          <w:p w:rsidR="0083267C" w:rsidRPr="00425B1A" w:rsidRDefault="0083267C" w:rsidP="0083267C">
            <w:pPr>
              <w:jc w:val="center"/>
            </w:pPr>
            <w:r w:rsidRPr="00425B1A">
              <w:t>99%</w:t>
            </w:r>
          </w:p>
        </w:tc>
        <w:tc>
          <w:tcPr>
            <w:tcW w:w="2083" w:type="dxa"/>
            <w:noWrap/>
            <w:vAlign w:val="center"/>
            <w:hideMark/>
          </w:tcPr>
          <w:p w:rsidR="0083267C" w:rsidRPr="00425B1A" w:rsidRDefault="0083267C" w:rsidP="0083267C">
            <w:pPr>
              <w:jc w:val="center"/>
            </w:pPr>
            <w:r w:rsidRPr="00425B1A">
              <w:t>90%</w:t>
            </w:r>
          </w:p>
        </w:tc>
      </w:tr>
      <w:tr w:rsidR="0083267C" w:rsidRPr="003A34B7" w:rsidTr="0083267C">
        <w:trPr>
          <w:trHeight w:val="300"/>
        </w:trPr>
        <w:tc>
          <w:tcPr>
            <w:tcW w:w="2083" w:type="dxa"/>
            <w:tcBorders>
              <w:top w:val="single" w:sz="8" w:space="0" w:color="auto"/>
              <w:bottom w:val="single" w:sz="8" w:space="0" w:color="auto"/>
            </w:tcBorders>
            <w:shd w:val="clear" w:color="auto" w:fill="CCC0D9" w:themeFill="accent4" w:themeFillTint="66"/>
            <w:noWrap/>
            <w:hideMark/>
          </w:tcPr>
          <w:p w:rsidR="0083267C" w:rsidRPr="001F514A" w:rsidRDefault="0083267C" w:rsidP="001F514A">
            <w:pPr>
              <w:spacing w:after="60" w:line="240" w:lineRule="auto"/>
              <w:rPr>
                <w:rFonts w:cs="Arial"/>
                <w:bCs/>
                <w:szCs w:val="22"/>
              </w:rPr>
            </w:pPr>
            <w:r w:rsidRPr="001F514A">
              <w:rPr>
                <w:rFonts w:cs="Arial"/>
                <w:bCs/>
                <w:szCs w:val="22"/>
              </w:rPr>
              <w:t>London</w:t>
            </w:r>
          </w:p>
        </w:tc>
        <w:tc>
          <w:tcPr>
            <w:tcW w:w="2083" w:type="dxa"/>
            <w:noWrap/>
            <w:vAlign w:val="center"/>
            <w:hideMark/>
          </w:tcPr>
          <w:p w:rsidR="0083267C" w:rsidRPr="00425B1A" w:rsidRDefault="0083267C" w:rsidP="0083267C">
            <w:pPr>
              <w:jc w:val="center"/>
            </w:pPr>
            <w:r w:rsidRPr="00425B1A">
              <w:t>930</w:t>
            </w:r>
          </w:p>
        </w:tc>
        <w:tc>
          <w:tcPr>
            <w:tcW w:w="2083" w:type="dxa"/>
            <w:noWrap/>
            <w:vAlign w:val="center"/>
            <w:hideMark/>
          </w:tcPr>
          <w:p w:rsidR="0083267C" w:rsidRPr="00425B1A" w:rsidRDefault="0083267C" w:rsidP="0083267C">
            <w:pPr>
              <w:jc w:val="center"/>
            </w:pPr>
            <w:r w:rsidRPr="00425B1A">
              <w:t>18.58</w:t>
            </w:r>
          </w:p>
        </w:tc>
        <w:tc>
          <w:tcPr>
            <w:tcW w:w="2083" w:type="dxa"/>
            <w:noWrap/>
            <w:vAlign w:val="center"/>
            <w:hideMark/>
          </w:tcPr>
          <w:p w:rsidR="0083267C" w:rsidRPr="00425B1A" w:rsidRDefault="0083267C" w:rsidP="0083267C">
            <w:pPr>
              <w:jc w:val="center"/>
            </w:pPr>
            <w:r w:rsidRPr="00425B1A">
              <w:t>96%</w:t>
            </w:r>
          </w:p>
        </w:tc>
        <w:tc>
          <w:tcPr>
            <w:tcW w:w="2083" w:type="dxa"/>
            <w:noWrap/>
            <w:vAlign w:val="center"/>
            <w:hideMark/>
          </w:tcPr>
          <w:p w:rsidR="0083267C" w:rsidRPr="00425B1A" w:rsidRDefault="0083267C" w:rsidP="0083267C">
            <w:pPr>
              <w:jc w:val="center"/>
            </w:pPr>
            <w:r w:rsidRPr="00425B1A">
              <w:t>81%</w:t>
            </w:r>
          </w:p>
        </w:tc>
      </w:tr>
      <w:tr w:rsidR="0083267C" w:rsidRPr="003A34B7" w:rsidTr="0083267C">
        <w:trPr>
          <w:trHeight w:val="300"/>
        </w:trPr>
        <w:tc>
          <w:tcPr>
            <w:tcW w:w="2083" w:type="dxa"/>
            <w:tcBorders>
              <w:top w:val="single" w:sz="8" w:space="0" w:color="auto"/>
              <w:bottom w:val="single" w:sz="8" w:space="0" w:color="auto"/>
            </w:tcBorders>
            <w:shd w:val="clear" w:color="auto" w:fill="CCC0D9" w:themeFill="accent4" w:themeFillTint="66"/>
            <w:noWrap/>
            <w:hideMark/>
          </w:tcPr>
          <w:p w:rsidR="0083267C" w:rsidRPr="001F514A" w:rsidRDefault="0083267C" w:rsidP="001F514A">
            <w:pPr>
              <w:spacing w:after="60" w:line="240" w:lineRule="auto"/>
              <w:rPr>
                <w:rFonts w:cs="Arial"/>
                <w:bCs/>
                <w:szCs w:val="22"/>
              </w:rPr>
            </w:pPr>
            <w:r w:rsidRPr="001F514A">
              <w:rPr>
                <w:rFonts w:cs="Arial"/>
                <w:bCs/>
                <w:szCs w:val="22"/>
              </w:rPr>
              <w:t>Manchester</w:t>
            </w:r>
          </w:p>
        </w:tc>
        <w:tc>
          <w:tcPr>
            <w:tcW w:w="2083" w:type="dxa"/>
            <w:noWrap/>
            <w:vAlign w:val="center"/>
            <w:hideMark/>
          </w:tcPr>
          <w:p w:rsidR="0083267C" w:rsidRPr="00425B1A" w:rsidRDefault="0083267C" w:rsidP="0083267C">
            <w:pPr>
              <w:jc w:val="center"/>
            </w:pPr>
            <w:r w:rsidRPr="00425B1A">
              <w:t>1</w:t>
            </w:r>
            <w:r>
              <w:t>,</w:t>
            </w:r>
            <w:r w:rsidRPr="00425B1A">
              <w:t>015</w:t>
            </w:r>
          </w:p>
        </w:tc>
        <w:tc>
          <w:tcPr>
            <w:tcW w:w="2083" w:type="dxa"/>
            <w:noWrap/>
            <w:vAlign w:val="center"/>
            <w:hideMark/>
          </w:tcPr>
          <w:p w:rsidR="0083267C" w:rsidRPr="00425B1A" w:rsidRDefault="0083267C" w:rsidP="0083267C">
            <w:pPr>
              <w:jc w:val="center"/>
            </w:pPr>
            <w:r w:rsidRPr="00425B1A">
              <w:t>16.90</w:t>
            </w:r>
          </w:p>
        </w:tc>
        <w:tc>
          <w:tcPr>
            <w:tcW w:w="2083" w:type="dxa"/>
            <w:noWrap/>
            <w:vAlign w:val="center"/>
            <w:hideMark/>
          </w:tcPr>
          <w:p w:rsidR="0083267C" w:rsidRPr="00425B1A" w:rsidRDefault="0083267C" w:rsidP="0083267C">
            <w:pPr>
              <w:jc w:val="center"/>
            </w:pPr>
            <w:r w:rsidRPr="00425B1A">
              <w:t>98%</w:t>
            </w:r>
          </w:p>
        </w:tc>
        <w:tc>
          <w:tcPr>
            <w:tcW w:w="2083" w:type="dxa"/>
            <w:noWrap/>
            <w:vAlign w:val="center"/>
            <w:hideMark/>
          </w:tcPr>
          <w:p w:rsidR="0083267C" w:rsidRPr="00425B1A" w:rsidRDefault="0083267C" w:rsidP="0083267C">
            <w:pPr>
              <w:jc w:val="center"/>
            </w:pPr>
            <w:r w:rsidRPr="00425B1A">
              <w:t>90%</w:t>
            </w:r>
          </w:p>
        </w:tc>
      </w:tr>
      <w:tr w:rsidR="0083267C" w:rsidRPr="003A34B7" w:rsidTr="0083267C">
        <w:trPr>
          <w:trHeight w:val="300"/>
        </w:trPr>
        <w:tc>
          <w:tcPr>
            <w:tcW w:w="2083" w:type="dxa"/>
            <w:tcBorders>
              <w:top w:val="single" w:sz="8" w:space="0" w:color="auto"/>
              <w:bottom w:val="single" w:sz="8" w:space="0" w:color="auto"/>
            </w:tcBorders>
            <w:shd w:val="clear" w:color="auto" w:fill="CCC0D9" w:themeFill="accent4" w:themeFillTint="66"/>
            <w:noWrap/>
            <w:hideMark/>
          </w:tcPr>
          <w:p w:rsidR="0083267C" w:rsidRPr="001F514A" w:rsidRDefault="0083267C" w:rsidP="001F514A">
            <w:pPr>
              <w:spacing w:after="60" w:line="240" w:lineRule="auto"/>
              <w:rPr>
                <w:rFonts w:cs="Arial"/>
                <w:bCs/>
                <w:szCs w:val="22"/>
              </w:rPr>
            </w:pPr>
            <w:r w:rsidRPr="001F514A">
              <w:rPr>
                <w:rFonts w:cs="Arial"/>
                <w:bCs/>
                <w:szCs w:val="22"/>
              </w:rPr>
              <w:t>Nottingham</w:t>
            </w:r>
          </w:p>
        </w:tc>
        <w:tc>
          <w:tcPr>
            <w:tcW w:w="2083" w:type="dxa"/>
            <w:noWrap/>
            <w:vAlign w:val="center"/>
            <w:hideMark/>
          </w:tcPr>
          <w:p w:rsidR="0083267C" w:rsidRPr="00425B1A" w:rsidRDefault="0083267C" w:rsidP="0083267C">
            <w:pPr>
              <w:jc w:val="center"/>
            </w:pPr>
            <w:r w:rsidRPr="00425B1A">
              <w:t>1</w:t>
            </w:r>
            <w:r>
              <w:t>,</w:t>
            </w:r>
            <w:r w:rsidRPr="00425B1A">
              <w:t>228</w:t>
            </w:r>
          </w:p>
        </w:tc>
        <w:tc>
          <w:tcPr>
            <w:tcW w:w="2083" w:type="dxa"/>
            <w:noWrap/>
            <w:vAlign w:val="center"/>
            <w:hideMark/>
          </w:tcPr>
          <w:p w:rsidR="0083267C" w:rsidRPr="00425B1A" w:rsidRDefault="0083267C" w:rsidP="0083267C">
            <w:pPr>
              <w:jc w:val="center"/>
            </w:pPr>
            <w:r w:rsidRPr="00425B1A">
              <w:t>15.92</w:t>
            </w:r>
          </w:p>
        </w:tc>
        <w:tc>
          <w:tcPr>
            <w:tcW w:w="2083" w:type="dxa"/>
            <w:noWrap/>
            <w:vAlign w:val="center"/>
            <w:hideMark/>
          </w:tcPr>
          <w:p w:rsidR="0083267C" w:rsidRPr="00425B1A" w:rsidRDefault="0083267C" w:rsidP="0083267C">
            <w:pPr>
              <w:jc w:val="center"/>
            </w:pPr>
            <w:r w:rsidRPr="00425B1A">
              <w:t>100%</w:t>
            </w:r>
          </w:p>
        </w:tc>
        <w:tc>
          <w:tcPr>
            <w:tcW w:w="2083" w:type="dxa"/>
            <w:noWrap/>
            <w:vAlign w:val="center"/>
            <w:hideMark/>
          </w:tcPr>
          <w:p w:rsidR="0083267C" w:rsidRPr="00425B1A" w:rsidRDefault="0083267C" w:rsidP="0083267C">
            <w:pPr>
              <w:jc w:val="center"/>
            </w:pPr>
            <w:r w:rsidRPr="00425B1A">
              <w:t>95%</w:t>
            </w:r>
          </w:p>
        </w:tc>
      </w:tr>
      <w:tr w:rsidR="0083267C" w:rsidRPr="007A1960" w:rsidTr="0083267C">
        <w:trPr>
          <w:trHeight w:val="300"/>
        </w:trPr>
        <w:tc>
          <w:tcPr>
            <w:tcW w:w="2083" w:type="dxa"/>
            <w:tcBorders>
              <w:top w:val="single" w:sz="8" w:space="0" w:color="auto"/>
              <w:bottom w:val="single" w:sz="12" w:space="0" w:color="auto"/>
            </w:tcBorders>
            <w:shd w:val="clear" w:color="auto" w:fill="CCC0D9" w:themeFill="accent4" w:themeFillTint="66"/>
            <w:noWrap/>
            <w:hideMark/>
          </w:tcPr>
          <w:p w:rsidR="0083267C" w:rsidRPr="007A1960" w:rsidRDefault="0083267C" w:rsidP="001F514A">
            <w:pPr>
              <w:spacing w:after="60" w:line="240" w:lineRule="auto"/>
              <w:rPr>
                <w:rFonts w:cs="Arial"/>
                <w:b/>
                <w:bCs/>
                <w:szCs w:val="22"/>
              </w:rPr>
            </w:pPr>
            <w:r>
              <w:rPr>
                <w:rFonts w:cs="Arial"/>
                <w:b/>
                <w:bCs/>
                <w:szCs w:val="22"/>
              </w:rPr>
              <w:t>England</w:t>
            </w:r>
          </w:p>
        </w:tc>
        <w:tc>
          <w:tcPr>
            <w:tcW w:w="2083" w:type="dxa"/>
            <w:noWrap/>
            <w:vAlign w:val="center"/>
            <w:hideMark/>
          </w:tcPr>
          <w:p w:rsidR="0083267C" w:rsidRPr="0083267C" w:rsidRDefault="0083267C" w:rsidP="0083267C">
            <w:pPr>
              <w:jc w:val="center"/>
              <w:rPr>
                <w:b/>
              </w:rPr>
            </w:pPr>
            <w:r w:rsidRPr="0083267C">
              <w:rPr>
                <w:b/>
              </w:rPr>
              <w:t>5,375</w:t>
            </w:r>
          </w:p>
        </w:tc>
        <w:tc>
          <w:tcPr>
            <w:tcW w:w="2083" w:type="dxa"/>
            <w:noWrap/>
            <w:vAlign w:val="center"/>
            <w:hideMark/>
          </w:tcPr>
          <w:p w:rsidR="0083267C" w:rsidRPr="0083267C" w:rsidRDefault="0083267C" w:rsidP="0083267C">
            <w:pPr>
              <w:jc w:val="center"/>
              <w:rPr>
                <w:b/>
              </w:rPr>
            </w:pPr>
            <w:r w:rsidRPr="0083267C">
              <w:rPr>
                <w:b/>
              </w:rPr>
              <w:t>17.31</w:t>
            </w:r>
          </w:p>
        </w:tc>
        <w:tc>
          <w:tcPr>
            <w:tcW w:w="2083" w:type="dxa"/>
            <w:noWrap/>
            <w:vAlign w:val="center"/>
            <w:hideMark/>
          </w:tcPr>
          <w:p w:rsidR="0083267C" w:rsidRPr="0083267C" w:rsidRDefault="0083267C" w:rsidP="0083267C">
            <w:pPr>
              <w:jc w:val="center"/>
              <w:rPr>
                <w:b/>
              </w:rPr>
            </w:pPr>
            <w:r w:rsidRPr="0083267C">
              <w:rPr>
                <w:b/>
              </w:rPr>
              <w:t>98%</w:t>
            </w:r>
          </w:p>
        </w:tc>
        <w:tc>
          <w:tcPr>
            <w:tcW w:w="2083" w:type="dxa"/>
            <w:noWrap/>
            <w:vAlign w:val="center"/>
            <w:hideMark/>
          </w:tcPr>
          <w:p w:rsidR="0083267C" w:rsidRPr="0083267C" w:rsidRDefault="0083267C" w:rsidP="0083267C">
            <w:pPr>
              <w:jc w:val="center"/>
              <w:rPr>
                <w:b/>
              </w:rPr>
            </w:pPr>
            <w:r w:rsidRPr="0083267C">
              <w:rPr>
                <w:b/>
              </w:rPr>
              <w:t>88%</w:t>
            </w:r>
          </w:p>
        </w:tc>
      </w:tr>
    </w:tbl>
    <w:p w:rsidR="001F514A" w:rsidRDefault="001F514A" w:rsidP="00F555B6"/>
    <w:p w:rsidR="00406E1E" w:rsidRDefault="00406E1E" w:rsidP="00F555B6"/>
    <w:p w:rsidR="00406E1E" w:rsidRDefault="00406E1E" w:rsidP="00406E1E">
      <w:pPr>
        <w:pStyle w:val="Heading2"/>
        <w:spacing w:before="120" w:after="240"/>
      </w:pPr>
      <w:r>
        <w:t>Review of amendments in target per REC Centre,</w:t>
      </w:r>
      <w:r w:rsidRPr="00626504">
        <w:t xml:space="preserve"> Englan</w:t>
      </w:r>
      <w:r>
        <w:t>d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06E1E" w:rsidTr="004621B7">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406E1E" w:rsidRPr="00406E1E" w:rsidRDefault="0083267C" w:rsidP="0083267C">
            <w:pPr>
              <w:spacing w:before="120" w:after="240"/>
              <w:ind w:left="720"/>
              <w:jc w:val="left"/>
              <w:rPr>
                <w:rFonts w:cs="Arial"/>
                <w:b w:val="0"/>
                <w:szCs w:val="22"/>
              </w:rPr>
            </w:pPr>
            <w:r>
              <w:rPr>
                <w:noProof/>
                <w:lang w:eastAsia="en-GB"/>
              </w:rPr>
              <w:drawing>
                <wp:anchor distT="0" distB="0" distL="114300" distR="114300" simplePos="0" relativeHeight="251743232" behindDoc="0" locked="0" layoutInCell="1" allowOverlap="1" wp14:anchorId="474A62AE" wp14:editId="0BB88FAC">
                  <wp:simplePos x="0" y="0"/>
                  <wp:positionH relativeFrom="column">
                    <wp:posOffset>10160</wp:posOffset>
                  </wp:positionH>
                  <wp:positionV relativeFrom="paragraph">
                    <wp:posOffset>0</wp:posOffset>
                  </wp:positionV>
                  <wp:extent cx="6479540" cy="3887470"/>
                  <wp:effectExtent l="0" t="0" r="16510" b="17780"/>
                  <wp:wrapTopAndBottom/>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125FE7">
              <w:rPr>
                <w:rFonts w:cs="Arial"/>
                <w:b w:val="0"/>
                <w:sz w:val="20"/>
                <w:szCs w:val="22"/>
              </w:rPr>
              <w:t xml:space="preserve">Statutory timeline </w:t>
            </w:r>
            <w:r w:rsidR="007A1960" w:rsidRPr="007A1960">
              <w:rPr>
                <w:rFonts w:cs="Arial"/>
                <w:b w:val="0"/>
                <w:sz w:val="20"/>
                <w:szCs w:val="22"/>
              </w:rPr>
              <w:t xml:space="preserve">is 35 calendar </w:t>
            </w:r>
            <w:r w:rsidR="007A1960">
              <w:rPr>
                <w:rFonts w:cs="Arial"/>
                <w:b w:val="0"/>
                <w:sz w:val="20"/>
                <w:szCs w:val="22"/>
              </w:rPr>
              <w:t xml:space="preserve">days – Business Plan </w:t>
            </w:r>
            <w:r w:rsidR="007A1960" w:rsidRPr="007A1960">
              <w:rPr>
                <w:rFonts w:cs="Arial"/>
                <w:b w:val="0"/>
                <w:sz w:val="20"/>
                <w:szCs w:val="22"/>
              </w:rPr>
              <w:t>KPI objective is 28 calendar days</w:t>
            </w:r>
          </w:p>
        </w:tc>
      </w:tr>
    </w:tbl>
    <w:p w:rsidR="00406E1E" w:rsidRDefault="00406E1E" w:rsidP="00F555B6"/>
    <w:p w:rsidR="00960CF9" w:rsidRDefault="00960CF9" w:rsidP="00C201F0">
      <w:pPr>
        <w:pStyle w:val="Heading2"/>
        <w:spacing w:before="120" w:after="360"/>
      </w:pPr>
      <w:r>
        <w:lastRenderedPageBreak/>
        <w:t>Action Plans from accreditation of RECs,</w:t>
      </w:r>
      <w:r w:rsidRPr="00626504">
        <w:t xml:space="preserve"> Englan</w:t>
      </w:r>
      <w:r>
        <w:t>d</w:t>
      </w:r>
    </w:p>
    <w:tbl>
      <w:tblPr>
        <w:tblStyle w:val="TableGrid"/>
        <w:tblW w:w="0" w:type="auto"/>
        <w:tblInd w:w="1271" w:type="dxa"/>
        <w:tblLook w:val="04A0" w:firstRow="1" w:lastRow="0" w:firstColumn="1" w:lastColumn="0" w:noHBand="0" w:noVBand="1"/>
      </w:tblPr>
      <w:tblGrid>
        <w:gridCol w:w="2239"/>
        <w:gridCol w:w="3261"/>
        <w:gridCol w:w="2012"/>
      </w:tblGrid>
      <w:tr w:rsidR="00C201F0" w:rsidRPr="00C201F0" w:rsidTr="00816278">
        <w:trPr>
          <w:cnfStyle w:val="100000000000" w:firstRow="1" w:lastRow="0" w:firstColumn="0" w:lastColumn="0" w:oddVBand="0" w:evenVBand="0" w:oddHBand="0" w:evenHBand="0" w:firstRowFirstColumn="0" w:firstRowLastColumn="0" w:lastRowFirstColumn="0" w:lastRowLastColumn="0"/>
        </w:trPr>
        <w:tc>
          <w:tcPr>
            <w:tcW w:w="2239" w:type="dxa"/>
            <w:shd w:val="clear" w:color="auto" w:fill="7030A0"/>
          </w:tcPr>
          <w:p w:rsidR="00E861B3" w:rsidRPr="00C201F0" w:rsidRDefault="00E861B3" w:rsidP="00E861B3">
            <w:pPr>
              <w:jc w:val="left"/>
              <w:rPr>
                <w:color w:val="FFFFFF" w:themeColor="background1"/>
              </w:rPr>
            </w:pPr>
            <w:r w:rsidRPr="00C201F0">
              <w:rPr>
                <w:color w:val="FFFFFF" w:themeColor="background1"/>
              </w:rPr>
              <w:t>Month</w:t>
            </w:r>
          </w:p>
        </w:tc>
        <w:tc>
          <w:tcPr>
            <w:tcW w:w="3261" w:type="dxa"/>
            <w:shd w:val="clear" w:color="auto" w:fill="7030A0"/>
          </w:tcPr>
          <w:p w:rsidR="00E861B3" w:rsidRPr="00C201F0" w:rsidRDefault="00E861B3" w:rsidP="00816278">
            <w:pPr>
              <w:rPr>
                <w:color w:val="FFFFFF" w:themeColor="background1"/>
              </w:rPr>
            </w:pPr>
            <w:r w:rsidRPr="00C201F0">
              <w:rPr>
                <w:color w:val="FFFFFF" w:themeColor="background1"/>
              </w:rPr>
              <w:t xml:space="preserve">No of action plans </w:t>
            </w:r>
            <w:r w:rsidR="00816278">
              <w:rPr>
                <w:color w:val="FFFFFF" w:themeColor="background1"/>
              </w:rPr>
              <w:t>received</w:t>
            </w:r>
          </w:p>
        </w:tc>
        <w:tc>
          <w:tcPr>
            <w:tcW w:w="2012" w:type="dxa"/>
            <w:shd w:val="clear" w:color="auto" w:fill="7030A0"/>
          </w:tcPr>
          <w:p w:rsidR="00E861B3" w:rsidRPr="00C201F0" w:rsidRDefault="00E861B3" w:rsidP="00C201F0">
            <w:pPr>
              <w:rPr>
                <w:color w:val="FFFFFF" w:themeColor="background1"/>
              </w:rPr>
            </w:pPr>
            <w:r w:rsidRPr="00C201F0">
              <w:rPr>
                <w:color w:val="FFFFFF" w:themeColor="background1"/>
              </w:rPr>
              <w:t>% in target</w:t>
            </w:r>
          </w:p>
        </w:tc>
      </w:tr>
      <w:tr w:rsidR="00E861B3" w:rsidTr="00816278">
        <w:tc>
          <w:tcPr>
            <w:tcW w:w="2239" w:type="dxa"/>
          </w:tcPr>
          <w:p w:rsidR="00C201F0" w:rsidRDefault="00C201F0" w:rsidP="006A6D3E">
            <w:pPr>
              <w:spacing w:before="40" w:after="40"/>
              <w:ind w:left="113"/>
            </w:pPr>
            <w:r>
              <w:t>April</w:t>
            </w:r>
          </w:p>
        </w:tc>
        <w:tc>
          <w:tcPr>
            <w:tcW w:w="3261" w:type="dxa"/>
          </w:tcPr>
          <w:p w:rsidR="00E861B3" w:rsidRDefault="00C201F0" w:rsidP="006A6D3E">
            <w:pPr>
              <w:spacing w:before="40" w:after="40"/>
              <w:jc w:val="center"/>
            </w:pPr>
            <w:r>
              <w:t>2</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May</w:t>
            </w:r>
          </w:p>
        </w:tc>
        <w:tc>
          <w:tcPr>
            <w:tcW w:w="3261" w:type="dxa"/>
          </w:tcPr>
          <w:p w:rsidR="00E861B3" w:rsidRDefault="00C201F0" w:rsidP="006A6D3E">
            <w:pPr>
              <w:spacing w:before="40" w:after="40"/>
              <w:jc w:val="center"/>
            </w:pPr>
            <w:r>
              <w:t>2</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June</w:t>
            </w:r>
          </w:p>
        </w:tc>
        <w:tc>
          <w:tcPr>
            <w:tcW w:w="3261" w:type="dxa"/>
          </w:tcPr>
          <w:p w:rsidR="00E861B3" w:rsidRDefault="00C201F0" w:rsidP="006A6D3E">
            <w:pPr>
              <w:spacing w:before="40" w:after="40"/>
              <w:jc w:val="center"/>
            </w:pPr>
            <w:r>
              <w:t>1</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July</w:t>
            </w:r>
          </w:p>
        </w:tc>
        <w:tc>
          <w:tcPr>
            <w:tcW w:w="3261" w:type="dxa"/>
          </w:tcPr>
          <w:p w:rsidR="00E861B3" w:rsidRDefault="008974DC" w:rsidP="006A6D3E">
            <w:pPr>
              <w:spacing w:before="40" w:after="40"/>
              <w:jc w:val="center"/>
            </w:pPr>
            <w:r>
              <w:t>0</w:t>
            </w:r>
          </w:p>
        </w:tc>
        <w:tc>
          <w:tcPr>
            <w:tcW w:w="2012" w:type="dxa"/>
          </w:tcPr>
          <w:p w:rsidR="00E861B3" w:rsidRDefault="008974DC" w:rsidP="006A6D3E">
            <w:pPr>
              <w:spacing w:before="40" w:after="40"/>
              <w:jc w:val="center"/>
            </w:pPr>
            <w:r>
              <w:t>N/A</w:t>
            </w:r>
          </w:p>
        </w:tc>
      </w:tr>
      <w:tr w:rsidR="00C201F0" w:rsidTr="00816278">
        <w:tc>
          <w:tcPr>
            <w:tcW w:w="2239" w:type="dxa"/>
          </w:tcPr>
          <w:p w:rsidR="00C201F0" w:rsidRDefault="00C201F0" w:rsidP="006A6D3E">
            <w:pPr>
              <w:spacing w:before="40" w:after="40"/>
              <w:ind w:left="113"/>
            </w:pPr>
            <w:r>
              <w:t>August</w:t>
            </w:r>
          </w:p>
        </w:tc>
        <w:tc>
          <w:tcPr>
            <w:tcW w:w="3261" w:type="dxa"/>
          </w:tcPr>
          <w:p w:rsidR="00C201F0" w:rsidRDefault="00C201F0" w:rsidP="006A6D3E">
            <w:pPr>
              <w:spacing w:before="40" w:after="40"/>
              <w:jc w:val="center"/>
            </w:pPr>
            <w:r>
              <w:t>0</w:t>
            </w:r>
          </w:p>
        </w:tc>
        <w:tc>
          <w:tcPr>
            <w:tcW w:w="2012" w:type="dxa"/>
          </w:tcPr>
          <w:p w:rsidR="00C201F0" w:rsidRDefault="00C201F0" w:rsidP="006A6D3E">
            <w:pPr>
              <w:spacing w:before="40" w:after="40"/>
              <w:jc w:val="center"/>
            </w:pPr>
            <w:r>
              <w:t>N/A</w:t>
            </w:r>
          </w:p>
        </w:tc>
      </w:tr>
      <w:tr w:rsidR="00C201F0" w:rsidTr="00816278">
        <w:tc>
          <w:tcPr>
            <w:tcW w:w="2239" w:type="dxa"/>
          </w:tcPr>
          <w:p w:rsidR="00C201F0" w:rsidRDefault="00C201F0" w:rsidP="006A6D3E">
            <w:pPr>
              <w:spacing w:before="40" w:after="40"/>
              <w:ind w:left="113"/>
            </w:pPr>
            <w:r>
              <w:t>September</w:t>
            </w:r>
          </w:p>
        </w:tc>
        <w:tc>
          <w:tcPr>
            <w:tcW w:w="3261" w:type="dxa"/>
          </w:tcPr>
          <w:p w:rsidR="00C201F0" w:rsidRDefault="00C201F0" w:rsidP="006A6D3E">
            <w:pPr>
              <w:spacing w:before="40" w:after="40"/>
              <w:jc w:val="center"/>
            </w:pPr>
            <w:r>
              <w:t>1</w:t>
            </w:r>
          </w:p>
        </w:tc>
        <w:tc>
          <w:tcPr>
            <w:tcW w:w="2012" w:type="dxa"/>
          </w:tcPr>
          <w:p w:rsidR="00C201F0" w:rsidRDefault="00C201F0" w:rsidP="006A6D3E">
            <w:pPr>
              <w:spacing w:before="40" w:after="40"/>
              <w:jc w:val="center"/>
            </w:pPr>
            <w:r>
              <w:t>100%</w:t>
            </w:r>
          </w:p>
        </w:tc>
      </w:tr>
      <w:tr w:rsidR="00DC3D45" w:rsidTr="00816278">
        <w:tc>
          <w:tcPr>
            <w:tcW w:w="2239" w:type="dxa"/>
          </w:tcPr>
          <w:p w:rsidR="00DC3D45" w:rsidRDefault="00DC3D45" w:rsidP="006A6D3E">
            <w:pPr>
              <w:spacing w:before="40" w:after="40"/>
              <w:ind w:left="113"/>
            </w:pPr>
            <w:r>
              <w:t>October</w:t>
            </w:r>
          </w:p>
        </w:tc>
        <w:tc>
          <w:tcPr>
            <w:tcW w:w="3261" w:type="dxa"/>
          </w:tcPr>
          <w:p w:rsidR="00DC3D45" w:rsidRDefault="00DC3D45" w:rsidP="006A6D3E">
            <w:pPr>
              <w:spacing w:before="40" w:after="40"/>
              <w:jc w:val="center"/>
            </w:pPr>
            <w:r>
              <w:t>1</w:t>
            </w:r>
          </w:p>
        </w:tc>
        <w:tc>
          <w:tcPr>
            <w:tcW w:w="2012" w:type="dxa"/>
          </w:tcPr>
          <w:p w:rsidR="00DC3D45" w:rsidRDefault="00DC3D45" w:rsidP="006A6D3E">
            <w:pPr>
              <w:spacing w:before="40" w:after="40"/>
              <w:jc w:val="center"/>
            </w:pPr>
            <w:r>
              <w:t>100%</w:t>
            </w:r>
          </w:p>
        </w:tc>
      </w:tr>
      <w:tr w:rsidR="00D74437" w:rsidTr="00816278">
        <w:tc>
          <w:tcPr>
            <w:tcW w:w="2239" w:type="dxa"/>
          </w:tcPr>
          <w:p w:rsidR="00D74437" w:rsidRDefault="00D74437" w:rsidP="006A6D3E">
            <w:pPr>
              <w:spacing w:before="40" w:after="40"/>
              <w:ind w:left="113"/>
            </w:pPr>
            <w:r>
              <w:t>November</w:t>
            </w:r>
          </w:p>
        </w:tc>
        <w:tc>
          <w:tcPr>
            <w:tcW w:w="3261" w:type="dxa"/>
          </w:tcPr>
          <w:p w:rsidR="00D74437" w:rsidRDefault="00D74437" w:rsidP="006A6D3E">
            <w:pPr>
              <w:spacing w:before="40" w:after="40"/>
              <w:jc w:val="center"/>
            </w:pPr>
            <w:r>
              <w:t>1</w:t>
            </w:r>
          </w:p>
        </w:tc>
        <w:tc>
          <w:tcPr>
            <w:tcW w:w="2012" w:type="dxa"/>
          </w:tcPr>
          <w:p w:rsidR="00D74437" w:rsidRDefault="00D74437" w:rsidP="006A6D3E">
            <w:pPr>
              <w:spacing w:before="40" w:after="40"/>
              <w:jc w:val="center"/>
            </w:pPr>
            <w:r>
              <w:t>100%</w:t>
            </w:r>
          </w:p>
        </w:tc>
      </w:tr>
      <w:tr w:rsidR="006A6D3E" w:rsidTr="00816278">
        <w:tc>
          <w:tcPr>
            <w:tcW w:w="2239" w:type="dxa"/>
          </w:tcPr>
          <w:p w:rsidR="006A6D3E" w:rsidRDefault="006A6D3E" w:rsidP="006A6D3E">
            <w:pPr>
              <w:spacing w:before="40" w:after="40"/>
              <w:ind w:left="113"/>
            </w:pPr>
            <w:r>
              <w:t>December</w:t>
            </w:r>
          </w:p>
        </w:tc>
        <w:tc>
          <w:tcPr>
            <w:tcW w:w="3261" w:type="dxa"/>
          </w:tcPr>
          <w:p w:rsidR="006A6D3E" w:rsidRDefault="006A6D3E" w:rsidP="006A6D3E">
            <w:pPr>
              <w:spacing w:before="40" w:after="40"/>
              <w:jc w:val="center"/>
            </w:pPr>
            <w:r>
              <w:t>0</w:t>
            </w:r>
          </w:p>
        </w:tc>
        <w:tc>
          <w:tcPr>
            <w:tcW w:w="2012" w:type="dxa"/>
          </w:tcPr>
          <w:p w:rsidR="006A6D3E" w:rsidRDefault="006A6D3E" w:rsidP="006A6D3E">
            <w:pPr>
              <w:spacing w:before="40" w:after="40"/>
              <w:jc w:val="center"/>
            </w:pPr>
            <w:r>
              <w:t>N/A</w:t>
            </w:r>
          </w:p>
        </w:tc>
      </w:tr>
    </w:tbl>
    <w:p w:rsidR="00280C9F" w:rsidRDefault="00280C9F" w:rsidP="00F555B6"/>
    <w:p w:rsidR="00AD7918" w:rsidRDefault="00AD7918">
      <w:pPr>
        <w:spacing w:after="0" w:line="240" w:lineRule="auto"/>
      </w:pPr>
    </w:p>
    <w:p w:rsidR="00406E1E" w:rsidRDefault="00406E1E">
      <w:pPr>
        <w:spacing w:after="0" w:line="240" w:lineRule="auto"/>
      </w:pPr>
      <w:r>
        <w:br w:type="page"/>
      </w:r>
    </w:p>
    <w:p w:rsidR="00406E1E" w:rsidRDefault="00406E1E" w:rsidP="000E36B3"/>
    <w:p w:rsidR="00280C9F" w:rsidRPr="00406B66" w:rsidRDefault="00280C9F" w:rsidP="00280C9F">
      <w:pPr>
        <w:pStyle w:val="Heading1"/>
        <w:rPr>
          <w:sz w:val="48"/>
          <w:szCs w:val="48"/>
        </w:rPr>
      </w:pPr>
      <w:r w:rsidRPr="00406B66">
        <w:rPr>
          <w:sz w:val="48"/>
          <w:szCs w:val="48"/>
        </w:rPr>
        <w:t xml:space="preserve">Section </w:t>
      </w:r>
      <w:r>
        <w:rPr>
          <w:sz w:val="48"/>
          <w:szCs w:val="48"/>
        </w:rPr>
        <w:t>6</w:t>
      </w:r>
      <w:r w:rsidRPr="00406B66">
        <w:rPr>
          <w:sz w:val="48"/>
          <w:szCs w:val="48"/>
        </w:rPr>
        <w:t xml:space="preserve">:  </w:t>
      </w:r>
      <w:r>
        <w:rPr>
          <w:sz w:val="48"/>
          <w:szCs w:val="48"/>
        </w:rPr>
        <w:t xml:space="preserve">Confidentiality Advisory Group </w:t>
      </w:r>
      <w:r w:rsidR="009C4825">
        <w:rPr>
          <w:sz w:val="48"/>
          <w:szCs w:val="48"/>
        </w:rPr>
        <w:t xml:space="preserve">(CAG) </w:t>
      </w:r>
      <w:r w:rsidRPr="00406B66">
        <w:rPr>
          <w:sz w:val="48"/>
          <w:szCs w:val="48"/>
        </w:rPr>
        <w:t>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280C9F"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280C9F" w:rsidRPr="00B25DF7" w:rsidRDefault="00280C9F" w:rsidP="004621B7">
            <w:pPr>
              <w:spacing w:before="120"/>
              <w:jc w:val="left"/>
              <w:rPr>
                <w:b w:val="0"/>
                <w:color w:val="F79646" w:themeColor="accent6"/>
                <w:sz w:val="28"/>
              </w:rPr>
            </w:pPr>
            <w:r>
              <w:rPr>
                <w:b w:val="0"/>
                <w:color w:val="F79646" w:themeColor="accent6"/>
                <w:sz w:val="28"/>
              </w:rPr>
              <w:t>CAG METRICS</w:t>
            </w:r>
          </w:p>
        </w:tc>
      </w:tr>
      <w:tr w:rsidR="00280C9F" w:rsidTr="004621B7">
        <w:tc>
          <w:tcPr>
            <w:tcW w:w="10415" w:type="dxa"/>
          </w:tcPr>
          <w:p w:rsidR="00384F94" w:rsidRDefault="00384F94" w:rsidP="00384F94">
            <w:pPr>
              <w:numPr>
                <w:ilvl w:val="0"/>
                <w:numId w:val="6"/>
              </w:numPr>
              <w:spacing w:before="120"/>
              <w:ind w:left="357" w:hanging="357"/>
              <w:rPr>
                <w:rFonts w:cs="Arial"/>
                <w:szCs w:val="22"/>
              </w:rPr>
            </w:pPr>
            <w:r>
              <w:rPr>
                <w:rFonts w:cs="Arial"/>
                <w:szCs w:val="22"/>
              </w:rPr>
              <w:t>CAG was established in April 2013 when the function transferred to the HRA</w:t>
            </w:r>
          </w:p>
          <w:p w:rsidR="00280C9F" w:rsidRDefault="00384F94" w:rsidP="00567DAF">
            <w:pPr>
              <w:numPr>
                <w:ilvl w:val="0"/>
                <w:numId w:val="6"/>
              </w:numPr>
              <w:spacing w:after="240"/>
              <w:ind w:left="357" w:hanging="357"/>
            </w:pPr>
            <w:r>
              <w:rPr>
                <w:rFonts w:cs="Arial"/>
                <w:szCs w:val="22"/>
              </w:rPr>
              <w:t xml:space="preserve">CAG will meet monthly (currently every 2 months) from April 2014 which will improve timelines. Additional resource </w:t>
            </w:r>
            <w:r w:rsidR="00567DAF">
              <w:rPr>
                <w:rFonts w:cs="Arial"/>
                <w:szCs w:val="22"/>
              </w:rPr>
              <w:t>secured</w:t>
            </w:r>
            <w:r>
              <w:rPr>
                <w:rFonts w:cs="Arial"/>
                <w:szCs w:val="22"/>
              </w:rPr>
              <w:t xml:space="preserve"> in December 2013 will also reduce timelines</w:t>
            </w:r>
          </w:p>
        </w:tc>
      </w:tr>
    </w:tbl>
    <w:p w:rsidR="00280C9F" w:rsidRDefault="00280C9F" w:rsidP="00C82DF4">
      <w:pPr>
        <w:spacing w:after="0"/>
      </w:pPr>
    </w:p>
    <w:p w:rsidR="00280C9F" w:rsidRPr="00232E0B" w:rsidRDefault="00280C9F" w:rsidP="00BD6824">
      <w:pPr>
        <w:pStyle w:val="Heading2"/>
        <w:spacing w:before="120" w:after="360"/>
        <w:rPr>
          <w:sz w:val="28"/>
        </w:rPr>
      </w:pPr>
      <w:r w:rsidRPr="00232E0B">
        <w:rPr>
          <w:sz w:val="28"/>
        </w:rPr>
        <w:t>Summary of applications reviewed by CAG (year to date)</w:t>
      </w:r>
    </w:p>
    <w:tbl>
      <w:tblPr>
        <w:tblW w:w="10475" w:type="dxa"/>
        <w:tblInd w:w="-13" w:type="dxa"/>
        <w:tblCellMar>
          <w:left w:w="0" w:type="dxa"/>
          <w:right w:w="0" w:type="dxa"/>
        </w:tblCellMar>
        <w:tblLook w:val="04A0" w:firstRow="1" w:lastRow="0" w:firstColumn="1" w:lastColumn="0" w:noHBand="0" w:noVBand="1"/>
      </w:tblPr>
      <w:tblGrid>
        <w:gridCol w:w="3666"/>
        <w:gridCol w:w="1134"/>
        <w:gridCol w:w="1135"/>
        <w:gridCol w:w="1135"/>
        <w:gridCol w:w="1135"/>
        <w:gridCol w:w="1135"/>
        <w:gridCol w:w="1135"/>
      </w:tblGrid>
      <w:tr w:rsidR="00BD6824" w:rsidRPr="00BD6824" w:rsidTr="00567DAF">
        <w:trPr>
          <w:trHeight w:val="300"/>
        </w:trPr>
        <w:tc>
          <w:tcPr>
            <w:tcW w:w="3665"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Application type</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Total</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New full CAG applications reported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42</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Proportionate reviews reported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34</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Amendments reported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25</w:t>
            </w:r>
          </w:p>
        </w:tc>
      </w:tr>
      <w:tr w:rsidR="00BD6824" w:rsidRPr="00BD6824" w:rsidTr="00567DAF">
        <w:trPr>
          <w:trHeight w:val="300"/>
        </w:trPr>
        <w:tc>
          <w:tcPr>
            <w:tcW w:w="3665"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r>
      <w:tr w:rsidR="00BD6824" w:rsidRPr="00BD6824" w:rsidTr="00567DAF">
        <w:trPr>
          <w:trHeight w:val="300"/>
        </w:trPr>
        <w:tc>
          <w:tcPr>
            <w:tcW w:w="3665"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Mean processing time in calendar days</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New applications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60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Proportionate reviews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Amendments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34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BD6824" w:rsidRPr="00BD6824" w:rsidTr="00567DAF">
        <w:trPr>
          <w:trHeight w:val="300"/>
        </w:trPr>
        <w:tc>
          <w:tcPr>
            <w:tcW w:w="3665"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r>
      <w:tr w:rsidR="00BD6824" w:rsidRPr="00BD6824" w:rsidTr="00567DAF">
        <w:trPr>
          <w:trHeight w:val="600"/>
        </w:trPr>
        <w:tc>
          <w:tcPr>
            <w:tcW w:w="3665"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No. of applications meeting target processing time</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New applications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60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Proportionate reviews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Amendments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BD6824" w:rsidRPr="00BD6824" w:rsidTr="00567DAF">
        <w:trPr>
          <w:trHeight w:val="300"/>
        </w:trPr>
        <w:tc>
          <w:tcPr>
            <w:tcW w:w="3665"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c>
          <w:tcPr>
            <w:tcW w:w="1134" w:type="dxa"/>
            <w:noWrap/>
            <w:tcMar>
              <w:top w:w="0" w:type="dxa"/>
              <w:left w:w="108" w:type="dxa"/>
              <w:bottom w:w="0" w:type="dxa"/>
              <w:right w:w="108" w:type="dxa"/>
            </w:tcMar>
            <w:vAlign w:val="center"/>
            <w:hideMark/>
          </w:tcPr>
          <w:p w:rsidR="00BD6824" w:rsidRPr="00BD6824" w:rsidRDefault="00BD6824" w:rsidP="00BD6824">
            <w:pPr>
              <w:spacing w:after="0"/>
              <w:rPr>
                <w:rFonts w:eastAsia="Times New Roman" w:cs="Arial"/>
                <w:sz w:val="20"/>
                <w:szCs w:val="20"/>
                <w:lang w:eastAsia="en-GB"/>
              </w:rPr>
            </w:pPr>
          </w:p>
        </w:tc>
      </w:tr>
      <w:tr w:rsidR="00BD6824" w:rsidRPr="00BD6824" w:rsidTr="00567DAF">
        <w:trPr>
          <w:trHeight w:val="600"/>
        </w:trPr>
        <w:tc>
          <w:tcPr>
            <w:tcW w:w="3665"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Proportion of applications meeting target processing time</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New applications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93%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Proportionate reviews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r w:rsidR="00BD6824" w:rsidRPr="00BD6824" w:rsidTr="00567DAF">
        <w:trPr>
          <w:trHeight w:val="300"/>
        </w:trPr>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rPr>
                <w:rFonts w:eastAsiaTheme="minorHAnsi" w:cs="Arial"/>
                <w:color w:val="000000"/>
                <w:sz w:val="20"/>
                <w:szCs w:val="20"/>
                <w:lang w:eastAsia="en-GB"/>
              </w:rPr>
            </w:pPr>
            <w:r w:rsidRPr="00BD6824">
              <w:rPr>
                <w:rFonts w:cs="Arial"/>
                <w:color w:val="000000"/>
                <w:sz w:val="20"/>
                <w:szCs w:val="20"/>
                <w:lang w:eastAsia="en-GB"/>
              </w:rPr>
              <w:t>Amendments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824" w:rsidRPr="00BD6824" w:rsidRDefault="00BD6824"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bl>
    <w:p w:rsidR="00280C9F" w:rsidRDefault="00280C9F" w:rsidP="00F555B6"/>
    <w:p w:rsidR="000D0D14" w:rsidRDefault="000D0D14" w:rsidP="000D0D14">
      <w:pPr>
        <w:pStyle w:val="Heading2"/>
        <w:spacing w:after="240"/>
      </w:pPr>
      <w:r>
        <w:t>Review of applications by CAG (year to date)</w:t>
      </w:r>
    </w:p>
    <w:p w:rsidR="00215779" w:rsidRPr="00215779" w:rsidRDefault="00215779" w:rsidP="002157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A112BE" w:rsidTr="00A112BE">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BD6824" w:rsidRDefault="00215779">
            <w:pPr>
              <w:spacing w:after="0" w:line="240" w:lineRule="auto"/>
            </w:pPr>
            <w:r w:rsidRPr="00BD6824">
              <w:rPr>
                <w:rFonts w:ascii="Times New Roman" w:hAnsi="Times New Roman"/>
                <w:noProof/>
                <w:sz w:val="24"/>
                <w:lang w:eastAsia="en-GB"/>
              </w:rPr>
              <w:drawing>
                <wp:anchor distT="0" distB="0" distL="114300" distR="114300" simplePos="0" relativeHeight="251722752" behindDoc="0" locked="0" layoutInCell="1" allowOverlap="1" wp14:anchorId="426C6086" wp14:editId="52BFC082">
                  <wp:simplePos x="0" y="0"/>
                  <wp:positionH relativeFrom="column">
                    <wp:posOffset>-10160</wp:posOffset>
                  </wp:positionH>
                  <wp:positionV relativeFrom="paragraph">
                    <wp:posOffset>5080</wp:posOffset>
                  </wp:positionV>
                  <wp:extent cx="6134100" cy="3295650"/>
                  <wp:effectExtent l="0" t="0" r="0" b="0"/>
                  <wp:wrapNone/>
                  <wp:docPr id="27" name="Char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34100" cy="3295650"/>
                          </a:xfrm>
                          <a:prstGeom prst="rect">
                            <a:avLst/>
                          </a:prstGeom>
                          <a:noFill/>
                        </pic:spPr>
                      </pic:pic>
                    </a:graphicData>
                  </a:graphic>
                  <wp14:sizeRelH relativeFrom="page">
                    <wp14:pctWidth>0</wp14:pctWidth>
                  </wp14:sizeRelH>
                  <wp14:sizeRelV relativeFrom="page">
                    <wp14:pctHeight>0</wp14:pctHeight>
                  </wp14:sizeRelV>
                </wp:anchor>
              </w:drawing>
            </w:r>
          </w:p>
          <w:p w:rsidR="00A112BE" w:rsidRDefault="00BD6824">
            <w:pPr>
              <w:spacing w:after="0" w:line="240" w:lineRule="auto"/>
            </w:pPr>
            <w:r>
              <w:rPr>
                <w:rFonts w:ascii="Times New Roman" w:hAnsi="Times New Roman"/>
                <w:noProof/>
                <w:sz w:val="24"/>
                <w:lang w:eastAsia="en-GB"/>
              </w:rPr>
              <w:drawing>
                <wp:anchor distT="0" distB="0" distL="114300" distR="114300" simplePos="0" relativeHeight="251720704" behindDoc="0" locked="0" layoutInCell="1" allowOverlap="1" wp14:anchorId="21490E2D" wp14:editId="0AB18AC0">
                  <wp:simplePos x="0" y="0"/>
                  <wp:positionH relativeFrom="column">
                    <wp:posOffset>95250</wp:posOffset>
                  </wp:positionH>
                  <wp:positionV relativeFrom="paragraph">
                    <wp:posOffset>9353550</wp:posOffset>
                  </wp:positionV>
                  <wp:extent cx="6134100" cy="329565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34100" cy="329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0" distB="0" distL="114300" distR="114300" simplePos="0" relativeHeight="251718656" behindDoc="0" locked="0" layoutInCell="1" allowOverlap="1" wp14:anchorId="58249648" wp14:editId="0EA61A48">
                  <wp:simplePos x="0" y="0"/>
                  <wp:positionH relativeFrom="column">
                    <wp:posOffset>95250</wp:posOffset>
                  </wp:positionH>
                  <wp:positionV relativeFrom="paragraph">
                    <wp:posOffset>9353550</wp:posOffset>
                  </wp:positionV>
                  <wp:extent cx="6134100" cy="329565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34100" cy="3295650"/>
                          </a:xfrm>
                          <a:prstGeom prst="rect">
                            <a:avLst/>
                          </a:prstGeom>
                          <a:noFill/>
                        </pic:spPr>
                      </pic:pic>
                    </a:graphicData>
                  </a:graphic>
                  <wp14:sizeRelH relativeFrom="page">
                    <wp14:pctWidth>0</wp14:pctWidth>
                  </wp14:sizeRelH>
                  <wp14:sizeRelV relativeFrom="page">
                    <wp14:pctHeight>0</wp14:pctHeight>
                  </wp14:sizeRelV>
                </wp:anchor>
              </w:drawing>
            </w:r>
          </w:p>
        </w:tc>
      </w:tr>
      <w:tr w:rsidR="00A112BE" w:rsidTr="00A112BE">
        <w:tc>
          <w:tcPr>
            <w:tcW w:w="10415" w:type="dxa"/>
            <w:shd w:val="clear" w:color="auto" w:fill="auto"/>
          </w:tcPr>
          <w:p w:rsidR="00A112BE" w:rsidRDefault="00A112BE">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6D4521" w:rsidRDefault="006D4521">
            <w:pPr>
              <w:spacing w:after="0" w:line="240" w:lineRule="auto"/>
            </w:pPr>
          </w:p>
          <w:p w:rsidR="00215779" w:rsidRDefault="00215779">
            <w:pPr>
              <w:spacing w:after="0" w:line="240" w:lineRule="auto"/>
            </w:pPr>
          </w:p>
          <w:p w:rsidR="006D4521" w:rsidRDefault="00215779">
            <w:pPr>
              <w:spacing w:after="0" w:line="240" w:lineRule="auto"/>
            </w:pPr>
            <w:r>
              <w:rPr>
                <w:noProof/>
                <w:lang w:eastAsia="en-GB"/>
              </w:rPr>
              <w:drawing>
                <wp:inline distT="0" distB="0" distL="0" distR="0" wp14:anchorId="154AF2A2" wp14:editId="774AE659">
                  <wp:extent cx="6123940" cy="31235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3940" cy="3123565"/>
                          </a:xfrm>
                          <a:prstGeom prst="rect">
                            <a:avLst/>
                          </a:prstGeom>
                          <a:noFill/>
                        </pic:spPr>
                      </pic:pic>
                    </a:graphicData>
                  </a:graphic>
                </wp:inline>
              </w:drawing>
            </w:r>
          </w:p>
          <w:p w:rsidR="00BD6824" w:rsidRDefault="00BD6824">
            <w:pPr>
              <w:spacing w:after="0" w:line="240" w:lineRule="auto"/>
            </w:pPr>
          </w:p>
        </w:tc>
      </w:tr>
      <w:tr w:rsidR="00A112BE" w:rsidTr="00A112BE">
        <w:tc>
          <w:tcPr>
            <w:tcW w:w="10415" w:type="dxa"/>
            <w:shd w:val="clear" w:color="auto" w:fill="auto"/>
          </w:tcPr>
          <w:p w:rsidR="00BD6824" w:rsidRDefault="00BD6824" w:rsidP="00A112BE">
            <w:pPr>
              <w:spacing w:after="0" w:line="240" w:lineRule="auto"/>
              <w:jc w:val="center"/>
            </w:pPr>
          </w:p>
          <w:p w:rsidR="006D4521" w:rsidRDefault="006D4521" w:rsidP="00A112BE">
            <w:pPr>
              <w:spacing w:after="0" w:line="240" w:lineRule="auto"/>
              <w:jc w:val="center"/>
            </w:pPr>
          </w:p>
          <w:p w:rsidR="00BD6824" w:rsidRDefault="00BD6824" w:rsidP="00A112BE">
            <w:pPr>
              <w:spacing w:after="0" w:line="240" w:lineRule="auto"/>
              <w:jc w:val="center"/>
            </w:pPr>
          </w:p>
          <w:p w:rsidR="006D4521" w:rsidRDefault="006D4521"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BD6824" w:rsidRDefault="00BD6824" w:rsidP="00A112BE">
            <w:pPr>
              <w:spacing w:after="0" w:line="240" w:lineRule="auto"/>
              <w:jc w:val="center"/>
            </w:pPr>
            <w:r>
              <w:rPr>
                <w:noProof/>
                <w:lang w:eastAsia="en-GB"/>
              </w:rPr>
              <w:drawing>
                <wp:inline distT="0" distB="0" distL="0" distR="0" wp14:anchorId="0F73D8B3" wp14:editId="6A4D01F3">
                  <wp:extent cx="6133465" cy="370459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33465" cy="3704590"/>
                          </a:xfrm>
                          <a:prstGeom prst="rect">
                            <a:avLst/>
                          </a:prstGeom>
                          <a:noFill/>
                        </pic:spPr>
                      </pic:pic>
                    </a:graphicData>
                  </a:graphic>
                </wp:inline>
              </w:drawing>
            </w:r>
          </w:p>
        </w:tc>
      </w:tr>
    </w:tbl>
    <w:p w:rsidR="00C375BF" w:rsidRDefault="00C375BF" w:rsidP="00A112BE"/>
    <w:p w:rsidR="00A112BE" w:rsidRDefault="00A112BE" w:rsidP="00C375BF"/>
    <w:sectPr w:rsidR="00A112BE" w:rsidSect="00D058B8">
      <w:headerReference w:type="first" r:id="rId42"/>
      <w:footerReference w:type="first" r:id="rId43"/>
      <w:pgSz w:w="11900" w:h="16840"/>
      <w:pgMar w:top="1134" w:right="680" w:bottom="1021" w:left="1021" w:header="624" w:footer="624" w:gutter="0"/>
      <w:pgNumType w:start="1"/>
      <w:cols w:space="6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5E" w:rsidRDefault="002D455E" w:rsidP="004621B7">
      <w:pPr>
        <w:spacing w:after="0" w:line="240" w:lineRule="auto"/>
      </w:pPr>
      <w:r>
        <w:separator/>
      </w:r>
    </w:p>
  </w:endnote>
  <w:endnote w:type="continuationSeparator" w:id="0">
    <w:p w:rsidR="002D455E" w:rsidRDefault="002D455E" w:rsidP="0046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Roman">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D275AC">
    <w:pPr>
      <w:pStyle w:val="Footer"/>
    </w:pPr>
    <w:r w:rsidRPr="00D63979">
      <w:rPr>
        <w:noProof/>
        <w:lang w:eastAsia="en-GB"/>
      </w:rPr>
      <w:drawing>
        <wp:anchor distT="0" distB="0" distL="114300" distR="114300" simplePos="0" relativeHeight="251668480" behindDoc="1" locked="0" layoutInCell="1" allowOverlap="1" wp14:anchorId="78BDDE1F" wp14:editId="26FF55F5">
          <wp:simplePos x="0" y="0"/>
          <wp:positionH relativeFrom="column">
            <wp:posOffset>10478</wp:posOffset>
          </wp:positionH>
          <wp:positionV relativeFrom="paragraph">
            <wp:posOffset>-9208</wp:posOffset>
          </wp:positionV>
          <wp:extent cx="361950" cy="358775"/>
          <wp:effectExtent l="77787" t="74613" r="77788" b="77787"/>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2D455E" w:rsidRDefault="002D455E" w:rsidP="00D275AC">
    <w:pPr>
      <w:pStyle w:val="Footer"/>
      <w:ind w:left="284"/>
    </w:pPr>
    <w:r w:rsidRPr="00D63979">
      <w:rPr>
        <w:noProof/>
        <w:lang w:eastAsia="en-GB"/>
      </w:rPr>
      <mc:AlternateContent>
        <mc:Choice Requires="wps">
          <w:drawing>
            <wp:anchor distT="0" distB="0" distL="114300" distR="114300" simplePos="0" relativeHeight="251669504" behindDoc="0" locked="0" layoutInCell="1" allowOverlap="1" wp14:anchorId="2C9153E0" wp14:editId="5E4B70DF">
              <wp:simplePos x="0" y="0"/>
              <wp:positionH relativeFrom="column">
                <wp:posOffset>437515</wp:posOffset>
              </wp:positionH>
              <wp:positionV relativeFrom="paragraph">
                <wp:posOffset>27940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X1QEAABUEAAAOAAAAZHJzL2Uyb0RvYy54bWysU01v3CAQvVfKf0Dcs7b3sEmt9eawUXqp&#10;2lXT/gCChzUSMAjofvz7DtjrrJJKkapeMAPzZt57jNcPJ2vYAULU6DreLGrOwEnstdt3/NfPp9t7&#10;zmISrhcGHXT8DJE/bG4+rY++hSUOaHoIjIq42B59x4eUfFtVUQ5gRVygB0eXCoMVicKwr/ogjlTd&#10;mmpZ16vqiKH3ASXESKeP4yXflPpKgUzflYqQmOk4cUtlDWV9yWu1WYt2H4QftJxoiH9gYYV21HQu&#10;9SiSYL+DflfKahkwokoLibZCpbSEooHUNPUbNc+D8FC0kDnRzzbF/1dWfjvsAtN9x+84c8LSEz2n&#10;IPR+SGyLzpGBGNhd9unoY0vpW7cLUxT9LmTRJxVs/pIcdirenmdv4ZSYpMNV3Xy+r+kJ5OWuegX6&#10;ENMXQMvypuNGuyxbtOLwNSZqRqmXlHxsXF4jGt0/aWNKkAcGtiawg6CnFlKCS6tMm7BXmRSNaCjD&#10;MZXP0kYxZZfOBsY+P0CROUR/WfiUsXzbpZm6GEfZGaaI0wysPwZO+Rk6sprBzcfgGVE6o0sz2GqH&#10;4W8F0ulCWY35ZNKV7rx9wf5cnrlc0OwVH6f/JA/3dVzgr3/z5g8AAAD//wMAUEsDBBQABgAIAAAA&#10;IQCWVw7A2wAAAAcBAAAPAAAAZHJzL2Rvd25yZXYueG1sTI7LasMwEEX3hf6DmEI3pZFTjEkdyyH0&#10;BV2VJF1kObYmtqk1MpaUOH9fpZt0eR/ce4rVZHpxpNF1lhXMZwkI4trqjhsF37v3xwUI55E19pZJ&#10;wZkcrMrbmwJzbU+8oePWNyKOsMtRQev9kEvp6pYMupkdiGN2sKNBH+XYSD3iKY6bXj4lSSYNdhwf&#10;WhzopaX6ZxuMgq89Pbya806v3z6w+mwOYZOGoNT93bRegvA0+WsZLvgRHcrIVNnA2oleQbZ4jk0F&#10;aQriEifzLBrVnyHLQv7nL38BAAD//wMAUEsBAi0AFAAGAAgAAAAhALaDOJL+AAAA4QEAABMAAAAA&#10;AAAAAAAAAAAAAAAAAFtDb250ZW50X1R5cGVzXS54bWxQSwECLQAUAAYACAAAACEAOP0h/9YAAACU&#10;AQAACwAAAAAAAAAAAAAAAAAvAQAAX3JlbHMvLnJlbHNQSwECLQAUAAYACAAAACEAhVYQl9UBAAAV&#10;BAAADgAAAAAAAAAAAAAAAAAuAgAAZHJzL2Uyb0RvYy54bWxQSwECLQAUAAYACAAAACEAllcOwNsA&#10;AAAHAQAADwAAAAAAAAAAAAAAAAAvBAAAZHJzL2Rvd25yZXYueG1sUEsFBgAAAAAEAAQA8wAAADcF&#10;AAAAAA==&#10;" strokecolor="#f79646 [3209]" strokeweight="2pt"/>
          </w:pict>
        </mc:Fallback>
      </mc:AlternateContent>
    </w:r>
  </w:p>
  <w:p w:rsidR="002D455E" w:rsidRDefault="002D455E" w:rsidP="00D275AC">
    <w:pPr>
      <w:pStyle w:val="Footer"/>
      <w:ind w:left="284"/>
      <w:jc w:val="right"/>
    </w:pPr>
    <w:r>
      <w:fldChar w:fldCharType="begin"/>
    </w:r>
    <w:r>
      <w:instrText xml:space="preserve"> PAGE   \* MERGEFORMAT </w:instrText>
    </w:r>
    <w:r>
      <w:fldChar w:fldCharType="separate"/>
    </w:r>
    <w:r w:rsidR="0007656A" w:rsidRPr="0007656A">
      <w:rPr>
        <w:b/>
        <w:bCs/>
        <w:noProof/>
      </w:rPr>
      <w:t>20</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D275AC">
    <w:pPr>
      <w:pStyle w:val="Footer"/>
    </w:pPr>
    <w:r w:rsidRPr="00D63979">
      <w:rPr>
        <w:noProof/>
        <w:lang w:eastAsia="en-GB"/>
      </w:rPr>
      <w:drawing>
        <wp:anchor distT="0" distB="0" distL="114300" distR="114300" simplePos="0" relativeHeight="251665408" behindDoc="1" locked="0" layoutInCell="1" allowOverlap="1" wp14:anchorId="0F35F335" wp14:editId="23BFE3B7">
          <wp:simplePos x="0" y="0"/>
          <wp:positionH relativeFrom="column">
            <wp:posOffset>10478</wp:posOffset>
          </wp:positionH>
          <wp:positionV relativeFrom="paragraph">
            <wp:posOffset>-9208</wp:posOffset>
          </wp:positionV>
          <wp:extent cx="361950" cy="358775"/>
          <wp:effectExtent l="77787" t="74613" r="77788" b="7778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2D455E" w:rsidRDefault="002D455E" w:rsidP="00D275AC">
    <w:pPr>
      <w:pStyle w:val="Footer"/>
      <w:ind w:left="284"/>
    </w:pPr>
    <w:r w:rsidRPr="00D63979">
      <w:rPr>
        <w:noProof/>
        <w:lang w:eastAsia="en-GB"/>
      </w:rPr>
      <mc:AlternateContent>
        <mc:Choice Requires="wps">
          <w:drawing>
            <wp:anchor distT="0" distB="0" distL="114300" distR="114300" simplePos="0" relativeHeight="251666432" behindDoc="0" locked="0" layoutInCell="1" allowOverlap="1" wp14:anchorId="138FA472" wp14:editId="08A46F67">
              <wp:simplePos x="0" y="0"/>
              <wp:positionH relativeFrom="column">
                <wp:posOffset>437515</wp:posOffset>
              </wp:positionH>
              <wp:positionV relativeFrom="paragraph">
                <wp:posOffset>27940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yO1AEAABUEAAAOAAAAZHJzL2Uyb0RvYy54bWysU8tu2zAQvBfIPxC8x5IMxEgFyzk4SC9F&#10;azTtBzDU0iLAF5asH3/fJSUrRlIgQNELxSV3dmeGq/XDyRp2AIzau443i5ozcNL32u07/uvn0+09&#10;ZzEJ1wvjHXT8DJE/bG4+rY+hhaUfvOkBGRVxsT2Gjg8phbaqohzAirjwARxdKo9WJApxX/UojlTd&#10;mmpZ16vq6LEP6CXESKeP4yXflPpKgUzflYqQmOk4cUtlxbK+5LXarEW7RxEGLSca4h9YWKEdNZ1L&#10;PYok2G/U70pZLdFHr9JCelt5pbSEooHUNPUbNc+DCFC0kDkxzDbF/1dWfjvskOm+43ecOWHpiZ4T&#10;Cr0fEtt658hAj+wu+3QMsaX0rdvhFMWwwyz6pNDmL8lhp+LtefYWTolJOlzVzef7mp5AXu6qV2DA&#10;mL6AtyxvOm60y7JFKw5fY6JmlHpJycfG5TV6o/snbUwJ8sDA1iA7CHpqISW4tMq0CXuVSdGIhjIc&#10;U/ksbRRTdulsYOzzAxSZQ/SXhU8Zy7ddmqmLcZSdYYo4zcD6Y+CUn6EjqxncfAyeEaWzd2kGW+08&#10;/q1AOl0oqzGfTLrSnbcvvj+XZy4XNHvFx+k/ycN9HRf469+8+QMAAP//AwBQSwMEFAAGAAgAAAAh&#10;AJZXDsDbAAAABwEAAA8AAABkcnMvZG93bnJldi54bWxMjstqwzAQRfeF/oOYQjelkVOMSR3LIfQF&#10;XZUkXWQ5tia2qTUylpQ4f1+lm3R5H9x7itVkenGk0XWWFcxnCQji2uqOGwXfu/fHBQjnkTX2lknB&#10;mRysytubAnNtT7yh49Y3Io6wy1FB6/2QS+nqlgy6mR2IY3awo0Ef5dhIPeIpjptePiVJJg12HB9a&#10;HOilpfpnG4yCrz09vJrzTq/fPrD6bA5hk4ag1P3dtF6C8DT5axku+BEdyshU2cDaiV5BtniOTQVp&#10;CuISJ/MsGtWfIctC/ucvfwEAAP//AwBQSwECLQAUAAYACAAAACEAtoM4kv4AAADhAQAAEwAAAAAA&#10;AAAAAAAAAAAAAAAAW0NvbnRlbnRfVHlwZXNdLnhtbFBLAQItABQABgAIAAAAIQA4/SH/1gAAAJQB&#10;AAALAAAAAAAAAAAAAAAAAC8BAABfcmVscy8ucmVsc1BLAQItABQABgAIAAAAIQB03MyO1AEAABUE&#10;AAAOAAAAAAAAAAAAAAAAAC4CAABkcnMvZTJvRG9jLnhtbFBLAQItABQABgAIAAAAIQCWVw7A2wAA&#10;AAcBAAAPAAAAAAAAAAAAAAAAAC4EAABkcnMvZG93bnJldi54bWxQSwUGAAAAAAQABADzAAAANgUA&#10;AAAA&#10;" strokecolor="#f79646 [3209]" strokeweight="2pt"/>
          </w:pict>
        </mc:Fallback>
      </mc:AlternateContent>
    </w:r>
  </w:p>
  <w:p w:rsidR="002D455E" w:rsidRDefault="002D455E" w:rsidP="00D275AC">
    <w:pPr>
      <w:pStyle w:val="Footer"/>
      <w:ind w:left="284"/>
      <w:jc w:val="right"/>
    </w:pPr>
    <w:r>
      <w:fldChar w:fldCharType="begin"/>
    </w:r>
    <w:r>
      <w:instrText xml:space="preserve"> PAGE   \* MERGEFORMAT </w:instrText>
    </w:r>
    <w:r>
      <w:fldChar w:fldCharType="separate"/>
    </w:r>
    <w:r w:rsidR="0007656A" w:rsidRPr="0007656A">
      <w:rPr>
        <w:b/>
        <w:bCs/>
        <w:noProof/>
      </w:rPr>
      <w:t>21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pPr>
      <w:pStyle w:val="Footer"/>
    </w:pPr>
    <w:r>
      <w:rPr>
        <w:noProof/>
        <w:lang w:eastAsia="en-GB"/>
      </w:rPr>
      <w:drawing>
        <wp:anchor distT="0" distB="0" distL="114300" distR="114300" simplePos="0" relativeHeight="251658240" behindDoc="0" locked="0" layoutInCell="1" allowOverlap="1" wp14:anchorId="5DDE70E3" wp14:editId="399DAE00">
          <wp:simplePos x="0" y="0"/>
          <wp:positionH relativeFrom="column">
            <wp:posOffset>5758180</wp:posOffset>
          </wp:positionH>
          <wp:positionV relativeFrom="paragraph">
            <wp:posOffset>-99060</wp:posOffset>
          </wp:positionV>
          <wp:extent cx="711835" cy="288290"/>
          <wp:effectExtent l="25400" t="0" r="0" b="0"/>
          <wp:wrapTopAndBottom/>
          <wp:docPr id="68" name="Picture 68"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logo"/>
                  <pic:cNvPicPr>
                    <a:picLocks noChangeAspect="1" noChangeArrowheads="1"/>
                  </pic:cNvPicPr>
                </pic:nvPicPr>
                <pic:blipFill>
                  <a:blip r:embed="rId1"/>
                  <a:srcRect/>
                  <a:stretch>
                    <a:fillRect/>
                  </a:stretch>
                </pic:blipFill>
                <pic:spPr bwMode="auto">
                  <a:xfrm>
                    <a:off x="0" y="0"/>
                    <a:ext cx="711835" cy="28829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3D1095">
    <w:pPr>
      <w:pStyle w:val="Footer"/>
    </w:pPr>
    <w:r w:rsidRPr="00D63979">
      <w:rPr>
        <w:noProof/>
        <w:lang w:eastAsia="en-GB"/>
      </w:rPr>
      <w:drawing>
        <wp:anchor distT="0" distB="0" distL="114300" distR="114300" simplePos="0" relativeHeight="251662336" behindDoc="1" locked="0" layoutInCell="1" allowOverlap="1" wp14:anchorId="0553F647" wp14:editId="011BC588">
          <wp:simplePos x="0" y="0"/>
          <wp:positionH relativeFrom="column">
            <wp:posOffset>10478</wp:posOffset>
          </wp:positionH>
          <wp:positionV relativeFrom="paragraph">
            <wp:posOffset>-9208</wp:posOffset>
          </wp:positionV>
          <wp:extent cx="361950" cy="358775"/>
          <wp:effectExtent l="77787" t="74613" r="77788" b="77787"/>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2D455E" w:rsidRDefault="002D455E" w:rsidP="003D1095">
    <w:pPr>
      <w:pStyle w:val="Footer"/>
      <w:ind w:left="284"/>
    </w:pPr>
    <w:r w:rsidRPr="00D63979">
      <w:rPr>
        <w:noProof/>
        <w:lang w:eastAsia="en-GB"/>
      </w:rPr>
      <mc:AlternateContent>
        <mc:Choice Requires="wps">
          <w:drawing>
            <wp:anchor distT="0" distB="0" distL="114300" distR="114300" simplePos="0" relativeHeight="251663360" behindDoc="0" locked="0" layoutInCell="1" allowOverlap="1" wp14:anchorId="2175ADAD" wp14:editId="3A949353">
              <wp:simplePos x="0" y="0"/>
              <wp:positionH relativeFrom="column">
                <wp:posOffset>437515</wp:posOffset>
              </wp:positionH>
              <wp:positionV relativeFrom="paragraph">
                <wp:posOffset>27940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mk1AEAABUEAAAOAAAAZHJzL2Uyb0RvYy54bWysU8tu2zAQvBfIPxC8x5IcwEgFyzk4SC9F&#10;azTtBzDU0iLAF5asH3/fJSUrRlIgQNELxSV3dmeGq/XDyRp2AIzau443i5ozcNL32u07/uvn0+09&#10;ZzEJ1wvjHXT8DJE/bG4+rY+hhaUfvOkBGRVxsT2Gjg8phbaqohzAirjwARxdKo9WJApxX/UojlTd&#10;mmpZ16vq6LEP6CXESKeP4yXflPpKgUzflYqQmOk4cUtlxbK+5LXarEW7RxEGLSca4h9YWKEdNZ1L&#10;PYok2G/U70pZLdFHr9JCelt5pbSEooHUNPUbNc+DCFC0kDkxzDbF/1dWfjvskOm+43ecOWHpiZ4T&#10;Cr0fEtt658hAj+wu+3QMsaX0rdvhFMWwwyz6pNDmL8lhp+LtefYWTolJOlzVzef7mp5AXu6qV2DA&#10;mL6AtyxvOm60y7JFKw5fY6JmlHpJycfG5TV6o/snbUwJ8sDA1iA7CHpqISW4tMq0CXuVSdGIhjIc&#10;U/ksbRRTdulsYOzzAxSZQ/SXhU8Zy7ddmqmLcZSdYYo4zcD6Y+CUn6EjqxncfAyeEaWzd2kGW+08&#10;/q1AOl0oqzGfTLrSnbcvvj+XZy4XNHvFx+k/ycN9HRf469+8+QMAAP//AwBQSwMEFAAGAAgAAAAh&#10;AJZXDsDbAAAABwEAAA8AAABkcnMvZG93bnJldi54bWxMjstqwzAQRfeF/oOYQjelkVOMSR3LIfQF&#10;XZUkXWQ5tia2qTUylpQ4f1+lm3R5H9x7itVkenGk0XWWFcxnCQji2uqOGwXfu/fHBQjnkTX2lknB&#10;mRysytubAnNtT7yh49Y3Io6wy1FB6/2QS+nqlgy6mR2IY3awo0Ef5dhIPeIpjptePiVJJg12HB9a&#10;HOilpfpnG4yCrz09vJrzTq/fPrD6bA5hk4ag1P3dtF6C8DT5axku+BEdyshU2cDaiV5BtniOTQVp&#10;CuISJ/MsGtWfIctC/ucvfwEAAP//AwBQSwECLQAUAAYACAAAACEAtoM4kv4AAADhAQAAEwAAAAAA&#10;AAAAAAAAAAAAAAAAW0NvbnRlbnRfVHlwZXNdLnhtbFBLAQItABQABgAIAAAAIQA4/SH/1gAAAJQB&#10;AAALAAAAAAAAAAAAAAAAAC8BAABfcmVscy8ucmVsc1BLAQItABQABgAIAAAAIQBnQ6mk1AEAABUE&#10;AAAOAAAAAAAAAAAAAAAAAC4CAABkcnMvZTJvRG9jLnhtbFBLAQItABQABgAIAAAAIQCWVw7A2wAA&#10;AAcBAAAPAAAAAAAAAAAAAAAAAC4EAABkcnMvZG93bnJldi54bWxQSwUGAAAAAAQABADzAAAANgUA&#10;AAAA&#10;" strokecolor="#f79646 [3209]" strokeweight="2pt"/>
          </w:pict>
        </mc:Fallback>
      </mc:AlternateContent>
    </w:r>
  </w:p>
  <w:p w:rsidR="002D455E" w:rsidRDefault="002D455E" w:rsidP="00B25DF7">
    <w:pPr>
      <w:pStyle w:val="Footer"/>
      <w:ind w:left="284"/>
      <w:jc w:val="right"/>
    </w:pPr>
    <w:r>
      <w:fldChar w:fldCharType="begin"/>
    </w:r>
    <w:r>
      <w:instrText xml:space="preserve"> PAGE   \* MERGEFORMAT </w:instrText>
    </w:r>
    <w:r>
      <w:fldChar w:fldCharType="separate"/>
    </w:r>
    <w:r w:rsidR="0007656A" w:rsidRPr="0007656A">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5E" w:rsidRDefault="002D455E" w:rsidP="004621B7">
      <w:pPr>
        <w:spacing w:after="0" w:line="240" w:lineRule="auto"/>
      </w:pPr>
      <w:r>
        <w:separator/>
      </w:r>
    </w:p>
  </w:footnote>
  <w:footnote w:type="continuationSeparator" w:id="0">
    <w:p w:rsidR="002D455E" w:rsidRDefault="002D455E" w:rsidP="00462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D275AC">
    <w:pPr>
      <w:pStyle w:val="Header"/>
      <w:jc w:val="left"/>
    </w:pPr>
    <w:r>
      <w:t>HRA key performance indicators – December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D275AC">
    <w:pPr>
      <w:pStyle w:val="Header"/>
      <w:jc w:val="left"/>
    </w:pPr>
    <w:r>
      <w:t>HRA key performance indicators – 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9A60D9">
    <w:pPr>
      <w:pStyle w:val="Header"/>
      <w:jc w:val="left"/>
    </w:pPr>
    <w:r>
      <w:rPr>
        <w:noProof/>
        <w:lang w:eastAsia="en-GB"/>
      </w:rPr>
      <w:drawing>
        <wp:anchor distT="0" distB="0" distL="114300" distR="114300" simplePos="0" relativeHeight="251660288" behindDoc="1" locked="0" layoutInCell="1" allowOverlap="1" wp14:anchorId="2752688F" wp14:editId="1F81FAE3">
          <wp:simplePos x="0" y="0"/>
          <wp:positionH relativeFrom="column">
            <wp:posOffset>1323976</wp:posOffset>
          </wp:positionH>
          <wp:positionV relativeFrom="paragraph">
            <wp:posOffset>4229102</wp:posOffset>
          </wp:positionV>
          <wp:extent cx="3992245" cy="3959860"/>
          <wp:effectExtent l="819150" t="838200" r="808355" b="840740"/>
          <wp:wrapNone/>
          <wp:docPr id="66" name="Picture 66" descr="010023-HRA-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010023-HRA-Graphic"/>
                  <pic:cNvPicPr>
                    <a:picLocks noChangeAspect="1" noChangeArrowheads="1"/>
                  </pic:cNvPicPr>
                </pic:nvPicPr>
                <pic:blipFill>
                  <a:blip r:embed="rId1"/>
                  <a:srcRect/>
                  <a:stretch>
                    <a:fillRect/>
                  </a:stretch>
                </pic:blipFill>
                <pic:spPr bwMode="auto">
                  <a:xfrm rot="2671363">
                    <a:off x="0" y="0"/>
                    <a:ext cx="3992245" cy="3959860"/>
                  </a:xfrm>
                  <a:prstGeom prst="rect">
                    <a:avLst/>
                  </a:prstGeom>
                  <a:noFill/>
                </pic:spPr>
              </pic:pic>
            </a:graphicData>
          </a:graphic>
        </wp:anchor>
      </w:drawing>
    </w:r>
    <w:r>
      <w:rPr>
        <w:noProof/>
        <w:lang w:eastAsia="en-GB"/>
      </w:rPr>
      <w:drawing>
        <wp:anchor distT="0" distB="0" distL="114300" distR="114300" simplePos="0" relativeHeight="251656192" behindDoc="0" locked="0" layoutInCell="1" allowOverlap="1" wp14:anchorId="58828E23" wp14:editId="2393ACFC">
          <wp:simplePos x="0" y="0"/>
          <wp:positionH relativeFrom="column">
            <wp:posOffset>4221480</wp:posOffset>
          </wp:positionH>
          <wp:positionV relativeFrom="paragraph">
            <wp:posOffset>64770</wp:posOffset>
          </wp:positionV>
          <wp:extent cx="2266950" cy="647700"/>
          <wp:effectExtent l="25400" t="0" r="0" b="0"/>
          <wp:wrapTopAndBottom/>
          <wp:docPr id="67" name="Picture 67" descr="NH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HRA"/>
                  <pic:cNvPicPr>
                    <a:picLocks noChangeAspect="1" noChangeArrowheads="1"/>
                  </pic:cNvPicPr>
                </pic:nvPicPr>
                <pic:blipFill>
                  <a:blip r:embed="rId2"/>
                  <a:srcRect/>
                  <a:stretch>
                    <a:fillRect/>
                  </a:stretch>
                </pic:blipFill>
                <pic:spPr bwMode="auto">
                  <a:xfrm>
                    <a:off x="0" y="0"/>
                    <a:ext cx="2266950" cy="6477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5E" w:rsidRDefault="002D455E" w:rsidP="00B25DF7">
    <w:pPr>
      <w:pStyle w:val="Header"/>
      <w:jc w:val="left"/>
    </w:pPr>
    <w:r>
      <w:t>HRA key performance indicators – December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F41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DE6CB2"/>
    <w:lvl w:ilvl="0">
      <w:start w:val="1"/>
      <w:numFmt w:val="decimal"/>
      <w:lvlText w:val="%1."/>
      <w:lvlJc w:val="left"/>
      <w:pPr>
        <w:tabs>
          <w:tab w:val="num" w:pos="1492"/>
        </w:tabs>
        <w:ind w:left="1492" w:hanging="360"/>
      </w:pPr>
    </w:lvl>
  </w:abstractNum>
  <w:abstractNum w:abstractNumId="2">
    <w:nsid w:val="FFFFFF7D"/>
    <w:multiLevelType w:val="singleLevel"/>
    <w:tmpl w:val="57C69BF0"/>
    <w:lvl w:ilvl="0">
      <w:start w:val="1"/>
      <w:numFmt w:val="decimal"/>
      <w:lvlText w:val="%1."/>
      <w:lvlJc w:val="left"/>
      <w:pPr>
        <w:tabs>
          <w:tab w:val="num" w:pos="1209"/>
        </w:tabs>
        <w:ind w:left="1209" w:hanging="360"/>
      </w:pPr>
    </w:lvl>
  </w:abstractNum>
  <w:abstractNum w:abstractNumId="3">
    <w:nsid w:val="FFFFFF7E"/>
    <w:multiLevelType w:val="singleLevel"/>
    <w:tmpl w:val="B8D0BD22"/>
    <w:lvl w:ilvl="0">
      <w:start w:val="1"/>
      <w:numFmt w:val="decimal"/>
      <w:lvlText w:val="%1."/>
      <w:lvlJc w:val="left"/>
      <w:pPr>
        <w:tabs>
          <w:tab w:val="num" w:pos="926"/>
        </w:tabs>
        <w:ind w:left="926" w:hanging="360"/>
      </w:pPr>
    </w:lvl>
  </w:abstractNum>
  <w:abstractNum w:abstractNumId="4">
    <w:nsid w:val="FFFFFF7F"/>
    <w:multiLevelType w:val="singleLevel"/>
    <w:tmpl w:val="54884150"/>
    <w:lvl w:ilvl="0">
      <w:start w:val="1"/>
      <w:numFmt w:val="lowerRoman"/>
      <w:pStyle w:val="ListNumber2"/>
      <w:lvlText w:val="%1."/>
      <w:lvlJc w:val="right"/>
      <w:pPr>
        <w:ind w:left="463" w:hanging="180"/>
      </w:pPr>
      <w:rPr>
        <w:rFonts w:hint="default"/>
      </w:rPr>
    </w:lvl>
  </w:abstractNum>
  <w:abstractNum w:abstractNumId="5">
    <w:nsid w:val="FFFFFF80"/>
    <w:multiLevelType w:val="singleLevel"/>
    <w:tmpl w:val="EF3A4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26DB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2295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4C62F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71AC7B6"/>
    <w:lvl w:ilvl="0">
      <w:start w:val="1"/>
      <w:numFmt w:val="decimal"/>
      <w:pStyle w:val="ListNumber"/>
      <w:lvlText w:val="%1."/>
      <w:lvlJc w:val="left"/>
      <w:pPr>
        <w:tabs>
          <w:tab w:val="num" w:pos="360"/>
        </w:tabs>
        <w:ind w:left="360" w:hanging="360"/>
      </w:pPr>
      <w:rPr>
        <w:rFonts w:hint="default"/>
        <w:color w:val="331188"/>
      </w:rPr>
    </w:lvl>
  </w:abstractNum>
  <w:abstractNum w:abstractNumId="10">
    <w:nsid w:val="FFFFFF89"/>
    <w:multiLevelType w:val="singleLevel"/>
    <w:tmpl w:val="6A6AF8E6"/>
    <w:lvl w:ilvl="0">
      <w:start w:val="1"/>
      <w:numFmt w:val="bullet"/>
      <w:lvlText w:val=""/>
      <w:lvlJc w:val="left"/>
      <w:pPr>
        <w:ind w:left="720" w:hanging="360"/>
      </w:pPr>
      <w:rPr>
        <w:rFonts w:ascii="Symbol" w:hAnsi="Symbol" w:hint="default"/>
        <w:color w:val="E36C0A" w:themeColor="accent6" w:themeShade="BF"/>
      </w:rPr>
    </w:lvl>
  </w:abstractNum>
  <w:abstractNum w:abstractNumId="11">
    <w:nsid w:val="042C490C"/>
    <w:multiLevelType w:val="hybridMultilevel"/>
    <w:tmpl w:val="0ABAD45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284942"/>
    <w:multiLevelType w:val="hybridMultilevel"/>
    <w:tmpl w:val="854C4E8E"/>
    <w:lvl w:ilvl="0" w:tplc="FF946672">
      <w:start w:val="11"/>
      <w:numFmt w:val="bullet"/>
      <w:lvlText w:val="-"/>
      <w:lvlJc w:val="left"/>
      <w:pPr>
        <w:ind w:left="930" w:hanging="360"/>
      </w:pPr>
      <w:rPr>
        <w:rFonts w:ascii="Arial" w:eastAsia="MS Mincho"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nsid w:val="07516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8C8037D"/>
    <w:multiLevelType w:val="hybridMultilevel"/>
    <w:tmpl w:val="0D1A1206"/>
    <w:lvl w:ilvl="0" w:tplc="BEAC5E0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5E58E8"/>
    <w:multiLevelType w:val="hybridMultilevel"/>
    <w:tmpl w:val="FC2E1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534496"/>
    <w:multiLevelType w:val="multilevel"/>
    <w:tmpl w:val="D81675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1E0425F4"/>
    <w:multiLevelType w:val="hybridMultilevel"/>
    <w:tmpl w:val="6A6656E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7575CF"/>
    <w:multiLevelType w:val="hybridMultilevel"/>
    <w:tmpl w:val="AE54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195AED"/>
    <w:multiLevelType w:val="hybridMultilevel"/>
    <w:tmpl w:val="2D68371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7E6538"/>
    <w:multiLevelType w:val="hybridMultilevel"/>
    <w:tmpl w:val="E844405E"/>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50786C"/>
    <w:multiLevelType w:val="hybridMultilevel"/>
    <w:tmpl w:val="485C6D3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996353"/>
    <w:multiLevelType w:val="hybridMultilevel"/>
    <w:tmpl w:val="F83CB93C"/>
    <w:lvl w:ilvl="0" w:tplc="976C95F8">
      <w:start w:val="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B021AC2"/>
    <w:multiLevelType w:val="hybridMultilevel"/>
    <w:tmpl w:val="5632524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9D48BA"/>
    <w:multiLevelType w:val="hybridMultilevel"/>
    <w:tmpl w:val="34808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E33A36"/>
    <w:multiLevelType w:val="hybridMultilevel"/>
    <w:tmpl w:val="E9A2AD3A"/>
    <w:lvl w:ilvl="0" w:tplc="14FEC4C4">
      <w:start w:val="1"/>
      <w:numFmt w:val="bullet"/>
      <w:lvlText w:val="•"/>
      <w:lvlJc w:val="left"/>
      <w:pPr>
        <w:ind w:left="1080" w:hanging="360"/>
      </w:pPr>
      <w:rPr>
        <w:rFonts w:ascii="Calibri" w:hAnsi="Calibri"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3AA3201"/>
    <w:multiLevelType w:val="hybridMultilevel"/>
    <w:tmpl w:val="34808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3F0BEC"/>
    <w:multiLevelType w:val="hybridMultilevel"/>
    <w:tmpl w:val="FADA0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F7D89"/>
    <w:multiLevelType w:val="hybridMultilevel"/>
    <w:tmpl w:val="DEA4D1F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8D0D13"/>
    <w:multiLevelType w:val="multilevel"/>
    <w:tmpl w:val="6D2A3D34"/>
    <w:lvl w:ilvl="0">
      <w:start w:val="1"/>
      <w:numFmt w:val="decimal"/>
      <w:pStyle w:val="HeadingA"/>
      <w:lvlText w:val="%1.0"/>
      <w:lvlJc w:val="left"/>
      <w:pPr>
        <w:ind w:left="432" w:hanging="432"/>
      </w:pPr>
      <w:rPr>
        <w:rFonts w:hint="default"/>
      </w:rPr>
    </w:lvl>
    <w:lvl w:ilvl="1">
      <w:start w:val="1"/>
      <w:numFmt w:val="decimal"/>
      <w:pStyle w:val="NumberedParagraph"/>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5756963"/>
    <w:multiLevelType w:val="hybridMultilevel"/>
    <w:tmpl w:val="B00666F4"/>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96EF8"/>
    <w:multiLevelType w:val="hybridMultilevel"/>
    <w:tmpl w:val="CA6079E6"/>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EC3F80"/>
    <w:multiLevelType w:val="hybridMultilevel"/>
    <w:tmpl w:val="1F2634C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6C7402"/>
    <w:multiLevelType w:val="hybridMultilevel"/>
    <w:tmpl w:val="768C7368"/>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F1A32"/>
    <w:multiLevelType w:val="hybridMultilevel"/>
    <w:tmpl w:val="9D4E3AF6"/>
    <w:lvl w:ilvl="0" w:tplc="905CAA1C">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BB49E5"/>
    <w:multiLevelType w:val="hybridMultilevel"/>
    <w:tmpl w:val="1D50E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FD44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52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FF0295"/>
    <w:multiLevelType w:val="hybridMultilevel"/>
    <w:tmpl w:val="925C5E3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7"/>
  </w:num>
  <w:num w:numId="4">
    <w:abstractNumId w:val="30"/>
  </w:num>
  <w:num w:numId="5">
    <w:abstractNumId w:val="3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35"/>
  </w:num>
  <w:num w:numId="18">
    <w:abstractNumId w:val="14"/>
  </w:num>
  <w:num w:numId="19">
    <w:abstractNumId w:val="16"/>
  </w:num>
  <w:num w:numId="20">
    <w:abstractNumId w:val="39"/>
  </w:num>
  <w:num w:numId="21">
    <w:abstractNumId w:val="11"/>
  </w:num>
  <w:num w:numId="22">
    <w:abstractNumId w:val="24"/>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num>
  <w:num w:numId="27">
    <w:abstractNumId w:val="25"/>
  </w:num>
  <w:num w:numId="28">
    <w:abstractNumId w:val="36"/>
  </w:num>
  <w:num w:numId="29">
    <w:abstractNumId w:val="34"/>
  </w:num>
  <w:num w:numId="30">
    <w:abstractNumId w:val="22"/>
  </w:num>
  <w:num w:numId="31">
    <w:abstractNumId w:val="23"/>
  </w:num>
  <w:num w:numId="32">
    <w:abstractNumId w:val="12"/>
  </w:num>
  <w:num w:numId="33">
    <w:abstractNumId w:val="21"/>
  </w:num>
  <w:num w:numId="34">
    <w:abstractNumId w:val="29"/>
  </w:num>
  <w:num w:numId="35">
    <w:abstractNumId w:val="28"/>
  </w:num>
  <w:num w:numId="36">
    <w:abstractNumId w:val="15"/>
  </w:num>
  <w:num w:numId="37">
    <w:abstractNumId w:val="18"/>
  </w:num>
  <w:num w:numId="38">
    <w:abstractNumId w:val="32"/>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62"/>
    <w:rsid w:val="000027BC"/>
    <w:rsid w:val="00005A28"/>
    <w:rsid w:val="00006C0B"/>
    <w:rsid w:val="00014B40"/>
    <w:rsid w:val="00020354"/>
    <w:rsid w:val="0002651F"/>
    <w:rsid w:val="00050A38"/>
    <w:rsid w:val="00054663"/>
    <w:rsid w:val="0005655F"/>
    <w:rsid w:val="00064131"/>
    <w:rsid w:val="00075767"/>
    <w:rsid w:val="000758BE"/>
    <w:rsid w:val="0007656A"/>
    <w:rsid w:val="000775E4"/>
    <w:rsid w:val="00081181"/>
    <w:rsid w:val="00084A30"/>
    <w:rsid w:val="000A26BD"/>
    <w:rsid w:val="000B445B"/>
    <w:rsid w:val="000C12FF"/>
    <w:rsid w:val="000D0D14"/>
    <w:rsid w:val="000E2FFC"/>
    <w:rsid w:val="000E36B3"/>
    <w:rsid w:val="000E3974"/>
    <w:rsid w:val="000F733D"/>
    <w:rsid w:val="00125FE7"/>
    <w:rsid w:val="00186376"/>
    <w:rsid w:val="001C1098"/>
    <w:rsid w:val="001F1CA3"/>
    <w:rsid w:val="001F4747"/>
    <w:rsid w:val="001F514A"/>
    <w:rsid w:val="00215779"/>
    <w:rsid w:val="00232E0B"/>
    <w:rsid w:val="00233D04"/>
    <w:rsid w:val="00241300"/>
    <w:rsid w:val="00253803"/>
    <w:rsid w:val="00263532"/>
    <w:rsid w:val="00263600"/>
    <w:rsid w:val="00280C9F"/>
    <w:rsid w:val="00286962"/>
    <w:rsid w:val="00297C86"/>
    <w:rsid w:val="002B30B0"/>
    <w:rsid w:val="002D455E"/>
    <w:rsid w:val="00306FCD"/>
    <w:rsid w:val="003220D1"/>
    <w:rsid w:val="00341CF7"/>
    <w:rsid w:val="00353070"/>
    <w:rsid w:val="00363A95"/>
    <w:rsid w:val="003665A2"/>
    <w:rsid w:val="00384F94"/>
    <w:rsid w:val="003A4398"/>
    <w:rsid w:val="003C0B3F"/>
    <w:rsid w:val="003C4B2F"/>
    <w:rsid w:val="003D1095"/>
    <w:rsid w:val="003E6A3B"/>
    <w:rsid w:val="003F2854"/>
    <w:rsid w:val="003F4D7B"/>
    <w:rsid w:val="00400BCB"/>
    <w:rsid w:val="00406B66"/>
    <w:rsid w:val="00406E1E"/>
    <w:rsid w:val="00424039"/>
    <w:rsid w:val="00425F0B"/>
    <w:rsid w:val="00457EF7"/>
    <w:rsid w:val="00461DC0"/>
    <w:rsid w:val="004621B7"/>
    <w:rsid w:val="00464B59"/>
    <w:rsid w:val="00472A77"/>
    <w:rsid w:val="00476E16"/>
    <w:rsid w:val="0049540B"/>
    <w:rsid w:val="004A4E68"/>
    <w:rsid w:val="004B4042"/>
    <w:rsid w:val="004D11EB"/>
    <w:rsid w:val="004D525B"/>
    <w:rsid w:val="004F1D17"/>
    <w:rsid w:val="004F4E8F"/>
    <w:rsid w:val="004F528A"/>
    <w:rsid w:val="00510C74"/>
    <w:rsid w:val="00524D39"/>
    <w:rsid w:val="00550421"/>
    <w:rsid w:val="00564393"/>
    <w:rsid w:val="00567DAF"/>
    <w:rsid w:val="00574494"/>
    <w:rsid w:val="00584EC3"/>
    <w:rsid w:val="005A03A0"/>
    <w:rsid w:val="005C289E"/>
    <w:rsid w:val="005C4D3F"/>
    <w:rsid w:val="005C74E6"/>
    <w:rsid w:val="005E40EE"/>
    <w:rsid w:val="00611B8E"/>
    <w:rsid w:val="00626504"/>
    <w:rsid w:val="00667FC5"/>
    <w:rsid w:val="00671DB4"/>
    <w:rsid w:val="00674175"/>
    <w:rsid w:val="006838F0"/>
    <w:rsid w:val="00684443"/>
    <w:rsid w:val="00685265"/>
    <w:rsid w:val="0069051F"/>
    <w:rsid w:val="006909E0"/>
    <w:rsid w:val="006A6D3E"/>
    <w:rsid w:val="006C2C03"/>
    <w:rsid w:val="006D2355"/>
    <w:rsid w:val="006D4521"/>
    <w:rsid w:val="006F4F9D"/>
    <w:rsid w:val="007047C3"/>
    <w:rsid w:val="00706EF9"/>
    <w:rsid w:val="00713D2E"/>
    <w:rsid w:val="00715073"/>
    <w:rsid w:val="00721E18"/>
    <w:rsid w:val="00725779"/>
    <w:rsid w:val="00745044"/>
    <w:rsid w:val="00781487"/>
    <w:rsid w:val="0079384B"/>
    <w:rsid w:val="00794C13"/>
    <w:rsid w:val="007A1960"/>
    <w:rsid w:val="007B7F20"/>
    <w:rsid w:val="007C5EB3"/>
    <w:rsid w:val="007F2AE1"/>
    <w:rsid w:val="00816278"/>
    <w:rsid w:val="008302DB"/>
    <w:rsid w:val="0083267C"/>
    <w:rsid w:val="00835867"/>
    <w:rsid w:val="008407A9"/>
    <w:rsid w:val="00866881"/>
    <w:rsid w:val="008974DC"/>
    <w:rsid w:val="008A7713"/>
    <w:rsid w:val="009026AA"/>
    <w:rsid w:val="0090610D"/>
    <w:rsid w:val="009270F6"/>
    <w:rsid w:val="00960CF9"/>
    <w:rsid w:val="00962B70"/>
    <w:rsid w:val="009A60D9"/>
    <w:rsid w:val="009C3BB2"/>
    <w:rsid w:val="009C4825"/>
    <w:rsid w:val="009C510C"/>
    <w:rsid w:val="009C78E2"/>
    <w:rsid w:val="009D4BD9"/>
    <w:rsid w:val="009F1367"/>
    <w:rsid w:val="009F5980"/>
    <w:rsid w:val="00A112BE"/>
    <w:rsid w:val="00A21ECE"/>
    <w:rsid w:val="00A476AB"/>
    <w:rsid w:val="00A51DB6"/>
    <w:rsid w:val="00A566C4"/>
    <w:rsid w:val="00A77904"/>
    <w:rsid w:val="00A824D5"/>
    <w:rsid w:val="00AB057E"/>
    <w:rsid w:val="00AD0BCF"/>
    <w:rsid w:val="00AD2B98"/>
    <w:rsid w:val="00AD7918"/>
    <w:rsid w:val="00AE3DCC"/>
    <w:rsid w:val="00AE7169"/>
    <w:rsid w:val="00AE79E9"/>
    <w:rsid w:val="00B013AD"/>
    <w:rsid w:val="00B042AF"/>
    <w:rsid w:val="00B050C8"/>
    <w:rsid w:val="00B102C5"/>
    <w:rsid w:val="00B11648"/>
    <w:rsid w:val="00B14587"/>
    <w:rsid w:val="00B25DF7"/>
    <w:rsid w:val="00B33BB1"/>
    <w:rsid w:val="00B4463C"/>
    <w:rsid w:val="00B540D1"/>
    <w:rsid w:val="00B5492D"/>
    <w:rsid w:val="00B71C29"/>
    <w:rsid w:val="00B8522F"/>
    <w:rsid w:val="00B92765"/>
    <w:rsid w:val="00BA12FF"/>
    <w:rsid w:val="00BA476F"/>
    <w:rsid w:val="00BA4AB5"/>
    <w:rsid w:val="00BB451E"/>
    <w:rsid w:val="00BD2D8A"/>
    <w:rsid w:val="00BD6824"/>
    <w:rsid w:val="00BF33FE"/>
    <w:rsid w:val="00C1241A"/>
    <w:rsid w:val="00C201F0"/>
    <w:rsid w:val="00C21B05"/>
    <w:rsid w:val="00C24951"/>
    <w:rsid w:val="00C375BF"/>
    <w:rsid w:val="00C44C26"/>
    <w:rsid w:val="00C50BA5"/>
    <w:rsid w:val="00C558F5"/>
    <w:rsid w:val="00C55926"/>
    <w:rsid w:val="00C563EF"/>
    <w:rsid w:val="00C82DF4"/>
    <w:rsid w:val="00C85D68"/>
    <w:rsid w:val="00CA7160"/>
    <w:rsid w:val="00CB01BF"/>
    <w:rsid w:val="00CB252E"/>
    <w:rsid w:val="00CD3862"/>
    <w:rsid w:val="00CD7F4E"/>
    <w:rsid w:val="00CE3B52"/>
    <w:rsid w:val="00CE6EFF"/>
    <w:rsid w:val="00D012E0"/>
    <w:rsid w:val="00D058B8"/>
    <w:rsid w:val="00D275AC"/>
    <w:rsid w:val="00D4382F"/>
    <w:rsid w:val="00D43FD5"/>
    <w:rsid w:val="00D531DF"/>
    <w:rsid w:val="00D63EC1"/>
    <w:rsid w:val="00D74437"/>
    <w:rsid w:val="00DA39D3"/>
    <w:rsid w:val="00DB0034"/>
    <w:rsid w:val="00DB1366"/>
    <w:rsid w:val="00DB190D"/>
    <w:rsid w:val="00DB49B0"/>
    <w:rsid w:val="00DC384C"/>
    <w:rsid w:val="00DC3D45"/>
    <w:rsid w:val="00DC6DFE"/>
    <w:rsid w:val="00E36207"/>
    <w:rsid w:val="00E51F68"/>
    <w:rsid w:val="00E532E0"/>
    <w:rsid w:val="00E564C1"/>
    <w:rsid w:val="00E57788"/>
    <w:rsid w:val="00E63DDC"/>
    <w:rsid w:val="00E66A56"/>
    <w:rsid w:val="00E80486"/>
    <w:rsid w:val="00E861B3"/>
    <w:rsid w:val="00EA79CD"/>
    <w:rsid w:val="00ED3221"/>
    <w:rsid w:val="00EE3619"/>
    <w:rsid w:val="00EF0405"/>
    <w:rsid w:val="00F554EA"/>
    <w:rsid w:val="00F555B6"/>
    <w:rsid w:val="00F57173"/>
    <w:rsid w:val="00F73D71"/>
    <w:rsid w:val="00F827D9"/>
    <w:rsid w:val="00F96A37"/>
    <w:rsid w:val="00FA28DC"/>
    <w:rsid w:val="00FA3629"/>
    <w:rsid w:val="00FA3816"/>
    <w:rsid w:val="00FB5E2C"/>
    <w:rsid w:val="00FC3EFA"/>
    <w:rsid w:val="00FC5704"/>
    <w:rsid w:val="00FE04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71"/>
    <w:pPr>
      <w:spacing w:after="120" w:line="300" w:lineRule="exact"/>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535A92"/>
    <w:pPr>
      <w:keepNext/>
      <w:spacing w:after="0"/>
      <w:outlineLvl w:val="2"/>
    </w:pPr>
    <w:rPr>
      <w:rFonts w:eastAsia="MS Gothic"/>
      <w:b/>
      <w:bCs/>
      <w:color w:val="331188"/>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iPriority w:val="99"/>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4"/>
      </w:numPr>
    </w:pPr>
  </w:style>
  <w:style w:type="paragraph" w:customStyle="1" w:styleId="HeadingA">
    <w:name w:val="Heading A"/>
    <w:basedOn w:val="Heading1"/>
    <w:next w:val="Normal"/>
    <w:qFormat/>
    <w:rsid w:val="007D1534"/>
    <w:pPr>
      <w:numPr>
        <w:numId w:val="4"/>
      </w:numPr>
      <w:tabs>
        <w:tab w:val="left" w:pos="1134"/>
      </w:tabs>
      <w:ind w:left="431" w:hanging="431"/>
    </w:pPr>
  </w:style>
  <w:style w:type="character" w:customStyle="1" w:styleId="Heading3Char">
    <w:name w:val="Heading 3 Char"/>
    <w:aliases w:val="Heading C Char"/>
    <w:link w:val="Heading3"/>
    <w:uiPriority w:val="9"/>
    <w:rsid w:val="00535A92"/>
    <w:rPr>
      <w:rFonts w:ascii="Arial" w:eastAsia="MS Gothic" w:hAnsi="Arial"/>
      <w:b/>
      <w:bCs/>
      <w:color w:val="331188"/>
      <w:sz w:val="22"/>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semiHidden/>
    <w:rsid w:val="00564F88"/>
    <w:rPr>
      <w:rFonts w:ascii="Cambria" w:eastAsia="MS Mincho" w:hAnsi="Cambria" w:cs="Times New Roman"/>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semiHidden/>
    <w:rsid w:val="00564F88"/>
    <w:rPr>
      <w:rFonts w:ascii="Cambria" w:eastAsia="MS Mincho" w:hAnsi="Cambria" w:cs="Times New Roman"/>
      <w:sz w:val="24"/>
      <w:szCs w:val="24"/>
    </w:rPr>
  </w:style>
  <w:style w:type="character" w:customStyle="1" w:styleId="Heading8Char">
    <w:name w:val="Heading 8 Char"/>
    <w:link w:val="Heading8"/>
    <w:uiPriority w:val="9"/>
    <w:semiHidden/>
    <w:rsid w:val="00564F88"/>
    <w:rPr>
      <w:rFonts w:ascii="Cambria" w:eastAsia="MS Mincho" w:hAnsi="Cambria" w:cs="Times New Roman"/>
      <w:i/>
      <w:iCs/>
      <w:sz w:val="24"/>
      <w:szCs w:val="24"/>
    </w:rPr>
  </w:style>
  <w:style w:type="character" w:customStyle="1" w:styleId="Heading9Char">
    <w:name w:val="Heading 9 Char"/>
    <w:link w:val="Heading9"/>
    <w:uiPriority w:val="9"/>
    <w:semiHidden/>
    <w:rsid w:val="00564F88"/>
    <w:rPr>
      <w:rFonts w:ascii="Calibri" w:eastAsia="MS Gothic" w:hAnsi="Calibri" w:cs="Times New Roman"/>
      <w:sz w:val="22"/>
      <w:szCs w:val="22"/>
    </w:rPr>
  </w:style>
  <w:style w:type="paragraph" w:styleId="Caption">
    <w:name w:val="caption"/>
    <w:basedOn w:val="Normal"/>
    <w:next w:val="Normal"/>
    <w:uiPriority w:val="35"/>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spacing w:before="120"/>
    </w:pPr>
  </w:style>
  <w:style w:type="paragraph" w:styleId="ListBullet2">
    <w:name w:val="List Bullet 2"/>
    <w:basedOn w:val="Normal"/>
    <w:uiPriority w:val="99"/>
    <w:unhideWhenUsed/>
    <w:rsid w:val="000404CE"/>
    <w:pPr>
      <w:numPr>
        <w:numId w:val="7"/>
      </w:numPr>
      <w:contextualSpacing/>
    </w:pPr>
  </w:style>
  <w:style w:type="paragraph" w:styleId="ListNumber">
    <w:name w:val="List Number"/>
    <w:basedOn w:val="Normal"/>
    <w:uiPriority w:val="99"/>
    <w:semiHidden/>
    <w:unhideWhenUsed/>
    <w:rsid w:val="00140C10"/>
    <w:pPr>
      <w:numPr>
        <w:numId w:val="11"/>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12"/>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styleId="ListParagraph">
    <w:name w:val="List Paragraph"/>
    <w:basedOn w:val="Normal"/>
    <w:uiPriority w:val="34"/>
    <w:qFormat/>
    <w:rsid w:val="00B25DF7"/>
    <w:pPr>
      <w:ind w:left="720"/>
      <w:contextualSpacing/>
    </w:pPr>
  </w:style>
  <w:style w:type="character" w:styleId="CommentReference">
    <w:name w:val="annotation reference"/>
    <w:basedOn w:val="DefaultParagraphFont"/>
    <w:uiPriority w:val="99"/>
    <w:semiHidden/>
    <w:unhideWhenUsed/>
    <w:rsid w:val="00DB1366"/>
    <w:rPr>
      <w:sz w:val="16"/>
      <w:szCs w:val="16"/>
    </w:rPr>
  </w:style>
  <w:style w:type="paragraph" w:styleId="CommentText">
    <w:name w:val="annotation text"/>
    <w:basedOn w:val="Normal"/>
    <w:link w:val="CommentTextChar"/>
    <w:uiPriority w:val="99"/>
    <w:semiHidden/>
    <w:unhideWhenUsed/>
    <w:rsid w:val="00DB1366"/>
    <w:pPr>
      <w:spacing w:line="240" w:lineRule="auto"/>
    </w:pPr>
    <w:rPr>
      <w:sz w:val="20"/>
      <w:szCs w:val="20"/>
    </w:rPr>
  </w:style>
  <w:style w:type="character" w:customStyle="1" w:styleId="CommentTextChar">
    <w:name w:val="Comment Text Char"/>
    <w:basedOn w:val="DefaultParagraphFont"/>
    <w:link w:val="CommentText"/>
    <w:uiPriority w:val="99"/>
    <w:semiHidden/>
    <w:rsid w:val="00DB1366"/>
    <w:rPr>
      <w:rFonts w:ascii="Arial" w:hAnsi="Arial"/>
    </w:rPr>
  </w:style>
  <w:style w:type="paragraph" w:styleId="CommentSubject">
    <w:name w:val="annotation subject"/>
    <w:basedOn w:val="CommentText"/>
    <w:next w:val="CommentText"/>
    <w:link w:val="CommentSubjectChar"/>
    <w:uiPriority w:val="99"/>
    <w:semiHidden/>
    <w:unhideWhenUsed/>
    <w:rsid w:val="00DB1366"/>
    <w:rPr>
      <w:b/>
      <w:bCs/>
    </w:rPr>
  </w:style>
  <w:style w:type="character" w:customStyle="1" w:styleId="CommentSubjectChar">
    <w:name w:val="Comment Subject Char"/>
    <w:basedOn w:val="CommentTextChar"/>
    <w:link w:val="CommentSubject"/>
    <w:uiPriority w:val="99"/>
    <w:semiHidden/>
    <w:rsid w:val="00DB1366"/>
    <w:rPr>
      <w:rFonts w:ascii="Arial" w:hAnsi="Arial"/>
      <w:b/>
      <w:bCs/>
    </w:rPr>
  </w:style>
  <w:style w:type="paragraph" w:styleId="NoSpacing">
    <w:name w:val="No Spacing"/>
    <w:uiPriority w:val="99"/>
    <w:qFormat/>
    <w:rsid w:val="009A60D9"/>
    <w:rPr>
      <w:rFonts w:ascii="Calibri" w:eastAsia="Times New Roman" w:hAnsi="Calibri"/>
      <w:sz w:val="22"/>
      <w:szCs w:val="22"/>
      <w:lang w:val="en-US"/>
    </w:rPr>
  </w:style>
  <w:style w:type="character" w:styleId="Emphasis">
    <w:name w:val="Emphasis"/>
    <w:basedOn w:val="DefaultParagraphFont"/>
    <w:uiPriority w:val="20"/>
    <w:qFormat/>
    <w:rsid w:val="00C1241A"/>
    <w:rPr>
      <w:b/>
      <w:bCs/>
      <w:i w:val="0"/>
      <w:iCs w:val="0"/>
    </w:rPr>
  </w:style>
  <w:style w:type="character" w:customStyle="1" w:styleId="st1">
    <w:name w:val="st1"/>
    <w:basedOn w:val="DefaultParagraphFont"/>
    <w:rsid w:val="00C1241A"/>
  </w:style>
  <w:style w:type="paragraph" w:customStyle="1" w:styleId="Default">
    <w:name w:val="Default"/>
    <w:basedOn w:val="Normal"/>
    <w:rsid w:val="00B4463C"/>
    <w:pPr>
      <w:autoSpaceDE w:val="0"/>
      <w:autoSpaceDN w:val="0"/>
      <w:spacing w:after="0" w:line="240" w:lineRule="auto"/>
    </w:pPr>
    <w:rPr>
      <w:rFonts w:eastAsiaTheme="minorHAnsi"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71"/>
    <w:pPr>
      <w:spacing w:after="120" w:line="300" w:lineRule="exact"/>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535A92"/>
    <w:pPr>
      <w:keepNext/>
      <w:spacing w:after="0"/>
      <w:outlineLvl w:val="2"/>
    </w:pPr>
    <w:rPr>
      <w:rFonts w:eastAsia="MS Gothic"/>
      <w:b/>
      <w:bCs/>
      <w:color w:val="331188"/>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iPriority w:val="99"/>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4"/>
      </w:numPr>
    </w:pPr>
  </w:style>
  <w:style w:type="paragraph" w:customStyle="1" w:styleId="HeadingA">
    <w:name w:val="Heading A"/>
    <w:basedOn w:val="Heading1"/>
    <w:next w:val="Normal"/>
    <w:qFormat/>
    <w:rsid w:val="007D1534"/>
    <w:pPr>
      <w:numPr>
        <w:numId w:val="4"/>
      </w:numPr>
      <w:tabs>
        <w:tab w:val="left" w:pos="1134"/>
      </w:tabs>
      <w:ind w:left="431" w:hanging="431"/>
    </w:pPr>
  </w:style>
  <w:style w:type="character" w:customStyle="1" w:styleId="Heading3Char">
    <w:name w:val="Heading 3 Char"/>
    <w:aliases w:val="Heading C Char"/>
    <w:link w:val="Heading3"/>
    <w:uiPriority w:val="9"/>
    <w:rsid w:val="00535A92"/>
    <w:rPr>
      <w:rFonts w:ascii="Arial" w:eastAsia="MS Gothic" w:hAnsi="Arial"/>
      <w:b/>
      <w:bCs/>
      <w:color w:val="331188"/>
      <w:sz w:val="22"/>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semiHidden/>
    <w:rsid w:val="00564F88"/>
    <w:rPr>
      <w:rFonts w:ascii="Cambria" w:eastAsia="MS Mincho" w:hAnsi="Cambria" w:cs="Times New Roman"/>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semiHidden/>
    <w:rsid w:val="00564F88"/>
    <w:rPr>
      <w:rFonts w:ascii="Cambria" w:eastAsia="MS Mincho" w:hAnsi="Cambria" w:cs="Times New Roman"/>
      <w:sz w:val="24"/>
      <w:szCs w:val="24"/>
    </w:rPr>
  </w:style>
  <w:style w:type="character" w:customStyle="1" w:styleId="Heading8Char">
    <w:name w:val="Heading 8 Char"/>
    <w:link w:val="Heading8"/>
    <w:uiPriority w:val="9"/>
    <w:semiHidden/>
    <w:rsid w:val="00564F88"/>
    <w:rPr>
      <w:rFonts w:ascii="Cambria" w:eastAsia="MS Mincho" w:hAnsi="Cambria" w:cs="Times New Roman"/>
      <w:i/>
      <w:iCs/>
      <w:sz w:val="24"/>
      <w:szCs w:val="24"/>
    </w:rPr>
  </w:style>
  <w:style w:type="character" w:customStyle="1" w:styleId="Heading9Char">
    <w:name w:val="Heading 9 Char"/>
    <w:link w:val="Heading9"/>
    <w:uiPriority w:val="9"/>
    <w:semiHidden/>
    <w:rsid w:val="00564F88"/>
    <w:rPr>
      <w:rFonts w:ascii="Calibri" w:eastAsia="MS Gothic" w:hAnsi="Calibri" w:cs="Times New Roman"/>
      <w:sz w:val="22"/>
      <w:szCs w:val="22"/>
    </w:rPr>
  </w:style>
  <w:style w:type="paragraph" w:styleId="Caption">
    <w:name w:val="caption"/>
    <w:basedOn w:val="Normal"/>
    <w:next w:val="Normal"/>
    <w:uiPriority w:val="35"/>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spacing w:before="120"/>
    </w:pPr>
  </w:style>
  <w:style w:type="paragraph" w:styleId="ListBullet2">
    <w:name w:val="List Bullet 2"/>
    <w:basedOn w:val="Normal"/>
    <w:uiPriority w:val="99"/>
    <w:unhideWhenUsed/>
    <w:rsid w:val="000404CE"/>
    <w:pPr>
      <w:numPr>
        <w:numId w:val="7"/>
      </w:numPr>
      <w:contextualSpacing/>
    </w:pPr>
  </w:style>
  <w:style w:type="paragraph" w:styleId="ListNumber">
    <w:name w:val="List Number"/>
    <w:basedOn w:val="Normal"/>
    <w:uiPriority w:val="99"/>
    <w:semiHidden/>
    <w:unhideWhenUsed/>
    <w:rsid w:val="00140C10"/>
    <w:pPr>
      <w:numPr>
        <w:numId w:val="11"/>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12"/>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styleId="ListParagraph">
    <w:name w:val="List Paragraph"/>
    <w:basedOn w:val="Normal"/>
    <w:uiPriority w:val="34"/>
    <w:qFormat/>
    <w:rsid w:val="00B25DF7"/>
    <w:pPr>
      <w:ind w:left="720"/>
      <w:contextualSpacing/>
    </w:pPr>
  </w:style>
  <w:style w:type="character" w:styleId="CommentReference">
    <w:name w:val="annotation reference"/>
    <w:basedOn w:val="DefaultParagraphFont"/>
    <w:uiPriority w:val="99"/>
    <w:semiHidden/>
    <w:unhideWhenUsed/>
    <w:rsid w:val="00DB1366"/>
    <w:rPr>
      <w:sz w:val="16"/>
      <w:szCs w:val="16"/>
    </w:rPr>
  </w:style>
  <w:style w:type="paragraph" w:styleId="CommentText">
    <w:name w:val="annotation text"/>
    <w:basedOn w:val="Normal"/>
    <w:link w:val="CommentTextChar"/>
    <w:uiPriority w:val="99"/>
    <w:semiHidden/>
    <w:unhideWhenUsed/>
    <w:rsid w:val="00DB1366"/>
    <w:pPr>
      <w:spacing w:line="240" w:lineRule="auto"/>
    </w:pPr>
    <w:rPr>
      <w:sz w:val="20"/>
      <w:szCs w:val="20"/>
    </w:rPr>
  </w:style>
  <w:style w:type="character" w:customStyle="1" w:styleId="CommentTextChar">
    <w:name w:val="Comment Text Char"/>
    <w:basedOn w:val="DefaultParagraphFont"/>
    <w:link w:val="CommentText"/>
    <w:uiPriority w:val="99"/>
    <w:semiHidden/>
    <w:rsid w:val="00DB1366"/>
    <w:rPr>
      <w:rFonts w:ascii="Arial" w:hAnsi="Arial"/>
    </w:rPr>
  </w:style>
  <w:style w:type="paragraph" w:styleId="CommentSubject">
    <w:name w:val="annotation subject"/>
    <w:basedOn w:val="CommentText"/>
    <w:next w:val="CommentText"/>
    <w:link w:val="CommentSubjectChar"/>
    <w:uiPriority w:val="99"/>
    <w:semiHidden/>
    <w:unhideWhenUsed/>
    <w:rsid w:val="00DB1366"/>
    <w:rPr>
      <w:b/>
      <w:bCs/>
    </w:rPr>
  </w:style>
  <w:style w:type="character" w:customStyle="1" w:styleId="CommentSubjectChar">
    <w:name w:val="Comment Subject Char"/>
    <w:basedOn w:val="CommentTextChar"/>
    <w:link w:val="CommentSubject"/>
    <w:uiPriority w:val="99"/>
    <w:semiHidden/>
    <w:rsid w:val="00DB1366"/>
    <w:rPr>
      <w:rFonts w:ascii="Arial" w:hAnsi="Arial"/>
      <w:b/>
      <w:bCs/>
    </w:rPr>
  </w:style>
  <w:style w:type="paragraph" w:styleId="NoSpacing">
    <w:name w:val="No Spacing"/>
    <w:uiPriority w:val="99"/>
    <w:qFormat/>
    <w:rsid w:val="009A60D9"/>
    <w:rPr>
      <w:rFonts w:ascii="Calibri" w:eastAsia="Times New Roman" w:hAnsi="Calibri"/>
      <w:sz w:val="22"/>
      <w:szCs w:val="22"/>
      <w:lang w:val="en-US"/>
    </w:rPr>
  </w:style>
  <w:style w:type="character" w:styleId="Emphasis">
    <w:name w:val="Emphasis"/>
    <w:basedOn w:val="DefaultParagraphFont"/>
    <w:uiPriority w:val="20"/>
    <w:qFormat/>
    <w:rsid w:val="00C1241A"/>
    <w:rPr>
      <w:b/>
      <w:bCs/>
      <w:i w:val="0"/>
      <w:iCs w:val="0"/>
    </w:rPr>
  </w:style>
  <w:style w:type="character" w:customStyle="1" w:styleId="st1">
    <w:name w:val="st1"/>
    <w:basedOn w:val="DefaultParagraphFont"/>
    <w:rsid w:val="00C1241A"/>
  </w:style>
  <w:style w:type="paragraph" w:customStyle="1" w:styleId="Default">
    <w:name w:val="Default"/>
    <w:basedOn w:val="Normal"/>
    <w:rsid w:val="00B4463C"/>
    <w:pPr>
      <w:autoSpaceDE w:val="0"/>
      <w:autoSpaceDN w:val="0"/>
      <w:spacing w:after="0" w:line="240" w:lineRule="auto"/>
    </w:pPr>
    <w:rPr>
      <w:rFonts w:eastAsiaTheme="minorHAns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273">
      <w:bodyDiv w:val="1"/>
      <w:marLeft w:val="0"/>
      <w:marRight w:val="0"/>
      <w:marTop w:val="0"/>
      <w:marBottom w:val="0"/>
      <w:divBdr>
        <w:top w:val="none" w:sz="0" w:space="0" w:color="auto"/>
        <w:left w:val="none" w:sz="0" w:space="0" w:color="auto"/>
        <w:bottom w:val="none" w:sz="0" w:space="0" w:color="auto"/>
        <w:right w:val="none" w:sz="0" w:space="0" w:color="auto"/>
      </w:divBdr>
    </w:div>
    <w:div w:id="152914471">
      <w:bodyDiv w:val="1"/>
      <w:marLeft w:val="0"/>
      <w:marRight w:val="0"/>
      <w:marTop w:val="0"/>
      <w:marBottom w:val="0"/>
      <w:divBdr>
        <w:top w:val="none" w:sz="0" w:space="0" w:color="auto"/>
        <w:left w:val="none" w:sz="0" w:space="0" w:color="auto"/>
        <w:bottom w:val="none" w:sz="0" w:space="0" w:color="auto"/>
        <w:right w:val="none" w:sz="0" w:space="0" w:color="auto"/>
      </w:divBdr>
      <w:divsChild>
        <w:div w:id="628559409">
          <w:marLeft w:val="0"/>
          <w:marRight w:val="0"/>
          <w:marTop w:val="0"/>
          <w:marBottom w:val="0"/>
          <w:divBdr>
            <w:top w:val="none" w:sz="0" w:space="0" w:color="auto"/>
            <w:left w:val="none" w:sz="0" w:space="0" w:color="auto"/>
            <w:bottom w:val="none" w:sz="0" w:space="0" w:color="auto"/>
            <w:right w:val="none" w:sz="0" w:space="0" w:color="auto"/>
          </w:divBdr>
          <w:divsChild>
            <w:div w:id="752551057">
              <w:marLeft w:val="0"/>
              <w:marRight w:val="0"/>
              <w:marTop w:val="0"/>
              <w:marBottom w:val="0"/>
              <w:divBdr>
                <w:top w:val="none" w:sz="0" w:space="0" w:color="auto"/>
                <w:left w:val="none" w:sz="0" w:space="0" w:color="auto"/>
                <w:bottom w:val="none" w:sz="0" w:space="0" w:color="auto"/>
                <w:right w:val="none" w:sz="0" w:space="0" w:color="auto"/>
              </w:divBdr>
              <w:divsChild>
                <w:div w:id="20954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1116">
      <w:bodyDiv w:val="1"/>
      <w:marLeft w:val="0"/>
      <w:marRight w:val="0"/>
      <w:marTop w:val="0"/>
      <w:marBottom w:val="0"/>
      <w:divBdr>
        <w:top w:val="none" w:sz="0" w:space="0" w:color="auto"/>
        <w:left w:val="none" w:sz="0" w:space="0" w:color="auto"/>
        <w:bottom w:val="none" w:sz="0" w:space="0" w:color="auto"/>
        <w:right w:val="none" w:sz="0" w:space="0" w:color="auto"/>
      </w:divBdr>
    </w:div>
    <w:div w:id="297348328">
      <w:bodyDiv w:val="1"/>
      <w:marLeft w:val="0"/>
      <w:marRight w:val="0"/>
      <w:marTop w:val="0"/>
      <w:marBottom w:val="0"/>
      <w:divBdr>
        <w:top w:val="none" w:sz="0" w:space="0" w:color="auto"/>
        <w:left w:val="none" w:sz="0" w:space="0" w:color="auto"/>
        <w:bottom w:val="none" w:sz="0" w:space="0" w:color="auto"/>
        <w:right w:val="none" w:sz="0" w:space="0" w:color="auto"/>
      </w:divBdr>
    </w:div>
    <w:div w:id="367683625">
      <w:bodyDiv w:val="1"/>
      <w:marLeft w:val="0"/>
      <w:marRight w:val="0"/>
      <w:marTop w:val="0"/>
      <w:marBottom w:val="0"/>
      <w:divBdr>
        <w:top w:val="none" w:sz="0" w:space="0" w:color="auto"/>
        <w:left w:val="none" w:sz="0" w:space="0" w:color="auto"/>
        <w:bottom w:val="none" w:sz="0" w:space="0" w:color="auto"/>
        <w:right w:val="none" w:sz="0" w:space="0" w:color="auto"/>
      </w:divBdr>
    </w:div>
    <w:div w:id="419642888">
      <w:bodyDiv w:val="1"/>
      <w:marLeft w:val="0"/>
      <w:marRight w:val="0"/>
      <w:marTop w:val="0"/>
      <w:marBottom w:val="0"/>
      <w:divBdr>
        <w:top w:val="none" w:sz="0" w:space="0" w:color="auto"/>
        <w:left w:val="none" w:sz="0" w:space="0" w:color="auto"/>
        <w:bottom w:val="none" w:sz="0" w:space="0" w:color="auto"/>
        <w:right w:val="none" w:sz="0" w:space="0" w:color="auto"/>
      </w:divBdr>
    </w:div>
    <w:div w:id="501090003">
      <w:bodyDiv w:val="1"/>
      <w:marLeft w:val="0"/>
      <w:marRight w:val="0"/>
      <w:marTop w:val="0"/>
      <w:marBottom w:val="0"/>
      <w:divBdr>
        <w:top w:val="none" w:sz="0" w:space="0" w:color="auto"/>
        <w:left w:val="none" w:sz="0" w:space="0" w:color="auto"/>
        <w:bottom w:val="none" w:sz="0" w:space="0" w:color="auto"/>
        <w:right w:val="none" w:sz="0" w:space="0" w:color="auto"/>
      </w:divBdr>
    </w:div>
    <w:div w:id="516624020">
      <w:bodyDiv w:val="1"/>
      <w:marLeft w:val="0"/>
      <w:marRight w:val="0"/>
      <w:marTop w:val="0"/>
      <w:marBottom w:val="0"/>
      <w:divBdr>
        <w:top w:val="none" w:sz="0" w:space="0" w:color="auto"/>
        <w:left w:val="none" w:sz="0" w:space="0" w:color="auto"/>
        <w:bottom w:val="none" w:sz="0" w:space="0" w:color="auto"/>
        <w:right w:val="none" w:sz="0" w:space="0" w:color="auto"/>
      </w:divBdr>
    </w:div>
    <w:div w:id="522282124">
      <w:bodyDiv w:val="1"/>
      <w:marLeft w:val="0"/>
      <w:marRight w:val="0"/>
      <w:marTop w:val="0"/>
      <w:marBottom w:val="0"/>
      <w:divBdr>
        <w:top w:val="none" w:sz="0" w:space="0" w:color="auto"/>
        <w:left w:val="none" w:sz="0" w:space="0" w:color="auto"/>
        <w:bottom w:val="none" w:sz="0" w:space="0" w:color="auto"/>
        <w:right w:val="none" w:sz="0" w:space="0" w:color="auto"/>
      </w:divBdr>
    </w:div>
    <w:div w:id="574508339">
      <w:bodyDiv w:val="1"/>
      <w:marLeft w:val="0"/>
      <w:marRight w:val="0"/>
      <w:marTop w:val="0"/>
      <w:marBottom w:val="0"/>
      <w:divBdr>
        <w:top w:val="none" w:sz="0" w:space="0" w:color="auto"/>
        <w:left w:val="none" w:sz="0" w:space="0" w:color="auto"/>
        <w:bottom w:val="none" w:sz="0" w:space="0" w:color="auto"/>
        <w:right w:val="none" w:sz="0" w:space="0" w:color="auto"/>
      </w:divBdr>
    </w:div>
    <w:div w:id="606816146">
      <w:bodyDiv w:val="1"/>
      <w:marLeft w:val="0"/>
      <w:marRight w:val="0"/>
      <w:marTop w:val="0"/>
      <w:marBottom w:val="0"/>
      <w:divBdr>
        <w:top w:val="none" w:sz="0" w:space="0" w:color="auto"/>
        <w:left w:val="none" w:sz="0" w:space="0" w:color="auto"/>
        <w:bottom w:val="none" w:sz="0" w:space="0" w:color="auto"/>
        <w:right w:val="none" w:sz="0" w:space="0" w:color="auto"/>
      </w:divBdr>
    </w:div>
    <w:div w:id="698434350">
      <w:bodyDiv w:val="1"/>
      <w:marLeft w:val="0"/>
      <w:marRight w:val="0"/>
      <w:marTop w:val="0"/>
      <w:marBottom w:val="0"/>
      <w:divBdr>
        <w:top w:val="none" w:sz="0" w:space="0" w:color="auto"/>
        <w:left w:val="none" w:sz="0" w:space="0" w:color="auto"/>
        <w:bottom w:val="none" w:sz="0" w:space="0" w:color="auto"/>
        <w:right w:val="none" w:sz="0" w:space="0" w:color="auto"/>
      </w:divBdr>
    </w:div>
    <w:div w:id="729426479">
      <w:bodyDiv w:val="1"/>
      <w:marLeft w:val="0"/>
      <w:marRight w:val="0"/>
      <w:marTop w:val="0"/>
      <w:marBottom w:val="0"/>
      <w:divBdr>
        <w:top w:val="none" w:sz="0" w:space="0" w:color="auto"/>
        <w:left w:val="none" w:sz="0" w:space="0" w:color="auto"/>
        <w:bottom w:val="none" w:sz="0" w:space="0" w:color="auto"/>
        <w:right w:val="none" w:sz="0" w:space="0" w:color="auto"/>
      </w:divBdr>
    </w:div>
    <w:div w:id="786126550">
      <w:bodyDiv w:val="1"/>
      <w:marLeft w:val="0"/>
      <w:marRight w:val="0"/>
      <w:marTop w:val="0"/>
      <w:marBottom w:val="0"/>
      <w:divBdr>
        <w:top w:val="none" w:sz="0" w:space="0" w:color="auto"/>
        <w:left w:val="none" w:sz="0" w:space="0" w:color="auto"/>
        <w:bottom w:val="none" w:sz="0" w:space="0" w:color="auto"/>
        <w:right w:val="none" w:sz="0" w:space="0" w:color="auto"/>
      </w:divBdr>
    </w:div>
    <w:div w:id="792165247">
      <w:bodyDiv w:val="1"/>
      <w:marLeft w:val="0"/>
      <w:marRight w:val="0"/>
      <w:marTop w:val="0"/>
      <w:marBottom w:val="0"/>
      <w:divBdr>
        <w:top w:val="none" w:sz="0" w:space="0" w:color="auto"/>
        <w:left w:val="none" w:sz="0" w:space="0" w:color="auto"/>
        <w:bottom w:val="none" w:sz="0" w:space="0" w:color="auto"/>
        <w:right w:val="none" w:sz="0" w:space="0" w:color="auto"/>
      </w:divBdr>
    </w:div>
    <w:div w:id="850996504">
      <w:bodyDiv w:val="1"/>
      <w:marLeft w:val="0"/>
      <w:marRight w:val="0"/>
      <w:marTop w:val="0"/>
      <w:marBottom w:val="0"/>
      <w:divBdr>
        <w:top w:val="none" w:sz="0" w:space="0" w:color="auto"/>
        <w:left w:val="none" w:sz="0" w:space="0" w:color="auto"/>
        <w:bottom w:val="none" w:sz="0" w:space="0" w:color="auto"/>
        <w:right w:val="none" w:sz="0" w:space="0" w:color="auto"/>
      </w:divBdr>
    </w:div>
    <w:div w:id="897591155">
      <w:bodyDiv w:val="1"/>
      <w:marLeft w:val="0"/>
      <w:marRight w:val="0"/>
      <w:marTop w:val="0"/>
      <w:marBottom w:val="0"/>
      <w:divBdr>
        <w:top w:val="none" w:sz="0" w:space="0" w:color="auto"/>
        <w:left w:val="none" w:sz="0" w:space="0" w:color="auto"/>
        <w:bottom w:val="none" w:sz="0" w:space="0" w:color="auto"/>
        <w:right w:val="none" w:sz="0" w:space="0" w:color="auto"/>
      </w:divBdr>
    </w:div>
    <w:div w:id="937368092">
      <w:bodyDiv w:val="1"/>
      <w:marLeft w:val="0"/>
      <w:marRight w:val="0"/>
      <w:marTop w:val="0"/>
      <w:marBottom w:val="0"/>
      <w:divBdr>
        <w:top w:val="none" w:sz="0" w:space="0" w:color="auto"/>
        <w:left w:val="none" w:sz="0" w:space="0" w:color="auto"/>
        <w:bottom w:val="none" w:sz="0" w:space="0" w:color="auto"/>
        <w:right w:val="none" w:sz="0" w:space="0" w:color="auto"/>
      </w:divBdr>
    </w:div>
    <w:div w:id="982271323">
      <w:bodyDiv w:val="1"/>
      <w:marLeft w:val="0"/>
      <w:marRight w:val="0"/>
      <w:marTop w:val="0"/>
      <w:marBottom w:val="0"/>
      <w:divBdr>
        <w:top w:val="none" w:sz="0" w:space="0" w:color="auto"/>
        <w:left w:val="none" w:sz="0" w:space="0" w:color="auto"/>
        <w:bottom w:val="none" w:sz="0" w:space="0" w:color="auto"/>
        <w:right w:val="none" w:sz="0" w:space="0" w:color="auto"/>
      </w:divBdr>
    </w:div>
    <w:div w:id="1087119045">
      <w:bodyDiv w:val="1"/>
      <w:marLeft w:val="0"/>
      <w:marRight w:val="0"/>
      <w:marTop w:val="0"/>
      <w:marBottom w:val="0"/>
      <w:divBdr>
        <w:top w:val="none" w:sz="0" w:space="0" w:color="auto"/>
        <w:left w:val="none" w:sz="0" w:space="0" w:color="auto"/>
        <w:bottom w:val="none" w:sz="0" w:space="0" w:color="auto"/>
        <w:right w:val="none" w:sz="0" w:space="0" w:color="auto"/>
      </w:divBdr>
    </w:div>
    <w:div w:id="1126312535">
      <w:bodyDiv w:val="1"/>
      <w:marLeft w:val="0"/>
      <w:marRight w:val="0"/>
      <w:marTop w:val="0"/>
      <w:marBottom w:val="0"/>
      <w:divBdr>
        <w:top w:val="none" w:sz="0" w:space="0" w:color="auto"/>
        <w:left w:val="none" w:sz="0" w:space="0" w:color="auto"/>
        <w:bottom w:val="none" w:sz="0" w:space="0" w:color="auto"/>
        <w:right w:val="none" w:sz="0" w:space="0" w:color="auto"/>
      </w:divBdr>
    </w:div>
    <w:div w:id="1198735858">
      <w:bodyDiv w:val="1"/>
      <w:marLeft w:val="0"/>
      <w:marRight w:val="0"/>
      <w:marTop w:val="0"/>
      <w:marBottom w:val="0"/>
      <w:divBdr>
        <w:top w:val="none" w:sz="0" w:space="0" w:color="auto"/>
        <w:left w:val="none" w:sz="0" w:space="0" w:color="auto"/>
        <w:bottom w:val="none" w:sz="0" w:space="0" w:color="auto"/>
        <w:right w:val="none" w:sz="0" w:space="0" w:color="auto"/>
      </w:divBdr>
    </w:div>
    <w:div w:id="1494953955">
      <w:bodyDiv w:val="1"/>
      <w:marLeft w:val="0"/>
      <w:marRight w:val="0"/>
      <w:marTop w:val="0"/>
      <w:marBottom w:val="0"/>
      <w:divBdr>
        <w:top w:val="none" w:sz="0" w:space="0" w:color="auto"/>
        <w:left w:val="none" w:sz="0" w:space="0" w:color="auto"/>
        <w:bottom w:val="none" w:sz="0" w:space="0" w:color="auto"/>
        <w:right w:val="none" w:sz="0" w:space="0" w:color="auto"/>
      </w:divBdr>
    </w:div>
    <w:div w:id="1757172557">
      <w:bodyDiv w:val="1"/>
      <w:marLeft w:val="0"/>
      <w:marRight w:val="0"/>
      <w:marTop w:val="0"/>
      <w:marBottom w:val="0"/>
      <w:divBdr>
        <w:top w:val="none" w:sz="0" w:space="0" w:color="auto"/>
        <w:left w:val="none" w:sz="0" w:space="0" w:color="auto"/>
        <w:bottom w:val="none" w:sz="0" w:space="0" w:color="auto"/>
        <w:right w:val="none" w:sz="0" w:space="0" w:color="auto"/>
      </w:divBdr>
    </w:div>
    <w:div w:id="1858884232">
      <w:bodyDiv w:val="1"/>
      <w:marLeft w:val="0"/>
      <w:marRight w:val="0"/>
      <w:marTop w:val="0"/>
      <w:marBottom w:val="0"/>
      <w:divBdr>
        <w:top w:val="none" w:sz="0" w:space="0" w:color="auto"/>
        <w:left w:val="none" w:sz="0" w:space="0" w:color="auto"/>
        <w:bottom w:val="none" w:sz="0" w:space="0" w:color="auto"/>
        <w:right w:val="none" w:sz="0" w:space="0" w:color="auto"/>
      </w:divBdr>
    </w:div>
    <w:div w:id="1940526498">
      <w:bodyDiv w:val="1"/>
      <w:marLeft w:val="0"/>
      <w:marRight w:val="0"/>
      <w:marTop w:val="0"/>
      <w:marBottom w:val="0"/>
      <w:divBdr>
        <w:top w:val="none" w:sz="0" w:space="0" w:color="auto"/>
        <w:left w:val="none" w:sz="0" w:space="0" w:color="auto"/>
        <w:bottom w:val="none" w:sz="0" w:space="0" w:color="auto"/>
        <w:right w:val="none" w:sz="0" w:space="0" w:color="auto"/>
      </w:divBdr>
    </w:div>
    <w:div w:id="1945841638">
      <w:bodyDiv w:val="1"/>
      <w:marLeft w:val="0"/>
      <w:marRight w:val="0"/>
      <w:marTop w:val="0"/>
      <w:marBottom w:val="0"/>
      <w:divBdr>
        <w:top w:val="none" w:sz="0" w:space="0" w:color="auto"/>
        <w:left w:val="none" w:sz="0" w:space="0" w:color="auto"/>
        <w:bottom w:val="none" w:sz="0" w:space="0" w:color="auto"/>
        <w:right w:val="none" w:sz="0" w:space="0" w:color="auto"/>
      </w:divBdr>
    </w:div>
    <w:div w:id="2102026972">
      <w:bodyDiv w:val="1"/>
      <w:marLeft w:val="0"/>
      <w:marRight w:val="0"/>
      <w:marTop w:val="0"/>
      <w:marBottom w:val="0"/>
      <w:divBdr>
        <w:top w:val="none" w:sz="0" w:space="0" w:color="auto"/>
        <w:left w:val="none" w:sz="0" w:space="0" w:color="auto"/>
        <w:bottom w:val="none" w:sz="0" w:space="0" w:color="auto"/>
        <w:right w:val="none" w:sz="0" w:space="0" w:color="auto"/>
      </w:divBdr>
    </w:div>
    <w:div w:id="213097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cid:image005.png@01CF175F.14EF1AE0" TargetMode="External"/><Relationship Id="rId26" Type="http://schemas.openxmlformats.org/officeDocument/2006/relationships/image" Target="media/image8.pn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chart" Target="charts/chart7.xm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chart" Target="charts/chart5.xml"/><Relationship Id="rId33" Type="http://schemas.openxmlformats.org/officeDocument/2006/relationships/chart" Target="charts/chart6.xml"/><Relationship Id="rId38"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cid:image006.png@01CF175F.14EF1AE0" TargetMode="Externa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chart" Target="charts/chart10.xm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image" Target="media/image10.png"/><Relationship Id="rId36" Type="http://schemas.openxmlformats.org/officeDocument/2006/relationships/chart" Target="charts/chart9.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cid:image007.png@01CF175F.14EF1AE0"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hart" Target="charts/chart8.xm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Amendments%20MI%20%202013%20-%202014.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DH\London\SKH\NW080\Shared%20Drive\Division%20Management\Queries%20Line\Queries%20Line%20Statistics\2013\Analysis%20of%20QL%20performance%20during%20November%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s.gov.uk\data\DH\London\SKH\NW080\HRA%20IT\HRA%20Report%20-%20Dec%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DH\London\SKH\NW080\HRA%20IT\HRA%20Report%20-%20Dec%202013.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RAG status of KPIs</a:t>
            </a:r>
          </a:p>
          <a:p>
            <a:pPr>
              <a:defRPr/>
            </a:pPr>
            <a:endParaRPr lang="en-GB"/>
          </a:p>
        </c:rich>
      </c:tx>
      <c:layout/>
      <c:overlay val="0"/>
    </c:title>
    <c:autoTitleDeleted val="0"/>
    <c:view3D>
      <c:rotX val="30"/>
      <c:rotY val="152"/>
      <c:rAngAx val="0"/>
      <c:perspective val="30"/>
    </c:view3D>
    <c:floor>
      <c:thickness val="0"/>
    </c:floor>
    <c:sideWall>
      <c:thickness val="0"/>
    </c:sideWall>
    <c:backWall>
      <c:thickness val="0"/>
    </c:backWall>
    <c:plotArea>
      <c:layout>
        <c:manualLayout>
          <c:layoutTarget val="inner"/>
          <c:xMode val="edge"/>
          <c:yMode val="edge"/>
          <c:x val="8.6852910509473982E-2"/>
          <c:y val="0.20012278563459665"/>
          <c:w val="0.80802933879840366"/>
          <c:h val="0.65613444511082308"/>
        </c:manualLayout>
      </c:layout>
      <c:pie3DChart>
        <c:varyColors val="1"/>
        <c:ser>
          <c:idx val="0"/>
          <c:order val="0"/>
          <c:explosion val="25"/>
          <c:dPt>
            <c:idx val="1"/>
            <c:bubble3D val="0"/>
            <c:spPr>
              <a:solidFill>
                <a:srgbClr val="FF0000"/>
              </a:solidFill>
            </c:spPr>
          </c:dPt>
          <c:dPt>
            <c:idx val="2"/>
            <c:bubble3D val="0"/>
            <c:spPr>
              <a:solidFill>
                <a:schemeClr val="accent6"/>
              </a:solidFill>
            </c:spPr>
          </c:dPt>
          <c:dPt>
            <c:idx val="3"/>
            <c:bubble3D val="0"/>
            <c:explosion val="17"/>
            <c:spPr>
              <a:solidFill>
                <a:schemeClr val="accent3"/>
              </a:solidFill>
            </c:spPr>
          </c:dPt>
          <c:dPt>
            <c:idx val="4"/>
            <c:bubble3D val="0"/>
            <c:spPr>
              <a:solidFill>
                <a:schemeClr val="accent4">
                  <a:lumMod val="60000"/>
                  <a:lumOff val="40000"/>
                </a:schemeClr>
              </a:solidFill>
            </c:spPr>
          </c:dPt>
          <c:dLbls>
            <c:dLbl>
              <c:idx val="1"/>
              <c:layout>
                <c:manualLayout>
                  <c:x val="0.28074809142007934"/>
                  <c:y val="-9.5004095004094999E-3"/>
                </c:manualLayout>
              </c:layout>
              <c:showLegendKey val="0"/>
              <c:showVal val="0"/>
              <c:showCatName val="1"/>
              <c:showSerName val="0"/>
              <c:showPercent val="1"/>
              <c:showBubbleSize val="0"/>
            </c:dLbl>
            <c:dLbl>
              <c:idx val="2"/>
              <c:layout>
                <c:manualLayout>
                  <c:x val="2.4353120243531201E-2"/>
                  <c:y val="3.7210754061147759E-2"/>
                </c:manualLayout>
              </c:layout>
              <c:showLegendKey val="0"/>
              <c:showVal val="0"/>
              <c:showCatName val="1"/>
              <c:showSerName val="0"/>
              <c:showPercent val="1"/>
              <c:showBubbleSize val="0"/>
            </c:dLbl>
            <c:dLbl>
              <c:idx val="3"/>
              <c:layout>
                <c:manualLayout>
                  <c:x val="-0.10005345222258175"/>
                  <c:y val="-5.23982536580961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Sheet1!$C$46:$D$50</c:f>
              <c:strCache>
                <c:ptCount val="5"/>
                <c:pt idx="0">
                  <c:v>RAG status key</c:v>
                </c:pt>
                <c:pt idx="1">
                  <c:v>Objective has serious delays in achieving</c:v>
                </c:pt>
                <c:pt idx="2">
                  <c:v>Objective has some delays, expect to achieve by year end</c:v>
                </c:pt>
                <c:pt idx="3">
                  <c:v>Objective on target</c:v>
                </c:pt>
                <c:pt idx="4">
                  <c:v>Completed</c:v>
                </c:pt>
              </c:strCache>
            </c:strRef>
          </c:cat>
          <c:val>
            <c:numRef>
              <c:f>Sheet1!$E$46:$E$50</c:f>
              <c:numCache>
                <c:formatCode>General</c:formatCode>
                <c:ptCount val="5"/>
                <c:pt idx="1">
                  <c:v>5</c:v>
                </c:pt>
                <c:pt idx="2">
                  <c:v>0</c:v>
                </c:pt>
                <c:pt idx="3">
                  <c:v>15</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b="1" i="0" baseline="0">
                <a:effectLst/>
              </a:rPr>
              <a:t>Trends in Opinion Types at first review - England</a:t>
            </a:r>
            <a:endParaRPr lang="en-GB" sz="1100">
              <a:effectLst/>
            </a:endParaRPr>
          </a:p>
        </c:rich>
      </c:tx>
      <c:overlay val="0"/>
    </c:title>
    <c:autoTitleDeleted val="0"/>
    <c:plotArea>
      <c:layout/>
      <c:lineChart>
        <c:grouping val="standard"/>
        <c:varyColors val="0"/>
        <c:ser>
          <c:idx val="0"/>
          <c:order val="0"/>
          <c:tx>
            <c:strRef>
              <c:f>DecisionsEngland!$Y$5</c:f>
              <c:strCache>
                <c:ptCount val="1"/>
                <c:pt idx="0">
                  <c:v>Favourable</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DecisionsEngland!$Y$6:$Y$53</c:f>
              <c:numCache>
                <c:formatCode>0%</c:formatCode>
                <c:ptCount val="48"/>
                <c:pt idx="0">
                  <c:v>0.1329243353783231</c:v>
                </c:pt>
                <c:pt idx="1">
                  <c:v>0.1</c:v>
                </c:pt>
                <c:pt idx="2">
                  <c:v>0.11753731343283583</c:v>
                </c:pt>
                <c:pt idx="3">
                  <c:v>9.6456692913385822E-2</c:v>
                </c:pt>
                <c:pt idx="4">
                  <c:v>0.10204081632653061</c:v>
                </c:pt>
                <c:pt idx="5">
                  <c:v>0.11695906432748537</c:v>
                </c:pt>
                <c:pt idx="6">
                  <c:v>0.12948207171314741</c:v>
                </c:pt>
                <c:pt idx="7">
                  <c:v>0.12016293279022404</c:v>
                </c:pt>
                <c:pt idx="8">
                  <c:v>0.14519906323185011</c:v>
                </c:pt>
                <c:pt idx="9">
                  <c:v>9.405940594059406E-2</c:v>
                </c:pt>
                <c:pt idx="10">
                  <c:v>0.1040339702760085</c:v>
                </c:pt>
                <c:pt idx="11">
                  <c:v>0.12169312169312169</c:v>
                </c:pt>
                <c:pt idx="12">
                  <c:v>0.14949494949494949</c:v>
                </c:pt>
                <c:pt idx="13">
                  <c:v>0.10626185958254269</c:v>
                </c:pt>
                <c:pt idx="14">
                  <c:v>0.11131059245960502</c:v>
                </c:pt>
                <c:pt idx="15">
                  <c:v>0.14315352697095435</c:v>
                </c:pt>
                <c:pt idx="16">
                  <c:v>0.11825726141078838</c:v>
                </c:pt>
                <c:pt idx="17">
                  <c:v>0.119140625</c:v>
                </c:pt>
                <c:pt idx="18">
                  <c:v>0.14959016393442623</c:v>
                </c:pt>
                <c:pt idx="19">
                  <c:v>0.13140311804008908</c:v>
                </c:pt>
                <c:pt idx="20">
                  <c:v>0.10335917312661498</c:v>
                </c:pt>
                <c:pt idx="21">
                  <c:v>0.11053984575835475</c:v>
                </c:pt>
                <c:pt idx="22">
                  <c:v>0.11358024691358025</c:v>
                </c:pt>
                <c:pt idx="23">
                  <c:v>0.15297450424929179</c:v>
                </c:pt>
                <c:pt idx="24">
                  <c:v>0.13043478260869565</c:v>
                </c:pt>
                <c:pt idx="25">
                  <c:v>0.100418410041841</c:v>
                </c:pt>
                <c:pt idx="26">
                  <c:v>0.12311557788944724</c:v>
                </c:pt>
                <c:pt idx="27">
                  <c:v>0.10275689223057644</c:v>
                </c:pt>
                <c:pt idx="28">
                  <c:v>0.13941018766756033</c:v>
                </c:pt>
                <c:pt idx="29">
                  <c:v>0.12676056338028169</c:v>
                </c:pt>
                <c:pt idx="30">
                  <c:v>0.15274949083503056</c:v>
                </c:pt>
                <c:pt idx="31">
                  <c:v>0.10918114143920596</c:v>
                </c:pt>
                <c:pt idx="32">
                  <c:v>0.1373134328358209</c:v>
                </c:pt>
                <c:pt idx="33">
                  <c:v>7.8431372549019607E-2</c:v>
                </c:pt>
                <c:pt idx="34">
                  <c:v>0.1111111111111111</c:v>
                </c:pt>
                <c:pt idx="35">
                  <c:v>0.13192612137203166</c:v>
                </c:pt>
                <c:pt idx="36">
                  <c:v>9.4907407407407413E-2</c:v>
                </c:pt>
                <c:pt idx="37">
                  <c:v>0.13255813953488371</c:v>
                </c:pt>
                <c:pt idx="38">
                  <c:v>7.9365079365079361E-2</c:v>
                </c:pt>
                <c:pt idx="39">
                  <c:v>0.13392857142857142</c:v>
                </c:pt>
                <c:pt idx="40">
                  <c:v>0.13105413105413105</c:v>
                </c:pt>
                <c:pt idx="41">
                  <c:v>0.12465373961218837</c:v>
                </c:pt>
                <c:pt idx="42">
                  <c:v>0.12195121951219512</c:v>
                </c:pt>
                <c:pt idx="43">
                  <c:v>0.10026385224274406</c:v>
                </c:pt>
                <c:pt idx="44">
                  <c:v>0.13350125944584382</c:v>
                </c:pt>
                <c:pt idx="45">
                  <c:v>#N/A</c:v>
                </c:pt>
                <c:pt idx="46">
                  <c:v>#N/A</c:v>
                </c:pt>
                <c:pt idx="47">
                  <c:v>#N/A</c:v>
                </c:pt>
              </c:numCache>
            </c:numRef>
          </c:val>
          <c:smooth val="1"/>
        </c:ser>
        <c:ser>
          <c:idx val="1"/>
          <c:order val="1"/>
          <c:tx>
            <c:strRef>
              <c:f>DecisionsEngland!$Z$5</c:f>
              <c:strCache>
                <c:ptCount val="1"/>
                <c:pt idx="0">
                  <c:v>Favourable with AC</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DecisionsEngland!$Z$6:$Z$53</c:f>
              <c:numCache>
                <c:formatCode>0%</c:formatCode>
                <c:ptCount val="48"/>
                <c:pt idx="0">
                  <c:v>0.12065439672801637</c:v>
                </c:pt>
                <c:pt idx="1">
                  <c:v>0.17755102040816326</c:v>
                </c:pt>
                <c:pt idx="2">
                  <c:v>0.18843283582089551</c:v>
                </c:pt>
                <c:pt idx="3">
                  <c:v>0.18110236220472442</c:v>
                </c:pt>
                <c:pt idx="4">
                  <c:v>0.18140589569160998</c:v>
                </c:pt>
                <c:pt idx="5">
                  <c:v>0.20662768031189083</c:v>
                </c:pt>
                <c:pt idx="6">
                  <c:v>0.19123505976095617</c:v>
                </c:pt>
                <c:pt idx="7">
                  <c:v>0.164969450101833</c:v>
                </c:pt>
                <c:pt idx="8">
                  <c:v>0.1756440281030445</c:v>
                </c:pt>
                <c:pt idx="9">
                  <c:v>0.12871287128712872</c:v>
                </c:pt>
                <c:pt idx="10">
                  <c:v>0.15074309978768577</c:v>
                </c:pt>
                <c:pt idx="11">
                  <c:v>0.14638447971781304</c:v>
                </c:pt>
                <c:pt idx="12">
                  <c:v>0.14141414141414141</c:v>
                </c:pt>
                <c:pt idx="13">
                  <c:v>0.16888045540796964</c:v>
                </c:pt>
                <c:pt idx="14">
                  <c:v>0.16517055655296231</c:v>
                </c:pt>
                <c:pt idx="15">
                  <c:v>0.16182572614107885</c:v>
                </c:pt>
                <c:pt idx="16">
                  <c:v>0.16804979253112035</c:v>
                </c:pt>
                <c:pt idx="17">
                  <c:v>0.1484375</c:v>
                </c:pt>
                <c:pt idx="18">
                  <c:v>0.18852459016393441</c:v>
                </c:pt>
                <c:pt idx="19">
                  <c:v>0.16481069042316257</c:v>
                </c:pt>
                <c:pt idx="20">
                  <c:v>0.20413436692506459</c:v>
                </c:pt>
                <c:pt idx="21">
                  <c:v>0.15424164524421594</c:v>
                </c:pt>
                <c:pt idx="22">
                  <c:v>0.21975308641975308</c:v>
                </c:pt>
                <c:pt idx="23">
                  <c:v>0.20113314447592068</c:v>
                </c:pt>
                <c:pt idx="24">
                  <c:v>0.2318840579710145</c:v>
                </c:pt>
                <c:pt idx="25">
                  <c:v>0.18619246861924685</c:v>
                </c:pt>
                <c:pt idx="26">
                  <c:v>0.29145728643216079</c:v>
                </c:pt>
                <c:pt idx="27">
                  <c:v>0.20551378446115287</c:v>
                </c:pt>
                <c:pt idx="28">
                  <c:v>0.17694369973190349</c:v>
                </c:pt>
                <c:pt idx="29">
                  <c:v>0.23380281690140844</c:v>
                </c:pt>
                <c:pt idx="30">
                  <c:v>0.20773930753564154</c:v>
                </c:pt>
                <c:pt idx="31">
                  <c:v>0.17866004962779156</c:v>
                </c:pt>
                <c:pt idx="32">
                  <c:v>0.19701492537313434</c:v>
                </c:pt>
                <c:pt idx="33">
                  <c:v>0.15196078431372548</c:v>
                </c:pt>
                <c:pt idx="34">
                  <c:v>0.23333333333333334</c:v>
                </c:pt>
                <c:pt idx="35">
                  <c:v>0.25593667546174143</c:v>
                </c:pt>
                <c:pt idx="36">
                  <c:v>0.20601851851851852</c:v>
                </c:pt>
                <c:pt idx="37">
                  <c:v>0.24883720930232558</c:v>
                </c:pt>
                <c:pt idx="38">
                  <c:v>0.20899470899470898</c:v>
                </c:pt>
                <c:pt idx="39">
                  <c:v>0.234375</c:v>
                </c:pt>
                <c:pt idx="40">
                  <c:v>0.19373219373219372</c:v>
                </c:pt>
                <c:pt idx="41">
                  <c:v>0.21052631578947367</c:v>
                </c:pt>
                <c:pt idx="42">
                  <c:v>0.21951219512195122</c:v>
                </c:pt>
                <c:pt idx="43">
                  <c:v>0.22427440633245382</c:v>
                </c:pt>
                <c:pt idx="44">
                  <c:v>0.23929471032745592</c:v>
                </c:pt>
                <c:pt idx="45">
                  <c:v>#N/A</c:v>
                </c:pt>
                <c:pt idx="46">
                  <c:v>#N/A</c:v>
                </c:pt>
                <c:pt idx="47">
                  <c:v>#N/A</c:v>
                </c:pt>
              </c:numCache>
            </c:numRef>
          </c:val>
          <c:smooth val="1"/>
        </c:ser>
        <c:ser>
          <c:idx val="2"/>
          <c:order val="2"/>
          <c:tx>
            <c:strRef>
              <c:f>DecisionsEngland!$AA$5</c:f>
              <c:strCache>
                <c:ptCount val="1"/>
                <c:pt idx="0">
                  <c:v>Provisional</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DecisionsEngland!$AA$6:$AA$53</c:f>
              <c:numCache>
                <c:formatCode>0%</c:formatCode>
                <c:ptCount val="48"/>
                <c:pt idx="0">
                  <c:v>0.68098159509202449</c:v>
                </c:pt>
                <c:pt idx="1">
                  <c:v>0.6489795918367347</c:v>
                </c:pt>
                <c:pt idx="2">
                  <c:v>0.61940298507462688</c:v>
                </c:pt>
                <c:pt idx="3">
                  <c:v>0.67716535433070868</c:v>
                </c:pt>
                <c:pt idx="4">
                  <c:v>0.66666666666666663</c:v>
                </c:pt>
                <c:pt idx="5">
                  <c:v>0.61403508771929827</c:v>
                </c:pt>
                <c:pt idx="6">
                  <c:v>0.61354581673306774</c:v>
                </c:pt>
                <c:pt idx="7">
                  <c:v>0.65580448065173114</c:v>
                </c:pt>
                <c:pt idx="8">
                  <c:v>0.62060889929742391</c:v>
                </c:pt>
                <c:pt idx="9">
                  <c:v>0.7277227722772277</c:v>
                </c:pt>
                <c:pt idx="10">
                  <c:v>0.69002123142250527</c:v>
                </c:pt>
                <c:pt idx="11">
                  <c:v>0.67019400352733682</c:v>
                </c:pt>
                <c:pt idx="12">
                  <c:v>0.64848484848484844</c:v>
                </c:pt>
                <c:pt idx="13">
                  <c:v>0.65464895635673626</c:v>
                </c:pt>
                <c:pt idx="14">
                  <c:v>0.6768402154398564</c:v>
                </c:pt>
                <c:pt idx="15">
                  <c:v>0.62655601659751037</c:v>
                </c:pt>
                <c:pt idx="16">
                  <c:v>0.65352697095435686</c:v>
                </c:pt>
                <c:pt idx="17">
                  <c:v>0.681640625</c:v>
                </c:pt>
                <c:pt idx="18">
                  <c:v>0.60040983606557374</c:v>
                </c:pt>
                <c:pt idx="19">
                  <c:v>0.64142538975501118</c:v>
                </c:pt>
                <c:pt idx="20">
                  <c:v>0.64341085271317833</c:v>
                </c:pt>
                <c:pt idx="21">
                  <c:v>0.69151670951156807</c:v>
                </c:pt>
                <c:pt idx="22">
                  <c:v>0.6098765432098765</c:v>
                </c:pt>
                <c:pt idx="23">
                  <c:v>0.60056657223796039</c:v>
                </c:pt>
                <c:pt idx="24">
                  <c:v>0.56038647342995174</c:v>
                </c:pt>
                <c:pt idx="25">
                  <c:v>0.64853556485355646</c:v>
                </c:pt>
                <c:pt idx="26">
                  <c:v>0.52512562814070352</c:v>
                </c:pt>
                <c:pt idx="27">
                  <c:v>0.63157894736842102</c:v>
                </c:pt>
                <c:pt idx="28">
                  <c:v>0.63002680965147451</c:v>
                </c:pt>
                <c:pt idx="29">
                  <c:v>0.57464788732394367</c:v>
                </c:pt>
                <c:pt idx="30">
                  <c:v>0.59470468431771895</c:v>
                </c:pt>
                <c:pt idx="31">
                  <c:v>0.65260545905707201</c:v>
                </c:pt>
                <c:pt idx="32">
                  <c:v>0.59701492537313428</c:v>
                </c:pt>
                <c:pt idx="33">
                  <c:v>0.7279411764705882</c:v>
                </c:pt>
                <c:pt idx="34">
                  <c:v>0.60555555555555551</c:v>
                </c:pt>
                <c:pt idx="35">
                  <c:v>0.56728232189973615</c:v>
                </c:pt>
                <c:pt idx="36">
                  <c:v>0.65277777777777779</c:v>
                </c:pt>
                <c:pt idx="37">
                  <c:v>0.56046511627906981</c:v>
                </c:pt>
                <c:pt idx="38">
                  <c:v>0.65608465608465605</c:v>
                </c:pt>
                <c:pt idx="39">
                  <c:v>0.5691964285714286</c:v>
                </c:pt>
                <c:pt idx="40">
                  <c:v>0.63532763532763536</c:v>
                </c:pt>
                <c:pt idx="41">
                  <c:v>0.62326869806094187</c:v>
                </c:pt>
                <c:pt idx="42">
                  <c:v>0.59645232815964522</c:v>
                </c:pt>
                <c:pt idx="43">
                  <c:v>0.59894459102902375</c:v>
                </c:pt>
                <c:pt idx="44">
                  <c:v>0.5717884130982368</c:v>
                </c:pt>
                <c:pt idx="45">
                  <c:v>#N/A</c:v>
                </c:pt>
                <c:pt idx="46">
                  <c:v>#N/A</c:v>
                </c:pt>
                <c:pt idx="47">
                  <c:v>#N/A</c:v>
                </c:pt>
              </c:numCache>
            </c:numRef>
          </c:val>
          <c:smooth val="1"/>
        </c:ser>
        <c:ser>
          <c:idx val="3"/>
          <c:order val="3"/>
          <c:tx>
            <c:strRef>
              <c:f>DecisionsEngland!$AB$5</c:f>
              <c:strCache>
                <c:ptCount val="1"/>
                <c:pt idx="0">
                  <c:v>Unfavourable</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DecisionsEngland!$AB$6:$AB$53</c:f>
              <c:numCache>
                <c:formatCode>0%</c:formatCode>
                <c:ptCount val="48"/>
                <c:pt idx="0">
                  <c:v>6.5439672801635998E-2</c:v>
                </c:pt>
                <c:pt idx="1">
                  <c:v>7.3469387755102047E-2</c:v>
                </c:pt>
                <c:pt idx="2">
                  <c:v>7.4626865671641784E-2</c:v>
                </c:pt>
                <c:pt idx="3">
                  <c:v>4.5275590551181105E-2</c:v>
                </c:pt>
                <c:pt idx="4">
                  <c:v>4.9886621315192746E-2</c:v>
                </c:pt>
                <c:pt idx="5">
                  <c:v>6.2378167641325533E-2</c:v>
                </c:pt>
                <c:pt idx="6">
                  <c:v>6.5737051792828682E-2</c:v>
                </c:pt>
                <c:pt idx="7">
                  <c:v>5.9063136456211814E-2</c:v>
                </c:pt>
                <c:pt idx="8">
                  <c:v>5.8548009367681501E-2</c:v>
                </c:pt>
                <c:pt idx="9">
                  <c:v>4.9504950495049507E-2</c:v>
                </c:pt>
                <c:pt idx="10">
                  <c:v>5.5201698513800426E-2</c:v>
                </c:pt>
                <c:pt idx="11">
                  <c:v>6.1728395061728392E-2</c:v>
                </c:pt>
                <c:pt idx="12">
                  <c:v>6.0606060606060608E-2</c:v>
                </c:pt>
                <c:pt idx="13">
                  <c:v>7.020872865275142E-2</c:v>
                </c:pt>
                <c:pt idx="14">
                  <c:v>4.66786355475763E-2</c:v>
                </c:pt>
                <c:pt idx="15">
                  <c:v>6.8464730290456438E-2</c:v>
                </c:pt>
                <c:pt idx="16">
                  <c:v>6.0165975103734441E-2</c:v>
                </c:pt>
                <c:pt idx="17">
                  <c:v>5.078125E-2</c:v>
                </c:pt>
                <c:pt idx="18">
                  <c:v>6.1475409836065573E-2</c:v>
                </c:pt>
                <c:pt idx="19">
                  <c:v>6.2360801781737196E-2</c:v>
                </c:pt>
                <c:pt idx="20">
                  <c:v>4.909560723514212E-2</c:v>
                </c:pt>
                <c:pt idx="21">
                  <c:v>4.3701799485861184E-2</c:v>
                </c:pt>
                <c:pt idx="22">
                  <c:v>5.6790123456790124E-2</c:v>
                </c:pt>
                <c:pt idx="23">
                  <c:v>4.5325779036827198E-2</c:v>
                </c:pt>
                <c:pt idx="24">
                  <c:v>7.7294685990338161E-2</c:v>
                </c:pt>
                <c:pt idx="25">
                  <c:v>6.4853556485355651E-2</c:v>
                </c:pt>
                <c:pt idx="26">
                  <c:v>6.030150753768844E-2</c:v>
                </c:pt>
                <c:pt idx="27">
                  <c:v>6.0150375939849621E-2</c:v>
                </c:pt>
                <c:pt idx="28">
                  <c:v>5.3619302949061663E-2</c:v>
                </c:pt>
                <c:pt idx="29">
                  <c:v>6.4788732394366194E-2</c:v>
                </c:pt>
                <c:pt idx="30">
                  <c:v>4.4806517311608958E-2</c:v>
                </c:pt>
                <c:pt idx="31">
                  <c:v>5.9553349875930521E-2</c:v>
                </c:pt>
                <c:pt idx="32">
                  <c:v>6.8656716417910449E-2</c:v>
                </c:pt>
                <c:pt idx="33">
                  <c:v>4.1666666666666664E-2</c:v>
                </c:pt>
                <c:pt idx="34">
                  <c:v>0.05</c:v>
                </c:pt>
                <c:pt idx="35">
                  <c:v>4.4854881266490766E-2</c:v>
                </c:pt>
                <c:pt idx="36">
                  <c:v>4.6296296296296294E-2</c:v>
                </c:pt>
                <c:pt idx="37">
                  <c:v>5.8139534883720929E-2</c:v>
                </c:pt>
                <c:pt idx="38">
                  <c:v>5.5555555555555552E-2</c:v>
                </c:pt>
                <c:pt idx="39">
                  <c:v>6.25E-2</c:v>
                </c:pt>
                <c:pt idx="40">
                  <c:v>3.9886039886039885E-2</c:v>
                </c:pt>
                <c:pt idx="41">
                  <c:v>4.1551246537396121E-2</c:v>
                </c:pt>
                <c:pt idx="42">
                  <c:v>6.2084257206208429E-2</c:v>
                </c:pt>
                <c:pt idx="43">
                  <c:v>7.6517150395778361E-2</c:v>
                </c:pt>
                <c:pt idx="44">
                  <c:v>5.5415617128463476E-2</c:v>
                </c:pt>
                <c:pt idx="45">
                  <c:v>#N/A</c:v>
                </c:pt>
                <c:pt idx="46">
                  <c:v>#N/A</c:v>
                </c:pt>
                <c:pt idx="47">
                  <c:v>#N/A</c:v>
                </c:pt>
              </c:numCache>
            </c:numRef>
          </c:val>
          <c:smooth val="1"/>
        </c:ser>
        <c:dLbls>
          <c:showLegendKey val="0"/>
          <c:showVal val="0"/>
          <c:showCatName val="0"/>
          <c:showSerName val="0"/>
          <c:showPercent val="0"/>
          <c:showBubbleSize val="0"/>
        </c:dLbls>
        <c:marker val="1"/>
        <c:smooth val="0"/>
        <c:axId val="192854272"/>
        <c:axId val="192856064"/>
      </c:lineChart>
      <c:dateAx>
        <c:axId val="192854272"/>
        <c:scaling>
          <c:orientation val="minMax"/>
        </c:scaling>
        <c:delete val="0"/>
        <c:axPos val="b"/>
        <c:numFmt formatCode="mmm\-yyyy" sourceLinked="1"/>
        <c:majorTickMark val="out"/>
        <c:minorTickMark val="none"/>
        <c:tickLblPos val="nextTo"/>
        <c:txPr>
          <a:bodyPr/>
          <a:lstStyle/>
          <a:p>
            <a:pPr>
              <a:defRPr sz="800" baseline="0"/>
            </a:pPr>
            <a:endParaRPr lang="en-US"/>
          </a:p>
        </c:txPr>
        <c:crossAx val="192856064"/>
        <c:crosses val="autoZero"/>
        <c:auto val="1"/>
        <c:lblOffset val="100"/>
        <c:baseTimeUnit val="months"/>
        <c:majorUnit val="12"/>
        <c:majorTimeUnit val="months"/>
      </c:dateAx>
      <c:valAx>
        <c:axId val="192856064"/>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192854272"/>
        <c:crosses val="autoZero"/>
        <c:crossBetween val="between"/>
      </c:valAx>
    </c:plotArea>
    <c:legend>
      <c:legendPos val="b"/>
      <c:overlay val="0"/>
      <c:txPr>
        <a:bodyPr/>
        <a:lstStyle/>
        <a:p>
          <a:pPr>
            <a:defRPr sz="500"/>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 of Amendments reviewed in target</a:t>
            </a:r>
          </a:p>
        </c:rich>
      </c:tx>
      <c:overlay val="0"/>
    </c:title>
    <c:autoTitleDeleted val="0"/>
    <c:plotArea>
      <c:layout>
        <c:manualLayout>
          <c:layoutTarget val="inner"/>
          <c:xMode val="edge"/>
          <c:yMode val="edge"/>
          <c:x val="0.16777394053813449"/>
          <c:y val="0.14538364197530865"/>
          <c:w val="0.64925030570009157"/>
          <c:h val="0.75642006172839504"/>
        </c:manualLayout>
      </c:layout>
      <c:barChart>
        <c:barDir val="bar"/>
        <c:grouping val="clustered"/>
        <c:varyColors val="0"/>
        <c:ser>
          <c:idx val="0"/>
          <c:order val="0"/>
          <c:tx>
            <c:strRef>
              <c:f>AllCentres!$E$7</c:f>
              <c:strCache>
                <c:ptCount val="1"/>
                <c:pt idx="0">
                  <c:v>% in 35 day target</c:v>
                </c:pt>
              </c:strCache>
            </c:strRef>
          </c:tx>
          <c:invertIfNegative val="0"/>
          <c:dPt>
            <c:idx val="5"/>
            <c:invertIfNegative val="0"/>
            <c:bubble3D val="0"/>
            <c:spPr>
              <a:solidFill>
                <a:schemeClr val="accent2">
                  <a:lumMod val="60000"/>
                  <a:lumOff val="40000"/>
                </a:schemeClr>
              </a:solidFill>
            </c:spPr>
          </c:dPt>
          <c:cat>
            <c:strRef>
              <c:f>AllCentres!$B$8:$B$13</c:f>
              <c:strCache>
                <c:ptCount val="6"/>
                <c:pt idx="0">
                  <c:v>Bristol</c:v>
                </c:pt>
                <c:pt idx="1">
                  <c:v>Jarrow</c:v>
                </c:pt>
                <c:pt idx="2">
                  <c:v>London</c:v>
                </c:pt>
                <c:pt idx="3">
                  <c:v>Manchester</c:v>
                </c:pt>
                <c:pt idx="4">
                  <c:v>Nottingham</c:v>
                </c:pt>
                <c:pt idx="5">
                  <c:v>England</c:v>
                </c:pt>
              </c:strCache>
            </c:strRef>
          </c:cat>
          <c:val>
            <c:numRef>
              <c:f>AllCentres!$E$8:$E$13</c:f>
              <c:numCache>
                <c:formatCode>0%</c:formatCode>
                <c:ptCount val="6"/>
                <c:pt idx="0">
                  <c:v>0.97628205128205126</c:v>
                </c:pt>
                <c:pt idx="1">
                  <c:v>0.99376947040498442</c:v>
                </c:pt>
                <c:pt idx="2">
                  <c:v>0.96451612903225803</c:v>
                </c:pt>
                <c:pt idx="3">
                  <c:v>0.98029556650246308</c:v>
                </c:pt>
                <c:pt idx="4">
                  <c:v>0.99755700325732899</c:v>
                </c:pt>
                <c:pt idx="5">
                  <c:v>0.98195348837209306</c:v>
                </c:pt>
              </c:numCache>
            </c:numRef>
          </c:val>
        </c:ser>
        <c:ser>
          <c:idx val="1"/>
          <c:order val="1"/>
          <c:tx>
            <c:strRef>
              <c:f>AllCentres!$F$7</c:f>
              <c:strCache>
                <c:ptCount val="1"/>
                <c:pt idx="0">
                  <c:v>% in 28 day target</c:v>
                </c:pt>
              </c:strCache>
            </c:strRef>
          </c:tx>
          <c:spPr>
            <a:solidFill>
              <a:schemeClr val="accent1">
                <a:lumMod val="60000"/>
                <a:lumOff val="40000"/>
              </a:schemeClr>
            </a:solidFill>
          </c:spPr>
          <c:invertIfNegative val="0"/>
          <c:dPt>
            <c:idx val="5"/>
            <c:invertIfNegative val="0"/>
            <c:bubble3D val="0"/>
            <c:spPr>
              <a:solidFill>
                <a:schemeClr val="accent2">
                  <a:lumMod val="40000"/>
                  <a:lumOff val="60000"/>
                </a:schemeClr>
              </a:solidFill>
            </c:spPr>
          </c:dPt>
          <c:cat>
            <c:strRef>
              <c:f>AllCentres!$B$8:$B$13</c:f>
              <c:strCache>
                <c:ptCount val="6"/>
                <c:pt idx="0">
                  <c:v>Bristol</c:v>
                </c:pt>
                <c:pt idx="1">
                  <c:v>Jarrow</c:v>
                </c:pt>
                <c:pt idx="2">
                  <c:v>London</c:v>
                </c:pt>
                <c:pt idx="3">
                  <c:v>Manchester</c:v>
                </c:pt>
                <c:pt idx="4">
                  <c:v>Nottingham</c:v>
                </c:pt>
                <c:pt idx="5">
                  <c:v>England</c:v>
                </c:pt>
              </c:strCache>
            </c:strRef>
          </c:cat>
          <c:val>
            <c:numRef>
              <c:f>AllCentres!$F$8:$F$13</c:f>
              <c:numCache>
                <c:formatCode>0%</c:formatCode>
                <c:ptCount val="6"/>
                <c:pt idx="0">
                  <c:v>0.86282051282051286</c:v>
                </c:pt>
                <c:pt idx="1">
                  <c:v>0.90031152647975077</c:v>
                </c:pt>
                <c:pt idx="2">
                  <c:v>0.81075268817204305</c:v>
                </c:pt>
                <c:pt idx="3">
                  <c:v>0.89556650246305414</c:v>
                </c:pt>
                <c:pt idx="4">
                  <c:v>0.95195439739413679</c:v>
                </c:pt>
                <c:pt idx="5">
                  <c:v>0.88483720930232557</c:v>
                </c:pt>
              </c:numCache>
            </c:numRef>
          </c:val>
        </c:ser>
        <c:dLbls>
          <c:showLegendKey val="0"/>
          <c:showVal val="0"/>
          <c:showCatName val="0"/>
          <c:showSerName val="0"/>
          <c:showPercent val="0"/>
          <c:showBubbleSize val="0"/>
        </c:dLbls>
        <c:gapWidth val="150"/>
        <c:axId val="189220736"/>
        <c:axId val="189222272"/>
      </c:barChart>
      <c:catAx>
        <c:axId val="189220736"/>
        <c:scaling>
          <c:orientation val="maxMin"/>
        </c:scaling>
        <c:delete val="0"/>
        <c:axPos val="l"/>
        <c:majorTickMark val="out"/>
        <c:minorTickMark val="none"/>
        <c:tickLblPos val="nextTo"/>
        <c:crossAx val="189222272"/>
        <c:crosses val="autoZero"/>
        <c:auto val="1"/>
        <c:lblAlgn val="ctr"/>
        <c:lblOffset val="100"/>
        <c:noMultiLvlLbl val="0"/>
      </c:catAx>
      <c:valAx>
        <c:axId val="189222272"/>
        <c:scaling>
          <c:orientation val="minMax"/>
          <c:max val="1"/>
          <c:min val="0.5"/>
        </c:scaling>
        <c:delete val="0"/>
        <c:axPos val="b"/>
        <c:majorGridlines/>
        <c:numFmt formatCode="0%" sourceLinked="1"/>
        <c:majorTickMark val="out"/>
        <c:minorTickMark val="none"/>
        <c:tickLblPos val="nextTo"/>
        <c:crossAx val="189220736"/>
        <c:crosses val="max"/>
        <c:crossBetween val="between"/>
        <c:majorUnit val="0.1"/>
      </c:valAx>
      <c:spPr>
        <a:noFill/>
      </c:spPr>
    </c:plotArea>
    <c:legend>
      <c:legendPos val="r"/>
      <c:layout>
        <c:manualLayout>
          <c:xMode val="edge"/>
          <c:yMode val="edge"/>
          <c:x val="0.81229390185875894"/>
          <c:y val="0.1506682098765432"/>
          <c:w val="0.17211155623090973"/>
          <c:h val="0.7460530864197531"/>
        </c:manualLayout>
      </c:layout>
      <c:overlay val="0"/>
    </c:legend>
    <c:plotVisOnly val="1"/>
    <c:dispBlanksAs val="gap"/>
    <c:showDLblsOverMax val="0"/>
  </c:chart>
  <c:spPr>
    <a:solidFill>
      <a:schemeClr val="bg1"/>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100"/>
              <a:t>Actual Staffing Headcount</a:t>
            </a:r>
          </a:p>
          <a:p>
            <a:pPr>
              <a:defRPr/>
            </a:pPr>
            <a:endParaRPr lang="en-GB"/>
          </a:p>
        </c:rich>
      </c:tx>
      <c:layout>
        <c:manualLayout>
          <c:xMode val="edge"/>
          <c:yMode val="edge"/>
          <c:x val="0.32427762760998158"/>
          <c:y val="1.5023474178403756E-2"/>
        </c:manualLayout>
      </c:layout>
      <c:overlay val="0"/>
    </c:title>
    <c:autoTitleDeleted val="0"/>
    <c:plotArea>
      <c:layout>
        <c:manualLayout>
          <c:layoutTarget val="inner"/>
          <c:xMode val="edge"/>
          <c:yMode val="edge"/>
          <c:x val="7.2182786853135894E-2"/>
          <c:y val="0.10310598499131271"/>
          <c:w val="0.56635892388451448"/>
          <c:h val="0.75665609507144937"/>
        </c:manualLayout>
      </c:layout>
      <c:barChart>
        <c:barDir val="col"/>
        <c:grouping val="stacked"/>
        <c:varyColors val="0"/>
        <c:ser>
          <c:idx val="2"/>
          <c:order val="0"/>
          <c:tx>
            <c:strRef>
              <c:f>'Summary tables'!$B$27:$C$27</c:f>
              <c:strCache>
                <c:ptCount val="1"/>
                <c:pt idx="0">
                  <c:v>Permanent headcount</c:v>
                </c:pt>
              </c:strCache>
            </c:strRef>
          </c:tx>
          <c:invertIfNegative val="0"/>
          <c:cat>
            <c:strRef>
              <c:f>'Summary tables'!$D$25:$L$25</c:f>
              <c:strCache>
                <c:ptCount val="9"/>
                <c:pt idx="0">
                  <c:v>April</c:v>
                </c:pt>
                <c:pt idx="1">
                  <c:v>May</c:v>
                </c:pt>
                <c:pt idx="2">
                  <c:v>June</c:v>
                </c:pt>
                <c:pt idx="3">
                  <c:v>July</c:v>
                </c:pt>
                <c:pt idx="4">
                  <c:v>August</c:v>
                </c:pt>
                <c:pt idx="5">
                  <c:v>Sept</c:v>
                </c:pt>
                <c:pt idx="6">
                  <c:v>Oct</c:v>
                </c:pt>
                <c:pt idx="7">
                  <c:v>Nov</c:v>
                </c:pt>
                <c:pt idx="8">
                  <c:v>Dec</c:v>
                </c:pt>
              </c:strCache>
            </c:strRef>
          </c:cat>
          <c:val>
            <c:numRef>
              <c:f>'Summary tables'!$D$27:$L$27</c:f>
              <c:numCache>
                <c:formatCode>General</c:formatCode>
                <c:ptCount val="9"/>
                <c:pt idx="0">
                  <c:v>91</c:v>
                </c:pt>
                <c:pt idx="1">
                  <c:v>89</c:v>
                </c:pt>
                <c:pt idx="2">
                  <c:v>91</c:v>
                </c:pt>
                <c:pt idx="3">
                  <c:v>91</c:v>
                </c:pt>
                <c:pt idx="4">
                  <c:v>91</c:v>
                </c:pt>
                <c:pt idx="5">
                  <c:v>91</c:v>
                </c:pt>
                <c:pt idx="6">
                  <c:v>96</c:v>
                </c:pt>
                <c:pt idx="7">
                  <c:v>99</c:v>
                </c:pt>
                <c:pt idx="8">
                  <c:v>101</c:v>
                </c:pt>
              </c:numCache>
            </c:numRef>
          </c:val>
        </c:ser>
        <c:ser>
          <c:idx val="3"/>
          <c:order val="1"/>
          <c:tx>
            <c:strRef>
              <c:f>'Summary tables'!$B$28:$C$28</c:f>
              <c:strCache>
                <c:ptCount val="1"/>
                <c:pt idx="0">
                  <c:v>Fixed term headcount</c:v>
                </c:pt>
              </c:strCache>
            </c:strRef>
          </c:tx>
          <c:invertIfNegative val="0"/>
          <c:cat>
            <c:strRef>
              <c:f>'Summary tables'!$D$25:$L$25</c:f>
              <c:strCache>
                <c:ptCount val="9"/>
                <c:pt idx="0">
                  <c:v>April</c:v>
                </c:pt>
                <c:pt idx="1">
                  <c:v>May</c:v>
                </c:pt>
                <c:pt idx="2">
                  <c:v>June</c:v>
                </c:pt>
                <c:pt idx="3">
                  <c:v>July</c:v>
                </c:pt>
                <c:pt idx="4">
                  <c:v>August</c:v>
                </c:pt>
                <c:pt idx="5">
                  <c:v>Sept</c:v>
                </c:pt>
                <c:pt idx="6">
                  <c:v>Oct</c:v>
                </c:pt>
                <c:pt idx="7">
                  <c:v>Nov</c:v>
                </c:pt>
                <c:pt idx="8">
                  <c:v>Dec</c:v>
                </c:pt>
              </c:strCache>
            </c:strRef>
          </c:cat>
          <c:val>
            <c:numRef>
              <c:f>'Summary tables'!$D$28:$L$28</c:f>
              <c:numCache>
                <c:formatCode>General</c:formatCode>
                <c:ptCount val="9"/>
                <c:pt idx="0">
                  <c:v>27</c:v>
                </c:pt>
                <c:pt idx="1">
                  <c:v>34</c:v>
                </c:pt>
                <c:pt idx="2">
                  <c:v>33</c:v>
                </c:pt>
                <c:pt idx="3">
                  <c:v>30</c:v>
                </c:pt>
                <c:pt idx="4">
                  <c:v>27</c:v>
                </c:pt>
                <c:pt idx="5">
                  <c:v>32</c:v>
                </c:pt>
                <c:pt idx="6">
                  <c:v>32</c:v>
                </c:pt>
                <c:pt idx="7">
                  <c:v>30</c:v>
                </c:pt>
                <c:pt idx="8">
                  <c:v>29</c:v>
                </c:pt>
              </c:numCache>
            </c:numRef>
          </c:val>
        </c:ser>
        <c:ser>
          <c:idx val="4"/>
          <c:order val="2"/>
          <c:tx>
            <c:strRef>
              <c:f>'Summary tables'!$B$29:$C$29</c:f>
              <c:strCache>
                <c:ptCount val="1"/>
                <c:pt idx="0">
                  <c:v>Agency headcount</c:v>
                </c:pt>
              </c:strCache>
            </c:strRef>
          </c:tx>
          <c:invertIfNegative val="0"/>
          <c:cat>
            <c:strRef>
              <c:f>'Summary tables'!$D$25:$L$25</c:f>
              <c:strCache>
                <c:ptCount val="9"/>
                <c:pt idx="0">
                  <c:v>April</c:v>
                </c:pt>
                <c:pt idx="1">
                  <c:v>May</c:v>
                </c:pt>
                <c:pt idx="2">
                  <c:v>June</c:v>
                </c:pt>
                <c:pt idx="3">
                  <c:v>July</c:v>
                </c:pt>
                <c:pt idx="4">
                  <c:v>August</c:v>
                </c:pt>
                <c:pt idx="5">
                  <c:v>Sept</c:v>
                </c:pt>
                <c:pt idx="6">
                  <c:v>Oct</c:v>
                </c:pt>
                <c:pt idx="7">
                  <c:v>Nov</c:v>
                </c:pt>
                <c:pt idx="8">
                  <c:v>Dec</c:v>
                </c:pt>
              </c:strCache>
            </c:strRef>
          </c:cat>
          <c:val>
            <c:numRef>
              <c:f>'Summary tables'!$D$29:$L$29</c:f>
              <c:numCache>
                <c:formatCode>General</c:formatCode>
                <c:ptCount val="9"/>
                <c:pt idx="0">
                  <c:v>9</c:v>
                </c:pt>
                <c:pt idx="1">
                  <c:v>20</c:v>
                </c:pt>
                <c:pt idx="2">
                  <c:v>20</c:v>
                </c:pt>
                <c:pt idx="3">
                  <c:v>21</c:v>
                </c:pt>
                <c:pt idx="4">
                  <c:v>22</c:v>
                </c:pt>
                <c:pt idx="5">
                  <c:v>17</c:v>
                </c:pt>
                <c:pt idx="6">
                  <c:v>17</c:v>
                </c:pt>
                <c:pt idx="7">
                  <c:v>14</c:v>
                </c:pt>
                <c:pt idx="8">
                  <c:v>14</c:v>
                </c:pt>
              </c:numCache>
            </c:numRef>
          </c:val>
        </c:ser>
        <c:ser>
          <c:idx val="0"/>
          <c:order val="3"/>
          <c:tx>
            <c:strRef>
              <c:f>'Summary tables'!$B$30:$C$30</c:f>
              <c:strCache>
                <c:ptCount val="1"/>
                <c:pt idx="0">
                  <c:v>Secondees headcount</c:v>
                </c:pt>
              </c:strCache>
            </c:strRef>
          </c:tx>
          <c:invertIfNegative val="0"/>
          <c:cat>
            <c:strRef>
              <c:f>'Summary tables'!$D$25:$L$25</c:f>
              <c:strCache>
                <c:ptCount val="9"/>
                <c:pt idx="0">
                  <c:v>April</c:v>
                </c:pt>
                <c:pt idx="1">
                  <c:v>May</c:v>
                </c:pt>
                <c:pt idx="2">
                  <c:v>June</c:v>
                </c:pt>
                <c:pt idx="3">
                  <c:v>July</c:v>
                </c:pt>
                <c:pt idx="4">
                  <c:v>August</c:v>
                </c:pt>
                <c:pt idx="5">
                  <c:v>Sept</c:v>
                </c:pt>
                <c:pt idx="6">
                  <c:v>Oct</c:v>
                </c:pt>
                <c:pt idx="7">
                  <c:v>Nov</c:v>
                </c:pt>
                <c:pt idx="8">
                  <c:v>Dec</c:v>
                </c:pt>
              </c:strCache>
            </c:strRef>
          </c:cat>
          <c:val>
            <c:numRef>
              <c:f>'Summary tables'!$D$30:$L$30</c:f>
              <c:numCache>
                <c:formatCode>General</c:formatCode>
                <c:ptCount val="9"/>
                <c:pt idx="0">
                  <c:v>12</c:v>
                </c:pt>
                <c:pt idx="1">
                  <c:v>13</c:v>
                </c:pt>
                <c:pt idx="2">
                  <c:v>13</c:v>
                </c:pt>
                <c:pt idx="3">
                  <c:v>13</c:v>
                </c:pt>
                <c:pt idx="4">
                  <c:v>13</c:v>
                </c:pt>
                <c:pt idx="5">
                  <c:v>14</c:v>
                </c:pt>
                <c:pt idx="6">
                  <c:v>12</c:v>
                </c:pt>
                <c:pt idx="7">
                  <c:v>13</c:v>
                </c:pt>
                <c:pt idx="8">
                  <c:v>15</c:v>
                </c:pt>
              </c:numCache>
            </c:numRef>
          </c:val>
        </c:ser>
        <c:dLbls>
          <c:showLegendKey val="0"/>
          <c:showVal val="0"/>
          <c:showCatName val="0"/>
          <c:showSerName val="0"/>
          <c:showPercent val="0"/>
          <c:showBubbleSize val="0"/>
        </c:dLbls>
        <c:gapWidth val="150"/>
        <c:overlap val="100"/>
        <c:axId val="196899968"/>
        <c:axId val="196901504"/>
      </c:barChart>
      <c:catAx>
        <c:axId val="196899968"/>
        <c:scaling>
          <c:orientation val="minMax"/>
        </c:scaling>
        <c:delete val="0"/>
        <c:axPos val="b"/>
        <c:majorTickMark val="out"/>
        <c:minorTickMark val="none"/>
        <c:tickLblPos val="nextTo"/>
        <c:crossAx val="196901504"/>
        <c:crosses val="autoZero"/>
        <c:auto val="1"/>
        <c:lblAlgn val="ctr"/>
        <c:lblOffset val="100"/>
        <c:noMultiLvlLbl val="0"/>
      </c:catAx>
      <c:valAx>
        <c:axId val="196901504"/>
        <c:scaling>
          <c:orientation val="minMax"/>
        </c:scaling>
        <c:delete val="0"/>
        <c:axPos val="l"/>
        <c:majorGridlines/>
        <c:numFmt formatCode="General" sourceLinked="1"/>
        <c:majorTickMark val="out"/>
        <c:minorTickMark val="none"/>
        <c:tickLblPos val="nextTo"/>
        <c:crossAx val="1968999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Reasons for Delay</a:t>
            </a:r>
          </a:p>
        </c:rich>
      </c:tx>
      <c:layout>
        <c:manualLayout>
          <c:xMode val="edge"/>
          <c:yMode val="edge"/>
          <c:x val="7.6740082946021193E-2"/>
          <c:y val="3.8690180927986026E-2"/>
        </c:manualLayout>
      </c:layout>
      <c:overlay val="0"/>
    </c:title>
    <c:autoTitleDeleted val="0"/>
    <c:plotArea>
      <c:layout>
        <c:manualLayout>
          <c:layoutTarget val="inner"/>
          <c:xMode val="edge"/>
          <c:yMode val="edge"/>
          <c:x val="0.23903215223097113"/>
          <c:y val="0.15990303295421407"/>
          <c:w val="0.48626428795792009"/>
          <c:h val="0.78214764406406356"/>
        </c:manualLayout>
      </c:layout>
      <c:pieChart>
        <c:varyColors val="1"/>
        <c:ser>
          <c:idx val="0"/>
          <c:order val="0"/>
          <c:dLbls>
            <c:dLbl>
              <c:idx val="0"/>
              <c:layout>
                <c:manualLayout>
                  <c:x val="0.22108404806397172"/>
                  <c:y val="8.3578102858348574E-2"/>
                </c:manualLayout>
              </c:layout>
              <c:showLegendKey val="0"/>
              <c:showVal val="0"/>
              <c:showCatName val="1"/>
              <c:showSerName val="0"/>
              <c:showPercent val="0"/>
              <c:showBubbleSize val="0"/>
            </c:dLbl>
            <c:dLbl>
              <c:idx val="1"/>
              <c:layout>
                <c:manualLayout>
                  <c:x val="2.7312559560886532E-2"/>
                  <c:y val="-1.8435555366780924E-2"/>
                </c:manualLayout>
              </c:layout>
              <c:showLegendKey val="0"/>
              <c:showVal val="0"/>
              <c:showCatName val="1"/>
              <c:showSerName val="0"/>
              <c:showPercent val="0"/>
              <c:showBubbleSize val="0"/>
            </c:dLbl>
            <c:dLbl>
              <c:idx val="2"/>
              <c:layout>
                <c:manualLayout>
                  <c:x val="-2.4210868164805969E-3"/>
                  <c:y val="-3.0437625645977464E-3"/>
                </c:manualLayout>
              </c:layout>
              <c:tx>
                <c:rich>
                  <a:bodyPr/>
                  <a:lstStyle/>
                  <a:p>
                    <a:r>
                      <a:rPr lang="en-US"/>
                      <a:t>Complex query</a:t>
                    </a:r>
                  </a:p>
                </c:rich>
              </c:tx>
              <c:showLegendKey val="0"/>
              <c:showVal val="0"/>
              <c:showCatName val="1"/>
              <c:showSerName val="0"/>
              <c:showPercent val="0"/>
              <c:showBubbleSize val="0"/>
            </c:dLbl>
            <c:dLbl>
              <c:idx val="3"/>
              <c:layout>
                <c:manualLayout>
                  <c:x val="-0.19358919891605841"/>
                  <c:y val="-7.4814354803517003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Summary!$B$39:$B$43</c:f>
              <c:strCache>
                <c:ptCount val="5"/>
                <c:pt idx="0">
                  <c:v>Slow response by advisor</c:v>
                </c:pt>
                <c:pt idx="1">
                  <c:v>Query reallocated to different advisor</c:v>
                </c:pt>
                <c:pt idx="2">
                  <c:v>Difficult Query</c:v>
                </c:pt>
                <c:pt idx="3">
                  <c:v>Multifactorial</c:v>
                </c:pt>
                <c:pt idx="4">
                  <c:v>Delay in forwarding to advisor</c:v>
                </c:pt>
              </c:strCache>
            </c:strRef>
          </c:cat>
          <c:val>
            <c:numRef>
              <c:f>Summary!$C$39:$C$43</c:f>
              <c:numCache>
                <c:formatCode>General</c:formatCode>
                <c:ptCount val="5"/>
                <c:pt idx="0">
                  <c:v>10</c:v>
                </c:pt>
                <c:pt idx="1">
                  <c:v>1</c:v>
                </c:pt>
                <c:pt idx="2">
                  <c:v>1</c:v>
                </c:pt>
                <c:pt idx="3">
                  <c:v>3</c:v>
                </c:pt>
                <c:pt idx="4">
                  <c:v>1</c:v>
                </c:pt>
              </c:numCache>
            </c:numRef>
          </c:val>
        </c:ser>
        <c:dLbls>
          <c:showLegendKey val="0"/>
          <c:showVal val="0"/>
          <c:showCatName val="0"/>
          <c:showSerName val="0"/>
          <c:showPercent val="0"/>
          <c:showBubbleSize val="0"/>
          <c:showLeaderLines val="1"/>
        </c:dLbls>
        <c:firstSliceAng val="16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en-US" sz="1100"/>
              <a:t>No. of SLAs met/missed</a:t>
            </a:r>
          </a:p>
        </c:rich>
      </c:tx>
      <c:layout/>
      <c:overlay val="0"/>
    </c:title>
    <c:autoTitleDeleted val="0"/>
    <c:plotArea>
      <c:layout/>
      <c:pieChart>
        <c:varyColors val="1"/>
        <c:ser>
          <c:idx val="0"/>
          <c:order val="0"/>
          <c:explosion val="12"/>
          <c:dPt>
            <c:idx val="1"/>
            <c:bubble3D val="0"/>
            <c:explosion val="3"/>
          </c:dPt>
          <c:dLbls>
            <c:txPr>
              <a:bodyPr/>
              <a:lstStyle/>
              <a:p>
                <a:pPr>
                  <a:defRPr>
                    <a:solidFill>
                      <a:schemeClr val="bg1"/>
                    </a:solidFill>
                  </a:defRPr>
                </a:pPr>
                <a:endParaRPr lang="en-US"/>
              </a:p>
            </c:txPr>
            <c:showLegendKey val="0"/>
            <c:showVal val="0"/>
            <c:showCatName val="0"/>
            <c:showSerName val="0"/>
            <c:showPercent val="1"/>
            <c:showBubbleSize val="0"/>
            <c:showLeaderLines val="1"/>
          </c:dLbls>
          <c:cat>
            <c:strRef>
              <c:f>Dashboard!$G$4:$G$5</c:f>
              <c:strCache>
                <c:ptCount val="2"/>
                <c:pt idx="0">
                  <c:v>No. of SLAs met</c:v>
                </c:pt>
                <c:pt idx="1">
                  <c:v>No. of SLAs missed</c:v>
                </c:pt>
              </c:strCache>
            </c:strRef>
          </c:cat>
          <c:val>
            <c:numRef>
              <c:f>Dashboard!$I$4:$I$5</c:f>
              <c:numCache>
                <c:formatCode>General</c:formatCode>
                <c:ptCount val="2"/>
                <c:pt idx="0">
                  <c:v>3</c:v>
                </c:pt>
                <c:pt idx="1">
                  <c:v>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en-US" sz="1100"/>
              <a:t>Top Issues</a:t>
            </a:r>
          </a:p>
        </c:rich>
      </c:tx>
      <c:layout>
        <c:manualLayout>
          <c:xMode val="edge"/>
          <c:yMode val="edge"/>
          <c:x val="0.44646500550048701"/>
          <c:y val="3.8772218179209311E-2"/>
        </c:manualLayout>
      </c:layout>
      <c:overlay val="0"/>
    </c:title>
    <c:autoTitleDeleted val="0"/>
    <c:plotArea>
      <c:layout>
        <c:manualLayout>
          <c:layoutTarget val="inner"/>
          <c:xMode val="edge"/>
          <c:yMode val="edge"/>
          <c:x val="0.16895866141732283"/>
          <c:y val="0.23279026620598645"/>
          <c:w val="0.45769112216991892"/>
          <c:h val="0.65194531382999621"/>
        </c:manualLayout>
      </c:layout>
      <c:pieChart>
        <c:varyColors val="1"/>
        <c:ser>
          <c:idx val="0"/>
          <c:order val="0"/>
          <c:tx>
            <c:strRef>
              <c:f>Dashboard!$E$9:$E$11</c:f>
              <c:strCache>
                <c:ptCount val="1"/>
                <c:pt idx="0">
                  <c:v>*refers to internet slowness issues in relation to RED No.</c:v>
                </c:pt>
              </c:strCache>
            </c:strRef>
          </c:tx>
          <c:explosion val="7"/>
          <c:dLbls>
            <c:txPr>
              <a:bodyPr/>
              <a:lstStyle/>
              <a:p>
                <a:pPr>
                  <a:defRPr>
                    <a:solidFill>
                      <a:schemeClr val="bg1"/>
                    </a:solidFill>
                  </a:defRPr>
                </a:pPr>
                <a:endParaRPr lang="en-US"/>
              </a:p>
            </c:txPr>
            <c:showLegendKey val="0"/>
            <c:showVal val="0"/>
            <c:showCatName val="0"/>
            <c:showSerName val="0"/>
            <c:showPercent val="1"/>
            <c:showBubbleSize val="0"/>
            <c:showLeaderLines val="1"/>
          </c:dLbls>
          <c:cat>
            <c:strRef>
              <c:f>Dashboard!$A$12:$A$14</c:f>
              <c:strCache>
                <c:ptCount val="3"/>
                <c:pt idx="0">
                  <c:v>VDI (Thin Client)</c:v>
                </c:pt>
                <c:pt idx="1">
                  <c:v>Remote access</c:v>
                </c:pt>
                <c:pt idx="2">
                  <c:v>Outlook</c:v>
                </c:pt>
              </c:strCache>
            </c:strRef>
          </c:cat>
          <c:val>
            <c:numRef>
              <c:f>Dashboard!$E$12:$E$14</c:f>
              <c:numCache>
                <c:formatCode>General</c:formatCode>
                <c:ptCount val="3"/>
                <c:pt idx="0">
                  <c:v>18</c:v>
                </c:pt>
                <c:pt idx="1">
                  <c:v>5</c:v>
                </c:pt>
                <c:pt idx="2">
                  <c:v>4</c:v>
                </c:pt>
              </c:numCache>
            </c:numRef>
          </c:val>
        </c:ser>
        <c:ser>
          <c:idx val="1"/>
          <c:order val="1"/>
          <c:tx>
            <c:strRef>
              <c:f>Dashboard!$A$12:$A$14</c:f>
              <c:strCache>
                <c:ptCount val="1"/>
                <c:pt idx="0">
                  <c:v>VDI (Thin Client) Remote access Outlook</c:v>
                </c:pt>
              </c:strCache>
            </c:strRef>
          </c:tx>
          <c:cat>
            <c:strRef>
              <c:f>Dashboard!$A$12:$A$14</c:f>
              <c:strCache>
                <c:ptCount val="3"/>
                <c:pt idx="0">
                  <c:v>VDI (Thin Client)</c:v>
                </c:pt>
                <c:pt idx="1">
                  <c:v>Remote access</c:v>
                </c:pt>
                <c:pt idx="2">
                  <c:v>Outlook</c:v>
                </c:pt>
              </c:strCache>
            </c:strRef>
          </c:cat>
          <c:val>
            <c:numRef>
              <c:f>Dashboard!$E$12:$E$14</c:f>
              <c:numCache>
                <c:formatCode>General</c:formatCode>
                <c:ptCount val="3"/>
                <c:pt idx="0">
                  <c:v>18</c:v>
                </c:pt>
                <c:pt idx="1">
                  <c:v>5</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Time to complete review, all application types, England</a:t>
            </a:r>
          </a:p>
        </c:rich>
      </c:tx>
      <c:layout/>
      <c:overlay val="0"/>
    </c:title>
    <c:autoTitleDeleted val="0"/>
    <c:plotArea>
      <c:layout/>
      <c:lineChart>
        <c:grouping val="standard"/>
        <c:varyColors val="0"/>
        <c:ser>
          <c:idx val="4"/>
          <c:order val="0"/>
          <c:tx>
            <c:v>2010 - 11</c:v>
          </c:tx>
          <c:spPr>
            <a:ln>
              <a:solidFill>
                <a:schemeClr val="accent1">
                  <a:lumMod val="40000"/>
                  <a:lumOff val="60000"/>
                </a:schemeClr>
              </a:solidFill>
            </a:ln>
          </c:spPr>
          <c:marker>
            <c:symbol val="none"/>
          </c:marker>
          <c:dLbls>
            <c:dLbl>
              <c:idx val="5"/>
              <c:layout/>
              <c:showLegendKey val="0"/>
              <c:showVal val="0"/>
              <c:showCatName val="0"/>
              <c:showSerName val="1"/>
              <c:showPercent val="0"/>
              <c:showBubbleSize val="0"/>
            </c:dLbl>
            <c:showLegendKey val="0"/>
            <c:showVal val="0"/>
            <c:showCatName val="0"/>
            <c:showSerName val="0"/>
            <c:showPercent val="0"/>
            <c:showBubbleSize val="0"/>
          </c:dLbls>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TrafficEngland!$V$63:$V$79</c:f>
              <c:numCache>
                <c:formatCode>General</c:formatCode>
                <c:ptCount val="17"/>
                <c:pt idx="0">
                  <c:v>16</c:v>
                </c:pt>
                <c:pt idx="1">
                  <c:v>113</c:v>
                </c:pt>
                <c:pt idx="2">
                  <c:v>138</c:v>
                </c:pt>
                <c:pt idx="3">
                  <c:v>369</c:v>
                </c:pt>
                <c:pt idx="4">
                  <c:v>860</c:v>
                </c:pt>
                <c:pt idx="5">
                  <c:v>989</c:v>
                </c:pt>
                <c:pt idx="6">
                  <c:v>785</c:v>
                </c:pt>
                <c:pt idx="7">
                  <c:v>669</c:v>
                </c:pt>
                <c:pt idx="8">
                  <c:v>604</c:v>
                </c:pt>
                <c:pt idx="9">
                  <c:v>497</c:v>
                </c:pt>
                <c:pt idx="10">
                  <c:v>313</c:v>
                </c:pt>
                <c:pt idx="11">
                  <c:v>281</c:v>
                </c:pt>
                <c:pt idx="12">
                  <c:v>133</c:v>
                </c:pt>
                <c:pt idx="13">
                  <c:v>74</c:v>
                </c:pt>
                <c:pt idx="14">
                  <c:v>40</c:v>
                </c:pt>
                <c:pt idx="15">
                  <c:v>25</c:v>
                </c:pt>
                <c:pt idx="16">
                  <c:v>20</c:v>
                </c:pt>
              </c:numCache>
            </c:numRef>
          </c:val>
          <c:smooth val="1"/>
        </c:ser>
        <c:ser>
          <c:idx val="2"/>
          <c:order val="1"/>
          <c:tx>
            <c:v>2011 - 12</c:v>
          </c:tx>
          <c:spPr>
            <a:ln>
              <a:solidFill>
                <a:schemeClr val="accent1">
                  <a:lumMod val="60000"/>
                  <a:lumOff val="40000"/>
                </a:schemeClr>
              </a:solidFill>
            </a:ln>
          </c:spPr>
          <c:marker>
            <c:symbol val="none"/>
          </c:marker>
          <c:dLbls>
            <c:dLbl>
              <c:idx val="5"/>
              <c:layout/>
              <c:showLegendKey val="0"/>
              <c:showVal val="0"/>
              <c:showCatName val="0"/>
              <c:showSerName val="1"/>
              <c:showPercent val="0"/>
              <c:showBubbleSize val="0"/>
            </c:dLbl>
            <c:showLegendKey val="0"/>
            <c:showVal val="0"/>
            <c:showCatName val="0"/>
            <c:showSerName val="0"/>
            <c:showPercent val="0"/>
            <c:showBubbleSize val="0"/>
          </c:dLbls>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TrafficEngland!$P$63:$P$79</c:f>
              <c:numCache>
                <c:formatCode>General</c:formatCode>
                <c:ptCount val="17"/>
                <c:pt idx="0">
                  <c:v>56</c:v>
                </c:pt>
                <c:pt idx="1">
                  <c:v>305</c:v>
                </c:pt>
                <c:pt idx="2">
                  <c:v>280</c:v>
                </c:pt>
                <c:pt idx="3">
                  <c:v>464</c:v>
                </c:pt>
                <c:pt idx="4">
                  <c:v>849</c:v>
                </c:pt>
                <c:pt idx="5">
                  <c:v>862</c:v>
                </c:pt>
                <c:pt idx="6">
                  <c:v>668</c:v>
                </c:pt>
                <c:pt idx="7">
                  <c:v>586</c:v>
                </c:pt>
                <c:pt idx="8">
                  <c:v>452</c:v>
                </c:pt>
                <c:pt idx="9">
                  <c:v>355</c:v>
                </c:pt>
                <c:pt idx="10">
                  <c:v>269</c:v>
                </c:pt>
                <c:pt idx="11">
                  <c:v>237</c:v>
                </c:pt>
                <c:pt idx="12">
                  <c:v>81</c:v>
                </c:pt>
                <c:pt idx="13">
                  <c:v>46</c:v>
                </c:pt>
                <c:pt idx="14">
                  <c:v>38</c:v>
                </c:pt>
                <c:pt idx="15">
                  <c:v>20</c:v>
                </c:pt>
                <c:pt idx="16">
                  <c:v>14</c:v>
                </c:pt>
              </c:numCache>
            </c:numRef>
          </c:val>
          <c:smooth val="1"/>
        </c:ser>
        <c:ser>
          <c:idx val="1"/>
          <c:order val="2"/>
          <c:tx>
            <c:v>2012 - 13</c:v>
          </c:tx>
          <c:spPr>
            <a:ln>
              <a:solidFill>
                <a:schemeClr val="accent1">
                  <a:lumMod val="75000"/>
                </a:schemeClr>
              </a:solidFill>
            </a:ln>
          </c:spPr>
          <c:marker>
            <c:symbol val="none"/>
          </c:marker>
          <c:dLbls>
            <c:dLbl>
              <c:idx val="5"/>
              <c:layout/>
              <c:showLegendKey val="0"/>
              <c:showVal val="0"/>
              <c:showCatName val="0"/>
              <c:showSerName val="1"/>
              <c:showPercent val="0"/>
              <c:showBubbleSize val="0"/>
            </c:dLbl>
            <c:showLegendKey val="0"/>
            <c:showVal val="0"/>
            <c:showCatName val="0"/>
            <c:showSerName val="0"/>
            <c:showPercent val="0"/>
            <c:showBubbleSize val="0"/>
          </c:dLbls>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TrafficEngland!$J$63:$J$79</c:f>
              <c:numCache>
                <c:formatCode>General</c:formatCode>
                <c:ptCount val="17"/>
                <c:pt idx="0">
                  <c:v>139</c:v>
                </c:pt>
                <c:pt idx="1">
                  <c:v>482</c:v>
                </c:pt>
                <c:pt idx="2">
                  <c:v>302</c:v>
                </c:pt>
                <c:pt idx="3">
                  <c:v>466</c:v>
                </c:pt>
                <c:pt idx="4">
                  <c:v>773</c:v>
                </c:pt>
                <c:pt idx="5">
                  <c:v>746</c:v>
                </c:pt>
                <c:pt idx="6">
                  <c:v>569</c:v>
                </c:pt>
                <c:pt idx="7">
                  <c:v>468</c:v>
                </c:pt>
                <c:pt idx="8">
                  <c:v>356</c:v>
                </c:pt>
                <c:pt idx="9">
                  <c:v>294</c:v>
                </c:pt>
                <c:pt idx="10">
                  <c:v>203</c:v>
                </c:pt>
                <c:pt idx="11">
                  <c:v>194</c:v>
                </c:pt>
                <c:pt idx="12">
                  <c:v>70</c:v>
                </c:pt>
                <c:pt idx="13">
                  <c:v>59</c:v>
                </c:pt>
                <c:pt idx="14">
                  <c:v>39</c:v>
                </c:pt>
                <c:pt idx="15">
                  <c:v>24</c:v>
                </c:pt>
                <c:pt idx="16">
                  <c:v>15</c:v>
                </c:pt>
              </c:numCache>
            </c:numRef>
          </c:val>
          <c:smooth val="1"/>
        </c:ser>
        <c:ser>
          <c:idx val="0"/>
          <c:order val="3"/>
          <c:tx>
            <c:v>2013 - 14</c:v>
          </c:tx>
          <c:spPr>
            <a:ln>
              <a:solidFill>
                <a:schemeClr val="accent1">
                  <a:lumMod val="50000"/>
                </a:schemeClr>
              </a:solidFill>
            </a:ln>
          </c:spPr>
          <c:marker>
            <c:symbol val="none"/>
          </c:marker>
          <c:dLbls>
            <c:dLbl>
              <c:idx val="5"/>
              <c:layout/>
              <c:showLegendKey val="0"/>
              <c:showVal val="0"/>
              <c:showCatName val="0"/>
              <c:showSerName val="1"/>
              <c:showPercent val="0"/>
              <c:showBubbleSize val="0"/>
            </c:dLbl>
            <c:showLegendKey val="0"/>
            <c:showVal val="0"/>
            <c:showCatName val="0"/>
            <c:showSerName val="0"/>
            <c:showPercent val="0"/>
            <c:showBubbleSize val="0"/>
          </c:dLbls>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TrafficEngland!$D$63:$D$79</c:f>
              <c:numCache>
                <c:formatCode>General</c:formatCode>
                <c:ptCount val="17"/>
                <c:pt idx="0">
                  <c:v>69</c:v>
                </c:pt>
                <c:pt idx="1">
                  <c:v>378</c:v>
                </c:pt>
                <c:pt idx="2">
                  <c:v>282</c:v>
                </c:pt>
                <c:pt idx="3">
                  <c:v>261</c:v>
                </c:pt>
                <c:pt idx="4">
                  <c:v>582</c:v>
                </c:pt>
                <c:pt idx="5">
                  <c:v>573</c:v>
                </c:pt>
                <c:pt idx="6">
                  <c:v>422</c:v>
                </c:pt>
                <c:pt idx="7">
                  <c:v>315</c:v>
                </c:pt>
                <c:pt idx="8">
                  <c:v>256</c:v>
                </c:pt>
                <c:pt idx="9">
                  <c:v>206</c:v>
                </c:pt>
                <c:pt idx="10">
                  <c:v>135</c:v>
                </c:pt>
                <c:pt idx="11">
                  <c:v>105</c:v>
                </c:pt>
                <c:pt idx="12">
                  <c:v>24</c:v>
                </c:pt>
                <c:pt idx="13">
                  <c:v>16</c:v>
                </c:pt>
                <c:pt idx="14">
                  <c:v>4</c:v>
                </c:pt>
                <c:pt idx="15">
                  <c:v>1</c:v>
                </c:pt>
                <c:pt idx="16">
                  <c:v>2</c:v>
                </c:pt>
              </c:numCache>
            </c:numRef>
          </c:val>
          <c:smooth val="1"/>
        </c:ser>
        <c:dLbls>
          <c:showLegendKey val="0"/>
          <c:showVal val="0"/>
          <c:showCatName val="0"/>
          <c:showSerName val="0"/>
          <c:showPercent val="0"/>
          <c:showBubbleSize val="0"/>
        </c:dLbls>
        <c:dropLines>
          <c:spPr>
            <a:ln>
              <a:solidFill>
                <a:schemeClr val="bg1">
                  <a:lumMod val="85000"/>
                </a:schemeClr>
              </a:solidFill>
            </a:ln>
          </c:spPr>
        </c:dropLines>
        <c:marker val="1"/>
        <c:smooth val="0"/>
        <c:axId val="170553344"/>
        <c:axId val="170554880"/>
      </c:lineChart>
      <c:catAx>
        <c:axId val="170553344"/>
        <c:scaling>
          <c:orientation val="minMax"/>
        </c:scaling>
        <c:delete val="0"/>
        <c:axPos val="b"/>
        <c:majorTickMark val="out"/>
        <c:minorTickMark val="none"/>
        <c:tickLblPos val="nextTo"/>
        <c:txPr>
          <a:bodyPr rot="-5400000" vert="horz"/>
          <a:lstStyle/>
          <a:p>
            <a:pPr>
              <a:defRPr/>
            </a:pPr>
            <a:endParaRPr lang="en-US"/>
          </a:p>
        </c:txPr>
        <c:crossAx val="170554880"/>
        <c:crosses val="autoZero"/>
        <c:auto val="1"/>
        <c:lblAlgn val="ctr"/>
        <c:lblOffset val="100"/>
        <c:noMultiLvlLbl val="0"/>
      </c:catAx>
      <c:valAx>
        <c:axId val="170554880"/>
        <c:scaling>
          <c:orientation val="minMax"/>
          <c:max val="1000"/>
          <c:min val="0"/>
        </c:scaling>
        <c:delete val="0"/>
        <c:axPos val="l"/>
        <c:majorGridlines>
          <c:spPr>
            <a:ln>
              <a:noFill/>
            </a:ln>
          </c:spPr>
        </c:majorGridlines>
        <c:numFmt formatCode="General" sourceLinked="1"/>
        <c:majorTickMark val="out"/>
        <c:minorTickMark val="none"/>
        <c:tickLblPos val="nextTo"/>
        <c:crossAx val="170553344"/>
        <c:crosses val="autoZero"/>
        <c:crossBetween val="between"/>
      </c:valAx>
    </c:plotArea>
    <c:plotVisOnly val="1"/>
    <c:dispBlanksAs val="gap"/>
    <c:showDLblsOverMax val="0"/>
  </c:chart>
  <c:txPr>
    <a:bodyPr/>
    <a:lstStyle/>
    <a:p>
      <a:pPr>
        <a:defRPr>
          <a:latin typeface="Arial" pitchFamily="34" charset="0"/>
          <a:cs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Total Applications - England</a:t>
            </a:r>
          </a:p>
        </c:rich>
      </c:tx>
      <c:layout/>
      <c:overlay val="0"/>
    </c:title>
    <c:autoTitleDeleted val="0"/>
    <c:plotArea>
      <c:layout/>
      <c:barChart>
        <c:barDir val="col"/>
        <c:grouping val="clustered"/>
        <c:varyColors val="0"/>
        <c:ser>
          <c:idx val="0"/>
          <c:order val="0"/>
          <c:tx>
            <c:strRef>
              <c:f>TrafficEngland!$H$5</c:f>
              <c:strCache>
                <c:ptCount val="1"/>
                <c:pt idx="0">
                  <c:v>2010</c:v>
                </c:pt>
              </c:strCache>
            </c:strRef>
          </c:tx>
          <c:spPr>
            <a:solidFill>
              <a:schemeClr val="accent3">
                <a:lumMod val="40000"/>
                <a:lumOff val="60000"/>
              </a:scheme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TrafficEngland!$C$5:$C$16</c:f>
              <c:numCache>
                <c:formatCode>General</c:formatCode>
                <c:ptCount val="12"/>
                <c:pt idx="0">
                  <c:v>510</c:v>
                </c:pt>
                <c:pt idx="1">
                  <c:v>511</c:v>
                </c:pt>
                <c:pt idx="2">
                  <c:v>564</c:v>
                </c:pt>
                <c:pt idx="3">
                  <c:v>517</c:v>
                </c:pt>
                <c:pt idx="4">
                  <c:v>454</c:v>
                </c:pt>
                <c:pt idx="5">
                  <c:v>521</c:v>
                </c:pt>
                <c:pt idx="6">
                  <c:v>516</c:v>
                </c:pt>
                <c:pt idx="7">
                  <c:v>504</c:v>
                </c:pt>
                <c:pt idx="8">
                  <c:v>438</c:v>
                </c:pt>
                <c:pt idx="9">
                  <c:v>413</c:v>
                </c:pt>
                <c:pt idx="10">
                  <c:v>476</c:v>
                </c:pt>
                <c:pt idx="11">
                  <c:v>573</c:v>
                </c:pt>
              </c:numCache>
            </c:numRef>
          </c:val>
        </c:ser>
        <c:ser>
          <c:idx val="1"/>
          <c:order val="1"/>
          <c:tx>
            <c:strRef>
              <c:f>TrafficEngland!$H$17</c:f>
              <c:strCache>
                <c:ptCount val="1"/>
                <c:pt idx="0">
                  <c:v>2011</c:v>
                </c:pt>
              </c:strCache>
            </c:strRef>
          </c:tx>
          <c:spPr>
            <a:solidFill>
              <a:schemeClr val="accent3">
                <a:lumMod val="60000"/>
                <a:lumOff val="40000"/>
              </a:scheme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TrafficEngland!$C$17:$C$28</c:f>
              <c:numCache>
                <c:formatCode>General</c:formatCode>
                <c:ptCount val="12"/>
                <c:pt idx="0">
                  <c:v>508</c:v>
                </c:pt>
                <c:pt idx="1">
                  <c:v>545</c:v>
                </c:pt>
                <c:pt idx="2">
                  <c:v>569</c:v>
                </c:pt>
                <c:pt idx="3">
                  <c:v>488</c:v>
                </c:pt>
                <c:pt idx="4">
                  <c:v>485</c:v>
                </c:pt>
                <c:pt idx="5">
                  <c:v>517</c:v>
                </c:pt>
                <c:pt idx="6">
                  <c:v>492</c:v>
                </c:pt>
                <c:pt idx="7">
                  <c:v>457</c:v>
                </c:pt>
                <c:pt idx="8">
                  <c:v>392</c:v>
                </c:pt>
                <c:pt idx="9">
                  <c:v>401</c:v>
                </c:pt>
                <c:pt idx="10">
                  <c:v>412</c:v>
                </c:pt>
                <c:pt idx="11">
                  <c:v>362</c:v>
                </c:pt>
              </c:numCache>
            </c:numRef>
          </c:val>
        </c:ser>
        <c:ser>
          <c:idx val="2"/>
          <c:order val="2"/>
          <c:tx>
            <c:strRef>
              <c:f>TrafficEngland!$H$29</c:f>
              <c:strCache>
                <c:ptCount val="1"/>
                <c:pt idx="0">
                  <c:v>2012</c:v>
                </c:pt>
              </c:strCache>
            </c:strRef>
          </c:tx>
          <c:spPr>
            <a:solidFill>
              <a:schemeClr val="accent3">
                <a:lumMod val="75000"/>
              </a:scheme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TrafficEngland!$C$29:$C$40</c:f>
              <c:numCache>
                <c:formatCode>General</c:formatCode>
                <c:ptCount val="12"/>
                <c:pt idx="0">
                  <c:v>419</c:v>
                </c:pt>
                <c:pt idx="1">
                  <c:v>484</c:v>
                </c:pt>
                <c:pt idx="2">
                  <c:v>403</c:v>
                </c:pt>
                <c:pt idx="3">
                  <c:v>401</c:v>
                </c:pt>
                <c:pt idx="4">
                  <c:v>373</c:v>
                </c:pt>
                <c:pt idx="5">
                  <c:v>361</c:v>
                </c:pt>
                <c:pt idx="6">
                  <c:v>494</c:v>
                </c:pt>
                <c:pt idx="7">
                  <c:v>408</c:v>
                </c:pt>
                <c:pt idx="8">
                  <c:v>339</c:v>
                </c:pt>
                <c:pt idx="9">
                  <c:v>412</c:v>
                </c:pt>
                <c:pt idx="10">
                  <c:v>364</c:v>
                </c:pt>
                <c:pt idx="11">
                  <c:v>382</c:v>
                </c:pt>
              </c:numCache>
            </c:numRef>
          </c:val>
        </c:ser>
        <c:ser>
          <c:idx val="3"/>
          <c:order val="3"/>
          <c:tx>
            <c:strRef>
              <c:f>TrafficEngland!$H$41</c:f>
              <c:strCache>
                <c:ptCount val="1"/>
                <c:pt idx="0">
                  <c:v>2013</c:v>
                </c:pt>
              </c:strCache>
            </c:strRef>
          </c:tx>
          <c:spPr>
            <a:solidFill>
              <a:schemeClr val="accent3">
                <a:lumMod val="50000"/>
              </a:scheme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TrafficEngland!$C$41:$C$52</c:f>
              <c:numCache>
                <c:formatCode>General</c:formatCode>
                <c:ptCount val="12"/>
                <c:pt idx="0">
                  <c:v>433</c:v>
                </c:pt>
                <c:pt idx="1">
                  <c:v>431</c:v>
                </c:pt>
                <c:pt idx="2">
                  <c:v>378</c:v>
                </c:pt>
                <c:pt idx="3">
                  <c:v>449</c:v>
                </c:pt>
                <c:pt idx="4">
                  <c:v>352</c:v>
                </c:pt>
                <c:pt idx="5">
                  <c:v>364</c:v>
                </c:pt>
                <c:pt idx="6">
                  <c:v>452</c:v>
                </c:pt>
                <c:pt idx="7">
                  <c:v>381</c:v>
                </c:pt>
                <c:pt idx="8">
                  <c:v>398</c:v>
                </c:pt>
                <c:pt idx="9">
                  <c:v>#N/A</c:v>
                </c:pt>
                <c:pt idx="10">
                  <c:v>#N/A</c:v>
                </c:pt>
                <c:pt idx="11">
                  <c:v>#N/A</c:v>
                </c:pt>
              </c:numCache>
            </c:numRef>
          </c:val>
        </c:ser>
        <c:dLbls>
          <c:showLegendKey val="0"/>
          <c:showVal val="0"/>
          <c:showCatName val="0"/>
          <c:showSerName val="0"/>
          <c:showPercent val="0"/>
          <c:showBubbleSize val="0"/>
        </c:dLbls>
        <c:gapWidth val="150"/>
        <c:axId val="171772928"/>
        <c:axId val="171787008"/>
      </c:barChart>
      <c:catAx>
        <c:axId val="171772928"/>
        <c:scaling>
          <c:orientation val="minMax"/>
        </c:scaling>
        <c:delete val="0"/>
        <c:axPos val="b"/>
        <c:majorTickMark val="out"/>
        <c:minorTickMark val="none"/>
        <c:tickLblPos val="nextTo"/>
        <c:crossAx val="171787008"/>
        <c:crosses val="autoZero"/>
        <c:auto val="1"/>
        <c:lblAlgn val="ctr"/>
        <c:lblOffset val="100"/>
        <c:noMultiLvlLbl val="0"/>
      </c:catAx>
      <c:valAx>
        <c:axId val="171787008"/>
        <c:scaling>
          <c:orientation val="minMax"/>
        </c:scaling>
        <c:delete val="0"/>
        <c:axPos val="l"/>
        <c:majorGridlines/>
        <c:title>
          <c:tx>
            <c:rich>
              <a:bodyPr rot="-5400000" vert="horz"/>
              <a:lstStyle/>
              <a:p>
                <a:pPr>
                  <a:defRPr/>
                </a:pPr>
                <a:r>
                  <a:rPr lang="en-US"/>
                  <a:t>Applications</a:t>
                </a:r>
              </a:p>
            </c:rich>
          </c:tx>
          <c:layout/>
          <c:overlay val="0"/>
        </c:title>
        <c:numFmt formatCode="General" sourceLinked="1"/>
        <c:majorTickMark val="out"/>
        <c:minorTickMark val="none"/>
        <c:tickLblPos val="nextTo"/>
        <c:crossAx val="1717729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GB" sz="1000" b="1" i="0" baseline="0">
                <a:effectLst/>
              </a:rPr>
              <a:t>% of Full applications reviewed in target (year to date 2013-14</a:t>
            </a:r>
            <a:endParaRPr lang="en-GB" sz="1000">
              <a:effectLst/>
            </a:endParaRPr>
          </a:p>
        </c:rich>
      </c:tx>
      <c:layout/>
      <c:overlay val="0"/>
    </c:title>
    <c:autoTitleDeleted val="0"/>
    <c:plotArea>
      <c:layout/>
      <c:barChart>
        <c:barDir val="bar"/>
        <c:grouping val="clustered"/>
        <c:varyColors val="0"/>
        <c:ser>
          <c:idx val="1"/>
          <c:order val="0"/>
          <c:tx>
            <c:v>60 day obligation (%)</c:v>
          </c:tx>
          <c:spPr>
            <a:solidFill>
              <a:schemeClr val="accent4">
                <a:lumMod val="75000"/>
              </a:schemeClr>
            </a:solidFill>
          </c:spPr>
          <c:invertIfNegative val="0"/>
          <c:cat>
            <c:strRef>
              <c:f>CentresFR!$B$18:$B$22</c:f>
              <c:strCache>
                <c:ptCount val="5"/>
                <c:pt idx="0">
                  <c:v>Bristol</c:v>
                </c:pt>
                <c:pt idx="1">
                  <c:v>Jarrow</c:v>
                </c:pt>
                <c:pt idx="2">
                  <c:v>London</c:v>
                </c:pt>
                <c:pt idx="3">
                  <c:v>Manchester</c:v>
                </c:pt>
                <c:pt idx="4">
                  <c:v>Nottingham</c:v>
                </c:pt>
              </c:strCache>
            </c:strRef>
          </c:cat>
          <c:val>
            <c:numRef>
              <c:f>CentresFR!$G$18:$G$22</c:f>
              <c:numCache>
                <c:formatCode>0%</c:formatCode>
                <c:ptCount val="5"/>
                <c:pt idx="0">
                  <c:v>0.98600508905852413</c:v>
                </c:pt>
                <c:pt idx="1">
                  <c:v>0.99726775956284153</c:v>
                </c:pt>
                <c:pt idx="2">
                  <c:v>0.94128440366972477</c:v>
                </c:pt>
                <c:pt idx="3">
                  <c:v>0.9948275862068966</c:v>
                </c:pt>
                <c:pt idx="4">
                  <c:v>0.98932384341637014</c:v>
                </c:pt>
              </c:numCache>
            </c:numRef>
          </c:val>
        </c:ser>
        <c:ser>
          <c:idx val="0"/>
          <c:order val="1"/>
          <c:tx>
            <c:v>40 day target (%)</c:v>
          </c:tx>
          <c:spPr>
            <a:solidFill>
              <a:srgbClr val="FFC000"/>
            </a:solidFill>
          </c:spPr>
          <c:invertIfNegative val="0"/>
          <c:cat>
            <c:strRef>
              <c:f>CentresFR!$B$18:$B$22</c:f>
              <c:strCache>
                <c:ptCount val="5"/>
                <c:pt idx="0">
                  <c:v>Bristol</c:v>
                </c:pt>
                <c:pt idx="1">
                  <c:v>Jarrow</c:v>
                </c:pt>
                <c:pt idx="2">
                  <c:v>London</c:v>
                </c:pt>
                <c:pt idx="3">
                  <c:v>Manchester</c:v>
                </c:pt>
                <c:pt idx="4">
                  <c:v>Nottingham</c:v>
                </c:pt>
              </c:strCache>
            </c:strRef>
          </c:cat>
          <c:val>
            <c:numRef>
              <c:f>CentresFR!$F$18:$F$22</c:f>
              <c:numCache>
                <c:formatCode>0%</c:formatCode>
                <c:ptCount val="5"/>
                <c:pt idx="0">
                  <c:v>0.7137404580152672</c:v>
                </c:pt>
                <c:pt idx="1">
                  <c:v>0.81420765027322406</c:v>
                </c:pt>
                <c:pt idx="2">
                  <c:v>0.59266055045871557</c:v>
                </c:pt>
                <c:pt idx="3">
                  <c:v>0.8413793103448276</c:v>
                </c:pt>
                <c:pt idx="4">
                  <c:v>0.73843416370106763</c:v>
                </c:pt>
              </c:numCache>
            </c:numRef>
          </c:val>
        </c:ser>
        <c:dLbls>
          <c:showLegendKey val="0"/>
          <c:showVal val="0"/>
          <c:showCatName val="0"/>
          <c:showSerName val="0"/>
          <c:showPercent val="0"/>
          <c:showBubbleSize val="0"/>
        </c:dLbls>
        <c:gapWidth val="150"/>
        <c:axId val="171824640"/>
        <c:axId val="171826176"/>
      </c:barChart>
      <c:catAx>
        <c:axId val="171824640"/>
        <c:scaling>
          <c:orientation val="maxMin"/>
        </c:scaling>
        <c:delete val="0"/>
        <c:axPos val="l"/>
        <c:majorTickMark val="out"/>
        <c:minorTickMark val="none"/>
        <c:tickLblPos val="nextTo"/>
        <c:crossAx val="171826176"/>
        <c:crosses val="autoZero"/>
        <c:auto val="1"/>
        <c:lblAlgn val="ctr"/>
        <c:lblOffset val="100"/>
        <c:noMultiLvlLbl val="0"/>
      </c:catAx>
      <c:valAx>
        <c:axId val="171826176"/>
        <c:scaling>
          <c:orientation val="minMax"/>
          <c:max val="1"/>
        </c:scaling>
        <c:delete val="0"/>
        <c:axPos val="b"/>
        <c:majorGridlines/>
        <c:numFmt formatCode="0%" sourceLinked="1"/>
        <c:majorTickMark val="out"/>
        <c:minorTickMark val="none"/>
        <c:tickLblPos val="nextTo"/>
        <c:crossAx val="171824640"/>
        <c:crosses val="max"/>
        <c:crossBetween val="between"/>
      </c:valAx>
    </c:plotArea>
    <c:legend>
      <c:legendPos val="r"/>
      <c:layout/>
      <c:overlay val="0"/>
      <c:txPr>
        <a:bodyPr/>
        <a:lstStyle/>
        <a:p>
          <a:pPr>
            <a:defRPr sz="700"/>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GB" sz="1050" b="1" i="0" baseline="0">
                <a:effectLst/>
              </a:rPr>
              <a:t>Types of Applications reviewed per month (England)</a:t>
            </a:r>
            <a:endParaRPr lang="en-GB" sz="1050">
              <a:effectLst/>
            </a:endParaRPr>
          </a:p>
        </c:rich>
      </c:tx>
      <c:overlay val="0"/>
    </c:title>
    <c:autoTitleDeleted val="0"/>
    <c:plotArea>
      <c:layout>
        <c:manualLayout>
          <c:layoutTarget val="inner"/>
          <c:xMode val="edge"/>
          <c:yMode val="edge"/>
          <c:x val="8.6026940038444549E-2"/>
          <c:y val="0.152419072615923"/>
          <c:w val="0.67440228524908619"/>
          <c:h val="0.71552493438320208"/>
        </c:manualLayout>
      </c:layout>
      <c:lineChart>
        <c:grouping val="standard"/>
        <c:varyColors val="0"/>
        <c:ser>
          <c:idx val="0"/>
          <c:order val="0"/>
          <c:tx>
            <c:strRef>
              <c:f>TrafficEngland!$K$4</c:f>
              <c:strCache>
                <c:ptCount val="1"/>
                <c:pt idx="0">
                  <c:v>CTIMPs</c:v>
                </c:pt>
              </c:strCache>
            </c:strRef>
          </c:tx>
          <c:spPr>
            <a:ln>
              <a:solidFill>
                <a:srgbClr val="C00000"/>
              </a:solidFill>
            </a:ln>
          </c:spPr>
          <c:marker>
            <c:symbol val="none"/>
          </c:marker>
          <c:trendline>
            <c:spPr>
              <a:ln w="6350">
                <a:solidFill>
                  <a:srgbClr val="C00000"/>
                </a:solidFill>
                <a:tailEnd type="triangle"/>
              </a:ln>
            </c:spPr>
            <c:trendlineType val="linear"/>
            <c:dispRSqr val="0"/>
            <c:dispEq val="0"/>
          </c:trendline>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TrafficEngland!$K$29:$K$52</c:f>
              <c:numCache>
                <c:formatCode>General</c:formatCode>
                <c:ptCount val="24"/>
                <c:pt idx="0">
                  <c:v>62</c:v>
                </c:pt>
                <c:pt idx="1">
                  <c:v>70</c:v>
                </c:pt>
                <c:pt idx="2">
                  <c:v>58</c:v>
                </c:pt>
                <c:pt idx="3">
                  <c:v>59</c:v>
                </c:pt>
                <c:pt idx="4">
                  <c:v>52</c:v>
                </c:pt>
                <c:pt idx="5">
                  <c:v>65</c:v>
                </c:pt>
                <c:pt idx="6">
                  <c:v>79</c:v>
                </c:pt>
                <c:pt idx="7">
                  <c:v>71</c:v>
                </c:pt>
                <c:pt idx="8">
                  <c:v>56</c:v>
                </c:pt>
                <c:pt idx="9">
                  <c:v>81</c:v>
                </c:pt>
                <c:pt idx="10">
                  <c:v>56</c:v>
                </c:pt>
                <c:pt idx="11">
                  <c:v>60</c:v>
                </c:pt>
                <c:pt idx="12">
                  <c:v>58</c:v>
                </c:pt>
                <c:pt idx="13">
                  <c:v>62</c:v>
                </c:pt>
                <c:pt idx="14">
                  <c:v>56</c:v>
                </c:pt>
                <c:pt idx="15">
                  <c:v>83</c:v>
                </c:pt>
                <c:pt idx="16">
                  <c:v>55</c:v>
                </c:pt>
                <c:pt idx="17">
                  <c:v>65</c:v>
                </c:pt>
                <c:pt idx="18">
                  <c:v>99</c:v>
                </c:pt>
                <c:pt idx="19">
                  <c:v>80</c:v>
                </c:pt>
                <c:pt idx="20">
                  <c:v>75</c:v>
                </c:pt>
                <c:pt idx="21">
                  <c:v>#N/A</c:v>
                </c:pt>
                <c:pt idx="22">
                  <c:v>#N/A</c:v>
                </c:pt>
                <c:pt idx="23">
                  <c:v>#N/A</c:v>
                </c:pt>
              </c:numCache>
            </c:numRef>
          </c:val>
          <c:smooth val="1"/>
        </c:ser>
        <c:ser>
          <c:idx val="1"/>
          <c:order val="1"/>
          <c:tx>
            <c:strRef>
              <c:f>TrafficEngland!$L$4</c:f>
              <c:strCache>
                <c:ptCount val="1"/>
                <c:pt idx="0">
                  <c:v>Other (Full Review)</c:v>
                </c:pt>
              </c:strCache>
            </c:strRef>
          </c:tx>
          <c:spPr>
            <a:ln>
              <a:solidFill>
                <a:srgbClr val="00B050"/>
              </a:solidFill>
            </a:ln>
          </c:spPr>
          <c:marker>
            <c:symbol val="none"/>
          </c:marker>
          <c:trendline>
            <c:spPr>
              <a:ln w="6350">
                <a:solidFill>
                  <a:srgbClr val="336600"/>
                </a:solidFill>
                <a:tailEnd type="triangle"/>
              </a:ln>
            </c:spPr>
            <c:trendlineType val="linear"/>
            <c:dispRSqr val="0"/>
            <c:dispEq val="0"/>
          </c:trendline>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TrafficEngland!$L$29:$L$52</c:f>
              <c:numCache>
                <c:formatCode>General</c:formatCode>
                <c:ptCount val="24"/>
                <c:pt idx="0">
                  <c:v>264</c:v>
                </c:pt>
                <c:pt idx="1">
                  <c:v>325</c:v>
                </c:pt>
                <c:pt idx="2">
                  <c:v>274</c:v>
                </c:pt>
                <c:pt idx="3">
                  <c:v>260</c:v>
                </c:pt>
                <c:pt idx="4">
                  <c:v>237</c:v>
                </c:pt>
                <c:pt idx="5">
                  <c:v>224</c:v>
                </c:pt>
                <c:pt idx="6">
                  <c:v>310</c:v>
                </c:pt>
                <c:pt idx="7">
                  <c:v>256</c:v>
                </c:pt>
                <c:pt idx="8">
                  <c:v>219</c:v>
                </c:pt>
                <c:pt idx="9">
                  <c:v>260</c:v>
                </c:pt>
                <c:pt idx="10">
                  <c:v>227</c:v>
                </c:pt>
                <c:pt idx="11">
                  <c:v>238</c:v>
                </c:pt>
                <c:pt idx="12">
                  <c:v>283</c:v>
                </c:pt>
                <c:pt idx="13">
                  <c:v>252</c:v>
                </c:pt>
                <c:pt idx="14">
                  <c:v>251</c:v>
                </c:pt>
                <c:pt idx="15">
                  <c:v>261</c:v>
                </c:pt>
                <c:pt idx="16">
                  <c:v>207</c:v>
                </c:pt>
                <c:pt idx="17">
                  <c:v>206</c:v>
                </c:pt>
                <c:pt idx="18">
                  <c:v>257</c:v>
                </c:pt>
                <c:pt idx="19">
                  <c:v>221</c:v>
                </c:pt>
                <c:pt idx="20">
                  <c:v>240</c:v>
                </c:pt>
                <c:pt idx="21">
                  <c:v>#N/A</c:v>
                </c:pt>
                <c:pt idx="22">
                  <c:v>#N/A</c:v>
                </c:pt>
                <c:pt idx="23">
                  <c:v>#N/A</c:v>
                </c:pt>
              </c:numCache>
            </c:numRef>
          </c:val>
          <c:smooth val="1"/>
        </c:ser>
        <c:ser>
          <c:idx val="4"/>
          <c:order val="2"/>
          <c:tx>
            <c:strRef>
              <c:f>TrafficEngland!$O$4</c:f>
              <c:strCache>
                <c:ptCount val="1"/>
                <c:pt idx="0">
                  <c:v>Proportionate Review</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TrafficEngland!$O$29:$O$52</c:f>
              <c:numCache>
                <c:formatCode>General</c:formatCode>
                <c:ptCount val="24"/>
                <c:pt idx="0">
                  <c:v>87</c:v>
                </c:pt>
                <c:pt idx="1">
                  <c:v>85</c:v>
                </c:pt>
                <c:pt idx="2">
                  <c:v>70</c:v>
                </c:pt>
                <c:pt idx="3">
                  <c:v>79</c:v>
                </c:pt>
                <c:pt idx="4">
                  <c:v>80</c:v>
                </c:pt>
                <c:pt idx="5">
                  <c:v>68</c:v>
                </c:pt>
                <c:pt idx="6">
                  <c:v>89</c:v>
                </c:pt>
                <c:pt idx="7">
                  <c:v>72</c:v>
                </c:pt>
                <c:pt idx="8">
                  <c:v>57</c:v>
                </c:pt>
                <c:pt idx="9">
                  <c:v>61</c:v>
                </c:pt>
                <c:pt idx="10">
                  <c:v>76</c:v>
                </c:pt>
                <c:pt idx="11">
                  <c:v>76</c:v>
                </c:pt>
                <c:pt idx="12">
                  <c:v>88</c:v>
                </c:pt>
                <c:pt idx="13">
                  <c:v>110</c:v>
                </c:pt>
                <c:pt idx="14">
                  <c:v>64</c:v>
                </c:pt>
                <c:pt idx="15">
                  <c:v>95</c:v>
                </c:pt>
                <c:pt idx="16">
                  <c:v>87</c:v>
                </c:pt>
                <c:pt idx="17">
                  <c:v>84</c:v>
                </c:pt>
                <c:pt idx="18">
                  <c:v>92</c:v>
                </c:pt>
                <c:pt idx="19">
                  <c:v>71</c:v>
                </c:pt>
                <c:pt idx="20">
                  <c:v>75</c:v>
                </c:pt>
                <c:pt idx="21">
                  <c:v>#N/A</c:v>
                </c:pt>
                <c:pt idx="22">
                  <c:v>#N/A</c:v>
                </c:pt>
                <c:pt idx="23">
                  <c:v>#N/A</c:v>
                </c:pt>
              </c:numCache>
            </c:numRef>
          </c:val>
          <c:smooth val="1"/>
        </c:ser>
        <c:ser>
          <c:idx val="2"/>
          <c:order val="3"/>
          <c:tx>
            <c:strRef>
              <c:f>TrafficEngland!$M$4</c:f>
              <c:strCache>
                <c:ptCount val="1"/>
                <c:pt idx="0">
                  <c:v>Research Tissue Bank</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TrafficEngland!$M$29:$M$52</c:f>
              <c:numCache>
                <c:formatCode>General</c:formatCode>
                <c:ptCount val="24"/>
                <c:pt idx="0">
                  <c:v>4</c:v>
                </c:pt>
                <c:pt idx="1">
                  <c:v>1</c:v>
                </c:pt>
                <c:pt idx="2">
                  <c:v>0</c:v>
                </c:pt>
                <c:pt idx="3">
                  <c:v>1</c:v>
                </c:pt>
                <c:pt idx="4">
                  <c:v>3</c:v>
                </c:pt>
                <c:pt idx="5">
                  <c:v>1</c:v>
                </c:pt>
                <c:pt idx="6">
                  <c:v>7</c:v>
                </c:pt>
                <c:pt idx="7">
                  <c:v>5</c:v>
                </c:pt>
                <c:pt idx="8">
                  <c:v>4</c:v>
                </c:pt>
                <c:pt idx="9">
                  <c:v>5</c:v>
                </c:pt>
                <c:pt idx="10">
                  <c:v>2</c:v>
                </c:pt>
                <c:pt idx="11">
                  <c:v>3</c:v>
                </c:pt>
                <c:pt idx="12">
                  <c:v>3</c:v>
                </c:pt>
                <c:pt idx="13">
                  <c:v>3</c:v>
                </c:pt>
                <c:pt idx="14">
                  <c:v>5</c:v>
                </c:pt>
                <c:pt idx="15">
                  <c:v>5</c:v>
                </c:pt>
                <c:pt idx="16">
                  <c:v>3</c:v>
                </c:pt>
                <c:pt idx="17">
                  <c:v>4</c:v>
                </c:pt>
                <c:pt idx="18">
                  <c:v>3</c:v>
                </c:pt>
                <c:pt idx="19">
                  <c:v>5</c:v>
                </c:pt>
                <c:pt idx="20">
                  <c:v>4</c:v>
                </c:pt>
                <c:pt idx="21">
                  <c:v>#N/A</c:v>
                </c:pt>
                <c:pt idx="22">
                  <c:v>#N/A</c:v>
                </c:pt>
                <c:pt idx="23">
                  <c:v>#N/A</c:v>
                </c:pt>
              </c:numCache>
            </c:numRef>
          </c:val>
          <c:smooth val="1"/>
        </c:ser>
        <c:ser>
          <c:idx val="3"/>
          <c:order val="4"/>
          <c:tx>
            <c:strRef>
              <c:f>TrafficEngland!$N$4</c:f>
              <c:strCache>
                <c:ptCount val="1"/>
                <c:pt idx="0">
                  <c:v>Research Databases</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TrafficEngland!$N$29:$N$52</c:f>
              <c:numCache>
                <c:formatCode>General</c:formatCode>
                <c:ptCount val="24"/>
                <c:pt idx="0">
                  <c:v>2</c:v>
                </c:pt>
                <c:pt idx="1">
                  <c:v>3</c:v>
                </c:pt>
                <c:pt idx="2">
                  <c:v>1</c:v>
                </c:pt>
                <c:pt idx="3">
                  <c:v>2</c:v>
                </c:pt>
                <c:pt idx="4">
                  <c:v>1</c:v>
                </c:pt>
                <c:pt idx="5">
                  <c:v>3</c:v>
                </c:pt>
                <c:pt idx="6">
                  <c:v>9</c:v>
                </c:pt>
                <c:pt idx="7">
                  <c:v>4</c:v>
                </c:pt>
                <c:pt idx="8">
                  <c:v>3</c:v>
                </c:pt>
                <c:pt idx="9">
                  <c:v>5</c:v>
                </c:pt>
                <c:pt idx="10">
                  <c:v>3</c:v>
                </c:pt>
                <c:pt idx="11">
                  <c:v>5</c:v>
                </c:pt>
                <c:pt idx="12">
                  <c:v>1</c:v>
                </c:pt>
                <c:pt idx="13">
                  <c:v>4</c:v>
                </c:pt>
                <c:pt idx="14">
                  <c:v>2</c:v>
                </c:pt>
                <c:pt idx="15">
                  <c:v>5</c:v>
                </c:pt>
                <c:pt idx="16">
                  <c:v>#N/A</c:v>
                </c:pt>
                <c:pt idx="17">
                  <c:v>4</c:v>
                </c:pt>
                <c:pt idx="18">
                  <c:v>1</c:v>
                </c:pt>
                <c:pt idx="19">
                  <c:v>3</c:v>
                </c:pt>
                <c:pt idx="20">
                  <c:v>4</c:v>
                </c:pt>
                <c:pt idx="21">
                  <c:v>#N/A</c:v>
                </c:pt>
                <c:pt idx="22">
                  <c:v>#N/A</c:v>
                </c:pt>
                <c:pt idx="23">
                  <c:v>#N/A</c:v>
                </c:pt>
              </c:numCache>
            </c:numRef>
          </c:val>
          <c:smooth val="1"/>
        </c:ser>
        <c:dLbls>
          <c:showLegendKey val="0"/>
          <c:showVal val="0"/>
          <c:showCatName val="0"/>
          <c:showSerName val="0"/>
          <c:showPercent val="0"/>
          <c:showBubbleSize val="0"/>
        </c:dLbls>
        <c:marker val="1"/>
        <c:smooth val="0"/>
        <c:axId val="188850176"/>
        <c:axId val="188851712"/>
      </c:lineChart>
      <c:dateAx>
        <c:axId val="188850176"/>
        <c:scaling>
          <c:orientation val="minMax"/>
        </c:scaling>
        <c:delete val="0"/>
        <c:axPos val="b"/>
        <c:numFmt formatCode="mmm\-yy" sourceLinked="1"/>
        <c:majorTickMark val="out"/>
        <c:minorTickMark val="none"/>
        <c:tickLblPos val="nextTo"/>
        <c:txPr>
          <a:bodyPr rot="-2640000"/>
          <a:lstStyle/>
          <a:p>
            <a:pPr>
              <a:defRPr sz="600"/>
            </a:pPr>
            <a:endParaRPr lang="en-US"/>
          </a:p>
        </c:txPr>
        <c:crossAx val="188851712"/>
        <c:crosses val="autoZero"/>
        <c:auto val="1"/>
        <c:lblOffset val="100"/>
        <c:baseTimeUnit val="months"/>
      </c:dateAx>
      <c:valAx>
        <c:axId val="188851712"/>
        <c:scaling>
          <c:orientation val="minMax"/>
        </c:scaling>
        <c:delete val="0"/>
        <c:axPos val="l"/>
        <c:majorGridlines/>
        <c:numFmt formatCode="General" sourceLinked="1"/>
        <c:majorTickMark val="out"/>
        <c:minorTickMark val="none"/>
        <c:tickLblPos val="nextTo"/>
        <c:crossAx val="188850176"/>
        <c:crosses val="autoZero"/>
        <c:crossBetween val="between"/>
      </c:valAx>
      <c:spPr>
        <a:noFill/>
      </c:spPr>
    </c:plotArea>
    <c:legend>
      <c:legendPos val="r"/>
      <c:layout>
        <c:manualLayout>
          <c:xMode val="edge"/>
          <c:yMode val="edge"/>
          <c:x val="0.75210022951739264"/>
          <c:y val="0.15639180519101778"/>
          <c:w val="0.23124177894233122"/>
          <c:h val="0.7187900991542725"/>
        </c:manualLayout>
      </c:layout>
      <c:overlay val="0"/>
      <c:txPr>
        <a:bodyPr/>
        <a:lstStyle/>
        <a:p>
          <a:pPr>
            <a:defRPr sz="7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CA95-4C0D-4F4A-9FD2-D700BB3D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HRA Report</vt:lpstr>
    </vt:vector>
  </TitlesOfParts>
  <Company>e-fishency ltd</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Report</dc:title>
  <dc:creator>Keith Vernege</dc:creator>
  <cp:lastModifiedBy>Gill Habicht</cp:lastModifiedBy>
  <cp:revision>3</cp:revision>
  <cp:lastPrinted>2014-02-14T14:24:00Z</cp:lastPrinted>
  <dcterms:created xsi:type="dcterms:W3CDTF">2014-02-17T13:27:00Z</dcterms:created>
  <dcterms:modified xsi:type="dcterms:W3CDTF">2014-02-19T18:44:00Z</dcterms:modified>
</cp:coreProperties>
</file>