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93" w:rsidRPr="009E4F20" w:rsidRDefault="000A0993" w:rsidP="009E4F20">
      <w:pPr>
        <w:tabs>
          <w:tab w:val="left" w:pos="1980"/>
        </w:tabs>
        <w:spacing w:after="0" w:line="240" w:lineRule="auto"/>
        <w:jc w:val="both"/>
        <w:rPr>
          <w:rFonts w:cs="Arial"/>
          <w:b/>
          <w:color w:val="000000" w:themeColor="text1"/>
          <w:u w:val="single"/>
        </w:rPr>
      </w:pPr>
    </w:p>
    <w:p w:rsidR="00C74411" w:rsidRPr="00FF7CBA" w:rsidRDefault="00C74411" w:rsidP="00C74411">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C74411" w:rsidTr="00531623">
        <w:tc>
          <w:tcPr>
            <w:tcW w:w="3420" w:type="dxa"/>
          </w:tcPr>
          <w:p w:rsidR="00C74411" w:rsidRPr="001B0E16" w:rsidRDefault="00C74411" w:rsidP="0053162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C74411" w:rsidRPr="001B0E16" w:rsidRDefault="001258EE" w:rsidP="0053162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12</w:t>
            </w:r>
          </w:p>
        </w:tc>
      </w:tr>
      <w:tr w:rsidR="00C74411" w:rsidTr="00531623">
        <w:tc>
          <w:tcPr>
            <w:tcW w:w="3420" w:type="dxa"/>
          </w:tcPr>
          <w:p w:rsidR="00C74411" w:rsidRPr="001B0E16" w:rsidRDefault="00C74411" w:rsidP="0053162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C74411" w:rsidRPr="001B0E16" w:rsidRDefault="001258EE" w:rsidP="0053162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G</w:t>
            </w:r>
            <w:bookmarkStart w:id="0" w:name="_GoBack"/>
            <w:bookmarkEnd w:id="0"/>
          </w:p>
        </w:tc>
      </w:tr>
    </w:tbl>
    <w:p w:rsidR="00C74411" w:rsidRPr="0000688A" w:rsidRDefault="00C74411" w:rsidP="00C74411">
      <w:pPr>
        <w:spacing w:after="0"/>
        <w:jc w:val="center"/>
        <w:rPr>
          <w:rFonts w:asciiTheme="minorHAnsi" w:hAnsiTheme="minorHAnsi" w:cstheme="minorHAnsi"/>
          <w:b/>
          <w:sz w:val="24"/>
          <w:szCs w:val="24"/>
        </w:rPr>
      </w:pPr>
    </w:p>
    <w:p w:rsidR="00C74411" w:rsidRDefault="00C74411" w:rsidP="00C74411">
      <w:pPr>
        <w:spacing w:after="0"/>
        <w:jc w:val="center"/>
        <w:rPr>
          <w:rFonts w:asciiTheme="minorHAnsi" w:hAnsiTheme="minorHAnsi" w:cstheme="minorHAnsi"/>
          <w:b/>
          <w:sz w:val="40"/>
          <w:szCs w:val="40"/>
        </w:rPr>
      </w:pPr>
    </w:p>
    <w:p w:rsidR="00C74411" w:rsidRDefault="00C74411" w:rsidP="00C74411">
      <w:pPr>
        <w:spacing w:after="0" w:line="240" w:lineRule="auto"/>
        <w:jc w:val="center"/>
        <w:rPr>
          <w:rFonts w:asciiTheme="minorHAnsi" w:hAnsiTheme="minorHAnsi" w:cstheme="minorHAnsi"/>
          <w:b/>
          <w:sz w:val="24"/>
          <w:szCs w:val="24"/>
        </w:rPr>
      </w:pPr>
    </w:p>
    <w:p w:rsidR="00C74411" w:rsidRPr="00151DBF" w:rsidRDefault="00C74411" w:rsidP="00C74411">
      <w:pPr>
        <w:spacing w:after="0" w:line="240" w:lineRule="auto"/>
        <w:jc w:val="center"/>
        <w:rPr>
          <w:rFonts w:asciiTheme="minorHAnsi" w:hAnsiTheme="minorHAnsi" w:cstheme="minorHAnsi"/>
          <w:b/>
          <w:sz w:val="24"/>
          <w:szCs w:val="24"/>
        </w:rPr>
      </w:pPr>
    </w:p>
    <w:p w:rsidR="00A1615C" w:rsidRPr="00151DBF" w:rsidRDefault="00A1615C" w:rsidP="00A1615C">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BB1D45">
        <w:rPr>
          <w:rFonts w:asciiTheme="minorHAnsi" w:hAnsiTheme="minorHAnsi" w:cstheme="minorHAnsi"/>
          <w:b/>
          <w:sz w:val="44"/>
          <w:szCs w:val="44"/>
        </w:rPr>
        <w:t xml:space="preserve">BOARD </w:t>
      </w:r>
      <w:r w:rsidRPr="00151DBF">
        <w:rPr>
          <w:rFonts w:asciiTheme="minorHAnsi" w:hAnsiTheme="minorHAnsi" w:cstheme="minorHAnsi"/>
          <w:b/>
          <w:sz w:val="44"/>
          <w:szCs w:val="44"/>
        </w:rPr>
        <w:t>COVER SHEET</w:t>
      </w:r>
    </w:p>
    <w:p w:rsidR="00C74411" w:rsidRDefault="00C74411" w:rsidP="00C74411">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C74411" w:rsidRPr="00C90060" w:rsidTr="00531623">
        <w:tc>
          <w:tcPr>
            <w:tcW w:w="2628" w:type="dxa"/>
          </w:tcPr>
          <w:p w:rsidR="00C74411" w:rsidRPr="00C90060" w:rsidRDefault="00C74411" w:rsidP="00531623">
            <w:pPr>
              <w:rPr>
                <w:rFonts w:asciiTheme="minorHAnsi" w:hAnsiTheme="minorHAnsi" w:cstheme="minorHAnsi"/>
                <w:b/>
              </w:rPr>
            </w:pPr>
            <w:r w:rsidRPr="00C90060">
              <w:rPr>
                <w:rFonts w:asciiTheme="minorHAnsi" w:hAnsiTheme="minorHAnsi" w:cstheme="minorHAnsi"/>
                <w:b/>
              </w:rPr>
              <w:t>Date of Meeting:</w:t>
            </w:r>
          </w:p>
        </w:tc>
        <w:tc>
          <w:tcPr>
            <w:tcW w:w="6320" w:type="dxa"/>
          </w:tcPr>
          <w:p w:rsidR="00C74411" w:rsidRPr="00C90060" w:rsidRDefault="00BB1D45" w:rsidP="00531623">
            <w:pPr>
              <w:rPr>
                <w:rFonts w:asciiTheme="minorHAnsi" w:hAnsiTheme="minorHAnsi" w:cstheme="minorHAnsi"/>
              </w:rPr>
            </w:pPr>
            <w:r>
              <w:rPr>
                <w:rFonts w:asciiTheme="minorHAnsi" w:hAnsiTheme="minorHAnsi" w:cstheme="minorHAnsi"/>
              </w:rPr>
              <w:t>18</w:t>
            </w:r>
            <w:r w:rsidR="00D65924">
              <w:rPr>
                <w:rFonts w:asciiTheme="minorHAnsi" w:hAnsiTheme="minorHAnsi" w:cstheme="minorHAnsi"/>
              </w:rPr>
              <w:t xml:space="preserve"> November </w:t>
            </w:r>
            <w:r w:rsidR="00C74411">
              <w:rPr>
                <w:rFonts w:asciiTheme="minorHAnsi" w:hAnsiTheme="minorHAnsi" w:cstheme="minorHAnsi"/>
              </w:rPr>
              <w:t>2015</w:t>
            </w:r>
          </w:p>
        </w:tc>
      </w:tr>
    </w:tbl>
    <w:p w:rsidR="00C74411" w:rsidRPr="00C90060" w:rsidRDefault="00C74411" w:rsidP="00C74411">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C74411" w:rsidRPr="00C90060" w:rsidTr="005B0063">
        <w:tc>
          <w:tcPr>
            <w:tcW w:w="2628" w:type="dxa"/>
          </w:tcPr>
          <w:p w:rsidR="00C74411" w:rsidRPr="00C90060" w:rsidRDefault="00C74411" w:rsidP="00531623">
            <w:pPr>
              <w:rPr>
                <w:rFonts w:asciiTheme="minorHAnsi" w:hAnsiTheme="minorHAnsi" w:cstheme="minorHAnsi"/>
                <w:b/>
              </w:rPr>
            </w:pPr>
            <w:r w:rsidRPr="00C90060">
              <w:rPr>
                <w:rFonts w:asciiTheme="minorHAnsi" w:hAnsiTheme="minorHAnsi" w:cstheme="minorHAnsi"/>
                <w:b/>
              </w:rPr>
              <w:t>Title of Paper:</w:t>
            </w:r>
          </w:p>
        </w:tc>
        <w:tc>
          <w:tcPr>
            <w:tcW w:w="6320" w:type="dxa"/>
          </w:tcPr>
          <w:p w:rsidR="00C74411" w:rsidRPr="00415D02" w:rsidRDefault="00D65924" w:rsidP="00BB1D45">
            <w:pPr>
              <w:rPr>
                <w:rFonts w:asciiTheme="minorHAnsi" w:hAnsiTheme="minorHAnsi" w:cstheme="minorHAnsi"/>
              </w:rPr>
            </w:pPr>
            <w:r w:rsidRPr="00415D02">
              <w:rPr>
                <w:rFonts w:asciiTheme="minorHAnsi" w:hAnsiTheme="minorHAnsi" w:cstheme="minorHAnsi"/>
              </w:rPr>
              <w:t xml:space="preserve">Quality Assurance update to </w:t>
            </w:r>
            <w:r w:rsidR="00BB1D45">
              <w:rPr>
                <w:rFonts w:asciiTheme="minorHAnsi" w:hAnsiTheme="minorHAnsi" w:cstheme="minorHAnsi"/>
              </w:rPr>
              <w:t xml:space="preserve">Board </w:t>
            </w:r>
            <w:r w:rsidRPr="00415D02">
              <w:rPr>
                <w:rFonts w:asciiTheme="minorHAnsi" w:hAnsiTheme="minorHAnsi" w:cstheme="minorHAnsi"/>
              </w:rPr>
              <w:t xml:space="preserve"> </w:t>
            </w:r>
          </w:p>
        </w:tc>
      </w:tr>
      <w:tr w:rsidR="00C74411" w:rsidRPr="00C90060" w:rsidTr="005B0063">
        <w:tc>
          <w:tcPr>
            <w:tcW w:w="2628" w:type="dxa"/>
          </w:tcPr>
          <w:p w:rsidR="00C74411" w:rsidRDefault="00C74411" w:rsidP="00531623">
            <w:pPr>
              <w:rPr>
                <w:rFonts w:asciiTheme="minorHAnsi" w:hAnsiTheme="minorHAnsi" w:cstheme="minorHAnsi"/>
                <w:b/>
              </w:rPr>
            </w:pPr>
            <w:r w:rsidRPr="00C90060">
              <w:rPr>
                <w:rFonts w:asciiTheme="minorHAnsi" w:hAnsiTheme="minorHAnsi" w:cstheme="minorHAnsi"/>
                <w:b/>
              </w:rPr>
              <w:t>Purpose of Paper:</w:t>
            </w:r>
          </w:p>
          <w:p w:rsidR="00C74411" w:rsidRPr="00C90060" w:rsidRDefault="00C74411" w:rsidP="00531623">
            <w:pPr>
              <w:rPr>
                <w:rFonts w:asciiTheme="minorHAnsi" w:hAnsiTheme="minorHAnsi" w:cstheme="minorHAnsi"/>
                <w:b/>
              </w:rPr>
            </w:pPr>
          </w:p>
          <w:p w:rsidR="00C74411" w:rsidRPr="00C90060" w:rsidRDefault="00C74411" w:rsidP="00531623">
            <w:pPr>
              <w:rPr>
                <w:rFonts w:asciiTheme="minorHAnsi" w:hAnsiTheme="minorHAnsi" w:cstheme="minorHAnsi"/>
                <w:b/>
              </w:rPr>
            </w:pPr>
          </w:p>
        </w:tc>
        <w:tc>
          <w:tcPr>
            <w:tcW w:w="6320" w:type="dxa"/>
          </w:tcPr>
          <w:p w:rsidR="00C74411" w:rsidRPr="00415D02" w:rsidRDefault="00D65924" w:rsidP="00754CDB">
            <w:pPr>
              <w:rPr>
                <w:rFonts w:asciiTheme="minorHAnsi" w:hAnsiTheme="minorHAnsi" w:cstheme="minorHAnsi"/>
              </w:rPr>
            </w:pPr>
            <w:r w:rsidRPr="00415D02">
              <w:rPr>
                <w:rFonts w:asciiTheme="minorHAnsi" w:hAnsiTheme="minorHAnsi" w:cstheme="minorHAnsi"/>
              </w:rPr>
              <w:t xml:space="preserve">To advise </w:t>
            </w:r>
            <w:r w:rsidR="00BB1D45">
              <w:rPr>
                <w:rFonts w:asciiTheme="minorHAnsi" w:hAnsiTheme="minorHAnsi" w:cstheme="minorHAnsi"/>
              </w:rPr>
              <w:t>the HRA</w:t>
            </w:r>
            <w:r w:rsidRPr="00415D02">
              <w:rPr>
                <w:rFonts w:asciiTheme="minorHAnsi" w:hAnsiTheme="minorHAnsi" w:cstheme="minorHAnsi"/>
              </w:rPr>
              <w:t xml:space="preserve"> Board on recent QA activity and progress towards external ISO9001 Certification</w:t>
            </w:r>
            <w:r w:rsidR="00754CDB" w:rsidRPr="00415D02">
              <w:rPr>
                <w:rFonts w:asciiTheme="minorHAnsi" w:hAnsiTheme="minorHAnsi" w:cstheme="minorHAnsi"/>
              </w:rPr>
              <w:t xml:space="preserve"> and wider </w:t>
            </w:r>
            <w:r w:rsidR="00BB1D45">
              <w:rPr>
                <w:rFonts w:asciiTheme="minorHAnsi" w:hAnsiTheme="minorHAnsi" w:cstheme="minorHAnsi"/>
              </w:rPr>
              <w:t>activity within the department, in line with previous updates.</w:t>
            </w:r>
          </w:p>
          <w:p w:rsidR="00754CDB" w:rsidRPr="00415D02" w:rsidRDefault="00754CDB" w:rsidP="00754CDB">
            <w:pPr>
              <w:rPr>
                <w:rFonts w:asciiTheme="minorHAnsi" w:hAnsiTheme="minorHAnsi" w:cstheme="minorHAnsi"/>
              </w:rPr>
            </w:pPr>
          </w:p>
        </w:tc>
      </w:tr>
      <w:tr w:rsidR="00C74411" w:rsidRPr="00C90060" w:rsidTr="005B0063">
        <w:tc>
          <w:tcPr>
            <w:tcW w:w="2628" w:type="dxa"/>
          </w:tcPr>
          <w:p w:rsidR="00C74411" w:rsidRDefault="00C74411" w:rsidP="00531623">
            <w:pPr>
              <w:rPr>
                <w:rFonts w:asciiTheme="minorHAnsi" w:hAnsiTheme="minorHAnsi" w:cstheme="minorHAnsi"/>
                <w:b/>
              </w:rPr>
            </w:pPr>
            <w:r w:rsidRPr="00C90060">
              <w:rPr>
                <w:rFonts w:asciiTheme="minorHAnsi" w:hAnsiTheme="minorHAnsi" w:cstheme="minorHAnsi"/>
                <w:b/>
              </w:rPr>
              <w:t>Reason for Submission:</w:t>
            </w:r>
          </w:p>
          <w:p w:rsidR="00C74411" w:rsidRPr="00C90060" w:rsidRDefault="00C74411" w:rsidP="00531623">
            <w:pPr>
              <w:rPr>
                <w:rFonts w:asciiTheme="minorHAnsi" w:hAnsiTheme="minorHAnsi" w:cstheme="minorHAnsi"/>
                <w:b/>
              </w:rPr>
            </w:pPr>
          </w:p>
          <w:p w:rsidR="00C74411" w:rsidRPr="00C90060" w:rsidRDefault="00C74411" w:rsidP="00531623">
            <w:pPr>
              <w:rPr>
                <w:rFonts w:asciiTheme="minorHAnsi" w:hAnsiTheme="minorHAnsi" w:cstheme="minorHAnsi"/>
                <w:b/>
              </w:rPr>
            </w:pPr>
          </w:p>
        </w:tc>
        <w:tc>
          <w:tcPr>
            <w:tcW w:w="6320" w:type="dxa"/>
          </w:tcPr>
          <w:p w:rsidR="00754CDB" w:rsidRPr="00415D02" w:rsidRDefault="00754CDB" w:rsidP="00754CDB">
            <w:pPr>
              <w:rPr>
                <w:rFonts w:asciiTheme="minorHAnsi" w:hAnsiTheme="minorHAnsi" w:cstheme="minorHAnsi"/>
                <w:color w:val="000000"/>
              </w:rPr>
            </w:pPr>
            <w:r w:rsidRPr="00415D02">
              <w:rPr>
                <w:rFonts w:asciiTheme="minorHAnsi" w:hAnsiTheme="minorHAnsi" w:cstheme="minorHAnsi"/>
              </w:rPr>
              <w:t xml:space="preserve">The business plan for 2015/’16, noted </w:t>
            </w:r>
            <w:r w:rsidR="00CE4BF9">
              <w:rPr>
                <w:rFonts w:asciiTheme="minorHAnsi" w:hAnsiTheme="minorHAnsi" w:cstheme="minorHAnsi"/>
              </w:rPr>
              <w:t xml:space="preserve">for </w:t>
            </w:r>
            <w:r w:rsidRPr="00415D02">
              <w:rPr>
                <w:rFonts w:asciiTheme="minorHAnsi" w:hAnsiTheme="minorHAnsi" w:cstheme="minorHAnsi"/>
              </w:rPr>
              <w:t xml:space="preserve"> QA to ‘</w:t>
            </w:r>
            <w:r w:rsidRPr="00415D02">
              <w:rPr>
                <w:rFonts w:asciiTheme="minorHAnsi" w:hAnsiTheme="minorHAnsi" w:cstheme="minorHAnsi"/>
                <w:color w:val="000000"/>
              </w:rPr>
              <w:t>Ensure all functions and services provided within and by the HRA are of a high quality, quality checked and continually improve in response to feedback’</w:t>
            </w:r>
            <w:r w:rsidR="00CE4BF9">
              <w:rPr>
                <w:rFonts w:asciiTheme="minorHAnsi" w:hAnsiTheme="minorHAnsi" w:cstheme="minorHAnsi"/>
                <w:color w:val="000000"/>
              </w:rPr>
              <w:t>.</w:t>
            </w:r>
            <w:r w:rsidRPr="00415D02">
              <w:rPr>
                <w:rFonts w:asciiTheme="minorHAnsi" w:hAnsiTheme="minorHAnsi" w:cstheme="minorHAnsi"/>
                <w:color w:val="000000"/>
              </w:rPr>
              <w:t xml:space="preserve"> </w:t>
            </w:r>
          </w:p>
          <w:p w:rsidR="00754CDB" w:rsidRPr="00415D02" w:rsidRDefault="00754CDB" w:rsidP="00531623">
            <w:pPr>
              <w:rPr>
                <w:rFonts w:asciiTheme="minorHAnsi" w:hAnsiTheme="minorHAnsi" w:cstheme="minorHAnsi"/>
              </w:rPr>
            </w:pPr>
          </w:p>
          <w:p w:rsidR="00754CDB" w:rsidRPr="00415D02" w:rsidRDefault="00754CDB" w:rsidP="00531623">
            <w:pPr>
              <w:rPr>
                <w:rFonts w:asciiTheme="minorHAnsi" w:hAnsiTheme="minorHAnsi" w:cstheme="minorHAnsi"/>
              </w:rPr>
            </w:pPr>
            <w:r w:rsidRPr="00415D02">
              <w:rPr>
                <w:rFonts w:asciiTheme="minorHAnsi" w:hAnsiTheme="minorHAnsi" w:cstheme="minorHAnsi"/>
              </w:rPr>
              <w:t>This report provides an update upon developments and activity as we move t</w:t>
            </w:r>
            <w:r w:rsidR="007D0AE2">
              <w:rPr>
                <w:rFonts w:asciiTheme="minorHAnsi" w:hAnsiTheme="minorHAnsi" w:cstheme="minorHAnsi"/>
              </w:rPr>
              <w:t>o</w:t>
            </w:r>
            <w:r w:rsidR="00BB1D45">
              <w:rPr>
                <w:rFonts w:asciiTheme="minorHAnsi" w:hAnsiTheme="minorHAnsi" w:cstheme="minorHAnsi"/>
              </w:rPr>
              <w:t>wards</w:t>
            </w:r>
            <w:r w:rsidR="007D0AE2">
              <w:rPr>
                <w:rFonts w:asciiTheme="minorHAnsi" w:hAnsiTheme="minorHAnsi" w:cstheme="minorHAnsi"/>
              </w:rPr>
              <w:t xml:space="preserve"> the final quarter of the year and the fulfilment of the QA Business Plan activity. In addition this paper notes the first six months REC Accreditation Scheme reporting and User </w:t>
            </w:r>
            <w:r w:rsidR="00455D77">
              <w:rPr>
                <w:rFonts w:asciiTheme="minorHAnsi" w:hAnsiTheme="minorHAnsi" w:cstheme="minorHAnsi"/>
              </w:rPr>
              <w:t xml:space="preserve">Satisfaction feedback </w:t>
            </w:r>
            <w:r w:rsidR="007D0AE2">
              <w:rPr>
                <w:rFonts w:asciiTheme="minorHAnsi" w:hAnsiTheme="minorHAnsi" w:cstheme="minorHAnsi"/>
              </w:rPr>
              <w:t xml:space="preserve">for the same period.  </w:t>
            </w:r>
          </w:p>
          <w:p w:rsidR="00754CDB" w:rsidRPr="00415D02" w:rsidRDefault="00754CDB" w:rsidP="00531623">
            <w:pPr>
              <w:rPr>
                <w:rFonts w:asciiTheme="minorHAnsi" w:hAnsiTheme="minorHAnsi" w:cstheme="minorHAnsi"/>
              </w:rPr>
            </w:pPr>
          </w:p>
          <w:p w:rsidR="00754CDB" w:rsidRDefault="00BB1D45" w:rsidP="007D0AE2">
            <w:pPr>
              <w:rPr>
                <w:rFonts w:asciiTheme="minorHAnsi" w:hAnsiTheme="minorHAnsi" w:cstheme="minorHAnsi"/>
              </w:rPr>
            </w:pPr>
            <w:r>
              <w:rPr>
                <w:rFonts w:asciiTheme="minorHAnsi" w:hAnsiTheme="minorHAnsi" w:cstheme="minorHAnsi"/>
              </w:rPr>
              <w:t>Th</w:t>
            </w:r>
            <w:r w:rsidR="007D0AE2">
              <w:rPr>
                <w:rFonts w:asciiTheme="minorHAnsi" w:hAnsiTheme="minorHAnsi" w:cstheme="minorHAnsi"/>
              </w:rPr>
              <w:t xml:space="preserve">e Board, are asked to note and comment upon the work undertaken and endorse the </w:t>
            </w:r>
            <w:r>
              <w:rPr>
                <w:rFonts w:asciiTheme="minorHAnsi" w:hAnsiTheme="minorHAnsi" w:cstheme="minorHAnsi"/>
              </w:rPr>
              <w:t xml:space="preserve">continuing </w:t>
            </w:r>
            <w:r w:rsidR="007D0AE2">
              <w:rPr>
                <w:rFonts w:asciiTheme="minorHAnsi" w:hAnsiTheme="minorHAnsi" w:cstheme="minorHAnsi"/>
              </w:rPr>
              <w:t>development through to ISO 9001 Certification external audit in Q4 this year</w:t>
            </w:r>
            <w:r>
              <w:rPr>
                <w:rFonts w:asciiTheme="minorHAnsi" w:hAnsiTheme="minorHAnsi" w:cstheme="minorHAnsi"/>
              </w:rPr>
              <w:t>, in line with our business plan</w:t>
            </w:r>
            <w:r w:rsidR="005D20A5">
              <w:rPr>
                <w:rFonts w:asciiTheme="minorHAnsi" w:hAnsiTheme="minorHAnsi" w:cstheme="minorHAnsi"/>
              </w:rPr>
              <w:t xml:space="preserve"> and commitment within our Quality Policy.</w:t>
            </w:r>
          </w:p>
          <w:p w:rsidR="007D0AE2" w:rsidRPr="00415D02" w:rsidRDefault="007D0AE2" w:rsidP="007D0AE2">
            <w:pPr>
              <w:rPr>
                <w:rFonts w:asciiTheme="minorHAnsi" w:hAnsiTheme="minorHAnsi" w:cstheme="minorHAnsi"/>
              </w:rPr>
            </w:pPr>
          </w:p>
        </w:tc>
      </w:tr>
      <w:tr w:rsidR="00C74411" w:rsidRPr="00C90060" w:rsidTr="005B0063">
        <w:tc>
          <w:tcPr>
            <w:tcW w:w="2628" w:type="dxa"/>
          </w:tcPr>
          <w:p w:rsidR="00C74411" w:rsidRDefault="00C74411" w:rsidP="00531623">
            <w:pPr>
              <w:rPr>
                <w:rFonts w:asciiTheme="minorHAnsi" w:hAnsiTheme="minorHAnsi" w:cstheme="minorHAnsi"/>
                <w:b/>
              </w:rPr>
            </w:pPr>
            <w:r w:rsidRPr="00C90060">
              <w:rPr>
                <w:rFonts w:asciiTheme="minorHAnsi" w:hAnsiTheme="minorHAnsi" w:cstheme="minorHAnsi"/>
                <w:b/>
              </w:rPr>
              <w:t>Details:</w:t>
            </w:r>
          </w:p>
          <w:p w:rsidR="00C74411" w:rsidRPr="00C90060" w:rsidRDefault="00C74411" w:rsidP="00531623">
            <w:pPr>
              <w:rPr>
                <w:rFonts w:asciiTheme="minorHAnsi" w:hAnsiTheme="minorHAnsi" w:cstheme="minorHAnsi"/>
                <w:b/>
              </w:rPr>
            </w:pPr>
          </w:p>
        </w:tc>
        <w:tc>
          <w:tcPr>
            <w:tcW w:w="6320" w:type="dxa"/>
          </w:tcPr>
          <w:p w:rsidR="00C74411" w:rsidRPr="00415D02" w:rsidRDefault="00D65924" w:rsidP="00531623">
            <w:pPr>
              <w:rPr>
                <w:rFonts w:asciiTheme="minorHAnsi" w:hAnsiTheme="minorHAnsi" w:cstheme="minorHAnsi"/>
              </w:rPr>
            </w:pPr>
            <w:r w:rsidRPr="00415D02">
              <w:rPr>
                <w:rFonts w:asciiTheme="minorHAnsi" w:hAnsiTheme="minorHAnsi" w:cstheme="minorHAnsi"/>
              </w:rPr>
              <w:t>Enclosed within</w:t>
            </w:r>
            <w:r w:rsidR="00754CDB" w:rsidRPr="00415D02">
              <w:rPr>
                <w:rFonts w:asciiTheme="minorHAnsi" w:hAnsiTheme="minorHAnsi" w:cstheme="minorHAnsi"/>
              </w:rPr>
              <w:t>.</w:t>
            </w:r>
          </w:p>
        </w:tc>
      </w:tr>
      <w:tr w:rsidR="00C74411" w:rsidRPr="00C90060" w:rsidTr="005B0063">
        <w:tc>
          <w:tcPr>
            <w:tcW w:w="2628" w:type="dxa"/>
          </w:tcPr>
          <w:p w:rsidR="00C74411" w:rsidRDefault="00C74411" w:rsidP="00531623">
            <w:pPr>
              <w:rPr>
                <w:rFonts w:asciiTheme="minorHAnsi" w:hAnsiTheme="minorHAnsi" w:cstheme="minorHAnsi"/>
                <w:b/>
              </w:rPr>
            </w:pPr>
            <w:r>
              <w:rPr>
                <w:rFonts w:asciiTheme="minorHAnsi" w:hAnsiTheme="minorHAnsi" w:cstheme="minorHAnsi"/>
                <w:b/>
              </w:rPr>
              <w:t>Time required for item:</w:t>
            </w:r>
          </w:p>
          <w:p w:rsidR="00C74411" w:rsidRPr="00C90060" w:rsidRDefault="00C74411" w:rsidP="00531623">
            <w:pPr>
              <w:rPr>
                <w:rFonts w:asciiTheme="minorHAnsi" w:hAnsiTheme="minorHAnsi" w:cstheme="minorHAnsi"/>
                <w:b/>
              </w:rPr>
            </w:pPr>
          </w:p>
        </w:tc>
        <w:tc>
          <w:tcPr>
            <w:tcW w:w="6320" w:type="dxa"/>
          </w:tcPr>
          <w:p w:rsidR="00C74411" w:rsidRPr="00415D02" w:rsidRDefault="00C21D99" w:rsidP="00531623">
            <w:pPr>
              <w:rPr>
                <w:rFonts w:asciiTheme="minorHAnsi" w:hAnsiTheme="minorHAnsi" w:cstheme="minorHAnsi"/>
                <w:b/>
              </w:rPr>
            </w:pPr>
            <w:r>
              <w:rPr>
                <w:rFonts w:asciiTheme="minorHAnsi" w:hAnsiTheme="minorHAnsi" w:cstheme="minorHAnsi"/>
                <w:b/>
              </w:rPr>
              <w:t>30</w:t>
            </w:r>
          </w:p>
        </w:tc>
      </w:tr>
    </w:tbl>
    <w:p w:rsidR="00C74411" w:rsidRPr="00C90060" w:rsidRDefault="00C74411" w:rsidP="00C74411">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C74411" w:rsidRPr="00C90060" w:rsidTr="00531623">
        <w:tc>
          <w:tcPr>
            <w:tcW w:w="2628" w:type="dxa"/>
            <w:vMerge w:val="restart"/>
            <w:shd w:val="clear" w:color="auto" w:fill="D9D9D9" w:themeFill="background1" w:themeFillShade="D9"/>
          </w:tcPr>
          <w:p w:rsidR="00C74411" w:rsidRPr="00C90060" w:rsidRDefault="00C74411" w:rsidP="00531623">
            <w:pPr>
              <w:rPr>
                <w:rFonts w:asciiTheme="minorHAnsi" w:hAnsiTheme="minorHAnsi" w:cstheme="minorHAnsi"/>
                <w:b/>
              </w:rPr>
            </w:pPr>
            <w:r w:rsidRPr="00C90060">
              <w:rPr>
                <w:rFonts w:asciiTheme="minorHAnsi" w:hAnsiTheme="minorHAnsi" w:cstheme="minorHAnsi"/>
                <w:b/>
              </w:rPr>
              <w:t>Recommendation / Proposed Actions:</w:t>
            </w:r>
          </w:p>
          <w:p w:rsidR="00C74411" w:rsidRPr="00C90060" w:rsidRDefault="00C74411" w:rsidP="00531623">
            <w:pPr>
              <w:rPr>
                <w:rFonts w:asciiTheme="minorHAnsi" w:hAnsiTheme="minorHAnsi" w:cstheme="minorHAnsi"/>
                <w:b/>
              </w:rPr>
            </w:pPr>
          </w:p>
        </w:tc>
        <w:tc>
          <w:tcPr>
            <w:tcW w:w="5040" w:type="dxa"/>
            <w:gridSpan w:val="2"/>
            <w:shd w:val="clear" w:color="auto" w:fill="D9D9D9" w:themeFill="background1" w:themeFillShade="D9"/>
          </w:tcPr>
          <w:p w:rsidR="00C74411" w:rsidRPr="00C90060" w:rsidRDefault="00C74411" w:rsidP="00531623">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C74411" w:rsidRPr="00C90060" w:rsidRDefault="00C74411" w:rsidP="00531623">
            <w:pPr>
              <w:rPr>
                <w:rFonts w:asciiTheme="minorHAnsi" w:hAnsiTheme="minorHAnsi" w:cstheme="minorHAnsi"/>
                <w:b/>
              </w:rPr>
            </w:pPr>
            <w:r>
              <w:rPr>
                <w:rFonts w:asciiTheme="minorHAnsi" w:hAnsiTheme="minorHAnsi" w:cstheme="minorHAnsi"/>
                <w:b/>
              </w:rPr>
              <w:t>x</w:t>
            </w:r>
          </w:p>
        </w:tc>
      </w:tr>
      <w:tr w:rsidR="00C74411" w:rsidRPr="00C90060" w:rsidTr="00531623">
        <w:tc>
          <w:tcPr>
            <w:tcW w:w="2628" w:type="dxa"/>
            <w:vMerge/>
            <w:shd w:val="clear" w:color="auto" w:fill="D9D9D9" w:themeFill="background1" w:themeFillShade="D9"/>
          </w:tcPr>
          <w:p w:rsidR="00C74411" w:rsidRPr="00C90060" w:rsidRDefault="00C74411" w:rsidP="00531623">
            <w:pPr>
              <w:rPr>
                <w:rFonts w:asciiTheme="minorHAnsi" w:hAnsiTheme="minorHAnsi" w:cstheme="minorHAnsi"/>
                <w:b/>
              </w:rPr>
            </w:pPr>
          </w:p>
        </w:tc>
        <w:tc>
          <w:tcPr>
            <w:tcW w:w="5040" w:type="dxa"/>
            <w:gridSpan w:val="2"/>
            <w:shd w:val="clear" w:color="auto" w:fill="D9D9D9" w:themeFill="background1" w:themeFillShade="D9"/>
          </w:tcPr>
          <w:p w:rsidR="00C74411" w:rsidRPr="00C90060" w:rsidRDefault="00C74411" w:rsidP="00531623">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C74411" w:rsidRPr="00C90060" w:rsidRDefault="00C74411" w:rsidP="00531623">
            <w:pPr>
              <w:rPr>
                <w:rFonts w:asciiTheme="minorHAnsi" w:hAnsiTheme="minorHAnsi" w:cstheme="minorHAnsi"/>
                <w:b/>
              </w:rPr>
            </w:pPr>
          </w:p>
        </w:tc>
      </w:tr>
      <w:tr w:rsidR="00C74411" w:rsidRPr="00C90060" w:rsidTr="00531623">
        <w:tc>
          <w:tcPr>
            <w:tcW w:w="2628" w:type="dxa"/>
            <w:vMerge/>
            <w:shd w:val="clear" w:color="auto" w:fill="D9D9D9" w:themeFill="background1" w:themeFillShade="D9"/>
          </w:tcPr>
          <w:p w:rsidR="00C74411" w:rsidRPr="00C90060" w:rsidRDefault="00C74411" w:rsidP="00531623">
            <w:pPr>
              <w:rPr>
                <w:rFonts w:asciiTheme="minorHAnsi" w:hAnsiTheme="minorHAnsi" w:cstheme="minorHAnsi"/>
                <w:b/>
              </w:rPr>
            </w:pPr>
          </w:p>
        </w:tc>
        <w:tc>
          <w:tcPr>
            <w:tcW w:w="5040" w:type="dxa"/>
            <w:gridSpan w:val="2"/>
            <w:shd w:val="clear" w:color="auto" w:fill="D9D9D9" w:themeFill="background1" w:themeFillShade="D9"/>
          </w:tcPr>
          <w:p w:rsidR="00C74411" w:rsidRPr="00C90060" w:rsidRDefault="00C74411" w:rsidP="00531623">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C74411" w:rsidRPr="00C90060" w:rsidRDefault="00D65924" w:rsidP="00531623">
            <w:pPr>
              <w:rPr>
                <w:rFonts w:asciiTheme="minorHAnsi" w:hAnsiTheme="minorHAnsi" w:cstheme="minorHAnsi"/>
                <w:b/>
              </w:rPr>
            </w:pPr>
            <w:r>
              <w:rPr>
                <w:rFonts w:asciiTheme="minorHAnsi" w:hAnsiTheme="minorHAnsi" w:cstheme="minorHAnsi"/>
                <w:b/>
              </w:rPr>
              <w:t>x</w:t>
            </w:r>
          </w:p>
        </w:tc>
      </w:tr>
      <w:tr w:rsidR="00C74411" w:rsidRPr="00C90060" w:rsidTr="00531623">
        <w:tc>
          <w:tcPr>
            <w:tcW w:w="2628" w:type="dxa"/>
            <w:vMerge/>
            <w:shd w:val="clear" w:color="auto" w:fill="D9D9D9" w:themeFill="background1" w:themeFillShade="D9"/>
          </w:tcPr>
          <w:p w:rsidR="00C74411" w:rsidRPr="00C90060" w:rsidRDefault="00C74411" w:rsidP="00531623">
            <w:pPr>
              <w:rPr>
                <w:rFonts w:asciiTheme="minorHAnsi" w:hAnsiTheme="minorHAnsi" w:cstheme="minorHAnsi"/>
                <w:b/>
              </w:rPr>
            </w:pPr>
          </w:p>
        </w:tc>
        <w:tc>
          <w:tcPr>
            <w:tcW w:w="1350" w:type="dxa"/>
            <w:shd w:val="clear" w:color="auto" w:fill="D9D9D9" w:themeFill="background1" w:themeFillShade="D9"/>
          </w:tcPr>
          <w:p w:rsidR="00C74411" w:rsidRPr="00C90060" w:rsidRDefault="00C74411" w:rsidP="00531623">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C74411" w:rsidRPr="00C90060" w:rsidRDefault="00C74411" w:rsidP="00531623">
            <w:pPr>
              <w:rPr>
                <w:rFonts w:asciiTheme="minorHAnsi" w:hAnsiTheme="minorHAnsi" w:cstheme="minorHAnsi"/>
                <w:b/>
              </w:rPr>
            </w:pPr>
          </w:p>
        </w:tc>
      </w:tr>
    </w:tbl>
    <w:p w:rsidR="00C74411" w:rsidRPr="00C90060" w:rsidRDefault="00C74411" w:rsidP="00C74411">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C74411" w:rsidRPr="00C90060" w:rsidTr="00531623">
        <w:tc>
          <w:tcPr>
            <w:tcW w:w="2628" w:type="dxa"/>
          </w:tcPr>
          <w:p w:rsidR="00C74411" w:rsidRPr="00C90060" w:rsidRDefault="00C74411" w:rsidP="00531623">
            <w:pPr>
              <w:rPr>
                <w:rFonts w:asciiTheme="minorHAnsi" w:hAnsiTheme="minorHAnsi" w:cstheme="minorHAnsi"/>
                <w:b/>
              </w:rPr>
            </w:pPr>
            <w:r w:rsidRPr="00C90060">
              <w:rPr>
                <w:rFonts w:asciiTheme="minorHAnsi" w:hAnsiTheme="minorHAnsi" w:cstheme="minorHAnsi"/>
                <w:b/>
              </w:rPr>
              <w:t>Name:</w:t>
            </w:r>
          </w:p>
          <w:p w:rsidR="00C74411" w:rsidRPr="00C90060" w:rsidRDefault="00C74411" w:rsidP="00531623">
            <w:pPr>
              <w:rPr>
                <w:rFonts w:asciiTheme="minorHAnsi" w:hAnsiTheme="minorHAnsi" w:cstheme="minorHAnsi"/>
                <w:b/>
              </w:rPr>
            </w:pPr>
          </w:p>
        </w:tc>
        <w:tc>
          <w:tcPr>
            <w:tcW w:w="6320" w:type="dxa"/>
          </w:tcPr>
          <w:p w:rsidR="00C74411" w:rsidRPr="00C90060" w:rsidRDefault="00D65924" w:rsidP="00531623">
            <w:pPr>
              <w:rPr>
                <w:rFonts w:asciiTheme="minorHAnsi" w:hAnsiTheme="minorHAnsi" w:cstheme="minorHAnsi"/>
              </w:rPr>
            </w:pPr>
            <w:r>
              <w:rPr>
                <w:rFonts w:asciiTheme="minorHAnsi" w:hAnsiTheme="minorHAnsi" w:cstheme="minorHAnsi"/>
              </w:rPr>
              <w:t>Tom Smith</w:t>
            </w:r>
          </w:p>
        </w:tc>
      </w:tr>
      <w:tr w:rsidR="00C74411" w:rsidRPr="00C90060" w:rsidTr="00531623">
        <w:tc>
          <w:tcPr>
            <w:tcW w:w="2628" w:type="dxa"/>
          </w:tcPr>
          <w:p w:rsidR="00C74411" w:rsidRPr="00C90060" w:rsidRDefault="00C74411" w:rsidP="00531623">
            <w:pPr>
              <w:rPr>
                <w:rFonts w:asciiTheme="minorHAnsi" w:hAnsiTheme="minorHAnsi" w:cstheme="minorHAnsi"/>
                <w:b/>
              </w:rPr>
            </w:pPr>
            <w:r w:rsidRPr="00C90060">
              <w:rPr>
                <w:rFonts w:asciiTheme="minorHAnsi" w:hAnsiTheme="minorHAnsi" w:cstheme="minorHAnsi"/>
                <w:b/>
              </w:rPr>
              <w:t>Job Title:</w:t>
            </w:r>
          </w:p>
          <w:p w:rsidR="00C74411" w:rsidRPr="00C90060" w:rsidRDefault="00C74411" w:rsidP="00531623">
            <w:pPr>
              <w:rPr>
                <w:rFonts w:asciiTheme="minorHAnsi" w:hAnsiTheme="minorHAnsi" w:cstheme="minorHAnsi"/>
                <w:b/>
              </w:rPr>
            </w:pPr>
          </w:p>
        </w:tc>
        <w:tc>
          <w:tcPr>
            <w:tcW w:w="6320" w:type="dxa"/>
          </w:tcPr>
          <w:p w:rsidR="00C74411" w:rsidRPr="00C90060" w:rsidRDefault="00D65924" w:rsidP="00531623">
            <w:pPr>
              <w:rPr>
                <w:rFonts w:asciiTheme="minorHAnsi" w:hAnsiTheme="minorHAnsi" w:cstheme="minorHAnsi"/>
              </w:rPr>
            </w:pPr>
            <w:r>
              <w:rPr>
                <w:rFonts w:asciiTheme="minorHAnsi" w:hAnsiTheme="minorHAnsi" w:cstheme="minorHAnsi"/>
              </w:rPr>
              <w:t>Director of Quality, Guidance and Learning</w:t>
            </w:r>
          </w:p>
        </w:tc>
      </w:tr>
      <w:tr w:rsidR="00C74411" w:rsidRPr="00C90060" w:rsidTr="00531623">
        <w:tc>
          <w:tcPr>
            <w:tcW w:w="2628" w:type="dxa"/>
          </w:tcPr>
          <w:p w:rsidR="00C74411" w:rsidRPr="00C90060" w:rsidRDefault="00C74411" w:rsidP="00531623">
            <w:pPr>
              <w:rPr>
                <w:rFonts w:asciiTheme="minorHAnsi" w:hAnsiTheme="minorHAnsi" w:cstheme="minorHAnsi"/>
                <w:b/>
              </w:rPr>
            </w:pPr>
            <w:r w:rsidRPr="00C90060">
              <w:rPr>
                <w:rFonts w:asciiTheme="minorHAnsi" w:hAnsiTheme="minorHAnsi" w:cstheme="minorHAnsi"/>
                <w:b/>
              </w:rPr>
              <w:t>Date:</w:t>
            </w:r>
          </w:p>
        </w:tc>
        <w:tc>
          <w:tcPr>
            <w:tcW w:w="6320" w:type="dxa"/>
          </w:tcPr>
          <w:p w:rsidR="00C74411" w:rsidRPr="00C90060" w:rsidRDefault="00531623" w:rsidP="00531623">
            <w:pPr>
              <w:rPr>
                <w:rFonts w:asciiTheme="minorHAnsi" w:hAnsiTheme="minorHAnsi" w:cstheme="minorHAnsi"/>
              </w:rPr>
            </w:pPr>
            <w:r>
              <w:rPr>
                <w:rFonts w:asciiTheme="minorHAnsi" w:hAnsiTheme="minorHAnsi" w:cstheme="minorHAnsi"/>
              </w:rPr>
              <w:t>09 November</w:t>
            </w:r>
            <w:r w:rsidR="00D65924">
              <w:rPr>
                <w:rFonts w:asciiTheme="minorHAnsi" w:hAnsiTheme="minorHAnsi" w:cstheme="minorHAnsi"/>
              </w:rPr>
              <w:t xml:space="preserve"> 2015</w:t>
            </w:r>
          </w:p>
        </w:tc>
      </w:tr>
    </w:tbl>
    <w:p w:rsidR="00623E13" w:rsidRDefault="00623E13" w:rsidP="008E163E">
      <w:pPr>
        <w:tabs>
          <w:tab w:val="left" w:pos="1980"/>
        </w:tabs>
        <w:spacing w:after="0" w:line="240" w:lineRule="auto"/>
        <w:jc w:val="both"/>
        <w:rPr>
          <w:rFonts w:cs="Arial"/>
          <w:b/>
          <w:color w:val="000000" w:themeColor="text1"/>
          <w:u w:val="single"/>
        </w:rPr>
      </w:pPr>
    </w:p>
    <w:p w:rsidR="00623E13" w:rsidRDefault="00623E13" w:rsidP="008E163E">
      <w:pPr>
        <w:tabs>
          <w:tab w:val="left" w:pos="1980"/>
        </w:tabs>
        <w:spacing w:after="0" w:line="240" w:lineRule="auto"/>
        <w:jc w:val="both"/>
        <w:rPr>
          <w:rFonts w:cs="Arial"/>
          <w:b/>
          <w:color w:val="000000" w:themeColor="text1"/>
          <w:u w:val="single"/>
        </w:rPr>
      </w:pPr>
    </w:p>
    <w:p w:rsidR="00E53B69" w:rsidRPr="008E163E" w:rsidRDefault="00E53B69" w:rsidP="008E163E">
      <w:pPr>
        <w:tabs>
          <w:tab w:val="left" w:pos="1980"/>
        </w:tabs>
        <w:spacing w:after="0" w:line="240" w:lineRule="auto"/>
        <w:jc w:val="both"/>
        <w:rPr>
          <w:rFonts w:cs="Arial"/>
          <w:b/>
          <w:color w:val="000000" w:themeColor="text1"/>
          <w:u w:val="single"/>
        </w:rPr>
      </w:pPr>
      <w:r w:rsidRPr="008E163E">
        <w:rPr>
          <w:rFonts w:cs="Arial"/>
          <w:b/>
          <w:color w:val="000000" w:themeColor="text1"/>
          <w:u w:val="single"/>
        </w:rPr>
        <w:t xml:space="preserve">Quality Assurance Department </w:t>
      </w:r>
    </w:p>
    <w:p w:rsidR="00E53B69" w:rsidRPr="008E163E" w:rsidRDefault="00E53B69" w:rsidP="008E163E">
      <w:pPr>
        <w:tabs>
          <w:tab w:val="left" w:pos="1980"/>
        </w:tabs>
        <w:spacing w:after="0" w:line="240" w:lineRule="auto"/>
        <w:jc w:val="both"/>
        <w:rPr>
          <w:rFonts w:cs="Arial"/>
          <w:b/>
          <w:color w:val="000000" w:themeColor="text1"/>
          <w:u w:val="single"/>
        </w:rPr>
      </w:pPr>
    </w:p>
    <w:p w:rsidR="00E53B69" w:rsidRPr="008E163E" w:rsidRDefault="00567491" w:rsidP="008E163E">
      <w:pPr>
        <w:tabs>
          <w:tab w:val="left" w:pos="1980"/>
        </w:tabs>
        <w:spacing w:after="0" w:line="240" w:lineRule="auto"/>
        <w:jc w:val="both"/>
        <w:rPr>
          <w:rFonts w:cs="Arial"/>
          <w:b/>
          <w:color w:val="000000" w:themeColor="text1"/>
          <w:u w:val="single"/>
        </w:rPr>
      </w:pPr>
      <w:r>
        <w:rPr>
          <w:rFonts w:cs="Arial"/>
          <w:b/>
          <w:color w:val="000000" w:themeColor="text1"/>
          <w:u w:val="single"/>
        </w:rPr>
        <w:t xml:space="preserve">Update  - </w:t>
      </w:r>
      <w:r w:rsidR="00754CDB" w:rsidRPr="008E163E">
        <w:rPr>
          <w:rFonts w:cs="Arial"/>
          <w:b/>
          <w:color w:val="000000" w:themeColor="text1"/>
          <w:u w:val="single"/>
        </w:rPr>
        <w:t>November</w:t>
      </w:r>
      <w:r w:rsidR="00E53B69" w:rsidRPr="008E163E">
        <w:rPr>
          <w:rFonts w:cs="Arial"/>
          <w:b/>
          <w:color w:val="000000" w:themeColor="text1"/>
          <w:u w:val="single"/>
        </w:rPr>
        <w:t xml:space="preserve"> 2015</w:t>
      </w:r>
    </w:p>
    <w:p w:rsidR="00E53B69" w:rsidRPr="008E163E" w:rsidRDefault="00E53B69" w:rsidP="008E163E">
      <w:pPr>
        <w:tabs>
          <w:tab w:val="left" w:pos="1980"/>
        </w:tabs>
        <w:spacing w:after="0" w:line="240" w:lineRule="auto"/>
        <w:jc w:val="both"/>
        <w:rPr>
          <w:rFonts w:cs="Arial"/>
          <w:b/>
          <w:color w:val="000000" w:themeColor="text1"/>
        </w:rPr>
      </w:pPr>
    </w:p>
    <w:p w:rsidR="00E53B69" w:rsidRDefault="00E53B69" w:rsidP="008E163E">
      <w:pPr>
        <w:tabs>
          <w:tab w:val="left" w:pos="1980"/>
        </w:tabs>
        <w:spacing w:after="0" w:line="240" w:lineRule="auto"/>
        <w:jc w:val="both"/>
        <w:rPr>
          <w:rFonts w:cs="Arial"/>
          <w:b/>
          <w:color w:val="000000" w:themeColor="text1"/>
        </w:rPr>
      </w:pPr>
    </w:p>
    <w:p w:rsidR="00623E13" w:rsidRPr="008E163E" w:rsidRDefault="00623E13" w:rsidP="008E163E">
      <w:pPr>
        <w:tabs>
          <w:tab w:val="left" w:pos="1980"/>
        </w:tabs>
        <w:spacing w:after="0" w:line="240" w:lineRule="auto"/>
        <w:jc w:val="both"/>
        <w:rPr>
          <w:rFonts w:cs="Arial"/>
          <w:b/>
          <w:color w:val="000000" w:themeColor="text1"/>
        </w:rPr>
      </w:pPr>
    </w:p>
    <w:p w:rsidR="00E53B69" w:rsidRPr="008E163E" w:rsidRDefault="00754CDB" w:rsidP="008E163E">
      <w:pPr>
        <w:tabs>
          <w:tab w:val="left" w:pos="1980"/>
        </w:tabs>
        <w:spacing w:after="0" w:line="240" w:lineRule="auto"/>
        <w:jc w:val="both"/>
        <w:rPr>
          <w:rFonts w:cs="Arial"/>
          <w:b/>
          <w:color w:val="000000" w:themeColor="text1"/>
        </w:rPr>
      </w:pPr>
      <w:r w:rsidRPr="008E163E">
        <w:rPr>
          <w:rFonts w:cs="Arial"/>
          <w:b/>
          <w:color w:val="000000" w:themeColor="text1"/>
        </w:rPr>
        <w:t>Introduction</w:t>
      </w:r>
    </w:p>
    <w:p w:rsidR="00DF4C84" w:rsidRDefault="00DF4C84" w:rsidP="008E163E">
      <w:pPr>
        <w:tabs>
          <w:tab w:val="left" w:pos="1980"/>
        </w:tabs>
        <w:spacing w:after="0" w:line="240" w:lineRule="auto"/>
        <w:jc w:val="both"/>
        <w:rPr>
          <w:rFonts w:cs="Arial"/>
        </w:rPr>
      </w:pPr>
      <w:r>
        <w:rPr>
          <w:rFonts w:cs="Arial"/>
          <w:color w:val="000000"/>
        </w:rPr>
        <w:t>In line with our Quality Policy, th</w:t>
      </w:r>
      <w:r>
        <w:rPr>
          <w:rFonts w:cs="Arial"/>
        </w:rPr>
        <w:t xml:space="preserve">e HRA </w:t>
      </w:r>
      <w:r w:rsidRPr="00D360E5">
        <w:rPr>
          <w:rFonts w:cs="Arial"/>
        </w:rPr>
        <w:t xml:space="preserve">is committed to assuring the quality of </w:t>
      </w:r>
      <w:r>
        <w:rPr>
          <w:rFonts w:cs="Arial"/>
        </w:rPr>
        <w:t>our</w:t>
      </w:r>
      <w:r w:rsidRPr="00D360E5">
        <w:rPr>
          <w:rFonts w:cs="Arial"/>
        </w:rPr>
        <w:t xml:space="preserve"> service through the establishment and maintenance of a Quality Management System aiming to be compliant with the requirements of ISO 9001:2008</w:t>
      </w:r>
      <w:r>
        <w:rPr>
          <w:rFonts w:cs="Arial"/>
        </w:rPr>
        <w:t>.</w:t>
      </w:r>
    </w:p>
    <w:p w:rsidR="00DF4C84" w:rsidRDefault="00DF4C84" w:rsidP="008E163E">
      <w:pPr>
        <w:tabs>
          <w:tab w:val="left" w:pos="1980"/>
        </w:tabs>
        <w:spacing w:after="0" w:line="240" w:lineRule="auto"/>
        <w:jc w:val="both"/>
        <w:rPr>
          <w:rFonts w:cs="Arial"/>
        </w:rPr>
      </w:pPr>
    </w:p>
    <w:p w:rsidR="00754CDB" w:rsidRDefault="005D20A5" w:rsidP="008E163E">
      <w:pPr>
        <w:tabs>
          <w:tab w:val="left" w:pos="1980"/>
        </w:tabs>
        <w:spacing w:after="0" w:line="240" w:lineRule="auto"/>
        <w:jc w:val="both"/>
        <w:rPr>
          <w:rFonts w:cs="Arial"/>
          <w:color w:val="000000"/>
        </w:rPr>
      </w:pPr>
      <w:r>
        <w:rPr>
          <w:rFonts w:cs="Arial"/>
          <w:color w:val="000000" w:themeColor="text1"/>
        </w:rPr>
        <w:t>T</w:t>
      </w:r>
      <w:r w:rsidR="00754CDB" w:rsidRPr="008E163E">
        <w:rPr>
          <w:rFonts w:cs="Arial"/>
          <w:color w:val="000000" w:themeColor="text1"/>
        </w:rPr>
        <w:t xml:space="preserve">he Board will be familiar with the objectives for the Quality Assurance (QA) Department for the current year 2015/’16, which </w:t>
      </w:r>
      <w:r w:rsidR="00E56578" w:rsidRPr="008E163E">
        <w:rPr>
          <w:rFonts w:cs="Arial"/>
          <w:color w:val="000000" w:themeColor="text1"/>
        </w:rPr>
        <w:t>included the stated aim</w:t>
      </w:r>
      <w:r w:rsidR="0042707B">
        <w:rPr>
          <w:rFonts w:cs="Arial"/>
          <w:color w:val="000000" w:themeColor="text1"/>
        </w:rPr>
        <w:t>s</w:t>
      </w:r>
      <w:r w:rsidR="00E56578" w:rsidRPr="008E163E">
        <w:rPr>
          <w:rFonts w:cs="Arial"/>
          <w:color w:val="000000" w:themeColor="text1"/>
        </w:rPr>
        <w:t xml:space="preserve"> of w</w:t>
      </w:r>
      <w:r w:rsidR="00754CDB" w:rsidRPr="008E163E">
        <w:rPr>
          <w:rFonts w:cs="Arial"/>
          <w:color w:val="000000"/>
        </w:rPr>
        <w:t>iden</w:t>
      </w:r>
      <w:r w:rsidR="00E56578" w:rsidRPr="008E163E">
        <w:rPr>
          <w:rFonts w:cs="Arial"/>
          <w:color w:val="000000"/>
        </w:rPr>
        <w:t>ing</w:t>
      </w:r>
      <w:r w:rsidR="00754CDB" w:rsidRPr="008E163E">
        <w:rPr>
          <w:rFonts w:cs="Arial"/>
          <w:color w:val="000000"/>
        </w:rPr>
        <w:t xml:space="preserve"> the Internal Quality Audit function durin</w:t>
      </w:r>
      <w:r w:rsidR="00D4159D">
        <w:rPr>
          <w:rFonts w:cs="Arial"/>
          <w:color w:val="000000"/>
        </w:rPr>
        <w:t>g 2015 to</w:t>
      </w:r>
      <w:r w:rsidR="00E56578" w:rsidRPr="008E163E">
        <w:rPr>
          <w:rFonts w:cs="Arial"/>
          <w:color w:val="000000"/>
        </w:rPr>
        <w:t xml:space="preserve"> organisation wide and m</w:t>
      </w:r>
      <w:r w:rsidR="00754CDB" w:rsidRPr="008E163E">
        <w:rPr>
          <w:rFonts w:cs="Arial"/>
          <w:color w:val="000000"/>
        </w:rPr>
        <w:t xml:space="preserve">aintain </w:t>
      </w:r>
      <w:r w:rsidR="00E56578" w:rsidRPr="008E163E">
        <w:rPr>
          <w:rFonts w:cs="Arial"/>
          <w:color w:val="000000"/>
        </w:rPr>
        <w:t xml:space="preserve">the </w:t>
      </w:r>
      <w:r w:rsidR="00754CDB" w:rsidRPr="008E163E">
        <w:rPr>
          <w:rFonts w:cs="Arial"/>
          <w:color w:val="000000"/>
        </w:rPr>
        <w:t>HRA ISO9001 Certification (June ’15 external ISO audit) for the Qu</w:t>
      </w:r>
      <w:r w:rsidR="00E56578" w:rsidRPr="008E163E">
        <w:rPr>
          <w:rFonts w:cs="Arial"/>
          <w:color w:val="000000"/>
        </w:rPr>
        <w:t>ality Assurance Department.</w:t>
      </w:r>
    </w:p>
    <w:p w:rsidR="005D20A5" w:rsidRDefault="005D20A5" w:rsidP="008E163E">
      <w:pPr>
        <w:tabs>
          <w:tab w:val="left" w:pos="1980"/>
        </w:tabs>
        <w:spacing w:after="0" w:line="240" w:lineRule="auto"/>
        <w:jc w:val="both"/>
        <w:rPr>
          <w:rFonts w:cs="Arial"/>
          <w:color w:val="000000"/>
        </w:rPr>
      </w:pPr>
    </w:p>
    <w:p w:rsidR="005D20A5" w:rsidRDefault="005D20A5" w:rsidP="008E163E">
      <w:pPr>
        <w:tabs>
          <w:tab w:val="left" w:pos="1980"/>
        </w:tabs>
        <w:spacing w:after="0" w:line="240" w:lineRule="auto"/>
        <w:jc w:val="both"/>
        <w:rPr>
          <w:rFonts w:cs="Arial"/>
        </w:rPr>
      </w:pPr>
      <w:r>
        <w:rPr>
          <w:rFonts w:cs="Arial"/>
          <w:color w:val="000000"/>
        </w:rPr>
        <w:t xml:space="preserve">The Board </w:t>
      </w:r>
      <w:r w:rsidR="00D1149E">
        <w:rPr>
          <w:rFonts w:cs="Arial"/>
          <w:color w:val="000000"/>
        </w:rPr>
        <w:t xml:space="preserve">will </w:t>
      </w:r>
      <w:r w:rsidR="00DF4C84">
        <w:rPr>
          <w:rFonts w:cs="Arial"/>
          <w:color w:val="000000"/>
        </w:rPr>
        <w:t xml:space="preserve">recall </w:t>
      </w:r>
      <w:r>
        <w:rPr>
          <w:rFonts w:cs="Arial"/>
          <w:color w:val="000000"/>
        </w:rPr>
        <w:t xml:space="preserve">previous updates </w:t>
      </w:r>
      <w:r w:rsidR="00DF4C84">
        <w:rPr>
          <w:rFonts w:cs="Arial"/>
          <w:color w:val="000000"/>
        </w:rPr>
        <w:t xml:space="preserve">received in relation to the work against plan towards delivery of the business objectives. </w:t>
      </w:r>
    </w:p>
    <w:p w:rsidR="00754CDB" w:rsidRPr="008E163E" w:rsidRDefault="00754CDB" w:rsidP="008E163E">
      <w:pPr>
        <w:tabs>
          <w:tab w:val="left" w:pos="1980"/>
        </w:tabs>
        <w:spacing w:after="0" w:line="240" w:lineRule="auto"/>
        <w:jc w:val="both"/>
        <w:rPr>
          <w:rFonts w:cs="Arial"/>
          <w:color w:val="000000" w:themeColor="text1"/>
        </w:rPr>
      </w:pPr>
    </w:p>
    <w:p w:rsidR="005866AA" w:rsidRPr="008E163E" w:rsidRDefault="005866AA" w:rsidP="008E163E">
      <w:pPr>
        <w:tabs>
          <w:tab w:val="left" w:pos="1980"/>
        </w:tabs>
        <w:spacing w:after="0" w:line="240" w:lineRule="auto"/>
        <w:jc w:val="both"/>
        <w:rPr>
          <w:rFonts w:cs="Arial"/>
          <w:color w:val="000000" w:themeColor="text1"/>
        </w:rPr>
      </w:pPr>
    </w:p>
    <w:p w:rsidR="005866AA" w:rsidRPr="008E163E" w:rsidRDefault="005866AA" w:rsidP="008E163E">
      <w:pPr>
        <w:tabs>
          <w:tab w:val="left" w:pos="1980"/>
        </w:tabs>
        <w:spacing w:after="0" w:line="240" w:lineRule="auto"/>
        <w:jc w:val="both"/>
        <w:rPr>
          <w:rFonts w:cs="Arial"/>
          <w:b/>
          <w:color w:val="000000" w:themeColor="text1"/>
        </w:rPr>
      </w:pPr>
      <w:r w:rsidRPr="008E163E">
        <w:rPr>
          <w:rFonts w:cs="Arial"/>
          <w:b/>
          <w:color w:val="000000" w:themeColor="text1"/>
        </w:rPr>
        <w:t>Activity update</w:t>
      </w:r>
    </w:p>
    <w:p w:rsidR="00754CDB" w:rsidRPr="008E163E" w:rsidRDefault="0042707B" w:rsidP="008E163E">
      <w:pPr>
        <w:tabs>
          <w:tab w:val="left" w:pos="1980"/>
        </w:tabs>
        <w:spacing w:after="0" w:line="240" w:lineRule="auto"/>
        <w:jc w:val="both"/>
        <w:rPr>
          <w:rFonts w:cs="Arial"/>
          <w:color w:val="000000" w:themeColor="text1"/>
        </w:rPr>
      </w:pPr>
      <w:r>
        <w:rPr>
          <w:rFonts w:cs="Arial"/>
          <w:color w:val="000000" w:themeColor="text1"/>
        </w:rPr>
        <w:t>Building upon</w:t>
      </w:r>
      <w:r w:rsidR="00DE0E17" w:rsidRPr="008E163E">
        <w:rPr>
          <w:rFonts w:cs="Arial"/>
          <w:color w:val="000000" w:themeColor="text1"/>
        </w:rPr>
        <w:t xml:space="preserve"> the update to </w:t>
      </w:r>
      <w:r>
        <w:rPr>
          <w:rFonts w:cs="Arial"/>
          <w:color w:val="000000" w:themeColor="text1"/>
        </w:rPr>
        <w:t xml:space="preserve">the </w:t>
      </w:r>
      <w:r w:rsidR="00DE0E17" w:rsidRPr="008E163E">
        <w:rPr>
          <w:rFonts w:cs="Arial"/>
          <w:color w:val="000000" w:themeColor="text1"/>
        </w:rPr>
        <w:t xml:space="preserve">Board in July 2015, there has been </w:t>
      </w:r>
      <w:r w:rsidR="00D4159D">
        <w:rPr>
          <w:rFonts w:cs="Arial"/>
          <w:color w:val="000000" w:themeColor="text1"/>
        </w:rPr>
        <w:t xml:space="preserve">very </w:t>
      </w:r>
      <w:r w:rsidR="00DE0E17" w:rsidRPr="008E163E">
        <w:rPr>
          <w:rFonts w:cs="Arial"/>
          <w:color w:val="000000" w:themeColor="text1"/>
        </w:rPr>
        <w:t>significant internal audit activity over the last c18 months</w:t>
      </w:r>
      <w:r w:rsidR="005866AA" w:rsidRPr="008E163E">
        <w:rPr>
          <w:rFonts w:cs="Arial"/>
          <w:color w:val="000000" w:themeColor="text1"/>
        </w:rPr>
        <w:t>,</w:t>
      </w:r>
      <w:r w:rsidR="00DE0E17" w:rsidRPr="008E163E">
        <w:rPr>
          <w:rFonts w:cs="Arial"/>
          <w:color w:val="000000" w:themeColor="text1"/>
        </w:rPr>
        <w:t xml:space="preserve"> in undertaking audits and gap </w:t>
      </w:r>
      <w:r w:rsidR="004F1366" w:rsidRPr="008E163E">
        <w:rPr>
          <w:rFonts w:cs="Arial"/>
          <w:color w:val="000000" w:themeColor="text1"/>
        </w:rPr>
        <w:t>analysis</w:t>
      </w:r>
      <w:r w:rsidR="0034550C">
        <w:rPr>
          <w:rFonts w:cs="Arial"/>
          <w:color w:val="000000" w:themeColor="text1"/>
        </w:rPr>
        <w:t xml:space="preserve"> work, </w:t>
      </w:r>
      <w:r w:rsidR="00DE0E17" w:rsidRPr="008E163E">
        <w:rPr>
          <w:rFonts w:cs="Arial"/>
          <w:color w:val="000000" w:themeColor="text1"/>
        </w:rPr>
        <w:t xml:space="preserve">working with colleagues </w:t>
      </w:r>
      <w:r w:rsidR="004F1366" w:rsidRPr="008E163E">
        <w:rPr>
          <w:rFonts w:cs="Arial"/>
          <w:color w:val="000000" w:themeColor="text1"/>
        </w:rPr>
        <w:t xml:space="preserve">across the Authority </w:t>
      </w:r>
      <w:r w:rsidR="00DE0E17" w:rsidRPr="008E163E">
        <w:rPr>
          <w:rFonts w:cs="Arial"/>
          <w:color w:val="000000" w:themeColor="text1"/>
        </w:rPr>
        <w:t xml:space="preserve">to </w:t>
      </w:r>
      <w:r w:rsidR="00DF4C84">
        <w:rPr>
          <w:rFonts w:cs="Arial"/>
          <w:color w:val="000000" w:themeColor="text1"/>
        </w:rPr>
        <w:t xml:space="preserve">ensure that functions embed Quality Management System </w:t>
      </w:r>
      <w:r w:rsidR="0034550C">
        <w:rPr>
          <w:rFonts w:cs="Arial"/>
          <w:color w:val="000000" w:themeColor="text1"/>
        </w:rPr>
        <w:t xml:space="preserve">(QMS) </w:t>
      </w:r>
      <w:r w:rsidR="00DF4C84">
        <w:rPr>
          <w:rFonts w:cs="Arial"/>
          <w:color w:val="000000" w:themeColor="text1"/>
        </w:rPr>
        <w:t>principles within their everyday work and in documented procedures, where applicable</w:t>
      </w:r>
      <w:r w:rsidR="0034550C">
        <w:rPr>
          <w:rFonts w:cs="Arial"/>
          <w:color w:val="000000" w:themeColor="text1"/>
        </w:rPr>
        <w:t xml:space="preserve">. </w:t>
      </w:r>
      <w:r w:rsidR="00CE4BF9">
        <w:rPr>
          <w:rFonts w:cs="Arial"/>
          <w:color w:val="000000" w:themeColor="text1"/>
        </w:rPr>
        <w:t xml:space="preserve">This has been a significant undertaking, taking considerable time not only to audit, but also re-audit in the majority of areas and practically assist in terms of drafting </w:t>
      </w:r>
      <w:r w:rsidR="0034550C">
        <w:rPr>
          <w:rFonts w:cs="Arial"/>
          <w:color w:val="000000" w:themeColor="text1"/>
        </w:rPr>
        <w:t>documents</w:t>
      </w:r>
      <w:r w:rsidR="00CE4BF9">
        <w:rPr>
          <w:rFonts w:cs="Arial"/>
          <w:color w:val="000000" w:themeColor="text1"/>
        </w:rPr>
        <w:t xml:space="preserve">. The </w:t>
      </w:r>
      <w:r w:rsidR="00915B52">
        <w:rPr>
          <w:rFonts w:cs="Arial"/>
          <w:color w:val="000000" w:themeColor="text1"/>
        </w:rPr>
        <w:t xml:space="preserve">benefits are however, not only that our documentation is more robust and </w:t>
      </w:r>
      <w:r w:rsidR="00D4159D">
        <w:rPr>
          <w:rFonts w:cs="Arial"/>
          <w:color w:val="000000" w:themeColor="text1"/>
        </w:rPr>
        <w:t xml:space="preserve">better </w:t>
      </w:r>
      <w:r w:rsidR="00915B52">
        <w:rPr>
          <w:rFonts w:cs="Arial"/>
          <w:color w:val="000000" w:themeColor="text1"/>
        </w:rPr>
        <w:t>reflects the work undertaken but that our process</w:t>
      </w:r>
      <w:r w:rsidR="00D4159D">
        <w:rPr>
          <w:rFonts w:cs="Arial"/>
          <w:color w:val="000000" w:themeColor="text1"/>
        </w:rPr>
        <w:t xml:space="preserve"> as a single organisation,</w:t>
      </w:r>
      <w:r w:rsidR="0034550C">
        <w:rPr>
          <w:rFonts w:cs="Arial"/>
          <w:color w:val="000000" w:themeColor="text1"/>
        </w:rPr>
        <w:t xml:space="preserve"> Authority-</w:t>
      </w:r>
      <w:r w:rsidR="00915B52">
        <w:rPr>
          <w:rFonts w:cs="Arial"/>
          <w:color w:val="000000" w:themeColor="text1"/>
        </w:rPr>
        <w:t>wide</w:t>
      </w:r>
      <w:r>
        <w:rPr>
          <w:rFonts w:cs="Arial"/>
          <w:color w:val="000000" w:themeColor="text1"/>
        </w:rPr>
        <w:t>,</w:t>
      </w:r>
      <w:r w:rsidR="00915B52">
        <w:rPr>
          <w:rFonts w:cs="Arial"/>
          <w:color w:val="000000" w:themeColor="text1"/>
        </w:rPr>
        <w:t xml:space="preserve"> have been strengthened</w:t>
      </w:r>
      <w:r>
        <w:rPr>
          <w:rFonts w:cs="Arial"/>
          <w:color w:val="000000" w:themeColor="text1"/>
        </w:rPr>
        <w:t xml:space="preserve"> to ensure that we continue to improve our services offered</w:t>
      </w:r>
      <w:r w:rsidR="00915B52">
        <w:rPr>
          <w:rFonts w:cs="Arial"/>
          <w:color w:val="000000" w:themeColor="text1"/>
        </w:rPr>
        <w:t>.</w:t>
      </w:r>
    </w:p>
    <w:p w:rsidR="004F1366" w:rsidRPr="008E163E" w:rsidRDefault="004F1366" w:rsidP="008E163E">
      <w:pPr>
        <w:tabs>
          <w:tab w:val="left" w:pos="1980"/>
        </w:tabs>
        <w:spacing w:after="0" w:line="240" w:lineRule="auto"/>
        <w:jc w:val="both"/>
        <w:rPr>
          <w:rFonts w:cs="Arial"/>
          <w:color w:val="000000" w:themeColor="text1"/>
        </w:rPr>
      </w:pPr>
    </w:p>
    <w:p w:rsidR="004F1366" w:rsidRPr="008E163E" w:rsidRDefault="004F1366" w:rsidP="008E163E">
      <w:pPr>
        <w:tabs>
          <w:tab w:val="left" w:pos="1980"/>
        </w:tabs>
        <w:spacing w:after="0" w:line="240" w:lineRule="auto"/>
        <w:jc w:val="both"/>
        <w:rPr>
          <w:rFonts w:cs="Arial"/>
          <w:color w:val="000000" w:themeColor="text1"/>
        </w:rPr>
      </w:pPr>
      <w:r w:rsidRPr="008E163E">
        <w:rPr>
          <w:rFonts w:cs="Arial"/>
          <w:color w:val="000000" w:themeColor="text1"/>
        </w:rPr>
        <w:t>The benefits</w:t>
      </w:r>
      <w:r w:rsidR="005866AA" w:rsidRPr="008E163E">
        <w:rPr>
          <w:rFonts w:cs="Arial"/>
          <w:color w:val="000000" w:themeColor="text1"/>
        </w:rPr>
        <w:t xml:space="preserve"> of </w:t>
      </w:r>
      <w:r w:rsidR="00D4159D">
        <w:rPr>
          <w:rFonts w:cs="Arial"/>
          <w:color w:val="000000" w:themeColor="text1"/>
        </w:rPr>
        <w:t>embedding quality practices</w:t>
      </w:r>
      <w:r w:rsidR="005866AA" w:rsidRPr="008E163E">
        <w:rPr>
          <w:rFonts w:cs="Arial"/>
          <w:color w:val="000000" w:themeColor="text1"/>
        </w:rPr>
        <w:t xml:space="preserve">, </w:t>
      </w:r>
      <w:r w:rsidRPr="008E163E">
        <w:rPr>
          <w:rFonts w:cs="Arial"/>
          <w:color w:val="000000" w:themeColor="text1"/>
        </w:rPr>
        <w:t xml:space="preserve">are not only around reducing corporate risk as part of consideration </w:t>
      </w:r>
      <w:r w:rsidR="00D4159D">
        <w:rPr>
          <w:rFonts w:cs="Arial"/>
          <w:color w:val="000000" w:themeColor="text1"/>
        </w:rPr>
        <w:t>of</w:t>
      </w:r>
      <w:r w:rsidRPr="008E163E">
        <w:rPr>
          <w:rFonts w:cs="Arial"/>
          <w:color w:val="000000" w:themeColor="text1"/>
        </w:rPr>
        <w:t xml:space="preserve"> liabilities, but also importantly around delivering a high level</w:t>
      </w:r>
      <w:r w:rsidR="00D4159D">
        <w:rPr>
          <w:rFonts w:cs="Arial"/>
          <w:color w:val="000000" w:themeColor="text1"/>
        </w:rPr>
        <w:t xml:space="preserve"> service, </w:t>
      </w:r>
      <w:r w:rsidR="005866AA" w:rsidRPr="008E163E">
        <w:rPr>
          <w:rFonts w:cs="Arial"/>
          <w:color w:val="000000" w:themeColor="text1"/>
        </w:rPr>
        <w:t>continually improving</w:t>
      </w:r>
      <w:r w:rsidR="00D4159D">
        <w:rPr>
          <w:rFonts w:cs="Arial"/>
          <w:color w:val="000000" w:themeColor="text1"/>
        </w:rPr>
        <w:t xml:space="preserve"> and </w:t>
      </w:r>
      <w:r w:rsidRPr="008E163E">
        <w:rPr>
          <w:rFonts w:cs="Arial"/>
          <w:color w:val="000000" w:themeColor="text1"/>
        </w:rPr>
        <w:t xml:space="preserve">reducing duplication of working practice, saving time and resources and delivering upon our values statement. </w:t>
      </w:r>
    </w:p>
    <w:p w:rsidR="004F1366" w:rsidRPr="008E163E" w:rsidRDefault="004F1366" w:rsidP="008E163E">
      <w:pPr>
        <w:tabs>
          <w:tab w:val="left" w:pos="1980"/>
        </w:tabs>
        <w:spacing w:after="0" w:line="240" w:lineRule="auto"/>
        <w:jc w:val="both"/>
        <w:rPr>
          <w:rFonts w:cs="Arial"/>
          <w:color w:val="000000" w:themeColor="text1"/>
        </w:rPr>
      </w:pPr>
    </w:p>
    <w:p w:rsidR="008F0EC3" w:rsidRDefault="004F1366" w:rsidP="008E163E">
      <w:pPr>
        <w:tabs>
          <w:tab w:val="left" w:pos="1980"/>
        </w:tabs>
        <w:spacing w:after="0" w:line="240" w:lineRule="auto"/>
        <w:jc w:val="both"/>
        <w:rPr>
          <w:rFonts w:cs="Arial"/>
          <w:color w:val="000000" w:themeColor="text1"/>
        </w:rPr>
      </w:pPr>
      <w:r w:rsidRPr="008E163E">
        <w:rPr>
          <w:rFonts w:cs="Arial"/>
          <w:color w:val="000000" w:themeColor="text1"/>
        </w:rPr>
        <w:t xml:space="preserve">Appreciating the significant amount of </w:t>
      </w:r>
      <w:r w:rsidR="006910EC" w:rsidRPr="008E163E">
        <w:rPr>
          <w:rFonts w:cs="Arial"/>
          <w:color w:val="000000" w:themeColor="text1"/>
        </w:rPr>
        <w:t xml:space="preserve">input and </w:t>
      </w:r>
      <w:r w:rsidRPr="008E163E">
        <w:rPr>
          <w:rFonts w:cs="Arial"/>
          <w:color w:val="000000" w:themeColor="text1"/>
        </w:rPr>
        <w:t>work</w:t>
      </w:r>
      <w:r w:rsidR="006910EC" w:rsidRPr="008E163E">
        <w:rPr>
          <w:rFonts w:cs="Arial"/>
          <w:color w:val="000000" w:themeColor="text1"/>
        </w:rPr>
        <w:t xml:space="preserve"> development</w:t>
      </w:r>
      <w:r w:rsidRPr="008E163E">
        <w:rPr>
          <w:rFonts w:cs="Arial"/>
          <w:color w:val="000000" w:themeColor="text1"/>
        </w:rPr>
        <w:t xml:space="preserve"> this has taken to date, </w:t>
      </w:r>
      <w:r w:rsidR="00D1149E">
        <w:rPr>
          <w:rFonts w:cs="Arial"/>
          <w:color w:val="000000" w:themeColor="text1"/>
        </w:rPr>
        <w:t xml:space="preserve">particularly </w:t>
      </w:r>
      <w:r w:rsidR="00D4159D">
        <w:rPr>
          <w:rFonts w:cs="Arial"/>
          <w:color w:val="000000" w:themeColor="text1"/>
        </w:rPr>
        <w:t>for</w:t>
      </w:r>
      <w:r w:rsidR="006910EC" w:rsidRPr="008E163E">
        <w:rPr>
          <w:rFonts w:cs="Arial"/>
          <w:color w:val="000000" w:themeColor="text1"/>
        </w:rPr>
        <w:t xml:space="preserve"> the QA department staff team but </w:t>
      </w:r>
      <w:r w:rsidR="00D1149E">
        <w:rPr>
          <w:rFonts w:cs="Arial"/>
          <w:color w:val="000000" w:themeColor="text1"/>
        </w:rPr>
        <w:t xml:space="preserve">also </w:t>
      </w:r>
      <w:r w:rsidR="005866AA" w:rsidRPr="008E163E">
        <w:rPr>
          <w:rFonts w:cs="Arial"/>
          <w:color w:val="000000" w:themeColor="text1"/>
        </w:rPr>
        <w:t xml:space="preserve">of the </w:t>
      </w:r>
      <w:r w:rsidR="00D4159D">
        <w:rPr>
          <w:rFonts w:cs="Arial"/>
          <w:color w:val="000000" w:themeColor="text1"/>
        </w:rPr>
        <w:t>wider Authority</w:t>
      </w:r>
      <w:r w:rsidR="006910EC" w:rsidRPr="008E163E">
        <w:rPr>
          <w:rFonts w:cs="Arial"/>
          <w:color w:val="000000" w:themeColor="text1"/>
        </w:rPr>
        <w:t xml:space="preserve"> this year, the improvements made are anticipated to bring significant benefits to the organisation moving forward</w:t>
      </w:r>
      <w:r w:rsidR="00415D02" w:rsidRPr="008E163E">
        <w:rPr>
          <w:rFonts w:cs="Arial"/>
          <w:color w:val="000000" w:themeColor="text1"/>
        </w:rPr>
        <w:t xml:space="preserve">. </w:t>
      </w:r>
      <w:r w:rsidR="0034550C">
        <w:rPr>
          <w:rFonts w:cs="Arial"/>
          <w:color w:val="000000" w:themeColor="text1"/>
        </w:rPr>
        <w:t xml:space="preserve">Noting </w:t>
      </w:r>
      <w:r w:rsidR="008C55E3">
        <w:rPr>
          <w:rFonts w:cs="Arial"/>
          <w:color w:val="000000" w:themeColor="text1"/>
        </w:rPr>
        <w:t xml:space="preserve">also </w:t>
      </w:r>
      <w:r w:rsidR="0034550C">
        <w:rPr>
          <w:rFonts w:cs="Arial"/>
          <w:color w:val="000000" w:themeColor="text1"/>
        </w:rPr>
        <w:t xml:space="preserve">the considerable </w:t>
      </w:r>
      <w:r w:rsidR="008C55E3">
        <w:rPr>
          <w:rFonts w:cs="Arial"/>
          <w:color w:val="000000" w:themeColor="text1"/>
        </w:rPr>
        <w:t xml:space="preserve">current </w:t>
      </w:r>
      <w:r w:rsidR="0034550C">
        <w:rPr>
          <w:rFonts w:cs="Arial"/>
          <w:color w:val="000000" w:themeColor="text1"/>
        </w:rPr>
        <w:t>project to</w:t>
      </w:r>
      <w:r w:rsidR="006910EC" w:rsidRPr="008E163E">
        <w:rPr>
          <w:rFonts w:cs="Arial"/>
          <w:color w:val="000000" w:themeColor="text1"/>
        </w:rPr>
        <w:t xml:space="preserve"> fully </w:t>
      </w:r>
      <w:r w:rsidR="0034550C">
        <w:rPr>
          <w:rFonts w:cs="Arial"/>
          <w:color w:val="000000" w:themeColor="text1"/>
        </w:rPr>
        <w:t xml:space="preserve">implement a </w:t>
      </w:r>
      <w:r w:rsidR="006910EC" w:rsidRPr="008E163E">
        <w:rPr>
          <w:rFonts w:cs="Arial"/>
          <w:color w:val="000000" w:themeColor="text1"/>
        </w:rPr>
        <w:t>document management syst</w:t>
      </w:r>
      <w:r w:rsidR="00415D02" w:rsidRPr="008E163E">
        <w:rPr>
          <w:rFonts w:cs="Arial"/>
          <w:color w:val="000000" w:themeColor="text1"/>
        </w:rPr>
        <w:t>em (through HRA Hub)</w:t>
      </w:r>
      <w:r w:rsidR="0034550C">
        <w:rPr>
          <w:rFonts w:cs="Arial"/>
          <w:color w:val="000000" w:themeColor="text1"/>
        </w:rPr>
        <w:t xml:space="preserve"> across the HRA</w:t>
      </w:r>
      <w:r w:rsidR="00415D02" w:rsidRPr="008E163E">
        <w:rPr>
          <w:rFonts w:cs="Arial"/>
          <w:color w:val="000000" w:themeColor="text1"/>
        </w:rPr>
        <w:t>, the review and development in future</w:t>
      </w:r>
      <w:r w:rsidR="006910EC" w:rsidRPr="008E163E">
        <w:rPr>
          <w:rFonts w:cs="Arial"/>
          <w:color w:val="000000" w:themeColor="text1"/>
        </w:rPr>
        <w:t xml:space="preserve"> year</w:t>
      </w:r>
      <w:r w:rsidR="00415D02" w:rsidRPr="008E163E">
        <w:rPr>
          <w:rFonts w:cs="Arial"/>
          <w:color w:val="000000" w:themeColor="text1"/>
        </w:rPr>
        <w:t>s</w:t>
      </w:r>
      <w:r w:rsidR="006910EC" w:rsidRPr="008E163E">
        <w:rPr>
          <w:rFonts w:cs="Arial"/>
          <w:color w:val="000000" w:themeColor="text1"/>
        </w:rPr>
        <w:t xml:space="preserve"> </w:t>
      </w:r>
      <w:r w:rsidR="005866AA" w:rsidRPr="008E163E">
        <w:rPr>
          <w:rFonts w:cs="Arial"/>
          <w:color w:val="000000" w:themeColor="text1"/>
        </w:rPr>
        <w:t xml:space="preserve">of documentation </w:t>
      </w:r>
      <w:r w:rsidR="006910EC" w:rsidRPr="008E163E">
        <w:rPr>
          <w:rFonts w:cs="Arial"/>
          <w:color w:val="000000" w:themeColor="text1"/>
        </w:rPr>
        <w:t>will be less intensive</w:t>
      </w:r>
      <w:r w:rsidR="00415D02" w:rsidRPr="008E163E">
        <w:rPr>
          <w:rFonts w:cs="Arial"/>
          <w:color w:val="000000" w:themeColor="text1"/>
        </w:rPr>
        <w:t xml:space="preserve">, </w:t>
      </w:r>
      <w:r w:rsidR="008C55E3">
        <w:rPr>
          <w:rFonts w:cs="Arial"/>
          <w:color w:val="000000" w:themeColor="text1"/>
        </w:rPr>
        <w:t>increasin</w:t>
      </w:r>
      <w:r w:rsidR="00623E13">
        <w:rPr>
          <w:rFonts w:cs="Arial"/>
          <w:color w:val="000000" w:themeColor="text1"/>
        </w:rPr>
        <w:t>g</w:t>
      </w:r>
      <w:r w:rsidR="00415D02" w:rsidRPr="008E163E">
        <w:rPr>
          <w:rFonts w:cs="Arial"/>
          <w:color w:val="000000" w:themeColor="text1"/>
        </w:rPr>
        <w:t xml:space="preserve"> robust</w:t>
      </w:r>
      <w:r w:rsidR="008C55E3">
        <w:rPr>
          <w:rFonts w:cs="Arial"/>
          <w:color w:val="000000" w:themeColor="text1"/>
        </w:rPr>
        <w:t xml:space="preserve"> and </w:t>
      </w:r>
      <w:r w:rsidR="00415D02" w:rsidRPr="008E163E">
        <w:rPr>
          <w:rFonts w:cs="Arial"/>
          <w:color w:val="000000" w:themeColor="text1"/>
        </w:rPr>
        <w:t>reduc</w:t>
      </w:r>
      <w:r w:rsidR="00623E13">
        <w:rPr>
          <w:rFonts w:cs="Arial"/>
          <w:color w:val="000000" w:themeColor="text1"/>
        </w:rPr>
        <w:t>e</w:t>
      </w:r>
      <w:r w:rsidR="00415D02" w:rsidRPr="008E163E">
        <w:rPr>
          <w:rFonts w:cs="Arial"/>
          <w:color w:val="000000" w:themeColor="text1"/>
        </w:rPr>
        <w:t xml:space="preserve"> corporate risk, increas</w:t>
      </w:r>
      <w:r w:rsidR="008C55E3">
        <w:rPr>
          <w:rFonts w:cs="Arial"/>
          <w:color w:val="000000" w:themeColor="text1"/>
        </w:rPr>
        <w:t>e</w:t>
      </w:r>
      <w:r w:rsidR="00415D02" w:rsidRPr="008E163E">
        <w:rPr>
          <w:rFonts w:cs="Arial"/>
          <w:color w:val="000000" w:themeColor="text1"/>
        </w:rPr>
        <w:t xml:space="preserve"> confidence and ensuring that staff </w:t>
      </w:r>
      <w:r w:rsidR="008C55E3">
        <w:rPr>
          <w:rFonts w:cs="Arial"/>
          <w:color w:val="000000" w:themeColor="text1"/>
        </w:rPr>
        <w:t xml:space="preserve">have </w:t>
      </w:r>
      <w:r w:rsidR="00415D02" w:rsidRPr="008E163E">
        <w:rPr>
          <w:rFonts w:cs="Arial"/>
          <w:color w:val="000000" w:themeColor="text1"/>
        </w:rPr>
        <w:t>access to current document</w:t>
      </w:r>
      <w:r w:rsidR="008C55E3">
        <w:rPr>
          <w:rFonts w:cs="Arial"/>
          <w:color w:val="000000" w:themeColor="text1"/>
        </w:rPr>
        <w:t>s</w:t>
      </w:r>
      <w:r w:rsidR="006910EC" w:rsidRPr="008E163E">
        <w:rPr>
          <w:rFonts w:cs="Arial"/>
          <w:color w:val="000000" w:themeColor="text1"/>
        </w:rPr>
        <w:t xml:space="preserve">. </w:t>
      </w:r>
      <w:r w:rsidR="00D1149E">
        <w:rPr>
          <w:rFonts w:cs="Arial"/>
          <w:color w:val="000000" w:themeColor="text1"/>
        </w:rPr>
        <w:t>Wider than documentation</w:t>
      </w:r>
      <w:r w:rsidR="008C55E3">
        <w:rPr>
          <w:rFonts w:cs="Arial"/>
          <w:color w:val="000000" w:themeColor="text1"/>
        </w:rPr>
        <w:t xml:space="preserve"> however</w:t>
      </w:r>
      <w:r w:rsidR="00D1149E">
        <w:rPr>
          <w:rFonts w:cs="Arial"/>
          <w:color w:val="000000" w:themeColor="text1"/>
        </w:rPr>
        <w:t>, the i</w:t>
      </w:r>
      <w:r w:rsidR="00915B52">
        <w:rPr>
          <w:rFonts w:cs="Arial"/>
          <w:color w:val="000000" w:themeColor="text1"/>
        </w:rPr>
        <w:t>nvestment</w:t>
      </w:r>
      <w:r w:rsidR="008C55E3">
        <w:rPr>
          <w:rFonts w:cs="Arial"/>
          <w:color w:val="000000" w:themeColor="text1"/>
        </w:rPr>
        <w:t xml:space="preserve"> made this ye</w:t>
      </w:r>
      <w:r w:rsidR="005866AA" w:rsidRPr="008E163E">
        <w:rPr>
          <w:rFonts w:cs="Arial"/>
          <w:color w:val="000000" w:themeColor="text1"/>
        </w:rPr>
        <w:t xml:space="preserve">ar will </w:t>
      </w:r>
      <w:r w:rsidR="00415D02" w:rsidRPr="008E163E">
        <w:rPr>
          <w:rFonts w:cs="Arial"/>
          <w:color w:val="000000" w:themeColor="text1"/>
        </w:rPr>
        <w:t xml:space="preserve">bring benefits </w:t>
      </w:r>
      <w:r w:rsidR="008C55E3">
        <w:rPr>
          <w:rFonts w:cs="Arial"/>
          <w:color w:val="000000" w:themeColor="text1"/>
        </w:rPr>
        <w:t xml:space="preserve">to the Authority moving forward through further embedding of QMS principles as a matter of norm, </w:t>
      </w:r>
      <w:r w:rsidR="00D1149E">
        <w:rPr>
          <w:rFonts w:cs="Arial"/>
          <w:color w:val="000000" w:themeColor="text1"/>
        </w:rPr>
        <w:t>ensur</w:t>
      </w:r>
      <w:r w:rsidR="008C55E3">
        <w:rPr>
          <w:rFonts w:cs="Arial"/>
          <w:color w:val="000000" w:themeColor="text1"/>
        </w:rPr>
        <w:t>ing</w:t>
      </w:r>
      <w:r w:rsidR="00623E13">
        <w:rPr>
          <w:rFonts w:cs="Arial"/>
          <w:color w:val="000000" w:themeColor="text1"/>
        </w:rPr>
        <w:t xml:space="preserve"> that services remain U</w:t>
      </w:r>
      <w:r w:rsidR="00D1149E">
        <w:rPr>
          <w:rFonts w:cs="Arial"/>
          <w:color w:val="000000" w:themeColor="text1"/>
        </w:rPr>
        <w:t>ser</w:t>
      </w:r>
      <w:r w:rsidR="00915B52">
        <w:rPr>
          <w:rFonts w:cs="Arial"/>
          <w:color w:val="000000" w:themeColor="text1"/>
        </w:rPr>
        <w:t xml:space="preserve"> focused (both </w:t>
      </w:r>
      <w:r w:rsidR="00D1149E">
        <w:rPr>
          <w:rFonts w:cs="Arial"/>
          <w:color w:val="000000" w:themeColor="text1"/>
        </w:rPr>
        <w:t xml:space="preserve">for </w:t>
      </w:r>
      <w:r w:rsidR="00915B52">
        <w:rPr>
          <w:rFonts w:cs="Arial"/>
          <w:color w:val="000000" w:themeColor="text1"/>
        </w:rPr>
        <w:t>internally and externally</w:t>
      </w:r>
      <w:r w:rsidR="00D1149E">
        <w:rPr>
          <w:rFonts w:cs="Arial"/>
          <w:color w:val="000000" w:themeColor="text1"/>
        </w:rPr>
        <w:t xml:space="preserve"> received services</w:t>
      </w:r>
      <w:r w:rsidR="00915B52">
        <w:rPr>
          <w:rFonts w:cs="Arial"/>
          <w:color w:val="000000" w:themeColor="text1"/>
        </w:rPr>
        <w:t xml:space="preserve">) and </w:t>
      </w:r>
      <w:r w:rsidR="00D1149E">
        <w:rPr>
          <w:rFonts w:cs="Arial"/>
          <w:color w:val="000000" w:themeColor="text1"/>
        </w:rPr>
        <w:t>we continue to</w:t>
      </w:r>
      <w:r w:rsidR="00915B52">
        <w:rPr>
          <w:rFonts w:cs="Arial"/>
          <w:color w:val="000000" w:themeColor="text1"/>
        </w:rPr>
        <w:t xml:space="preserve"> improve </w:t>
      </w:r>
      <w:r w:rsidR="0002259A">
        <w:rPr>
          <w:rFonts w:cs="Arial"/>
          <w:color w:val="000000" w:themeColor="text1"/>
        </w:rPr>
        <w:t xml:space="preserve">services and </w:t>
      </w:r>
      <w:r w:rsidR="00D06E3B">
        <w:rPr>
          <w:rFonts w:cs="Arial"/>
          <w:color w:val="000000" w:themeColor="text1"/>
        </w:rPr>
        <w:t xml:space="preserve">our </w:t>
      </w:r>
      <w:r w:rsidR="0002259A">
        <w:rPr>
          <w:rFonts w:cs="Arial"/>
          <w:color w:val="000000" w:themeColor="text1"/>
        </w:rPr>
        <w:t xml:space="preserve">working practices, </w:t>
      </w:r>
      <w:r w:rsidR="00915B52">
        <w:rPr>
          <w:rFonts w:cs="Arial"/>
          <w:color w:val="000000" w:themeColor="text1"/>
        </w:rPr>
        <w:t xml:space="preserve">based upon accurate </w:t>
      </w:r>
      <w:r w:rsidR="00D1149E">
        <w:rPr>
          <w:rFonts w:cs="Arial"/>
          <w:color w:val="000000" w:themeColor="text1"/>
        </w:rPr>
        <w:t xml:space="preserve">evidence, </w:t>
      </w:r>
      <w:r w:rsidR="00915B52">
        <w:rPr>
          <w:rFonts w:cs="Arial"/>
          <w:color w:val="000000" w:themeColor="text1"/>
        </w:rPr>
        <w:t>information</w:t>
      </w:r>
      <w:r w:rsidR="0002259A">
        <w:rPr>
          <w:rFonts w:cs="Arial"/>
          <w:color w:val="000000" w:themeColor="text1"/>
        </w:rPr>
        <w:t xml:space="preserve"> and appropriate involvement from staff colleagues who deliver services. </w:t>
      </w:r>
    </w:p>
    <w:p w:rsidR="00B747DF" w:rsidRPr="008E163E" w:rsidRDefault="00B747DF" w:rsidP="008E163E">
      <w:pPr>
        <w:tabs>
          <w:tab w:val="left" w:pos="1980"/>
        </w:tabs>
        <w:spacing w:after="0" w:line="240" w:lineRule="auto"/>
        <w:jc w:val="both"/>
        <w:rPr>
          <w:rFonts w:cs="Arial"/>
          <w:color w:val="000000" w:themeColor="text1"/>
        </w:rPr>
      </w:pPr>
    </w:p>
    <w:p w:rsidR="008F0EC3" w:rsidRPr="008E163E" w:rsidRDefault="00112183" w:rsidP="008E163E">
      <w:pPr>
        <w:tabs>
          <w:tab w:val="left" w:pos="1980"/>
        </w:tabs>
        <w:spacing w:after="0" w:line="240" w:lineRule="auto"/>
        <w:jc w:val="both"/>
        <w:rPr>
          <w:rFonts w:cs="Arial"/>
          <w:color w:val="000000" w:themeColor="text1"/>
        </w:rPr>
      </w:pPr>
      <w:r>
        <w:rPr>
          <w:rFonts w:cs="Arial"/>
          <w:color w:val="000000" w:themeColor="text1"/>
        </w:rPr>
        <w:lastRenderedPageBreak/>
        <w:t>T</w:t>
      </w:r>
      <w:r w:rsidR="008F0EC3" w:rsidRPr="008E163E">
        <w:rPr>
          <w:rFonts w:cs="Arial"/>
          <w:color w:val="000000" w:themeColor="text1"/>
        </w:rPr>
        <w:t>he following (non-Operations) audits /gap analysis have been undertaken since April ’15;</w:t>
      </w:r>
    </w:p>
    <w:p w:rsidR="008F0EC3" w:rsidRPr="008E163E" w:rsidRDefault="00623E13" w:rsidP="008E163E">
      <w:pPr>
        <w:tabs>
          <w:tab w:val="left" w:pos="1980"/>
        </w:tabs>
        <w:spacing w:after="0" w:line="240" w:lineRule="auto"/>
        <w:jc w:val="both"/>
        <w:rPr>
          <w:rFonts w:cs="Arial"/>
          <w:color w:val="000000" w:themeColor="text1"/>
        </w:rPr>
      </w:pPr>
      <w:r>
        <w:rPr>
          <w:rFonts w:cs="Arial"/>
          <w:color w:val="000000" w:themeColor="text1"/>
        </w:rPr>
        <w:t>In Q1 2015-’16 there were 16</w:t>
      </w:r>
      <w:r w:rsidR="008F0EC3" w:rsidRPr="008E163E">
        <w:rPr>
          <w:rFonts w:cs="Arial"/>
          <w:color w:val="000000" w:themeColor="text1"/>
        </w:rPr>
        <w:t xml:space="preserve"> areas with audit /gap analysis action plans due;</w:t>
      </w:r>
    </w:p>
    <w:p w:rsidR="008F0EC3" w:rsidRPr="008E163E" w:rsidRDefault="008F0EC3" w:rsidP="008E163E">
      <w:pPr>
        <w:tabs>
          <w:tab w:val="left" w:pos="1980"/>
        </w:tabs>
        <w:spacing w:after="0" w:line="240" w:lineRule="auto"/>
        <w:jc w:val="both"/>
        <w:rPr>
          <w:rFonts w:cs="Arial"/>
          <w:b/>
          <w:color w:val="000000" w:themeColor="text1"/>
        </w:rPr>
      </w:pPr>
      <w:r w:rsidRPr="008E163E">
        <w:rPr>
          <w:rFonts w:cs="Arial"/>
          <w:b/>
          <w:color w:val="000000" w:themeColor="text1"/>
        </w:rPr>
        <w:t>Gap Analysis:</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Health &amp; Safety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Information Governance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Equality &amp; Diversity  – complete</w:t>
      </w:r>
      <w:r w:rsidR="00623E13">
        <w:rPr>
          <w:rFonts w:cs="Arial"/>
          <w:color w:val="000000" w:themeColor="text1"/>
        </w:rPr>
        <w:t>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Communications – complete</w:t>
      </w:r>
      <w:r w:rsidR="00623E13">
        <w:rPr>
          <w:rFonts w:cs="Arial"/>
          <w:color w:val="000000" w:themeColor="text1"/>
        </w:rPr>
        <w:t>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Complaints – complete</w:t>
      </w:r>
      <w:r w:rsidR="00623E13">
        <w:rPr>
          <w:rFonts w:cs="Arial"/>
          <w:color w:val="000000" w:themeColor="text1"/>
        </w:rPr>
        <w:t>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Business Continuity – complete</w:t>
      </w:r>
      <w:r w:rsidR="00623E13">
        <w:rPr>
          <w:rFonts w:cs="Arial"/>
          <w:color w:val="000000" w:themeColor="text1"/>
        </w:rPr>
        <w:t>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Open Services – complete</w:t>
      </w:r>
      <w:r w:rsidR="00623E13">
        <w:rPr>
          <w:rFonts w:cs="Arial"/>
          <w:color w:val="000000" w:themeColor="text1"/>
        </w:rPr>
        <w:t>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Project Management Office –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Major Incident Planning –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CAG – outstanding</w:t>
      </w:r>
    </w:p>
    <w:p w:rsidR="008F0EC3"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Guidance &amp; Advice – outstanding</w:t>
      </w:r>
    </w:p>
    <w:p w:rsidR="00623E13" w:rsidRPr="008E163E" w:rsidRDefault="00623E13" w:rsidP="008E163E">
      <w:pPr>
        <w:tabs>
          <w:tab w:val="left" w:pos="1980"/>
        </w:tabs>
        <w:spacing w:after="0" w:line="240" w:lineRule="auto"/>
        <w:jc w:val="both"/>
        <w:rPr>
          <w:rFonts w:cs="Arial"/>
          <w:color w:val="000000" w:themeColor="text1"/>
        </w:rPr>
      </w:pPr>
      <w:r>
        <w:rPr>
          <w:rFonts w:cs="Arial"/>
          <w:color w:val="000000" w:themeColor="text1"/>
        </w:rPr>
        <w:t>Public Involvement - completed</w:t>
      </w:r>
    </w:p>
    <w:p w:rsidR="008F0EC3" w:rsidRPr="008E163E" w:rsidRDefault="008F0EC3" w:rsidP="008E163E">
      <w:pPr>
        <w:tabs>
          <w:tab w:val="left" w:pos="1980"/>
        </w:tabs>
        <w:spacing w:after="0" w:line="240" w:lineRule="auto"/>
        <w:jc w:val="both"/>
        <w:rPr>
          <w:rFonts w:cs="Arial"/>
          <w:color w:val="000000" w:themeColor="text1"/>
        </w:rPr>
      </w:pPr>
    </w:p>
    <w:p w:rsidR="008F0EC3" w:rsidRPr="008E163E" w:rsidRDefault="008F0EC3" w:rsidP="008E163E">
      <w:pPr>
        <w:tabs>
          <w:tab w:val="left" w:pos="1980"/>
        </w:tabs>
        <w:spacing w:after="0" w:line="240" w:lineRule="auto"/>
        <w:jc w:val="both"/>
        <w:rPr>
          <w:rFonts w:cs="Arial"/>
          <w:b/>
          <w:color w:val="000000" w:themeColor="text1"/>
        </w:rPr>
      </w:pPr>
      <w:r w:rsidRPr="008E163E">
        <w:rPr>
          <w:rFonts w:cs="Arial"/>
          <w:b/>
          <w:color w:val="000000" w:themeColor="text1"/>
        </w:rPr>
        <w:t>Audits:</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Human Resources:</w:t>
      </w:r>
      <w:r w:rsidRPr="008E163E">
        <w:rPr>
          <w:rFonts w:cs="Arial"/>
          <w:color w:val="000000" w:themeColor="text1"/>
        </w:rPr>
        <w:tab/>
        <w:t>Flexible working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Annual leave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Dress Code – completed</w:t>
      </w:r>
    </w:p>
    <w:p w:rsidR="008F0EC3" w:rsidRPr="008E163E" w:rsidRDefault="00623E13" w:rsidP="008E163E">
      <w:pPr>
        <w:tabs>
          <w:tab w:val="left" w:pos="1980"/>
        </w:tabs>
        <w:spacing w:after="0" w:line="240" w:lineRule="auto"/>
        <w:jc w:val="both"/>
        <w:rPr>
          <w:rFonts w:cs="Arial"/>
          <w:color w:val="000000" w:themeColor="text1"/>
        </w:rPr>
      </w:pPr>
      <w:r>
        <w:rPr>
          <w:rFonts w:cs="Arial"/>
          <w:color w:val="000000" w:themeColor="text1"/>
        </w:rPr>
        <w:tab/>
        <w:t>Appeals - completed</w:t>
      </w:r>
    </w:p>
    <w:p w:rsidR="008F0EC3" w:rsidRPr="008E163E" w:rsidRDefault="008F0EC3" w:rsidP="008E163E">
      <w:pPr>
        <w:tabs>
          <w:tab w:val="left" w:pos="1980"/>
        </w:tabs>
        <w:spacing w:after="0" w:line="240" w:lineRule="auto"/>
        <w:jc w:val="both"/>
        <w:rPr>
          <w:rFonts w:cs="Arial"/>
          <w:color w:val="000000" w:themeColor="text1"/>
        </w:rPr>
      </w:pPr>
    </w:p>
    <w:p w:rsidR="008F0EC3" w:rsidRPr="008E163E" w:rsidRDefault="008F0EC3" w:rsidP="008E163E">
      <w:pPr>
        <w:tabs>
          <w:tab w:val="left" w:pos="1980"/>
        </w:tabs>
        <w:spacing w:after="0" w:line="240" w:lineRule="auto"/>
        <w:jc w:val="both"/>
        <w:rPr>
          <w:rFonts w:cs="Arial"/>
          <w:color w:val="000000" w:themeColor="text1"/>
        </w:rPr>
      </w:pP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In Q2 2015 –’16   there were 2 action plans due;</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b/>
          <w:color w:val="000000" w:themeColor="text1"/>
        </w:rPr>
        <w:t>Audit:</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Collabor</w:t>
      </w:r>
      <w:r w:rsidR="00623E13">
        <w:rPr>
          <w:rFonts w:cs="Arial"/>
          <w:color w:val="000000" w:themeColor="text1"/>
        </w:rPr>
        <w:t>ation &amp; Development – completed</w:t>
      </w:r>
    </w:p>
    <w:p w:rsidR="008F0EC3" w:rsidRPr="008E163E" w:rsidRDefault="008F0EC3" w:rsidP="008E163E">
      <w:pPr>
        <w:tabs>
          <w:tab w:val="left" w:pos="1980"/>
        </w:tabs>
        <w:spacing w:after="0" w:line="240" w:lineRule="auto"/>
        <w:jc w:val="both"/>
        <w:rPr>
          <w:rFonts w:cs="Arial"/>
          <w:color w:val="000000" w:themeColor="text1"/>
        </w:rPr>
      </w:pPr>
    </w:p>
    <w:p w:rsidR="008F0EC3" w:rsidRPr="008E163E" w:rsidRDefault="008F0EC3" w:rsidP="008E163E">
      <w:pPr>
        <w:tabs>
          <w:tab w:val="left" w:pos="1980"/>
        </w:tabs>
        <w:spacing w:after="0" w:line="240" w:lineRule="auto"/>
        <w:jc w:val="both"/>
        <w:rPr>
          <w:rFonts w:cs="Arial"/>
          <w:b/>
          <w:color w:val="000000" w:themeColor="text1"/>
        </w:rPr>
      </w:pPr>
      <w:r w:rsidRPr="008E163E">
        <w:rPr>
          <w:rFonts w:cs="Arial"/>
          <w:b/>
          <w:color w:val="000000" w:themeColor="text1"/>
        </w:rPr>
        <w:t>Gap analysis:</w:t>
      </w:r>
    </w:p>
    <w:p w:rsidR="008F0EC3" w:rsidRPr="008E163E" w:rsidRDefault="008F0EC3" w:rsidP="008E163E">
      <w:pPr>
        <w:tabs>
          <w:tab w:val="left" w:pos="1980"/>
        </w:tabs>
        <w:spacing w:after="0" w:line="240" w:lineRule="auto"/>
        <w:jc w:val="both"/>
        <w:rPr>
          <w:rFonts w:cs="Arial"/>
          <w:b/>
          <w:color w:val="000000" w:themeColor="text1"/>
        </w:rPr>
      </w:pPr>
      <w:r w:rsidRPr="008E163E">
        <w:rPr>
          <w:rFonts w:cs="Arial"/>
          <w:color w:val="000000" w:themeColor="text1"/>
        </w:rPr>
        <w:t>E</w:t>
      </w:r>
      <w:r w:rsidR="00623E13">
        <w:rPr>
          <w:rFonts w:cs="Arial"/>
          <w:color w:val="000000" w:themeColor="text1"/>
        </w:rPr>
        <w:t>ngagement &amp; Policy - outstanding</w:t>
      </w:r>
    </w:p>
    <w:p w:rsidR="008F0EC3" w:rsidRPr="008E163E" w:rsidRDefault="008F0EC3" w:rsidP="008E163E">
      <w:pPr>
        <w:tabs>
          <w:tab w:val="left" w:pos="1980"/>
        </w:tabs>
        <w:spacing w:after="0" w:line="240" w:lineRule="auto"/>
        <w:jc w:val="both"/>
        <w:rPr>
          <w:rFonts w:cs="Arial"/>
          <w:b/>
          <w:color w:val="000000" w:themeColor="text1"/>
        </w:rPr>
      </w:pPr>
    </w:p>
    <w:p w:rsidR="008F0EC3" w:rsidRPr="008E163E" w:rsidRDefault="008F0EC3" w:rsidP="008E163E">
      <w:pPr>
        <w:tabs>
          <w:tab w:val="left" w:pos="1980"/>
        </w:tabs>
        <w:spacing w:after="0" w:line="240" w:lineRule="auto"/>
        <w:jc w:val="both"/>
        <w:rPr>
          <w:rFonts w:cs="Arial"/>
          <w:b/>
          <w:color w:val="000000" w:themeColor="text1"/>
        </w:rPr>
      </w:pPr>
    </w:p>
    <w:p w:rsidR="00112183" w:rsidRDefault="008F0EC3" w:rsidP="008E163E">
      <w:pPr>
        <w:tabs>
          <w:tab w:val="left" w:pos="1980"/>
        </w:tabs>
        <w:spacing w:after="0" w:line="240" w:lineRule="auto"/>
        <w:jc w:val="both"/>
        <w:rPr>
          <w:rFonts w:cs="Arial"/>
          <w:b/>
          <w:color w:val="000000" w:themeColor="text1"/>
        </w:rPr>
      </w:pPr>
      <w:r w:rsidRPr="008E163E">
        <w:rPr>
          <w:rFonts w:cs="Arial"/>
          <w:color w:val="000000" w:themeColor="text1"/>
        </w:rPr>
        <w:t xml:space="preserve">In Q3 2015-’16 there </w:t>
      </w:r>
      <w:r w:rsidR="00112183">
        <w:rPr>
          <w:rFonts w:cs="Arial"/>
          <w:color w:val="000000" w:themeColor="text1"/>
        </w:rPr>
        <w:t>were</w:t>
      </w:r>
      <w:r w:rsidR="00D7519E" w:rsidRPr="008E163E">
        <w:rPr>
          <w:rFonts w:cs="Arial"/>
          <w:color w:val="000000" w:themeColor="text1"/>
        </w:rPr>
        <w:t xml:space="preserve"> 1</w:t>
      </w:r>
      <w:r w:rsidR="00112183">
        <w:rPr>
          <w:rFonts w:cs="Arial"/>
          <w:color w:val="000000" w:themeColor="text1"/>
        </w:rPr>
        <w:t>7</w:t>
      </w:r>
      <w:r w:rsidR="00D7519E" w:rsidRPr="008E163E">
        <w:rPr>
          <w:rFonts w:cs="Arial"/>
          <w:color w:val="000000" w:themeColor="text1"/>
        </w:rPr>
        <w:t xml:space="preserve"> </w:t>
      </w:r>
      <w:r w:rsidR="00112183" w:rsidRPr="008E163E">
        <w:rPr>
          <w:rFonts w:cs="Arial"/>
          <w:color w:val="000000" w:themeColor="text1"/>
        </w:rPr>
        <w:t>areas with audit /gap analysis action plans due</w:t>
      </w:r>
      <w:r w:rsidR="00112183" w:rsidRPr="008E163E">
        <w:rPr>
          <w:rFonts w:cs="Arial"/>
          <w:b/>
          <w:color w:val="000000" w:themeColor="text1"/>
        </w:rPr>
        <w:t xml:space="preserve"> </w:t>
      </w:r>
    </w:p>
    <w:p w:rsidR="008F0EC3" w:rsidRPr="008E163E" w:rsidRDefault="008F0EC3" w:rsidP="008E163E">
      <w:pPr>
        <w:tabs>
          <w:tab w:val="left" w:pos="1980"/>
        </w:tabs>
        <w:spacing w:after="0" w:line="240" w:lineRule="auto"/>
        <w:jc w:val="both"/>
        <w:rPr>
          <w:rFonts w:cs="Arial"/>
          <w:b/>
          <w:color w:val="000000" w:themeColor="text1"/>
        </w:rPr>
      </w:pPr>
      <w:r w:rsidRPr="008E163E">
        <w:rPr>
          <w:rFonts w:cs="Arial"/>
          <w:b/>
          <w:color w:val="000000" w:themeColor="text1"/>
        </w:rPr>
        <w:t>Audits:</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Operations - Recruitment of Members</w:t>
      </w:r>
      <w:r w:rsidR="00623E13">
        <w:rPr>
          <w:rFonts w:cs="Arial"/>
          <w:color w:val="000000" w:themeColor="text1"/>
        </w:rPr>
        <w:t xml:space="preserve">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Queries Line</w:t>
      </w:r>
      <w:r w:rsidR="00623E13">
        <w:rPr>
          <w:rFonts w:cs="Arial"/>
          <w:color w:val="000000" w:themeColor="text1"/>
        </w:rPr>
        <w:t xml:space="preserve"> -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Manchester REC Centre</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Human Resources:</w:t>
      </w:r>
      <w:r w:rsidRPr="008E163E">
        <w:rPr>
          <w:rFonts w:cs="Arial"/>
          <w:color w:val="000000" w:themeColor="text1"/>
        </w:rPr>
        <w:tab/>
        <w:t>Capability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Grievance and disputes – completed</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Probationary period</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Lone worker</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Whistle blowing</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Organisational change</w:t>
      </w:r>
      <w:r w:rsidR="00112183">
        <w:rPr>
          <w:rFonts w:cs="Arial"/>
          <w:color w:val="000000" w:themeColor="text1"/>
        </w:rPr>
        <w:t>-outstanding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Retirement</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Sickness absence</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Bullying &amp; harassment</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Maternity, paternity &amp; adoption</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ab/>
        <w:t>Recruitment of HRA staff</w:t>
      </w:r>
      <w:r w:rsidR="00112183">
        <w:rPr>
          <w:rFonts w:cs="Arial"/>
          <w:color w:val="000000" w:themeColor="text1"/>
        </w:rPr>
        <w:t xml:space="preserve"> -outstanding</w:t>
      </w:r>
    </w:p>
    <w:p w:rsidR="008F0EC3" w:rsidRPr="008E163E"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Information Systems</w:t>
      </w:r>
    </w:p>
    <w:p w:rsidR="008F0EC3" w:rsidRDefault="008F0EC3" w:rsidP="008E163E">
      <w:pPr>
        <w:tabs>
          <w:tab w:val="left" w:pos="1980"/>
        </w:tabs>
        <w:spacing w:after="0" w:line="240" w:lineRule="auto"/>
        <w:jc w:val="both"/>
        <w:rPr>
          <w:rFonts w:cs="Arial"/>
          <w:color w:val="000000" w:themeColor="text1"/>
        </w:rPr>
      </w:pPr>
      <w:r w:rsidRPr="008E163E">
        <w:rPr>
          <w:rFonts w:cs="Arial"/>
          <w:color w:val="000000" w:themeColor="text1"/>
        </w:rPr>
        <w:t>Health &amp; Safety</w:t>
      </w:r>
      <w:r w:rsidR="00112183">
        <w:rPr>
          <w:rFonts w:cs="Arial"/>
          <w:color w:val="000000" w:themeColor="text1"/>
        </w:rPr>
        <w:t xml:space="preserve"> – completed</w:t>
      </w:r>
    </w:p>
    <w:p w:rsidR="00112183" w:rsidRPr="008E163E" w:rsidRDefault="00112183" w:rsidP="008E163E">
      <w:pPr>
        <w:tabs>
          <w:tab w:val="left" w:pos="1980"/>
        </w:tabs>
        <w:spacing w:after="0" w:line="240" w:lineRule="auto"/>
        <w:jc w:val="both"/>
        <w:rPr>
          <w:rFonts w:cs="Arial"/>
          <w:color w:val="000000" w:themeColor="text1"/>
        </w:rPr>
      </w:pPr>
      <w:r>
        <w:rPr>
          <w:rFonts w:cs="Arial"/>
          <w:color w:val="000000" w:themeColor="text1"/>
        </w:rPr>
        <w:t>Information Governance</w:t>
      </w:r>
    </w:p>
    <w:p w:rsidR="008F0EC3" w:rsidRDefault="008F0EC3" w:rsidP="008E163E">
      <w:pPr>
        <w:tabs>
          <w:tab w:val="left" w:pos="1980"/>
        </w:tabs>
        <w:spacing w:after="0" w:line="240" w:lineRule="auto"/>
        <w:jc w:val="both"/>
        <w:rPr>
          <w:rFonts w:cs="Arial"/>
          <w:color w:val="000000" w:themeColor="text1"/>
        </w:rPr>
      </w:pPr>
    </w:p>
    <w:p w:rsidR="00112183" w:rsidRDefault="00112183" w:rsidP="008E163E">
      <w:pPr>
        <w:tabs>
          <w:tab w:val="left" w:pos="1980"/>
        </w:tabs>
        <w:spacing w:after="0" w:line="240" w:lineRule="auto"/>
        <w:jc w:val="both"/>
        <w:rPr>
          <w:rFonts w:cs="Arial"/>
          <w:color w:val="000000" w:themeColor="text1"/>
        </w:rPr>
      </w:pPr>
      <w:r>
        <w:rPr>
          <w:rFonts w:cs="Arial"/>
          <w:color w:val="000000" w:themeColor="text1"/>
        </w:rPr>
        <w:t>In Q4 2015-’16 to date</w:t>
      </w:r>
      <w:r w:rsidR="00EA0FCF">
        <w:rPr>
          <w:rFonts w:cs="Arial"/>
          <w:color w:val="000000" w:themeColor="text1"/>
        </w:rPr>
        <w:t>,</w:t>
      </w:r>
      <w:r>
        <w:rPr>
          <w:rFonts w:cs="Arial"/>
          <w:color w:val="000000" w:themeColor="text1"/>
        </w:rPr>
        <w:t xml:space="preserve"> there is one </w:t>
      </w:r>
      <w:r w:rsidR="00EA0FCF">
        <w:rPr>
          <w:rFonts w:cs="Arial"/>
          <w:color w:val="000000" w:themeColor="text1"/>
        </w:rPr>
        <w:t>area</w:t>
      </w:r>
      <w:r w:rsidR="00EA0FCF" w:rsidRPr="008E163E">
        <w:rPr>
          <w:rFonts w:cs="Arial"/>
          <w:color w:val="000000" w:themeColor="text1"/>
        </w:rPr>
        <w:t xml:space="preserve"> with audit action plans </w:t>
      </w:r>
      <w:r w:rsidR="00EA0FCF">
        <w:rPr>
          <w:rFonts w:cs="Arial"/>
          <w:color w:val="000000" w:themeColor="text1"/>
        </w:rPr>
        <w:t xml:space="preserve">which will be </w:t>
      </w:r>
      <w:r w:rsidR="00EA0FCF" w:rsidRPr="008E163E">
        <w:rPr>
          <w:rFonts w:cs="Arial"/>
          <w:color w:val="000000" w:themeColor="text1"/>
        </w:rPr>
        <w:t>due</w:t>
      </w:r>
      <w:r w:rsidR="00EA0FCF">
        <w:rPr>
          <w:rFonts w:cs="Arial"/>
          <w:color w:val="000000" w:themeColor="text1"/>
        </w:rPr>
        <w:t>, Communications.</w:t>
      </w:r>
    </w:p>
    <w:p w:rsidR="00112183" w:rsidRPr="008E163E" w:rsidRDefault="00112183" w:rsidP="008E163E">
      <w:pPr>
        <w:tabs>
          <w:tab w:val="left" w:pos="1980"/>
        </w:tabs>
        <w:spacing w:after="0" w:line="240" w:lineRule="auto"/>
        <w:jc w:val="both"/>
        <w:rPr>
          <w:rFonts w:cs="Arial"/>
          <w:color w:val="000000" w:themeColor="text1"/>
        </w:rPr>
      </w:pPr>
    </w:p>
    <w:p w:rsidR="00D7519E" w:rsidRPr="008E163E" w:rsidRDefault="00E56578" w:rsidP="008E163E">
      <w:pPr>
        <w:pStyle w:val="Listpara2"/>
        <w:jc w:val="both"/>
        <w:rPr>
          <w:rFonts w:cs="Arial"/>
        </w:rPr>
      </w:pPr>
      <w:r w:rsidRPr="008E163E">
        <w:rPr>
          <w:rFonts w:cs="Arial"/>
        </w:rPr>
        <w:t xml:space="preserve">By way of </w:t>
      </w:r>
      <w:r w:rsidR="008E163E">
        <w:rPr>
          <w:rFonts w:cs="Arial"/>
        </w:rPr>
        <w:t xml:space="preserve">an </w:t>
      </w:r>
      <w:r w:rsidRPr="008E163E">
        <w:rPr>
          <w:rFonts w:cs="Arial"/>
        </w:rPr>
        <w:t>illustration</w:t>
      </w:r>
      <w:r w:rsidR="00D06E3B">
        <w:rPr>
          <w:rFonts w:cs="Arial"/>
        </w:rPr>
        <w:t xml:space="preserve"> of the benefits secured from internal audit ahead</w:t>
      </w:r>
      <w:r w:rsidR="00433D61">
        <w:rPr>
          <w:rFonts w:cs="Arial"/>
        </w:rPr>
        <w:t xml:space="preserve"> of </w:t>
      </w:r>
      <w:r w:rsidRPr="008E163E">
        <w:rPr>
          <w:rFonts w:cs="Arial"/>
        </w:rPr>
        <w:t xml:space="preserve">ISO9001 </w:t>
      </w:r>
      <w:r w:rsidR="00B747DF">
        <w:rPr>
          <w:rFonts w:cs="Arial"/>
        </w:rPr>
        <w:t>C</w:t>
      </w:r>
      <w:r w:rsidR="00FC6B0D" w:rsidRPr="008E163E">
        <w:rPr>
          <w:rFonts w:cs="Arial"/>
        </w:rPr>
        <w:t>ertification</w:t>
      </w:r>
      <w:r w:rsidRPr="008E163E">
        <w:rPr>
          <w:rFonts w:cs="Arial"/>
        </w:rPr>
        <w:t xml:space="preserve"> across the wider Authority</w:t>
      </w:r>
      <w:r w:rsidR="007C6303">
        <w:rPr>
          <w:rFonts w:cs="Arial"/>
        </w:rPr>
        <w:t>,</w:t>
      </w:r>
      <w:r w:rsidR="00B747DF">
        <w:rPr>
          <w:rFonts w:cs="Arial"/>
        </w:rPr>
        <w:t xml:space="preserve"> a</w:t>
      </w:r>
      <w:r w:rsidR="00D7519E" w:rsidRPr="008E163E">
        <w:rPr>
          <w:rFonts w:cs="Arial"/>
        </w:rPr>
        <w:t>rising from one audit with</w:t>
      </w:r>
      <w:r w:rsidRPr="008E163E">
        <w:rPr>
          <w:rFonts w:cs="Arial"/>
        </w:rPr>
        <w:t>in</w:t>
      </w:r>
      <w:r w:rsidR="00D7519E" w:rsidRPr="008E163E">
        <w:rPr>
          <w:rFonts w:cs="Arial"/>
        </w:rPr>
        <w:t xml:space="preserve"> one department function there were four action plans</w:t>
      </w:r>
      <w:r w:rsidR="00433D61">
        <w:rPr>
          <w:rFonts w:cs="Arial"/>
        </w:rPr>
        <w:t xml:space="preserve"> raised</w:t>
      </w:r>
      <w:r w:rsidR="00AA1740">
        <w:rPr>
          <w:rFonts w:cs="Arial"/>
        </w:rPr>
        <w:t xml:space="preserve">; </w:t>
      </w:r>
      <w:r w:rsidR="00D7519E" w:rsidRPr="008E163E">
        <w:rPr>
          <w:rFonts w:cs="Arial"/>
        </w:rPr>
        <w:t>assist</w:t>
      </w:r>
      <w:r w:rsidR="00AA1740">
        <w:rPr>
          <w:rFonts w:cs="Arial"/>
        </w:rPr>
        <w:t>ing</w:t>
      </w:r>
      <w:r w:rsidR="00D06E3B">
        <w:rPr>
          <w:rFonts w:cs="Arial"/>
        </w:rPr>
        <w:t xml:space="preserve"> to</w:t>
      </w:r>
      <w:r w:rsidR="00D7519E" w:rsidRPr="008E163E">
        <w:rPr>
          <w:rFonts w:cs="Arial"/>
        </w:rPr>
        <w:t xml:space="preserve"> ensur</w:t>
      </w:r>
      <w:r w:rsidR="00D06E3B">
        <w:rPr>
          <w:rFonts w:cs="Arial"/>
        </w:rPr>
        <w:t>e</w:t>
      </w:r>
      <w:r w:rsidR="00D7519E" w:rsidRPr="008E163E">
        <w:rPr>
          <w:rFonts w:cs="Arial"/>
        </w:rPr>
        <w:t xml:space="preserve"> that current practice was </w:t>
      </w:r>
      <w:r w:rsidR="0042707B">
        <w:rPr>
          <w:rFonts w:cs="Arial"/>
        </w:rPr>
        <w:t xml:space="preserve">more </w:t>
      </w:r>
      <w:r w:rsidRPr="008E163E">
        <w:rPr>
          <w:rFonts w:cs="Arial"/>
        </w:rPr>
        <w:t xml:space="preserve">closely </w:t>
      </w:r>
      <w:r w:rsidR="00D7519E" w:rsidRPr="008E163E">
        <w:rPr>
          <w:rFonts w:cs="Arial"/>
        </w:rPr>
        <w:t xml:space="preserve">aligned with policy and </w:t>
      </w:r>
      <w:r w:rsidR="00D06E3B">
        <w:rPr>
          <w:rFonts w:cs="Arial"/>
        </w:rPr>
        <w:t xml:space="preserve">the </w:t>
      </w:r>
      <w:r w:rsidR="00D7519E" w:rsidRPr="008E163E">
        <w:rPr>
          <w:rFonts w:cs="Arial"/>
        </w:rPr>
        <w:t>process</w:t>
      </w:r>
      <w:r w:rsidR="007C6303">
        <w:rPr>
          <w:rFonts w:cs="Arial"/>
        </w:rPr>
        <w:t xml:space="preserve"> being </w:t>
      </w:r>
      <w:r w:rsidR="0042707B">
        <w:rPr>
          <w:rFonts w:cs="Arial"/>
        </w:rPr>
        <w:t>undertaken</w:t>
      </w:r>
      <w:r w:rsidR="007C6303">
        <w:rPr>
          <w:rFonts w:cs="Arial"/>
        </w:rPr>
        <w:t xml:space="preserve"> by staff,</w:t>
      </w:r>
      <w:r w:rsidR="00D7519E" w:rsidRPr="008E163E">
        <w:rPr>
          <w:rFonts w:cs="Arial"/>
        </w:rPr>
        <w:t xml:space="preserve"> strengthen</w:t>
      </w:r>
      <w:r w:rsidR="00D06E3B">
        <w:rPr>
          <w:rFonts w:cs="Arial"/>
        </w:rPr>
        <w:t xml:space="preserve">ing </w:t>
      </w:r>
      <w:r w:rsidR="007C6303">
        <w:rPr>
          <w:rFonts w:cs="Arial"/>
        </w:rPr>
        <w:t xml:space="preserve">the </w:t>
      </w:r>
      <w:r w:rsidR="00D7519E" w:rsidRPr="008E163E">
        <w:rPr>
          <w:rFonts w:cs="Arial"/>
        </w:rPr>
        <w:t xml:space="preserve">data collection </w:t>
      </w:r>
      <w:r w:rsidRPr="008E163E">
        <w:rPr>
          <w:rFonts w:cs="Arial"/>
        </w:rPr>
        <w:t>and data retention principles</w:t>
      </w:r>
      <w:r w:rsidR="007C6303">
        <w:rPr>
          <w:rFonts w:cs="Arial"/>
        </w:rPr>
        <w:t>,</w:t>
      </w:r>
      <w:r w:rsidR="00D7519E" w:rsidRPr="008E163E">
        <w:rPr>
          <w:rFonts w:cs="Arial"/>
        </w:rPr>
        <w:t xml:space="preserve"> </w:t>
      </w:r>
      <w:r w:rsidR="00D06E3B">
        <w:rPr>
          <w:rFonts w:cs="Arial"/>
        </w:rPr>
        <w:t>leading</w:t>
      </w:r>
      <w:r w:rsidRPr="008E163E">
        <w:rPr>
          <w:rFonts w:cs="Arial"/>
        </w:rPr>
        <w:t xml:space="preserve"> to</w:t>
      </w:r>
      <w:r w:rsidR="00D7519E" w:rsidRPr="008E163E">
        <w:rPr>
          <w:rFonts w:cs="Arial"/>
        </w:rPr>
        <w:t xml:space="preserve"> </w:t>
      </w:r>
      <w:r w:rsidRPr="008E163E">
        <w:rPr>
          <w:rFonts w:cs="Arial"/>
        </w:rPr>
        <w:t xml:space="preserve">the </w:t>
      </w:r>
      <w:r w:rsidR="00D7519E" w:rsidRPr="008E163E">
        <w:rPr>
          <w:rFonts w:cs="Arial"/>
        </w:rPr>
        <w:t xml:space="preserve">direct </w:t>
      </w:r>
      <w:r w:rsidR="007C6303">
        <w:rPr>
          <w:rFonts w:cs="Arial"/>
        </w:rPr>
        <w:t xml:space="preserve">undertaking </w:t>
      </w:r>
      <w:r w:rsidRPr="008E163E">
        <w:rPr>
          <w:rFonts w:cs="Arial"/>
        </w:rPr>
        <w:t>of</w:t>
      </w:r>
      <w:r w:rsidR="00D7519E" w:rsidRPr="008E163E">
        <w:rPr>
          <w:rFonts w:cs="Arial"/>
        </w:rPr>
        <w:t xml:space="preserve"> quality checks to assure the service </w:t>
      </w:r>
      <w:r w:rsidR="007C6303">
        <w:rPr>
          <w:rFonts w:cs="Arial"/>
        </w:rPr>
        <w:t xml:space="preserve">and </w:t>
      </w:r>
      <w:r w:rsidRPr="008E163E">
        <w:rPr>
          <w:rFonts w:cs="Arial"/>
        </w:rPr>
        <w:t>highlighted a service provision</w:t>
      </w:r>
      <w:r w:rsidR="00D7519E" w:rsidRPr="008E163E">
        <w:rPr>
          <w:rFonts w:cs="Arial"/>
        </w:rPr>
        <w:t xml:space="preserve"> where </w:t>
      </w:r>
      <w:r w:rsidR="009F3673">
        <w:rPr>
          <w:rFonts w:cs="Arial"/>
        </w:rPr>
        <w:t>a</w:t>
      </w:r>
      <w:r w:rsidR="00D06E3B">
        <w:rPr>
          <w:rFonts w:cs="Arial"/>
        </w:rPr>
        <w:t xml:space="preserve"> procedure required</w:t>
      </w:r>
      <w:r w:rsidR="007C6303">
        <w:rPr>
          <w:rFonts w:cs="Arial"/>
        </w:rPr>
        <w:t xml:space="preserve"> to be </w:t>
      </w:r>
      <w:r w:rsidR="00D7519E" w:rsidRPr="008E163E">
        <w:rPr>
          <w:rFonts w:cs="Arial"/>
        </w:rPr>
        <w:t>document</w:t>
      </w:r>
      <w:r w:rsidR="007C6303">
        <w:rPr>
          <w:rFonts w:cs="Arial"/>
        </w:rPr>
        <w:t>ed</w:t>
      </w:r>
      <w:r w:rsidRPr="008E163E">
        <w:rPr>
          <w:rFonts w:cs="Arial"/>
        </w:rPr>
        <w:t>. Through such audits there is</w:t>
      </w:r>
      <w:r w:rsidR="00D7519E" w:rsidRPr="008E163E">
        <w:rPr>
          <w:rFonts w:cs="Arial"/>
        </w:rPr>
        <w:t xml:space="preserve"> visible movement in im</w:t>
      </w:r>
      <w:r w:rsidRPr="008E163E">
        <w:rPr>
          <w:rFonts w:cs="Arial"/>
        </w:rPr>
        <w:t>proving our service</w:t>
      </w:r>
      <w:r w:rsidR="00D7519E" w:rsidRPr="008E163E">
        <w:rPr>
          <w:rFonts w:cs="Arial"/>
        </w:rPr>
        <w:t xml:space="preserve"> offered, not least to the benefit of staff colleagues. </w:t>
      </w:r>
    </w:p>
    <w:p w:rsidR="008F0EC3" w:rsidRPr="008E163E" w:rsidRDefault="008F0EC3" w:rsidP="008E163E">
      <w:pPr>
        <w:pStyle w:val="Listpara2"/>
        <w:jc w:val="both"/>
        <w:rPr>
          <w:rFonts w:cs="Arial"/>
        </w:rPr>
      </w:pPr>
    </w:p>
    <w:p w:rsidR="00415D02" w:rsidRPr="00D06E3B" w:rsidRDefault="0042707B" w:rsidP="00D06E3B">
      <w:pPr>
        <w:pStyle w:val="Listpara2"/>
        <w:jc w:val="both"/>
        <w:rPr>
          <w:rFonts w:cs="Arial"/>
        </w:rPr>
      </w:pPr>
      <w:r>
        <w:rPr>
          <w:rFonts w:cs="Arial"/>
        </w:rPr>
        <w:t>All of t</w:t>
      </w:r>
      <w:r w:rsidR="00D06E3B">
        <w:rPr>
          <w:rFonts w:cs="Arial"/>
        </w:rPr>
        <w:t xml:space="preserve">he </w:t>
      </w:r>
      <w:r w:rsidR="00415D02" w:rsidRPr="008E163E">
        <w:rPr>
          <w:rFonts w:cs="Arial"/>
        </w:rPr>
        <w:t xml:space="preserve">above noted </w:t>
      </w:r>
      <w:r w:rsidR="005866AA" w:rsidRPr="008E163E">
        <w:rPr>
          <w:rFonts w:cs="Arial"/>
        </w:rPr>
        <w:t>activity is in addition to the well-established REC Accreditation Scheme, the report of which for April –Sep ’15, for the HRA and Devolved Administrations is inclu</w:t>
      </w:r>
      <w:r w:rsidR="00455D77">
        <w:rPr>
          <w:rFonts w:cs="Arial"/>
        </w:rPr>
        <w:t>ded at Appendix 1 and User Satisfaction</w:t>
      </w:r>
      <w:r w:rsidR="005866AA" w:rsidRPr="008E163E">
        <w:rPr>
          <w:rFonts w:cs="Arial"/>
        </w:rPr>
        <w:t>, with the April – Sep ’15 report included at Appendix 2.</w:t>
      </w:r>
    </w:p>
    <w:p w:rsidR="00433D61" w:rsidRDefault="00433D61" w:rsidP="00433D61">
      <w:pPr>
        <w:spacing w:after="0"/>
        <w:jc w:val="both"/>
        <w:rPr>
          <w:rFonts w:cs="Arial"/>
          <w:color w:val="000000" w:themeColor="text1"/>
        </w:rPr>
      </w:pPr>
    </w:p>
    <w:p w:rsidR="00567491" w:rsidRDefault="00FC6B0D" w:rsidP="00433D61">
      <w:pPr>
        <w:spacing w:after="0"/>
        <w:jc w:val="both"/>
        <w:rPr>
          <w:rFonts w:cs="Arial"/>
          <w:color w:val="000000" w:themeColor="text1"/>
        </w:rPr>
      </w:pPr>
      <w:r w:rsidRPr="008E163E">
        <w:rPr>
          <w:rFonts w:cs="Arial"/>
          <w:color w:val="000000" w:themeColor="text1"/>
        </w:rPr>
        <w:t xml:space="preserve">Noting in particular those areas where non-conformities have been raised and actioned, visibly demonstrates the </w:t>
      </w:r>
      <w:r w:rsidR="00550BA7" w:rsidRPr="008E163E">
        <w:rPr>
          <w:rFonts w:cs="Arial"/>
          <w:color w:val="000000" w:themeColor="text1"/>
        </w:rPr>
        <w:t>reduction in our potential liabilities</w:t>
      </w:r>
      <w:r w:rsidR="009F3673">
        <w:rPr>
          <w:rFonts w:cs="Arial"/>
          <w:color w:val="000000" w:themeColor="text1"/>
        </w:rPr>
        <w:t xml:space="preserve"> and risks</w:t>
      </w:r>
      <w:r w:rsidR="00567491">
        <w:rPr>
          <w:rFonts w:cs="Arial"/>
          <w:color w:val="000000" w:themeColor="text1"/>
        </w:rPr>
        <w:t>. T</w:t>
      </w:r>
      <w:r w:rsidR="00550BA7" w:rsidRPr="008E163E">
        <w:rPr>
          <w:rFonts w:cs="Arial"/>
          <w:color w:val="000000" w:themeColor="text1"/>
        </w:rPr>
        <w:t xml:space="preserve">he </w:t>
      </w:r>
      <w:r w:rsidR="008E163E" w:rsidRPr="008E163E">
        <w:rPr>
          <w:rFonts w:cs="Arial"/>
          <w:color w:val="000000" w:themeColor="text1"/>
        </w:rPr>
        <w:t xml:space="preserve">direct </w:t>
      </w:r>
      <w:r w:rsidR="00550BA7" w:rsidRPr="008E163E">
        <w:rPr>
          <w:rFonts w:cs="Arial"/>
          <w:color w:val="000000" w:themeColor="text1"/>
        </w:rPr>
        <w:t>benefits that arise from the investment that has been made</w:t>
      </w:r>
      <w:r w:rsidR="008E163E" w:rsidRPr="008E163E">
        <w:rPr>
          <w:rFonts w:cs="Arial"/>
          <w:color w:val="000000" w:themeColor="text1"/>
        </w:rPr>
        <w:t xml:space="preserve"> during this year</w:t>
      </w:r>
      <w:r w:rsidR="009F3673">
        <w:rPr>
          <w:rFonts w:cs="Arial"/>
          <w:color w:val="000000" w:themeColor="text1"/>
        </w:rPr>
        <w:t>,</w:t>
      </w:r>
      <w:r w:rsidR="0042707B">
        <w:rPr>
          <w:rFonts w:cs="Arial"/>
          <w:color w:val="000000" w:themeColor="text1"/>
        </w:rPr>
        <w:t xml:space="preserve"> </w:t>
      </w:r>
      <w:r w:rsidR="009F3673">
        <w:rPr>
          <w:rFonts w:cs="Arial"/>
          <w:color w:val="000000" w:themeColor="text1"/>
        </w:rPr>
        <w:t>will</w:t>
      </w:r>
      <w:r w:rsidR="00567491">
        <w:rPr>
          <w:rFonts w:cs="Arial"/>
          <w:color w:val="000000" w:themeColor="text1"/>
        </w:rPr>
        <w:t xml:space="preserve"> </w:t>
      </w:r>
      <w:r w:rsidR="00550BA7" w:rsidRPr="008E163E">
        <w:rPr>
          <w:rFonts w:cs="Arial"/>
          <w:color w:val="000000" w:themeColor="text1"/>
        </w:rPr>
        <w:t>ensur</w:t>
      </w:r>
      <w:r w:rsidR="00567491">
        <w:rPr>
          <w:rFonts w:cs="Arial"/>
          <w:color w:val="000000" w:themeColor="text1"/>
        </w:rPr>
        <w:t xml:space="preserve">e that we benefit in </w:t>
      </w:r>
      <w:r w:rsidR="00550BA7" w:rsidRPr="008E163E">
        <w:rPr>
          <w:rFonts w:cs="Arial"/>
          <w:color w:val="000000" w:themeColor="text1"/>
        </w:rPr>
        <w:t>future through continually reviewed services that</w:t>
      </w:r>
      <w:r w:rsidR="00567491">
        <w:rPr>
          <w:rFonts w:cs="Arial"/>
          <w:color w:val="000000" w:themeColor="text1"/>
        </w:rPr>
        <w:t xml:space="preserve"> build and improve on feedback and </w:t>
      </w:r>
      <w:r w:rsidR="00550BA7" w:rsidRPr="008E163E">
        <w:rPr>
          <w:rFonts w:cs="Arial"/>
          <w:color w:val="000000" w:themeColor="text1"/>
        </w:rPr>
        <w:t>learning lessons</w:t>
      </w:r>
      <w:r w:rsidR="00567491">
        <w:rPr>
          <w:rFonts w:cs="Arial"/>
          <w:color w:val="000000" w:themeColor="text1"/>
        </w:rPr>
        <w:t xml:space="preserve">; </w:t>
      </w:r>
      <w:r w:rsidR="00550BA7" w:rsidRPr="008E163E">
        <w:rPr>
          <w:rFonts w:cs="Arial"/>
          <w:color w:val="000000" w:themeColor="text1"/>
        </w:rPr>
        <w:t xml:space="preserve">bring benefits to the Authority and </w:t>
      </w:r>
      <w:r w:rsidR="0042707B">
        <w:rPr>
          <w:rFonts w:cs="Arial"/>
          <w:color w:val="000000" w:themeColor="text1"/>
        </w:rPr>
        <w:t>the research community.</w:t>
      </w:r>
      <w:r w:rsidR="00550BA7" w:rsidRPr="008E163E">
        <w:rPr>
          <w:rFonts w:cs="Arial"/>
          <w:color w:val="000000" w:themeColor="text1"/>
        </w:rPr>
        <w:t xml:space="preserve"> </w:t>
      </w:r>
    </w:p>
    <w:p w:rsidR="00567491" w:rsidRDefault="00567491" w:rsidP="00433D61">
      <w:pPr>
        <w:spacing w:after="0"/>
        <w:jc w:val="both"/>
        <w:rPr>
          <w:rFonts w:cs="Arial"/>
          <w:color w:val="000000" w:themeColor="text1"/>
        </w:rPr>
      </w:pPr>
    </w:p>
    <w:p w:rsidR="00433D61" w:rsidRDefault="00433D61" w:rsidP="00433D61">
      <w:pPr>
        <w:spacing w:after="0"/>
        <w:jc w:val="both"/>
        <w:rPr>
          <w:rFonts w:cs="Arial"/>
          <w:color w:val="000000" w:themeColor="text1"/>
        </w:rPr>
      </w:pPr>
    </w:p>
    <w:p w:rsidR="00433D61" w:rsidRPr="00433D61" w:rsidRDefault="00433D61" w:rsidP="00433D61">
      <w:pPr>
        <w:spacing w:after="0"/>
        <w:jc w:val="both"/>
        <w:rPr>
          <w:rFonts w:cs="Arial"/>
          <w:b/>
          <w:color w:val="000000" w:themeColor="text1"/>
        </w:rPr>
      </w:pPr>
      <w:r w:rsidRPr="00433D61">
        <w:rPr>
          <w:rFonts w:cs="Arial"/>
          <w:b/>
          <w:color w:val="000000" w:themeColor="text1"/>
        </w:rPr>
        <w:t xml:space="preserve">Recommendation </w:t>
      </w:r>
    </w:p>
    <w:p w:rsidR="008E163E" w:rsidRPr="008E163E" w:rsidRDefault="001C071A" w:rsidP="008E163E">
      <w:pPr>
        <w:jc w:val="both"/>
        <w:rPr>
          <w:rFonts w:cs="Arial"/>
          <w:color w:val="000000" w:themeColor="text1"/>
        </w:rPr>
      </w:pPr>
      <w:r>
        <w:rPr>
          <w:rFonts w:cs="Arial"/>
          <w:color w:val="000000" w:themeColor="text1"/>
        </w:rPr>
        <w:t>The</w:t>
      </w:r>
      <w:r w:rsidR="008E163E" w:rsidRPr="008E163E">
        <w:rPr>
          <w:rFonts w:cs="Arial"/>
          <w:color w:val="000000" w:themeColor="text1"/>
        </w:rPr>
        <w:t xml:space="preserve"> Board are therefore asked to;</w:t>
      </w:r>
    </w:p>
    <w:p w:rsidR="008E163E" w:rsidRPr="008E163E" w:rsidRDefault="008E163E" w:rsidP="008E163E">
      <w:pPr>
        <w:pStyle w:val="ListParagraph"/>
      </w:pPr>
      <w:r w:rsidRPr="008E163E">
        <w:t>Note the REC Accreditation Scheme, report for April –Sep ’15,</w:t>
      </w:r>
    </w:p>
    <w:p w:rsidR="008E163E" w:rsidRPr="008E163E" w:rsidRDefault="008E163E" w:rsidP="008E163E">
      <w:pPr>
        <w:pStyle w:val="ListParagraph"/>
      </w:pPr>
      <w:r w:rsidRPr="008E163E">
        <w:t xml:space="preserve">Note the User </w:t>
      </w:r>
      <w:r w:rsidR="00455D77">
        <w:t>Satisfaction</w:t>
      </w:r>
      <w:r w:rsidRPr="008E163E">
        <w:t xml:space="preserve"> report for April – Sep ’15,</w:t>
      </w:r>
    </w:p>
    <w:p w:rsidR="008E163E" w:rsidRPr="008E163E" w:rsidRDefault="008E163E" w:rsidP="008E163E">
      <w:pPr>
        <w:pStyle w:val="ListParagraph"/>
      </w:pPr>
      <w:r w:rsidRPr="008E163E">
        <w:t>Note and comment upon the audit and gap analysis work undertaken since April ’15,</w:t>
      </w:r>
      <w:r w:rsidR="00210461">
        <w:t xml:space="preserve"> </w:t>
      </w:r>
      <w:r w:rsidR="0042707B">
        <w:t xml:space="preserve">as part of our continual improvement to improve our services, </w:t>
      </w:r>
    </w:p>
    <w:p w:rsidR="008E163E" w:rsidRPr="008E163E" w:rsidRDefault="008E163E" w:rsidP="008E163E">
      <w:pPr>
        <w:pStyle w:val="ListParagraph"/>
      </w:pPr>
      <w:r w:rsidRPr="008E163E">
        <w:t xml:space="preserve">Approve the </w:t>
      </w:r>
      <w:r w:rsidR="001C071A">
        <w:t xml:space="preserve">continuing </w:t>
      </w:r>
      <w:r w:rsidRPr="008E163E">
        <w:t xml:space="preserve">direction </w:t>
      </w:r>
      <w:r w:rsidR="001C071A">
        <w:t>as per</w:t>
      </w:r>
      <w:r w:rsidRPr="008E163E">
        <w:t xml:space="preserve"> the HRA Business Plan </w:t>
      </w:r>
      <w:r w:rsidR="00433D61">
        <w:t>in respect to the</w:t>
      </w:r>
      <w:r w:rsidRPr="008E163E">
        <w:t xml:space="preserve"> HRA </w:t>
      </w:r>
      <w:r w:rsidR="00433D61">
        <w:t xml:space="preserve">extension of current </w:t>
      </w:r>
      <w:r w:rsidRPr="008E163E">
        <w:t>ISO9001 Certification</w:t>
      </w:r>
      <w:r w:rsidR="00433D61">
        <w:t>, by way of external audit in Q4 by an ISO9001 Certification body</w:t>
      </w:r>
      <w:r w:rsidRPr="008E163E">
        <w:t xml:space="preserve">. </w:t>
      </w:r>
    </w:p>
    <w:p w:rsidR="008E163E" w:rsidRPr="008E163E" w:rsidRDefault="008E163E" w:rsidP="008E163E">
      <w:pPr>
        <w:jc w:val="both"/>
        <w:rPr>
          <w:rFonts w:cs="Arial"/>
          <w:color w:val="000000" w:themeColor="text1"/>
        </w:rPr>
      </w:pPr>
    </w:p>
    <w:p w:rsidR="00433D61" w:rsidRDefault="00433D61" w:rsidP="008E163E">
      <w:pPr>
        <w:jc w:val="both"/>
        <w:rPr>
          <w:rFonts w:cs="Arial"/>
          <w:b/>
          <w:color w:val="000000" w:themeColor="text1"/>
        </w:rPr>
      </w:pPr>
    </w:p>
    <w:p w:rsidR="00AA7F7E" w:rsidRPr="008E163E" w:rsidRDefault="00AA7F7E" w:rsidP="008E163E">
      <w:pPr>
        <w:jc w:val="both"/>
        <w:rPr>
          <w:rFonts w:cs="Arial"/>
          <w:b/>
          <w:color w:val="000000" w:themeColor="text1"/>
        </w:rPr>
      </w:pPr>
      <w:r w:rsidRPr="008E163E">
        <w:rPr>
          <w:rFonts w:cs="Arial"/>
          <w:b/>
          <w:color w:val="000000" w:themeColor="text1"/>
        </w:rPr>
        <w:t xml:space="preserve">Tom Smith </w:t>
      </w:r>
    </w:p>
    <w:p w:rsidR="00AA7F7E" w:rsidRPr="008E163E" w:rsidRDefault="0042707B" w:rsidP="008E163E">
      <w:pPr>
        <w:jc w:val="both"/>
        <w:rPr>
          <w:rFonts w:cs="Arial"/>
          <w:b/>
          <w:color w:val="000000" w:themeColor="text1"/>
        </w:rPr>
      </w:pPr>
      <w:r>
        <w:rPr>
          <w:rFonts w:cs="Arial"/>
          <w:b/>
          <w:color w:val="000000" w:themeColor="text1"/>
        </w:rPr>
        <w:t>09 November</w:t>
      </w:r>
      <w:r w:rsidR="00AA7F7E" w:rsidRPr="008E163E">
        <w:rPr>
          <w:rFonts w:cs="Arial"/>
          <w:b/>
          <w:color w:val="000000" w:themeColor="text1"/>
        </w:rPr>
        <w:t xml:space="preserve"> 2015 </w:t>
      </w:r>
    </w:p>
    <w:p w:rsidR="00AA7F7E" w:rsidRPr="008E163E" w:rsidRDefault="00AA7F7E" w:rsidP="008E163E">
      <w:pPr>
        <w:tabs>
          <w:tab w:val="left" w:pos="1980"/>
        </w:tabs>
        <w:spacing w:after="0" w:line="240" w:lineRule="auto"/>
        <w:jc w:val="both"/>
        <w:rPr>
          <w:rFonts w:cs="Arial"/>
          <w:b/>
          <w:color w:val="000000" w:themeColor="text1"/>
        </w:rPr>
      </w:pPr>
    </w:p>
    <w:p w:rsidR="00FC6B0D" w:rsidRPr="008E163E" w:rsidRDefault="00FC6B0D" w:rsidP="008E163E">
      <w:pPr>
        <w:tabs>
          <w:tab w:val="left" w:pos="1980"/>
        </w:tabs>
        <w:spacing w:after="0" w:line="240" w:lineRule="auto"/>
        <w:jc w:val="both"/>
        <w:rPr>
          <w:rFonts w:cs="Arial"/>
          <w:b/>
          <w:color w:val="000000" w:themeColor="text1"/>
        </w:rPr>
      </w:pPr>
    </w:p>
    <w:p w:rsidR="00FC6B0D" w:rsidRPr="008E163E" w:rsidRDefault="00FC6B0D" w:rsidP="008E163E">
      <w:pPr>
        <w:tabs>
          <w:tab w:val="left" w:pos="1980"/>
        </w:tabs>
        <w:spacing w:after="0" w:line="240" w:lineRule="auto"/>
        <w:jc w:val="both"/>
        <w:rPr>
          <w:rFonts w:cs="Arial"/>
          <w:b/>
          <w:color w:val="000000" w:themeColor="text1"/>
        </w:rPr>
      </w:pPr>
    </w:p>
    <w:p w:rsidR="00FC6B0D" w:rsidRDefault="00FC6B0D" w:rsidP="008E163E">
      <w:pPr>
        <w:tabs>
          <w:tab w:val="left" w:pos="1980"/>
        </w:tabs>
        <w:spacing w:after="0" w:line="240" w:lineRule="auto"/>
        <w:jc w:val="both"/>
        <w:rPr>
          <w:rFonts w:cs="Arial"/>
          <w:b/>
          <w:color w:val="000000" w:themeColor="text1"/>
        </w:rPr>
      </w:pPr>
    </w:p>
    <w:p w:rsidR="00531623" w:rsidRDefault="00531623" w:rsidP="008E163E">
      <w:pPr>
        <w:tabs>
          <w:tab w:val="left" w:pos="1980"/>
        </w:tabs>
        <w:spacing w:after="0" w:line="240" w:lineRule="auto"/>
        <w:jc w:val="both"/>
        <w:rPr>
          <w:rFonts w:cs="Arial"/>
          <w:b/>
          <w:color w:val="000000" w:themeColor="text1"/>
        </w:rPr>
      </w:pPr>
    </w:p>
    <w:p w:rsidR="009F3673" w:rsidRDefault="009F3673" w:rsidP="008E163E">
      <w:pPr>
        <w:tabs>
          <w:tab w:val="left" w:pos="1980"/>
        </w:tabs>
        <w:spacing w:after="0" w:line="240" w:lineRule="auto"/>
        <w:jc w:val="both"/>
        <w:rPr>
          <w:rFonts w:cs="Arial"/>
          <w:b/>
          <w:color w:val="000000" w:themeColor="text1"/>
        </w:rPr>
      </w:pPr>
    </w:p>
    <w:p w:rsidR="009F3673" w:rsidRDefault="009F3673" w:rsidP="008E163E">
      <w:pPr>
        <w:tabs>
          <w:tab w:val="left" w:pos="1980"/>
        </w:tabs>
        <w:spacing w:after="0" w:line="240" w:lineRule="auto"/>
        <w:jc w:val="both"/>
        <w:rPr>
          <w:rFonts w:cs="Arial"/>
          <w:b/>
          <w:color w:val="000000" w:themeColor="text1"/>
        </w:rPr>
      </w:pPr>
    </w:p>
    <w:p w:rsidR="009F3673" w:rsidRDefault="009F3673" w:rsidP="008E163E">
      <w:pPr>
        <w:tabs>
          <w:tab w:val="left" w:pos="1980"/>
        </w:tabs>
        <w:spacing w:after="0" w:line="240" w:lineRule="auto"/>
        <w:jc w:val="both"/>
        <w:rPr>
          <w:rFonts w:cs="Arial"/>
          <w:b/>
          <w:color w:val="000000" w:themeColor="text1"/>
        </w:rPr>
      </w:pPr>
    </w:p>
    <w:p w:rsidR="0042707B" w:rsidRDefault="0042707B" w:rsidP="008E163E">
      <w:pPr>
        <w:tabs>
          <w:tab w:val="left" w:pos="1980"/>
        </w:tabs>
        <w:spacing w:after="0" w:line="240" w:lineRule="auto"/>
        <w:jc w:val="both"/>
        <w:rPr>
          <w:rFonts w:cs="Arial"/>
          <w:b/>
          <w:color w:val="000000" w:themeColor="text1"/>
        </w:rPr>
      </w:pPr>
    </w:p>
    <w:p w:rsidR="00FC6B0D" w:rsidRPr="0042707B" w:rsidRDefault="00FC6B0D" w:rsidP="008E163E">
      <w:pPr>
        <w:tabs>
          <w:tab w:val="left" w:pos="1980"/>
        </w:tabs>
        <w:spacing w:after="0" w:line="240" w:lineRule="auto"/>
        <w:jc w:val="both"/>
        <w:rPr>
          <w:rFonts w:cs="Arial"/>
          <w:sz w:val="20"/>
        </w:rPr>
      </w:pPr>
      <w:r w:rsidRPr="0042707B">
        <w:rPr>
          <w:rFonts w:cs="Arial"/>
          <w:b/>
          <w:color w:val="000000" w:themeColor="text1"/>
          <w:sz w:val="20"/>
        </w:rPr>
        <w:t>Appendix 1</w:t>
      </w:r>
      <w:r w:rsidRPr="0042707B">
        <w:rPr>
          <w:rFonts w:cs="Arial"/>
          <w:color w:val="000000" w:themeColor="text1"/>
          <w:sz w:val="20"/>
        </w:rPr>
        <w:t xml:space="preserve"> </w:t>
      </w:r>
      <w:r w:rsidRPr="0042707B">
        <w:rPr>
          <w:rFonts w:cs="Arial"/>
          <w:sz w:val="20"/>
        </w:rPr>
        <w:t>REC Accreditation Sch</w:t>
      </w:r>
      <w:r w:rsidR="0042707B" w:rsidRPr="0042707B">
        <w:rPr>
          <w:rFonts w:cs="Arial"/>
          <w:sz w:val="20"/>
        </w:rPr>
        <w:t>eme, report for April –Sep ’15</w:t>
      </w:r>
    </w:p>
    <w:p w:rsidR="00531623" w:rsidRDefault="00531623" w:rsidP="008E163E">
      <w:pPr>
        <w:tabs>
          <w:tab w:val="left" w:pos="1980"/>
        </w:tabs>
        <w:spacing w:after="0" w:line="240" w:lineRule="auto"/>
        <w:jc w:val="both"/>
        <w:rPr>
          <w:rFonts w:cs="Arial"/>
        </w:rPr>
      </w:pPr>
    </w:p>
    <w:p w:rsidR="00531623" w:rsidRDefault="00531623" w:rsidP="00531623">
      <w:pPr>
        <w:jc w:val="center"/>
        <w:rPr>
          <w:rFonts w:cs="Arial"/>
          <w:b/>
        </w:rPr>
      </w:pPr>
      <w:r>
        <w:rPr>
          <w:rFonts w:cs="Arial"/>
          <w:b/>
        </w:rPr>
        <w:t>HRA AND DEVOLVED ADMINISTRATIONS</w:t>
      </w:r>
    </w:p>
    <w:p w:rsidR="00531623" w:rsidRDefault="00531623" w:rsidP="00531623">
      <w:pPr>
        <w:jc w:val="center"/>
        <w:rPr>
          <w:rFonts w:cs="Arial"/>
          <w:b/>
        </w:rPr>
      </w:pPr>
      <w:r w:rsidRPr="00E47BC8">
        <w:rPr>
          <w:rFonts w:cs="Arial"/>
          <w:b/>
        </w:rPr>
        <w:t xml:space="preserve">ACCREDITATION </w:t>
      </w:r>
      <w:r>
        <w:rPr>
          <w:rFonts w:cs="Arial"/>
          <w:b/>
        </w:rPr>
        <w:t xml:space="preserve">SCHEME </w:t>
      </w:r>
      <w:r w:rsidRPr="00E47BC8">
        <w:rPr>
          <w:rFonts w:cs="Arial"/>
          <w:b/>
        </w:rPr>
        <w:t>REPORT</w:t>
      </w:r>
    </w:p>
    <w:p w:rsidR="00531623" w:rsidRDefault="00531623" w:rsidP="00531623">
      <w:pPr>
        <w:jc w:val="center"/>
        <w:rPr>
          <w:rFonts w:cs="Arial"/>
          <w:b/>
        </w:rPr>
      </w:pPr>
      <w:r w:rsidRPr="00E47BC8">
        <w:rPr>
          <w:rFonts w:cs="Arial"/>
          <w:b/>
        </w:rPr>
        <w:t xml:space="preserve">FOR PERIOD </w:t>
      </w:r>
      <w:r>
        <w:rPr>
          <w:rFonts w:cs="Arial"/>
          <w:b/>
        </w:rPr>
        <w:t>APRIL 2015 TO SEPTEMBER 2015</w:t>
      </w:r>
    </w:p>
    <w:p w:rsidR="00531623" w:rsidRDefault="00531623" w:rsidP="00531623">
      <w:pPr>
        <w:pStyle w:val="Header"/>
        <w:rPr>
          <w:rFonts w:cs="Arial"/>
          <w:b/>
          <w:noProof/>
        </w:rPr>
      </w:pPr>
      <w:r>
        <w:rPr>
          <w:rFonts w:cs="Arial"/>
          <w:b/>
          <w:noProof/>
        </w:rPr>
        <w:t>Introduction</w:t>
      </w:r>
    </w:p>
    <w:p w:rsidR="00531623" w:rsidRDefault="00531623" w:rsidP="00531623">
      <w:pPr>
        <w:pStyle w:val="Header"/>
        <w:rPr>
          <w:rFonts w:cs="Arial"/>
          <w:b/>
          <w:noProof/>
        </w:rPr>
      </w:pPr>
    </w:p>
    <w:p w:rsidR="00531623" w:rsidRPr="0052552F" w:rsidRDefault="00531623" w:rsidP="00531623">
      <w:pPr>
        <w:pStyle w:val="Header"/>
        <w:rPr>
          <w:rFonts w:cs="Arial"/>
          <w:noProof/>
        </w:rPr>
      </w:pPr>
      <w:r>
        <w:rPr>
          <w:rFonts w:cs="Arial"/>
          <w:noProof/>
        </w:rPr>
        <w:t>This report includes data relating to REC audits conducted and action plans completed between April 2015 to September 2015.</w:t>
      </w:r>
    </w:p>
    <w:p w:rsidR="00531623" w:rsidRDefault="00531623" w:rsidP="00531623">
      <w:pPr>
        <w:pStyle w:val="Header"/>
        <w:jc w:val="both"/>
        <w:rPr>
          <w:rFonts w:cs="Arial"/>
          <w:noProof/>
        </w:rPr>
      </w:pPr>
    </w:p>
    <w:p w:rsidR="00531623" w:rsidRDefault="00531623" w:rsidP="00531623">
      <w:pPr>
        <w:pStyle w:val="Header"/>
        <w:rPr>
          <w:rFonts w:cs="Arial"/>
          <w:b/>
          <w:noProof/>
          <w:sz w:val="24"/>
          <w:szCs w:val="24"/>
        </w:rPr>
      </w:pPr>
    </w:p>
    <w:p w:rsidR="00531623" w:rsidRDefault="00531623" w:rsidP="00531623">
      <w:pPr>
        <w:pStyle w:val="Header"/>
        <w:numPr>
          <w:ilvl w:val="0"/>
          <w:numId w:val="8"/>
        </w:numPr>
        <w:tabs>
          <w:tab w:val="clear" w:pos="4513"/>
          <w:tab w:val="clear" w:pos="9026"/>
        </w:tabs>
        <w:ind w:left="357" w:hanging="357"/>
        <w:rPr>
          <w:rFonts w:cs="Arial"/>
          <w:b/>
          <w:noProof/>
        </w:rPr>
      </w:pPr>
      <w:r w:rsidRPr="007975D5">
        <w:rPr>
          <w:rFonts w:cs="Arial"/>
          <w:b/>
          <w:noProof/>
        </w:rPr>
        <w:t xml:space="preserve">REC audits and accreditation status awarded  </w:t>
      </w:r>
    </w:p>
    <w:p w:rsidR="00531623" w:rsidRPr="007975D5" w:rsidRDefault="00531623" w:rsidP="00531623">
      <w:pPr>
        <w:pStyle w:val="Header"/>
        <w:ind w:left="357"/>
        <w:rPr>
          <w:rFonts w:cs="Arial"/>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512"/>
        <w:gridCol w:w="3547"/>
      </w:tblGrid>
      <w:tr w:rsidR="00531623" w:rsidRPr="005857BA" w:rsidTr="00531623">
        <w:tc>
          <w:tcPr>
            <w:tcW w:w="1669" w:type="pct"/>
            <w:shd w:val="clear" w:color="auto" w:fill="B8CCE4"/>
          </w:tcPr>
          <w:p w:rsidR="00531623" w:rsidRPr="005857BA" w:rsidRDefault="00531623" w:rsidP="00531623">
            <w:pPr>
              <w:rPr>
                <w:rFonts w:cs="Arial"/>
                <w:b/>
              </w:rPr>
            </w:pPr>
            <w:r w:rsidRPr="005857BA">
              <w:rPr>
                <w:rFonts w:cs="Arial"/>
                <w:b/>
              </w:rPr>
              <w:t>Name of REC</w:t>
            </w:r>
          </w:p>
        </w:tc>
        <w:tc>
          <w:tcPr>
            <w:tcW w:w="1381" w:type="pct"/>
            <w:shd w:val="clear" w:color="auto" w:fill="B8CCE4"/>
          </w:tcPr>
          <w:p w:rsidR="00531623" w:rsidRPr="005857BA" w:rsidRDefault="00531623" w:rsidP="00531623">
            <w:pPr>
              <w:rPr>
                <w:rFonts w:cs="Arial"/>
                <w:b/>
              </w:rPr>
            </w:pPr>
            <w:r w:rsidRPr="005857BA">
              <w:rPr>
                <w:rFonts w:cs="Arial"/>
                <w:b/>
              </w:rPr>
              <w:t xml:space="preserve">Audit period </w:t>
            </w:r>
          </w:p>
        </w:tc>
        <w:tc>
          <w:tcPr>
            <w:tcW w:w="1950" w:type="pct"/>
            <w:shd w:val="clear" w:color="auto" w:fill="B8CCE4"/>
          </w:tcPr>
          <w:p w:rsidR="00531623" w:rsidRPr="005857BA" w:rsidRDefault="00531623" w:rsidP="00531623">
            <w:pPr>
              <w:rPr>
                <w:rFonts w:cs="Arial"/>
                <w:b/>
              </w:rPr>
            </w:pPr>
            <w:r w:rsidRPr="005857BA">
              <w:rPr>
                <w:rFonts w:cs="Arial"/>
                <w:b/>
              </w:rPr>
              <w:t xml:space="preserve">Accreditation status awarded </w:t>
            </w:r>
          </w:p>
        </w:tc>
      </w:tr>
      <w:tr w:rsidR="00531623" w:rsidRPr="003010DF" w:rsidTr="00531623">
        <w:trPr>
          <w:cantSplit/>
        </w:trPr>
        <w:tc>
          <w:tcPr>
            <w:tcW w:w="1669" w:type="pct"/>
          </w:tcPr>
          <w:p w:rsidR="00531623" w:rsidRPr="00D42EA0" w:rsidRDefault="00531623" w:rsidP="00531623">
            <w:pPr>
              <w:rPr>
                <w:rFonts w:cs="Arial"/>
              </w:rPr>
            </w:pPr>
            <w:r w:rsidRPr="00D42EA0">
              <w:rPr>
                <w:rFonts w:cs="Arial"/>
              </w:rPr>
              <w:t>London – Queen Square</w:t>
            </w:r>
          </w:p>
        </w:tc>
        <w:tc>
          <w:tcPr>
            <w:tcW w:w="1381" w:type="pct"/>
          </w:tcPr>
          <w:p w:rsidR="00531623" w:rsidRPr="00D42EA0" w:rsidRDefault="00531623" w:rsidP="00531623">
            <w:pPr>
              <w:rPr>
                <w:rFonts w:cs="Arial"/>
              </w:rPr>
            </w:pPr>
            <w:r w:rsidRPr="00D42EA0">
              <w:rPr>
                <w:rFonts w:cs="Arial"/>
              </w:rPr>
              <w:t>Jan 2014 – Dec 2014</w:t>
            </w:r>
          </w:p>
        </w:tc>
        <w:tc>
          <w:tcPr>
            <w:tcW w:w="1950" w:type="pct"/>
          </w:tcPr>
          <w:p w:rsidR="00531623" w:rsidRPr="00D42EA0" w:rsidRDefault="00531623" w:rsidP="00531623">
            <w:pPr>
              <w:rPr>
                <w:rFonts w:cs="Arial"/>
              </w:rPr>
            </w:pPr>
            <w:r w:rsidRPr="00D42EA0">
              <w:rPr>
                <w:rFonts w:cs="Arial"/>
              </w:rPr>
              <w:t>Accreditation with conditions</w:t>
            </w:r>
          </w:p>
        </w:tc>
      </w:tr>
      <w:tr w:rsidR="00531623" w:rsidRPr="007F1C1F" w:rsidTr="00531623">
        <w:trPr>
          <w:cantSplit/>
        </w:trPr>
        <w:tc>
          <w:tcPr>
            <w:tcW w:w="1669" w:type="pct"/>
          </w:tcPr>
          <w:p w:rsidR="00531623" w:rsidRPr="007F1C1F" w:rsidRDefault="00531623" w:rsidP="00531623">
            <w:pPr>
              <w:rPr>
                <w:rFonts w:cs="Arial"/>
              </w:rPr>
            </w:pPr>
            <w:r w:rsidRPr="00D42EA0">
              <w:rPr>
                <w:rFonts w:cs="Arial"/>
              </w:rPr>
              <w:t xml:space="preserve">North West – GM East                                                                                                                                                                                                                                 </w:t>
            </w:r>
          </w:p>
        </w:tc>
        <w:tc>
          <w:tcPr>
            <w:tcW w:w="1381" w:type="pct"/>
          </w:tcPr>
          <w:p w:rsidR="00531623" w:rsidRPr="007F1C1F" w:rsidRDefault="00531623" w:rsidP="00531623">
            <w:pPr>
              <w:rPr>
                <w:rFonts w:cs="Arial"/>
              </w:rPr>
            </w:pPr>
            <w:r w:rsidRPr="00D42EA0">
              <w:rPr>
                <w:rFonts w:cs="Arial"/>
              </w:rPr>
              <w:t>Feb 2014 – Jan 2015</w:t>
            </w:r>
          </w:p>
        </w:tc>
        <w:tc>
          <w:tcPr>
            <w:tcW w:w="1950" w:type="pct"/>
          </w:tcPr>
          <w:p w:rsidR="00531623" w:rsidRPr="007F1C1F" w:rsidRDefault="00531623" w:rsidP="00531623">
            <w:pPr>
              <w:pStyle w:val="Header"/>
              <w:rPr>
                <w:rFonts w:cs="Arial"/>
                <w:noProof/>
              </w:rPr>
            </w:pPr>
            <w:r w:rsidRPr="00D42EA0">
              <w:rPr>
                <w:rFonts w:cs="Arial"/>
                <w:noProof/>
              </w:rPr>
              <w:t>Accreditation with conditions</w:t>
            </w:r>
          </w:p>
        </w:tc>
      </w:tr>
      <w:tr w:rsidR="00531623" w:rsidRPr="007F1C1F" w:rsidTr="00531623">
        <w:trPr>
          <w:cantSplit/>
        </w:trPr>
        <w:tc>
          <w:tcPr>
            <w:tcW w:w="1669" w:type="pct"/>
          </w:tcPr>
          <w:p w:rsidR="00531623" w:rsidRPr="007F1C1F" w:rsidRDefault="00531623" w:rsidP="00531623">
            <w:pPr>
              <w:rPr>
                <w:rFonts w:cs="Arial"/>
              </w:rPr>
            </w:pPr>
            <w:r w:rsidRPr="0051654E">
              <w:rPr>
                <w:rFonts w:cs="Arial"/>
              </w:rPr>
              <w:t>HSC A</w:t>
            </w:r>
          </w:p>
        </w:tc>
        <w:tc>
          <w:tcPr>
            <w:tcW w:w="1381" w:type="pct"/>
          </w:tcPr>
          <w:p w:rsidR="00531623" w:rsidRPr="007F1C1F" w:rsidRDefault="00531623" w:rsidP="00531623">
            <w:pPr>
              <w:rPr>
                <w:rFonts w:cs="Arial"/>
              </w:rPr>
            </w:pPr>
            <w:r w:rsidRPr="0051654E">
              <w:rPr>
                <w:rFonts w:cs="Arial"/>
              </w:rPr>
              <w:t>17 Feb 2014 – 16 Jan 2015</w:t>
            </w:r>
          </w:p>
        </w:tc>
        <w:tc>
          <w:tcPr>
            <w:tcW w:w="1950" w:type="pct"/>
          </w:tcPr>
          <w:p w:rsidR="00531623" w:rsidRPr="007F1C1F" w:rsidRDefault="00531623" w:rsidP="00531623">
            <w:pPr>
              <w:pStyle w:val="Header"/>
              <w:rPr>
                <w:rFonts w:cs="Arial"/>
                <w:noProof/>
              </w:rPr>
            </w:pPr>
            <w:r w:rsidRPr="0051654E">
              <w:rPr>
                <w:rFonts w:cs="Arial"/>
                <w:noProof/>
              </w:rPr>
              <w:t>Full accreditation</w:t>
            </w:r>
          </w:p>
        </w:tc>
      </w:tr>
      <w:tr w:rsidR="00531623" w:rsidRPr="007F1C1F" w:rsidTr="00531623">
        <w:trPr>
          <w:cantSplit/>
        </w:trPr>
        <w:tc>
          <w:tcPr>
            <w:tcW w:w="1669" w:type="pct"/>
          </w:tcPr>
          <w:p w:rsidR="00531623" w:rsidRPr="007F1C1F" w:rsidRDefault="00531623" w:rsidP="00531623">
            <w:pPr>
              <w:rPr>
                <w:rFonts w:cs="Arial"/>
              </w:rPr>
            </w:pPr>
            <w:r w:rsidRPr="0051654E">
              <w:rPr>
                <w:rFonts w:cs="Arial"/>
              </w:rPr>
              <w:t>South West – Cornwall &amp; Plymouth</w:t>
            </w:r>
          </w:p>
        </w:tc>
        <w:tc>
          <w:tcPr>
            <w:tcW w:w="1381" w:type="pct"/>
          </w:tcPr>
          <w:p w:rsidR="00531623" w:rsidRPr="007F1C1F" w:rsidRDefault="00531623" w:rsidP="00531623">
            <w:pPr>
              <w:rPr>
                <w:rFonts w:cs="Arial"/>
              </w:rPr>
            </w:pPr>
            <w:r w:rsidRPr="0051654E">
              <w:rPr>
                <w:rFonts w:cs="Arial"/>
              </w:rPr>
              <w:t>Feb 2014 – Jan 2015</w:t>
            </w:r>
          </w:p>
        </w:tc>
        <w:tc>
          <w:tcPr>
            <w:tcW w:w="1950" w:type="pct"/>
          </w:tcPr>
          <w:p w:rsidR="00531623" w:rsidRPr="007F1C1F" w:rsidRDefault="00531623" w:rsidP="00531623">
            <w:pPr>
              <w:pStyle w:val="Header"/>
              <w:rPr>
                <w:rFonts w:cs="Arial"/>
                <w:noProof/>
              </w:rPr>
            </w:pPr>
            <w:r w:rsidRPr="0051654E">
              <w:rPr>
                <w:rFonts w:cs="Arial"/>
                <w:noProof/>
              </w:rPr>
              <w:t>Accreditation with conditions</w:t>
            </w:r>
          </w:p>
        </w:tc>
      </w:tr>
      <w:tr w:rsidR="00531623" w:rsidRPr="007F1C1F" w:rsidTr="00531623">
        <w:trPr>
          <w:cantSplit/>
        </w:trPr>
        <w:tc>
          <w:tcPr>
            <w:tcW w:w="1669" w:type="pct"/>
          </w:tcPr>
          <w:p w:rsidR="00531623" w:rsidRPr="007F1C1F" w:rsidRDefault="00531623" w:rsidP="00531623">
            <w:pPr>
              <w:rPr>
                <w:rFonts w:cs="Arial"/>
              </w:rPr>
            </w:pPr>
            <w:r w:rsidRPr="0051654E">
              <w:rPr>
                <w:rFonts w:cs="Arial"/>
              </w:rPr>
              <w:t>London – Camden &amp; Kings Cross</w:t>
            </w:r>
          </w:p>
        </w:tc>
        <w:tc>
          <w:tcPr>
            <w:tcW w:w="1381" w:type="pct"/>
          </w:tcPr>
          <w:p w:rsidR="00531623" w:rsidRPr="007F1C1F" w:rsidRDefault="00531623" w:rsidP="00531623">
            <w:pPr>
              <w:rPr>
                <w:rFonts w:cs="Arial"/>
              </w:rPr>
            </w:pPr>
            <w:r w:rsidRPr="0051654E">
              <w:rPr>
                <w:rFonts w:cs="Arial"/>
              </w:rPr>
              <w:t>Feb 2014 – Jan 2015</w:t>
            </w:r>
          </w:p>
        </w:tc>
        <w:tc>
          <w:tcPr>
            <w:tcW w:w="1950" w:type="pct"/>
          </w:tcPr>
          <w:p w:rsidR="00531623" w:rsidRPr="007F1C1F" w:rsidRDefault="00531623" w:rsidP="00531623">
            <w:pPr>
              <w:pStyle w:val="Header"/>
              <w:rPr>
                <w:rFonts w:cs="Arial"/>
                <w:noProof/>
              </w:rPr>
            </w:pPr>
            <w:r w:rsidRPr="0051654E">
              <w:rPr>
                <w:rFonts w:cs="Arial"/>
                <w:noProof/>
              </w:rPr>
              <w:t>Full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 xml:space="preserve">South West – Central Bristol </w:t>
            </w:r>
          </w:p>
        </w:tc>
        <w:tc>
          <w:tcPr>
            <w:tcW w:w="1381" w:type="pct"/>
            <w:vAlign w:val="bottom"/>
          </w:tcPr>
          <w:p w:rsidR="00531623" w:rsidRPr="0051654E" w:rsidRDefault="00531623" w:rsidP="00531623">
            <w:pPr>
              <w:rPr>
                <w:rFonts w:cs="Arial"/>
                <w:color w:val="000000"/>
              </w:rPr>
            </w:pPr>
            <w:r w:rsidRPr="0051654E">
              <w:rPr>
                <w:rFonts w:cs="Arial"/>
                <w:color w:val="000000"/>
              </w:rPr>
              <w:t>Mar 2014 – Feb 2015</w:t>
            </w:r>
          </w:p>
        </w:tc>
        <w:tc>
          <w:tcPr>
            <w:tcW w:w="1950" w:type="pct"/>
            <w:vAlign w:val="bottom"/>
          </w:tcPr>
          <w:p w:rsidR="00531623" w:rsidRPr="0051654E" w:rsidRDefault="00531623" w:rsidP="00531623">
            <w:pPr>
              <w:rPr>
                <w:rFonts w:cs="Arial"/>
                <w:color w:val="000000"/>
              </w:rPr>
            </w:pPr>
            <w:r w:rsidRPr="0051654E">
              <w:rPr>
                <w:rFonts w:cs="Arial"/>
                <w:color w:val="000000"/>
              </w:rPr>
              <w:t>Full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South East Coast – Brighton &amp; Sussex</w:t>
            </w:r>
          </w:p>
        </w:tc>
        <w:tc>
          <w:tcPr>
            <w:tcW w:w="1381" w:type="pct"/>
            <w:vAlign w:val="bottom"/>
          </w:tcPr>
          <w:p w:rsidR="00531623" w:rsidRPr="0051654E" w:rsidRDefault="00531623" w:rsidP="00531623">
            <w:pPr>
              <w:rPr>
                <w:rFonts w:cs="Arial"/>
                <w:color w:val="000000"/>
              </w:rPr>
            </w:pPr>
            <w:r w:rsidRPr="0051654E">
              <w:rPr>
                <w:rFonts w:cs="Arial"/>
                <w:color w:val="000000"/>
              </w:rPr>
              <w:t>Mar 2014 – Feb 2015</w:t>
            </w:r>
          </w:p>
        </w:tc>
        <w:tc>
          <w:tcPr>
            <w:tcW w:w="1950" w:type="pct"/>
            <w:vAlign w:val="bottom"/>
          </w:tcPr>
          <w:p w:rsidR="00531623" w:rsidRPr="0051654E" w:rsidRDefault="00531623" w:rsidP="00531623">
            <w:pPr>
              <w:rPr>
                <w:rFonts w:cs="Arial"/>
              </w:rPr>
            </w:pPr>
            <w:r w:rsidRPr="0051654E">
              <w:rPr>
                <w:rFonts w:cs="Arial"/>
              </w:rPr>
              <w:t>Accreditation with conditions</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HSC B</w:t>
            </w:r>
          </w:p>
        </w:tc>
        <w:tc>
          <w:tcPr>
            <w:tcW w:w="1381" w:type="pct"/>
            <w:vAlign w:val="bottom"/>
          </w:tcPr>
          <w:p w:rsidR="00531623" w:rsidRPr="0051654E" w:rsidRDefault="00531623" w:rsidP="00531623">
            <w:pPr>
              <w:rPr>
                <w:rFonts w:cs="Arial"/>
                <w:color w:val="000000"/>
              </w:rPr>
            </w:pPr>
            <w:r w:rsidRPr="0051654E">
              <w:rPr>
                <w:rFonts w:cs="Arial"/>
                <w:color w:val="000000"/>
              </w:rPr>
              <w:t>Mar 2014 – Feb 2015</w:t>
            </w:r>
          </w:p>
        </w:tc>
        <w:tc>
          <w:tcPr>
            <w:tcW w:w="1950" w:type="pct"/>
            <w:vAlign w:val="bottom"/>
          </w:tcPr>
          <w:p w:rsidR="00531623" w:rsidRPr="0051654E" w:rsidRDefault="00531623" w:rsidP="00531623">
            <w:pPr>
              <w:rPr>
                <w:rFonts w:cs="Arial"/>
                <w:color w:val="000000"/>
              </w:rPr>
            </w:pPr>
            <w:r w:rsidRPr="0051654E">
              <w:rPr>
                <w:rFonts w:cs="Arial"/>
                <w:color w:val="000000"/>
              </w:rPr>
              <w:t>Full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London – City Road &amp; Hampstead</w:t>
            </w:r>
          </w:p>
        </w:tc>
        <w:tc>
          <w:tcPr>
            <w:tcW w:w="1381" w:type="pct"/>
            <w:vAlign w:val="bottom"/>
          </w:tcPr>
          <w:p w:rsidR="00531623" w:rsidRPr="0051654E" w:rsidRDefault="00531623" w:rsidP="00531623">
            <w:pPr>
              <w:rPr>
                <w:rFonts w:cs="Arial"/>
                <w:color w:val="000000"/>
              </w:rPr>
            </w:pPr>
            <w:r w:rsidRPr="0051654E">
              <w:rPr>
                <w:rFonts w:cs="Arial"/>
                <w:color w:val="000000"/>
              </w:rPr>
              <w:t>Mar 2014 – Feb 2015</w:t>
            </w:r>
          </w:p>
        </w:tc>
        <w:tc>
          <w:tcPr>
            <w:tcW w:w="1950" w:type="pct"/>
            <w:vAlign w:val="bottom"/>
          </w:tcPr>
          <w:p w:rsidR="00531623" w:rsidRPr="0051654E" w:rsidRDefault="00531623" w:rsidP="00531623">
            <w:pPr>
              <w:rPr>
                <w:rFonts w:cs="Arial"/>
                <w:color w:val="000000"/>
              </w:rPr>
            </w:pPr>
            <w:r w:rsidRPr="0051654E">
              <w:rPr>
                <w:rFonts w:cs="Arial"/>
                <w:color w:val="000000"/>
              </w:rPr>
              <w:t>Full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West of Scotland 1</w:t>
            </w:r>
          </w:p>
        </w:tc>
        <w:tc>
          <w:tcPr>
            <w:tcW w:w="1381" w:type="pct"/>
            <w:vAlign w:val="bottom"/>
          </w:tcPr>
          <w:p w:rsidR="00531623" w:rsidRPr="0051654E" w:rsidRDefault="00531623" w:rsidP="00531623">
            <w:pPr>
              <w:rPr>
                <w:rFonts w:cs="Arial"/>
                <w:color w:val="000000"/>
              </w:rPr>
            </w:pPr>
            <w:r w:rsidRPr="0051654E">
              <w:rPr>
                <w:rFonts w:cs="Arial"/>
                <w:color w:val="000000"/>
              </w:rPr>
              <w:t>Apr 2014 – Mar 2015</w:t>
            </w:r>
          </w:p>
        </w:tc>
        <w:tc>
          <w:tcPr>
            <w:tcW w:w="1950" w:type="pct"/>
            <w:vAlign w:val="bottom"/>
          </w:tcPr>
          <w:p w:rsidR="00531623" w:rsidRPr="0051654E" w:rsidRDefault="00531623" w:rsidP="00531623">
            <w:pPr>
              <w:rPr>
                <w:rFonts w:cs="Arial"/>
                <w:color w:val="000000"/>
              </w:rPr>
            </w:pPr>
            <w:r w:rsidRPr="0051654E">
              <w:rPr>
                <w:rFonts w:cs="Arial"/>
                <w:color w:val="000000"/>
              </w:rPr>
              <w:t>Full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Pr>
                <w:rFonts w:cs="Arial"/>
                <w:color w:val="000000"/>
              </w:rPr>
              <w:t>Wales REC 4</w:t>
            </w:r>
          </w:p>
        </w:tc>
        <w:tc>
          <w:tcPr>
            <w:tcW w:w="1381" w:type="pct"/>
            <w:vAlign w:val="bottom"/>
          </w:tcPr>
          <w:p w:rsidR="00531623" w:rsidRPr="0051654E" w:rsidRDefault="00531623" w:rsidP="00531623">
            <w:pPr>
              <w:rPr>
                <w:rFonts w:cs="Arial"/>
                <w:color w:val="000000"/>
              </w:rPr>
            </w:pPr>
            <w:r w:rsidRPr="0051654E">
              <w:rPr>
                <w:rFonts w:cs="Arial"/>
                <w:color w:val="000000"/>
              </w:rPr>
              <w:t>Jan 2014 - Dec 2014</w:t>
            </w:r>
          </w:p>
        </w:tc>
        <w:tc>
          <w:tcPr>
            <w:tcW w:w="1950" w:type="pct"/>
            <w:vAlign w:val="bottom"/>
          </w:tcPr>
          <w:p w:rsidR="00531623" w:rsidRPr="0051654E" w:rsidRDefault="00531623" w:rsidP="00531623">
            <w:pPr>
              <w:rPr>
                <w:rFonts w:cs="Arial"/>
                <w:color w:val="000000"/>
              </w:rPr>
            </w:pPr>
            <w:r w:rsidRPr="0051654E">
              <w:rPr>
                <w:rFonts w:cs="Arial"/>
                <w:color w:val="000000"/>
              </w:rPr>
              <w:t>Provisional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West Midlands – Edgbaston</w:t>
            </w:r>
          </w:p>
        </w:tc>
        <w:tc>
          <w:tcPr>
            <w:tcW w:w="1381" w:type="pct"/>
            <w:vAlign w:val="bottom"/>
          </w:tcPr>
          <w:p w:rsidR="00531623" w:rsidRPr="0051654E" w:rsidRDefault="00531623" w:rsidP="00531623">
            <w:pPr>
              <w:rPr>
                <w:rFonts w:cs="Arial"/>
                <w:color w:val="000000"/>
              </w:rPr>
            </w:pPr>
            <w:r w:rsidRPr="0051654E">
              <w:rPr>
                <w:rFonts w:cs="Arial"/>
                <w:color w:val="000000"/>
              </w:rPr>
              <w:t>May 2014 – Apr 2015</w:t>
            </w:r>
          </w:p>
        </w:tc>
        <w:tc>
          <w:tcPr>
            <w:tcW w:w="1950" w:type="pct"/>
            <w:vAlign w:val="bottom"/>
          </w:tcPr>
          <w:p w:rsidR="00531623" w:rsidRPr="0051654E" w:rsidRDefault="00531623" w:rsidP="00531623">
            <w:pPr>
              <w:rPr>
                <w:rFonts w:cs="Arial"/>
                <w:color w:val="000000"/>
              </w:rPr>
            </w:pPr>
            <w:r w:rsidRPr="0051654E">
              <w:rPr>
                <w:rFonts w:cs="Arial"/>
                <w:color w:val="000000"/>
              </w:rPr>
              <w:t>Full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 xml:space="preserve">North West – GM South </w:t>
            </w:r>
          </w:p>
        </w:tc>
        <w:tc>
          <w:tcPr>
            <w:tcW w:w="1381" w:type="pct"/>
            <w:vAlign w:val="bottom"/>
          </w:tcPr>
          <w:p w:rsidR="00531623" w:rsidRPr="0051654E" w:rsidRDefault="00531623" w:rsidP="00531623">
            <w:pPr>
              <w:rPr>
                <w:rFonts w:cs="Arial"/>
                <w:color w:val="000000"/>
              </w:rPr>
            </w:pPr>
            <w:r w:rsidRPr="0051654E">
              <w:rPr>
                <w:rFonts w:cs="Arial"/>
                <w:color w:val="000000"/>
              </w:rPr>
              <w:t>Jun 2014 – May 2015</w:t>
            </w:r>
          </w:p>
        </w:tc>
        <w:tc>
          <w:tcPr>
            <w:tcW w:w="1950" w:type="pct"/>
          </w:tcPr>
          <w:p w:rsidR="00531623" w:rsidRPr="0032737F" w:rsidRDefault="00531623" w:rsidP="00531623">
            <w:pPr>
              <w:pStyle w:val="Header"/>
              <w:rPr>
                <w:rFonts w:cs="Arial"/>
                <w:noProof/>
              </w:rPr>
            </w:pPr>
            <w:r w:rsidRPr="0051654E">
              <w:rPr>
                <w:rFonts w:cs="Arial"/>
                <w:noProof/>
              </w:rPr>
              <w:t>Provisional accreditation</w:t>
            </w:r>
          </w:p>
        </w:tc>
      </w:tr>
      <w:tr w:rsidR="00531623" w:rsidRPr="007F1C1F" w:rsidTr="00531623">
        <w:trPr>
          <w:cantSplit/>
        </w:trPr>
        <w:tc>
          <w:tcPr>
            <w:tcW w:w="1669" w:type="pct"/>
            <w:vAlign w:val="bottom"/>
          </w:tcPr>
          <w:p w:rsidR="00531623" w:rsidRPr="0051654E" w:rsidRDefault="00531623" w:rsidP="00531623">
            <w:pPr>
              <w:rPr>
                <w:rFonts w:cs="Arial"/>
                <w:color w:val="000000"/>
              </w:rPr>
            </w:pPr>
            <w:r w:rsidRPr="0051654E">
              <w:rPr>
                <w:rFonts w:cs="Arial"/>
                <w:color w:val="000000"/>
              </w:rPr>
              <w:t>Yorkshire &amp; The Humber - South Yorkshire</w:t>
            </w:r>
          </w:p>
        </w:tc>
        <w:tc>
          <w:tcPr>
            <w:tcW w:w="1381" w:type="pct"/>
            <w:vAlign w:val="bottom"/>
          </w:tcPr>
          <w:p w:rsidR="00531623" w:rsidRPr="0051654E" w:rsidRDefault="00531623" w:rsidP="00531623">
            <w:pPr>
              <w:rPr>
                <w:rFonts w:cs="Arial"/>
                <w:color w:val="000000"/>
              </w:rPr>
            </w:pPr>
            <w:r w:rsidRPr="0051654E">
              <w:rPr>
                <w:rFonts w:cs="Arial"/>
                <w:color w:val="000000"/>
              </w:rPr>
              <w:t>Jun 2014 – May 2015</w:t>
            </w:r>
          </w:p>
        </w:tc>
        <w:tc>
          <w:tcPr>
            <w:tcW w:w="1950" w:type="pct"/>
          </w:tcPr>
          <w:p w:rsidR="00531623" w:rsidRPr="0032737F" w:rsidRDefault="00531623" w:rsidP="00531623">
            <w:pPr>
              <w:pStyle w:val="Header"/>
              <w:rPr>
                <w:rFonts w:cs="Arial"/>
                <w:noProof/>
              </w:rPr>
            </w:pPr>
            <w:r>
              <w:rPr>
                <w:rFonts w:cs="Arial"/>
                <w:noProof/>
              </w:rPr>
              <w:t>Full accreditation</w:t>
            </w:r>
          </w:p>
        </w:tc>
      </w:tr>
    </w:tbl>
    <w:p w:rsidR="00531623" w:rsidRDefault="00531623" w:rsidP="00531623">
      <w:pPr>
        <w:pStyle w:val="Header"/>
        <w:rPr>
          <w:rFonts w:cs="Arial"/>
          <w:b/>
          <w:noProof/>
        </w:rPr>
      </w:pPr>
    </w:p>
    <w:p w:rsidR="00531623" w:rsidRDefault="00531623" w:rsidP="00531623">
      <w:pPr>
        <w:pStyle w:val="Header"/>
        <w:rPr>
          <w:rFonts w:cs="Arial"/>
          <w:b/>
          <w:noProof/>
        </w:rPr>
      </w:pPr>
    </w:p>
    <w:p w:rsidR="00531623" w:rsidRPr="00E82FF0" w:rsidRDefault="00531623" w:rsidP="00531623">
      <w:pPr>
        <w:pStyle w:val="Header"/>
        <w:numPr>
          <w:ilvl w:val="0"/>
          <w:numId w:val="8"/>
        </w:numPr>
        <w:tabs>
          <w:tab w:val="clear" w:pos="4513"/>
          <w:tab w:val="clear" w:pos="9026"/>
        </w:tabs>
        <w:rPr>
          <w:rFonts w:cs="Arial"/>
          <w:noProof/>
        </w:rPr>
      </w:pPr>
      <w:r w:rsidRPr="00E82FF0">
        <w:rPr>
          <w:rFonts w:cs="Arial"/>
          <w:b/>
          <w:noProof/>
        </w:rPr>
        <w:t xml:space="preserve">RECs Achieving Full Accreditation after </w:t>
      </w:r>
      <w:r>
        <w:rPr>
          <w:rFonts w:cs="Arial"/>
          <w:b/>
          <w:noProof/>
        </w:rPr>
        <w:t>c</w:t>
      </w:r>
      <w:r w:rsidRPr="00E82FF0">
        <w:rPr>
          <w:rFonts w:cs="Arial"/>
          <w:b/>
          <w:noProof/>
        </w:rPr>
        <w:t xml:space="preserve">ompletion of </w:t>
      </w:r>
      <w:r>
        <w:rPr>
          <w:rFonts w:cs="Arial"/>
          <w:b/>
          <w:noProof/>
        </w:rPr>
        <w:t>an action p</w:t>
      </w:r>
      <w:r w:rsidRPr="00E82FF0">
        <w:rPr>
          <w:rFonts w:cs="Arial"/>
          <w:b/>
          <w:noProof/>
        </w:rPr>
        <w:t>lan</w:t>
      </w:r>
      <w:r>
        <w:rPr>
          <w:rFonts w:cs="Arial"/>
          <w:b/>
          <w:noProof/>
        </w:rPr>
        <w:t xml:space="preserve"> </w:t>
      </w:r>
    </w:p>
    <w:p w:rsidR="00531623" w:rsidRDefault="00531623" w:rsidP="00531623">
      <w:pPr>
        <w:pStyle w:val="Header"/>
        <w:rPr>
          <w:rFonts w:cs="Arial"/>
          <w:b/>
          <w:noProof/>
        </w:rPr>
      </w:pPr>
    </w:p>
    <w:tbl>
      <w:tblPr>
        <w:tblStyle w:val="TableGrid"/>
        <w:tblW w:w="0" w:type="auto"/>
        <w:tblLook w:val="04A0" w:firstRow="1" w:lastRow="0" w:firstColumn="1" w:lastColumn="0" w:noHBand="0" w:noVBand="1"/>
      </w:tblPr>
      <w:tblGrid>
        <w:gridCol w:w="2276"/>
        <w:gridCol w:w="2272"/>
        <w:gridCol w:w="2267"/>
        <w:gridCol w:w="2279"/>
      </w:tblGrid>
      <w:tr w:rsidR="00531623" w:rsidTr="00531623">
        <w:tc>
          <w:tcPr>
            <w:tcW w:w="2310" w:type="dxa"/>
            <w:shd w:val="clear" w:color="auto" w:fill="B8CCE4" w:themeFill="accent1" w:themeFillTint="66"/>
          </w:tcPr>
          <w:p w:rsidR="00531623" w:rsidRDefault="00531623" w:rsidP="00531623">
            <w:pPr>
              <w:pStyle w:val="Header"/>
              <w:rPr>
                <w:rFonts w:cs="Arial"/>
                <w:b/>
                <w:noProof/>
              </w:rPr>
            </w:pPr>
            <w:r w:rsidRPr="00F2354A">
              <w:rPr>
                <w:rFonts w:cs="Arial"/>
                <w:b/>
                <w:noProof/>
              </w:rPr>
              <w:t>Name of REC</w:t>
            </w:r>
          </w:p>
        </w:tc>
        <w:tc>
          <w:tcPr>
            <w:tcW w:w="2310" w:type="dxa"/>
            <w:shd w:val="clear" w:color="auto" w:fill="B8CCE4" w:themeFill="accent1" w:themeFillTint="66"/>
          </w:tcPr>
          <w:p w:rsidR="00531623" w:rsidRDefault="00531623" w:rsidP="00531623">
            <w:pPr>
              <w:pStyle w:val="Header"/>
              <w:rPr>
                <w:rFonts w:cs="Arial"/>
                <w:b/>
                <w:noProof/>
              </w:rPr>
            </w:pPr>
            <w:r w:rsidRPr="00F2354A">
              <w:rPr>
                <w:rFonts w:cs="Arial"/>
                <w:b/>
                <w:noProof/>
              </w:rPr>
              <w:t>Latest date which action plan should be completed (including extensions)</w:t>
            </w:r>
          </w:p>
        </w:tc>
        <w:tc>
          <w:tcPr>
            <w:tcW w:w="2311" w:type="dxa"/>
            <w:shd w:val="clear" w:color="auto" w:fill="B8CCE4" w:themeFill="accent1" w:themeFillTint="66"/>
          </w:tcPr>
          <w:p w:rsidR="00531623" w:rsidRDefault="00531623" w:rsidP="00531623">
            <w:pPr>
              <w:pStyle w:val="Header"/>
              <w:rPr>
                <w:rFonts w:cs="Arial"/>
                <w:b/>
                <w:noProof/>
              </w:rPr>
            </w:pPr>
            <w:r w:rsidRPr="00F2354A">
              <w:rPr>
                <w:rFonts w:cs="Arial"/>
                <w:b/>
                <w:noProof/>
              </w:rPr>
              <w:t>Date completed action plan received from REC</w:t>
            </w:r>
          </w:p>
        </w:tc>
        <w:tc>
          <w:tcPr>
            <w:tcW w:w="2311" w:type="dxa"/>
            <w:shd w:val="clear" w:color="auto" w:fill="B8CCE4" w:themeFill="accent1" w:themeFillTint="66"/>
          </w:tcPr>
          <w:p w:rsidR="00531623" w:rsidRDefault="00531623" w:rsidP="00531623">
            <w:pPr>
              <w:pStyle w:val="Header"/>
              <w:rPr>
                <w:rFonts w:cs="Arial"/>
                <w:b/>
                <w:noProof/>
              </w:rPr>
            </w:pPr>
            <w:r w:rsidRPr="00F2354A">
              <w:rPr>
                <w:rFonts w:cs="Arial"/>
                <w:b/>
                <w:noProof/>
              </w:rPr>
              <w:t>Date full accreditation received</w:t>
            </w:r>
          </w:p>
        </w:tc>
      </w:tr>
      <w:tr w:rsidR="00531623" w:rsidRPr="008464B8" w:rsidTr="00531623">
        <w:tc>
          <w:tcPr>
            <w:tcW w:w="2310" w:type="dxa"/>
          </w:tcPr>
          <w:p w:rsidR="00531623" w:rsidRPr="008464B8" w:rsidRDefault="00531623" w:rsidP="00531623">
            <w:pPr>
              <w:pStyle w:val="Header"/>
              <w:rPr>
                <w:rFonts w:cs="Arial"/>
                <w:noProof/>
              </w:rPr>
            </w:pPr>
            <w:r w:rsidRPr="008464B8">
              <w:rPr>
                <w:rFonts w:cs="Arial"/>
                <w:noProof/>
              </w:rPr>
              <w:t>London – Surrey Borders</w:t>
            </w:r>
          </w:p>
        </w:tc>
        <w:tc>
          <w:tcPr>
            <w:tcW w:w="2310" w:type="dxa"/>
          </w:tcPr>
          <w:p w:rsidR="00531623" w:rsidRPr="008464B8" w:rsidRDefault="00531623" w:rsidP="00531623">
            <w:pPr>
              <w:pStyle w:val="Header"/>
              <w:rPr>
                <w:rFonts w:cs="Arial"/>
                <w:noProof/>
              </w:rPr>
            </w:pPr>
            <w:r w:rsidRPr="008464B8">
              <w:rPr>
                <w:rFonts w:cs="Arial"/>
                <w:noProof/>
              </w:rPr>
              <w:t>07-Apr-15</w:t>
            </w:r>
          </w:p>
        </w:tc>
        <w:tc>
          <w:tcPr>
            <w:tcW w:w="2311" w:type="dxa"/>
          </w:tcPr>
          <w:p w:rsidR="00531623" w:rsidRPr="008464B8" w:rsidRDefault="00531623" w:rsidP="00531623">
            <w:pPr>
              <w:pStyle w:val="Header"/>
              <w:rPr>
                <w:rFonts w:cs="Arial"/>
                <w:noProof/>
              </w:rPr>
            </w:pPr>
            <w:r w:rsidRPr="008464B8">
              <w:rPr>
                <w:rFonts w:cs="Arial"/>
                <w:noProof/>
              </w:rPr>
              <w:t>07-Apr-15</w:t>
            </w:r>
          </w:p>
        </w:tc>
        <w:tc>
          <w:tcPr>
            <w:tcW w:w="2311" w:type="dxa"/>
          </w:tcPr>
          <w:p w:rsidR="00531623" w:rsidRPr="008464B8" w:rsidRDefault="00531623" w:rsidP="00531623">
            <w:pPr>
              <w:pStyle w:val="Header"/>
              <w:rPr>
                <w:rFonts w:cs="Arial"/>
                <w:noProof/>
              </w:rPr>
            </w:pPr>
            <w:r w:rsidRPr="008464B8">
              <w:rPr>
                <w:rFonts w:cs="Arial"/>
                <w:noProof/>
              </w:rPr>
              <w:t>09-Apr-15</w:t>
            </w:r>
          </w:p>
        </w:tc>
      </w:tr>
      <w:tr w:rsidR="00531623" w:rsidRPr="00F2354A" w:rsidTr="00531623">
        <w:tc>
          <w:tcPr>
            <w:tcW w:w="2310" w:type="dxa"/>
          </w:tcPr>
          <w:p w:rsidR="00531623" w:rsidRPr="00F2354A" w:rsidRDefault="00531623" w:rsidP="00531623">
            <w:pPr>
              <w:pStyle w:val="Header"/>
              <w:rPr>
                <w:rFonts w:cs="Arial"/>
                <w:noProof/>
              </w:rPr>
            </w:pPr>
            <w:r w:rsidRPr="008464B8">
              <w:rPr>
                <w:rFonts w:cs="Arial"/>
                <w:noProof/>
              </w:rPr>
              <w:t>London – Chelsea</w:t>
            </w:r>
          </w:p>
        </w:tc>
        <w:tc>
          <w:tcPr>
            <w:tcW w:w="2310" w:type="dxa"/>
          </w:tcPr>
          <w:p w:rsidR="00531623" w:rsidRPr="00F2354A" w:rsidRDefault="00531623" w:rsidP="00531623">
            <w:pPr>
              <w:pStyle w:val="Header"/>
              <w:rPr>
                <w:rFonts w:cs="Arial"/>
                <w:noProof/>
              </w:rPr>
            </w:pPr>
            <w:r w:rsidRPr="008464B8">
              <w:rPr>
                <w:rFonts w:cs="Arial"/>
                <w:noProof/>
              </w:rPr>
              <w:t>16-Apr-15</w:t>
            </w:r>
          </w:p>
        </w:tc>
        <w:tc>
          <w:tcPr>
            <w:tcW w:w="2311" w:type="dxa"/>
          </w:tcPr>
          <w:p w:rsidR="00531623" w:rsidRPr="00F2354A" w:rsidRDefault="00531623" w:rsidP="00531623">
            <w:pPr>
              <w:pStyle w:val="Header"/>
              <w:rPr>
                <w:rFonts w:cs="Arial"/>
                <w:noProof/>
              </w:rPr>
            </w:pPr>
            <w:r w:rsidRPr="008464B8">
              <w:rPr>
                <w:rFonts w:cs="Arial"/>
                <w:noProof/>
              </w:rPr>
              <w:t>16-Apr-15</w:t>
            </w:r>
          </w:p>
        </w:tc>
        <w:tc>
          <w:tcPr>
            <w:tcW w:w="2311" w:type="dxa"/>
          </w:tcPr>
          <w:p w:rsidR="00531623" w:rsidRPr="00F2354A" w:rsidRDefault="00531623" w:rsidP="00531623">
            <w:pPr>
              <w:pStyle w:val="Header"/>
              <w:rPr>
                <w:rFonts w:cs="Arial"/>
                <w:noProof/>
              </w:rPr>
            </w:pPr>
            <w:r w:rsidRPr="008464B8">
              <w:rPr>
                <w:rFonts w:cs="Arial"/>
                <w:noProof/>
              </w:rPr>
              <w:t>22-Apr-15</w:t>
            </w:r>
          </w:p>
        </w:tc>
      </w:tr>
      <w:tr w:rsidR="00531623" w:rsidRPr="00F2354A" w:rsidTr="00531623">
        <w:tc>
          <w:tcPr>
            <w:tcW w:w="2310" w:type="dxa"/>
          </w:tcPr>
          <w:p w:rsidR="00531623" w:rsidRPr="00F2354A" w:rsidRDefault="00531623" w:rsidP="00531623">
            <w:pPr>
              <w:pStyle w:val="Header"/>
              <w:rPr>
                <w:rFonts w:cs="Arial"/>
                <w:noProof/>
              </w:rPr>
            </w:pPr>
            <w:r w:rsidRPr="008464B8">
              <w:rPr>
                <w:rFonts w:cs="Arial"/>
                <w:noProof/>
              </w:rPr>
              <w:t>West Midlands - Coventry and Warwickshire</w:t>
            </w:r>
          </w:p>
        </w:tc>
        <w:tc>
          <w:tcPr>
            <w:tcW w:w="2310" w:type="dxa"/>
          </w:tcPr>
          <w:p w:rsidR="00531623" w:rsidRPr="00F2354A" w:rsidRDefault="00531623" w:rsidP="00531623">
            <w:pPr>
              <w:pStyle w:val="Header"/>
              <w:rPr>
                <w:rFonts w:cs="Arial"/>
                <w:noProof/>
              </w:rPr>
            </w:pPr>
            <w:r w:rsidRPr="008464B8">
              <w:rPr>
                <w:rFonts w:cs="Arial"/>
                <w:noProof/>
              </w:rPr>
              <w:t>22-Apr-15</w:t>
            </w:r>
          </w:p>
        </w:tc>
        <w:tc>
          <w:tcPr>
            <w:tcW w:w="2311" w:type="dxa"/>
          </w:tcPr>
          <w:p w:rsidR="00531623" w:rsidRPr="00F2354A" w:rsidRDefault="00531623" w:rsidP="00531623">
            <w:pPr>
              <w:pStyle w:val="Header"/>
              <w:rPr>
                <w:rFonts w:cs="Arial"/>
                <w:noProof/>
              </w:rPr>
            </w:pPr>
            <w:r w:rsidRPr="008464B8">
              <w:rPr>
                <w:rFonts w:cs="Arial"/>
                <w:noProof/>
              </w:rPr>
              <w:t>21-Apr-15</w:t>
            </w:r>
          </w:p>
        </w:tc>
        <w:tc>
          <w:tcPr>
            <w:tcW w:w="2311" w:type="dxa"/>
          </w:tcPr>
          <w:p w:rsidR="00531623" w:rsidRPr="00F2354A" w:rsidRDefault="00531623" w:rsidP="00531623">
            <w:pPr>
              <w:pStyle w:val="Header"/>
              <w:rPr>
                <w:rFonts w:cs="Arial"/>
                <w:noProof/>
              </w:rPr>
            </w:pPr>
            <w:r w:rsidRPr="008464B8">
              <w:rPr>
                <w:rFonts w:cs="Arial"/>
                <w:noProof/>
              </w:rPr>
              <w:t>05-May-15</w:t>
            </w:r>
          </w:p>
        </w:tc>
      </w:tr>
      <w:tr w:rsidR="00531623" w:rsidRPr="00F2354A" w:rsidTr="00531623">
        <w:tc>
          <w:tcPr>
            <w:tcW w:w="2310" w:type="dxa"/>
          </w:tcPr>
          <w:p w:rsidR="00531623" w:rsidRPr="00F2354A" w:rsidRDefault="00531623" w:rsidP="00531623">
            <w:pPr>
              <w:pStyle w:val="Header"/>
              <w:rPr>
                <w:rFonts w:cs="Arial"/>
                <w:noProof/>
              </w:rPr>
            </w:pPr>
            <w:r w:rsidRPr="008464B8">
              <w:rPr>
                <w:rFonts w:cs="Arial"/>
                <w:noProof/>
              </w:rPr>
              <w:t>London - Westminster</w:t>
            </w:r>
          </w:p>
        </w:tc>
        <w:tc>
          <w:tcPr>
            <w:tcW w:w="2310" w:type="dxa"/>
          </w:tcPr>
          <w:p w:rsidR="00531623" w:rsidRPr="00F2354A" w:rsidRDefault="00531623" w:rsidP="00531623">
            <w:pPr>
              <w:pStyle w:val="Header"/>
              <w:rPr>
                <w:rFonts w:cs="Arial"/>
                <w:noProof/>
              </w:rPr>
            </w:pPr>
            <w:r w:rsidRPr="008464B8">
              <w:rPr>
                <w:rFonts w:cs="Arial"/>
                <w:noProof/>
              </w:rPr>
              <w:t>0</w:t>
            </w:r>
            <w:r>
              <w:rPr>
                <w:rFonts w:cs="Arial"/>
                <w:noProof/>
              </w:rPr>
              <w:t>5</w:t>
            </w:r>
            <w:r w:rsidRPr="008464B8">
              <w:rPr>
                <w:rFonts w:cs="Arial"/>
                <w:noProof/>
              </w:rPr>
              <w:t>-May-15</w:t>
            </w:r>
          </w:p>
        </w:tc>
        <w:tc>
          <w:tcPr>
            <w:tcW w:w="2311" w:type="dxa"/>
          </w:tcPr>
          <w:p w:rsidR="00531623" w:rsidRPr="00F2354A" w:rsidRDefault="00531623" w:rsidP="00531623">
            <w:pPr>
              <w:pStyle w:val="Header"/>
              <w:rPr>
                <w:rFonts w:cs="Arial"/>
                <w:noProof/>
              </w:rPr>
            </w:pPr>
            <w:r w:rsidRPr="008464B8">
              <w:rPr>
                <w:rFonts w:cs="Arial"/>
                <w:noProof/>
              </w:rPr>
              <w:t>05-May-15</w:t>
            </w:r>
          </w:p>
        </w:tc>
        <w:tc>
          <w:tcPr>
            <w:tcW w:w="2311" w:type="dxa"/>
          </w:tcPr>
          <w:p w:rsidR="00531623" w:rsidRPr="00F2354A" w:rsidRDefault="00531623" w:rsidP="00531623">
            <w:pPr>
              <w:pStyle w:val="Header"/>
              <w:rPr>
                <w:rFonts w:cs="Arial"/>
                <w:noProof/>
              </w:rPr>
            </w:pPr>
            <w:r w:rsidRPr="008464B8">
              <w:rPr>
                <w:rFonts w:cs="Arial"/>
                <w:noProof/>
              </w:rPr>
              <w:t>0</w:t>
            </w:r>
            <w:r>
              <w:rPr>
                <w:rFonts w:cs="Arial"/>
                <w:noProof/>
              </w:rPr>
              <w:t>7</w:t>
            </w:r>
            <w:r w:rsidRPr="008464B8">
              <w:rPr>
                <w:rFonts w:cs="Arial"/>
                <w:noProof/>
              </w:rPr>
              <w:t>-May-15</w:t>
            </w:r>
          </w:p>
        </w:tc>
      </w:tr>
      <w:tr w:rsidR="00531623" w:rsidRPr="00F2354A" w:rsidTr="00531623">
        <w:tc>
          <w:tcPr>
            <w:tcW w:w="2310" w:type="dxa"/>
          </w:tcPr>
          <w:p w:rsidR="00531623" w:rsidRPr="00F2354A" w:rsidRDefault="00531623" w:rsidP="00531623">
            <w:pPr>
              <w:pStyle w:val="Header"/>
              <w:rPr>
                <w:rFonts w:cs="Arial"/>
                <w:noProof/>
              </w:rPr>
            </w:pPr>
            <w:r w:rsidRPr="008464B8">
              <w:rPr>
                <w:rFonts w:cs="Arial"/>
                <w:noProof/>
              </w:rPr>
              <w:t>Wales REC 2 (previously South East Wales B)</w:t>
            </w:r>
          </w:p>
        </w:tc>
        <w:tc>
          <w:tcPr>
            <w:tcW w:w="2310" w:type="dxa"/>
          </w:tcPr>
          <w:p w:rsidR="00531623" w:rsidRPr="00F2354A" w:rsidRDefault="00531623" w:rsidP="00531623">
            <w:pPr>
              <w:pStyle w:val="Header"/>
              <w:rPr>
                <w:rFonts w:cs="Arial"/>
                <w:noProof/>
              </w:rPr>
            </w:pPr>
            <w:r w:rsidRPr="008464B8">
              <w:rPr>
                <w:rFonts w:cs="Arial"/>
                <w:noProof/>
              </w:rPr>
              <w:t>17-Mar-15</w:t>
            </w:r>
          </w:p>
        </w:tc>
        <w:tc>
          <w:tcPr>
            <w:tcW w:w="2311" w:type="dxa"/>
          </w:tcPr>
          <w:p w:rsidR="00531623" w:rsidRPr="008464B8" w:rsidRDefault="00531623" w:rsidP="00531623">
            <w:pPr>
              <w:pStyle w:val="Header"/>
              <w:rPr>
                <w:rFonts w:cs="Arial"/>
                <w:noProof/>
                <w:highlight w:val="yellow"/>
              </w:rPr>
            </w:pPr>
            <w:r w:rsidRPr="000223B9">
              <w:rPr>
                <w:rFonts w:cs="Arial"/>
                <w:noProof/>
              </w:rPr>
              <w:t>19-Mar-15</w:t>
            </w:r>
          </w:p>
        </w:tc>
        <w:tc>
          <w:tcPr>
            <w:tcW w:w="2311" w:type="dxa"/>
          </w:tcPr>
          <w:p w:rsidR="00531623" w:rsidRPr="00F2354A" w:rsidRDefault="00531623" w:rsidP="00531623">
            <w:pPr>
              <w:pStyle w:val="Header"/>
              <w:rPr>
                <w:rFonts w:cs="Arial"/>
                <w:noProof/>
              </w:rPr>
            </w:pPr>
            <w:r w:rsidRPr="008464B8">
              <w:rPr>
                <w:rFonts w:cs="Arial"/>
                <w:noProof/>
              </w:rPr>
              <w:t>02-Apr-15</w:t>
            </w:r>
          </w:p>
        </w:tc>
      </w:tr>
      <w:tr w:rsidR="00531623" w:rsidRPr="00F2354A" w:rsidTr="00531623">
        <w:tc>
          <w:tcPr>
            <w:tcW w:w="2310" w:type="dxa"/>
          </w:tcPr>
          <w:p w:rsidR="00531623" w:rsidRPr="00F2354A" w:rsidRDefault="00531623" w:rsidP="00531623">
            <w:pPr>
              <w:pStyle w:val="Header"/>
              <w:rPr>
                <w:rFonts w:cs="Arial"/>
                <w:noProof/>
              </w:rPr>
            </w:pPr>
            <w:r w:rsidRPr="008464B8">
              <w:rPr>
                <w:rFonts w:cs="Arial"/>
                <w:noProof/>
              </w:rPr>
              <w:t>Wales REC 3 (previously REC for Wales)</w:t>
            </w:r>
          </w:p>
        </w:tc>
        <w:tc>
          <w:tcPr>
            <w:tcW w:w="2310" w:type="dxa"/>
          </w:tcPr>
          <w:p w:rsidR="00531623" w:rsidRPr="00F2354A" w:rsidRDefault="00531623" w:rsidP="00531623">
            <w:pPr>
              <w:pStyle w:val="Header"/>
              <w:rPr>
                <w:rFonts w:cs="Arial"/>
                <w:noProof/>
              </w:rPr>
            </w:pPr>
            <w:r w:rsidRPr="008464B8">
              <w:rPr>
                <w:rFonts w:cs="Arial"/>
                <w:noProof/>
              </w:rPr>
              <w:t>20-Feb-15</w:t>
            </w:r>
          </w:p>
        </w:tc>
        <w:tc>
          <w:tcPr>
            <w:tcW w:w="2311" w:type="dxa"/>
          </w:tcPr>
          <w:p w:rsidR="00531623" w:rsidRPr="00F2354A" w:rsidRDefault="00531623" w:rsidP="00531623">
            <w:pPr>
              <w:pStyle w:val="Header"/>
              <w:rPr>
                <w:rFonts w:cs="Arial"/>
                <w:noProof/>
              </w:rPr>
            </w:pPr>
            <w:r w:rsidRPr="008464B8">
              <w:rPr>
                <w:rFonts w:cs="Arial"/>
                <w:noProof/>
              </w:rPr>
              <w:t>20-Feb-15</w:t>
            </w:r>
          </w:p>
        </w:tc>
        <w:tc>
          <w:tcPr>
            <w:tcW w:w="2311" w:type="dxa"/>
          </w:tcPr>
          <w:p w:rsidR="00531623" w:rsidRPr="00F2354A" w:rsidRDefault="00531623" w:rsidP="00531623">
            <w:pPr>
              <w:pStyle w:val="Header"/>
              <w:rPr>
                <w:rFonts w:cs="Arial"/>
                <w:noProof/>
              </w:rPr>
            </w:pPr>
            <w:r w:rsidRPr="008464B8">
              <w:rPr>
                <w:rFonts w:cs="Arial"/>
                <w:noProof/>
              </w:rPr>
              <w:t>24-Feb-15</w:t>
            </w:r>
          </w:p>
        </w:tc>
      </w:tr>
      <w:tr w:rsidR="00531623" w:rsidRPr="00F2354A" w:rsidTr="00531623">
        <w:tc>
          <w:tcPr>
            <w:tcW w:w="2310" w:type="dxa"/>
          </w:tcPr>
          <w:p w:rsidR="00531623" w:rsidRPr="00F2354A" w:rsidRDefault="00531623" w:rsidP="00531623">
            <w:pPr>
              <w:pStyle w:val="Header"/>
              <w:rPr>
                <w:rFonts w:cs="Arial"/>
                <w:noProof/>
              </w:rPr>
            </w:pPr>
            <w:r w:rsidRPr="008464B8">
              <w:rPr>
                <w:rFonts w:cs="Arial"/>
                <w:noProof/>
              </w:rPr>
              <w:t>Wales REC 1 (previously South East Wales D)</w:t>
            </w:r>
          </w:p>
        </w:tc>
        <w:tc>
          <w:tcPr>
            <w:tcW w:w="2310" w:type="dxa"/>
          </w:tcPr>
          <w:p w:rsidR="00531623" w:rsidRPr="00F2354A" w:rsidRDefault="00531623" w:rsidP="00531623">
            <w:pPr>
              <w:pStyle w:val="Header"/>
              <w:rPr>
                <w:rFonts w:cs="Arial"/>
                <w:noProof/>
              </w:rPr>
            </w:pPr>
            <w:r w:rsidRPr="008464B8">
              <w:rPr>
                <w:rFonts w:cs="Arial"/>
                <w:noProof/>
              </w:rPr>
              <w:t>15-Jun-15</w:t>
            </w:r>
          </w:p>
        </w:tc>
        <w:tc>
          <w:tcPr>
            <w:tcW w:w="2311" w:type="dxa"/>
          </w:tcPr>
          <w:p w:rsidR="00531623" w:rsidRPr="00F2354A" w:rsidRDefault="00531623" w:rsidP="00531623">
            <w:pPr>
              <w:pStyle w:val="Header"/>
              <w:rPr>
                <w:rFonts w:cs="Arial"/>
                <w:noProof/>
              </w:rPr>
            </w:pPr>
            <w:r w:rsidRPr="008464B8">
              <w:rPr>
                <w:rFonts w:cs="Arial"/>
                <w:noProof/>
              </w:rPr>
              <w:t>27-May-15</w:t>
            </w:r>
          </w:p>
        </w:tc>
        <w:tc>
          <w:tcPr>
            <w:tcW w:w="2311" w:type="dxa"/>
          </w:tcPr>
          <w:p w:rsidR="00531623" w:rsidRPr="00F2354A" w:rsidRDefault="00531623" w:rsidP="00531623">
            <w:pPr>
              <w:pStyle w:val="Header"/>
              <w:rPr>
                <w:rFonts w:cs="Arial"/>
                <w:noProof/>
              </w:rPr>
            </w:pPr>
            <w:r w:rsidRPr="008464B8">
              <w:rPr>
                <w:rFonts w:cs="Arial"/>
                <w:noProof/>
              </w:rPr>
              <w:t>08-Jun-15</w:t>
            </w:r>
          </w:p>
        </w:tc>
      </w:tr>
      <w:tr w:rsidR="00531623" w:rsidRPr="00F2354A" w:rsidTr="00531623">
        <w:tc>
          <w:tcPr>
            <w:tcW w:w="2310" w:type="dxa"/>
          </w:tcPr>
          <w:p w:rsidR="00531623" w:rsidRPr="008464B8" w:rsidRDefault="00531623" w:rsidP="00531623">
            <w:pPr>
              <w:pStyle w:val="Header"/>
              <w:rPr>
                <w:rFonts w:cs="Arial"/>
                <w:noProof/>
              </w:rPr>
            </w:pPr>
            <w:r w:rsidRPr="008464B8">
              <w:rPr>
                <w:rFonts w:cs="Arial"/>
                <w:noProof/>
              </w:rPr>
              <w:t>West Midlands - South Birmingham</w:t>
            </w:r>
          </w:p>
        </w:tc>
        <w:tc>
          <w:tcPr>
            <w:tcW w:w="2310" w:type="dxa"/>
          </w:tcPr>
          <w:p w:rsidR="00531623" w:rsidRPr="00F2354A" w:rsidRDefault="00531623" w:rsidP="00531623">
            <w:pPr>
              <w:pStyle w:val="Header"/>
              <w:rPr>
                <w:rFonts w:cs="Arial"/>
                <w:noProof/>
              </w:rPr>
            </w:pPr>
            <w:r w:rsidRPr="008464B8">
              <w:rPr>
                <w:rFonts w:cs="Arial"/>
                <w:noProof/>
              </w:rPr>
              <w:t>15-Jun-15</w:t>
            </w:r>
          </w:p>
        </w:tc>
        <w:tc>
          <w:tcPr>
            <w:tcW w:w="2311" w:type="dxa"/>
          </w:tcPr>
          <w:p w:rsidR="00531623" w:rsidRPr="00F2354A" w:rsidRDefault="00531623" w:rsidP="00531623">
            <w:pPr>
              <w:pStyle w:val="Header"/>
              <w:rPr>
                <w:rFonts w:cs="Arial"/>
                <w:noProof/>
              </w:rPr>
            </w:pPr>
            <w:r w:rsidRPr="008464B8">
              <w:rPr>
                <w:rFonts w:cs="Arial"/>
                <w:noProof/>
              </w:rPr>
              <w:t>1</w:t>
            </w:r>
            <w:r>
              <w:rPr>
                <w:rFonts w:cs="Arial"/>
                <w:noProof/>
              </w:rPr>
              <w:t>1</w:t>
            </w:r>
            <w:r w:rsidRPr="008464B8">
              <w:rPr>
                <w:rFonts w:cs="Arial"/>
                <w:noProof/>
              </w:rPr>
              <w:t>-Jun-15</w:t>
            </w:r>
          </w:p>
        </w:tc>
        <w:tc>
          <w:tcPr>
            <w:tcW w:w="2311" w:type="dxa"/>
          </w:tcPr>
          <w:p w:rsidR="00531623" w:rsidRPr="00F2354A" w:rsidRDefault="00531623" w:rsidP="00531623">
            <w:pPr>
              <w:pStyle w:val="Header"/>
              <w:rPr>
                <w:rFonts w:cs="Arial"/>
                <w:noProof/>
              </w:rPr>
            </w:pPr>
            <w:r w:rsidRPr="008464B8">
              <w:rPr>
                <w:rFonts w:cs="Arial"/>
                <w:noProof/>
              </w:rPr>
              <w:t>15-Jun-15</w:t>
            </w:r>
          </w:p>
        </w:tc>
      </w:tr>
      <w:tr w:rsidR="00531623" w:rsidRPr="00F2354A" w:rsidTr="00531623">
        <w:tc>
          <w:tcPr>
            <w:tcW w:w="2310" w:type="dxa"/>
          </w:tcPr>
          <w:p w:rsidR="00531623" w:rsidRPr="008464B8" w:rsidRDefault="00531623" w:rsidP="00531623">
            <w:pPr>
              <w:pStyle w:val="Header"/>
              <w:rPr>
                <w:rFonts w:cs="Arial"/>
                <w:noProof/>
              </w:rPr>
            </w:pPr>
            <w:r w:rsidRPr="008464B8">
              <w:rPr>
                <w:rFonts w:cs="Arial"/>
                <w:noProof/>
              </w:rPr>
              <w:t>London – Stanmore</w:t>
            </w:r>
          </w:p>
        </w:tc>
        <w:tc>
          <w:tcPr>
            <w:tcW w:w="2310" w:type="dxa"/>
          </w:tcPr>
          <w:p w:rsidR="00531623" w:rsidRPr="00F2354A" w:rsidRDefault="00531623" w:rsidP="00531623">
            <w:pPr>
              <w:pStyle w:val="Header"/>
              <w:rPr>
                <w:rFonts w:cs="Arial"/>
                <w:noProof/>
              </w:rPr>
            </w:pPr>
            <w:r w:rsidRPr="008464B8">
              <w:rPr>
                <w:rFonts w:cs="Arial"/>
                <w:noProof/>
              </w:rPr>
              <w:t>22-Jun-15</w:t>
            </w:r>
          </w:p>
        </w:tc>
        <w:tc>
          <w:tcPr>
            <w:tcW w:w="2311" w:type="dxa"/>
          </w:tcPr>
          <w:p w:rsidR="00531623" w:rsidRPr="00F2354A" w:rsidRDefault="00531623" w:rsidP="00531623">
            <w:pPr>
              <w:pStyle w:val="Header"/>
              <w:rPr>
                <w:rFonts w:cs="Arial"/>
                <w:noProof/>
              </w:rPr>
            </w:pPr>
            <w:r>
              <w:rPr>
                <w:rFonts w:cs="Arial"/>
                <w:noProof/>
              </w:rPr>
              <w:t>15</w:t>
            </w:r>
            <w:r w:rsidRPr="008464B8">
              <w:rPr>
                <w:rFonts w:cs="Arial"/>
                <w:noProof/>
              </w:rPr>
              <w:t>-Jun-15</w:t>
            </w:r>
          </w:p>
        </w:tc>
        <w:tc>
          <w:tcPr>
            <w:tcW w:w="2311" w:type="dxa"/>
          </w:tcPr>
          <w:p w:rsidR="00531623" w:rsidRPr="00F2354A" w:rsidRDefault="00531623" w:rsidP="00531623">
            <w:pPr>
              <w:pStyle w:val="Header"/>
              <w:rPr>
                <w:rFonts w:cs="Arial"/>
                <w:noProof/>
              </w:rPr>
            </w:pPr>
            <w:r>
              <w:rPr>
                <w:rFonts w:cs="Arial"/>
                <w:noProof/>
              </w:rPr>
              <w:t>13</w:t>
            </w:r>
            <w:r w:rsidRPr="008464B8">
              <w:rPr>
                <w:rFonts w:cs="Arial"/>
                <w:noProof/>
              </w:rPr>
              <w:t>-Ju</w:t>
            </w:r>
            <w:r>
              <w:rPr>
                <w:rFonts w:cs="Arial"/>
                <w:noProof/>
              </w:rPr>
              <w:t>l</w:t>
            </w:r>
            <w:r w:rsidRPr="008464B8">
              <w:rPr>
                <w:rFonts w:cs="Arial"/>
                <w:noProof/>
              </w:rPr>
              <w:t>-15</w:t>
            </w:r>
          </w:p>
        </w:tc>
      </w:tr>
      <w:tr w:rsidR="00531623" w:rsidRPr="00F2354A" w:rsidTr="00531623">
        <w:tc>
          <w:tcPr>
            <w:tcW w:w="2310" w:type="dxa"/>
          </w:tcPr>
          <w:p w:rsidR="00531623" w:rsidRPr="008464B8" w:rsidRDefault="00531623" w:rsidP="00531623">
            <w:pPr>
              <w:pStyle w:val="Header"/>
              <w:rPr>
                <w:rFonts w:cs="Arial"/>
                <w:noProof/>
              </w:rPr>
            </w:pPr>
            <w:r w:rsidRPr="008464B8">
              <w:rPr>
                <w:rFonts w:cs="Arial"/>
                <w:noProof/>
              </w:rPr>
              <w:t>Wales REC 5 (previously North West Wales)</w:t>
            </w:r>
          </w:p>
        </w:tc>
        <w:tc>
          <w:tcPr>
            <w:tcW w:w="2310" w:type="dxa"/>
          </w:tcPr>
          <w:p w:rsidR="00531623" w:rsidRPr="00F2354A" w:rsidRDefault="00531623" w:rsidP="00531623">
            <w:pPr>
              <w:pStyle w:val="Header"/>
              <w:rPr>
                <w:rFonts w:cs="Arial"/>
                <w:noProof/>
              </w:rPr>
            </w:pPr>
            <w:r w:rsidRPr="0071350B">
              <w:rPr>
                <w:rFonts w:cs="Arial"/>
                <w:noProof/>
              </w:rPr>
              <w:t>20-Apr-15</w:t>
            </w:r>
          </w:p>
        </w:tc>
        <w:tc>
          <w:tcPr>
            <w:tcW w:w="2311" w:type="dxa"/>
          </w:tcPr>
          <w:p w:rsidR="00531623" w:rsidRPr="00F2354A" w:rsidRDefault="00531623" w:rsidP="00531623">
            <w:pPr>
              <w:pStyle w:val="Header"/>
              <w:rPr>
                <w:rFonts w:cs="Arial"/>
                <w:noProof/>
              </w:rPr>
            </w:pPr>
            <w:r w:rsidRPr="0071350B">
              <w:rPr>
                <w:rFonts w:cs="Arial"/>
                <w:noProof/>
              </w:rPr>
              <w:t>0</w:t>
            </w:r>
            <w:r>
              <w:rPr>
                <w:rFonts w:cs="Arial"/>
                <w:noProof/>
              </w:rPr>
              <w:t>7</w:t>
            </w:r>
            <w:r w:rsidRPr="0071350B">
              <w:rPr>
                <w:rFonts w:cs="Arial"/>
                <w:noProof/>
              </w:rPr>
              <w:t>-Apr-15</w:t>
            </w:r>
          </w:p>
        </w:tc>
        <w:tc>
          <w:tcPr>
            <w:tcW w:w="2311" w:type="dxa"/>
          </w:tcPr>
          <w:p w:rsidR="00531623" w:rsidRPr="00F2354A" w:rsidRDefault="00531623" w:rsidP="00531623">
            <w:pPr>
              <w:pStyle w:val="Header"/>
              <w:rPr>
                <w:rFonts w:cs="Arial"/>
                <w:noProof/>
              </w:rPr>
            </w:pPr>
            <w:r>
              <w:rPr>
                <w:rFonts w:cs="Arial"/>
                <w:noProof/>
              </w:rPr>
              <w:t>13</w:t>
            </w:r>
            <w:r w:rsidRPr="0071350B">
              <w:rPr>
                <w:rFonts w:cs="Arial"/>
                <w:noProof/>
              </w:rPr>
              <w:t>-Apr-15</w:t>
            </w:r>
          </w:p>
        </w:tc>
      </w:tr>
    </w:tbl>
    <w:p w:rsidR="00531623" w:rsidRDefault="00531623" w:rsidP="00531623">
      <w:pPr>
        <w:pStyle w:val="Header"/>
        <w:rPr>
          <w:rFonts w:cs="Arial"/>
          <w:b/>
          <w:noProof/>
        </w:rPr>
      </w:pPr>
    </w:p>
    <w:p w:rsidR="00531623" w:rsidRDefault="00531623" w:rsidP="00531623">
      <w:pPr>
        <w:rPr>
          <w:rFonts w:cs="Arial"/>
          <w:b/>
          <w:noProof/>
        </w:rPr>
      </w:pPr>
      <w:r>
        <w:rPr>
          <w:rFonts w:cs="Arial"/>
          <w:b/>
          <w:noProof/>
        </w:rPr>
        <w:br w:type="page"/>
      </w:r>
    </w:p>
    <w:p w:rsidR="00531623" w:rsidRDefault="00531623" w:rsidP="00531623">
      <w:pPr>
        <w:pStyle w:val="Header"/>
        <w:rPr>
          <w:rFonts w:cs="Arial"/>
          <w:b/>
          <w:noProof/>
        </w:rPr>
      </w:pPr>
    </w:p>
    <w:p w:rsidR="00531623" w:rsidRDefault="00531623" w:rsidP="00531623">
      <w:pPr>
        <w:pStyle w:val="Header"/>
        <w:numPr>
          <w:ilvl w:val="0"/>
          <w:numId w:val="8"/>
        </w:numPr>
        <w:tabs>
          <w:tab w:val="clear" w:pos="4513"/>
          <w:tab w:val="clear" w:pos="9026"/>
        </w:tabs>
        <w:rPr>
          <w:rFonts w:cs="Arial"/>
          <w:b/>
          <w:noProof/>
        </w:rPr>
      </w:pPr>
      <w:r w:rsidRPr="0023749C">
        <w:rPr>
          <w:rFonts w:cs="Arial"/>
          <w:b/>
          <w:noProof/>
        </w:rPr>
        <w:t>Numbers of issues in</w:t>
      </w:r>
      <w:r>
        <w:rPr>
          <w:rFonts w:cs="Arial"/>
          <w:b/>
          <w:noProof/>
        </w:rPr>
        <w:t xml:space="preserve"> relation to number of RECs audited  identifed through the reporting period </w:t>
      </w:r>
    </w:p>
    <w:p w:rsidR="00531623" w:rsidRDefault="00531623" w:rsidP="00531623">
      <w:pPr>
        <w:pStyle w:val="Header"/>
        <w:rPr>
          <w:rFonts w:cs="Arial"/>
          <w:b/>
          <w:noProof/>
        </w:rPr>
      </w:pPr>
    </w:p>
    <w:p w:rsidR="00531623" w:rsidRDefault="00531623" w:rsidP="00531623">
      <w:pPr>
        <w:pStyle w:val="Header"/>
        <w:rPr>
          <w:rFonts w:cs="Arial"/>
          <w:b/>
          <w:noProof/>
        </w:rPr>
      </w:pPr>
      <w:r w:rsidRPr="00647EA6">
        <w:rPr>
          <w:rFonts w:cs="Arial"/>
          <w:b/>
          <w:noProof/>
          <w:lang w:eastAsia="en-GB"/>
        </w:rPr>
        <w:drawing>
          <wp:inline distT="0" distB="0" distL="0" distR="0" wp14:anchorId="6A7DF598" wp14:editId="7D43AD38">
            <wp:extent cx="5686425" cy="4200525"/>
            <wp:effectExtent l="0" t="0" r="9525" b="9525"/>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1623" w:rsidRDefault="00531623" w:rsidP="00531623">
      <w:pPr>
        <w:pStyle w:val="Header"/>
        <w:rPr>
          <w:rFonts w:cs="Arial"/>
          <w:b/>
          <w:noProof/>
        </w:rPr>
      </w:pPr>
    </w:p>
    <w:p w:rsidR="00531623" w:rsidRDefault="00531623" w:rsidP="00531623">
      <w:pPr>
        <w:pStyle w:val="Header"/>
        <w:rPr>
          <w:rFonts w:cs="Arial"/>
          <w:noProof/>
          <w:color w:val="FF0000"/>
          <w:sz w:val="36"/>
          <w:szCs w:val="36"/>
        </w:rPr>
      </w:pPr>
    </w:p>
    <w:p w:rsidR="00531623" w:rsidRDefault="00531623" w:rsidP="00531623">
      <w:pPr>
        <w:pStyle w:val="Header"/>
        <w:rPr>
          <w:rFonts w:cs="Arial"/>
          <w:noProof/>
          <w:color w:val="FF0000"/>
          <w:sz w:val="36"/>
          <w:szCs w:val="36"/>
        </w:rPr>
      </w:pPr>
    </w:p>
    <w:p w:rsidR="00531623" w:rsidRDefault="00531623" w:rsidP="00531623">
      <w:pPr>
        <w:rPr>
          <w:rFonts w:cs="Arial"/>
          <w:b/>
          <w:noProof/>
        </w:rPr>
      </w:pPr>
      <w:r>
        <w:rPr>
          <w:rFonts w:cs="Arial"/>
          <w:b/>
          <w:noProof/>
        </w:rPr>
        <w:br w:type="page"/>
      </w:r>
    </w:p>
    <w:p w:rsidR="00531623" w:rsidRDefault="00531623" w:rsidP="00531623">
      <w:pPr>
        <w:pStyle w:val="Header"/>
        <w:numPr>
          <w:ilvl w:val="0"/>
          <w:numId w:val="8"/>
        </w:numPr>
        <w:tabs>
          <w:tab w:val="clear" w:pos="4513"/>
          <w:tab w:val="clear" w:pos="9026"/>
          <w:tab w:val="left" w:pos="284"/>
        </w:tabs>
        <w:rPr>
          <w:rFonts w:cs="Arial"/>
          <w:b/>
          <w:noProof/>
        </w:rPr>
      </w:pPr>
      <w:r w:rsidRPr="00E47BC8">
        <w:rPr>
          <w:rFonts w:cs="Arial"/>
          <w:b/>
          <w:noProof/>
        </w:rPr>
        <w:lastRenderedPageBreak/>
        <w:t xml:space="preserve">Standards not </w:t>
      </w:r>
      <w:r>
        <w:rPr>
          <w:rFonts w:cs="Arial"/>
          <w:b/>
          <w:noProof/>
        </w:rPr>
        <w:t>m</w:t>
      </w:r>
      <w:r w:rsidRPr="00E47BC8">
        <w:rPr>
          <w:rFonts w:cs="Arial"/>
          <w:b/>
          <w:noProof/>
        </w:rPr>
        <w:t>et</w:t>
      </w:r>
    </w:p>
    <w:p w:rsidR="00531623" w:rsidRPr="00317683" w:rsidRDefault="00531623" w:rsidP="00531623">
      <w:pPr>
        <w:pStyle w:val="Header"/>
        <w:rPr>
          <w:rFonts w:cs="Arial"/>
          <w:b/>
          <w:i/>
          <w:noProof/>
          <w:color w:val="00B0F0"/>
        </w:rPr>
      </w:pPr>
    </w:p>
    <w:p w:rsidR="00531623" w:rsidRPr="00BC7506" w:rsidRDefault="00531623" w:rsidP="00531623">
      <w:pPr>
        <w:pStyle w:val="Header"/>
        <w:jc w:val="both"/>
        <w:rPr>
          <w:rFonts w:cs="Arial"/>
          <w:noProof/>
        </w:rPr>
      </w:pPr>
      <w:r w:rsidRPr="00BC7506">
        <w:rPr>
          <w:rFonts w:cs="Arial"/>
          <w:noProof/>
        </w:rPr>
        <w:t>The trends in standards unmet are listed below.  Graphs 8a and 8b show the trends of standards for RECs reviewed and are illustrated using 2 key areas; membership and administration</w:t>
      </w:r>
      <w:r>
        <w:rPr>
          <w:rFonts w:cs="Arial"/>
          <w:noProof/>
        </w:rPr>
        <w:t>.</w:t>
      </w:r>
      <w:r w:rsidRPr="00BC7506">
        <w:rPr>
          <w:rFonts w:cs="Arial"/>
          <w:noProof/>
        </w:rPr>
        <w:t xml:space="preserve"> </w:t>
      </w:r>
    </w:p>
    <w:p w:rsidR="00531623" w:rsidRDefault="00531623" w:rsidP="00531623">
      <w:pPr>
        <w:pStyle w:val="Header"/>
        <w:rPr>
          <w:rFonts w:cs="Arial"/>
          <w:b/>
          <w:noProof/>
          <w:sz w:val="28"/>
          <w:szCs w:val="28"/>
        </w:rPr>
      </w:pPr>
    </w:p>
    <w:p w:rsidR="00531623" w:rsidRDefault="00531623" w:rsidP="00531623">
      <w:pPr>
        <w:pStyle w:val="Header"/>
        <w:rPr>
          <w:rFonts w:cs="Arial"/>
          <w:b/>
          <w:noProof/>
          <w:sz w:val="28"/>
          <w:szCs w:val="28"/>
        </w:rPr>
      </w:pPr>
    </w:p>
    <w:p w:rsidR="00531623" w:rsidRDefault="00531623" w:rsidP="00531623">
      <w:pPr>
        <w:pStyle w:val="Header"/>
        <w:rPr>
          <w:rFonts w:cs="Arial"/>
          <w:b/>
          <w:noProof/>
          <w:sz w:val="28"/>
          <w:szCs w:val="28"/>
        </w:rPr>
      </w:pPr>
      <w:r>
        <w:rPr>
          <w:rFonts w:cs="Arial"/>
          <w:b/>
          <w:noProof/>
          <w:sz w:val="28"/>
          <w:szCs w:val="28"/>
        </w:rPr>
        <w:t xml:space="preserve">Trends in the issues identified through the </w:t>
      </w:r>
      <w:r w:rsidRPr="00B925BF">
        <w:rPr>
          <w:rFonts w:cs="Arial"/>
          <w:b/>
          <w:noProof/>
          <w:sz w:val="28"/>
          <w:szCs w:val="28"/>
        </w:rPr>
        <w:t>2013</w:t>
      </w:r>
      <w:r>
        <w:rPr>
          <w:rFonts w:cs="Arial"/>
          <w:b/>
          <w:noProof/>
          <w:sz w:val="28"/>
          <w:szCs w:val="28"/>
        </w:rPr>
        <w:t xml:space="preserve"> audit scheme</w:t>
      </w:r>
    </w:p>
    <w:p w:rsidR="00531623" w:rsidRDefault="00531623" w:rsidP="00531623">
      <w:pPr>
        <w:pStyle w:val="Header"/>
        <w:rPr>
          <w:rFonts w:cs="Arial"/>
          <w:b/>
          <w:noProof/>
          <w:sz w:val="28"/>
          <w:szCs w:val="28"/>
        </w:rPr>
      </w:pPr>
    </w:p>
    <w:p w:rsidR="00531623" w:rsidRDefault="00531623" w:rsidP="00531623">
      <w:pPr>
        <w:pStyle w:val="Header"/>
        <w:rPr>
          <w:rFonts w:cs="Arial"/>
          <w:b/>
          <w:noProof/>
          <w:sz w:val="28"/>
          <w:szCs w:val="28"/>
        </w:rPr>
      </w:pPr>
    </w:p>
    <w:p w:rsidR="00531623" w:rsidRDefault="00531623" w:rsidP="00531623">
      <w:pPr>
        <w:pStyle w:val="Header"/>
        <w:tabs>
          <w:tab w:val="left" w:pos="284"/>
        </w:tabs>
        <w:rPr>
          <w:rFonts w:cs="Arial"/>
          <w:b/>
          <w:noProof/>
        </w:rPr>
      </w:pPr>
      <w:r w:rsidRPr="003178D5">
        <w:rPr>
          <w:rFonts w:cs="Arial"/>
          <w:noProof/>
          <w:bdr w:val="single" w:sz="4" w:space="0" w:color="auto"/>
          <w:lang w:eastAsia="en-GB"/>
        </w:rPr>
        <w:drawing>
          <wp:inline distT="0" distB="0" distL="0" distR="0" wp14:anchorId="515299A0" wp14:editId="68DC67EA">
            <wp:extent cx="5191125" cy="3790950"/>
            <wp:effectExtent l="0" t="0" r="9525" b="1905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r>
        <w:rPr>
          <w:rFonts w:cs="Arial"/>
          <w:b/>
          <w:noProof/>
        </w:rPr>
        <w:t>Graph 8a</w:t>
      </w: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r w:rsidRPr="003178D5">
        <w:rPr>
          <w:rFonts w:cs="Arial"/>
          <w:noProof/>
          <w:bdr w:val="single" w:sz="4" w:space="0" w:color="auto"/>
          <w:lang w:eastAsia="en-GB"/>
        </w:rPr>
        <w:lastRenderedPageBreak/>
        <w:drawing>
          <wp:inline distT="0" distB="0" distL="0" distR="0" wp14:anchorId="5653F7A2" wp14:editId="6E4FEECB">
            <wp:extent cx="5191125" cy="3695700"/>
            <wp:effectExtent l="0" t="0" r="9525" b="19050"/>
            <wp:docPr id="7"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1623" w:rsidRPr="00544368" w:rsidRDefault="00531623" w:rsidP="00531623">
      <w:pPr>
        <w:pStyle w:val="Header"/>
        <w:tabs>
          <w:tab w:val="left" w:pos="284"/>
        </w:tabs>
        <w:rPr>
          <w:rFonts w:cs="Arial"/>
          <w:noProof/>
          <w:sz w:val="18"/>
          <w:szCs w:val="18"/>
        </w:rPr>
      </w:pPr>
      <w:r w:rsidRPr="00544368">
        <w:rPr>
          <w:rFonts w:cs="Arial"/>
          <w:noProof/>
          <w:sz w:val="18"/>
          <w:szCs w:val="18"/>
        </w:rPr>
        <w:t>NB</w:t>
      </w:r>
      <w:r>
        <w:rPr>
          <w:rFonts w:cs="Arial"/>
          <w:noProof/>
          <w:sz w:val="18"/>
          <w:szCs w:val="18"/>
        </w:rPr>
        <w:t>:</w:t>
      </w:r>
      <w:r w:rsidRPr="00544368">
        <w:rPr>
          <w:rFonts w:cs="Arial"/>
          <w:noProof/>
          <w:sz w:val="18"/>
          <w:szCs w:val="18"/>
        </w:rPr>
        <w:t xml:space="preserve"> the</w:t>
      </w:r>
      <w:r>
        <w:rPr>
          <w:rFonts w:cs="Arial"/>
          <w:noProof/>
          <w:sz w:val="18"/>
          <w:szCs w:val="18"/>
        </w:rPr>
        <w:t xml:space="preserve"> blue </w:t>
      </w:r>
      <w:r w:rsidRPr="00544368">
        <w:rPr>
          <w:rFonts w:cs="Arial"/>
          <w:noProof/>
          <w:sz w:val="18"/>
          <w:szCs w:val="18"/>
        </w:rPr>
        <w:t xml:space="preserve">line for </w:t>
      </w:r>
      <w:r>
        <w:rPr>
          <w:rFonts w:cs="Arial"/>
          <w:noProof/>
          <w:sz w:val="18"/>
          <w:szCs w:val="18"/>
        </w:rPr>
        <w:t>“c</w:t>
      </w:r>
      <w:r w:rsidRPr="00544368">
        <w:rPr>
          <w:rFonts w:cs="Arial"/>
          <w:noProof/>
          <w:sz w:val="18"/>
          <w:szCs w:val="18"/>
        </w:rPr>
        <w:t>ompliane with SOPs/Processes</w:t>
      </w:r>
      <w:r>
        <w:rPr>
          <w:rFonts w:cs="Arial"/>
          <w:noProof/>
          <w:sz w:val="18"/>
          <w:szCs w:val="18"/>
        </w:rPr>
        <w:t>”</w:t>
      </w:r>
      <w:r w:rsidRPr="00544368">
        <w:rPr>
          <w:rFonts w:cs="Arial"/>
          <w:noProof/>
          <w:sz w:val="18"/>
          <w:szCs w:val="18"/>
        </w:rPr>
        <w:t xml:space="preserve"> follows the same </w:t>
      </w:r>
      <w:r>
        <w:rPr>
          <w:rFonts w:cs="Arial"/>
          <w:noProof/>
          <w:sz w:val="18"/>
          <w:szCs w:val="18"/>
        </w:rPr>
        <w:t>trend as</w:t>
      </w:r>
      <w:r w:rsidRPr="00544368">
        <w:rPr>
          <w:rFonts w:cs="Arial"/>
          <w:noProof/>
          <w:sz w:val="18"/>
          <w:szCs w:val="18"/>
        </w:rPr>
        <w:t xml:space="preserve"> the red line</w:t>
      </w:r>
      <w:r>
        <w:rPr>
          <w:rFonts w:cs="Arial"/>
          <w:noProof/>
          <w:sz w:val="18"/>
          <w:szCs w:val="18"/>
        </w:rPr>
        <w:t xml:space="preserve"> for “HARP” and therefore it is not visible as it is underneath the red line.</w:t>
      </w: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r>
        <w:rPr>
          <w:rFonts w:cs="Arial"/>
          <w:b/>
          <w:noProof/>
        </w:rPr>
        <w:t>Graph 8b</w:t>
      </w: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p>
    <w:p w:rsidR="00531623" w:rsidRDefault="00531623" w:rsidP="00531623">
      <w:pPr>
        <w:pStyle w:val="Header"/>
        <w:tabs>
          <w:tab w:val="left" w:pos="284"/>
        </w:tabs>
        <w:rPr>
          <w:rFonts w:cs="Arial"/>
          <w:b/>
          <w:noProof/>
        </w:rPr>
      </w:pPr>
    </w:p>
    <w:p w:rsidR="00531623" w:rsidRDefault="00531623" w:rsidP="00531623">
      <w:pPr>
        <w:pStyle w:val="Header"/>
        <w:numPr>
          <w:ilvl w:val="0"/>
          <w:numId w:val="8"/>
        </w:numPr>
        <w:tabs>
          <w:tab w:val="clear" w:pos="4513"/>
          <w:tab w:val="clear" w:pos="9026"/>
          <w:tab w:val="left" w:pos="284"/>
        </w:tabs>
        <w:rPr>
          <w:rFonts w:cs="Arial"/>
          <w:b/>
        </w:rPr>
      </w:pPr>
      <w:r w:rsidRPr="00E47BC8">
        <w:rPr>
          <w:rFonts w:cs="Arial"/>
          <w:b/>
        </w:rPr>
        <w:t>Report Turnaround Times</w:t>
      </w:r>
    </w:p>
    <w:p w:rsidR="00531623" w:rsidRDefault="00531623" w:rsidP="00531623">
      <w:pPr>
        <w:pStyle w:val="Header"/>
        <w:tabs>
          <w:tab w:val="left" w:pos="284"/>
        </w:tabs>
        <w:rPr>
          <w:rFonts w:cs="Arial"/>
          <w:b/>
        </w:rPr>
      </w:pPr>
    </w:p>
    <w:p w:rsidR="00531623" w:rsidRPr="00305D7E" w:rsidRDefault="00531623" w:rsidP="00531623">
      <w:pPr>
        <w:pStyle w:val="Header"/>
        <w:tabs>
          <w:tab w:val="left" w:pos="284"/>
        </w:tabs>
        <w:rPr>
          <w:rFonts w:cs="Arial"/>
        </w:rPr>
      </w:pPr>
      <w:r>
        <w:rPr>
          <w:rFonts w:cs="Arial"/>
        </w:rPr>
        <w:t>All the HRA QA procedure</w:t>
      </w:r>
      <w:r w:rsidRPr="00305D7E">
        <w:rPr>
          <w:rFonts w:cs="Arial"/>
        </w:rPr>
        <w:t xml:space="preserve"> timelines were met during the reporting period</w:t>
      </w:r>
      <w:r>
        <w:rPr>
          <w:rFonts w:cs="Arial"/>
        </w:rPr>
        <w:t>.</w:t>
      </w:r>
    </w:p>
    <w:p w:rsidR="00531623" w:rsidRDefault="00531623" w:rsidP="00531623">
      <w:pPr>
        <w:pStyle w:val="Header"/>
        <w:jc w:val="both"/>
        <w:rPr>
          <w:rFonts w:cs="Arial"/>
        </w:rPr>
      </w:pPr>
    </w:p>
    <w:p w:rsidR="00531623" w:rsidRDefault="00531623" w:rsidP="00531623">
      <w:pPr>
        <w:pStyle w:val="Header"/>
        <w:numPr>
          <w:ilvl w:val="0"/>
          <w:numId w:val="8"/>
        </w:numPr>
        <w:tabs>
          <w:tab w:val="clear" w:pos="4513"/>
          <w:tab w:val="clear" w:pos="9026"/>
        </w:tabs>
        <w:jc w:val="both"/>
        <w:rPr>
          <w:rFonts w:cs="Arial"/>
          <w:b/>
        </w:rPr>
      </w:pPr>
      <w:r>
        <w:rPr>
          <w:rFonts w:cs="Arial"/>
        </w:rPr>
        <w:t xml:space="preserve"> </w:t>
      </w:r>
      <w:r w:rsidRPr="00DB2643">
        <w:rPr>
          <w:rFonts w:cs="Arial"/>
          <w:b/>
        </w:rPr>
        <w:t xml:space="preserve">Analysis of recommendations detailed in </w:t>
      </w:r>
      <w:r>
        <w:rPr>
          <w:rFonts w:cs="Arial"/>
          <w:b/>
        </w:rPr>
        <w:t>audit reports</w:t>
      </w:r>
    </w:p>
    <w:p w:rsidR="00531623" w:rsidRDefault="00531623" w:rsidP="00531623">
      <w:pPr>
        <w:pStyle w:val="Header"/>
        <w:ind w:left="360"/>
        <w:jc w:val="both"/>
        <w:rPr>
          <w:rFonts w:cs="Arial"/>
          <w:b/>
        </w:rPr>
      </w:pPr>
    </w:p>
    <w:p w:rsidR="00531623" w:rsidRPr="00231E4D" w:rsidRDefault="00531623" w:rsidP="00531623">
      <w:pPr>
        <w:pStyle w:val="Header"/>
        <w:jc w:val="both"/>
        <w:rPr>
          <w:rFonts w:cs="Arial"/>
        </w:rPr>
      </w:pPr>
      <w:r w:rsidRPr="00231E4D">
        <w:rPr>
          <w:rFonts w:cs="Arial"/>
        </w:rPr>
        <w:t xml:space="preserve">Recommendations are issues which are deemed to be low enough risk not to warrant an action plan requiring review and sign off by the HRA QA department.  Compliance against recommendations raised is checked through 6 monthly Quality Control (QC) checks.  </w:t>
      </w:r>
    </w:p>
    <w:p w:rsidR="00531623" w:rsidRPr="003010DF" w:rsidRDefault="00531623" w:rsidP="00531623">
      <w:pPr>
        <w:pStyle w:val="Header"/>
        <w:jc w:val="both"/>
        <w:rPr>
          <w:rFonts w:cs="Arial"/>
          <w:color w:val="FF0000"/>
        </w:rPr>
      </w:pPr>
    </w:p>
    <w:p w:rsidR="00531623" w:rsidRPr="00231E4D" w:rsidRDefault="00531623" w:rsidP="00531623">
      <w:pPr>
        <w:pStyle w:val="Header"/>
        <w:jc w:val="both"/>
        <w:rPr>
          <w:rFonts w:cs="Arial"/>
        </w:rPr>
      </w:pPr>
      <w:r w:rsidRPr="00231E4D">
        <w:rPr>
          <w:rFonts w:cs="Arial"/>
        </w:rPr>
        <w:t>The recommendations made in relation to the 14 audits, conducted during the reporting period, have been collated and analysed to provide broad trends on the two key areas – membership and administration of RECs.</w:t>
      </w:r>
    </w:p>
    <w:p w:rsidR="00531623" w:rsidRPr="00670C12" w:rsidRDefault="00531623" w:rsidP="00531623">
      <w:pPr>
        <w:pStyle w:val="Header"/>
        <w:jc w:val="both"/>
        <w:rPr>
          <w:rFonts w:cs="Arial"/>
        </w:rPr>
      </w:pPr>
    </w:p>
    <w:p w:rsidR="00531623" w:rsidRPr="00670C12" w:rsidRDefault="00531623" w:rsidP="00531623">
      <w:pPr>
        <w:pStyle w:val="Header"/>
        <w:jc w:val="both"/>
        <w:rPr>
          <w:rFonts w:cs="Arial"/>
          <w:b/>
        </w:rPr>
      </w:pPr>
      <w:r w:rsidRPr="00670C12">
        <w:rPr>
          <w:rFonts w:cs="Arial"/>
          <w:b/>
        </w:rPr>
        <w:t xml:space="preserve">Membership </w:t>
      </w:r>
    </w:p>
    <w:p w:rsidR="00531623" w:rsidRPr="00670C12" w:rsidRDefault="00531623" w:rsidP="00531623">
      <w:pPr>
        <w:pStyle w:val="Header"/>
        <w:jc w:val="both"/>
        <w:rPr>
          <w:rFonts w:cs="Arial"/>
          <w:b/>
        </w:rPr>
      </w:pPr>
    </w:p>
    <w:p w:rsidR="00531623" w:rsidRPr="00765D91" w:rsidRDefault="00531623" w:rsidP="00531623">
      <w:pPr>
        <w:pStyle w:val="Header"/>
        <w:jc w:val="both"/>
        <w:rPr>
          <w:rFonts w:cs="Arial"/>
        </w:rPr>
      </w:pPr>
      <w:r w:rsidRPr="00765D91">
        <w:rPr>
          <w:rFonts w:cs="Arial"/>
        </w:rPr>
        <w:t xml:space="preserve">3 issues were raised in relation to appointment and terms and conditions; issues ranged from issues missing in the appointment letter to adjustment of term to cover gap between officer appointment and member appointment.  </w:t>
      </w:r>
    </w:p>
    <w:p w:rsidR="00531623" w:rsidRPr="003010DF" w:rsidRDefault="00531623" w:rsidP="00531623">
      <w:pPr>
        <w:pStyle w:val="Header"/>
        <w:jc w:val="both"/>
        <w:rPr>
          <w:rFonts w:cs="Arial"/>
          <w:b/>
          <w:color w:val="FF0000"/>
        </w:rPr>
      </w:pPr>
    </w:p>
    <w:p w:rsidR="00531623" w:rsidRPr="009F01BB" w:rsidRDefault="00531623" w:rsidP="00531623">
      <w:pPr>
        <w:pStyle w:val="Header"/>
        <w:jc w:val="both"/>
        <w:rPr>
          <w:rFonts w:cs="Arial"/>
        </w:rPr>
      </w:pPr>
      <w:r w:rsidRPr="009F01BB">
        <w:rPr>
          <w:rFonts w:cs="Arial"/>
        </w:rPr>
        <w:lastRenderedPageBreak/>
        <w:t>8 separate recommendations were detailed in the audit reports relating to recording and uploading of documents to members HARP membership files; representing over a 50% decrease since the last reporting period.</w:t>
      </w:r>
    </w:p>
    <w:p w:rsidR="00531623" w:rsidRPr="003010DF" w:rsidRDefault="00531623" w:rsidP="00531623">
      <w:pPr>
        <w:pStyle w:val="Header"/>
        <w:jc w:val="both"/>
        <w:rPr>
          <w:rFonts w:cs="Arial"/>
          <w:b/>
          <w:color w:val="FF0000"/>
        </w:rPr>
      </w:pPr>
    </w:p>
    <w:p w:rsidR="00531623" w:rsidRPr="00E97D00" w:rsidRDefault="00531623" w:rsidP="00531623">
      <w:pPr>
        <w:pStyle w:val="Header"/>
        <w:jc w:val="both"/>
        <w:rPr>
          <w:rFonts w:cs="Arial"/>
        </w:rPr>
      </w:pPr>
      <w:r w:rsidRPr="00E97D00">
        <w:rPr>
          <w:rFonts w:cs="Arial"/>
        </w:rPr>
        <w:t>The capacities of 9 members were questioned with a request to seek advice from the HRA Board Secretary and Chief Executive Business Manager to confirm membership capacities.   Recommendations were made in relation to staggering appointments to ensure that not all expertise is lost at one once, to obtain professional registration numbers to enable a cross reference to the appropriate register (relevant when a number of people are listed with the same name) and to obtain a CV/application form to confirm capacity of member.</w:t>
      </w:r>
    </w:p>
    <w:p w:rsidR="00531623" w:rsidRPr="003010DF" w:rsidRDefault="00531623" w:rsidP="00531623">
      <w:pPr>
        <w:pStyle w:val="Header"/>
        <w:jc w:val="both"/>
        <w:rPr>
          <w:rFonts w:cs="Arial"/>
          <w:color w:val="FF0000"/>
        </w:rPr>
      </w:pPr>
    </w:p>
    <w:p w:rsidR="00531623" w:rsidRPr="00A235F3" w:rsidRDefault="00531623" w:rsidP="00531623">
      <w:pPr>
        <w:pStyle w:val="Header"/>
        <w:jc w:val="both"/>
        <w:rPr>
          <w:rFonts w:cs="Arial"/>
        </w:rPr>
      </w:pPr>
      <w:r w:rsidRPr="00A235F3">
        <w:rPr>
          <w:rFonts w:cs="Arial"/>
        </w:rPr>
        <w:t>There were 9 separate recommendations relating to the completion of the training requirement by members; issues included non-completion of self-directed learning logs (SDL), induction and chairing skills training required, and requests to continue to monitor and manage members training.</w:t>
      </w:r>
    </w:p>
    <w:p w:rsidR="00531623" w:rsidRPr="003010DF" w:rsidRDefault="00531623" w:rsidP="00531623">
      <w:pPr>
        <w:pStyle w:val="Header"/>
        <w:jc w:val="center"/>
        <w:rPr>
          <w:rFonts w:cs="Arial"/>
          <w:b/>
          <w:color w:val="FF0000"/>
        </w:rPr>
      </w:pPr>
    </w:p>
    <w:p w:rsidR="00531623" w:rsidRPr="007129A1" w:rsidRDefault="00531623" w:rsidP="00531623">
      <w:pPr>
        <w:pStyle w:val="Header"/>
        <w:jc w:val="both"/>
        <w:rPr>
          <w:rFonts w:cs="Arial"/>
        </w:rPr>
      </w:pPr>
      <w:r w:rsidRPr="007129A1">
        <w:rPr>
          <w:rFonts w:cs="Arial"/>
        </w:rPr>
        <w:t>A recommendation to continue to monitor and manage members’ attendance to ensure compliance with Terms and Conditions (T&amp;Cs) was detailed in 5 audit reports</w:t>
      </w:r>
      <w:r>
        <w:rPr>
          <w:rFonts w:cs="Arial"/>
        </w:rPr>
        <w:t>.</w:t>
      </w:r>
    </w:p>
    <w:p w:rsidR="00531623" w:rsidRPr="00670C12" w:rsidRDefault="00531623" w:rsidP="00531623">
      <w:pPr>
        <w:pStyle w:val="Header"/>
        <w:jc w:val="both"/>
        <w:rPr>
          <w:rFonts w:cs="Arial"/>
          <w:b/>
        </w:rPr>
      </w:pPr>
    </w:p>
    <w:p w:rsidR="00531623" w:rsidRPr="00670C12" w:rsidRDefault="00531623" w:rsidP="00531623">
      <w:pPr>
        <w:pStyle w:val="Header"/>
        <w:jc w:val="both"/>
        <w:rPr>
          <w:rFonts w:cs="Arial"/>
          <w:b/>
        </w:rPr>
      </w:pPr>
      <w:r w:rsidRPr="00670C12">
        <w:rPr>
          <w:rFonts w:cs="Arial"/>
          <w:b/>
        </w:rPr>
        <w:t xml:space="preserve"> Administration</w:t>
      </w:r>
    </w:p>
    <w:p w:rsidR="00531623" w:rsidRPr="00670C12" w:rsidRDefault="00531623" w:rsidP="00531623">
      <w:pPr>
        <w:pStyle w:val="Header"/>
        <w:jc w:val="both"/>
        <w:rPr>
          <w:rFonts w:cs="Arial"/>
          <w:b/>
        </w:rPr>
      </w:pPr>
    </w:p>
    <w:p w:rsidR="00531623" w:rsidRPr="000F3984" w:rsidRDefault="00531623" w:rsidP="00531623">
      <w:pPr>
        <w:pStyle w:val="Header"/>
        <w:jc w:val="both"/>
        <w:rPr>
          <w:rFonts w:cs="Arial"/>
        </w:rPr>
      </w:pPr>
      <w:r w:rsidRPr="000F3984">
        <w:rPr>
          <w:rFonts w:cs="Arial"/>
        </w:rPr>
        <w:t>309 separate issues were raised in relation to non-compliance with administration; SOPs, timelines, minutes/letters, HARP and management of the HARP clock.</w:t>
      </w:r>
    </w:p>
    <w:p w:rsidR="00531623" w:rsidRPr="003010DF" w:rsidRDefault="00531623" w:rsidP="00531623">
      <w:pPr>
        <w:pStyle w:val="Header"/>
        <w:jc w:val="both"/>
        <w:rPr>
          <w:rFonts w:cs="Arial"/>
          <w:b/>
          <w:color w:val="FF0000"/>
        </w:rPr>
      </w:pPr>
    </w:p>
    <w:p w:rsidR="00531623" w:rsidRPr="00C20F06" w:rsidRDefault="00531623" w:rsidP="00531623">
      <w:pPr>
        <w:pStyle w:val="Header"/>
        <w:jc w:val="both"/>
        <w:rPr>
          <w:rFonts w:cs="Arial"/>
        </w:rPr>
      </w:pPr>
      <w:r w:rsidRPr="000F3984">
        <w:rPr>
          <w:rFonts w:cs="Arial"/>
        </w:rPr>
        <w:t>10</w:t>
      </w:r>
      <w:r>
        <w:rPr>
          <w:rFonts w:cs="Arial"/>
        </w:rPr>
        <w:t>2</w:t>
      </w:r>
      <w:r w:rsidRPr="000F3984">
        <w:rPr>
          <w:rFonts w:cs="Arial"/>
        </w:rPr>
        <w:t xml:space="preserve"> issues related to non-compliance with the HARP Dataset.  </w:t>
      </w:r>
      <w:r w:rsidRPr="00C20F06">
        <w:rPr>
          <w:rFonts w:cs="Arial"/>
        </w:rPr>
        <w:t>The majority of issues</w:t>
      </w:r>
      <w:r>
        <w:rPr>
          <w:rFonts w:cs="Arial"/>
        </w:rPr>
        <w:t xml:space="preserve">, again, </w:t>
      </w:r>
      <w:r w:rsidRPr="00C20F06">
        <w:rPr>
          <w:rFonts w:cs="Arial"/>
        </w:rPr>
        <w:t xml:space="preserve">related to the non-uploading of documents. </w:t>
      </w:r>
      <w:r w:rsidRPr="003010DF">
        <w:rPr>
          <w:rFonts w:cs="Arial"/>
          <w:color w:val="FF0000"/>
        </w:rPr>
        <w:t xml:space="preserve"> </w:t>
      </w:r>
      <w:r w:rsidRPr="00C20F06">
        <w:rPr>
          <w:rFonts w:cs="Arial"/>
        </w:rPr>
        <w:t>Other issues raised included the marking of lead reviewers, clear audit trails relating to the review of applications and amendments, the need to enter reasons for applications being marked “validation under consideration” and the non-clearance of publication alerts.</w:t>
      </w:r>
    </w:p>
    <w:p w:rsidR="00531623" w:rsidRPr="003010DF" w:rsidRDefault="00531623" w:rsidP="00531623">
      <w:pPr>
        <w:pStyle w:val="Header"/>
        <w:jc w:val="both"/>
        <w:rPr>
          <w:rFonts w:cs="Arial"/>
          <w:b/>
          <w:color w:val="FF0000"/>
        </w:rPr>
      </w:pPr>
    </w:p>
    <w:p w:rsidR="00531623" w:rsidRPr="00CE1985" w:rsidRDefault="00531623" w:rsidP="00531623">
      <w:pPr>
        <w:pStyle w:val="Header"/>
        <w:jc w:val="both"/>
        <w:rPr>
          <w:rFonts w:cs="Arial"/>
        </w:rPr>
      </w:pPr>
      <w:r w:rsidRPr="00CE1985">
        <w:rPr>
          <w:rFonts w:cs="Arial"/>
        </w:rPr>
        <w:t>19 recommendations were raised in relation to non-compliance with SOPs; 4 of which related to the use of favourable with conditions and 4 were in relation to timely reminder letters for progress reports not being sent out.</w:t>
      </w:r>
    </w:p>
    <w:p w:rsidR="00531623" w:rsidRPr="003010DF" w:rsidRDefault="00531623" w:rsidP="00531623">
      <w:pPr>
        <w:pStyle w:val="Header"/>
        <w:jc w:val="both"/>
        <w:rPr>
          <w:rFonts w:cs="Arial"/>
          <w:b/>
          <w:color w:val="FF0000"/>
        </w:rPr>
      </w:pPr>
    </w:p>
    <w:p w:rsidR="00531623" w:rsidRPr="00E97AAE" w:rsidRDefault="00531623" w:rsidP="00531623">
      <w:pPr>
        <w:pStyle w:val="Header"/>
        <w:jc w:val="both"/>
        <w:rPr>
          <w:rFonts w:cs="Arial"/>
        </w:rPr>
      </w:pPr>
      <w:r w:rsidRPr="00E97AAE">
        <w:rPr>
          <w:rFonts w:cs="Arial"/>
        </w:rPr>
        <w:t>76 separate recommendations related to minutes (main, sub and PR) and letters.  The majority of the issues related to the minute taking and letter writing guidance.</w:t>
      </w:r>
    </w:p>
    <w:p w:rsidR="00531623" w:rsidRPr="00E97AAE" w:rsidRDefault="00531623" w:rsidP="00531623">
      <w:pPr>
        <w:pStyle w:val="Header"/>
        <w:jc w:val="both"/>
        <w:rPr>
          <w:rFonts w:cs="Arial"/>
          <w:b/>
        </w:rPr>
      </w:pPr>
    </w:p>
    <w:p w:rsidR="00531623" w:rsidRPr="00DB2643" w:rsidRDefault="00531623" w:rsidP="00531623">
      <w:pPr>
        <w:pStyle w:val="Header"/>
        <w:jc w:val="both"/>
        <w:rPr>
          <w:rFonts w:cs="Arial"/>
        </w:rPr>
      </w:pPr>
    </w:p>
    <w:p w:rsidR="00531623" w:rsidRDefault="00531623" w:rsidP="00531623">
      <w:pPr>
        <w:pStyle w:val="Header"/>
        <w:numPr>
          <w:ilvl w:val="0"/>
          <w:numId w:val="8"/>
        </w:numPr>
        <w:tabs>
          <w:tab w:val="clear" w:pos="4513"/>
          <w:tab w:val="clear" w:pos="9026"/>
          <w:tab w:val="left" w:pos="284"/>
        </w:tabs>
        <w:rPr>
          <w:rFonts w:cs="Arial"/>
          <w:b/>
        </w:rPr>
      </w:pPr>
      <w:r w:rsidRPr="004C4DB6">
        <w:rPr>
          <w:rFonts w:cs="Arial"/>
          <w:b/>
        </w:rPr>
        <w:t>Feedback from</w:t>
      </w:r>
      <w:r>
        <w:rPr>
          <w:rFonts w:cs="Arial"/>
          <w:b/>
        </w:rPr>
        <w:t xml:space="preserve"> REC Managers of</w:t>
      </w:r>
      <w:r w:rsidRPr="004C4DB6">
        <w:rPr>
          <w:rFonts w:cs="Arial"/>
          <w:b/>
        </w:rPr>
        <w:t xml:space="preserve"> </w:t>
      </w:r>
      <w:r>
        <w:rPr>
          <w:rFonts w:cs="Arial"/>
          <w:b/>
        </w:rPr>
        <w:t xml:space="preserve">audited </w:t>
      </w:r>
      <w:r w:rsidRPr="004C4DB6">
        <w:rPr>
          <w:rFonts w:cs="Arial"/>
          <w:b/>
        </w:rPr>
        <w:t xml:space="preserve">RECs </w:t>
      </w:r>
    </w:p>
    <w:p w:rsidR="00531623" w:rsidRDefault="00531623" w:rsidP="00531623">
      <w:pPr>
        <w:pStyle w:val="Header"/>
        <w:rPr>
          <w:rFonts w:cs="Arial"/>
          <w:b/>
        </w:rPr>
      </w:pPr>
    </w:p>
    <w:p w:rsidR="00531623" w:rsidRPr="008956B2" w:rsidRDefault="00531623" w:rsidP="00531623">
      <w:pPr>
        <w:pStyle w:val="Header"/>
        <w:rPr>
          <w:rFonts w:cs="Arial"/>
        </w:rPr>
      </w:pPr>
      <w:r w:rsidRPr="008956B2">
        <w:rPr>
          <w:rFonts w:cs="Arial"/>
        </w:rPr>
        <w:t>Feedback is sought from REC Managers of RECs undergoing audit seeking their views on the accreditation procedure.  REC Managers are sent a copy of the feedback form along with their final decision letter. 4 RECs have provided feedback from the fourteen RECs audited.  A report detailing feedback can be found in Appendix 1.</w:t>
      </w:r>
    </w:p>
    <w:p w:rsidR="00531623" w:rsidRPr="008956B2" w:rsidRDefault="00531623" w:rsidP="00531623">
      <w:pPr>
        <w:pStyle w:val="Header"/>
        <w:rPr>
          <w:rFonts w:cs="Arial"/>
          <w:b/>
        </w:rPr>
      </w:pPr>
    </w:p>
    <w:p w:rsidR="00531623" w:rsidRDefault="00531623" w:rsidP="00531623">
      <w:pPr>
        <w:pStyle w:val="Header"/>
        <w:rPr>
          <w:rFonts w:cs="Arial"/>
          <w:b/>
        </w:rPr>
      </w:pPr>
    </w:p>
    <w:p w:rsidR="00531623" w:rsidRDefault="00531623" w:rsidP="00531623">
      <w:pPr>
        <w:pStyle w:val="Header"/>
        <w:numPr>
          <w:ilvl w:val="0"/>
          <w:numId w:val="8"/>
        </w:numPr>
        <w:tabs>
          <w:tab w:val="clear" w:pos="4513"/>
          <w:tab w:val="clear" w:pos="9026"/>
          <w:tab w:val="left" w:pos="284"/>
        </w:tabs>
        <w:rPr>
          <w:rFonts w:cs="Arial"/>
          <w:b/>
        </w:rPr>
      </w:pPr>
      <w:r>
        <w:rPr>
          <w:rFonts w:cs="Arial"/>
          <w:b/>
        </w:rPr>
        <w:t>Conclusion</w:t>
      </w:r>
      <w:r w:rsidRPr="007E5499">
        <w:rPr>
          <w:rFonts w:cs="Arial"/>
          <w:b/>
        </w:rPr>
        <w:t xml:space="preserve"> </w:t>
      </w:r>
    </w:p>
    <w:p w:rsidR="00531623" w:rsidRDefault="00531623" w:rsidP="00531623">
      <w:pPr>
        <w:pStyle w:val="Header"/>
        <w:tabs>
          <w:tab w:val="left" w:pos="284"/>
        </w:tabs>
        <w:ind w:left="360"/>
        <w:rPr>
          <w:rFonts w:cs="Arial"/>
          <w:b/>
        </w:rPr>
      </w:pPr>
    </w:p>
    <w:p w:rsidR="00531623" w:rsidRPr="00B50CD5" w:rsidRDefault="00531623" w:rsidP="00531623">
      <w:pPr>
        <w:jc w:val="both"/>
        <w:rPr>
          <w:rFonts w:cs="Arial"/>
          <w:noProof/>
        </w:rPr>
      </w:pPr>
      <w:r w:rsidRPr="00B50CD5">
        <w:rPr>
          <w:rFonts w:cs="Arial"/>
          <w:noProof/>
        </w:rPr>
        <w:t>Of the fourteen RECs audited during the reporting period,  eight were awarded full accreditation, four were awarded accreditation with conditions and two provisional accreditation with action plans.</w:t>
      </w:r>
      <w:r>
        <w:rPr>
          <w:rFonts w:cs="Arial"/>
          <w:noProof/>
        </w:rPr>
        <w:t xml:space="preserve">  There is a welcomed increase in the number of full </w:t>
      </w:r>
      <w:r>
        <w:rPr>
          <w:rFonts w:cs="Arial"/>
          <w:noProof/>
        </w:rPr>
        <w:lastRenderedPageBreak/>
        <w:t>accreditations being awarded (100% increase from the last reporting period – October 2014 to March 2015) and a marked decrease in provisional opinions.</w:t>
      </w:r>
    </w:p>
    <w:p w:rsidR="00531623" w:rsidRDefault="00531623" w:rsidP="00531623">
      <w:pPr>
        <w:jc w:val="both"/>
        <w:rPr>
          <w:rFonts w:cs="Arial"/>
          <w:noProof/>
        </w:rPr>
      </w:pPr>
      <w:r>
        <w:rPr>
          <w:rFonts w:cs="Arial"/>
          <w:noProof/>
        </w:rPr>
        <w:t>There were no i</w:t>
      </w:r>
      <w:r w:rsidRPr="00D46B38">
        <w:rPr>
          <w:rFonts w:cs="Arial"/>
          <w:noProof/>
        </w:rPr>
        <w:t>ssues</w:t>
      </w:r>
      <w:r>
        <w:rPr>
          <w:rFonts w:cs="Arial"/>
          <w:noProof/>
        </w:rPr>
        <w:t xml:space="preserve"> raised in action plans in relation to </w:t>
      </w:r>
      <w:r w:rsidRPr="00D46B38">
        <w:rPr>
          <w:rFonts w:cs="Arial"/>
          <w:noProof/>
        </w:rPr>
        <w:t>constitution and quoracy, training</w:t>
      </w:r>
      <w:r>
        <w:rPr>
          <w:rFonts w:cs="Arial"/>
          <w:noProof/>
        </w:rPr>
        <w:t xml:space="preserve">, </w:t>
      </w:r>
      <w:r w:rsidRPr="00D46B38">
        <w:rPr>
          <w:rFonts w:cs="Arial"/>
          <w:noProof/>
        </w:rPr>
        <w:t xml:space="preserve"> attendance</w:t>
      </w:r>
      <w:r>
        <w:rPr>
          <w:rFonts w:cs="Arial"/>
          <w:noProof/>
        </w:rPr>
        <w:t xml:space="preserve"> and recruitment.  Issues relating to indemnity has increased slightly; these related to the issuing of reappointment letters and terms and conditions for members and appointment letters for officers of the REC.</w:t>
      </w:r>
    </w:p>
    <w:p w:rsidR="00531623" w:rsidRPr="004712DE" w:rsidRDefault="00531623" w:rsidP="00531623">
      <w:pPr>
        <w:jc w:val="both"/>
        <w:rPr>
          <w:rFonts w:cs="Arial"/>
          <w:noProof/>
        </w:rPr>
      </w:pPr>
      <w:r w:rsidRPr="004712DE">
        <w:rPr>
          <w:rFonts w:cs="Arial"/>
          <w:noProof/>
        </w:rPr>
        <w:t>Issues relating to non-compliance with minutes and letters has decreased, being raised in two out of the 6 action plans</w:t>
      </w:r>
      <w:r>
        <w:rPr>
          <w:rFonts w:cs="Arial"/>
          <w:noProof/>
        </w:rPr>
        <w:t xml:space="preserve"> issued</w:t>
      </w:r>
      <w:r w:rsidRPr="004712DE">
        <w:rPr>
          <w:rFonts w:cs="Arial"/>
          <w:noProof/>
        </w:rPr>
        <w:t xml:space="preserve">.  </w:t>
      </w:r>
    </w:p>
    <w:p w:rsidR="00531623" w:rsidRPr="004712DE" w:rsidRDefault="00531623" w:rsidP="00531623">
      <w:pPr>
        <w:jc w:val="both"/>
        <w:rPr>
          <w:rFonts w:cs="Arial"/>
          <w:noProof/>
        </w:rPr>
      </w:pPr>
      <w:r w:rsidRPr="004712DE">
        <w:rPr>
          <w:rFonts w:cs="Arial"/>
          <w:noProof/>
        </w:rPr>
        <w:t xml:space="preserve">There has been an increase in issues being raised in relation to non-compliance with SOPs and HARP dataset featuring in two action plans and also an increase in </w:t>
      </w:r>
      <w:r>
        <w:rPr>
          <w:rFonts w:cs="Arial"/>
          <w:noProof/>
        </w:rPr>
        <w:t>timeline non-compliance which was raised in</w:t>
      </w:r>
      <w:r w:rsidRPr="004712DE">
        <w:rPr>
          <w:rFonts w:cs="Arial"/>
          <w:noProof/>
        </w:rPr>
        <w:t xml:space="preserve"> three action plans.</w:t>
      </w:r>
    </w:p>
    <w:p w:rsidR="00531623" w:rsidRDefault="00531623" w:rsidP="00531623">
      <w:pPr>
        <w:jc w:val="both"/>
        <w:rPr>
          <w:rFonts w:cs="Arial"/>
          <w:noProof/>
        </w:rPr>
      </w:pPr>
      <w:r w:rsidRPr="004712DE">
        <w:rPr>
          <w:rFonts w:cs="Arial"/>
          <w:noProof/>
        </w:rPr>
        <w:t>The limited feedback from REC Managers on the accreditation process has been positive.</w:t>
      </w:r>
    </w:p>
    <w:p w:rsidR="00531623" w:rsidRDefault="00531623" w:rsidP="00531623">
      <w:pPr>
        <w:jc w:val="both"/>
        <w:rPr>
          <w:rFonts w:cs="Arial"/>
          <w:noProof/>
        </w:rPr>
      </w:pPr>
    </w:p>
    <w:p w:rsidR="00531623" w:rsidRDefault="00531623" w:rsidP="00531623">
      <w:pPr>
        <w:rPr>
          <w:rFonts w:eastAsia="Calibri" w:cs="Arial"/>
          <w:b/>
          <w:lang w:val="en-US"/>
        </w:rPr>
      </w:pPr>
    </w:p>
    <w:p w:rsidR="00531623" w:rsidRPr="000C6054" w:rsidRDefault="00531623" w:rsidP="00531623">
      <w:pPr>
        <w:rPr>
          <w:rFonts w:eastAsia="Calibri" w:cs="Arial"/>
          <w:b/>
          <w:lang w:val="en-US"/>
        </w:rPr>
      </w:pPr>
      <w:r w:rsidRPr="000C6054">
        <w:rPr>
          <w:rFonts w:eastAsia="Calibri" w:cs="Arial"/>
          <w:b/>
          <w:lang w:val="en-US"/>
        </w:rPr>
        <w:tab/>
        <w:t xml:space="preserve">HRA QA Department </w:t>
      </w:r>
    </w:p>
    <w:p w:rsidR="00531623" w:rsidRPr="000C6054" w:rsidRDefault="00531623" w:rsidP="00531623">
      <w:pPr>
        <w:rPr>
          <w:rFonts w:eastAsia="Calibri" w:cs="Arial"/>
          <w:b/>
          <w:lang w:val="en-US"/>
        </w:rPr>
      </w:pPr>
      <w:r w:rsidRPr="000C6054">
        <w:rPr>
          <w:rFonts w:eastAsia="Calibri" w:cs="Arial"/>
          <w:b/>
          <w:lang w:val="en-US"/>
        </w:rPr>
        <w:tab/>
        <w:t>19</w:t>
      </w:r>
      <w:r w:rsidRPr="000C6054">
        <w:rPr>
          <w:rFonts w:eastAsia="Calibri" w:cs="Arial"/>
          <w:b/>
          <w:vertAlign w:val="superscript"/>
          <w:lang w:val="en-US"/>
        </w:rPr>
        <w:t>th</w:t>
      </w:r>
      <w:r w:rsidRPr="000C6054">
        <w:rPr>
          <w:rFonts w:eastAsia="Calibri" w:cs="Arial"/>
          <w:b/>
          <w:lang w:val="en-US"/>
        </w:rPr>
        <w:t xml:space="preserve"> October 2015  </w:t>
      </w:r>
    </w:p>
    <w:p w:rsidR="00531623" w:rsidRPr="00EE4538" w:rsidRDefault="00531623" w:rsidP="00531623">
      <w:pPr>
        <w:jc w:val="both"/>
        <w:rPr>
          <w:rFonts w:cs="Arial"/>
          <w:noProof/>
        </w:rPr>
      </w:pPr>
      <w:r w:rsidRPr="00EE4538">
        <w:rPr>
          <w:rFonts w:cs="Arial"/>
          <w:noProof/>
        </w:rPr>
        <w:br w:type="page"/>
      </w:r>
    </w:p>
    <w:p w:rsidR="00531623" w:rsidRPr="00195F7D" w:rsidRDefault="00531623" w:rsidP="00531623">
      <w:pPr>
        <w:pStyle w:val="Header"/>
        <w:rPr>
          <w:rFonts w:cs="Arial"/>
          <w:noProof/>
          <w:sz w:val="24"/>
          <w:szCs w:val="24"/>
        </w:rPr>
      </w:pPr>
      <w:r w:rsidRPr="00195F7D">
        <w:rPr>
          <w:rFonts w:cs="Arial"/>
          <w:noProof/>
          <w:sz w:val="24"/>
          <w:szCs w:val="24"/>
        </w:rPr>
        <w:lastRenderedPageBreak/>
        <w:t>Appendix 1</w:t>
      </w:r>
      <w:r w:rsidRPr="00195F7D">
        <w:rPr>
          <w:rFonts w:cs="Arial"/>
          <w:noProof/>
          <w:sz w:val="24"/>
          <w:szCs w:val="24"/>
        </w:rPr>
        <w:tab/>
      </w:r>
      <w:r w:rsidRPr="00195F7D">
        <w:rPr>
          <w:rFonts w:cs="Arial"/>
          <w:noProof/>
          <w:sz w:val="24"/>
          <w:szCs w:val="24"/>
        </w:rPr>
        <w:tab/>
      </w:r>
      <w:r w:rsidRPr="00195F7D">
        <w:rPr>
          <w:rFonts w:cs="Arial"/>
          <w:noProof/>
          <w:sz w:val="24"/>
          <w:szCs w:val="24"/>
        </w:rPr>
        <w:tab/>
      </w:r>
      <w:r w:rsidRPr="00195F7D">
        <w:rPr>
          <w:rFonts w:cs="Arial"/>
          <w:noProof/>
          <w:sz w:val="24"/>
          <w:szCs w:val="24"/>
        </w:rPr>
        <w:tab/>
      </w:r>
      <w:r w:rsidRPr="00195F7D">
        <w:rPr>
          <w:rFonts w:cs="Arial"/>
          <w:noProof/>
          <w:sz w:val="24"/>
          <w:szCs w:val="24"/>
        </w:rPr>
        <w:tab/>
      </w:r>
      <w:r w:rsidRPr="00195F7D">
        <w:rPr>
          <w:rFonts w:cs="Arial"/>
          <w:noProof/>
          <w:sz w:val="24"/>
          <w:szCs w:val="24"/>
        </w:rPr>
        <w:tab/>
      </w:r>
      <w:r w:rsidRPr="00195F7D">
        <w:rPr>
          <w:rFonts w:cs="Arial"/>
          <w:noProof/>
          <w:sz w:val="24"/>
          <w:szCs w:val="24"/>
        </w:rPr>
        <w:tab/>
      </w:r>
      <w:r w:rsidRPr="00195F7D">
        <w:rPr>
          <w:rFonts w:cs="Arial"/>
          <w:noProof/>
          <w:sz w:val="24"/>
          <w:szCs w:val="24"/>
        </w:rPr>
        <w:tab/>
        <w:t xml:space="preserve">                      </w:t>
      </w:r>
    </w:p>
    <w:p w:rsidR="00531623" w:rsidRDefault="00531623" w:rsidP="00531623">
      <w:pPr>
        <w:pStyle w:val="Header"/>
        <w:rPr>
          <w:rFonts w:cs="Arial"/>
          <w:noProof/>
        </w:rPr>
      </w:pPr>
    </w:p>
    <w:p w:rsidR="00531623" w:rsidRDefault="00531623" w:rsidP="00531623">
      <w:pPr>
        <w:rPr>
          <w:rFonts w:cs="Arial"/>
          <w:b/>
        </w:rPr>
      </w:pPr>
      <w:r>
        <w:rPr>
          <w:rFonts w:cs="Arial"/>
          <w:b/>
        </w:rPr>
        <w:t>Feedback received from audits completed</w:t>
      </w:r>
      <w:r w:rsidRPr="00BF7809">
        <w:rPr>
          <w:rFonts w:cs="Arial"/>
          <w:b/>
        </w:rPr>
        <w:t xml:space="preserve"> </w:t>
      </w:r>
      <w:r>
        <w:rPr>
          <w:rFonts w:cs="Arial"/>
          <w:b/>
        </w:rPr>
        <w:t>between April 2015 and September 2015</w:t>
      </w:r>
    </w:p>
    <w:p w:rsidR="00531623" w:rsidRPr="00BF7809" w:rsidRDefault="00531623" w:rsidP="00531623">
      <w:pPr>
        <w:rPr>
          <w:rFonts w:cs="Arial"/>
        </w:rPr>
      </w:pPr>
    </w:p>
    <w:p w:rsidR="00531623" w:rsidRDefault="00531623" w:rsidP="00531623">
      <w:pPr>
        <w:rPr>
          <w:rFonts w:cs="Arial"/>
        </w:rPr>
      </w:pPr>
    </w:p>
    <w:p w:rsidR="00531623" w:rsidRPr="00BA458A" w:rsidRDefault="00531623" w:rsidP="00531623">
      <w:pPr>
        <w:rPr>
          <w:rFonts w:cs="Arial"/>
          <w:b/>
        </w:rPr>
      </w:pPr>
      <w:r w:rsidRPr="00BA458A">
        <w:rPr>
          <w:rFonts w:cs="Arial"/>
          <w:b/>
        </w:rPr>
        <w:t xml:space="preserve">Views of </w:t>
      </w:r>
      <w:r>
        <w:rPr>
          <w:rFonts w:cs="Arial"/>
          <w:b/>
        </w:rPr>
        <w:t xml:space="preserve">REC Managers on the audit procedure </w:t>
      </w:r>
    </w:p>
    <w:p w:rsidR="00531623" w:rsidRDefault="00531623" w:rsidP="00531623"/>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00CCFF"/>
        <w:tblLayout w:type="fixed"/>
        <w:tblLook w:val="0000" w:firstRow="0" w:lastRow="0" w:firstColumn="0" w:lastColumn="0" w:noHBand="0" w:noVBand="0"/>
      </w:tblPr>
      <w:tblGrid>
        <w:gridCol w:w="4219"/>
        <w:gridCol w:w="851"/>
        <w:gridCol w:w="850"/>
        <w:gridCol w:w="851"/>
        <w:gridCol w:w="850"/>
        <w:gridCol w:w="851"/>
      </w:tblGrid>
      <w:tr w:rsidR="00531623" w:rsidTr="00531623">
        <w:trPr>
          <w:trHeight w:val="680"/>
        </w:trPr>
        <w:tc>
          <w:tcPr>
            <w:tcW w:w="4219" w:type="dxa"/>
            <w:vMerge w:val="restart"/>
            <w:shd w:val="clear" w:color="auto" w:fill="B8CCE4"/>
            <w:vAlign w:val="center"/>
          </w:tcPr>
          <w:p w:rsidR="00531623" w:rsidRPr="002F2255" w:rsidRDefault="00531623" w:rsidP="00531623">
            <w:pPr>
              <w:rPr>
                <w:rFonts w:cs="Arial"/>
                <w:b/>
              </w:rPr>
            </w:pPr>
            <w:r w:rsidRPr="002F2255">
              <w:rPr>
                <w:rFonts w:cs="Arial"/>
                <w:b/>
              </w:rPr>
              <w:t xml:space="preserve">Activity </w:t>
            </w:r>
          </w:p>
        </w:tc>
        <w:tc>
          <w:tcPr>
            <w:tcW w:w="4253" w:type="dxa"/>
            <w:gridSpan w:val="5"/>
            <w:tcBorders>
              <w:bottom w:val="single" w:sz="4" w:space="0" w:color="333333"/>
            </w:tcBorders>
            <w:shd w:val="clear" w:color="auto" w:fill="B8CCE4"/>
          </w:tcPr>
          <w:p w:rsidR="00531623" w:rsidRDefault="00531623" w:rsidP="00531623">
            <w:pPr>
              <w:rPr>
                <w:rFonts w:cs="Arial"/>
                <w:b/>
              </w:rPr>
            </w:pPr>
            <w:r>
              <w:rPr>
                <w:rFonts w:cs="Arial"/>
                <w:b/>
              </w:rPr>
              <w:t>Percentage per score</w:t>
            </w:r>
          </w:p>
          <w:p w:rsidR="00531623" w:rsidRPr="00F22207" w:rsidRDefault="00531623" w:rsidP="00531623">
            <w:pPr>
              <w:rPr>
                <w:rFonts w:cs="Arial"/>
                <w:b/>
              </w:rPr>
            </w:pPr>
            <w:r w:rsidRPr="00F22207">
              <w:rPr>
                <w:rFonts w:cs="Arial"/>
                <w:b/>
              </w:rPr>
              <w:t xml:space="preserve">Rating guideline 1=poor, 5=excellent </w:t>
            </w:r>
          </w:p>
        </w:tc>
      </w:tr>
      <w:tr w:rsidR="00531623" w:rsidTr="00531623">
        <w:trPr>
          <w:trHeight w:val="680"/>
        </w:trPr>
        <w:tc>
          <w:tcPr>
            <w:tcW w:w="4219" w:type="dxa"/>
            <w:vMerge/>
            <w:tcBorders>
              <w:bottom w:val="single" w:sz="4" w:space="0" w:color="333333"/>
            </w:tcBorders>
            <w:shd w:val="clear" w:color="auto" w:fill="CCFFFF"/>
            <w:vAlign w:val="center"/>
          </w:tcPr>
          <w:p w:rsidR="00531623" w:rsidRDefault="00531623" w:rsidP="00531623">
            <w:pPr>
              <w:rPr>
                <w:rFonts w:cs="Arial"/>
              </w:rPr>
            </w:pPr>
          </w:p>
        </w:tc>
        <w:tc>
          <w:tcPr>
            <w:tcW w:w="851" w:type="dxa"/>
            <w:tcBorders>
              <w:bottom w:val="single" w:sz="4" w:space="0" w:color="333333"/>
            </w:tcBorders>
            <w:shd w:val="clear" w:color="auto" w:fill="B8CCE4"/>
            <w:vAlign w:val="center"/>
          </w:tcPr>
          <w:p w:rsidR="00531623" w:rsidRPr="002F2255" w:rsidRDefault="00531623" w:rsidP="00531623">
            <w:pPr>
              <w:jc w:val="center"/>
              <w:rPr>
                <w:rFonts w:cs="Arial"/>
                <w:b/>
              </w:rPr>
            </w:pPr>
            <w:r w:rsidRPr="002F2255">
              <w:rPr>
                <w:rFonts w:cs="Arial"/>
                <w:b/>
              </w:rPr>
              <w:t>1</w:t>
            </w:r>
          </w:p>
        </w:tc>
        <w:tc>
          <w:tcPr>
            <w:tcW w:w="850" w:type="dxa"/>
            <w:tcBorders>
              <w:bottom w:val="single" w:sz="4" w:space="0" w:color="333333"/>
            </w:tcBorders>
            <w:shd w:val="clear" w:color="auto" w:fill="B8CCE4"/>
            <w:vAlign w:val="center"/>
          </w:tcPr>
          <w:p w:rsidR="00531623" w:rsidRPr="002F2255" w:rsidRDefault="00531623" w:rsidP="00531623">
            <w:pPr>
              <w:jc w:val="center"/>
              <w:rPr>
                <w:rFonts w:cs="Arial"/>
                <w:b/>
              </w:rPr>
            </w:pPr>
            <w:r w:rsidRPr="002F2255">
              <w:rPr>
                <w:rFonts w:cs="Arial"/>
                <w:b/>
              </w:rPr>
              <w:t>2</w:t>
            </w:r>
          </w:p>
        </w:tc>
        <w:tc>
          <w:tcPr>
            <w:tcW w:w="851" w:type="dxa"/>
            <w:tcBorders>
              <w:bottom w:val="single" w:sz="4" w:space="0" w:color="333333"/>
            </w:tcBorders>
            <w:shd w:val="clear" w:color="auto" w:fill="B8CCE4"/>
            <w:vAlign w:val="center"/>
          </w:tcPr>
          <w:p w:rsidR="00531623" w:rsidRPr="002F2255" w:rsidRDefault="00531623" w:rsidP="00531623">
            <w:pPr>
              <w:jc w:val="center"/>
              <w:rPr>
                <w:rFonts w:cs="Arial"/>
                <w:b/>
              </w:rPr>
            </w:pPr>
            <w:r w:rsidRPr="002F2255">
              <w:rPr>
                <w:rFonts w:cs="Arial"/>
                <w:b/>
              </w:rPr>
              <w:t>3</w:t>
            </w:r>
          </w:p>
        </w:tc>
        <w:tc>
          <w:tcPr>
            <w:tcW w:w="850" w:type="dxa"/>
            <w:tcBorders>
              <w:bottom w:val="single" w:sz="4" w:space="0" w:color="333333"/>
            </w:tcBorders>
            <w:shd w:val="clear" w:color="auto" w:fill="B8CCE4"/>
            <w:vAlign w:val="center"/>
          </w:tcPr>
          <w:p w:rsidR="00531623" w:rsidRPr="002F2255" w:rsidRDefault="00531623" w:rsidP="00531623">
            <w:pPr>
              <w:jc w:val="center"/>
              <w:rPr>
                <w:rFonts w:cs="Arial"/>
                <w:b/>
              </w:rPr>
            </w:pPr>
            <w:r w:rsidRPr="002F2255">
              <w:rPr>
                <w:rFonts w:cs="Arial"/>
                <w:b/>
              </w:rPr>
              <w:t>4</w:t>
            </w:r>
          </w:p>
        </w:tc>
        <w:tc>
          <w:tcPr>
            <w:tcW w:w="851" w:type="dxa"/>
            <w:tcBorders>
              <w:bottom w:val="single" w:sz="4" w:space="0" w:color="333333"/>
            </w:tcBorders>
            <w:shd w:val="clear" w:color="auto" w:fill="B8CCE4"/>
            <w:vAlign w:val="center"/>
          </w:tcPr>
          <w:p w:rsidR="00531623" w:rsidRPr="002F2255" w:rsidRDefault="00531623" w:rsidP="00531623">
            <w:pPr>
              <w:jc w:val="center"/>
              <w:rPr>
                <w:rFonts w:cs="Arial"/>
                <w:b/>
              </w:rPr>
            </w:pPr>
            <w:r w:rsidRPr="002F2255">
              <w:rPr>
                <w:rFonts w:cs="Arial"/>
                <w:b/>
              </w:rPr>
              <w:t>5</w:t>
            </w:r>
          </w:p>
        </w:tc>
      </w:tr>
      <w:tr w:rsidR="00531623" w:rsidTr="00531623">
        <w:trPr>
          <w:trHeight w:val="680"/>
        </w:trPr>
        <w:tc>
          <w:tcPr>
            <w:tcW w:w="4219" w:type="dxa"/>
            <w:shd w:val="clear" w:color="auto" w:fill="auto"/>
            <w:vAlign w:val="center"/>
          </w:tcPr>
          <w:p w:rsidR="00531623" w:rsidRPr="00E116A6" w:rsidRDefault="00531623" w:rsidP="00531623">
            <w:pPr>
              <w:rPr>
                <w:rFonts w:cs="Arial"/>
              </w:rPr>
            </w:pPr>
            <w:r w:rsidRPr="00E116A6">
              <w:rPr>
                <w:rFonts w:cs="Arial"/>
              </w:rPr>
              <w:t xml:space="preserve">The checklist made clear the standards to be met in the audit. </w:t>
            </w: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536ED9" w:rsidRDefault="00531623" w:rsidP="00531623">
            <w:pPr>
              <w:jc w:val="center"/>
              <w:rPr>
                <w:rFonts w:cs="Arial"/>
              </w:rPr>
            </w:pP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BD366E" w:rsidRDefault="00531623" w:rsidP="00531623">
            <w:pPr>
              <w:jc w:val="center"/>
              <w:rPr>
                <w:rFonts w:cs="Arial"/>
              </w:rPr>
            </w:pPr>
            <w:r w:rsidRPr="00BD366E">
              <w:rPr>
                <w:rFonts w:cs="Arial"/>
              </w:rPr>
              <w:t>25</w:t>
            </w:r>
          </w:p>
        </w:tc>
        <w:tc>
          <w:tcPr>
            <w:tcW w:w="851" w:type="dxa"/>
            <w:shd w:val="clear" w:color="auto" w:fill="auto"/>
            <w:vAlign w:val="center"/>
          </w:tcPr>
          <w:p w:rsidR="00531623" w:rsidRPr="00BD366E" w:rsidRDefault="00531623" w:rsidP="00531623">
            <w:pPr>
              <w:jc w:val="center"/>
              <w:rPr>
                <w:rFonts w:cs="Arial"/>
              </w:rPr>
            </w:pPr>
            <w:r w:rsidRPr="00BD366E">
              <w:rPr>
                <w:rFonts w:cs="Arial"/>
              </w:rPr>
              <w:t>75</w:t>
            </w:r>
          </w:p>
        </w:tc>
      </w:tr>
      <w:tr w:rsidR="00531623" w:rsidTr="00531623">
        <w:trPr>
          <w:trHeight w:val="680"/>
        </w:trPr>
        <w:tc>
          <w:tcPr>
            <w:tcW w:w="4219" w:type="dxa"/>
            <w:shd w:val="clear" w:color="auto" w:fill="auto"/>
            <w:vAlign w:val="center"/>
          </w:tcPr>
          <w:p w:rsidR="00531623" w:rsidRPr="00E116A6" w:rsidRDefault="00531623" w:rsidP="00531623">
            <w:pPr>
              <w:pStyle w:val="Header"/>
              <w:rPr>
                <w:rFonts w:cs="Arial"/>
              </w:rPr>
            </w:pPr>
            <w:r w:rsidRPr="00E116A6">
              <w:rPr>
                <w:rFonts w:cs="Arial"/>
              </w:rPr>
              <w:t>Completing the checklist helped to prepare for the audit</w:t>
            </w: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536ED9" w:rsidRDefault="00531623" w:rsidP="00531623">
            <w:pPr>
              <w:jc w:val="center"/>
              <w:rPr>
                <w:rFonts w:cs="Arial"/>
              </w:rPr>
            </w:pP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3010DF" w:rsidRDefault="00531623" w:rsidP="00531623">
            <w:pPr>
              <w:jc w:val="center"/>
              <w:rPr>
                <w:rFonts w:cs="Arial"/>
                <w:color w:val="FF0000"/>
              </w:rPr>
            </w:pPr>
          </w:p>
        </w:tc>
        <w:tc>
          <w:tcPr>
            <w:tcW w:w="851" w:type="dxa"/>
            <w:shd w:val="clear" w:color="auto" w:fill="auto"/>
            <w:vAlign w:val="center"/>
          </w:tcPr>
          <w:p w:rsidR="00531623" w:rsidRPr="00BD366E" w:rsidRDefault="00531623" w:rsidP="00531623">
            <w:pPr>
              <w:jc w:val="center"/>
              <w:rPr>
                <w:rFonts w:cs="Arial"/>
              </w:rPr>
            </w:pPr>
            <w:r w:rsidRPr="00BD366E">
              <w:rPr>
                <w:rFonts w:cs="Arial"/>
              </w:rPr>
              <w:t>100</w:t>
            </w:r>
          </w:p>
        </w:tc>
      </w:tr>
      <w:tr w:rsidR="00531623" w:rsidTr="00531623">
        <w:trPr>
          <w:trHeight w:val="680"/>
        </w:trPr>
        <w:tc>
          <w:tcPr>
            <w:tcW w:w="4219" w:type="dxa"/>
            <w:shd w:val="clear" w:color="auto" w:fill="auto"/>
            <w:vAlign w:val="center"/>
          </w:tcPr>
          <w:p w:rsidR="00531623" w:rsidRPr="00E116A6" w:rsidRDefault="00531623" w:rsidP="00531623">
            <w:pPr>
              <w:pStyle w:val="Header"/>
              <w:rPr>
                <w:rFonts w:cs="Arial"/>
              </w:rPr>
            </w:pPr>
            <w:r w:rsidRPr="00E116A6">
              <w:rPr>
                <w:rFonts w:cs="Arial"/>
              </w:rPr>
              <w:t>The interpretation of standards during the audit was a fair reflection of GAfREC, SOPs and other NRES guidance.</w:t>
            </w: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536ED9" w:rsidRDefault="00531623" w:rsidP="00531623">
            <w:pPr>
              <w:jc w:val="center"/>
              <w:rPr>
                <w:rFonts w:cs="Arial"/>
              </w:rPr>
            </w:pP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3010DF" w:rsidRDefault="00531623" w:rsidP="00531623">
            <w:pPr>
              <w:jc w:val="center"/>
              <w:rPr>
                <w:rFonts w:cs="Arial"/>
                <w:color w:val="FF0000"/>
              </w:rPr>
            </w:pPr>
          </w:p>
        </w:tc>
        <w:tc>
          <w:tcPr>
            <w:tcW w:w="851" w:type="dxa"/>
            <w:shd w:val="clear" w:color="auto" w:fill="auto"/>
            <w:vAlign w:val="center"/>
          </w:tcPr>
          <w:p w:rsidR="00531623" w:rsidRPr="00BD366E" w:rsidRDefault="00531623" w:rsidP="00531623">
            <w:pPr>
              <w:jc w:val="center"/>
              <w:rPr>
                <w:rFonts w:cs="Arial"/>
              </w:rPr>
            </w:pPr>
            <w:r w:rsidRPr="00BD366E">
              <w:rPr>
                <w:rFonts w:cs="Arial"/>
              </w:rPr>
              <w:t>100</w:t>
            </w:r>
          </w:p>
        </w:tc>
      </w:tr>
      <w:tr w:rsidR="00531623" w:rsidTr="00531623">
        <w:trPr>
          <w:trHeight w:val="680"/>
        </w:trPr>
        <w:tc>
          <w:tcPr>
            <w:tcW w:w="4219" w:type="dxa"/>
            <w:shd w:val="clear" w:color="auto" w:fill="auto"/>
            <w:vAlign w:val="center"/>
          </w:tcPr>
          <w:p w:rsidR="00531623" w:rsidRPr="00E116A6" w:rsidRDefault="00531623" w:rsidP="00531623">
            <w:pPr>
              <w:pStyle w:val="Header"/>
              <w:rPr>
                <w:rFonts w:cs="Arial"/>
              </w:rPr>
            </w:pPr>
            <w:r w:rsidRPr="00E116A6">
              <w:rPr>
                <w:rFonts w:cs="Arial"/>
              </w:rPr>
              <w:t xml:space="preserve">The audit was fair and reasonable with the  opportunity to discuss and clarify issues during the process  </w:t>
            </w: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536ED9" w:rsidRDefault="00531623" w:rsidP="00531623">
            <w:pPr>
              <w:jc w:val="center"/>
              <w:rPr>
                <w:rFonts w:cs="Arial"/>
              </w:rPr>
            </w:pP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3010DF" w:rsidRDefault="00531623" w:rsidP="00531623">
            <w:pPr>
              <w:jc w:val="center"/>
              <w:rPr>
                <w:rFonts w:cs="Arial"/>
                <w:color w:val="FF0000"/>
              </w:rPr>
            </w:pPr>
          </w:p>
        </w:tc>
        <w:tc>
          <w:tcPr>
            <w:tcW w:w="851" w:type="dxa"/>
            <w:shd w:val="clear" w:color="auto" w:fill="auto"/>
            <w:vAlign w:val="center"/>
          </w:tcPr>
          <w:p w:rsidR="00531623" w:rsidRPr="00BD366E" w:rsidRDefault="00531623" w:rsidP="00531623">
            <w:pPr>
              <w:jc w:val="center"/>
              <w:rPr>
                <w:rFonts w:cs="Arial"/>
              </w:rPr>
            </w:pPr>
            <w:r w:rsidRPr="00BD366E">
              <w:rPr>
                <w:rFonts w:cs="Arial"/>
              </w:rPr>
              <w:t>100</w:t>
            </w:r>
          </w:p>
        </w:tc>
      </w:tr>
      <w:tr w:rsidR="00531623" w:rsidTr="00531623">
        <w:trPr>
          <w:trHeight w:val="680"/>
        </w:trPr>
        <w:tc>
          <w:tcPr>
            <w:tcW w:w="4219" w:type="dxa"/>
            <w:shd w:val="clear" w:color="auto" w:fill="auto"/>
            <w:vAlign w:val="center"/>
          </w:tcPr>
          <w:p w:rsidR="00531623" w:rsidRPr="00E116A6" w:rsidRDefault="00531623" w:rsidP="00531623">
            <w:pPr>
              <w:pStyle w:val="Header"/>
              <w:rPr>
                <w:rFonts w:cs="Arial"/>
              </w:rPr>
            </w:pPr>
            <w:r>
              <w:rPr>
                <w:rFonts w:cs="Arial"/>
              </w:rPr>
              <w:t>HRA</w:t>
            </w:r>
            <w:r w:rsidRPr="00E116A6">
              <w:rPr>
                <w:rFonts w:cs="Arial"/>
              </w:rPr>
              <w:t xml:space="preserve"> QA staff were approachable, fair and methodical</w:t>
            </w: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536ED9" w:rsidRDefault="00531623" w:rsidP="00531623">
            <w:pPr>
              <w:jc w:val="center"/>
              <w:rPr>
                <w:rFonts w:cs="Arial"/>
              </w:rPr>
            </w:pP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3010DF" w:rsidRDefault="00531623" w:rsidP="00531623">
            <w:pPr>
              <w:jc w:val="center"/>
              <w:rPr>
                <w:rFonts w:cs="Arial"/>
                <w:color w:val="FF0000"/>
              </w:rPr>
            </w:pPr>
          </w:p>
        </w:tc>
        <w:tc>
          <w:tcPr>
            <w:tcW w:w="851" w:type="dxa"/>
            <w:shd w:val="clear" w:color="auto" w:fill="auto"/>
            <w:vAlign w:val="center"/>
          </w:tcPr>
          <w:p w:rsidR="00531623" w:rsidRPr="00BD366E" w:rsidRDefault="00531623" w:rsidP="00531623">
            <w:pPr>
              <w:jc w:val="center"/>
              <w:rPr>
                <w:rFonts w:cs="Arial"/>
              </w:rPr>
            </w:pPr>
            <w:r w:rsidRPr="00BD366E">
              <w:rPr>
                <w:rFonts w:cs="Arial"/>
              </w:rPr>
              <w:t>100</w:t>
            </w:r>
          </w:p>
        </w:tc>
      </w:tr>
      <w:tr w:rsidR="00531623" w:rsidTr="00531623">
        <w:trPr>
          <w:trHeight w:val="680"/>
        </w:trPr>
        <w:tc>
          <w:tcPr>
            <w:tcW w:w="4219" w:type="dxa"/>
            <w:shd w:val="clear" w:color="auto" w:fill="auto"/>
            <w:vAlign w:val="center"/>
          </w:tcPr>
          <w:p w:rsidR="00531623" w:rsidRPr="00E116A6" w:rsidRDefault="00531623" w:rsidP="00531623">
            <w:pPr>
              <w:rPr>
                <w:rFonts w:cs="Arial"/>
              </w:rPr>
            </w:pPr>
            <w:r w:rsidRPr="00E116A6">
              <w:rPr>
                <w:rFonts w:cs="Arial"/>
              </w:rPr>
              <w:t>The issues raised in the audit report and action plan were a fair reflection of the situation.</w:t>
            </w: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536ED9" w:rsidRDefault="00531623" w:rsidP="00531623">
            <w:pPr>
              <w:jc w:val="center"/>
              <w:rPr>
                <w:rFonts w:cs="Arial"/>
              </w:rPr>
            </w:pPr>
          </w:p>
        </w:tc>
        <w:tc>
          <w:tcPr>
            <w:tcW w:w="851" w:type="dxa"/>
            <w:shd w:val="clear" w:color="auto" w:fill="auto"/>
            <w:vAlign w:val="center"/>
          </w:tcPr>
          <w:p w:rsidR="00531623" w:rsidRPr="00536ED9" w:rsidRDefault="00531623" w:rsidP="00531623">
            <w:pPr>
              <w:jc w:val="center"/>
              <w:rPr>
                <w:rFonts w:cs="Arial"/>
              </w:rPr>
            </w:pPr>
          </w:p>
        </w:tc>
        <w:tc>
          <w:tcPr>
            <w:tcW w:w="850" w:type="dxa"/>
            <w:shd w:val="clear" w:color="auto" w:fill="auto"/>
            <w:vAlign w:val="center"/>
          </w:tcPr>
          <w:p w:rsidR="00531623" w:rsidRPr="003010DF" w:rsidRDefault="00531623" w:rsidP="00531623">
            <w:pPr>
              <w:jc w:val="center"/>
              <w:rPr>
                <w:rFonts w:cs="Arial"/>
                <w:color w:val="FF0000"/>
              </w:rPr>
            </w:pPr>
          </w:p>
        </w:tc>
        <w:tc>
          <w:tcPr>
            <w:tcW w:w="851" w:type="dxa"/>
            <w:shd w:val="clear" w:color="auto" w:fill="auto"/>
            <w:vAlign w:val="center"/>
          </w:tcPr>
          <w:p w:rsidR="00531623" w:rsidRPr="00BD366E" w:rsidRDefault="00531623" w:rsidP="00531623">
            <w:pPr>
              <w:jc w:val="center"/>
              <w:rPr>
                <w:rFonts w:cs="Arial"/>
              </w:rPr>
            </w:pPr>
            <w:r w:rsidRPr="00BD366E">
              <w:rPr>
                <w:rFonts w:cs="Arial"/>
              </w:rPr>
              <w:t>100</w:t>
            </w:r>
          </w:p>
        </w:tc>
      </w:tr>
    </w:tbl>
    <w:p w:rsidR="00531623" w:rsidRDefault="00531623" w:rsidP="00531623"/>
    <w:p w:rsidR="00531623" w:rsidRDefault="00531623" w:rsidP="00531623">
      <w:r>
        <w:br w:type="page"/>
      </w:r>
    </w:p>
    <w:p w:rsidR="00531623" w:rsidRPr="00FF4B4A" w:rsidRDefault="00531623" w:rsidP="00531623">
      <w:pPr>
        <w:rPr>
          <w:rFonts w:cs="Arial"/>
          <w:b/>
        </w:rPr>
      </w:pPr>
      <w:r w:rsidRPr="00FF4B4A">
        <w:rPr>
          <w:rFonts w:cs="Arial"/>
          <w:b/>
        </w:rPr>
        <w:lastRenderedPageBreak/>
        <w:t xml:space="preserve">Comments received from </w:t>
      </w:r>
      <w:r>
        <w:rPr>
          <w:rFonts w:cs="Arial"/>
          <w:b/>
        </w:rPr>
        <w:t xml:space="preserve">REC Managers </w:t>
      </w:r>
      <w:r w:rsidRPr="00FF4B4A">
        <w:rPr>
          <w:rFonts w:cs="Arial"/>
          <w:b/>
        </w:rPr>
        <w:t>through the feedback form</w:t>
      </w:r>
    </w:p>
    <w:p w:rsidR="00531623" w:rsidRPr="0096586B" w:rsidRDefault="00531623" w:rsidP="00531623">
      <w:pPr>
        <w:rPr>
          <w:rFonts w:cs="Arial"/>
        </w:rPr>
      </w:pPr>
    </w:p>
    <w:p w:rsidR="00531623" w:rsidRDefault="00531623" w:rsidP="00531623">
      <w:pPr>
        <w:rPr>
          <w:rFonts w:cs="Arial"/>
          <w:b/>
        </w:rPr>
      </w:pPr>
      <w:r>
        <w:rPr>
          <w:rFonts w:cs="Arial"/>
          <w:b/>
        </w:rPr>
        <w:t>REC</w:t>
      </w:r>
      <w:r w:rsidRPr="001A6321">
        <w:rPr>
          <w:rFonts w:cs="Arial"/>
          <w:b/>
        </w:rPr>
        <w:t xml:space="preserve"> 1</w:t>
      </w:r>
    </w:p>
    <w:p w:rsidR="00531623" w:rsidRDefault="00531623" w:rsidP="00531623">
      <w:pPr>
        <w:rPr>
          <w:rFonts w:cs="Arial"/>
        </w:rPr>
      </w:pPr>
    </w:p>
    <w:p w:rsidR="00531623" w:rsidRPr="005A2F07" w:rsidRDefault="00531623" w:rsidP="00531623">
      <w:pPr>
        <w:rPr>
          <w:rFonts w:cs="Arial"/>
          <w:i/>
        </w:rPr>
      </w:pPr>
      <w:r w:rsidRPr="005A2F07">
        <w:rPr>
          <w:rFonts w:cs="Arial"/>
          <w:i/>
        </w:rPr>
        <w:t>Jane Martin made us feel at ease while conducting the interview and carefully explained the process.</w:t>
      </w:r>
    </w:p>
    <w:p w:rsidR="00531623" w:rsidRPr="005A2F07" w:rsidRDefault="00531623" w:rsidP="00531623">
      <w:pPr>
        <w:rPr>
          <w:rFonts w:cs="Arial"/>
          <w:i/>
        </w:rPr>
      </w:pPr>
    </w:p>
    <w:p w:rsidR="00531623" w:rsidRPr="005A2F07" w:rsidRDefault="00531623" w:rsidP="00531623">
      <w:pPr>
        <w:rPr>
          <w:rFonts w:cs="Arial"/>
          <w:i/>
        </w:rPr>
      </w:pPr>
      <w:r w:rsidRPr="005A2F07">
        <w:rPr>
          <w:rFonts w:cs="Arial"/>
          <w:i/>
        </w:rPr>
        <w:t>I thought the order of some of the questions in the checklist could be re-ordered.  Also the formatting of the text where the answers are put was all different so text appeared in different colours, fonts and size.  This may seem minor but would reduce the time taken to complete the checklist.</w:t>
      </w:r>
    </w:p>
    <w:p w:rsidR="00531623" w:rsidRDefault="00531623" w:rsidP="00531623">
      <w:pPr>
        <w:rPr>
          <w:rFonts w:cs="Arial"/>
        </w:rPr>
      </w:pPr>
    </w:p>
    <w:p w:rsidR="00531623" w:rsidRPr="00F74622" w:rsidRDefault="00531623" w:rsidP="00531623">
      <w:pPr>
        <w:rPr>
          <w:rFonts w:cs="Arial"/>
          <w:b/>
        </w:rPr>
      </w:pPr>
      <w:r w:rsidRPr="00F74622">
        <w:rPr>
          <w:rFonts w:cs="Arial"/>
          <w:b/>
        </w:rPr>
        <w:t>REC 2</w:t>
      </w:r>
    </w:p>
    <w:p w:rsidR="00531623" w:rsidRDefault="00531623" w:rsidP="00531623">
      <w:pPr>
        <w:rPr>
          <w:rFonts w:cs="Arial"/>
        </w:rPr>
      </w:pPr>
    </w:p>
    <w:p w:rsidR="00531623" w:rsidRPr="005A2F07" w:rsidRDefault="00531623" w:rsidP="00531623">
      <w:pPr>
        <w:rPr>
          <w:rFonts w:cs="Arial"/>
          <w:i/>
        </w:rPr>
      </w:pPr>
      <w:r w:rsidRPr="005A2F07">
        <w:rPr>
          <w:rFonts w:cs="Arial"/>
          <w:i/>
        </w:rPr>
        <w:t>Thank you very much for the support and feedback.</w:t>
      </w:r>
    </w:p>
    <w:p w:rsidR="00531623" w:rsidRDefault="00531623" w:rsidP="00531623">
      <w:pPr>
        <w:rPr>
          <w:rFonts w:cs="Arial"/>
        </w:rPr>
      </w:pPr>
    </w:p>
    <w:p w:rsidR="00531623" w:rsidRPr="00F74622" w:rsidRDefault="00531623" w:rsidP="00531623">
      <w:pPr>
        <w:rPr>
          <w:rFonts w:cs="Arial"/>
          <w:b/>
        </w:rPr>
      </w:pPr>
      <w:r w:rsidRPr="00F74622">
        <w:rPr>
          <w:rFonts w:cs="Arial"/>
          <w:b/>
        </w:rPr>
        <w:t>REC 3</w:t>
      </w:r>
    </w:p>
    <w:p w:rsidR="00531623" w:rsidRPr="005A2F07" w:rsidRDefault="00531623" w:rsidP="00531623">
      <w:pPr>
        <w:rPr>
          <w:rFonts w:cs="Arial"/>
          <w:i/>
        </w:rPr>
      </w:pPr>
      <w:r w:rsidRPr="005A2F07">
        <w:rPr>
          <w:rFonts w:cs="Arial"/>
          <w:i/>
        </w:rPr>
        <w:t xml:space="preserve">The audit telephone interview was far less harrowing than I thought it might be.  This was probably due to the Regional Manager making the Auditor aware of some background details and the Auditor taking these on board to avoid going over these at the interview. </w:t>
      </w:r>
    </w:p>
    <w:p w:rsidR="00531623" w:rsidRPr="005A2F07" w:rsidRDefault="00531623" w:rsidP="00531623">
      <w:pPr>
        <w:rPr>
          <w:rFonts w:cs="Arial"/>
          <w:i/>
        </w:rPr>
      </w:pPr>
      <w:r w:rsidRPr="005A2F07">
        <w:rPr>
          <w:rFonts w:cs="Arial"/>
          <w:i/>
        </w:rPr>
        <w:t>Please convey my thanks and kind regards to Jane Martin who conducted the audit interview, and explained what would be covered.</w:t>
      </w:r>
    </w:p>
    <w:p w:rsidR="00531623" w:rsidRPr="005A2F07" w:rsidRDefault="00531623" w:rsidP="00531623">
      <w:pPr>
        <w:rPr>
          <w:rFonts w:cs="Arial"/>
          <w:i/>
        </w:rPr>
      </w:pPr>
    </w:p>
    <w:p w:rsidR="00531623" w:rsidRPr="005A2F07" w:rsidRDefault="00531623" w:rsidP="00531623">
      <w:pPr>
        <w:rPr>
          <w:rFonts w:cs="Arial"/>
          <w:i/>
        </w:rPr>
      </w:pPr>
      <w:r w:rsidRPr="005A2F07">
        <w:rPr>
          <w:rFonts w:cs="Arial"/>
          <w:i/>
        </w:rPr>
        <w:t xml:space="preserve">It was very encouraging to receive acknowledgement of work undertaken and praise where it is due, and comments have also been forwarded to the Committee. </w:t>
      </w:r>
    </w:p>
    <w:p w:rsidR="00531623" w:rsidRPr="005A2F07" w:rsidRDefault="00531623" w:rsidP="00531623">
      <w:pPr>
        <w:rPr>
          <w:rFonts w:cs="Arial"/>
          <w:i/>
        </w:rPr>
      </w:pPr>
    </w:p>
    <w:p w:rsidR="00531623" w:rsidRPr="005A2F07" w:rsidRDefault="00531623" w:rsidP="00531623">
      <w:pPr>
        <w:rPr>
          <w:rFonts w:cs="Arial"/>
          <w:i/>
        </w:rPr>
      </w:pPr>
      <w:r w:rsidRPr="005A2F07">
        <w:rPr>
          <w:rFonts w:cs="Arial"/>
          <w:i/>
        </w:rPr>
        <w:t>Perhaps the feedback area could be modified so that the user can indicate the score.  I have used highlighting.</w:t>
      </w:r>
    </w:p>
    <w:p w:rsidR="00531623" w:rsidRDefault="00531623" w:rsidP="00531623">
      <w:pPr>
        <w:rPr>
          <w:rFonts w:cs="Arial"/>
        </w:rPr>
      </w:pPr>
    </w:p>
    <w:p w:rsidR="00531623" w:rsidRPr="00F74622" w:rsidRDefault="00531623" w:rsidP="00531623">
      <w:pPr>
        <w:rPr>
          <w:rFonts w:cs="Arial"/>
          <w:b/>
        </w:rPr>
      </w:pPr>
      <w:r w:rsidRPr="00F74622">
        <w:rPr>
          <w:rFonts w:cs="Arial"/>
          <w:b/>
        </w:rPr>
        <w:t>REC 4</w:t>
      </w:r>
    </w:p>
    <w:p w:rsidR="00531623" w:rsidRDefault="00531623" w:rsidP="00531623">
      <w:pPr>
        <w:rPr>
          <w:rFonts w:cs="Arial"/>
        </w:rPr>
      </w:pPr>
    </w:p>
    <w:p w:rsidR="00531623" w:rsidRPr="005A2F07" w:rsidRDefault="00531623" w:rsidP="00531623">
      <w:pPr>
        <w:rPr>
          <w:rFonts w:cs="Arial"/>
          <w:i/>
        </w:rPr>
      </w:pPr>
      <w:r w:rsidRPr="005A2F07">
        <w:rPr>
          <w:rFonts w:cs="Arial"/>
          <w:i/>
        </w:rPr>
        <w:lastRenderedPageBreak/>
        <w:t>Thank you Jane &amp; Nicki for all the work you have done especially allowing an opportunity to clarify some of the issues post audit. Has helped greatly towards achieving full accreditation.</w:t>
      </w:r>
    </w:p>
    <w:p w:rsidR="00531623" w:rsidRPr="005A2F07" w:rsidRDefault="00531623" w:rsidP="00531623">
      <w:pPr>
        <w:rPr>
          <w:rFonts w:cs="Arial"/>
          <w:i/>
        </w:rPr>
      </w:pPr>
    </w:p>
    <w:p w:rsidR="00531623" w:rsidRPr="005A2F07" w:rsidRDefault="00531623" w:rsidP="00531623">
      <w:pPr>
        <w:rPr>
          <w:rFonts w:cs="Arial"/>
          <w:i/>
        </w:rPr>
      </w:pPr>
      <w:r w:rsidRPr="005A2F07">
        <w:rPr>
          <w:rFonts w:cs="Arial"/>
          <w:i/>
        </w:rPr>
        <w:t>Just a comment. Would it be possible to consider Sub Committee work as part fulfilment of a members expected attendance at meetings in the year? Just like PR?</w:t>
      </w:r>
    </w:p>
    <w:p w:rsidR="00531623" w:rsidRPr="00F74622" w:rsidRDefault="00531623" w:rsidP="00531623">
      <w:pPr>
        <w:rPr>
          <w:rFonts w:cs="Arial"/>
        </w:rPr>
      </w:pPr>
    </w:p>
    <w:p w:rsidR="00531623" w:rsidRDefault="00531623" w:rsidP="00531623">
      <w:pPr>
        <w:rPr>
          <w:rFonts w:cs="Arial"/>
        </w:rPr>
      </w:pPr>
      <w:r>
        <w:br w:type="page"/>
      </w:r>
      <w:r>
        <w:rPr>
          <w:rFonts w:cs="Arial"/>
        </w:rPr>
        <w:lastRenderedPageBreak/>
        <w:t>Appendix 2</w:t>
      </w:r>
    </w:p>
    <w:p w:rsidR="00531623" w:rsidRPr="00525692" w:rsidRDefault="00531623" w:rsidP="00531623"/>
    <w:p w:rsidR="00531623" w:rsidRPr="00525692" w:rsidRDefault="00531623" w:rsidP="00531623">
      <w:pPr>
        <w:pStyle w:val="Header"/>
        <w:ind w:left="-142"/>
        <w:jc w:val="both"/>
        <w:rPr>
          <w:rFonts w:cs="Arial"/>
          <w:b/>
          <w:noProof/>
          <w:sz w:val="24"/>
          <w:szCs w:val="24"/>
        </w:rPr>
      </w:pPr>
      <w:r w:rsidRPr="00525692">
        <w:rPr>
          <w:rFonts w:cs="Arial"/>
          <w:b/>
          <w:noProof/>
          <w:sz w:val="24"/>
          <w:szCs w:val="24"/>
        </w:rPr>
        <w:t xml:space="preserve">Chart detailing data collected relating to accreditation trends </w:t>
      </w:r>
    </w:p>
    <w:tbl>
      <w:tblPr>
        <w:tblpPr w:leftFromText="180" w:rightFromText="180" w:vertAnchor="text" w:horzAnchor="margin" w:tblpXSpec="center" w:tblpY="652"/>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702"/>
        <w:gridCol w:w="1297"/>
        <w:gridCol w:w="1297"/>
        <w:gridCol w:w="1297"/>
      </w:tblGrid>
      <w:tr w:rsidR="00531623" w:rsidRPr="004B5D9F" w:rsidTr="00531623">
        <w:tc>
          <w:tcPr>
            <w:tcW w:w="4702" w:type="dxa"/>
            <w:tcBorders>
              <w:bottom w:val="single" w:sz="4" w:space="0" w:color="auto"/>
            </w:tcBorders>
            <w:shd w:val="clear" w:color="auto" w:fill="B8CCE4"/>
          </w:tcPr>
          <w:p w:rsidR="00531623" w:rsidRPr="004B5D9F" w:rsidRDefault="00531623" w:rsidP="00531623">
            <w:pPr>
              <w:rPr>
                <w:rFonts w:cs="Arial"/>
                <w:b/>
              </w:rPr>
            </w:pPr>
            <w:r w:rsidRPr="004B5D9F">
              <w:rPr>
                <w:rFonts w:cs="Arial"/>
                <w:b/>
              </w:rPr>
              <w:t xml:space="preserve">Category </w:t>
            </w:r>
          </w:p>
        </w:tc>
        <w:tc>
          <w:tcPr>
            <w:tcW w:w="1297" w:type="dxa"/>
            <w:tcBorders>
              <w:bottom w:val="single" w:sz="4" w:space="0" w:color="auto"/>
            </w:tcBorders>
            <w:shd w:val="clear" w:color="auto" w:fill="B8CCE4"/>
          </w:tcPr>
          <w:p w:rsidR="00531623" w:rsidRPr="003263AC" w:rsidRDefault="00531623" w:rsidP="00531623">
            <w:pPr>
              <w:rPr>
                <w:rFonts w:cs="Arial"/>
                <w:b/>
              </w:rPr>
            </w:pPr>
            <w:r w:rsidRPr="003263AC">
              <w:rPr>
                <w:rFonts w:cs="Arial"/>
                <w:b/>
              </w:rPr>
              <w:t>Apr 2014 – Sep 2014 (31 issues</w:t>
            </w:r>
            <w:r>
              <w:rPr>
                <w:rFonts w:cs="Arial"/>
                <w:b/>
              </w:rPr>
              <w:t xml:space="preserve"> </w:t>
            </w:r>
            <w:r w:rsidRPr="003263AC">
              <w:rPr>
                <w:rFonts w:cs="Arial"/>
                <w:b/>
              </w:rPr>
              <w:t>/</w:t>
            </w:r>
            <w:r>
              <w:rPr>
                <w:rFonts w:cs="Arial"/>
                <w:b/>
              </w:rPr>
              <w:t xml:space="preserve"> </w:t>
            </w:r>
            <w:r w:rsidRPr="003263AC">
              <w:rPr>
                <w:rFonts w:cs="Arial"/>
                <w:b/>
              </w:rPr>
              <w:t>11 RECs)</w:t>
            </w:r>
          </w:p>
          <w:p w:rsidR="00531623" w:rsidRPr="00726D5A" w:rsidRDefault="00531623" w:rsidP="00531623">
            <w:pPr>
              <w:rPr>
                <w:rFonts w:cs="Arial"/>
                <w:b/>
              </w:rPr>
            </w:pPr>
            <w:r w:rsidRPr="003263AC">
              <w:rPr>
                <w:rFonts w:cs="Arial"/>
                <w:b/>
              </w:rPr>
              <w:t>%</w:t>
            </w:r>
          </w:p>
        </w:tc>
        <w:tc>
          <w:tcPr>
            <w:tcW w:w="1297" w:type="dxa"/>
            <w:tcBorders>
              <w:bottom w:val="single" w:sz="4" w:space="0" w:color="auto"/>
            </w:tcBorders>
            <w:shd w:val="clear" w:color="auto" w:fill="B8CCE4"/>
          </w:tcPr>
          <w:p w:rsidR="00531623" w:rsidRPr="005D0512" w:rsidRDefault="00531623" w:rsidP="00531623">
            <w:pPr>
              <w:rPr>
                <w:rFonts w:cs="Arial"/>
                <w:b/>
              </w:rPr>
            </w:pPr>
            <w:r>
              <w:rPr>
                <w:rFonts w:cs="Arial"/>
                <w:b/>
              </w:rPr>
              <w:t xml:space="preserve">Oct </w:t>
            </w:r>
            <w:r w:rsidRPr="005D0512">
              <w:rPr>
                <w:rFonts w:cs="Arial"/>
                <w:b/>
              </w:rPr>
              <w:t xml:space="preserve">2014 – </w:t>
            </w:r>
            <w:r>
              <w:rPr>
                <w:rFonts w:cs="Arial"/>
                <w:b/>
              </w:rPr>
              <w:t>Mar</w:t>
            </w:r>
            <w:r w:rsidRPr="005D0512">
              <w:rPr>
                <w:rFonts w:cs="Arial"/>
                <w:b/>
              </w:rPr>
              <w:t xml:space="preserve"> 201</w:t>
            </w:r>
            <w:r>
              <w:rPr>
                <w:rFonts w:cs="Arial"/>
                <w:b/>
              </w:rPr>
              <w:t>5</w:t>
            </w:r>
            <w:r w:rsidRPr="005D0512">
              <w:rPr>
                <w:rFonts w:cs="Arial"/>
                <w:b/>
              </w:rPr>
              <w:t xml:space="preserve"> (1</w:t>
            </w:r>
            <w:r>
              <w:rPr>
                <w:rFonts w:cs="Arial"/>
                <w:b/>
              </w:rPr>
              <w:t>9</w:t>
            </w:r>
            <w:r w:rsidRPr="005D0512">
              <w:rPr>
                <w:rFonts w:cs="Arial"/>
                <w:b/>
              </w:rPr>
              <w:t xml:space="preserve"> issues</w:t>
            </w:r>
            <w:r>
              <w:rPr>
                <w:rFonts w:cs="Arial"/>
                <w:b/>
              </w:rPr>
              <w:t xml:space="preserve"> </w:t>
            </w:r>
            <w:r w:rsidRPr="005D0512">
              <w:rPr>
                <w:rFonts w:cs="Arial"/>
                <w:b/>
              </w:rPr>
              <w:t>/</w:t>
            </w:r>
            <w:r>
              <w:rPr>
                <w:rFonts w:cs="Arial"/>
                <w:b/>
              </w:rPr>
              <w:t xml:space="preserve"> </w:t>
            </w:r>
            <w:r w:rsidRPr="005D0512">
              <w:rPr>
                <w:rFonts w:cs="Arial"/>
                <w:b/>
              </w:rPr>
              <w:t>1</w:t>
            </w:r>
            <w:r>
              <w:rPr>
                <w:rFonts w:cs="Arial"/>
                <w:b/>
              </w:rPr>
              <w:t>4</w:t>
            </w:r>
            <w:r w:rsidRPr="005D0512">
              <w:rPr>
                <w:rFonts w:cs="Arial"/>
                <w:b/>
              </w:rPr>
              <w:t xml:space="preserve"> RECs)</w:t>
            </w:r>
          </w:p>
          <w:p w:rsidR="00531623" w:rsidRPr="00726D5A" w:rsidRDefault="00531623" w:rsidP="00531623">
            <w:pPr>
              <w:rPr>
                <w:rFonts w:cs="Arial"/>
                <w:b/>
              </w:rPr>
            </w:pPr>
            <w:r w:rsidRPr="005D0512">
              <w:rPr>
                <w:rFonts w:cs="Arial"/>
                <w:b/>
              </w:rPr>
              <w:t>%</w:t>
            </w:r>
          </w:p>
        </w:tc>
        <w:tc>
          <w:tcPr>
            <w:tcW w:w="1297" w:type="dxa"/>
            <w:tcBorders>
              <w:bottom w:val="single" w:sz="4" w:space="0" w:color="auto"/>
            </w:tcBorders>
            <w:shd w:val="clear" w:color="auto" w:fill="B8CCE4"/>
          </w:tcPr>
          <w:p w:rsidR="00531623" w:rsidRDefault="00531623" w:rsidP="00531623">
            <w:pPr>
              <w:rPr>
                <w:rFonts w:cs="Arial"/>
                <w:b/>
              </w:rPr>
            </w:pPr>
            <w:r>
              <w:rPr>
                <w:rFonts w:cs="Arial"/>
                <w:b/>
              </w:rPr>
              <w:t>Apr 2015 – Sep 2015 (11 issues / 14 RECs)</w:t>
            </w:r>
          </w:p>
          <w:p w:rsidR="00531623" w:rsidRPr="00726D5A" w:rsidRDefault="00531623" w:rsidP="00531623">
            <w:pPr>
              <w:rPr>
                <w:rFonts w:cs="Arial"/>
                <w:b/>
              </w:rPr>
            </w:pPr>
            <w:r>
              <w:rPr>
                <w:rFonts w:cs="Arial"/>
                <w:b/>
              </w:rPr>
              <w:t>%</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Membership</w:t>
            </w:r>
          </w:p>
          <w:p w:rsidR="00531623" w:rsidRPr="004B5D9F" w:rsidRDefault="00531623" w:rsidP="00531623">
            <w:pPr>
              <w:rPr>
                <w:rFonts w:cs="Arial"/>
                <w:b/>
              </w:rPr>
            </w:pPr>
            <w:r w:rsidRPr="004B5D9F">
              <w:rPr>
                <w:rFonts w:cs="Arial"/>
                <w:b/>
              </w:rPr>
              <w:t xml:space="preserve">Indemnity </w:t>
            </w:r>
          </w:p>
        </w:tc>
        <w:tc>
          <w:tcPr>
            <w:tcW w:w="1297" w:type="dxa"/>
          </w:tcPr>
          <w:p w:rsidR="00531623" w:rsidRPr="003263AC" w:rsidRDefault="00531623" w:rsidP="00531623">
            <w:pPr>
              <w:jc w:val="center"/>
              <w:rPr>
                <w:rFonts w:cs="Arial"/>
              </w:rPr>
            </w:pPr>
            <w:r w:rsidRPr="003263AC">
              <w:rPr>
                <w:rFonts w:cs="Arial"/>
              </w:rPr>
              <w:t>6</w:t>
            </w:r>
          </w:p>
        </w:tc>
        <w:tc>
          <w:tcPr>
            <w:tcW w:w="1297" w:type="dxa"/>
          </w:tcPr>
          <w:p w:rsidR="00531623" w:rsidRPr="003263AC" w:rsidRDefault="00531623" w:rsidP="00531623">
            <w:pPr>
              <w:jc w:val="center"/>
              <w:rPr>
                <w:rFonts w:cs="Arial"/>
              </w:rPr>
            </w:pPr>
            <w:r w:rsidRPr="003263AC">
              <w:rPr>
                <w:rFonts w:cs="Arial"/>
              </w:rPr>
              <w:t>0</w:t>
            </w:r>
          </w:p>
        </w:tc>
        <w:tc>
          <w:tcPr>
            <w:tcW w:w="1297" w:type="dxa"/>
          </w:tcPr>
          <w:p w:rsidR="00531623" w:rsidRPr="003263AC" w:rsidRDefault="00531623" w:rsidP="00531623">
            <w:pPr>
              <w:jc w:val="center"/>
              <w:rPr>
                <w:rFonts w:cs="Arial"/>
              </w:rPr>
            </w:pPr>
            <w:r>
              <w:rPr>
                <w:rFonts w:cs="Arial"/>
              </w:rPr>
              <w:t>18</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Membership</w:t>
            </w:r>
          </w:p>
          <w:p w:rsidR="00531623" w:rsidRPr="004B5D9F" w:rsidRDefault="00531623" w:rsidP="00531623">
            <w:pPr>
              <w:rPr>
                <w:rFonts w:cs="Arial"/>
                <w:b/>
              </w:rPr>
            </w:pPr>
            <w:r w:rsidRPr="004B5D9F">
              <w:rPr>
                <w:rFonts w:cs="Arial"/>
                <w:b/>
              </w:rPr>
              <w:t>Training</w:t>
            </w:r>
          </w:p>
        </w:tc>
        <w:tc>
          <w:tcPr>
            <w:tcW w:w="1297" w:type="dxa"/>
          </w:tcPr>
          <w:p w:rsidR="00531623" w:rsidRPr="003263AC" w:rsidRDefault="00531623" w:rsidP="00531623">
            <w:pPr>
              <w:jc w:val="center"/>
              <w:rPr>
                <w:rFonts w:cs="Arial"/>
              </w:rPr>
            </w:pPr>
            <w:r w:rsidRPr="003263AC">
              <w:rPr>
                <w:rFonts w:cs="Arial"/>
              </w:rPr>
              <w:t>6</w:t>
            </w:r>
          </w:p>
        </w:tc>
        <w:tc>
          <w:tcPr>
            <w:tcW w:w="1297" w:type="dxa"/>
          </w:tcPr>
          <w:p w:rsidR="00531623" w:rsidRPr="003263AC" w:rsidRDefault="00531623" w:rsidP="00531623">
            <w:pPr>
              <w:jc w:val="center"/>
              <w:rPr>
                <w:rFonts w:cs="Arial"/>
              </w:rPr>
            </w:pPr>
            <w:r w:rsidRPr="003263AC">
              <w:rPr>
                <w:rFonts w:cs="Arial"/>
              </w:rPr>
              <w:t>24</w:t>
            </w:r>
          </w:p>
        </w:tc>
        <w:tc>
          <w:tcPr>
            <w:tcW w:w="1297" w:type="dxa"/>
          </w:tcPr>
          <w:p w:rsidR="00531623" w:rsidRPr="003263AC" w:rsidRDefault="00531623" w:rsidP="00531623">
            <w:pPr>
              <w:jc w:val="center"/>
              <w:rPr>
                <w:rFonts w:cs="Arial"/>
              </w:rPr>
            </w:pPr>
            <w:r>
              <w:rPr>
                <w:rFonts w:cs="Arial"/>
              </w:rPr>
              <w:t>0</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Membership</w:t>
            </w:r>
          </w:p>
          <w:p w:rsidR="00531623" w:rsidRPr="004B5D9F" w:rsidRDefault="00531623" w:rsidP="00531623">
            <w:pPr>
              <w:rPr>
                <w:rFonts w:cs="Arial"/>
                <w:b/>
              </w:rPr>
            </w:pPr>
            <w:r w:rsidRPr="004B5D9F">
              <w:rPr>
                <w:rFonts w:cs="Arial"/>
                <w:b/>
              </w:rPr>
              <w:t>attendance</w:t>
            </w:r>
          </w:p>
        </w:tc>
        <w:tc>
          <w:tcPr>
            <w:tcW w:w="1297" w:type="dxa"/>
          </w:tcPr>
          <w:p w:rsidR="00531623" w:rsidRPr="003263AC" w:rsidRDefault="00531623" w:rsidP="00531623">
            <w:pPr>
              <w:jc w:val="center"/>
              <w:rPr>
                <w:rFonts w:cs="Arial"/>
              </w:rPr>
            </w:pPr>
            <w:r w:rsidRPr="003263AC">
              <w:rPr>
                <w:rFonts w:cs="Arial"/>
              </w:rPr>
              <w:t>4</w:t>
            </w:r>
          </w:p>
        </w:tc>
        <w:tc>
          <w:tcPr>
            <w:tcW w:w="1297" w:type="dxa"/>
          </w:tcPr>
          <w:p w:rsidR="00531623" w:rsidRPr="003263AC" w:rsidRDefault="00531623" w:rsidP="00531623">
            <w:pPr>
              <w:jc w:val="center"/>
              <w:rPr>
                <w:rFonts w:cs="Arial"/>
              </w:rPr>
            </w:pPr>
            <w:r w:rsidRPr="003263AC">
              <w:rPr>
                <w:rFonts w:cs="Arial"/>
              </w:rPr>
              <w:t>9</w:t>
            </w:r>
          </w:p>
        </w:tc>
        <w:tc>
          <w:tcPr>
            <w:tcW w:w="1297" w:type="dxa"/>
          </w:tcPr>
          <w:p w:rsidR="00531623" w:rsidRPr="003263AC" w:rsidRDefault="00531623" w:rsidP="00531623">
            <w:pPr>
              <w:jc w:val="center"/>
              <w:rPr>
                <w:rFonts w:cs="Arial"/>
              </w:rPr>
            </w:pPr>
            <w:r>
              <w:rPr>
                <w:rFonts w:cs="Arial"/>
              </w:rPr>
              <w:t>0</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Membership</w:t>
            </w:r>
          </w:p>
          <w:p w:rsidR="00531623" w:rsidRPr="004B5D9F" w:rsidRDefault="00531623" w:rsidP="00531623">
            <w:pPr>
              <w:rPr>
                <w:rFonts w:cs="Arial"/>
                <w:b/>
              </w:rPr>
            </w:pPr>
            <w:r w:rsidRPr="004B5D9F">
              <w:rPr>
                <w:rFonts w:cs="Arial"/>
                <w:b/>
              </w:rPr>
              <w:t>Constitution</w:t>
            </w:r>
          </w:p>
        </w:tc>
        <w:tc>
          <w:tcPr>
            <w:tcW w:w="1297" w:type="dxa"/>
          </w:tcPr>
          <w:p w:rsidR="00531623" w:rsidRPr="003263AC" w:rsidRDefault="00531623" w:rsidP="00531623">
            <w:pPr>
              <w:jc w:val="center"/>
              <w:rPr>
                <w:rFonts w:cs="Arial"/>
              </w:rPr>
            </w:pPr>
            <w:r w:rsidRPr="003263AC">
              <w:rPr>
                <w:rFonts w:cs="Arial"/>
              </w:rPr>
              <w:t>10</w:t>
            </w:r>
          </w:p>
        </w:tc>
        <w:tc>
          <w:tcPr>
            <w:tcW w:w="1297" w:type="dxa"/>
          </w:tcPr>
          <w:p w:rsidR="00531623" w:rsidRPr="003263AC" w:rsidRDefault="00531623" w:rsidP="00531623">
            <w:pPr>
              <w:jc w:val="center"/>
              <w:rPr>
                <w:rFonts w:cs="Arial"/>
              </w:rPr>
            </w:pPr>
            <w:r w:rsidRPr="003263AC">
              <w:rPr>
                <w:rFonts w:cs="Arial"/>
              </w:rPr>
              <w:t>14</w:t>
            </w:r>
          </w:p>
        </w:tc>
        <w:tc>
          <w:tcPr>
            <w:tcW w:w="1297" w:type="dxa"/>
          </w:tcPr>
          <w:p w:rsidR="00531623" w:rsidRPr="003263AC" w:rsidRDefault="00531623" w:rsidP="00531623">
            <w:pPr>
              <w:jc w:val="center"/>
              <w:rPr>
                <w:rFonts w:cs="Arial"/>
              </w:rPr>
            </w:pPr>
            <w:r>
              <w:rPr>
                <w:rFonts w:cs="Arial"/>
              </w:rPr>
              <w:t>0</w:t>
            </w:r>
          </w:p>
        </w:tc>
      </w:tr>
      <w:tr w:rsidR="00531623" w:rsidRPr="004B5D9F" w:rsidTr="00531623">
        <w:tc>
          <w:tcPr>
            <w:tcW w:w="4702" w:type="dxa"/>
            <w:shd w:val="clear" w:color="auto" w:fill="B8CCE4"/>
          </w:tcPr>
          <w:p w:rsidR="00531623" w:rsidRDefault="00531623" w:rsidP="00531623">
            <w:pPr>
              <w:rPr>
                <w:rFonts w:cs="Arial"/>
                <w:b/>
              </w:rPr>
            </w:pPr>
            <w:r>
              <w:rPr>
                <w:rFonts w:cs="Arial"/>
                <w:b/>
              </w:rPr>
              <w:t>Membership</w:t>
            </w:r>
          </w:p>
          <w:p w:rsidR="00531623" w:rsidRPr="004B5D9F" w:rsidRDefault="00531623" w:rsidP="00531623">
            <w:pPr>
              <w:rPr>
                <w:rFonts w:cs="Arial"/>
                <w:b/>
              </w:rPr>
            </w:pPr>
            <w:r>
              <w:rPr>
                <w:rFonts w:cs="Arial"/>
                <w:b/>
              </w:rPr>
              <w:t>Recruitment</w:t>
            </w:r>
          </w:p>
        </w:tc>
        <w:tc>
          <w:tcPr>
            <w:tcW w:w="1297" w:type="dxa"/>
          </w:tcPr>
          <w:p w:rsidR="00531623" w:rsidRPr="003263AC" w:rsidRDefault="00531623" w:rsidP="00531623">
            <w:pPr>
              <w:jc w:val="center"/>
              <w:rPr>
                <w:rFonts w:cs="Arial"/>
              </w:rPr>
            </w:pPr>
            <w:r w:rsidRPr="003263AC">
              <w:rPr>
                <w:rFonts w:cs="Arial"/>
              </w:rPr>
              <w:t>6</w:t>
            </w:r>
          </w:p>
        </w:tc>
        <w:tc>
          <w:tcPr>
            <w:tcW w:w="1297" w:type="dxa"/>
            <w:shd w:val="clear" w:color="auto" w:fill="auto"/>
          </w:tcPr>
          <w:p w:rsidR="00531623" w:rsidRPr="003263AC" w:rsidRDefault="00531623" w:rsidP="00531623">
            <w:pPr>
              <w:jc w:val="center"/>
              <w:rPr>
                <w:rFonts w:cs="Arial"/>
              </w:rPr>
            </w:pPr>
            <w:r w:rsidRPr="003263AC">
              <w:rPr>
                <w:rFonts w:cs="Arial"/>
              </w:rPr>
              <w:t>0</w:t>
            </w:r>
          </w:p>
        </w:tc>
        <w:tc>
          <w:tcPr>
            <w:tcW w:w="1297" w:type="dxa"/>
          </w:tcPr>
          <w:p w:rsidR="00531623" w:rsidRPr="003263AC" w:rsidRDefault="00531623" w:rsidP="00531623">
            <w:pPr>
              <w:jc w:val="center"/>
              <w:rPr>
                <w:rFonts w:cs="Arial"/>
              </w:rPr>
            </w:pPr>
            <w:r>
              <w:rPr>
                <w:rFonts w:cs="Arial"/>
              </w:rPr>
              <w:t>0</w:t>
            </w:r>
          </w:p>
        </w:tc>
      </w:tr>
      <w:tr w:rsidR="00531623" w:rsidRPr="004B5D9F" w:rsidTr="00531623">
        <w:tc>
          <w:tcPr>
            <w:tcW w:w="4702" w:type="dxa"/>
            <w:shd w:val="clear" w:color="auto" w:fill="B8CCE4"/>
          </w:tcPr>
          <w:p w:rsidR="00531623" w:rsidRPr="004B5D9F" w:rsidRDefault="00531623" w:rsidP="00531623">
            <w:pPr>
              <w:rPr>
                <w:rFonts w:cs="Arial"/>
                <w:b/>
              </w:rPr>
            </w:pPr>
          </w:p>
        </w:tc>
        <w:tc>
          <w:tcPr>
            <w:tcW w:w="1297" w:type="dxa"/>
            <w:shd w:val="clear" w:color="auto" w:fill="B8CCE4"/>
          </w:tcPr>
          <w:p w:rsidR="00531623" w:rsidRPr="003263AC" w:rsidRDefault="00531623" w:rsidP="00531623">
            <w:pPr>
              <w:jc w:val="center"/>
              <w:rPr>
                <w:rFonts w:cs="Arial"/>
                <w:b/>
              </w:rPr>
            </w:pPr>
            <w:r w:rsidRPr="003263AC">
              <w:rPr>
                <w:rFonts w:cs="Arial"/>
                <w:b/>
              </w:rPr>
              <w:t>32</w:t>
            </w:r>
          </w:p>
        </w:tc>
        <w:tc>
          <w:tcPr>
            <w:tcW w:w="1297" w:type="dxa"/>
            <w:shd w:val="clear" w:color="auto" w:fill="B8CCE4"/>
          </w:tcPr>
          <w:p w:rsidR="00531623" w:rsidRPr="003263AC" w:rsidRDefault="00531623" w:rsidP="00531623">
            <w:pPr>
              <w:jc w:val="center"/>
              <w:rPr>
                <w:rFonts w:cs="Arial"/>
                <w:b/>
              </w:rPr>
            </w:pPr>
            <w:r w:rsidRPr="003263AC">
              <w:rPr>
                <w:rFonts w:cs="Arial"/>
                <w:b/>
              </w:rPr>
              <w:t>47</w:t>
            </w:r>
          </w:p>
        </w:tc>
        <w:tc>
          <w:tcPr>
            <w:tcW w:w="1297" w:type="dxa"/>
            <w:shd w:val="clear" w:color="auto" w:fill="B8CCE4"/>
          </w:tcPr>
          <w:p w:rsidR="00531623" w:rsidRPr="003263AC" w:rsidRDefault="00531623" w:rsidP="00531623">
            <w:pPr>
              <w:jc w:val="center"/>
              <w:rPr>
                <w:rFonts w:cs="Arial"/>
                <w:b/>
              </w:rPr>
            </w:pPr>
            <w:r>
              <w:rPr>
                <w:rFonts w:cs="Arial"/>
                <w:b/>
              </w:rPr>
              <w:t>18</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Administration</w:t>
            </w:r>
          </w:p>
          <w:p w:rsidR="00531623" w:rsidRPr="004B5D9F" w:rsidRDefault="00531623" w:rsidP="00531623">
            <w:pPr>
              <w:rPr>
                <w:rFonts w:cs="Arial"/>
                <w:b/>
              </w:rPr>
            </w:pPr>
            <w:r w:rsidRPr="004B5D9F">
              <w:rPr>
                <w:rFonts w:cs="Arial"/>
                <w:b/>
              </w:rPr>
              <w:t>SOPs/processes</w:t>
            </w:r>
          </w:p>
        </w:tc>
        <w:tc>
          <w:tcPr>
            <w:tcW w:w="1297" w:type="dxa"/>
          </w:tcPr>
          <w:p w:rsidR="00531623" w:rsidRPr="003263AC" w:rsidRDefault="00531623" w:rsidP="00531623">
            <w:pPr>
              <w:jc w:val="center"/>
              <w:rPr>
                <w:rFonts w:cs="Arial"/>
              </w:rPr>
            </w:pPr>
            <w:r w:rsidRPr="003263AC">
              <w:rPr>
                <w:rFonts w:cs="Arial"/>
              </w:rPr>
              <w:t>26</w:t>
            </w:r>
          </w:p>
        </w:tc>
        <w:tc>
          <w:tcPr>
            <w:tcW w:w="1297" w:type="dxa"/>
          </w:tcPr>
          <w:p w:rsidR="00531623" w:rsidRPr="003263AC" w:rsidRDefault="00531623" w:rsidP="00531623">
            <w:pPr>
              <w:jc w:val="center"/>
              <w:rPr>
                <w:rFonts w:cs="Arial"/>
              </w:rPr>
            </w:pPr>
            <w:r w:rsidRPr="003263AC">
              <w:rPr>
                <w:rFonts w:cs="Arial"/>
              </w:rPr>
              <w:t>5</w:t>
            </w:r>
          </w:p>
        </w:tc>
        <w:tc>
          <w:tcPr>
            <w:tcW w:w="1297" w:type="dxa"/>
          </w:tcPr>
          <w:p w:rsidR="00531623" w:rsidRPr="003263AC" w:rsidRDefault="00531623" w:rsidP="00531623">
            <w:pPr>
              <w:jc w:val="center"/>
              <w:rPr>
                <w:rFonts w:cs="Arial"/>
              </w:rPr>
            </w:pPr>
            <w:r>
              <w:rPr>
                <w:rFonts w:cs="Arial"/>
              </w:rPr>
              <w:t>18</w:t>
            </w:r>
          </w:p>
        </w:tc>
      </w:tr>
      <w:tr w:rsidR="00531623" w:rsidRPr="004B5D9F" w:rsidTr="00531623">
        <w:tc>
          <w:tcPr>
            <w:tcW w:w="4702" w:type="dxa"/>
            <w:shd w:val="clear" w:color="auto" w:fill="B8CCE4"/>
          </w:tcPr>
          <w:p w:rsidR="00531623" w:rsidRPr="004B5D9F" w:rsidRDefault="00531623" w:rsidP="00531623">
            <w:pPr>
              <w:rPr>
                <w:rFonts w:cs="Arial"/>
                <w:b/>
              </w:rPr>
            </w:pPr>
            <w:r>
              <w:rPr>
                <w:rFonts w:cs="Arial"/>
                <w:b/>
              </w:rPr>
              <w:t>Administration HARP</w:t>
            </w:r>
          </w:p>
        </w:tc>
        <w:tc>
          <w:tcPr>
            <w:tcW w:w="1297" w:type="dxa"/>
          </w:tcPr>
          <w:p w:rsidR="00531623" w:rsidRPr="003263AC" w:rsidRDefault="00531623" w:rsidP="00531623">
            <w:pPr>
              <w:jc w:val="center"/>
              <w:rPr>
                <w:rFonts w:cs="Arial"/>
              </w:rPr>
            </w:pPr>
            <w:r w:rsidRPr="003263AC">
              <w:rPr>
                <w:rFonts w:cs="Arial"/>
              </w:rPr>
              <w:t>16</w:t>
            </w:r>
          </w:p>
        </w:tc>
        <w:tc>
          <w:tcPr>
            <w:tcW w:w="1297" w:type="dxa"/>
          </w:tcPr>
          <w:p w:rsidR="00531623" w:rsidRPr="003263AC" w:rsidRDefault="00531623" w:rsidP="00531623">
            <w:pPr>
              <w:jc w:val="center"/>
              <w:rPr>
                <w:rFonts w:cs="Arial"/>
              </w:rPr>
            </w:pPr>
            <w:r w:rsidRPr="003263AC">
              <w:rPr>
                <w:rFonts w:cs="Arial"/>
              </w:rPr>
              <w:t>5</w:t>
            </w:r>
          </w:p>
        </w:tc>
        <w:tc>
          <w:tcPr>
            <w:tcW w:w="1297" w:type="dxa"/>
          </w:tcPr>
          <w:p w:rsidR="00531623" w:rsidRPr="003263AC" w:rsidRDefault="00531623" w:rsidP="00531623">
            <w:pPr>
              <w:jc w:val="center"/>
              <w:rPr>
                <w:rFonts w:cs="Arial"/>
              </w:rPr>
            </w:pPr>
            <w:r>
              <w:rPr>
                <w:rFonts w:cs="Arial"/>
              </w:rPr>
              <w:t>18</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Administration Minutes/letters</w:t>
            </w:r>
          </w:p>
        </w:tc>
        <w:tc>
          <w:tcPr>
            <w:tcW w:w="1297" w:type="dxa"/>
          </w:tcPr>
          <w:p w:rsidR="00531623" w:rsidRPr="003263AC" w:rsidRDefault="00531623" w:rsidP="00531623">
            <w:pPr>
              <w:jc w:val="center"/>
              <w:rPr>
                <w:rFonts w:cs="Arial"/>
              </w:rPr>
            </w:pPr>
            <w:r w:rsidRPr="003263AC">
              <w:rPr>
                <w:rFonts w:cs="Arial"/>
              </w:rPr>
              <w:t>10</w:t>
            </w:r>
          </w:p>
        </w:tc>
        <w:tc>
          <w:tcPr>
            <w:tcW w:w="1297" w:type="dxa"/>
          </w:tcPr>
          <w:p w:rsidR="00531623" w:rsidRPr="003263AC" w:rsidRDefault="00531623" w:rsidP="00531623">
            <w:pPr>
              <w:jc w:val="center"/>
              <w:rPr>
                <w:rFonts w:cs="Arial"/>
              </w:rPr>
            </w:pPr>
            <w:r w:rsidRPr="003263AC">
              <w:rPr>
                <w:rFonts w:cs="Arial"/>
              </w:rPr>
              <w:t>24</w:t>
            </w:r>
          </w:p>
        </w:tc>
        <w:tc>
          <w:tcPr>
            <w:tcW w:w="1297" w:type="dxa"/>
          </w:tcPr>
          <w:p w:rsidR="00531623" w:rsidRPr="003263AC" w:rsidRDefault="00531623" w:rsidP="00531623">
            <w:pPr>
              <w:jc w:val="center"/>
              <w:rPr>
                <w:rFonts w:cs="Arial"/>
              </w:rPr>
            </w:pPr>
            <w:r>
              <w:rPr>
                <w:rFonts w:cs="Arial"/>
              </w:rPr>
              <w:t>18</w:t>
            </w:r>
          </w:p>
        </w:tc>
      </w:tr>
      <w:tr w:rsidR="00531623" w:rsidRPr="004B5D9F" w:rsidTr="00531623">
        <w:tc>
          <w:tcPr>
            <w:tcW w:w="4702" w:type="dxa"/>
            <w:shd w:val="clear" w:color="auto" w:fill="B8CCE4"/>
          </w:tcPr>
          <w:p w:rsidR="00531623" w:rsidRPr="004B5D9F" w:rsidRDefault="00531623" w:rsidP="00531623">
            <w:pPr>
              <w:rPr>
                <w:rFonts w:cs="Arial"/>
                <w:b/>
              </w:rPr>
            </w:pPr>
            <w:r w:rsidRPr="004B5D9F">
              <w:rPr>
                <w:rFonts w:cs="Arial"/>
                <w:b/>
              </w:rPr>
              <w:t xml:space="preserve">Administration Timelines </w:t>
            </w:r>
          </w:p>
        </w:tc>
        <w:tc>
          <w:tcPr>
            <w:tcW w:w="1297" w:type="dxa"/>
          </w:tcPr>
          <w:p w:rsidR="00531623" w:rsidRPr="003263AC" w:rsidRDefault="00531623" w:rsidP="00531623">
            <w:pPr>
              <w:jc w:val="center"/>
              <w:rPr>
                <w:rFonts w:cs="Arial"/>
              </w:rPr>
            </w:pPr>
            <w:r w:rsidRPr="003263AC">
              <w:rPr>
                <w:rFonts w:cs="Arial"/>
              </w:rPr>
              <w:t>6</w:t>
            </w:r>
          </w:p>
        </w:tc>
        <w:tc>
          <w:tcPr>
            <w:tcW w:w="1297" w:type="dxa"/>
          </w:tcPr>
          <w:p w:rsidR="00531623" w:rsidRPr="003263AC" w:rsidRDefault="00531623" w:rsidP="00531623">
            <w:pPr>
              <w:jc w:val="center"/>
              <w:rPr>
                <w:rFonts w:cs="Arial"/>
              </w:rPr>
            </w:pPr>
            <w:r w:rsidRPr="003263AC">
              <w:rPr>
                <w:rFonts w:cs="Arial"/>
              </w:rPr>
              <w:t>19</w:t>
            </w:r>
          </w:p>
        </w:tc>
        <w:tc>
          <w:tcPr>
            <w:tcW w:w="1297" w:type="dxa"/>
          </w:tcPr>
          <w:p w:rsidR="00531623" w:rsidRPr="003263AC" w:rsidRDefault="00531623" w:rsidP="00531623">
            <w:pPr>
              <w:jc w:val="center"/>
              <w:rPr>
                <w:rFonts w:cs="Arial"/>
              </w:rPr>
            </w:pPr>
            <w:r>
              <w:rPr>
                <w:rFonts w:cs="Arial"/>
              </w:rPr>
              <w:t>28</w:t>
            </w:r>
          </w:p>
        </w:tc>
      </w:tr>
      <w:tr w:rsidR="00531623" w:rsidRPr="004B5D9F" w:rsidTr="00531623">
        <w:tc>
          <w:tcPr>
            <w:tcW w:w="4702" w:type="dxa"/>
            <w:shd w:val="clear" w:color="auto" w:fill="B8CCE4"/>
          </w:tcPr>
          <w:p w:rsidR="00531623" w:rsidRPr="004B5D9F" w:rsidRDefault="00531623" w:rsidP="00531623">
            <w:pPr>
              <w:rPr>
                <w:rFonts w:cs="Arial"/>
                <w:b/>
              </w:rPr>
            </w:pPr>
            <w:r>
              <w:rPr>
                <w:rFonts w:cs="Arial"/>
                <w:b/>
              </w:rPr>
              <w:t>Other</w:t>
            </w:r>
          </w:p>
        </w:tc>
        <w:tc>
          <w:tcPr>
            <w:tcW w:w="1297" w:type="dxa"/>
          </w:tcPr>
          <w:p w:rsidR="00531623" w:rsidRPr="003263AC" w:rsidRDefault="00531623" w:rsidP="00531623">
            <w:pPr>
              <w:jc w:val="center"/>
              <w:rPr>
                <w:rFonts w:cs="Arial"/>
              </w:rPr>
            </w:pPr>
            <w:r w:rsidRPr="003263AC">
              <w:rPr>
                <w:rFonts w:cs="Arial"/>
              </w:rPr>
              <w:t>10</w:t>
            </w:r>
          </w:p>
        </w:tc>
        <w:tc>
          <w:tcPr>
            <w:tcW w:w="1297" w:type="dxa"/>
          </w:tcPr>
          <w:p w:rsidR="00531623" w:rsidRPr="003263AC" w:rsidRDefault="00531623" w:rsidP="00531623">
            <w:pPr>
              <w:jc w:val="center"/>
              <w:rPr>
                <w:rFonts w:cs="Arial"/>
              </w:rPr>
            </w:pPr>
            <w:r w:rsidRPr="003263AC">
              <w:rPr>
                <w:rFonts w:cs="Arial"/>
              </w:rPr>
              <w:t>0</w:t>
            </w:r>
          </w:p>
        </w:tc>
        <w:tc>
          <w:tcPr>
            <w:tcW w:w="1297" w:type="dxa"/>
          </w:tcPr>
          <w:p w:rsidR="00531623" w:rsidRPr="003263AC" w:rsidRDefault="00531623" w:rsidP="00531623">
            <w:pPr>
              <w:jc w:val="center"/>
              <w:rPr>
                <w:rFonts w:cs="Arial"/>
              </w:rPr>
            </w:pPr>
            <w:r>
              <w:rPr>
                <w:rFonts w:cs="Arial"/>
              </w:rPr>
              <w:t>0</w:t>
            </w:r>
          </w:p>
        </w:tc>
      </w:tr>
      <w:tr w:rsidR="00531623" w:rsidRPr="004B5D9F" w:rsidTr="00531623">
        <w:tc>
          <w:tcPr>
            <w:tcW w:w="4702" w:type="dxa"/>
            <w:shd w:val="clear" w:color="auto" w:fill="B8CCE4"/>
          </w:tcPr>
          <w:p w:rsidR="00531623" w:rsidRPr="004B5D9F" w:rsidRDefault="00531623" w:rsidP="00531623">
            <w:pPr>
              <w:rPr>
                <w:rFonts w:cs="Arial"/>
                <w:b/>
              </w:rPr>
            </w:pPr>
          </w:p>
        </w:tc>
        <w:tc>
          <w:tcPr>
            <w:tcW w:w="1297" w:type="dxa"/>
            <w:shd w:val="clear" w:color="auto" w:fill="B8CCE4"/>
          </w:tcPr>
          <w:p w:rsidR="00531623" w:rsidRPr="003263AC" w:rsidRDefault="00531623" w:rsidP="00531623">
            <w:pPr>
              <w:jc w:val="center"/>
              <w:rPr>
                <w:rFonts w:cs="Arial"/>
                <w:b/>
              </w:rPr>
            </w:pPr>
            <w:r w:rsidRPr="003263AC">
              <w:rPr>
                <w:rFonts w:cs="Arial"/>
                <w:b/>
              </w:rPr>
              <w:t>68</w:t>
            </w:r>
          </w:p>
        </w:tc>
        <w:tc>
          <w:tcPr>
            <w:tcW w:w="1297" w:type="dxa"/>
            <w:shd w:val="clear" w:color="auto" w:fill="B8CCE4"/>
          </w:tcPr>
          <w:p w:rsidR="00531623" w:rsidRPr="003263AC" w:rsidRDefault="00531623" w:rsidP="00531623">
            <w:pPr>
              <w:jc w:val="center"/>
              <w:rPr>
                <w:rFonts w:cs="Arial"/>
                <w:b/>
              </w:rPr>
            </w:pPr>
            <w:r w:rsidRPr="003263AC">
              <w:rPr>
                <w:rFonts w:cs="Arial"/>
                <w:b/>
              </w:rPr>
              <w:t>53</w:t>
            </w:r>
          </w:p>
        </w:tc>
        <w:tc>
          <w:tcPr>
            <w:tcW w:w="1297" w:type="dxa"/>
            <w:shd w:val="clear" w:color="auto" w:fill="B8CCE4"/>
          </w:tcPr>
          <w:p w:rsidR="00531623" w:rsidRPr="003263AC" w:rsidRDefault="00531623" w:rsidP="00531623">
            <w:pPr>
              <w:jc w:val="center"/>
              <w:rPr>
                <w:rFonts w:cs="Arial"/>
                <w:b/>
              </w:rPr>
            </w:pPr>
            <w:r>
              <w:rPr>
                <w:rFonts w:cs="Arial"/>
                <w:b/>
              </w:rPr>
              <w:t>82</w:t>
            </w:r>
          </w:p>
        </w:tc>
      </w:tr>
    </w:tbl>
    <w:p w:rsidR="00531623" w:rsidRDefault="00531623" w:rsidP="00531623"/>
    <w:p w:rsidR="00531623" w:rsidRPr="008E163E" w:rsidRDefault="00531623" w:rsidP="008E163E">
      <w:pPr>
        <w:tabs>
          <w:tab w:val="left" w:pos="1980"/>
        </w:tabs>
        <w:spacing w:after="0" w:line="240" w:lineRule="auto"/>
        <w:jc w:val="both"/>
        <w:rPr>
          <w:rFonts w:cs="Arial"/>
        </w:rPr>
      </w:pPr>
    </w:p>
    <w:p w:rsidR="00FC6B0D" w:rsidRDefault="00FC6B0D" w:rsidP="008E163E">
      <w:pPr>
        <w:tabs>
          <w:tab w:val="left" w:pos="1980"/>
        </w:tabs>
        <w:spacing w:after="0" w:line="240" w:lineRule="auto"/>
        <w:jc w:val="both"/>
        <w:rPr>
          <w:rFonts w:cs="Arial"/>
        </w:rPr>
      </w:pPr>
    </w:p>
    <w:p w:rsidR="00531623" w:rsidRDefault="00531623" w:rsidP="008E163E">
      <w:pPr>
        <w:tabs>
          <w:tab w:val="left" w:pos="1980"/>
        </w:tabs>
        <w:spacing w:after="0" w:line="240" w:lineRule="auto"/>
        <w:jc w:val="both"/>
        <w:rPr>
          <w:rFonts w:cs="Arial"/>
        </w:rPr>
      </w:pPr>
    </w:p>
    <w:p w:rsidR="00531623" w:rsidRPr="008E163E" w:rsidRDefault="00531623" w:rsidP="008E163E">
      <w:pPr>
        <w:tabs>
          <w:tab w:val="left" w:pos="1980"/>
        </w:tabs>
        <w:spacing w:after="0" w:line="240" w:lineRule="auto"/>
        <w:jc w:val="both"/>
        <w:rPr>
          <w:rFonts w:cs="Arial"/>
        </w:rPr>
      </w:pPr>
    </w:p>
    <w:p w:rsidR="000A0993" w:rsidRDefault="00FC6B0D" w:rsidP="008E163E">
      <w:pPr>
        <w:tabs>
          <w:tab w:val="left" w:pos="1980"/>
        </w:tabs>
        <w:spacing w:after="0" w:line="240" w:lineRule="auto"/>
        <w:jc w:val="both"/>
        <w:rPr>
          <w:rFonts w:cs="Arial"/>
        </w:rPr>
      </w:pPr>
      <w:r w:rsidRPr="00F0760B">
        <w:rPr>
          <w:rFonts w:cs="Arial"/>
          <w:b/>
        </w:rPr>
        <w:t>Appendix 2</w:t>
      </w:r>
      <w:r w:rsidRPr="008E163E">
        <w:rPr>
          <w:rFonts w:cs="Arial"/>
        </w:rPr>
        <w:t xml:space="preserve"> </w:t>
      </w:r>
      <w:r w:rsidR="00F0760B">
        <w:rPr>
          <w:rFonts w:cs="Arial"/>
        </w:rPr>
        <w:t xml:space="preserve"> - </w:t>
      </w:r>
      <w:r w:rsidRPr="008E163E">
        <w:rPr>
          <w:rFonts w:cs="Arial"/>
        </w:rPr>
        <w:t xml:space="preserve">User Feedback, April – Sep ’15 report </w:t>
      </w:r>
    </w:p>
    <w:p w:rsidR="00531623" w:rsidRDefault="00531623" w:rsidP="008E163E">
      <w:pPr>
        <w:tabs>
          <w:tab w:val="left" w:pos="1980"/>
        </w:tabs>
        <w:spacing w:after="0" w:line="240" w:lineRule="auto"/>
        <w:jc w:val="both"/>
        <w:rPr>
          <w:rFonts w:cs="Arial"/>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 xml:space="preserve">USER SATISFACTION REPORT </w:t>
      </w: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Cs/>
          <w:color w:val="000000" w:themeColor="text1"/>
        </w:rPr>
      </w:pPr>
      <w:r w:rsidRPr="00531623">
        <w:rPr>
          <w:rFonts w:cs="Arial"/>
          <w:b/>
          <w:bCs/>
          <w:color w:val="000000" w:themeColor="text1"/>
        </w:rPr>
        <w:t>HEALTH RESEARCH AUTHORITY</w:t>
      </w:r>
      <w:r w:rsidRPr="00531623">
        <w:rPr>
          <w:rFonts w:cs="Arial"/>
          <w:bCs/>
          <w:color w:val="000000" w:themeColor="text1"/>
        </w:rPr>
        <w:t xml:space="preserve"> </w:t>
      </w:r>
      <w:r w:rsidRPr="00531623">
        <w:rPr>
          <w:rFonts w:cs="Arial"/>
          <w:b/>
          <w:bCs/>
          <w:color w:val="000000" w:themeColor="text1"/>
        </w:rPr>
        <w:t>(including those using the REC service in the Devolved Administrations)</w:t>
      </w:r>
      <w:r w:rsidRPr="00531623">
        <w:rPr>
          <w:rFonts w:cs="Arial"/>
          <w:bCs/>
          <w:color w:val="000000" w:themeColor="text1"/>
        </w:rPr>
        <w:t xml:space="preserve">  </w:t>
      </w:r>
      <w:r w:rsidRPr="00531623">
        <w:rPr>
          <w:rFonts w:cs="Arial"/>
          <w:b/>
          <w:bCs/>
          <w:color w:val="000000" w:themeColor="text1"/>
        </w:rPr>
        <w:t xml:space="preserve"> </w:t>
      </w: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 xml:space="preserve">FOR THE PERIOD </w:t>
      </w: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 xml:space="preserve">01 April 2015 to 30 September 2015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noProof/>
          <w:color w:val="000000" w:themeColor="text1"/>
          <w:lang w:eastAsia="en-GB"/>
        </w:rPr>
        <w:drawing>
          <wp:anchor distT="0" distB="0" distL="114300" distR="114300" simplePos="0" relativeHeight="251660288" behindDoc="0" locked="0" layoutInCell="1" allowOverlap="1" wp14:anchorId="1B51F421" wp14:editId="320F49EA">
            <wp:simplePos x="0" y="0"/>
            <wp:positionH relativeFrom="column">
              <wp:posOffset>2488565</wp:posOffset>
            </wp:positionH>
            <wp:positionV relativeFrom="paragraph">
              <wp:posOffset>932180</wp:posOffset>
            </wp:positionV>
            <wp:extent cx="2854325" cy="2835275"/>
            <wp:effectExtent l="590550" t="609600" r="517525" b="593725"/>
            <wp:wrapTopAndBottom/>
            <wp:docPr id="312" name="Picture 312" descr="HR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392187">
                      <a:off x="0" y="0"/>
                      <a:ext cx="2854325"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623">
        <w:rPr>
          <w:rFonts w:cs="Arial"/>
          <w:color w:val="000000" w:themeColor="text1"/>
        </w:rPr>
        <w:br w:type="page"/>
      </w:r>
    </w:p>
    <w:p w:rsidR="00531623" w:rsidRPr="00531623" w:rsidRDefault="00531623" w:rsidP="00531623">
      <w:pPr>
        <w:numPr>
          <w:ilvl w:val="0"/>
          <w:numId w:val="9"/>
        </w:numPr>
        <w:tabs>
          <w:tab w:val="left" w:pos="1980"/>
        </w:tabs>
        <w:spacing w:after="0" w:line="240" w:lineRule="auto"/>
        <w:jc w:val="both"/>
        <w:rPr>
          <w:rFonts w:cs="Arial"/>
          <w:bCs/>
          <w:color w:val="000000" w:themeColor="text1"/>
        </w:rPr>
      </w:pPr>
      <w:r w:rsidRPr="00531623">
        <w:rPr>
          <w:rFonts w:cs="Arial"/>
          <w:bCs/>
          <w:color w:val="000000" w:themeColor="text1"/>
        </w:rPr>
        <w:lastRenderedPageBreak/>
        <w:t>Introduction</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This bi-annual User Satisfaction report presents data collected during the six month period (April 2015 to September 2015) from UK wide users of the HRA and those using the REC service in the devolved administrations.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Cs/>
          <w:color w:val="000000" w:themeColor="text1"/>
        </w:rPr>
      </w:pPr>
      <w:r w:rsidRPr="00531623">
        <w:rPr>
          <w:rFonts w:cs="Arial"/>
          <w:bCs/>
          <w:color w:val="000000" w:themeColor="text1"/>
        </w:rPr>
        <w:t xml:space="preserve">The Health Research Authority (HRA) routinely seeks feedback from its users to continually monitor and assess its performance.  This helps to identify our strengths but also highlights areas for improvement, given the resources available.  The HRA Quality Assurance Department has responsibility for the User Satisfaction function. </w:t>
      </w: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Data presented in this report has been collected using the following methods.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numPr>
          <w:ilvl w:val="0"/>
          <w:numId w:val="10"/>
        </w:numPr>
        <w:tabs>
          <w:tab w:val="left" w:pos="1980"/>
        </w:tabs>
        <w:spacing w:after="0" w:line="240" w:lineRule="auto"/>
        <w:jc w:val="both"/>
        <w:rPr>
          <w:rFonts w:cs="Arial"/>
          <w:color w:val="000000" w:themeColor="text1"/>
        </w:rPr>
      </w:pPr>
      <w:r w:rsidRPr="00531623">
        <w:rPr>
          <w:rFonts w:cs="Arial"/>
          <w:color w:val="000000" w:themeColor="text1"/>
        </w:rPr>
        <w:t xml:space="preserve">Online feedback survey via SurveyMonkey.  Information is routinely received via the HRA website from those who choose to complete an online survey and from chief investigators, students and sponsor representatives who have been targeted to provide feedback because they made an application to a specific Research Ethics Committee (REC) or the Confidentiality Advisory Group (CAG) during a selected month.  Applicants and sponsors submitting applications to approximately 16 REC / CAG meetings are contacted every month to request feedback on the service they received.  </w:t>
      </w:r>
    </w:p>
    <w:p w:rsidR="00531623" w:rsidRPr="00531623" w:rsidRDefault="00531623" w:rsidP="00531623">
      <w:pPr>
        <w:numPr>
          <w:ilvl w:val="0"/>
          <w:numId w:val="10"/>
        </w:numPr>
        <w:tabs>
          <w:tab w:val="left" w:pos="1980"/>
        </w:tabs>
        <w:spacing w:after="0" w:line="240" w:lineRule="auto"/>
        <w:jc w:val="both"/>
        <w:rPr>
          <w:rFonts w:cs="Arial"/>
          <w:color w:val="000000" w:themeColor="text1"/>
        </w:rPr>
      </w:pPr>
      <w:r w:rsidRPr="00531623">
        <w:rPr>
          <w:rFonts w:cs="Arial"/>
          <w:color w:val="000000" w:themeColor="text1"/>
        </w:rPr>
        <w:t xml:space="preserve">REC / CAG Chairs and Members online feedback form. Information is gathered from Chairs and Members wishing to put forward their views, concerns and ideas.   </w:t>
      </w:r>
    </w:p>
    <w:p w:rsidR="00531623" w:rsidRPr="00531623" w:rsidRDefault="00531623" w:rsidP="00531623">
      <w:pPr>
        <w:numPr>
          <w:ilvl w:val="0"/>
          <w:numId w:val="10"/>
        </w:numPr>
        <w:tabs>
          <w:tab w:val="left" w:pos="1980"/>
        </w:tabs>
        <w:spacing w:after="0" w:line="240" w:lineRule="auto"/>
        <w:jc w:val="both"/>
        <w:rPr>
          <w:rFonts w:cs="Arial"/>
          <w:color w:val="000000" w:themeColor="text1"/>
        </w:rPr>
      </w:pPr>
      <w:r w:rsidRPr="00531623">
        <w:rPr>
          <w:rFonts w:cs="Arial"/>
          <w:color w:val="000000" w:themeColor="text1"/>
        </w:rPr>
        <w:t xml:space="preserve">HRA staff suggestions / ideas feedback pilot scheme. </w:t>
      </w: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numPr>
          <w:ilvl w:val="0"/>
          <w:numId w:val="9"/>
        </w:numPr>
        <w:tabs>
          <w:tab w:val="left" w:pos="1980"/>
        </w:tabs>
        <w:spacing w:after="0" w:line="240" w:lineRule="auto"/>
        <w:jc w:val="both"/>
        <w:rPr>
          <w:rFonts w:cs="Arial"/>
          <w:bCs/>
          <w:color w:val="000000" w:themeColor="text1"/>
        </w:rPr>
      </w:pPr>
      <w:r w:rsidRPr="00531623">
        <w:rPr>
          <w:rFonts w:cs="Arial"/>
          <w:bCs/>
          <w:color w:val="000000" w:themeColor="text1"/>
        </w:rPr>
        <w:t>The management and use of feedback in the HRA</w:t>
      </w: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iCs/>
          <w:color w:val="000000" w:themeColor="text1"/>
          <w:lang w:val="en-US"/>
        </w:rPr>
        <w:t xml:space="preserve">The HRA takes the views of users of our service seriously and ensures these are reviewed at a senior level and used to consider improvements to our service. The HRA Executive Management Team (EMT) and the United Kingdom Research Ethics Development Group (UKREDG). The role of the EMT is to take an overview of the trends in feedback and consider if there are any overarching system considerations that need to be addressed. The role of the UKREDG is to consider the operational issues in feedback to monitor and assess performance over time as well as considering the comments made by respondents. Managers from the appropriate HRA Directorates and Devolved Administrations are asked to consider and feedback on issues raised in the previous User Satisfaction reporting period to ensure that </w:t>
      </w:r>
      <w:r w:rsidRPr="00531623">
        <w:rPr>
          <w:rFonts w:cs="Arial"/>
          <w:color w:val="000000" w:themeColor="text1"/>
        </w:rPr>
        <w:t>issues are being addressed and lessons learnt.</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numPr>
          <w:ilvl w:val="0"/>
          <w:numId w:val="9"/>
        </w:numPr>
        <w:tabs>
          <w:tab w:val="left" w:pos="1980"/>
        </w:tabs>
        <w:spacing w:after="0" w:line="240" w:lineRule="auto"/>
        <w:jc w:val="both"/>
        <w:rPr>
          <w:rFonts w:cs="Arial"/>
          <w:bCs/>
          <w:color w:val="000000" w:themeColor="text1"/>
        </w:rPr>
      </w:pPr>
      <w:r w:rsidRPr="00531623">
        <w:rPr>
          <w:rFonts w:cs="Arial"/>
          <w:bCs/>
          <w:color w:val="000000" w:themeColor="text1"/>
        </w:rPr>
        <w:t>Findings from the online user satisfaction survey</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lang w:val="en-US"/>
        </w:rPr>
        <w:t xml:space="preserve">This section of the report presents findings from the survey (a total of seventeen open and closed questions).  </w:t>
      </w:r>
      <w:r w:rsidRPr="00531623">
        <w:rPr>
          <w:rFonts w:cs="Arial"/>
          <w:color w:val="000000" w:themeColor="text1"/>
        </w:rPr>
        <w:t>For the six month reporting period 208 respondents completed the online feedback survey; very comparable to the previous reporting period (October 2014 to March 2015) where 210 respondents completed the survey.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lang w:val="en-US"/>
        </w:rPr>
        <w:t>Feedback is reported on services provided directly by the HRA and functions that are provided by the HRA through HRA Operations.   Respondents</w:t>
      </w:r>
      <w:r w:rsidRPr="00531623">
        <w:rPr>
          <w:rFonts w:cs="Arial"/>
          <w:color w:val="000000" w:themeColor="text1"/>
        </w:rPr>
        <w:t xml:space="preserve"> are given the opportunity to receive feedback on their responses, from a senior member of management.  Senior Management may follow up respondents comments with the REC / CAG involved (not disclosing details of the respondents without their consent).</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lang w:val="en-US"/>
        </w:rPr>
        <w:lastRenderedPageBreak/>
        <w:t xml:space="preserve">For open ended questions respondents’ comments are categorised as either positive, negative or neutral; where a response to a questions covers more than one category these have been subdivided allow for more accurate categorisation.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Figure 1. Responders to the survey were asked to specify their role</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w:drawing>
          <wp:inline distT="0" distB="0" distL="0" distR="0" wp14:anchorId="67304151" wp14:editId="4146A282">
            <wp:extent cx="4962525" cy="3086100"/>
            <wp:effectExtent l="0" t="0" r="0" b="0"/>
            <wp:docPr id="313" name="Chart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Figure 2. Responders were asked whether or not their application was reviewed through the PR Service* or Precedent Set Review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w:drawing>
          <wp:inline distT="0" distB="0" distL="0" distR="0" wp14:anchorId="73F0263A" wp14:editId="5EF76DD0">
            <wp:extent cx="4962525" cy="29908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i/>
          <w:color w:val="000000" w:themeColor="text1"/>
        </w:rPr>
      </w:pPr>
      <w:r w:rsidRPr="00531623">
        <w:rPr>
          <w:rFonts w:cs="Arial"/>
          <w:i/>
          <w:color w:val="000000" w:themeColor="text1"/>
        </w:rPr>
        <w:t xml:space="preserve">*The Proportionate Review Service (PRS) provides for expedited, proportionate review of research studies which raise no material ethical issues. Under the PRS, new applications are reviewed by a sub-committee rather than at a full meeting of a REC, with the aim of </w:t>
      </w:r>
      <w:r w:rsidRPr="00531623">
        <w:rPr>
          <w:rFonts w:cs="Arial"/>
          <w:i/>
          <w:color w:val="000000" w:themeColor="text1"/>
        </w:rPr>
        <w:lastRenderedPageBreak/>
        <w:t>notifying the final decision to the applicant within 14 calendar days of receipt of a valid application</w:t>
      </w: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Figure 3.  Breakdown of responses by HRA REC Centre, Confidentiality Advisory Group (CAG) &amp; Devolved Administrations</w:t>
      </w: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noProof/>
          <w:color w:val="000000" w:themeColor="text1"/>
          <w:lang w:eastAsia="en-GB"/>
        </w:rPr>
        <w:drawing>
          <wp:inline distT="0" distB="0" distL="0" distR="0" wp14:anchorId="6C754B9B" wp14:editId="6AE27217">
            <wp:extent cx="5637530" cy="3596335"/>
            <wp:effectExtent l="0" t="0" r="1270" b="4445"/>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Cs/>
          <w:color w:val="000000" w:themeColor="text1"/>
        </w:rPr>
      </w:pPr>
      <w:r w:rsidRPr="00531623">
        <w:rPr>
          <w:rFonts w:cs="Arial"/>
          <w:bCs/>
          <w:color w:val="000000" w:themeColor="text1"/>
        </w:rPr>
        <w:t xml:space="preserve">Responses from the Devolved Administrations accounted for a quarter of responses compared to one fifth of total responses for the last reporting period.  The proportion of responses from the HRA REC Centres in England remains constant with the previous reporting period.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sectPr w:rsidR="00531623" w:rsidRPr="00531623" w:rsidSect="00531623">
          <w:headerReference w:type="default" r:id="rId16"/>
          <w:footerReference w:type="default" r:id="rId17"/>
          <w:headerReference w:type="first" r:id="rId18"/>
          <w:footerReference w:type="first" r:id="rId19"/>
          <w:pgSz w:w="11906" w:h="16838" w:code="9"/>
          <w:pgMar w:top="1440" w:right="1588" w:bottom="1440" w:left="1440" w:header="709" w:footer="727" w:gutter="0"/>
          <w:pgNumType w:start="0"/>
          <w:cols w:space="708"/>
          <w:titlePg/>
          <w:docGrid w:linePitch="360"/>
        </w:sectPr>
      </w:pP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lastRenderedPageBreak/>
        <w:t xml:space="preserve">HRA Services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Figure 4. Respondents were asked to rate their experience of a different aspects of HRA services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w:drawing>
          <wp:inline distT="0" distB="0" distL="0" distR="0" wp14:anchorId="1A006D5C" wp14:editId="1D702FD3">
            <wp:extent cx="7886700" cy="3743325"/>
            <wp:effectExtent l="0" t="0" r="0" b="0"/>
            <wp:docPr id="315" name="Chart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numPr>
          <w:ilvl w:val="0"/>
          <w:numId w:val="11"/>
        </w:numPr>
        <w:tabs>
          <w:tab w:val="left" w:pos="1980"/>
        </w:tabs>
        <w:spacing w:after="0" w:line="240" w:lineRule="auto"/>
        <w:jc w:val="both"/>
        <w:rPr>
          <w:rFonts w:cs="Arial"/>
          <w:color w:val="000000" w:themeColor="text1"/>
        </w:rPr>
      </w:pPr>
      <w:r w:rsidRPr="00531623">
        <w:rPr>
          <w:rFonts w:cs="Arial"/>
          <w:color w:val="000000" w:themeColor="text1"/>
        </w:rPr>
        <w:t>98% of respondents rated REC/CAT staff either excellent or good.</w:t>
      </w:r>
    </w:p>
    <w:p w:rsidR="00531623" w:rsidRPr="00531623" w:rsidRDefault="00531623" w:rsidP="00531623">
      <w:pPr>
        <w:numPr>
          <w:ilvl w:val="0"/>
          <w:numId w:val="11"/>
        </w:numPr>
        <w:tabs>
          <w:tab w:val="left" w:pos="1980"/>
        </w:tabs>
        <w:spacing w:after="0" w:line="240" w:lineRule="auto"/>
        <w:jc w:val="both"/>
        <w:rPr>
          <w:rFonts w:cs="Arial"/>
          <w:color w:val="000000" w:themeColor="text1"/>
        </w:rPr>
      </w:pPr>
      <w:r w:rsidRPr="00531623">
        <w:rPr>
          <w:rFonts w:cs="Arial"/>
          <w:color w:val="000000" w:themeColor="text1"/>
        </w:rPr>
        <w:t xml:space="preserve">93% of respondents scored the service provided by the HRA queries line either excellent or good. </w:t>
      </w:r>
    </w:p>
    <w:p w:rsidR="00531623" w:rsidRPr="00531623" w:rsidRDefault="00531623" w:rsidP="00531623">
      <w:pPr>
        <w:numPr>
          <w:ilvl w:val="0"/>
          <w:numId w:val="11"/>
        </w:numPr>
        <w:tabs>
          <w:tab w:val="left" w:pos="1980"/>
        </w:tabs>
        <w:spacing w:after="0" w:line="240" w:lineRule="auto"/>
        <w:jc w:val="both"/>
        <w:rPr>
          <w:rFonts w:cs="Arial"/>
          <w:b/>
          <w:color w:val="000000" w:themeColor="text1"/>
        </w:rPr>
      </w:pPr>
      <w:r w:rsidRPr="00531623">
        <w:rPr>
          <w:rFonts w:cs="Arial"/>
          <w:color w:val="000000" w:themeColor="text1"/>
        </w:rPr>
        <w:t>90% of those responding to how they found the HRA website rated it excellent or good.</w:t>
      </w:r>
    </w:p>
    <w:p w:rsidR="00531623" w:rsidRPr="00531623" w:rsidRDefault="00531623" w:rsidP="00531623">
      <w:pPr>
        <w:numPr>
          <w:ilvl w:val="0"/>
          <w:numId w:val="11"/>
        </w:numPr>
        <w:tabs>
          <w:tab w:val="left" w:pos="1980"/>
        </w:tabs>
        <w:spacing w:after="0" w:line="240" w:lineRule="auto"/>
        <w:jc w:val="both"/>
        <w:rPr>
          <w:rFonts w:cs="Arial"/>
          <w:b/>
          <w:color w:val="000000" w:themeColor="text1"/>
        </w:rPr>
      </w:pPr>
      <w:r w:rsidRPr="00531623">
        <w:rPr>
          <w:rFonts w:cs="Arial"/>
          <w:color w:val="000000" w:themeColor="text1"/>
        </w:rPr>
        <w:t xml:space="preserve">All HRA Services rated as either excellent or good by 80% of respondents.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sectPr w:rsidR="00531623" w:rsidRPr="00531623" w:rsidSect="00531623">
          <w:pgSz w:w="16838" w:h="11906" w:orient="landscape"/>
          <w:pgMar w:top="1135" w:right="1440" w:bottom="1418" w:left="1440" w:header="709" w:footer="709" w:gutter="0"/>
          <w:cols w:space="708"/>
          <w:docGrid w:linePitch="360"/>
        </w:sect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lastRenderedPageBreak/>
        <w:t xml:space="preserve">Trends in User Satisfaction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Below are graphs showing trends in responses to users experiences of different aspects of HRA services, over the last 18 months.    The IRAS specific questions have changed over the reporting periods; therefore trends are not presented here.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Key to graphs</w:t>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w:drawing>
          <wp:inline distT="0" distB="0" distL="0" distR="0" wp14:anchorId="2EFC8104" wp14:editId="27EE5457">
            <wp:extent cx="5133975" cy="3845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rotWithShape="1">
                    <a:blip r:embed="rId21">
                      <a:extLst>
                        <a:ext uri="{28A0092B-C50C-407E-A947-70E740481C1C}">
                          <a14:useLocalDpi xmlns:a14="http://schemas.microsoft.com/office/drawing/2010/main" val="0"/>
                        </a:ext>
                      </a:extLst>
                    </a:blip>
                    <a:srcRect l="914" t="12727" r="1462" b="14546"/>
                    <a:stretch/>
                  </pic:blipFill>
                  <pic:spPr bwMode="auto">
                    <a:xfrm>
                      <a:off x="0" y="0"/>
                      <a:ext cx="5136172" cy="384732"/>
                    </a:xfrm>
                    <a:prstGeom prst="rect">
                      <a:avLst/>
                    </a:prstGeom>
                    <a:ln>
                      <a:noFill/>
                    </a:ln>
                    <a:extLst>
                      <a:ext uri="{53640926-AAD7-44D8-BBD7-CCE9431645EC}">
                        <a14:shadowObscured xmlns:a14="http://schemas.microsoft.com/office/drawing/2010/main"/>
                      </a:ext>
                    </a:extLst>
                  </pic:spPr>
                </pic:pic>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Figure 5.   HRA Decision Tools  </w:t>
      </w:r>
      <w:r w:rsidRPr="00531623">
        <w:rPr>
          <w:rFonts w:cs="Arial"/>
          <w:b/>
          <w:color w:val="000000" w:themeColor="text1"/>
        </w:rPr>
        <w:tab/>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ab/>
      </w:r>
      <w:r w:rsidRPr="00531623">
        <w:rPr>
          <w:rFonts w:cs="Arial"/>
          <w:b/>
          <w:color w:val="000000" w:themeColor="text1"/>
        </w:rPr>
        <w:tab/>
      </w:r>
      <w:r w:rsidRPr="00531623">
        <w:rPr>
          <w:rFonts w:cs="Arial"/>
          <w:b/>
          <w:color w:val="000000" w:themeColor="text1"/>
        </w:rPr>
        <w:tab/>
      </w:r>
      <w:r w:rsidRPr="00531623">
        <w:rPr>
          <w:rFonts w:cs="Arial"/>
          <w:b/>
          <w:color w:val="000000" w:themeColor="text1"/>
        </w:rPr>
        <w:tab/>
      </w:r>
      <w:r w:rsidRPr="00531623">
        <w:rPr>
          <w:rFonts w:cs="Arial"/>
          <w:b/>
          <w:color w:val="000000" w:themeColor="text1"/>
        </w:rPr>
        <w:tab/>
      </w:r>
      <w:r w:rsidRPr="00531623">
        <w:rPr>
          <w:rFonts w:cs="Arial"/>
          <w:b/>
          <w:color w:val="000000" w:themeColor="text1"/>
        </w:rPr>
        <w:tab/>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mc:AlternateContent>
          <mc:Choice Requires="wps">
            <w:drawing>
              <wp:anchor distT="0" distB="0" distL="114300" distR="114300" simplePos="0" relativeHeight="251665408" behindDoc="0" locked="0" layoutInCell="1" allowOverlap="1" wp14:anchorId="09BC4796" wp14:editId="1712F320">
                <wp:simplePos x="0" y="0"/>
                <wp:positionH relativeFrom="column">
                  <wp:posOffset>3475990</wp:posOffset>
                </wp:positionH>
                <wp:positionV relativeFrom="paragraph">
                  <wp:posOffset>-6985</wp:posOffset>
                </wp:positionV>
                <wp:extent cx="2374265" cy="1403985"/>
                <wp:effectExtent l="0" t="0" r="698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F4C84" w:rsidRDefault="00DF4C84" w:rsidP="00531623">
                            <w:pPr>
                              <w:tabs>
                                <w:tab w:val="left" w:pos="709"/>
                              </w:tabs>
                              <w:spacing w:after="0" w:line="240" w:lineRule="auto"/>
                              <w:jc w:val="both"/>
                              <w:rPr>
                                <w:rFonts w:cs="Arial"/>
                              </w:rPr>
                            </w:pPr>
                            <w:r w:rsidRPr="00BD5BBB">
                              <w:rPr>
                                <w:rFonts w:cs="Arial"/>
                              </w:rPr>
                              <w:t>84% of respondents rated HRA Decision Tools as either excellent or good, compared to 9</w:t>
                            </w:r>
                            <w:r>
                              <w:rPr>
                                <w:rFonts w:cs="Arial"/>
                              </w:rPr>
                              <w:t>2</w:t>
                            </w:r>
                            <w:r w:rsidRPr="00BD5BBB">
                              <w:rPr>
                                <w:rFonts w:cs="Arial"/>
                              </w:rPr>
                              <w:t xml:space="preserve">% </w:t>
                            </w:r>
                          </w:p>
                          <w:p w:rsidR="00DF4C84" w:rsidRPr="00DC216D" w:rsidRDefault="00DF4C84" w:rsidP="00531623">
                            <w:pPr>
                              <w:tabs>
                                <w:tab w:val="left" w:pos="709"/>
                              </w:tabs>
                              <w:spacing w:after="0" w:line="240" w:lineRule="auto"/>
                              <w:jc w:val="both"/>
                              <w:rPr>
                                <w:rFonts w:cs="Arial"/>
                              </w:rPr>
                            </w:pPr>
                            <w:r>
                              <w:rPr>
                                <w:rFonts w:cs="Arial"/>
                              </w:rPr>
                              <w:t xml:space="preserve">(Oct 14 – Mar 15) and 89% (Apr – Sep 14).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7pt;margin-top:-.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DG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" stroked="f">
                <v:textbox style="mso-fit-shape-to-text:t">
                  <w:txbxContent>
                    <w:p w:rsidR="00DF4C84" w:rsidRDefault="00DF4C84" w:rsidP="00531623">
                      <w:pPr>
                        <w:tabs>
                          <w:tab w:val="left" w:pos="709"/>
                        </w:tabs>
                        <w:spacing w:after="0" w:line="240" w:lineRule="auto"/>
                        <w:jc w:val="both"/>
                        <w:rPr>
                          <w:rFonts w:cs="Arial"/>
                        </w:rPr>
                      </w:pPr>
                      <w:r w:rsidRPr="00BD5BBB">
                        <w:rPr>
                          <w:rFonts w:cs="Arial"/>
                        </w:rPr>
                        <w:t>84% of respondents rated HRA Decision Tools as either excellent or good, compared to 9</w:t>
                      </w:r>
                      <w:r>
                        <w:rPr>
                          <w:rFonts w:cs="Arial"/>
                        </w:rPr>
                        <w:t>2</w:t>
                      </w:r>
                      <w:r w:rsidRPr="00BD5BBB">
                        <w:rPr>
                          <w:rFonts w:cs="Arial"/>
                        </w:rPr>
                        <w:t xml:space="preserve">% </w:t>
                      </w:r>
                    </w:p>
                    <w:p w:rsidR="00DF4C84" w:rsidRPr="00DC216D" w:rsidRDefault="00DF4C84" w:rsidP="00531623">
                      <w:pPr>
                        <w:tabs>
                          <w:tab w:val="left" w:pos="709"/>
                        </w:tabs>
                        <w:spacing w:after="0" w:line="240" w:lineRule="auto"/>
                        <w:jc w:val="both"/>
                        <w:rPr>
                          <w:rFonts w:cs="Arial"/>
                        </w:rPr>
                      </w:pPr>
                      <w:r>
                        <w:rPr>
                          <w:rFonts w:cs="Arial"/>
                        </w:rPr>
                        <w:t xml:space="preserve">(Oct 14 – Mar 15) and 89% (Apr – Sep 14). </w:t>
                      </w:r>
                    </w:p>
                  </w:txbxContent>
                </v:textbox>
              </v:shape>
            </w:pict>
          </mc:Fallback>
        </mc:AlternateContent>
      </w:r>
      <w:r w:rsidRPr="00531623">
        <w:rPr>
          <w:rFonts w:cs="Arial"/>
          <w:noProof/>
          <w:color w:val="000000" w:themeColor="text1"/>
          <w:lang w:eastAsia="en-GB"/>
        </w:rPr>
        <w:drawing>
          <wp:inline distT="0" distB="0" distL="0" distR="0" wp14:anchorId="4D05DDDA" wp14:editId="751CDC1E">
            <wp:extent cx="3600000" cy="2340000"/>
            <wp:effectExtent l="0" t="0" r="635" b="3175"/>
            <wp:docPr id="316" name="Chart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1623" w:rsidRPr="00531623" w:rsidRDefault="00531623" w:rsidP="00531623">
      <w:pPr>
        <w:tabs>
          <w:tab w:val="left" w:pos="1980"/>
        </w:tabs>
        <w:spacing w:after="0" w:line="240" w:lineRule="auto"/>
        <w:jc w:val="both"/>
        <w:rPr>
          <w:rFonts w:cs="Arial"/>
          <w:b/>
          <w:i/>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Figure 6.   Online Guidance</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mc:AlternateContent>
          <mc:Choice Requires="wps">
            <w:drawing>
              <wp:anchor distT="0" distB="0" distL="114300" distR="114300" simplePos="0" relativeHeight="251666432" behindDoc="0" locked="0" layoutInCell="1" allowOverlap="1" wp14:anchorId="728C7395" wp14:editId="113B01A2">
                <wp:simplePos x="0" y="0"/>
                <wp:positionH relativeFrom="column">
                  <wp:posOffset>3533775</wp:posOffset>
                </wp:positionH>
                <wp:positionV relativeFrom="paragraph">
                  <wp:posOffset>153670</wp:posOffset>
                </wp:positionV>
                <wp:extent cx="244348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403985"/>
                        </a:xfrm>
                        <a:prstGeom prst="rect">
                          <a:avLst/>
                        </a:prstGeom>
                        <a:solidFill>
                          <a:srgbClr val="FFFFFF"/>
                        </a:solidFill>
                        <a:ln w="9525">
                          <a:noFill/>
                          <a:miter lim="800000"/>
                          <a:headEnd/>
                          <a:tailEnd/>
                        </a:ln>
                      </wps:spPr>
                      <wps:txbx>
                        <w:txbxContent>
                          <w:p w:rsidR="00DF4C84" w:rsidRPr="00664BFB" w:rsidRDefault="00DF4C84" w:rsidP="00531623">
                            <w:pPr>
                              <w:tabs>
                                <w:tab w:val="left" w:pos="709"/>
                              </w:tabs>
                              <w:spacing w:after="0" w:line="240" w:lineRule="auto"/>
                              <w:jc w:val="both"/>
                              <w:rPr>
                                <w:rFonts w:cs="Arial"/>
                              </w:rPr>
                            </w:pPr>
                            <w:r w:rsidRPr="00664BFB">
                              <w:rPr>
                                <w:rFonts w:cs="Arial"/>
                              </w:rPr>
                              <w:t xml:space="preserve">82% of respondents agreed that the Online Guidance were either excellent or good, </w:t>
                            </w:r>
                            <w:r w:rsidRPr="00BD5BBB">
                              <w:rPr>
                                <w:rFonts w:cs="Arial"/>
                              </w:rPr>
                              <w:t>compared to 9</w:t>
                            </w:r>
                            <w:r>
                              <w:rPr>
                                <w:rFonts w:cs="Arial"/>
                              </w:rPr>
                              <w:t>0</w:t>
                            </w:r>
                            <w:r w:rsidRPr="00BD5BBB">
                              <w:rPr>
                                <w:rFonts w:cs="Arial"/>
                              </w:rPr>
                              <w:t xml:space="preserve">% </w:t>
                            </w:r>
                            <w:r>
                              <w:rPr>
                                <w:rFonts w:cs="Arial"/>
                              </w:rPr>
                              <w:t>(Oct 14 – Mar 15) and 85% (Apr – Sep 14).</w:t>
                            </w:r>
                          </w:p>
                          <w:p w:rsidR="00DF4C84" w:rsidRDefault="00DF4C84" w:rsidP="005316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8.25pt;margin-top:12.1pt;width:192.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" stroked="f">
                <v:textbox style="mso-fit-shape-to-text:t">
                  <w:txbxContent>
                    <w:p w:rsidR="00DF4C84" w:rsidRPr="00664BFB" w:rsidRDefault="00DF4C84" w:rsidP="00531623">
                      <w:pPr>
                        <w:tabs>
                          <w:tab w:val="left" w:pos="709"/>
                        </w:tabs>
                        <w:spacing w:after="0" w:line="240" w:lineRule="auto"/>
                        <w:jc w:val="both"/>
                        <w:rPr>
                          <w:rFonts w:cs="Arial"/>
                        </w:rPr>
                      </w:pPr>
                      <w:r w:rsidRPr="00664BFB">
                        <w:rPr>
                          <w:rFonts w:cs="Arial"/>
                        </w:rPr>
                        <w:t xml:space="preserve">82% of respondents agreed that the Online Guidance were either excellent or good, </w:t>
                      </w:r>
                      <w:r w:rsidRPr="00BD5BBB">
                        <w:rPr>
                          <w:rFonts w:cs="Arial"/>
                        </w:rPr>
                        <w:t>compared to 9</w:t>
                      </w:r>
                      <w:r>
                        <w:rPr>
                          <w:rFonts w:cs="Arial"/>
                        </w:rPr>
                        <w:t>0</w:t>
                      </w:r>
                      <w:r w:rsidRPr="00BD5BBB">
                        <w:rPr>
                          <w:rFonts w:cs="Arial"/>
                        </w:rPr>
                        <w:t xml:space="preserve">% </w:t>
                      </w:r>
                      <w:r>
                        <w:rPr>
                          <w:rFonts w:cs="Arial"/>
                        </w:rPr>
                        <w:t>(Oct 14 – Mar 15) and 85% (Apr – Sep 14).</w:t>
                      </w:r>
                    </w:p>
                    <w:p w:rsidR="00DF4C84" w:rsidRDefault="00DF4C84" w:rsidP="00531623"/>
                  </w:txbxContent>
                </v:textbox>
              </v:shape>
            </w:pict>
          </mc:Fallback>
        </mc:AlternateContent>
      </w:r>
      <w:r w:rsidRPr="00531623">
        <w:rPr>
          <w:rFonts w:cs="Arial"/>
          <w:i/>
          <w:noProof/>
          <w:color w:val="000000" w:themeColor="text1"/>
          <w:lang w:eastAsia="en-GB"/>
        </w:rPr>
        <w:drawing>
          <wp:anchor distT="0" distB="0" distL="114300" distR="114300" simplePos="0" relativeHeight="251661312" behindDoc="0" locked="0" layoutInCell="1" allowOverlap="1" wp14:anchorId="1FBA69E9" wp14:editId="4D7DE31D">
            <wp:simplePos x="0" y="0"/>
            <wp:positionH relativeFrom="column">
              <wp:posOffset>85725</wp:posOffset>
            </wp:positionH>
            <wp:positionV relativeFrom="paragraph">
              <wp:posOffset>67945</wp:posOffset>
            </wp:positionV>
            <wp:extent cx="3600000" cy="2520000"/>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Key to graphs</w:t>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w:drawing>
          <wp:inline distT="0" distB="0" distL="0" distR="0" wp14:anchorId="76A70255" wp14:editId="00116C85">
            <wp:extent cx="5133975" cy="3845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rotWithShape="1">
                    <a:blip r:embed="rId21">
                      <a:extLst>
                        <a:ext uri="{28A0092B-C50C-407E-A947-70E740481C1C}">
                          <a14:useLocalDpi xmlns:a14="http://schemas.microsoft.com/office/drawing/2010/main" val="0"/>
                        </a:ext>
                      </a:extLst>
                    </a:blip>
                    <a:srcRect l="914" t="12727" r="1462" b="14546"/>
                    <a:stretch/>
                  </pic:blipFill>
                  <pic:spPr bwMode="auto">
                    <a:xfrm>
                      <a:off x="0" y="0"/>
                      <a:ext cx="5136172" cy="384732"/>
                    </a:xfrm>
                    <a:prstGeom prst="rect">
                      <a:avLst/>
                    </a:prstGeom>
                    <a:ln>
                      <a:noFill/>
                    </a:ln>
                    <a:extLst>
                      <a:ext uri="{53640926-AAD7-44D8-BBD7-CCE9431645EC}">
                        <a14:shadowObscured xmlns:a14="http://schemas.microsoft.com/office/drawing/2010/main"/>
                      </a:ext>
                    </a:extLst>
                  </pic:spPr>
                </pic:pic>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Figure 8.   HRA Website</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mc:AlternateContent>
          <mc:Choice Requires="wps">
            <w:drawing>
              <wp:anchor distT="0" distB="0" distL="114300" distR="114300" simplePos="0" relativeHeight="251664384" behindDoc="0" locked="0" layoutInCell="1" allowOverlap="1" wp14:anchorId="73FE3F35" wp14:editId="7BCBD2F4">
                <wp:simplePos x="0" y="0"/>
                <wp:positionH relativeFrom="column">
                  <wp:posOffset>3685540</wp:posOffset>
                </wp:positionH>
                <wp:positionV relativeFrom="paragraph">
                  <wp:posOffset>93980</wp:posOffset>
                </wp:positionV>
                <wp:extent cx="2374265" cy="1403985"/>
                <wp:effectExtent l="0" t="0" r="698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F4C84" w:rsidRPr="00664BFB" w:rsidRDefault="00DF4C84" w:rsidP="00531623">
                            <w:pPr>
                              <w:pStyle w:val="ListParagraph"/>
                              <w:tabs>
                                <w:tab w:val="left" w:pos="709"/>
                              </w:tabs>
                              <w:ind w:left="-142"/>
                            </w:pPr>
                            <w:r>
                              <w:t>90</w:t>
                            </w:r>
                            <w:r w:rsidRPr="00A5736E">
                              <w:t>% of those responding to how they found the HRA website rated it excellent or good,</w:t>
                            </w:r>
                            <w:r>
                              <w:t xml:space="preserve"> this being the same score as the previous reporting period, and a 5% improvement on Apr – Sep 14.</w:t>
                            </w:r>
                          </w:p>
                          <w:p w:rsidR="00DF4C84" w:rsidRDefault="00DF4C84" w:rsidP="00531623">
                            <w:pPr>
                              <w:pStyle w:val="ListParagraph"/>
                              <w:tabs>
                                <w:tab w:val="left" w:pos="709"/>
                              </w:tabs>
                              <w:ind w:left="284"/>
                            </w:pPr>
                            <w:r w:rsidRPr="00A5736E">
                              <w:t xml:space="preserve"> </w:t>
                            </w:r>
                          </w:p>
                          <w:p w:rsidR="00DF4C84" w:rsidRDefault="00DF4C84" w:rsidP="005316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90.2pt;margin-top:7.4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7xJAIAACQ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" stroked="f">
                <v:textbox style="mso-fit-shape-to-text:t">
                  <w:txbxContent>
                    <w:p w:rsidR="00DF4C84" w:rsidRPr="00664BFB" w:rsidRDefault="00DF4C84" w:rsidP="00531623">
                      <w:pPr>
                        <w:pStyle w:val="ListParagraph"/>
                        <w:tabs>
                          <w:tab w:val="left" w:pos="709"/>
                        </w:tabs>
                        <w:ind w:left="-142"/>
                      </w:pPr>
                      <w:r>
                        <w:t>90</w:t>
                      </w:r>
                      <w:r w:rsidRPr="00A5736E">
                        <w:t>% of those responding to how they found the HRA website rated it excellent or good,</w:t>
                      </w:r>
                      <w:r>
                        <w:t xml:space="preserve"> this being the same score as the previous reporting period, and a 5% improvement on Apr – Sep 14.</w:t>
                      </w:r>
                    </w:p>
                    <w:p w:rsidR="00DF4C84" w:rsidRDefault="00DF4C84" w:rsidP="00531623">
                      <w:pPr>
                        <w:pStyle w:val="ListParagraph"/>
                        <w:tabs>
                          <w:tab w:val="left" w:pos="709"/>
                        </w:tabs>
                        <w:ind w:left="284"/>
                      </w:pPr>
                      <w:r w:rsidRPr="00A5736E">
                        <w:t xml:space="preserve"> </w:t>
                      </w:r>
                    </w:p>
                    <w:p w:rsidR="00DF4C84" w:rsidRDefault="00DF4C84" w:rsidP="00531623"/>
                  </w:txbxContent>
                </v:textbox>
              </v:shape>
            </w:pict>
          </mc:Fallback>
        </mc:AlternateContent>
      </w:r>
      <w:r w:rsidRPr="00531623">
        <w:rPr>
          <w:rFonts w:cs="Arial"/>
          <w:noProof/>
          <w:color w:val="000000" w:themeColor="text1"/>
          <w:lang w:eastAsia="en-GB"/>
        </w:rPr>
        <w:drawing>
          <wp:inline distT="0" distB="0" distL="0" distR="0" wp14:anchorId="5568E0D6" wp14:editId="338657DF">
            <wp:extent cx="3286272" cy="216000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Figure 9.   HRA Queries Line</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noProof/>
          <w:color w:val="000000" w:themeColor="text1"/>
          <w:lang w:eastAsia="en-GB"/>
        </w:rPr>
        <mc:AlternateContent>
          <mc:Choice Requires="wps">
            <w:drawing>
              <wp:anchor distT="0" distB="0" distL="114300" distR="114300" simplePos="0" relativeHeight="251663360" behindDoc="0" locked="0" layoutInCell="1" allowOverlap="1" wp14:anchorId="42D22305" wp14:editId="12963BFA">
                <wp:simplePos x="0" y="0"/>
                <wp:positionH relativeFrom="column">
                  <wp:posOffset>3514090</wp:posOffset>
                </wp:positionH>
                <wp:positionV relativeFrom="paragraph">
                  <wp:posOffset>-3810</wp:posOffset>
                </wp:positionV>
                <wp:extent cx="2374265" cy="1403985"/>
                <wp:effectExtent l="0" t="0" r="698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F4C84" w:rsidRDefault="00DF4C84" w:rsidP="00531623">
                            <w:pPr>
                              <w:jc w:val="both"/>
                            </w:pPr>
                            <w:r w:rsidRPr="006769BC">
                              <w:rPr>
                                <w:rFonts w:cs="Arial"/>
                              </w:rPr>
                              <w:t>93% of respondents scored the service provided by the HRA queries line either excellent or good</w:t>
                            </w:r>
                            <w:r>
                              <w:rPr>
                                <w:rFonts w:cs="Arial"/>
                              </w:rPr>
                              <w:t>,</w:t>
                            </w:r>
                            <w:r w:rsidRPr="006769BC">
                              <w:rPr>
                                <w:rFonts w:cs="Arial"/>
                              </w:rPr>
                              <w:t xml:space="preserve"> </w:t>
                            </w:r>
                            <w:r>
                              <w:rPr>
                                <w:rFonts w:cs="Arial"/>
                              </w:rPr>
                              <w:t xml:space="preserve">compared to </w:t>
                            </w:r>
                            <w:r w:rsidRPr="006769BC">
                              <w:rPr>
                                <w:rFonts w:cs="Arial"/>
                              </w:rPr>
                              <w:t xml:space="preserve">94% in the previous </w:t>
                            </w:r>
                            <w:r>
                              <w:rPr>
                                <w:rFonts w:cs="Arial"/>
                              </w:rPr>
                              <w:t xml:space="preserve">two </w:t>
                            </w:r>
                            <w:r w:rsidRPr="006769BC">
                              <w:rPr>
                                <w:rFonts w:cs="Arial"/>
                              </w:rPr>
                              <w:t>reporting period</w:t>
                            </w:r>
                            <w:r>
                              <w:rPr>
                                <w:rFonts w:cs="Arial"/>
                              </w:rPr>
                              <w:t>s</w:t>
                            </w:r>
                            <w:r w:rsidRPr="006769BC">
                              <w:rPr>
                                <w:rFonts w:cs="Aria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76.7pt;margin-top:-.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0yJAIAACQ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" stroked="f">
                <v:textbox style="mso-fit-shape-to-text:t">
                  <w:txbxContent>
                    <w:p w:rsidR="00DF4C84" w:rsidRDefault="00DF4C84" w:rsidP="00531623">
                      <w:pPr>
                        <w:jc w:val="both"/>
                      </w:pPr>
                      <w:r w:rsidRPr="006769BC">
                        <w:rPr>
                          <w:rFonts w:cs="Arial"/>
                        </w:rPr>
                        <w:t>93% of respondents scored the service provided by the HRA queries line either excellent or good</w:t>
                      </w:r>
                      <w:r>
                        <w:rPr>
                          <w:rFonts w:cs="Arial"/>
                        </w:rPr>
                        <w:t>,</w:t>
                      </w:r>
                      <w:r w:rsidRPr="006769BC">
                        <w:rPr>
                          <w:rFonts w:cs="Arial"/>
                        </w:rPr>
                        <w:t xml:space="preserve"> </w:t>
                      </w:r>
                      <w:r>
                        <w:rPr>
                          <w:rFonts w:cs="Arial"/>
                        </w:rPr>
                        <w:t xml:space="preserve">compared to </w:t>
                      </w:r>
                      <w:r w:rsidRPr="006769BC">
                        <w:rPr>
                          <w:rFonts w:cs="Arial"/>
                        </w:rPr>
                        <w:t xml:space="preserve">94% in the previous </w:t>
                      </w:r>
                      <w:r>
                        <w:rPr>
                          <w:rFonts w:cs="Arial"/>
                        </w:rPr>
                        <w:t xml:space="preserve">two </w:t>
                      </w:r>
                      <w:r w:rsidRPr="006769BC">
                        <w:rPr>
                          <w:rFonts w:cs="Arial"/>
                        </w:rPr>
                        <w:t>reporting period</w:t>
                      </w:r>
                      <w:r>
                        <w:rPr>
                          <w:rFonts w:cs="Arial"/>
                        </w:rPr>
                        <w:t>s</w:t>
                      </w:r>
                      <w:r w:rsidRPr="006769BC">
                        <w:rPr>
                          <w:rFonts w:cs="Arial"/>
                        </w:rPr>
                        <w:t>.</w:t>
                      </w:r>
                    </w:p>
                  </w:txbxContent>
                </v:textbox>
              </v:shape>
            </w:pict>
          </mc:Fallback>
        </mc:AlternateContent>
      </w:r>
      <w:r w:rsidRPr="00531623">
        <w:rPr>
          <w:rFonts w:cs="Arial"/>
          <w:noProof/>
          <w:color w:val="000000" w:themeColor="text1"/>
          <w:lang w:eastAsia="en-GB"/>
        </w:rPr>
        <w:drawing>
          <wp:inline distT="0" distB="0" distL="0" distR="0" wp14:anchorId="2887B266" wp14:editId="78D3BEF4">
            <wp:extent cx="3348000" cy="2160000"/>
            <wp:effectExtent l="0" t="0" r="508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Figure 10.   REC / CAT Staff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noProof/>
          <w:color w:val="000000" w:themeColor="text1"/>
          <w:lang w:eastAsia="en-GB"/>
        </w:rPr>
        <w:lastRenderedPageBreak/>
        <mc:AlternateContent>
          <mc:Choice Requires="wps">
            <w:drawing>
              <wp:anchor distT="0" distB="0" distL="114300" distR="114300" simplePos="0" relativeHeight="251662336" behindDoc="0" locked="0" layoutInCell="1" allowOverlap="1" wp14:anchorId="2BA43075" wp14:editId="54E3C468">
                <wp:simplePos x="0" y="0"/>
                <wp:positionH relativeFrom="column">
                  <wp:posOffset>3514725</wp:posOffset>
                </wp:positionH>
                <wp:positionV relativeFrom="paragraph">
                  <wp:posOffset>100330</wp:posOffset>
                </wp:positionV>
                <wp:extent cx="2374265" cy="81915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9150"/>
                        </a:xfrm>
                        <a:prstGeom prst="rect">
                          <a:avLst/>
                        </a:prstGeom>
                        <a:solidFill>
                          <a:srgbClr val="FFFFFF"/>
                        </a:solidFill>
                        <a:ln w="9525">
                          <a:noFill/>
                          <a:miter lim="800000"/>
                          <a:headEnd/>
                          <a:tailEnd/>
                        </a:ln>
                      </wps:spPr>
                      <wps:txbx>
                        <w:txbxContent>
                          <w:p w:rsidR="00DF4C84" w:rsidRPr="00190F9C" w:rsidRDefault="00DF4C84" w:rsidP="00531623">
                            <w:pPr>
                              <w:spacing w:after="0" w:line="240" w:lineRule="auto"/>
                              <w:jc w:val="both"/>
                              <w:rPr>
                                <w:rFonts w:cs="Arial"/>
                              </w:rPr>
                            </w:pPr>
                            <w:r w:rsidRPr="00190F9C">
                              <w:rPr>
                                <w:rFonts w:cs="Arial"/>
                              </w:rPr>
                              <w:t xml:space="preserve">98% of respondents rated REC/CAT staff either excellent or good, compared to 94% in the </w:t>
                            </w:r>
                            <w:r w:rsidRPr="006769BC">
                              <w:rPr>
                                <w:rFonts w:cs="Arial"/>
                              </w:rPr>
                              <w:t xml:space="preserve">previous </w:t>
                            </w:r>
                            <w:r>
                              <w:rPr>
                                <w:rFonts w:cs="Arial"/>
                              </w:rPr>
                              <w:t xml:space="preserve">two </w:t>
                            </w:r>
                            <w:r w:rsidRPr="006769BC">
                              <w:rPr>
                                <w:rFonts w:cs="Arial"/>
                              </w:rPr>
                              <w:t>reporting period</w:t>
                            </w:r>
                            <w:r>
                              <w:rPr>
                                <w:rFonts w:cs="Arial"/>
                              </w:rPr>
                              <w: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76.75pt;margin-top:7.9pt;width:186.95pt;height:6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hJAIAACQ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" stroked="f">
                <v:textbox>
                  <w:txbxContent>
                    <w:p w:rsidR="00DF4C84" w:rsidRPr="00190F9C" w:rsidRDefault="00DF4C84" w:rsidP="00531623">
                      <w:pPr>
                        <w:spacing w:after="0" w:line="240" w:lineRule="auto"/>
                        <w:jc w:val="both"/>
                        <w:rPr>
                          <w:rFonts w:cs="Arial"/>
                        </w:rPr>
                      </w:pPr>
                      <w:r w:rsidRPr="00190F9C">
                        <w:rPr>
                          <w:rFonts w:cs="Arial"/>
                        </w:rPr>
                        <w:t xml:space="preserve">98% of </w:t>
                      </w:r>
                      <w:proofErr w:type="gramStart"/>
                      <w:r w:rsidRPr="00190F9C">
                        <w:rPr>
                          <w:rFonts w:cs="Arial"/>
                        </w:rPr>
                        <w:t>respondents</w:t>
                      </w:r>
                      <w:proofErr w:type="gramEnd"/>
                      <w:r w:rsidRPr="00190F9C">
                        <w:rPr>
                          <w:rFonts w:cs="Arial"/>
                        </w:rPr>
                        <w:t xml:space="preserve"> rated REC/CAT staff either excellent or good, compared to 94% in the </w:t>
                      </w:r>
                      <w:r w:rsidRPr="006769BC">
                        <w:rPr>
                          <w:rFonts w:cs="Arial"/>
                        </w:rPr>
                        <w:t xml:space="preserve">previous </w:t>
                      </w:r>
                      <w:r>
                        <w:rPr>
                          <w:rFonts w:cs="Arial"/>
                        </w:rPr>
                        <w:t xml:space="preserve">two </w:t>
                      </w:r>
                      <w:r w:rsidRPr="006769BC">
                        <w:rPr>
                          <w:rFonts w:cs="Arial"/>
                        </w:rPr>
                        <w:t>reporting period</w:t>
                      </w:r>
                      <w:r>
                        <w:rPr>
                          <w:rFonts w:cs="Arial"/>
                        </w:rPr>
                        <w:t>s.</w:t>
                      </w:r>
                    </w:p>
                  </w:txbxContent>
                </v:textbox>
              </v:shape>
            </w:pict>
          </mc:Fallback>
        </mc:AlternateContent>
      </w:r>
      <w:r w:rsidRPr="00531623">
        <w:rPr>
          <w:rFonts w:cs="Arial"/>
          <w:noProof/>
          <w:color w:val="000000" w:themeColor="text1"/>
          <w:lang w:eastAsia="en-GB"/>
        </w:rPr>
        <w:drawing>
          <wp:inline distT="0" distB="0" distL="0" distR="0" wp14:anchorId="40F2A3B2" wp14:editId="377EBC4E">
            <wp:extent cx="3347720" cy="2159635"/>
            <wp:effectExtent l="0" t="0" r="0" b="0"/>
            <wp:docPr id="317" name="Chart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 xml:space="preserve">IRAS Feedback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Respondents were asked to note any comments in connection to their experience of using IRAS.</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111 comments were received in total (25 positive, 51 negative and 36 neutral).  </w:t>
      </w:r>
      <w:r w:rsidRPr="00531623">
        <w:rPr>
          <w:rFonts w:cs="Arial"/>
          <w:i/>
          <w:color w:val="000000" w:themeColor="text1"/>
        </w:rPr>
        <w:t>Comments are copied directly from the online survey.</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Many of the positive comments received related to the ease of use of IRAS acknowledging the helpfulness of the supporting guidance and additional functions to facilitate the application process. One applicant noted ‘the information buttons are helpful land by reading then thoroughly it is apparent what is being asked.’   A few comments highlighted the usefulness of the supporting online IRAS training facility, with one respondent noting, “</w:t>
      </w:r>
      <w:r w:rsidRPr="00531623">
        <w:rPr>
          <w:rFonts w:cs="Arial"/>
          <w:color w:val="000000" w:themeColor="text1"/>
          <w:lang w:val="en"/>
        </w:rPr>
        <w:t>The learning exercise guided me well and helped me to navigate smoothly</w:t>
      </w:r>
      <w:r w:rsidRPr="00531623">
        <w:rPr>
          <w:rFonts w:cs="Arial"/>
          <w:i/>
          <w:color w:val="000000" w:themeColor="text1"/>
        </w:rPr>
        <w:t xml:space="preserv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Negative comments received relating to IRAS described the system as ‘clucky’, ‘non-user friendly’ ‘unclear’, ‘frustrating’ ‘repetitive’ and ‘out-dated’.  Some respondents noted their experience of ‘glitches with the system and there were multiple references to the time taken to complete the form.  One respondent stated “</w:t>
      </w:r>
      <w:r w:rsidRPr="00531623">
        <w:rPr>
          <w:rFonts w:cs="Arial"/>
          <w:i/>
          <w:color w:val="000000" w:themeColor="text1"/>
        </w:rPr>
        <w:t>It is hard to navigate and figure out what you have to add/fill in when you never used it before; it also takes a lot of time to figure out what you really need. The system should be more user friendly for people who don't do this all the time and are mostly doing benchwork instead of paperwork.”</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Many of the neutral comments received indicate that the system is satisfactory to users with one respondent noting, “</w:t>
      </w:r>
      <w:r w:rsidRPr="00531623">
        <w:rPr>
          <w:rFonts w:cs="Arial"/>
          <w:i/>
          <w:color w:val="000000" w:themeColor="text1"/>
        </w:rPr>
        <w:t>I think it takes a bit of getting used to. All the information is there, but there are no easy short-cuts. Not everyone has the confidence to phone someone up to ask. I know people new to research find it very challenging indeed</w:t>
      </w:r>
      <w:r w:rsidRPr="00531623">
        <w:rPr>
          <w:rFonts w:cs="Arial"/>
          <w:color w:val="000000" w:themeColor="text1"/>
        </w:rPr>
        <w:t>”. A number of respondents made suggestions for further improvements, such as “</w:t>
      </w:r>
      <w:r w:rsidRPr="00531623">
        <w:rPr>
          <w:rFonts w:cs="Arial"/>
          <w:i/>
          <w:color w:val="000000" w:themeColor="text1"/>
        </w:rPr>
        <w:t>Providing word documents as template forms with embedded guidance would make creating an application a lot easier</w:t>
      </w:r>
      <w:r w:rsidRPr="00531623">
        <w:rPr>
          <w:rFonts w:cs="Arial"/>
          <w:color w:val="000000" w:themeColor="text1"/>
        </w:rPr>
        <w:t>” and “</w:t>
      </w:r>
      <w:r w:rsidRPr="00531623">
        <w:rPr>
          <w:rFonts w:cs="Arial"/>
          <w:i/>
          <w:color w:val="000000" w:themeColor="text1"/>
        </w:rPr>
        <w:t>While it is great to have a system that integrates multiple applications and we love the idea in principle, the ongoing need for signatures across multiple applications and from multiple people is cumbersome.  It would have been helpful to have a "validation" review of the entire application where problems were ironed out prior to actual submissions.</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b/>
          <w:color w:val="000000" w:themeColor="text1"/>
        </w:rPr>
      </w:pPr>
    </w:p>
    <w:p w:rsidR="00F0760B" w:rsidRDefault="00F0760B" w:rsidP="00531623">
      <w:pPr>
        <w:tabs>
          <w:tab w:val="left" w:pos="1980"/>
        </w:tabs>
        <w:spacing w:after="0" w:line="240" w:lineRule="auto"/>
        <w:jc w:val="both"/>
        <w:rPr>
          <w:rFonts w:cs="Arial"/>
          <w:b/>
          <w:bCs/>
          <w:color w:val="000000" w:themeColor="text1"/>
        </w:rPr>
      </w:pPr>
    </w:p>
    <w:p w:rsidR="00F0760B" w:rsidRDefault="00F0760B"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Attendance at the REC/CAG meeting</w:t>
      </w: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Figure 11. Respondents were asked whether they attended the REC/CAG meeting, and if so were they treated fairly and with respect by the Committee </w:t>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noProof/>
          <w:color w:val="000000" w:themeColor="text1"/>
          <w:lang w:eastAsia="en-GB"/>
        </w:rPr>
        <w:lastRenderedPageBreak/>
        <mc:AlternateContent>
          <mc:Choice Requires="wps">
            <w:drawing>
              <wp:anchor distT="0" distB="0" distL="114300" distR="114300" simplePos="0" relativeHeight="251667456" behindDoc="0" locked="0" layoutInCell="1" allowOverlap="1" wp14:anchorId="796BFC27" wp14:editId="3EB54F17">
                <wp:simplePos x="0" y="0"/>
                <wp:positionH relativeFrom="column">
                  <wp:posOffset>3209925</wp:posOffset>
                </wp:positionH>
                <wp:positionV relativeFrom="paragraph">
                  <wp:posOffset>347980</wp:posOffset>
                </wp:positionV>
                <wp:extent cx="2576830" cy="11525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1152525"/>
                        </a:xfrm>
                        <a:prstGeom prst="rect">
                          <a:avLst/>
                        </a:prstGeom>
                        <a:solidFill>
                          <a:srgbClr val="FFFFFF"/>
                        </a:solidFill>
                        <a:ln w="9525">
                          <a:noFill/>
                          <a:miter lim="800000"/>
                          <a:headEnd/>
                          <a:tailEnd/>
                        </a:ln>
                      </wps:spPr>
                      <wps:txbx>
                        <w:txbxContent>
                          <w:p w:rsidR="00DF4C84" w:rsidRPr="000A5C4D" w:rsidRDefault="00DF4C84" w:rsidP="00531623">
                            <w:pPr>
                              <w:spacing w:after="0" w:line="240" w:lineRule="auto"/>
                              <w:rPr>
                                <w:rFonts w:cs="Arial"/>
                              </w:rPr>
                            </w:pPr>
                            <w:r w:rsidRPr="000A5C4D">
                              <w:rPr>
                                <w:rFonts w:cs="Arial"/>
                              </w:rPr>
                              <w:t>The proportionate of respondents who answered ‘no’ to this que</w:t>
                            </w:r>
                            <w:r>
                              <w:rPr>
                                <w:rFonts w:cs="Arial"/>
                              </w:rPr>
                              <w:t xml:space="preserve">stion has reduced from 4% to 1% when compared to the </w:t>
                            </w:r>
                            <w:r w:rsidRPr="000A5C4D">
                              <w:rPr>
                                <w:rFonts w:cs="Arial"/>
                              </w:rPr>
                              <w:t>previous reporting period (Oct</w:t>
                            </w:r>
                            <w:r>
                              <w:rPr>
                                <w:rFonts w:cs="Arial"/>
                              </w:rPr>
                              <w:t xml:space="preserve"> </w:t>
                            </w:r>
                            <w:r w:rsidRPr="000A5C4D">
                              <w:rPr>
                                <w:rFonts w:cs="Arial"/>
                              </w:rPr>
                              <w:t>14 – Mar</w:t>
                            </w:r>
                            <w:r>
                              <w:rPr>
                                <w:rFonts w:cs="Arial"/>
                              </w:rPr>
                              <w:t xml:space="preserve"> 1</w:t>
                            </w:r>
                            <w:r w:rsidRPr="000A5C4D">
                              <w:rPr>
                                <w:rFonts w:cs="Arial"/>
                              </w:rPr>
                              <w:t>5);</w:t>
                            </w:r>
                          </w:p>
                          <w:p w:rsidR="00DF4C84" w:rsidRPr="00190F9C" w:rsidRDefault="00DF4C84" w:rsidP="00531623">
                            <w:pPr>
                              <w:spacing w:after="0" w:line="240" w:lineRule="auto"/>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2.75pt;margin-top:27.4pt;width:202.9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" stroked="f">
                <v:textbox>
                  <w:txbxContent>
                    <w:p w:rsidR="00DF4C84" w:rsidRPr="000A5C4D" w:rsidRDefault="00DF4C84" w:rsidP="00531623">
                      <w:pPr>
                        <w:spacing w:after="0" w:line="240" w:lineRule="auto"/>
                        <w:rPr>
                          <w:rFonts w:cs="Arial"/>
                        </w:rPr>
                      </w:pPr>
                      <w:r w:rsidRPr="000A5C4D">
                        <w:rPr>
                          <w:rFonts w:cs="Arial"/>
                        </w:rPr>
                        <w:t>The proportionate of respondents who answered ‘no’ to this que</w:t>
                      </w:r>
                      <w:r>
                        <w:rPr>
                          <w:rFonts w:cs="Arial"/>
                        </w:rPr>
                        <w:t xml:space="preserve">stion has reduced from 4% to 1% when compared to the </w:t>
                      </w:r>
                      <w:r w:rsidRPr="000A5C4D">
                        <w:rPr>
                          <w:rFonts w:cs="Arial"/>
                        </w:rPr>
                        <w:t>previous reporting period (Oct</w:t>
                      </w:r>
                      <w:r>
                        <w:rPr>
                          <w:rFonts w:cs="Arial"/>
                        </w:rPr>
                        <w:t xml:space="preserve"> </w:t>
                      </w:r>
                      <w:r w:rsidRPr="000A5C4D">
                        <w:rPr>
                          <w:rFonts w:cs="Arial"/>
                        </w:rPr>
                        <w:t>14 – Mar</w:t>
                      </w:r>
                      <w:r>
                        <w:rPr>
                          <w:rFonts w:cs="Arial"/>
                        </w:rPr>
                        <w:t xml:space="preserve"> 1</w:t>
                      </w:r>
                      <w:r w:rsidRPr="000A5C4D">
                        <w:rPr>
                          <w:rFonts w:cs="Arial"/>
                        </w:rPr>
                        <w:t>5);</w:t>
                      </w:r>
                    </w:p>
                    <w:p w:rsidR="00DF4C84" w:rsidRPr="00190F9C" w:rsidRDefault="00DF4C84" w:rsidP="00531623">
                      <w:pPr>
                        <w:spacing w:after="0" w:line="240" w:lineRule="auto"/>
                        <w:jc w:val="both"/>
                        <w:rPr>
                          <w:rFonts w:cs="Arial"/>
                        </w:rPr>
                      </w:pPr>
                    </w:p>
                  </w:txbxContent>
                </v:textbox>
              </v:shape>
            </w:pict>
          </mc:Fallback>
        </mc:AlternateContent>
      </w:r>
      <w:r w:rsidRPr="00531623">
        <w:rPr>
          <w:rFonts w:cs="Arial"/>
          <w:noProof/>
          <w:color w:val="000000" w:themeColor="text1"/>
          <w:lang w:eastAsia="en-GB"/>
        </w:rPr>
        <w:drawing>
          <wp:inline distT="0" distB="0" distL="0" distR="0" wp14:anchorId="4CA806FD" wp14:editId="6520E562">
            <wp:extent cx="3295650" cy="2781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Respondents were asked whether or not they wished to comment in connection with their attendance at the REC/CAG meeting.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75 comments were received (55 positive, 08 negative and 12 neutral). </w:t>
      </w:r>
      <w:r w:rsidRPr="00531623">
        <w:rPr>
          <w:rFonts w:cs="Arial"/>
          <w:i/>
          <w:color w:val="000000" w:themeColor="text1"/>
        </w:rPr>
        <w:t>Comments are copied directly from the online survey.</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i/>
          <w:color w:val="000000" w:themeColor="text1"/>
        </w:rPr>
      </w:pPr>
      <w:r w:rsidRPr="00531623">
        <w:rPr>
          <w:rFonts w:cs="Arial"/>
          <w:color w:val="000000" w:themeColor="text1"/>
        </w:rPr>
        <w:t xml:space="preserve">As with the previous reporting period comments a significantly high proportionate of the received from respondents attending the REC /CAG meeting were classed as positive (73% for the reporting period compared to 68% in the last reporting period)   A  number of the respondents described their experience as ‘excellent’ with many acknowledging the friendliness, supportiveness and helpfulness of the Committee.   </w:t>
      </w:r>
      <w:r w:rsidRPr="00531623">
        <w:rPr>
          <w:rFonts w:cs="Arial"/>
          <w:i/>
          <w:color w:val="000000" w:themeColor="text1"/>
        </w:rPr>
        <w:t xml:space="preserve">One respondent noted “I felt very welcomed by the committee and I appreciated the positive comments they made about my application, especially as it was much first one, it was very encouraging. I also found the questions they asked and recommendations helpful. </w:t>
      </w:r>
      <w:r w:rsidRPr="00531623">
        <w:rPr>
          <w:rFonts w:cs="Arial"/>
          <w:color w:val="000000" w:themeColor="text1"/>
        </w:rPr>
        <w:t>Another respondent commented</w:t>
      </w:r>
      <w:r w:rsidRPr="00531623">
        <w:rPr>
          <w:rFonts w:cs="Arial"/>
          <w:i/>
          <w:color w:val="000000" w:themeColor="text1"/>
        </w:rPr>
        <w:t>, “We were made to feel extremely welcome at the REC meeting, and all of the committee members were polite in their questioning. Questions asked were appropriate for the nature of the study, and the comments made at the REC meeting were valid.”</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Of the 75 comments received eight of these categorised as negative.  Respondents who wished to comment in connection with their attendance at the meeting highlighted areas of concern pertaining to lack of specialist knowledge on the committee, inadequate pre-meeting preparation, with one respondent noting their dissatisfaction in the incongruity of the meeting minutes.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A range of neutral comments were noted; of the 12 comments received one respondent noted that more time with the committee to discuss detail would have been helpful, another highlighted poor telephone connection which impacted on hearing all members, and a couple of respondents suggested that the committee members with the relevant expertise attend the meeting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b/>
          <w:bCs/>
          <w:color w:val="000000" w:themeColor="text1"/>
        </w:rPr>
        <w:br w:type="page"/>
      </w:r>
      <w:r w:rsidRPr="00531623">
        <w:rPr>
          <w:rFonts w:cs="Arial"/>
          <w:b/>
          <w:bCs/>
          <w:color w:val="000000" w:themeColor="text1"/>
        </w:rPr>
        <w:lastRenderedPageBreak/>
        <w:t>Post-meeting information</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Figure 12. Respondents were asked whether or not they felt the information they received post meeting was clear, useful and assisted them in advancing their research?</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This chart provides a comparison to findings from the previous two reporting period.</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noProof/>
          <w:color w:val="000000" w:themeColor="text1"/>
          <w:lang w:eastAsia="en-GB"/>
        </w:rPr>
        <w:drawing>
          <wp:inline distT="0" distB="0" distL="0" distR="0" wp14:anchorId="3B25E6E0" wp14:editId="3816E8BB">
            <wp:extent cx="4860000" cy="306000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Respondents were asked whether they had comments to make on the outcome (from review) information they had received.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color w:val="000000" w:themeColor="text1"/>
        </w:rPr>
        <w:t>59 comments were received (37 positive, 11 negative and 11 neutral).</w:t>
      </w:r>
      <w:r w:rsidRPr="00531623">
        <w:rPr>
          <w:rFonts w:cs="Arial"/>
          <w:b/>
          <w:color w:val="000000" w:themeColor="text1"/>
        </w:rPr>
        <w:t xml:space="preserve"> </w:t>
      </w:r>
      <w:r w:rsidRPr="00531623">
        <w:rPr>
          <w:rFonts w:cs="Arial"/>
          <w:i/>
          <w:color w:val="000000" w:themeColor="text1"/>
        </w:rPr>
        <w:t>Comments are copied directly from the online survey.</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i/>
          <w:color w:val="000000" w:themeColor="text1"/>
        </w:rPr>
      </w:pPr>
      <w:r w:rsidRPr="00531623">
        <w:rPr>
          <w:rFonts w:cs="Arial"/>
          <w:color w:val="000000" w:themeColor="text1"/>
        </w:rPr>
        <w:t>Several respondents made specific reference to the clarity, helpfulness and promptness of the information received post meeting. Some respondents expressed their appreciation for the committees suggestions; “</w:t>
      </w:r>
      <w:r w:rsidRPr="00531623">
        <w:rPr>
          <w:rFonts w:cs="Arial"/>
          <w:i/>
          <w:color w:val="000000" w:themeColor="text1"/>
        </w:rPr>
        <w:t>The conditions to be met for a favourable opinion were superb. They highly improved the patient information sheet and participant consent form to give few examples.</w:t>
      </w:r>
      <w:r w:rsidRPr="00531623">
        <w:rPr>
          <w:rFonts w:cs="Arial"/>
          <w:color w:val="000000" w:themeColor="text1"/>
        </w:rPr>
        <w:t>” And “</w:t>
      </w:r>
      <w:r w:rsidRPr="00531623">
        <w:rPr>
          <w:rFonts w:cs="Arial"/>
          <w:i/>
          <w:color w:val="000000" w:themeColor="text1"/>
        </w:rPr>
        <w:t>I had a small number of changes to make to the initial application before clearance was provided.  These made sense and were useful to the project”.</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i/>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Ten negative comments were received covering issue around delays in information being received post meeting and ambiguity and errors in the information provided. . </w:t>
      </w:r>
    </w:p>
    <w:p w:rsidR="00531623" w:rsidRPr="00531623" w:rsidRDefault="00531623" w:rsidP="00531623">
      <w:pPr>
        <w:tabs>
          <w:tab w:val="left" w:pos="1980"/>
        </w:tabs>
        <w:spacing w:after="0" w:line="240" w:lineRule="auto"/>
        <w:jc w:val="both"/>
        <w:rPr>
          <w:rFonts w:cs="Arial"/>
          <w:i/>
          <w:color w:val="000000" w:themeColor="text1"/>
        </w:rPr>
      </w:pPr>
    </w:p>
    <w:p w:rsidR="00531623" w:rsidRPr="00531623" w:rsidRDefault="00531623" w:rsidP="00531623">
      <w:pPr>
        <w:tabs>
          <w:tab w:val="left" w:pos="1980"/>
        </w:tabs>
        <w:spacing w:after="0" w:line="240" w:lineRule="auto"/>
        <w:jc w:val="both"/>
        <w:rPr>
          <w:rFonts w:cs="Arial"/>
          <w:i/>
          <w:color w:val="000000" w:themeColor="text1"/>
        </w:rPr>
      </w:pPr>
      <w:r w:rsidRPr="00531623">
        <w:rPr>
          <w:rFonts w:cs="Arial"/>
          <w:color w:val="000000" w:themeColor="text1"/>
        </w:rPr>
        <w:t>Eleven neutral comments were noted around the outcome of information received following review. One respondent noted, “</w:t>
      </w:r>
      <w:r w:rsidRPr="00531623">
        <w:rPr>
          <w:rFonts w:cs="Arial"/>
          <w:i/>
          <w:color w:val="000000" w:themeColor="text1"/>
        </w:rPr>
        <w:t xml:space="preserve">It would have been useful to have the opportunity to correspond directly with the chair of the REC regarding outstanding issues rather than always through other REC staff, to reduce delays”. </w:t>
      </w:r>
    </w:p>
    <w:p w:rsidR="00531623" w:rsidRPr="00531623" w:rsidRDefault="00531623" w:rsidP="00531623">
      <w:pPr>
        <w:tabs>
          <w:tab w:val="left" w:pos="1980"/>
        </w:tabs>
        <w:spacing w:after="0" w:line="240" w:lineRule="auto"/>
        <w:jc w:val="both"/>
        <w:rPr>
          <w:rFonts w:cs="Arial"/>
          <w:i/>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p>
    <w:p w:rsidR="00531623" w:rsidRPr="00531623" w:rsidRDefault="00531623" w:rsidP="00531623">
      <w:pPr>
        <w:tabs>
          <w:tab w:val="left" w:pos="1980"/>
        </w:tabs>
        <w:spacing w:after="0" w:line="240" w:lineRule="auto"/>
        <w:jc w:val="both"/>
        <w:rPr>
          <w:rFonts w:cs="Arial"/>
          <w:i/>
          <w:color w:val="000000" w:themeColor="text1"/>
        </w:rPr>
      </w:pPr>
      <w:r w:rsidRPr="00531623">
        <w:rPr>
          <w:rFonts w:cs="Arial"/>
          <w:b/>
          <w:bCs/>
          <w:color w:val="000000" w:themeColor="text1"/>
        </w:rPr>
        <w:t xml:space="preserve">Review process and added value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Figure 13. Respondents were asked whether or not they believed that the REC/CAG review process had added value to their application.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This chart provides a comparison to findings from the previous two reporting period.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noProof/>
          <w:color w:val="000000" w:themeColor="text1"/>
          <w:lang w:eastAsia="en-GB"/>
        </w:rPr>
        <w:drawing>
          <wp:inline distT="0" distB="0" distL="0" distR="0" wp14:anchorId="5BE83969" wp14:editId="76EF64AE">
            <wp:extent cx="4860000" cy="3060000"/>
            <wp:effectExtent l="0" t="0" r="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Respondents were asked to make comments on the review process.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58 comments were received (48 positive 05 negative and 05 neutral). </w:t>
      </w:r>
      <w:r w:rsidRPr="00531623">
        <w:rPr>
          <w:rFonts w:cs="Arial"/>
          <w:i/>
          <w:color w:val="000000" w:themeColor="text1"/>
        </w:rPr>
        <w:t>Comments are copied directly from the online survey.</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i/>
          <w:color w:val="000000" w:themeColor="text1"/>
        </w:rPr>
      </w:pPr>
      <w:r w:rsidRPr="00531623">
        <w:rPr>
          <w:rFonts w:cs="Arial"/>
          <w:color w:val="000000" w:themeColor="text1"/>
        </w:rPr>
        <w:t>Nearly 83% of the comments received on the review process were categorised as positive, compared to just above 60% during the last reporting period. Respondents described the process as ‘fair’, ‘efficient’ ‘robust’, ‘professional’ and ‘an excellent learning opportunity’. Comments included, “</w:t>
      </w:r>
      <w:r w:rsidRPr="00531623">
        <w:rPr>
          <w:rFonts w:cs="Arial"/>
          <w:i/>
          <w:color w:val="000000" w:themeColor="text1"/>
        </w:rPr>
        <w:t>The review process forces you to consider your protocol carefully particularly the impact it may have on research participants. It results in better research</w:t>
      </w:r>
      <w:r w:rsidRPr="00531623">
        <w:rPr>
          <w:rFonts w:cs="Arial"/>
          <w:color w:val="000000" w:themeColor="text1"/>
        </w:rPr>
        <w:t xml:space="preserve"> and </w:t>
      </w:r>
      <w:r w:rsidRPr="00531623">
        <w:rPr>
          <w:rFonts w:cs="Arial"/>
          <w:i/>
          <w:color w:val="000000" w:themeColor="text1"/>
        </w:rPr>
        <w:t xml:space="preserve">the process highlighted some issues we had not considered or given sufficient thought”. </w:t>
      </w:r>
      <w:r w:rsidRPr="00531623">
        <w:rPr>
          <w:rFonts w:cs="Arial"/>
          <w:color w:val="000000" w:themeColor="text1"/>
        </w:rPr>
        <w:t>One respondent noted that the process had “</w:t>
      </w:r>
      <w:r w:rsidRPr="00531623">
        <w:rPr>
          <w:rFonts w:cs="Arial"/>
          <w:i/>
          <w:color w:val="000000" w:themeColor="text1"/>
        </w:rPr>
        <w:t>added an extra layer of reflection and review. It also acknowledges that research governance to protect patients has been adhered to</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A small number of negative comments were noted, and therefore it is different to identify any themes. Of the comments received one related to ‘impractical’ suggestions made by the committee and their lack of appreciation and recognition of the rights of the research sample population. One respondent noted that the quick turn round time were ‘</w:t>
      </w:r>
      <w:r w:rsidRPr="00531623">
        <w:rPr>
          <w:rFonts w:cs="Arial"/>
          <w:i/>
          <w:color w:val="000000" w:themeColor="text1"/>
        </w:rPr>
        <w:t>challenging’</w:t>
      </w:r>
      <w:r w:rsidRPr="00531623">
        <w:rPr>
          <w:rFonts w:cs="Arial"/>
          <w:color w:val="000000" w:themeColor="text1"/>
        </w:rPr>
        <w:t xml:space="preserve"> and described how communication issues had impacted the process of re-submitting papers. </w:t>
      </w:r>
    </w:p>
    <w:p w:rsidR="00531623" w:rsidRPr="00531623" w:rsidRDefault="00531623" w:rsidP="00531623">
      <w:pPr>
        <w:tabs>
          <w:tab w:val="left" w:pos="1980"/>
        </w:tabs>
        <w:spacing w:after="0" w:line="240" w:lineRule="auto"/>
        <w:jc w:val="both"/>
        <w:rPr>
          <w:rFonts w:cs="Arial"/>
          <w:i/>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Five neutral comments were received. One respondent noted that, “</w:t>
      </w:r>
      <w:r w:rsidRPr="00531623">
        <w:rPr>
          <w:rFonts w:cs="Arial"/>
          <w:i/>
          <w:color w:val="000000" w:themeColor="text1"/>
        </w:rPr>
        <w:t xml:space="preserve">The REC required a number of actions in their provisional opinion, some of which have benefitted the study. Others, particularly certain details that had to be added to the PIS's and the protocol seemed unnecessary and therefore cannot be said to have added value.” </w:t>
      </w:r>
      <w:r w:rsidRPr="00531623">
        <w:rPr>
          <w:rFonts w:cs="Arial"/>
          <w:color w:val="000000" w:themeColor="text1"/>
        </w:rPr>
        <w:t>Another applicant noted</w:t>
      </w:r>
      <w:r w:rsidRPr="00531623">
        <w:rPr>
          <w:rFonts w:cs="Arial"/>
          <w:i/>
          <w:color w:val="000000" w:themeColor="text1"/>
        </w:rPr>
        <w:t>, “The comments were not unhelpful but I don't think they made a difference to the value of the research</w:t>
      </w:r>
      <w:r w:rsidRPr="00531623">
        <w:rPr>
          <w:rFonts w:cs="Arial"/>
          <w:color w:val="000000" w:themeColor="text1"/>
        </w:rPr>
        <w:t>.”</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b/>
          <w:bCs/>
          <w:color w:val="000000" w:themeColor="text1"/>
        </w:rPr>
      </w:pPr>
      <w:r w:rsidRPr="00531623">
        <w:rPr>
          <w:rFonts w:cs="Arial"/>
          <w:b/>
          <w:bCs/>
          <w:color w:val="000000" w:themeColor="text1"/>
        </w:rPr>
        <w:t>Service received</w:t>
      </w:r>
    </w:p>
    <w:p w:rsidR="00531623" w:rsidRPr="00531623" w:rsidRDefault="00531623" w:rsidP="00531623">
      <w:pPr>
        <w:tabs>
          <w:tab w:val="left" w:pos="1980"/>
        </w:tabs>
        <w:spacing w:after="0" w:line="240" w:lineRule="auto"/>
        <w:jc w:val="both"/>
        <w:rPr>
          <w:rFonts w:cs="Arial"/>
          <w:i/>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lastRenderedPageBreak/>
        <w:t xml:space="preserve">Respondents were asked whether they wished to make any comments on any aspect of the service they received and make any suggestion as to possible improvement.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68 comments were received (38 positive 07 negative and 23 neutral). </w:t>
      </w:r>
      <w:r w:rsidRPr="00531623">
        <w:rPr>
          <w:rFonts w:cs="Arial"/>
          <w:i/>
          <w:color w:val="000000" w:themeColor="text1"/>
        </w:rPr>
        <w:t>Comments are copied directly from the online survey.</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Committee staff received a number of positive comments regarding their professional manner and helpfulness.  One respondent commented, </w:t>
      </w:r>
      <w:r w:rsidRPr="00531623">
        <w:rPr>
          <w:rFonts w:cs="Arial"/>
          <w:i/>
          <w:color w:val="000000" w:themeColor="text1"/>
        </w:rPr>
        <w:t>The REC staff were very helpful.  They were knowledgeable, quick to respond, clear and accommodating.  The REC review experience from beginning to end was very professional and instructive</w:t>
      </w:r>
      <w:r w:rsidRPr="00531623">
        <w:rPr>
          <w:rFonts w:cs="Arial"/>
          <w:color w:val="000000" w:themeColor="text1"/>
        </w:rPr>
        <w:t>.  Another applicant noted, ‘</w:t>
      </w:r>
      <w:r w:rsidRPr="00531623">
        <w:rPr>
          <w:rFonts w:cs="Arial"/>
          <w:i/>
          <w:color w:val="000000" w:themeColor="text1"/>
        </w:rPr>
        <w:t>When the forms were all in place however I found the whole process to be very efficient and timely. Everyone I dealt with in the process was extremely helpful and genuinely seemed to be trying to make things progress rapidly’</w:t>
      </w:r>
      <w:r w:rsidRPr="00531623">
        <w:rPr>
          <w:rFonts w:cs="Arial"/>
          <w:color w:val="000000" w:themeColor="text1"/>
        </w:rPr>
        <w:t xml:space="preserve">.  It is very encourage to note that a number of respondents described the service they received as either ‘very efficient’  ‘excellent’, ‘timely’, ‘helpful’ and ‘supportive’.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Seven comments out of the 68 received were categorised as negative (compared to 20 out of 61 in the previous reporting period). A couple of respondents portrayed their experience of booking in their application for review as ‘rushed’. Another respond anted noted, “</w:t>
      </w:r>
      <w:r w:rsidRPr="00531623">
        <w:rPr>
          <w:rFonts w:cs="Arial"/>
          <w:i/>
          <w:color w:val="000000" w:themeColor="text1"/>
        </w:rPr>
        <w:t>We did not always find the people who answered the IRAS helpline necessarily knowledgeable about the multiple applications that were included in the IRAS form and we could have used slightly more expertise from those people</w:t>
      </w:r>
      <w:r w:rsidRPr="00531623">
        <w:rPr>
          <w:rFonts w:cs="Arial"/>
          <w:color w:val="000000" w:themeColor="text1"/>
        </w:rPr>
        <w:t xml:space="preserve">.”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Of the 23 neutral comments received a number of constructive suggestions were made, essentially around the need to reduce the number of forms and improve timelines for obtaining approval.  There were other suggestions around the need for training sessions on IRAS as well as adding more variation between the REC meeting dates across the year.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numPr>
          <w:ilvl w:val="0"/>
          <w:numId w:val="9"/>
        </w:numPr>
        <w:tabs>
          <w:tab w:val="left" w:pos="1980"/>
        </w:tabs>
        <w:spacing w:after="0" w:line="240" w:lineRule="auto"/>
        <w:jc w:val="both"/>
        <w:rPr>
          <w:rFonts w:cs="Arial"/>
          <w:bCs/>
          <w:color w:val="000000" w:themeColor="text1"/>
        </w:rPr>
      </w:pPr>
      <w:r w:rsidRPr="00531623">
        <w:rPr>
          <w:rFonts w:cs="Arial"/>
          <w:bCs/>
          <w:color w:val="000000" w:themeColor="text1"/>
        </w:rPr>
        <w:t>Review and action taken in respect of the issues raised in the User Satisfaction Feedback Report for the period Oct - March  2015</w:t>
      </w: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This section outlines the review and action taken by the appropriate HRA Directorates and </w:t>
      </w:r>
      <w:r w:rsidRPr="00531623">
        <w:rPr>
          <w:rFonts w:cs="Arial"/>
          <w:color w:val="000000" w:themeColor="text1"/>
          <w:lang w:val="en-US"/>
        </w:rPr>
        <w:t>and the Research Ethics Committees for the Devolved Administrations</w:t>
      </w:r>
      <w:r w:rsidRPr="00531623">
        <w:rPr>
          <w:rFonts w:cs="Arial"/>
          <w:color w:val="000000" w:themeColor="text1"/>
        </w:rPr>
        <w:t xml:space="preserve"> in respect of the issues raised in the User Satisfaction Feedback Report for the period October 2014 to March 2015 (See </w:t>
      </w:r>
      <w:hyperlink w:anchor="Annex2" w:history="1">
        <w:r w:rsidRPr="00531623">
          <w:rPr>
            <w:rStyle w:val="Hyperlink"/>
            <w:rFonts w:cs="Arial"/>
          </w:rPr>
          <w:t>Annex 2</w:t>
        </w:r>
      </w:hyperlink>
      <w:r w:rsidRPr="00531623">
        <w:rPr>
          <w:rFonts w:cs="Arial"/>
          <w:color w:val="000000" w:themeColor="text1"/>
        </w:rPr>
        <w:t xml:space="preserve"> for detailed report).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u w:val="single"/>
        </w:rPr>
      </w:pPr>
      <w:r w:rsidRPr="00531623">
        <w:rPr>
          <w:rFonts w:cs="Arial"/>
          <w:b/>
          <w:color w:val="000000" w:themeColor="text1"/>
        </w:rPr>
        <w:t>4.1</w:t>
      </w:r>
      <w:r w:rsidRPr="00531623">
        <w:rPr>
          <w:rFonts w:cs="Arial"/>
          <w:b/>
          <w:color w:val="000000" w:themeColor="text1"/>
        </w:rPr>
        <w:tab/>
        <w:t>Research Ethics Service (England)</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The Report was reviewed by the HRA Director of Operations and Approval, the Head of Research Ethics Service (England), the Research Ethics Service Managers (England) and the Regional Managers; thirty six RECs received positive comments from one or more responders; letters were sent to the REC Managers and Chairs of those committees.  Fourteen negative comments/concerns  were identified which were related to individual RECs for further investigation and review so that action could be taken where appropriate and also to determine whether there was any link to complaints. </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A change to the wording of the survey had increased the number of responders asking to be contacted following the completion of the survey and individual feedback on investigation and actions taken was provided to fifteen responders as requested. </w:t>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4.2</w:t>
      </w:r>
      <w:r w:rsidRPr="00531623">
        <w:rPr>
          <w:rFonts w:cs="Arial"/>
          <w:b/>
          <w:color w:val="000000" w:themeColor="text1"/>
        </w:rPr>
        <w:tab/>
        <w:t xml:space="preserve">Devolved Administrations </w:t>
      </w: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Wales</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The Report was reviewed by the NISCHR Research Ethics Service (RES) Operational Manager; six RECs received positive feedback from respondents which was fed back to the appropriate individuals. One issue was raised by an applicant to a Welsh REC regarding the Central Booking System, which was followed up appropriately with the RES Management (England).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lastRenderedPageBreak/>
        <w:t xml:space="preserve">Scotland </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The Report was reviewed by the Scientific Officers. Three negative comments/concerns were identified which were related to individual RECs for follow up and review so that action could be taken where appropriate. At the time of reporting one respondent is awaiting a follow up response. Six RECs received positive feedback.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 xml:space="preserve">Northern Ireland </w:t>
      </w: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The Report was reviewed by the Head of the Office for Research Ethics Committees Northern Ireland (ORECNI).  One REC received positive comments feedback and this was shared with the REC Manager and committee concerned.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b/>
          <w:color w:val="000000" w:themeColor="text1"/>
        </w:rPr>
      </w:pPr>
      <w:r w:rsidRPr="00531623">
        <w:rPr>
          <w:rFonts w:cs="Arial"/>
          <w:b/>
          <w:color w:val="000000" w:themeColor="text1"/>
        </w:rPr>
        <w:t>4.3</w:t>
      </w:r>
      <w:r w:rsidRPr="00531623">
        <w:rPr>
          <w:rFonts w:cs="Arial"/>
          <w:b/>
          <w:color w:val="000000" w:themeColor="text1"/>
        </w:rPr>
        <w:tab/>
        <w:t>Systems and Development Directorate</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The User Satisfaction Report was reviewed by the Director of Systems and Development and members of the team. Many of the issues raised in relation to IRAS, and the associated guidance, were very similar and we continue to work with the IRAS partners to agree the priorities for developments to IRAS. Feedback from users is particularly valuable in this respect. We had previously received particular feedback on the authorisations process. This information has allowed us to identify the complex technical issues causing some of these problems and we are pleased that the level of feedback in this area has substantially decreased. The nature of Information Systems development is such that it is not possible to achieve major developments quickly. However, we endeavour to fix faults quickly in response to issues raised through the IRAS Helpdesk.</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We continue to refine and improve our guidance, and encourage applicants to consult the guidance on our website and on IRAS. We are working on options to better align the guidance on the HRA website and IRAS to make it easier for applicants to prepare and submit their applications for review by the HRA.</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We are in the middle of an extensive programme implementing a new HRA Approval for health research in the NHS, which will combine an assessment by staff alongside the REC opinion. This will address a number of the concerns raised in feedback about identifying problems with applications early and address duplication in review across the NHS. For example we are testing the use of a combined form for REC and R&amp;D, instead of separate applications. This will also simplify the application process and the linked guidance and instructions for applicants.</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numPr>
          <w:ilvl w:val="0"/>
          <w:numId w:val="9"/>
        </w:numPr>
        <w:tabs>
          <w:tab w:val="left" w:pos="1980"/>
        </w:tabs>
        <w:spacing w:after="0" w:line="240" w:lineRule="auto"/>
        <w:jc w:val="both"/>
        <w:rPr>
          <w:rFonts w:cs="Arial"/>
          <w:bCs/>
          <w:color w:val="000000" w:themeColor="text1"/>
        </w:rPr>
      </w:pPr>
      <w:r w:rsidRPr="00531623">
        <w:rPr>
          <w:rFonts w:cs="Arial"/>
          <w:bCs/>
          <w:color w:val="000000" w:themeColor="text1"/>
        </w:rPr>
        <w:t xml:space="preserve">REC and CAG Chairs and Members’ feedback </w:t>
      </w: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REC / CAG Chairs and Members are contacted once a year inviting them to give feedback, via an online form, on issues affecting them as part of their REC / CAG role and any improvements they can suggest to the system The Chairs/Members feedback is forwarded onto the appropriate member of HRA staff to consider and respond to, copying in the QA Department to the response for recording within one month of receipt.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For this reporting period the decision was taken to suspend targeted feedback for REC and CA Chairs/Members due to the additional work pressures on senior management generated through the roll out of HRA Approval.  Consequently, there is no REC / CAG Chairs and Members to note for this reporting period. Targeted feedback is due to recommence in October 2015.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For the October 2014 to March  2015 reporting period one member’s feedback comment was carried over from the previous reporting period (</w:t>
      </w:r>
      <w:hyperlink w:anchor="Annex3" w:history="1">
        <w:r w:rsidRPr="00531623">
          <w:rPr>
            <w:rStyle w:val="Hyperlink"/>
            <w:rFonts w:cs="Arial"/>
          </w:rPr>
          <w:t>See Annex 3</w:t>
        </w:r>
      </w:hyperlink>
      <w:r w:rsidRPr="00531623">
        <w:rPr>
          <w:rFonts w:cs="Arial"/>
          <w:color w:val="000000" w:themeColor="text1"/>
        </w:rPr>
        <w:t xml:space="preserve">) The respondent did receive a response, however the target time of within one month of the Chairs/members providing feedback was not achieved.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numPr>
          <w:ilvl w:val="0"/>
          <w:numId w:val="9"/>
        </w:numPr>
        <w:tabs>
          <w:tab w:val="left" w:pos="1980"/>
        </w:tabs>
        <w:spacing w:after="0" w:line="240" w:lineRule="auto"/>
        <w:jc w:val="both"/>
        <w:rPr>
          <w:rFonts w:cs="Arial"/>
          <w:bCs/>
          <w:color w:val="000000" w:themeColor="text1"/>
        </w:rPr>
      </w:pPr>
      <w:r w:rsidRPr="00531623">
        <w:rPr>
          <w:rFonts w:cs="Arial"/>
          <w:bCs/>
          <w:color w:val="000000" w:themeColor="text1"/>
        </w:rPr>
        <w:lastRenderedPageBreak/>
        <w:t xml:space="preserve">HRA Staff Feedback </w:t>
      </w:r>
    </w:p>
    <w:p w:rsidR="00531623" w:rsidRPr="00531623" w:rsidRDefault="00531623" w:rsidP="00531623">
      <w:pPr>
        <w:tabs>
          <w:tab w:val="left" w:pos="1980"/>
        </w:tabs>
        <w:spacing w:after="0" w:line="240" w:lineRule="auto"/>
        <w:jc w:val="both"/>
        <w:rPr>
          <w:rFonts w:cs="Arial"/>
          <w:bCs/>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HRA Staff are given the opportunity to forward their ideas, suggestions and other forms of feedback to via an email system managed by Quality Assurance Department.  The scheme was piloted from September 2014 for one year, with a midway review to seek feedback and suggestions on how the scheme could be improved.  The pilot phase was completed in September 2015; the Quality Assurance team will undertake a review of the scheme and make recommendations to HRA management groups.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For this reporting period six ideas were submitted by members of HRA Staff (compared to eight in the previous reporting period).  The feedback / ideas submitted were predominately from staff in the HRA Operations and Approval Directorate and covered areas such as; providing a Word version of the checklist for new REC members (instead of just a PDF), offering a ball pen as a token of thanks to members at the end of their service (instead of a paperweight), making it a requirement that substantial amendments contain  a short, lay summary of the amendment to be added to HARP, the opinion letter and the minutes in order to assist with review and identification of the amendment; improving the layout / format of standard letters used in HARP.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All staff members received a standard acknowledgment email within the target time of three days from the QA Business Support Manager, specifying which senior manager the idea had been shared with.   Senior managers are requested to reply directly to the member of staff who put forward their idea, copying in the Quality Assurance Department to the response, which are then subsequently recorded. All staff members have received a response from a senior manager(s) with details of if and how their idea can be progressed (See </w:t>
      </w:r>
      <w:hyperlink w:anchor="Annex4" w:history="1">
        <w:r w:rsidRPr="00531623">
          <w:rPr>
            <w:rStyle w:val="Hyperlink"/>
            <w:rFonts w:cs="Arial"/>
          </w:rPr>
          <w:t>Annex 4</w:t>
        </w:r>
      </w:hyperlink>
      <w:r w:rsidRPr="00531623">
        <w:rPr>
          <w:rFonts w:cs="Arial"/>
          <w:color w:val="000000" w:themeColor="text1"/>
        </w:rPr>
        <w:t xml:space="preserve"> for detailed report).</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numPr>
          <w:ilvl w:val="0"/>
          <w:numId w:val="9"/>
        </w:numPr>
        <w:tabs>
          <w:tab w:val="left" w:pos="1980"/>
        </w:tabs>
        <w:spacing w:after="0" w:line="240" w:lineRule="auto"/>
        <w:jc w:val="both"/>
        <w:rPr>
          <w:rFonts w:cs="Arial"/>
          <w:b/>
          <w:bCs/>
          <w:color w:val="000000" w:themeColor="text1"/>
        </w:rPr>
      </w:pPr>
      <w:r w:rsidRPr="00531623">
        <w:rPr>
          <w:rFonts w:cs="Arial"/>
          <w:b/>
          <w:bCs/>
          <w:color w:val="000000" w:themeColor="text1"/>
        </w:rPr>
        <w:t xml:space="preserve">Conclusion </w:t>
      </w:r>
    </w:p>
    <w:p w:rsidR="00531623" w:rsidRPr="00531623" w:rsidRDefault="00531623" w:rsidP="00531623">
      <w:pPr>
        <w:tabs>
          <w:tab w:val="left" w:pos="1980"/>
        </w:tabs>
        <w:spacing w:after="0" w:line="240" w:lineRule="auto"/>
        <w:jc w:val="both"/>
        <w:rPr>
          <w:rFonts w:cs="Arial"/>
          <w:b/>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Feedback received from users of HRA services throughout this reporting period has been generally very positive. The service received by REC / CAG staff continues to score exceptionally high (98% of respondents scoring this as either excellent or good). This is supported by a number of positive comments collected via the online feedback form.</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Other services that respondents were asked to rate including the HRA decision tools, website, queries line, online guidance and IRAS continue to be rated as either excellent or good by at least 80% of respondents.  Feedback on user’s experience of IRAS received the greatest number of negative comments; however the report provided by the Systems and Development Director demonstrates that work is underway which should address a number of issues raised.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It is encouraging to note that the number of attendees at the REC /CAG meeting who reported that  they were not treated fairly and with respect by the committee has dropped in comparison to the previous reporting person.  A number of committees received very positive comments and were thanked for their support and suggestions to improve the applicants research project.  Very few negative comments were noted in relation to the respondent’s attendance at the committee meeting. </w:t>
      </w:r>
    </w:p>
    <w:p w:rsidR="00531623" w:rsidRPr="00531623" w:rsidRDefault="00531623" w:rsidP="00531623">
      <w:pPr>
        <w:tabs>
          <w:tab w:val="left" w:pos="1980"/>
        </w:tabs>
        <w:spacing w:after="0" w:line="240" w:lineRule="auto"/>
        <w:jc w:val="both"/>
        <w:rPr>
          <w:rFonts w:cs="Arial"/>
          <w:color w:val="000000" w:themeColor="text1"/>
        </w:rPr>
      </w:pPr>
    </w:p>
    <w:p w:rsidR="00531623" w:rsidRPr="00531623" w:rsidRDefault="00531623" w:rsidP="00531623">
      <w:pPr>
        <w:tabs>
          <w:tab w:val="left" w:pos="1980"/>
        </w:tabs>
        <w:spacing w:after="0" w:line="240" w:lineRule="auto"/>
        <w:jc w:val="both"/>
        <w:rPr>
          <w:rFonts w:cs="Arial"/>
          <w:color w:val="000000" w:themeColor="text1"/>
        </w:rPr>
      </w:pPr>
      <w:r w:rsidRPr="00531623">
        <w:rPr>
          <w:rFonts w:cs="Arial"/>
          <w:color w:val="000000" w:themeColor="text1"/>
        </w:rPr>
        <w:t xml:space="preserve">Over 80% of respondents agreed that REC/CAG review had added value to their application; this was reinforced with nearly 50 positive comments from respondents about the review process. </w:t>
      </w:r>
    </w:p>
    <w:p w:rsidR="00531623" w:rsidRPr="00531623" w:rsidRDefault="00531623" w:rsidP="00F0760B">
      <w:pPr>
        <w:tabs>
          <w:tab w:val="left" w:pos="1980"/>
        </w:tabs>
        <w:spacing w:after="0" w:line="240" w:lineRule="auto"/>
        <w:jc w:val="both"/>
        <w:rPr>
          <w:rFonts w:cs="Arial"/>
          <w:color w:val="000000" w:themeColor="text1"/>
        </w:rPr>
      </w:pPr>
    </w:p>
    <w:p w:rsidR="00F0760B" w:rsidRDefault="00531623" w:rsidP="00F0760B">
      <w:pPr>
        <w:tabs>
          <w:tab w:val="left" w:pos="1980"/>
        </w:tabs>
        <w:spacing w:after="0" w:line="240" w:lineRule="auto"/>
        <w:jc w:val="both"/>
        <w:rPr>
          <w:rFonts w:cs="Arial"/>
          <w:color w:val="000000" w:themeColor="text1"/>
        </w:rPr>
      </w:pPr>
      <w:r w:rsidRPr="00531623">
        <w:rPr>
          <w:rFonts w:cs="Arial"/>
          <w:color w:val="000000" w:themeColor="text1"/>
        </w:rPr>
        <w:t xml:space="preserve">The number of staff using the staff feedback / ideas scheme remains constant with the previous reporting period.  The pilot phase has been completed and the next steps will involve the QA Department undertake a review of the scheme to inform recommendations to </w:t>
      </w:r>
    </w:p>
    <w:p w:rsidR="00531623" w:rsidRPr="008E163E" w:rsidRDefault="00531623" w:rsidP="00F0760B">
      <w:pPr>
        <w:tabs>
          <w:tab w:val="left" w:pos="1980"/>
        </w:tabs>
        <w:spacing w:after="0" w:line="240" w:lineRule="auto"/>
        <w:rPr>
          <w:rFonts w:cs="Arial"/>
          <w:color w:val="000000" w:themeColor="text1"/>
        </w:rPr>
      </w:pPr>
      <w:r w:rsidRPr="00531623">
        <w:rPr>
          <w:rFonts w:cs="Arial"/>
          <w:color w:val="000000" w:themeColor="text1"/>
        </w:rPr>
        <w:t>HRA management groups</w:t>
      </w:r>
      <w:r w:rsidR="00F0760B">
        <w:rPr>
          <w:rFonts w:cs="Arial"/>
          <w:color w:val="000000" w:themeColor="text1"/>
        </w:rPr>
        <w:t>.</w:t>
      </w:r>
    </w:p>
    <w:sectPr w:rsidR="00531623" w:rsidRPr="008E163E" w:rsidSect="00C90060">
      <w:headerReference w:type="default" r:id="rId30"/>
      <w:footerReference w:type="default" r:id="rId31"/>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77" w:rsidRDefault="007D2577" w:rsidP="006B5376">
      <w:pPr>
        <w:spacing w:after="0" w:line="240" w:lineRule="auto"/>
      </w:pPr>
      <w:r>
        <w:separator/>
      </w:r>
    </w:p>
  </w:endnote>
  <w:endnote w:type="continuationSeparator" w:id="0">
    <w:p w:rsidR="007D2577" w:rsidRDefault="007D2577"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2401"/>
      <w:docPartObj>
        <w:docPartGallery w:val="Page Numbers (Bottom of Page)"/>
        <w:docPartUnique/>
      </w:docPartObj>
    </w:sdtPr>
    <w:sdtEndPr>
      <w:rPr>
        <w:rFonts w:cs="Arial"/>
        <w:noProof/>
      </w:rPr>
    </w:sdtEndPr>
    <w:sdtContent>
      <w:p w:rsidR="00DF4C84" w:rsidRPr="001E50AC" w:rsidRDefault="00DF4C84" w:rsidP="00531623">
        <w:pPr>
          <w:pStyle w:val="Footer"/>
          <w:jc w:val="right"/>
          <w:rPr>
            <w:rFonts w:cs="Arial"/>
          </w:rPr>
        </w:pPr>
        <w:r w:rsidRPr="001E50AC">
          <w:rPr>
            <w:rFonts w:cs="Arial"/>
          </w:rPr>
          <w:fldChar w:fldCharType="begin"/>
        </w:r>
        <w:r w:rsidRPr="001E50AC">
          <w:rPr>
            <w:rFonts w:cs="Arial"/>
          </w:rPr>
          <w:instrText xml:space="preserve"> PAGE   \* MERGEFORMAT </w:instrText>
        </w:r>
        <w:r w:rsidRPr="001E50AC">
          <w:rPr>
            <w:rFonts w:cs="Arial"/>
          </w:rPr>
          <w:fldChar w:fldCharType="separate"/>
        </w:r>
        <w:r w:rsidR="001258EE">
          <w:rPr>
            <w:rFonts w:cs="Arial"/>
            <w:noProof/>
          </w:rPr>
          <w:t>19</w:t>
        </w:r>
        <w:r w:rsidRPr="001E50AC">
          <w:rPr>
            <w:rFonts w:cs="Arial"/>
            <w:noProof/>
          </w:rPr>
          <w:fldChar w:fldCharType="end"/>
        </w:r>
      </w:p>
    </w:sdtContent>
  </w:sdt>
  <w:p w:rsidR="00DF4C84" w:rsidRDefault="00DF4C84" w:rsidP="008A7A3B">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65408" behindDoc="1" locked="0" layoutInCell="1" allowOverlap="1" wp14:anchorId="794D6DCD" wp14:editId="2A7A5247">
          <wp:simplePos x="0" y="0"/>
          <wp:positionH relativeFrom="column">
            <wp:posOffset>-122237</wp:posOffset>
          </wp:positionH>
          <wp:positionV relativeFrom="paragraph">
            <wp:posOffset>-84773</wp:posOffset>
          </wp:positionV>
          <wp:extent cx="361950" cy="358775"/>
          <wp:effectExtent l="77787" t="74613" r="77788" b="77787"/>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6432" behindDoc="0" locked="0" layoutInCell="1" allowOverlap="1" wp14:anchorId="31B32A90" wp14:editId="417495B4">
              <wp:simplePos x="0" y="0"/>
              <wp:positionH relativeFrom="column">
                <wp:posOffset>310515</wp:posOffset>
              </wp:positionH>
              <wp:positionV relativeFrom="paragraph">
                <wp:posOffset>104775</wp:posOffset>
              </wp:positionV>
              <wp:extent cx="5667375" cy="0"/>
              <wp:effectExtent l="0" t="0" r="9525" b="19050"/>
              <wp:wrapNone/>
              <wp:docPr id="324" name="Straight Connector 324"/>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" strokecolor="#f79646 [3209]" strokeweight="2pt"/>
          </w:pict>
        </mc:Fallback>
      </mc:AlternateContent>
    </w:r>
  </w:p>
  <w:p w:rsidR="00DF4C84" w:rsidRPr="00C90060" w:rsidRDefault="00DF4C84" w:rsidP="008A7A3B">
    <w:pPr>
      <w:pStyle w:val="Footer"/>
      <w:ind w:left="-142" w:firstLine="862"/>
      <w:rPr>
        <w:rFonts w:asciiTheme="minorHAnsi" w:hAnsiTheme="minorHAnsi" w:cstheme="minorHAnsi"/>
        <w:sz w:val="18"/>
        <w:szCs w:val="18"/>
      </w:rPr>
    </w:pPr>
    <w:r>
      <w:rPr>
        <w:rFonts w:asciiTheme="minorHAnsi" w:hAnsiTheme="minorHAnsi" w:cstheme="minorHAnsi"/>
        <w:sz w:val="18"/>
        <w:szCs w:val="18"/>
      </w:rPr>
      <w:t>QA update to HRA Board Nov ‘15</w:t>
    </w:r>
  </w:p>
  <w:p w:rsidR="00DF4C84" w:rsidRPr="001E50AC" w:rsidRDefault="00DF4C84" w:rsidP="008A7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84" w:rsidRDefault="00DF4C84">
    <w:pPr>
      <w:pStyle w:val="Footer"/>
      <w:jc w:val="right"/>
    </w:pPr>
  </w:p>
  <w:p w:rsidR="00DF4C84" w:rsidRDefault="00DF4C84" w:rsidP="008A7A3B">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62336" behindDoc="1" locked="0" layoutInCell="1" allowOverlap="1" wp14:anchorId="5A136BD0" wp14:editId="361BF8EF">
          <wp:simplePos x="0" y="0"/>
          <wp:positionH relativeFrom="column">
            <wp:posOffset>-122237</wp:posOffset>
          </wp:positionH>
          <wp:positionV relativeFrom="paragraph">
            <wp:posOffset>-84773</wp:posOffset>
          </wp:positionV>
          <wp:extent cx="361950" cy="358775"/>
          <wp:effectExtent l="77787" t="74613" r="77788" b="77787"/>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3360" behindDoc="0" locked="0" layoutInCell="1" allowOverlap="1" wp14:anchorId="6A29B1A7" wp14:editId="5C9142C9">
              <wp:simplePos x="0" y="0"/>
              <wp:positionH relativeFrom="column">
                <wp:posOffset>310515</wp:posOffset>
              </wp:positionH>
              <wp:positionV relativeFrom="paragraph">
                <wp:posOffset>104775</wp:posOffset>
              </wp:positionV>
              <wp:extent cx="5667375" cy="0"/>
              <wp:effectExtent l="0" t="0" r="9525" b="19050"/>
              <wp:wrapNone/>
              <wp:docPr id="322" name="Straight Connector 32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" strokecolor="#f79646 [3209]" strokeweight="2pt"/>
          </w:pict>
        </mc:Fallback>
      </mc:AlternateContent>
    </w:r>
  </w:p>
  <w:p w:rsidR="00DF4C84" w:rsidRPr="00C90060" w:rsidRDefault="00DF4C84" w:rsidP="008A7A3B">
    <w:pPr>
      <w:pStyle w:val="Footer"/>
      <w:ind w:left="-142" w:firstLine="862"/>
      <w:rPr>
        <w:rFonts w:asciiTheme="minorHAnsi" w:hAnsiTheme="minorHAnsi" w:cstheme="minorHAnsi"/>
        <w:sz w:val="18"/>
        <w:szCs w:val="18"/>
      </w:rPr>
    </w:pPr>
    <w:r>
      <w:rPr>
        <w:rFonts w:asciiTheme="minorHAnsi" w:hAnsiTheme="minorHAnsi" w:cstheme="minorHAnsi"/>
        <w:sz w:val="18"/>
        <w:szCs w:val="18"/>
      </w:rPr>
      <w:t>QA update to HRA Board Nov ‘15</w:t>
    </w:r>
  </w:p>
  <w:p w:rsidR="00DF4C84" w:rsidRDefault="00DF4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84" w:rsidRDefault="00DF4C84"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6B393D77" wp14:editId="0DF7E8B5">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7AA71F92" wp14:editId="7873309A">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DF4C84" w:rsidRPr="00C90060" w:rsidRDefault="00DF4C84"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QA update to Board, Nov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77" w:rsidRDefault="007D2577" w:rsidP="006B5376">
      <w:pPr>
        <w:spacing w:after="0" w:line="240" w:lineRule="auto"/>
      </w:pPr>
      <w:r>
        <w:separator/>
      </w:r>
    </w:p>
  </w:footnote>
  <w:footnote w:type="continuationSeparator" w:id="0">
    <w:p w:rsidR="007D2577" w:rsidRDefault="007D2577"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84" w:rsidRDefault="00DF4C84">
    <w:pPr>
      <w:pStyle w:val="Header"/>
    </w:pPr>
    <w:r>
      <w:tab/>
    </w:r>
    <w:r>
      <w:tab/>
    </w:r>
    <w:r>
      <w:rPr>
        <w:rFonts w:cs="Arial"/>
        <w:b/>
        <w:noProof/>
        <w:lang w:eastAsia="en-GB"/>
      </w:rPr>
      <w:drawing>
        <wp:inline distT="0" distB="0" distL="0" distR="0" wp14:anchorId="2B987432" wp14:editId="12AE5E56">
          <wp:extent cx="2964211" cy="581025"/>
          <wp:effectExtent l="0" t="0" r="0" b="0"/>
          <wp:docPr id="321" name="Picture 32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84" w:rsidRDefault="00DF4C84">
    <w:pPr>
      <w:pStyle w:val="Header"/>
    </w:pPr>
    <w:r>
      <w:tab/>
    </w:r>
    <w:r>
      <w:tab/>
    </w:r>
    <w:r>
      <w:rPr>
        <w:rFonts w:cs="Arial"/>
        <w:b/>
        <w:noProof/>
        <w:lang w:eastAsia="en-GB"/>
      </w:rPr>
      <w:drawing>
        <wp:inline distT="0" distB="0" distL="0" distR="0" wp14:anchorId="2A5ABD46" wp14:editId="761BFA6C">
          <wp:extent cx="2964211" cy="581025"/>
          <wp:effectExtent l="0" t="0" r="0" b="0"/>
          <wp:docPr id="320" name="Picture 320"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84" w:rsidRDefault="00DF4C84" w:rsidP="00E068B3">
    <w:pPr>
      <w:pStyle w:val="Header"/>
      <w:ind w:left="-720" w:right="-718"/>
      <w:jc w:val="right"/>
    </w:pPr>
    <w:r>
      <w:rPr>
        <w:rFonts w:cs="Arial"/>
        <w:b/>
        <w:noProof/>
        <w:lang w:eastAsia="en-GB"/>
      </w:rPr>
      <w:drawing>
        <wp:inline distT="0" distB="0" distL="0" distR="0" wp14:anchorId="0354E72B" wp14:editId="6B34FF76">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2B9"/>
    <w:multiLevelType w:val="hybridMultilevel"/>
    <w:tmpl w:val="75F6F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162A9"/>
    <w:multiLevelType w:val="multilevel"/>
    <w:tmpl w:val="200CD878"/>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55A71EC"/>
    <w:multiLevelType w:val="hybridMultilevel"/>
    <w:tmpl w:val="98D4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561F41"/>
    <w:multiLevelType w:val="hybridMultilevel"/>
    <w:tmpl w:val="13C02CE6"/>
    <w:lvl w:ilvl="0" w:tplc="C4B86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FD394F"/>
    <w:multiLevelType w:val="hybridMultilevel"/>
    <w:tmpl w:val="8CE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60C67"/>
    <w:multiLevelType w:val="hybridMultilevel"/>
    <w:tmpl w:val="D46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9615B"/>
    <w:multiLevelType w:val="hybridMultilevel"/>
    <w:tmpl w:val="5B6CC43E"/>
    <w:lvl w:ilvl="0" w:tplc="14962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08A"/>
    <w:multiLevelType w:val="hybridMultilevel"/>
    <w:tmpl w:val="AA5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2D0"/>
    <w:multiLevelType w:val="hybridMultilevel"/>
    <w:tmpl w:val="A1B2C1AE"/>
    <w:lvl w:ilvl="0" w:tplc="B6EAB3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665014"/>
    <w:multiLevelType w:val="hybridMultilevel"/>
    <w:tmpl w:val="CDB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9798A"/>
    <w:multiLevelType w:val="hybridMultilevel"/>
    <w:tmpl w:val="0F9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10"/>
  </w:num>
  <w:num w:numId="6">
    <w:abstractNumId w:val="4"/>
  </w:num>
  <w:num w:numId="7">
    <w:abstractNumId w:val="8"/>
  </w:num>
  <w:num w:numId="8">
    <w:abstractNumId w:val="1"/>
  </w:num>
  <w:num w:numId="9">
    <w:abstractNumId w:val="0"/>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6F1"/>
    <w:rsid w:val="0000688A"/>
    <w:rsid w:val="00013FD1"/>
    <w:rsid w:val="0001520F"/>
    <w:rsid w:val="0001579B"/>
    <w:rsid w:val="00022095"/>
    <w:rsid w:val="0002259A"/>
    <w:rsid w:val="00031E55"/>
    <w:rsid w:val="00032018"/>
    <w:rsid w:val="00034690"/>
    <w:rsid w:val="00057ED1"/>
    <w:rsid w:val="00077FB8"/>
    <w:rsid w:val="000805FF"/>
    <w:rsid w:val="00080CB0"/>
    <w:rsid w:val="00082E02"/>
    <w:rsid w:val="00085E07"/>
    <w:rsid w:val="00087C21"/>
    <w:rsid w:val="000A0993"/>
    <w:rsid w:val="000A13D1"/>
    <w:rsid w:val="000A7C2C"/>
    <w:rsid w:val="000C027C"/>
    <w:rsid w:val="000C44EF"/>
    <w:rsid w:val="000C6B29"/>
    <w:rsid w:val="000D0F34"/>
    <w:rsid w:val="000D6A51"/>
    <w:rsid w:val="000E55E7"/>
    <w:rsid w:val="000E5A1B"/>
    <w:rsid w:val="000E6A39"/>
    <w:rsid w:val="000F05DD"/>
    <w:rsid w:val="000F2666"/>
    <w:rsid w:val="000F40ED"/>
    <w:rsid w:val="000F5FA5"/>
    <w:rsid w:val="00100687"/>
    <w:rsid w:val="00101925"/>
    <w:rsid w:val="00106516"/>
    <w:rsid w:val="00112183"/>
    <w:rsid w:val="0011564E"/>
    <w:rsid w:val="00122C95"/>
    <w:rsid w:val="001258EE"/>
    <w:rsid w:val="001459D0"/>
    <w:rsid w:val="00151DBF"/>
    <w:rsid w:val="00156D64"/>
    <w:rsid w:val="00161566"/>
    <w:rsid w:val="00162E33"/>
    <w:rsid w:val="00162EEA"/>
    <w:rsid w:val="00170438"/>
    <w:rsid w:val="00170E54"/>
    <w:rsid w:val="001803BF"/>
    <w:rsid w:val="00187B85"/>
    <w:rsid w:val="001B0E16"/>
    <w:rsid w:val="001C071A"/>
    <w:rsid w:val="001C3D40"/>
    <w:rsid w:val="001C3FF9"/>
    <w:rsid w:val="001C5EE1"/>
    <w:rsid w:val="001D0C9D"/>
    <w:rsid w:val="001D1231"/>
    <w:rsid w:val="001D1B72"/>
    <w:rsid w:val="001D339E"/>
    <w:rsid w:val="001D41F3"/>
    <w:rsid w:val="001D451F"/>
    <w:rsid w:val="001D4C53"/>
    <w:rsid w:val="001F0556"/>
    <w:rsid w:val="002015B9"/>
    <w:rsid w:val="002017F5"/>
    <w:rsid w:val="00202CE8"/>
    <w:rsid w:val="00204034"/>
    <w:rsid w:val="00207259"/>
    <w:rsid w:val="00207E2F"/>
    <w:rsid w:val="00210461"/>
    <w:rsid w:val="00217EFA"/>
    <w:rsid w:val="0022151D"/>
    <w:rsid w:val="002226BE"/>
    <w:rsid w:val="002270EC"/>
    <w:rsid w:val="002359F1"/>
    <w:rsid w:val="00236D2B"/>
    <w:rsid w:val="00247131"/>
    <w:rsid w:val="002528F0"/>
    <w:rsid w:val="002551D9"/>
    <w:rsid w:val="00255438"/>
    <w:rsid w:val="00255B6D"/>
    <w:rsid w:val="0026003B"/>
    <w:rsid w:val="00266D28"/>
    <w:rsid w:val="00267CD4"/>
    <w:rsid w:val="0027131C"/>
    <w:rsid w:val="0027616F"/>
    <w:rsid w:val="0028249D"/>
    <w:rsid w:val="002A389A"/>
    <w:rsid w:val="002B1574"/>
    <w:rsid w:val="002B20F2"/>
    <w:rsid w:val="002D06F6"/>
    <w:rsid w:val="002E4806"/>
    <w:rsid w:val="002E5F0F"/>
    <w:rsid w:val="002E609D"/>
    <w:rsid w:val="002F3E34"/>
    <w:rsid w:val="002F3ECA"/>
    <w:rsid w:val="002F6947"/>
    <w:rsid w:val="002F73AF"/>
    <w:rsid w:val="00301A1D"/>
    <w:rsid w:val="00304FF7"/>
    <w:rsid w:val="00306495"/>
    <w:rsid w:val="003064F9"/>
    <w:rsid w:val="00306B55"/>
    <w:rsid w:val="0031367E"/>
    <w:rsid w:val="0032284B"/>
    <w:rsid w:val="0033263A"/>
    <w:rsid w:val="00332C5E"/>
    <w:rsid w:val="00336062"/>
    <w:rsid w:val="00336FF3"/>
    <w:rsid w:val="00344461"/>
    <w:rsid w:val="003447CD"/>
    <w:rsid w:val="0034550C"/>
    <w:rsid w:val="00346669"/>
    <w:rsid w:val="00360E64"/>
    <w:rsid w:val="003619C9"/>
    <w:rsid w:val="003620D2"/>
    <w:rsid w:val="00362136"/>
    <w:rsid w:val="0036304E"/>
    <w:rsid w:val="00363763"/>
    <w:rsid w:val="003637B4"/>
    <w:rsid w:val="00372EDD"/>
    <w:rsid w:val="00374989"/>
    <w:rsid w:val="003858FE"/>
    <w:rsid w:val="003869D0"/>
    <w:rsid w:val="003904AA"/>
    <w:rsid w:val="003A29DC"/>
    <w:rsid w:val="003A5BF1"/>
    <w:rsid w:val="003A7557"/>
    <w:rsid w:val="003A79F8"/>
    <w:rsid w:val="003B4468"/>
    <w:rsid w:val="003B78D6"/>
    <w:rsid w:val="003C1EAC"/>
    <w:rsid w:val="003D39CC"/>
    <w:rsid w:val="003D54B1"/>
    <w:rsid w:val="003E7053"/>
    <w:rsid w:val="003F4E87"/>
    <w:rsid w:val="003F6CC2"/>
    <w:rsid w:val="004014F7"/>
    <w:rsid w:val="00415D02"/>
    <w:rsid w:val="00416CDE"/>
    <w:rsid w:val="0042325B"/>
    <w:rsid w:val="00423CD3"/>
    <w:rsid w:val="0042707B"/>
    <w:rsid w:val="00427AD7"/>
    <w:rsid w:val="00433C05"/>
    <w:rsid w:val="00433D61"/>
    <w:rsid w:val="00443F1A"/>
    <w:rsid w:val="004449D5"/>
    <w:rsid w:val="00455D77"/>
    <w:rsid w:val="004562B7"/>
    <w:rsid w:val="00460A2D"/>
    <w:rsid w:val="00460A98"/>
    <w:rsid w:val="00472A5C"/>
    <w:rsid w:val="004732F8"/>
    <w:rsid w:val="004806AB"/>
    <w:rsid w:val="00482B2C"/>
    <w:rsid w:val="00491A07"/>
    <w:rsid w:val="004960CF"/>
    <w:rsid w:val="004960E3"/>
    <w:rsid w:val="004A16F7"/>
    <w:rsid w:val="004B078F"/>
    <w:rsid w:val="004B3B6C"/>
    <w:rsid w:val="004C2456"/>
    <w:rsid w:val="004E5A9A"/>
    <w:rsid w:val="004F1366"/>
    <w:rsid w:val="004F7AF1"/>
    <w:rsid w:val="00500B08"/>
    <w:rsid w:val="00501E13"/>
    <w:rsid w:val="00502585"/>
    <w:rsid w:val="00510C14"/>
    <w:rsid w:val="00512297"/>
    <w:rsid w:val="00512FBB"/>
    <w:rsid w:val="00521B16"/>
    <w:rsid w:val="00531623"/>
    <w:rsid w:val="00536AEC"/>
    <w:rsid w:val="00542C0A"/>
    <w:rsid w:val="005476DE"/>
    <w:rsid w:val="00547B8B"/>
    <w:rsid w:val="00547DAB"/>
    <w:rsid w:val="00550BA7"/>
    <w:rsid w:val="005602F6"/>
    <w:rsid w:val="00564BD1"/>
    <w:rsid w:val="00567491"/>
    <w:rsid w:val="005714D1"/>
    <w:rsid w:val="00572642"/>
    <w:rsid w:val="00575297"/>
    <w:rsid w:val="00580C3F"/>
    <w:rsid w:val="0058409E"/>
    <w:rsid w:val="005866AA"/>
    <w:rsid w:val="0058737A"/>
    <w:rsid w:val="00595956"/>
    <w:rsid w:val="005A2C41"/>
    <w:rsid w:val="005A3354"/>
    <w:rsid w:val="005A3581"/>
    <w:rsid w:val="005A39BD"/>
    <w:rsid w:val="005B0063"/>
    <w:rsid w:val="005B08B2"/>
    <w:rsid w:val="005B0D4A"/>
    <w:rsid w:val="005B2887"/>
    <w:rsid w:val="005B2E0F"/>
    <w:rsid w:val="005B486A"/>
    <w:rsid w:val="005B56AB"/>
    <w:rsid w:val="005B60F8"/>
    <w:rsid w:val="005C7AF9"/>
    <w:rsid w:val="005C7E23"/>
    <w:rsid w:val="005D0C13"/>
    <w:rsid w:val="005D20A5"/>
    <w:rsid w:val="005D7F75"/>
    <w:rsid w:val="005E241C"/>
    <w:rsid w:val="005F4D7F"/>
    <w:rsid w:val="006059EF"/>
    <w:rsid w:val="00611EC3"/>
    <w:rsid w:val="00623E13"/>
    <w:rsid w:val="00631534"/>
    <w:rsid w:val="00632573"/>
    <w:rsid w:val="0063397F"/>
    <w:rsid w:val="006414FC"/>
    <w:rsid w:val="006501B4"/>
    <w:rsid w:val="00650770"/>
    <w:rsid w:val="0065384C"/>
    <w:rsid w:val="00661712"/>
    <w:rsid w:val="00662C00"/>
    <w:rsid w:val="00662D91"/>
    <w:rsid w:val="006727FE"/>
    <w:rsid w:val="00673D95"/>
    <w:rsid w:val="00676851"/>
    <w:rsid w:val="00676AA9"/>
    <w:rsid w:val="00683C84"/>
    <w:rsid w:val="0068708F"/>
    <w:rsid w:val="006910EC"/>
    <w:rsid w:val="006A3631"/>
    <w:rsid w:val="006A7595"/>
    <w:rsid w:val="006B0A00"/>
    <w:rsid w:val="006B5376"/>
    <w:rsid w:val="006B7A8D"/>
    <w:rsid w:val="006C5258"/>
    <w:rsid w:val="006D039A"/>
    <w:rsid w:val="006D1922"/>
    <w:rsid w:val="006D37A9"/>
    <w:rsid w:val="006D515A"/>
    <w:rsid w:val="006E07C7"/>
    <w:rsid w:val="006E20C3"/>
    <w:rsid w:val="006F0655"/>
    <w:rsid w:val="00700C3A"/>
    <w:rsid w:val="00703B1A"/>
    <w:rsid w:val="00704C22"/>
    <w:rsid w:val="00705F0F"/>
    <w:rsid w:val="00706270"/>
    <w:rsid w:val="00710AEF"/>
    <w:rsid w:val="00713AB6"/>
    <w:rsid w:val="0071796D"/>
    <w:rsid w:val="00717BF6"/>
    <w:rsid w:val="00717E0A"/>
    <w:rsid w:val="00723E2E"/>
    <w:rsid w:val="00727E69"/>
    <w:rsid w:val="00731474"/>
    <w:rsid w:val="0073780F"/>
    <w:rsid w:val="0075486A"/>
    <w:rsid w:val="00754CDB"/>
    <w:rsid w:val="007607A8"/>
    <w:rsid w:val="00767841"/>
    <w:rsid w:val="00773B47"/>
    <w:rsid w:val="007857FF"/>
    <w:rsid w:val="0079459F"/>
    <w:rsid w:val="00794C5F"/>
    <w:rsid w:val="007958A5"/>
    <w:rsid w:val="0079675F"/>
    <w:rsid w:val="00797B27"/>
    <w:rsid w:val="007A5239"/>
    <w:rsid w:val="007B4616"/>
    <w:rsid w:val="007B7BA3"/>
    <w:rsid w:val="007C07BD"/>
    <w:rsid w:val="007C256C"/>
    <w:rsid w:val="007C4842"/>
    <w:rsid w:val="007C6303"/>
    <w:rsid w:val="007C7004"/>
    <w:rsid w:val="007D0AE2"/>
    <w:rsid w:val="007D0D13"/>
    <w:rsid w:val="007D2577"/>
    <w:rsid w:val="007D276C"/>
    <w:rsid w:val="007E05BB"/>
    <w:rsid w:val="007E3127"/>
    <w:rsid w:val="007E3548"/>
    <w:rsid w:val="007E5587"/>
    <w:rsid w:val="007E74F4"/>
    <w:rsid w:val="007F12BE"/>
    <w:rsid w:val="007F504E"/>
    <w:rsid w:val="007F507E"/>
    <w:rsid w:val="00804332"/>
    <w:rsid w:val="008143C8"/>
    <w:rsid w:val="00816718"/>
    <w:rsid w:val="00816EB4"/>
    <w:rsid w:val="00817A65"/>
    <w:rsid w:val="008208A1"/>
    <w:rsid w:val="0082258E"/>
    <w:rsid w:val="00825E01"/>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DA2"/>
    <w:rsid w:val="00863E23"/>
    <w:rsid w:val="00867070"/>
    <w:rsid w:val="00873081"/>
    <w:rsid w:val="00874ABA"/>
    <w:rsid w:val="00874ECF"/>
    <w:rsid w:val="008835B9"/>
    <w:rsid w:val="00884598"/>
    <w:rsid w:val="00896585"/>
    <w:rsid w:val="008A13AB"/>
    <w:rsid w:val="008A46B0"/>
    <w:rsid w:val="008A7A3B"/>
    <w:rsid w:val="008B043D"/>
    <w:rsid w:val="008B1A24"/>
    <w:rsid w:val="008B20CB"/>
    <w:rsid w:val="008B293F"/>
    <w:rsid w:val="008B56B4"/>
    <w:rsid w:val="008C4D96"/>
    <w:rsid w:val="008C55E3"/>
    <w:rsid w:val="008C747A"/>
    <w:rsid w:val="008D2FE3"/>
    <w:rsid w:val="008D32BF"/>
    <w:rsid w:val="008D4BB4"/>
    <w:rsid w:val="008E163E"/>
    <w:rsid w:val="008E32BA"/>
    <w:rsid w:val="008E46BD"/>
    <w:rsid w:val="008E5A91"/>
    <w:rsid w:val="008F0EC3"/>
    <w:rsid w:val="00900E09"/>
    <w:rsid w:val="00904D95"/>
    <w:rsid w:val="00913886"/>
    <w:rsid w:val="00915B52"/>
    <w:rsid w:val="009202AF"/>
    <w:rsid w:val="00923299"/>
    <w:rsid w:val="00925CE3"/>
    <w:rsid w:val="009262E2"/>
    <w:rsid w:val="00926728"/>
    <w:rsid w:val="0092702E"/>
    <w:rsid w:val="0092705D"/>
    <w:rsid w:val="00930E67"/>
    <w:rsid w:val="00933BD8"/>
    <w:rsid w:val="009374AE"/>
    <w:rsid w:val="00940A08"/>
    <w:rsid w:val="00944CAC"/>
    <w:rsid w:val="009451B5"/>
    <w:rsid w:val="009467D1"/>
    <w:rsid w:val="00947CF3"/>
    <w:rsid w:val="00947D2C"/>
    <w:rsid w:val="0095537A"/>
    <w:rsid w:val="00962326"/>
    <w:rsid w:val="009708DE"/>
    <w:rsid w:val="00977A6D"/>
    <w:rsid w:val="0098103F"/>
    <w:rsid w:val="00986DBB"/>
    <w:rsid w:val="00987871"/>
    <w:rsid w:val="0099171A"/>
    <w:rsid w:val="00995D46"/>
    <w:rsid w:val="00996564"/>
    <w:rsid w:val="009A1D17"/>
    <w:rsid w:val="009A35FA"/>
    <w:rsid w:val="009A44CB"/>
    <w:rsid w:val="009B7ADC"/>
    <w:rsid w:val="009D119A"/>
    <w:rsid w:val="009D3DE1"/>
    <w:rsid w:val="009E4F20"/>
    <w:rsid w:val="009E5183"/>
    <w:rsid w:val="009F2327"/>
    <w:rsid w:val="009F234C"/>
    <w:rsid w:val="009F3673"/>
    <w:rsid w:val="009F3946"/>
    <w:rsid w:val="009F44FD"/>
    <w:rsid w:val="00A0218A"/>
    <w:rsid w:val="00A06B20"/>
    <w:rsid w:val="00A10A0A"/>
    <w:rsid w:val="00A13804"/>
    <w:rsid w:val="00A1615C"/>
    <w:rsid w:val="00A262B0"/>
    <w:rsid w:val="00A27590"/>
    <w:rsid w:val="00A330ED"/>
    <w:rsid w:val="00A34004"/>
    <w:rsid w:val="00A43609"/>
    <w:rsid w:val="00A43714"/>
    <w:rsid w:val="00A469FD"/>
    <w:rsid w:val="00A55FD0"/>
    <w:rsid w:val="00A71B66"/>
    <w:rsid w:val="00A732F1"/>
    <w:rsid w:val="00A73CFB"/>
    <w:rsid w:val="00A7402F"/>
    <w:rsid w:val="00A84474"/>
    <w:rsid w:val="00A85692"/>
    <w:rsid w:val="00A9292C"/>
    <w:rsid w:val="00A95157"/>
    <w:rsid w:val="00AA1740"/>
    <w:rsid w:val="00AA288A"/>
    <w:rsid w:val="00AA3B01"/>
    <w:rsid w:val="00AA5F0C"/>
    <w:rsid w:val="00AA7F7E"/>
    <w:rsid w:val="00AB7764"/>
    <w:rsid w:val="00AC1B82"/>
    <w:rsid w:val="00AC2BA5"/>
    <w:rsid w:val="00AC3ED9"/>
    <w:rsid w:val="00AC7807"/>
    <w:rsid w:val="00AE500E"/>
    <w:rsid w:val="00AE6A53"/>
    <w:rsid w:val="00AF2B98"/>
    <w:rsid w:val="00AF3C6E"/>
    <w:rsid w:val="00B101D8"/>
    <w:rsid w:val="00B1110F"/>
    <w:rsid w:val="00B12EAF"/>
    <w:rsid w:val="00B16BC1"/>
    <w:rsid w:val="00B42EAA"/>
    <w:rsid w:val="00B43424"/>
    <w:rsid w:val="00B463BC"/>
    <w:rsid w:val="00B50AE2"/>
    <w:rsid w:val="00B51DED"/>
    <w:rsid w:val="00B549B3"/>
    <w:rsid w:val="00B560AF"/>
    <w:rsid w:val="00B62482"/>
    <w:rsid w:val="00B63648"/>
    <w:rsid w:val="00B671AF"/>
    <w:rsid w:val="00B711BA"/>
    <w:rsid w:val="00B71708"/>
    <w:rsid w:val="00B747DF"/>
    <w:rsid w:val="00B75CDC"/>
    <w:rsid w:val="00B83C5D"/>
    <w:rsid w:val="00BA15CF"/>
    <w:rsid w:val="00BB19A7"/>
    <w:rsid w:val="00BB1D45"/>
    <w:rsid w:val="00BB245B"/>
    <w:rsid w:val="00BB550F"/>
    <w:rsid w:val="00BB56EF"/>
    <w:rsid w:val="00BC0B48"/>
    <w:rsid w:val="00BC3A08"/>
    <w:rsid w:val="00BF3027"/>
    <w:rsid w:val="00BF5379"/>
    <w:rsid w:val="00C04153"/>
    <w:rsid w:val="00C073AD"/>
    <w:rsid w:val="00C12A6F"/>
    <w:rsid w:val="00C15CC6"/>
    <w:rsid w:val="00C21D99"/>
    <w:rsid w:val="00C24C6C"/>
    <w:rsid w:val="00C265FE"/>
    <w:rsid w:val="00C36837"/>
    <w:rsid w:val="00C40072"/>
    <w:rsid w:val="00C40B70"/>
    <w:rsid w:val="00C414D0"/>
    <w:rsid w:val="00C42D0D"/>
    <w:rsid w:val="00C458CC"/>
    <w:rsid w:val="00C46AD4"/>
    <w:rsid w:val="00C53126"/>
    <w:rsid w:val="00C55051"/>
    <w:rsid w:val="00C56E47"/>
    <w:rsid w:val="00C5789F"/>
    <w:rsid w:val="00C665C4"/>
    <w:rsid w:val="00C74411"/>
    <w:rsid w:val="00C8111C"/>
    <w:rsid w:val="00C815C1"/>
    <w:rsid w:val="00C81AD5"/>
    <w:rsid w:val="00C837E9"/>
    <w:rsid w:val="00C90060"/>
    <w:rsid w:val="00C91983"/>
    <w:rsid w:val="00C928CF"/>
    <w:rsid w:val="00C941B8"/>
    <w:rsid w:val="00CA3A21"/>
    <w:rsid w:val="00CB16AC"/>
    <w:rsid w:val="00CB32FA"/>
    <w:rsid w:val="00CC7EC2"/>
    <w:rsid w:val="00CC7F68"/>
    <w:rsid w:val="00CD103F"/>
    <w:rsid w:val="00CD6526"/>
    <w:rsid w:val="00CD7943"/>
    <w:rsid w:val="00CD7CEB"/>
    <w:rsid w:val="00CE1648"/>
    <w:rsid w:val="00CE4BF9"/>
    <w:rsid w:val="00CE51E2"/>
    <w:rsid w:val="00CE5AEE"/>
    <w:rsid w:val="00CE7EDE"/>
    <w:rsid w:val="00CF19C6"/>
    <w:rsid w:val="00D03A4E"/>
    <w:rsid w:val="00D06E3B"/>
    <w:rsid w:val="00D1149E"/>
    <w:rsid w:val="00D17A69"/>
    <w:rsid w:val="00D244E5"/>
    <w:rsid w:val="00D30916"/>
    <w:rsid w:val="00D4159D"/>
    <w:rsid w:val="00D506D1"/>
    <w:rsid w:val="00D53754"/>
    <w:rsid w:val="00D605E8"/>
    <w:rsid w:val="00D63E02"/>
    <w:rsid w:val="00D64CB6"/>
    <w:rsid w:val="00D65924"/>
    <w:rsid w:val="00D7519E"/>
    <w:rsid w:val="00D7707C"/>
    <w:rsid w:val="00D87EE4"/>
    <w:rsid w:val="00DA041E"/>
    <w:rsid w:val="00DA1D6D"/>
    <w:rsid w:val="00DA2AD4"/>
    <w:rsid w:val="00DA683A"/>
    <w:rsid w:val="00DA6C5D"/>
    <w:rsid w:val="00DB1E6D"/>
    <w:rsid w:val="00DB54B3"/>
    <w:rsid w:val="00DB5541"/>
    <w:rsid w:val="00DC35D5"/>
    <w:rsid w:val="00DD0BA2"/>
    <w:rsid w:val="00DD3246"/>
    <w:rsid w:val="00DD4232"/>
    <w:rsid w:val="00DD7F46"/>
    <w:rsid w:val="00DD7FD8"/>
    <w:rsid w:val="00DE0B36"/>
    <w:rsid w:val="00DE0E17"/>
    <w:rsid w:val="00DE44FD"/>
    <w:rsid w:val="00DE518F"/>
    <w:rsid w:val="00DF4C84"/>
    <w:rsid w:val="00DF4FB7"/>
    <w:rsid w:val="00DF5E7E"/>
    <w:rsid w:val="00E04E4A"/>
    <w:rsid w:val="00E05F02"/>
    <w:rsid w:val="00E068B3"/>
    <w:rsid w:val="00E06BF1"/>
    <w:rsid w:val="00E11B46"/>
    <w:rsid w:val="00E23E6D"/>
    <w:rsid w:val="00E2595E"/>
    <w:rsid w:val="00E348B8"/>
    <w:rsid w:val="00E36F0A"/>
    <w:rsid w:val="00E42813"/>
    <w:rsid w:val="00E42F83"/>
    <w:rsid w:val="00E53B69"/>
    <w:rsid w:val="00E56578"/>
    <w:rsid w:val="00E57FBC"/>
    <w:rsid w:val="00E64FA8"/>
    <w:rsid w:val="00E707A2"/>
    <w:rsid w:val="00E75234"/>
    <w:rsid w:val="00E75FD1"/>
    <w:rsid w:val="00E80305"/>
    <w:rsid w:val="00E84A0A"/>
    <w:rsid w:val="00E86368"/>
    <w:rsid w:val="00E87161"/>
    <w:rsid w:val="00E8760E"/>
    <w:rsid w:val="00E93D47"/>
    <w:rsid w:val="00E9533B"/>
    <w:rsid w:val="00EA0FCF"/>
    <w:rsid w:val="00EA73C0"/>
    <w:rsid w:val="00EB1CFA"/>
    <w:rsid w:val="00EC6545"/>
    <w:rsid w:val="00ED723B"/>
    <w:rsid w:val="00ED7497"/>
    <w:rsid w:val="00EE200F"/>
    <w:rsid w:val="00EE3EEA"/>
    <w:rsid w:val="00EE4784"/>
    <w:rsid w:val="00EE5598"/>
    <w:rsid w:val="00EF1675"/>
    <w:rsid w:val="00EF1E64"/>
    <w:rsid w:val="00EF3A3D"/>
    <w:rsid w:val="00EF727C"/>
    <w:rsid w:val="00F0760B"/>
    <w:rsid w:val="00F126A6"/>
    <w:rsid w:val="00F13444"/>
    <w:rsid w:val="00F207D7"/>
    <w:rsid w:val="00F227F0"/>
    <w:rsid w:val="00F50150"/>
    <w:rsid w:val="00F568DC"/>
    <w:rsid w:val="00F650DF"/>
    <w:rsid w:val="00F76AFA"/>
    <w:rsid w:val="00F77200"/>
    <w:rsid w:val="00F87165"/>
    <w:rsid w:val="00F923E9"/>
    <w:rsid w:val="00F93F96"/>
    <w:rsid w:val="00F94FDD"/>
    <w:rsid w:val="00FA23B7"/>
    <w:rsid w:val="00FB340F"/>
    <w:rsid w:val="00FB7CAB"/>
    <w:rsid w:val="00FC6B0D"/>
    <w:rsid w:val="00FD3BB3"/>
    <w:rsid w:val="00FD420C"/>
    <w:rsid w:val="00FE1450"/>
    <w:rsid w:val="00FF2852"/>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E163E"/>
    <w:pPr>
      <w:numPr>
        <w:numId w:val="7"/>
      </w:numPr>
      <w:tabs>
        <w:tab w:val="left" w:pos="1980"/>
      </w:tabs>
      <w:spacing w:before="120" w:after="0" w:line="240" w:lineRule="auto"/>
      <w:jc w:val="both"/>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B5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E163E"/>
    <w:pPr>
      <w:numPr>
        <w:numId w:val="7"/>
      </w:numPr>
      <w:tabs>
        <w:tab w:val="left" w:pos="1980"/>
      </w:tabs>
      <w:spacing w:before="120" w:after="0" w:line="240" w:lineRule="auto"/>
      <w:jc w:val="both"/>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B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935209424">
      <w:bodyDiv w:val="1"/>
      <w:marLeft w:val="0"/>
      <w:marRight w:val="0"/>
      <w:marTop w:val="0"/>
      <w:marBottom w:val="0"/>
      <w:divBdr>
        <w:top w:val="none" w:sz="0" w:space="0" w:color="auto"/>
        <w:left w:val="none" w:sz="0" w:space="0" w:color="auto"/>
        <w:bottom w:val="none" w:sz="0" w:space="0" w:color="auto"/>
        <w:right w:val="none" w:sz="0" w:space="0" w:color="auto"/>
      </w:divBdr>
      <w:divsChild>
        <w:div w:id="162359355">
          <w:marLeft w:val="547"/>
          <w:marRight w:val="0"/>
          <w:marTop w:val="72"/>
          <w:marBottom w:val="0"/>
          <w:divBdr>
            <w:top w:val="none" w:sz="0" w:space="0" w:color="auto"/>
            <w:left w:val="none" w:sz="0" w:space="0" w:color="auto"/>
            <w:bottom w:val="none" w:sz="0" w:space="0" w:color="auto"/>
            <w:right w:val="none" w:sz="0" w:space="0" w:color="auto"/>
          </w:divBdr>
        </w:div>
      </w:divsChild>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1874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footer" Target="footer2.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3.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ms.gov.uk\data\Users\GBBULVD\BULHOME20\cdenneny\Data\Desktop\US\User%20Satisfaction%20Raw%20Data%20April%20to%20Septembr%202015%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800" b="1" i="0" u="none" strike="noStrike" baseline="0">
                <a:solidFill>
                  <a:srgbClr val="000000"/>
                </a:solidFill>
                <a:latin typeface="Calibri"/>
                <a:ea typeface="Calibri"/>
                <a:cs typeface="Calibri"/>
              </a:defRPr>
            </a:pPr>
            <a:r>
              <a:rPr lang="en-GB" sz="1500" baseline="0"/>
              <a:t>Graph showing the number of RECs granted provisional accreditation/accreditation with conditions and the number of unmet standards between April and September 2015</a:t>
            </a:r>
            <a:endParaRPr lang="en-GB"/>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Number of unmet standards</c:v>
                </c:pt>
              </c:strCache>
            </c:strRef>
          </c:tx>
          <c:invertIfNegative val="0"/>
          <c:cat>
            <c:strRef>
              <c:f>Sheet1!$A$2:$A$4</c:f>
              <c:strCache>
                <c:ptCount val="2"/>
                <c:pt idx="0">
                  <c:v>1-3 </c:v>
                </c:pt>
                <c:pt idx="1">
                  <c:v>4-6 </c:v>
                </c:pt>
              </c:strCache>
            </c:strRef>
          </c:cat>
          <c:val>
            <c:numRef>
              <c:f>Sheet1!$B$2:$B$4</c:f>
              <c:numCache>
                <c:formatCode>General</c:formatCode>
                <c:ptCount val="3"/>
                <c:pt idx="0">
                  <c:v>5</c:v>
                </c:pt>
                <c:pt idx="1">
                  <c:v>1</c:v>
                </c:pt>
              </c:numCache>
            </c:numRef>
          </c:val>
        </c:ser>
        <c:dLbls>
          <c:showLegendKey val="0"/>
          <c:showVal val="0"/>
          <c:showCatName val="0"/>
          <c:showSerName val="0"/>
          <c:showPercent val="0"/>
          <c:showBubbleSize val="0"/>
        </c:dLbls>
        <c:gapWidth val="55"/>
        <c:gapDepth val="55"/>
        <c:shape val="box"/>
        <c:axId val="71646208"/>
        <c:axId val="73487104"/>
        <c:axId val="0"/>
      </c:bar3DChart>
      <c:catAx>
        <c:axId val="7164620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GB"/>
                  <a:t>Number of unmet standards</a:t>
                </a:r>
              </a:p>
            </c:rich>
          </c:tx>
          <c:overlay val="0"/>
        </c:title>
        <c:numFmt formatCode="General" sourceLinked="1"/>
        <c:majorTickMark val="none"/>
        <c:minorTickMark val="none"/>
        <c:tickLblPos val="nextTo"/>
        <c:txPr>
          <a:bodyPr rot="0" vert="horz"/>
          <a:lstStyle/>
          <a:p>
            <a:pPr>
              <a:defRPr/>
            </a:pPr>
            <a:endParaRPr lang="en-US"/>
          </a:p>
        </c:txPr>
        <c:crossAx val="73487104"/>
        <c:crosses val="autoZero"/>
        <c:auto val="1"/>
        <c:lblAlgn val="ctr"/>
        <c:lblOffset val="100"/>
        <c:noMultiLvlLbl val="1"/>
      </c:catAx>
      <c:valAx>
        <c:axId val="73487104"/>
        <c:scaling>
          <c:orientation val="minMax"/>
          <c:max val="8"/>
          <c:min val="0"/>
        </c:scaling>
        <c:delete val="0"/>
        <c:axPos val="l"/>
        <c:title>
          <c:tx>
            <c:rich>
              <a:bodyPr/>
              <a:lstStyle/>
              <a:p>
                <a:pPr>
                  <a:defRPr sz="1000" b="1" i="0" u="none" strike="noStrike" baseline="0">
                    <a:solidFill>
                      <a:srgbClr val="000000"/>
                    </a:solidFill>
                    <a:latin typeface="Calibri"/>
                    <a:ea typeface="Calibri"/>
                    <a:cs typeface="Calibri"/>
                  </a:defRPr>
                </a:pPr>
                <a:r>
                  <a:rPr lang="en-GB"/>
                  <a:t>Number of RECs</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1646208"/>
        <c:crosses val="autoZero"/>
        <c:crossBetween val="between"/>
      </c:valAx>
    </c:plotArea>
    <c:plotVisOnly val="1"/>
    <c:dispBlanksAs val="gap"/>
    <c:showDLblsOverMax val="0"/>
  </c:chart>
  <c:spPr>
    <a:ln>
      <a:solidFill>
        <a:srgbClr val="4F81BD">
          <a:alpha val="52000"/>
        </a:srgb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422272060067342E-2"/>
          <c:y val="2.8559918382295237E-2"/>
          <c:w val="0.86821307386204516"/>
          <c:h val="0.86840667558064677"/>
        </c:manualLayout>
      </c:layout>
      <c:barChart>
        <c:barDir val="col"/>
        <c:grouping val="clustered"/>
        <c:varyColors val="0"/>
        <c:ser>
          <c:idx val="0"/>
          <c:order val="0"/>
          <c:tx>
            <c:strRef>
              <c:f>Trends!$B$23</c:f>
              <c:strCache>
                <c:ptCount val="1"/>
                <c:pt idx="0">
                  <c:v>Apr 2014 to Sep 2014</c:v>
                </c:pt>
              </c:strCache>
            </c:strRef>
          </c:tx>
          <c:invertIfNegative val="0"/>
          <c:cat>
            <c:strRef>
              <c:f>Trends!$A$36:$A$39</c:f>
              <c:strCache>
                <c:ptCount val="4"/>
                <c:pt idx="0">
                  <c:v>Excellent</c:v>
                </c:pt>
                <c:pt idx="1">
                  <c:v>Good</c:v>
                </c:pt>
                <c:pt idx="2">
                  <c:v>Poor</c:v>
                </c:pt>
                <c:pt idx="3">
                  <c:v>Very Poor</c:v>
                </c:pt>
              </c:strCache>
            </c:strRef>
          </c:cat>
          <c:val>
            <c:numRef>
              <c:f>Trends!$B$36:$B$39</c:f>
              <c:numCache>
                <c:formatCode>0%</c:formatCode>
                <c:ptCount val="4"/>
                <c:pt idx="0">
                  <c:v>0.16763005780346821</c:v>
                </c:pt>
                <c:pt idx="1">
                  <c:v>0.68208092485549132</c:v>
                </c:pt>
                <c:pt idx="2">
                  <c:v>0.13872832369942195</c:v>
                </c:pt>
                <c:pt idx="3">
                  <c:v>1.1560693641618497E-2</c:v>
                </c:pt>
              </c:numCache>
            </c:numRef>
          </c:val>
        </c:ser>
        <c:ser>
          <c:idx val="1"/>
          <c:order val="1"/>
          <c:tx>
            <c:strRef>
              <c:f>Trends!$C$23</c:f>
              <c:strCache>
                <c:ptCount val="1"/>
                <c:pt idx="0">
                  <c:v>Oct 2014 to March 2015</c:v>
                </c:pt>
              </c:strCache>
            </c:strRef>
          </c:tx>
          <c:invertIfNegative val="0"/>
          <c:cat>
            <c:strRef>
              <c:f>Trends!$A$36:$A$39</c:f>
              <c:strCache>
                <c:ptCount val="4"/>
                <c:pt idx="0">
                  <c:v>Excellent</c:v>
                </c:pt>
                <c:pt idx="1">
                  <c:v>Good</c:v>
                </c:pt>
                <c:pt idx="2">
                  <c:v>Poor</c:v>
                </c:pt>
                <c:pt idx="3">
                  <c:v>Very Poor</c:v>
                </c:pt>
              </c:strCache>
            </c:strRef>
          </c:cat>
          <c:val>
            <c:numRef>
              <c:f>Trends!$C$36:$C$39</c:f>
              <c:numCache>
                <c:formatCode>0%</c:formatCode>
                <c:ptCount val="4"/>
                <c:pt idx="0">
                  <c:v>0.21818181818181817</c:v>
                </c:pt>
                <c:pt idx="1">
                  <c:v>0.68484848484848482</c:v>
                </c:pt>
                <c:pt idx="2">
                  <c:v>7.8787878787878782E-2</c:v>
                </c:pt>
                <c:pt idx="3">
                  <c:v>1.8181818181818181E-2</c:v>
                </c:pt>
              </c:numCache>
            </c:numRef>
          </c:val>
        </c:ser>
        <c:ser>
          <c:idx val="2"/>
          <c:order val="2"/>
          <c:tx>
            <c:strRef>
              <c:f>Trends!$D$23</c:f>
              <c:strCache>
                <c:ptCount val="1"/>
                <c:pt idx="0">
                  <c:v>Apr 2015 to Sep 2015</c:v>
                </c:pt>
              </c:strCache>
            </c:strRef>
          </c:tx>
          <c:invertIfNegative val="0"/>
          <c:cat>
            <c:strRef>
              <c:f>Trends!$A$36:$A$39</c:f>
              <c:strCache>
                <c:ptCount val="4"/>
                <c:pt idx="0">
                  <c:v>Excellent</c:v>
                </c:pt>
                <c:pt idx="1">
                  <c:v>Good</c:v>
                </c:pt>
                <c:pt idx="2">
                  <c:v>Poor</c:v>
                </c:pt>
                <c:pt idx="3">
                  <c:v>Very Poor</c:v>
                </c:pt>
              </c:strCache>
            </c:strRef>
          </c:cat>
          <c:val>
            <c:numRef>
              <c:f>Trends!$D$36:$D$39</c:f>
              <c:numCache>
                <c:formatCode>0%</c:formatCode>
                <c:ptCount val="4"/>
                <c:pt idx="0">
                  <c:v>0.19867549668874171</c:v>
                </c:pt>
                <c:pt idx="1">
                  <c:v>0.70198675496688745</c:v>
                </c:pt>
                <c:pt idx="2">
                  <c:v>8.6092715231788075E-2</c:v>
                </c:pt>
                <c:pt idx="3">
                  <c:v>1.3245033112582781E-2</c:v>
                </c:pt>
              </c:numCache>
            </c:numRef>
          </c:val>
        </c:ser>
        <c:dLbls>
          <c:showLegendKey val="0"/>
          <c:showVal val="0"/>
          <c:showCatName val="0"/>
          <c:showSerName val="0"/>
          <c:showPercent val="0"/>
          <c:showBubbleSize val="0"/>
        </c:dLbls>
        <c:gapWidth val="150"/>
        <c:axId val="71649152"/>
        <c:axId val="71650688"/>
      </c:barChart>
      <c:catAx>
        <c:axId val="71649152"/>
        <c:scaling>
          <c:orientation val="minMax"/>
        </c:scaling>
        <c:delete val="0"/>
        <c:axPos val="b"/>
        <c:numFmt formatCode="General" sourceLinked="1"/>
        <c:majorTickMark val="out"/>
        <c:minorTickMark val="none"/>
        <c:tickLblPos val="nextTo"/>
        <c:spPr>
          <a:ln>
            <a:solidFill>
              <a:schemeClr val="bg1">
                <a:lumMod val="75000"/>
              </a:schemeClr>
            </a:solidFill>
          </a:ln>
        </c:spPr>
        <c:crossAx val="71650688"/>
        <c:crosses val="autoZero"/>
        <c:auto val="1"/>
        <c:lblAlgn val="ctr"/>
        <c:lblOffset val="100"/>
        <c:noMultiLvlLbl val="0"/>
      </c:catAx>
      <c:valAx>
        <c:axId val="71650688"/>
        <c:scaling>
          <c:orientation val="minMax"/>
        </c:scaling>
        <c:delete val="0"/>
        <c:axPos val="l"/>
        <c:majorGridlines>
          <c:spPr>
            <a:ln>
              <a:solidFill>
                <a:schemeClr val="bg1">
                  <a:lumMod val="75000"/>
                </a:schemeClr>
              </a:solidFill>
            </a:ln>
          </c:spPr>
        </c:majorGridlines>
        <c:numFmt formatCode="0%" sourceLinked="1"/>
        <c:majorTickMark val="out"/>
        <c:minorTickMark val="none"/>
        <c:tickLblPos val="nextTo"/>
        <c:spPr>
          <a:ln>
            <a:solidFill>
              <a:schemeClr val="bg1">
                <a:lumMod val="75000"/>
              </a:schemeClr>
            </a:solidFill>
          </a:ln>
        </c:spPr>
        <c:crossAx val="7164915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849518810148731E-2"/>
          <c:y val="5.1400554097404488E-2"/>
          <c:w val="0.87450895811936546"/>
          <c:h val="0.85576771653543304"/>
        </c:manualLayout>
      </c:layout>
      <c:barChart>
        <c:barDir val="col"/>
        <c:grouping val="clustered"/>
        <c:varyColors val="0"/>
        <c:ser>
          <c:idx val="0"/>
          <c:order val="0"/>
          <c:tx>
            <c:strRef>
              <c:f>Trends!$B$23</c:f>
              <c:strCache>
                <c:ptCount val="1"/>
                <c:pt idx="0">
                  <c:v>Apr 2014 to Sep 2014</c:v>
                </c:pt>
              </c:strCache>
            </c:strRef>
          </c:tx>
          <c:invertIfNegative val="0"/>
          <c:cat>
            <c:strRef>
              <c:f>Trends!$A$30:$A$33</c:f>
              <c:strCache>
                <c:ptCount val="4"/>
                <c:pt idx="0">
                  <c:v>Excellent</c:v>
                </c:pt>
                <c:pt idx="1">
                  <c:v>Good</c:v>
                </c:pt>
                <c:pt idx="2">
                  <c:v>Poor</c:v>
                </c:pt>
                <c:pt idx="3">
                  <c:v>Very Poor</c:v>
                </c:pt>
              </c:strCache>
            </c:strRef>
          </c:cat>
          <c:val>
            <c:numRef>
              <c:f>Trends!$B$30:$B$33</c:f>
              <c:numCache>
                <c:formatCode>0%</c:formatCode>
                <c:ptCount val="4"/>
                <c:pt idx="0">
                  <c:v>0.39830508474576271</c:v>
                </c:pt>
                <c:pt idx="1">
                  <c:v>0.5423728813559322</c:v>
                </c:pt>
                <c:pt idx="2">
                  <c:v>5.0847457627118647E-2</c:v>
                </c:pt>
                <c:pt idx="3">
                  <c:v>8.4745762711864406E-3</c:v>
                </c:pt>
              </c:numCache>
            </c:numRef>
          </c:val>
        </c:ser>
        <c:ser>
          <c:idx val="1"/>
          <c:order val="1"/>
          <c:tx>
            <c:strRef>
              <c:f>Trends!$C$23</c:f>
              <c:strCache>
                <c:ptCount val="1"/>
                <c:pt idx="0">
                  <c:v>Oct 2014 to March 2015</c:v>
                </c:pt>
              </c:strCache>
            </c:strRef>
          </c:tx>
          <c:invertIfNegative val="0"/>
          <c:cat>
            <c:strRef>
              <c:f>Trends!$A$30:$A$33</c:f>
              <c:strCache>
                <c:ptCount val="4"/>
                <c:pt idx="0">
                  <c:v>Excellent</c:v>
                </c:pt>
                <c:pt idx="1">
                  <c:v>Good</c:v>
                </c:pt>
                <c:pt idx="2">
                  <c:v>Poor</c:v>
                </c:pt>
                <c:pt idx="3">
                  <c:v>Very Poor</c:v>
                </c:pt>
              </c:strCache>
            </c:strRef>
          </c:cat>
          <c:val>
            <c:numRef>
              <c:f>Trends!$C$30:$C$33</c:f>
              <c:numCache>
                <c:formatCode>0%</c:formatCode>
                <c:ptCount val="4"/>
                <c:pt idx="0">
                  <c:v>0.38686131386861317</c:v>
                </c:pt>
                <c:pt idx="1">
                  <c:v>0.54744525547445255</c:v>
                </c:pt>
                <c:pt idx="2">
                  <c:v>3.6496350364963501E-2</c:v>
                </c:pt>
                <c:pt idx="3">
                  <c:v>2.9197080291970802E-2</c:v>
                </c:pt>
              </c:numCache>
            </c:numRef>
          </c:val>
        </c:ser>
        <c:ser>
          <c:idx val="2"/>
          <c:order val="2"/>
          <c:tx>
            <c:strRef>
              <c:f>Trends!$D$23</c:f>
              <c:strCache>
                <c:ptCount val="1"/>
                <c:pt idx="0">
                  <c:v>Apr 2015 to Sep 2015</c:v>
                </c:pt>
              </c:strCache>
            </c:strRef>
          </c:tx>
          <c:invertIfNegative val="0"/>
          <c:cat>
            <c:strRef>
              <c:f>Trends!$A$30:$A$33</c:f>
              <c:strCache>
                <c:ptCount val="4"/>
                <c:pt idx="0">
                  <c:v>Excellent</c:v>
                </c:pt>
                <c:pt idx="1">
                  <c:v>Good</c:v>
                </c:pt>
                <c:pt idx="2">
                  <c:v>Poor</c:v>
                </c:pt>
                <c:pt idx="3">
                  <c:v>Very Poor</c:v>
                </c:pt>
              </c:strCache>
            </c:strRef>
          </c:cat>
          <c:val>
            <c:numRef>
              <c:f>Trends!$D$30:$D$33</c:f>
              <c:numCache>
                <c:formatCode>0%</c:formatCode>
                <c:ptCount val="4"/>
                <c:pt idx="0">
                  <c:v>0.43478260869565216</c:v>
                </c:pt>
                <c:pt idx="1">
                  <c:v>0.5043478260869565</c:v>
                </c:pt>
                <c:pt idx="2">
                  <c:v>3.4782608695652174E-2</c:v>
                </c:pt>
                <c:pt idx="3">
                  <c:v>2.6086956521739129E-2</c:v>
                </c:pt>
              </c:numCache>
            </c:numRef>
          </c:val>
        </c:ser>
        <c:dLbls>
          <c:showLegendKey val="0"/>
          <c:showVal val="0"/>
          <c:showCatName val="0"/>
          <c:showSerName val="0"/>
          <c:showPercent val="0"/>
          <c:showBubbleSize val="0"/>
        </c:dLbls>
        <c:gapWidth val="150"/>
        <c:axId val="71795840"/>
        <c:axId val="71797376"/>
      </c:barChart>
      <c:catAx>
        <c:axId val="71795840"/>
        <c:scaling>
          <c:orientation val="minMax"/>
        </c:scaling>
        <c:delete val="0"/>
        <c:axPos val="b"/>
        <c:numFmt formatCode="General" sourceLinked="1"/>
        <c:majorTickMark val="out"/>
        <c:minorTickMark val="none"/>
        <c:tickLblPos val="nextTo"/>
        <c:crossAx val="71797376"/>
        <c:crosses val="autoZero"/>
        <c:auto val="1"/>
        <c:lblAlgn val="ctr"/>
        <c:lblOffset val="100"/>
        <c:noMultiLvlLbl val="0"/>
      </c:catAx>
      <c:valAx>
        <c:axId val="71797376"/>
        <c:scaling>
          <c:orientation val="minMax"/>
          <c:max val="0.8"/>
        </c:scaling>
        <c:delete val="0"/>
        <c:axPos val="l"/>
        <c:majorGridlines>
          <c:spPr>
            <a:ln>
              <a:solidFill>
                <a:schemeClr val="bg1">
                  <a:lumMod val="75000"/>
                </a:schemeClr>
              </a:solidFill>
            </a:ln>
          </c:spPr>
        </c:majorGridlines>
        <c:numFmt formatCode="0%" sourceLinked="1"/>
        <c:majorTickMark val="out"/>
        <c:minorTickMark val="none"/>
        <c:tickLblPos val="nextTo"/>
        <c:spPr>
          <a:ln>
            <a:solidFill>
              <a:schemeClr val="bg1">
                <a:lumMod val="75000"/>
              </a:schemeClr>
            </a:solidFill>
          </a:ln>
        </c:spPr>
        <c:crossAx val="7179584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979383043410774E-2"/>
          <c:y val="3.1239284353568708E-2"/>
          <c:w val="0.85542338379772354"/>
          <c:h val="0.8326195683872849"/>
        </c:manualLayout>
      </c:layout>
      <c:barChart>
        <c:barDir val="col"/>
        <c:grouping val="clustered"/>
        <c:varyColors val="0"/>
        <c:ser>
          <c:idx val="0"/>
          <c:order val="0"/>
          <c:tx>
            <c:strRef>
              <c:f>Trends!$B$23</c:f>
              <c:strCache>
                <c:ptCount val="1"/>
                <c:pt idx="0">
                  <c:v>Apr 2014 to Sep 2014</c:v>
                </c:pt>
              </c:strCache>
            </c:strRef>
          </c:tx>
          <c:invertIfNegative val="0"/>
          <c:cat>
            <c:strRef>
              <c:f>Trends!$A$48:$A$51</c:f>
              <c:strCache>
                <c:ptCount val="4"/>
                <c:pt idx="0">
                  <c:v>Excellent</c:v>
                </c:pt>
                <c:pt idx="1">
                  <c:v>Good</c:v>
                </c:pt>
                <c:pt idx="2">
                  <c:v>Poor</c:v>
                </c:pt>
                <c:pt idx="3">
                  <c:v>Very Poor</c:v>
                </c:pt>
              </c:strCache>
            </c:strRef>
          </c:cat>
          <c:val>
            <c:numRef>
              <c:f>Trends!$B$48:$B$51</c:f>
              <c:numCache>
                <c:formatCode>0%</c:formatCode>
                <c:ptCount val="4"/>
                <c:pt idx="0">
                  <c:v>0.51</c:v>
                </c:pt>
                <c:pt idx="1">
                  <c:v>0.42499999999999999</c:v>
                </c:pt>
                <c:pt idx="2">
                  <c:v>4.4999999999999998E-2</c:v>
                </c:pt>
                <c:pt idx="3">
                  <c:v>0.02</c:v>
                </c:pt>
              </c:numCache>
            </c:numRef>
          </c:val>
        </c:ser>
        <c:ser>
          <c:idx val="1"/>
          <c:order val="1"/>
          <c:tx>
            <c:strRef>
              <c:f>Trends!$C$23</c:f>
              <c:strCache>
                <c:ptCount val="1"/>
                <c:pt idx="0">
                  <c:v>Oct 2014 to March 2015</c:v>
                </c:pt>
              </c:strCache>
            </c:strRef>
          </c:tx>
          <c:invertIfNegative val="0"/>
          <c:cat>
            <c:strRef>
              <c:f>Trends!$A$48:$A$51</c:f>
              <c:strCache>
                <c:ptCount val="4"/>
                <c:pt idx="0">
                  <c:v>Excellent</c:v>
                </c:pt>
                <c:pt idx="1">
                  <c:v>Good</c:v>
                </c:pt>
                <c:pt idx="2">
                  <c:v>Poor</c:v>
                </c:pt>
                <c:pt idx="3">
                  <c:v>Very Poor</c:v>
                </c:pt>
              </c:strCache>
            </c:strRef>
          </c:cat>
          <c:val>
            <c:numRef>
              <c:f>Trends!$C$48:$C$51</c:f>
              <c:numCache>
                <c:formatCode>0%</c:formatCode>
                <c:ptCount val="4"/>
                <c:pt idx="0">
                  <c:v>0.55135135135135138</c:v>
                </c:pt>
                <c:pt idx="1">
                  <c:v>0.39459459459459462</c:v>
                </c:pt>
                <c:pt idx="2">
                  <c:v>3.783783783783784E-2</c:v>
                </c:pt>
                <c:pt idx="3">
                  <c:v>1.6216216216216217E-2</c:v>
                </c:pt>
              </c:numCache>
            </c:numRef>
          </c:val>
        </c:ser>
        <c:ser>
          <c:idx val="2"/>
          <c:order val="2"/>
          <c:tx>
            <c:strRef>
              <c:f>Trends!$D$23</c:f>
              <c:strCache>
                <c:ptCount val="1"/>
                <c:pt idx="0">
                  <c:v>Apr 2015 to Sep 2015</c:v>
                </c:pt>
              </c:strCache>
            </c:strRef>
          </c:tx>
          <c:invertIfNegative val="0"/>
          <c:cat>
            <c:strRef>
              <c:f>Trends!$A$48:$A$51</c:f>
              <c:strCache>
                <c:ptCount val="4"/>
                <c:pt idx="0">
                  <c:v>Excellent</c:v>
                </c:pt>
                <c:pt idx="1">
                  <c:v>Good</c:v>
                </c:pt>
                <c:pt idx="2">
                  <c:v>Poor</c:v>
                </c:pt>
                <c:pt idx="3">
                  <c:v>Very Poor</c:v>
                </c:pt>
              </c:strCache>
            </c:strRef>
          </c:cat>
          <c:val>
            <c:numRef>
              <c:f>Trends!$D$48:$D$51</c:f>
              <c:numCache>
                <c:formatCode>0%</c:formatCode>
                <c:ptCount val="4"/>
                <c:pt idx="0">
                  <c:v>0.58288770053475936</c:v>
                </c:pt>
                <c:pt idx="1">
                  <c:v>0.39572192513368987</c:v>
                </c:pt>
                <c:pt idx="2">
                  <c:v>5.3475935828877002E-3</c:v>
                </c:pt>
                <c:pt idx="3">
                  <c:v>1.6042780748663103E-2</c:v>
                </c:pt>
              </c:numCache>
            </c:numRef>
          </c:val>
        </c:ser>
        <c:dLbls>
          <c:showLegendKey val="0"/>
          <c:showVal val="0"/>
          <c:showCatName val="0"/>
          <c:showSerName val="0"/>
          <c:showPercent val="0"/>
          <c:showBubbleSize val="0"/>
        </c:dLbls>
        <c:gapWidth val="117"/>
        <c:axId val="73617408"/>
        <c:axId val="73618944"/>
      </c:barChart>
      <c:catAx>
        <c:axId val="73617408"/>
        <c:scaling>
          <c:orientation val="minMax"/>
        </c:scaling>
        <c:delete val="0"/>
        <c:axPos val="b"/>
        <c:numFmt formatCode="General" sourceLinked="1"/>
        <c:majorTickMark val="out"/>
        <c:minorTickMark val="none"/>
        <c:tickLblPos val="nextTo"/>
        <c:crossAx val="73618944"/>
        <c:crosses val="autoZero"/>
        <c:auto val="1"/>
        <c:lblAlgn val="ctr"/>
        <c:lblOffset val="100"/>
        <c:noMultiLvlLbl val="0"/>
      </c:catAx>
      <c:valAx>
        <c:axId val="73618944"/>
        <c:scaling>
          <c:orientation val="minMax"/>
          <c:max val="0.8"/>
        </c:scaling>
        <c:delete val="0"/>
        <c:axPos val="l"/>
        <c:majorGridlines>
          <c:spPr>
            <a:ln>
              <a:solidFill>
                <a:schemeClr val="bg1">
                  <a:lumMod val="75000"/>
                </a:schemeClr>
              </a:solidFill>
            </a:ln>
          </c:spPr>
        </c:majorGridlines>
        <c:numFmt formatCode="0%" sourceLinked="1"/>
        <c:majorTickMark val="out"/>
        <c:minorTickMark val="none"/>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73617408"/>
        <c:crosses val="autoZero"/>
        <c:crossBetween val="between"/>
      </c:valAx>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7752188490889506"/>
          <c:y val="8.057455146873764E-2"/>
          <c:w val="0.7505287272616934"/>
          <c:h val="0.88932513572789706"/>
        </c:manualLayout>
      </c:layout>
      <c:pieChart>
        <c:varyColors val="1"/>
        <c:ser>
          <c:idx val="0"/>
          <c:order val="0"/>
          <c:dPt>
            <c:idx val="1"/>
            <c:bubble3D val="0"/>
            <c:spPr>
              <a:solidFill>
                <a:schemeClr val="accent3"/>
              </a:solidFill>
            </c:spPr>
          </c:dPt>
          <c:dPt>
            <c:idx val="2"/>
            <c:bubble3D val="0"/>
            <c:spPr>
              <a:solidFill>
                <a:schemeClr val="accent2"/>
              </a:solidFill>
            </c:spPr>
          </c:dPt>
          <c:dLbls>
            <c:dLbl>
              <c:idx val="0"/>
              <c:layout>
                <c:manualLayout>
                  <c:x val="-0.18242847769028872"/>
                  <c:y val="-8.7176290463692033E-2"/>
                </c:manualLayout>
              </c:layout>
              <c:showLegendKey val="0"/>
              <c:showVal val="0"/>
              <c:showCatName val="1"/>
              <c:showSerName val="0"/>
              <c:showPercent val="1"/>
              <c:showBubbleSize val="0"/>
            </c:dLbl>
            <c:dLbl>
              <c:idx val="1"/>
              <c:layout>
                <c:manualLayout>
                  <c:x val="-0.15839728126469738"/>
                  <c:y val="0"/>
                </c:manualLayout>
              </c:layout>
              <c:showLegendKey val="0"/>
              <c:showVal val="0"/>
              <c:showCatName val="1"/>
              <c:showSerName val="0"/>
              <c:showPercent val="1"/>
              <c:showBubbleSize val="0"/>
            </c:dLbl>
            <c:dLbl>
              <c:idx val="2"/>
              <c:layout>
                <c:manualLayout>
                  <c:x val="0.24145406824146981"/>
                  <c:y val="6.097222222222221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mtg!$A$1:$A$3</c:f>
              <c:strCache>
                <c:ptCount val="3"/>
                <c:pt idx="0">
                  <c:v>Yes</c:v>
                </c:pt>
                <c:pt idx="1">
                  <c:v>No</c:v>
                </c:pt>
                <c:pt idx="2">
                  <c:v>I did not attend</c:v>
                </c:pt>
              </c:strCache>
            </c:strRef>
          </c:cat>
          <c:val>
            <c:numRef>
              <c:f>mtg!$B$1:$B$3</c:f>
              <c:numCache>
                <c:formatCode>General</c:formatCode>
                <c:ptCount val="3"/>
                <c:pt idx="0">
                  <c:v>109</c:v>
                </c:pt>
                <c:pt idx="1">
                  <c:v>2</c:v>
                </c:pt>
                <c:pt idx="2">
                  <c:v>86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bar"/>
        <c:grouping val="percentStacked"/>
        <c:varyColors val="0"/>
        <c:ser>
          <c:idx val="0"/>
          <c:order val="0"/>
          <c:tx>
            <c:strRef>
              <c:f>'[Chart in Microsoft Word]Post mtg info'!$A$2</c:f>
              <c:strCache>
                <c:ptCount val="1"/>
                <c:pt idx="0">
                  <c:v>Yes</c:v>
                </c:pt>
              </c:strCache>
            </c:strRef>
          </c:tx>
          <c:invertIfNegative val="0"/>
          <c:dLbls>
            <c:showLegendKey val="0"/>
            <c:showVal val="1"/>
            <c:showCatName val="0"/>
            <c:showSerName val="0"/>
            <c:showPercent val="0"/>
            <c:showBubbleSize val="0"/>
            <c:showLeaderLines val="0"/>
          </c:dLbls>
          <c:cat>
            <c:strRef>
              <c:f>'[Chart in Microsoft Word]Post mtg info'!$B$1:$D$1</c:f>
              <c:strCache>
                <c:ptCount val="3"/>
                <c:pt idx="0">
                  <c:v>Apr 14 - Sep 14</c:v>
                </c:pt>
                <c:pt idx="1">
                  <c:v>Oct 14 - Mar 15</c:v>
                </c:pt>
                <c:pt idx="2">
                  <c:v>Apr 15 - Sep 15</c:v>
                </c:pt>
              </c:strCache>
            </c:strRef>
          </c:cat>
          <c:val>
            <c:numRef>
              <c:f>'[Chart in Microsoft Word]Post mtg info'!$B$2:$D$2</c:f>
              <c:numCache>
                <c:formatCode>0.0%</c:formatCode>
                <c:ptCount val="3"/>
                <c:pt idx="0">
                  <c:v>0.89300000000000002</c:v>
                </c:pt>
                <c:pt idx="1">
                  <c:v>0.90900000000000003</c:v>
                </c:pt>
                <c:pt idx="2">
                  <c:v>0.949238578680203</c:v>
                </c:pt>
              </c:numCache>
            </c:numRef>
          </c:val>
        </c:ser>
        <c:ser>
          <c:idx val="1"/>
          <c:order val="1"/>
          <c:tx>
            <c:strRef>
              <c:f>'[Chart in Microsoft Word]Post mtg info'!$A$3</c:f>
              <c:strCache>
                <c:ptCount val="1"/>
                <c:pt idx="0">
                  <c:v>No</c:v>
                </c:pt>
              </c:strCache>
            </c:strRef>
          </c:tx>
          <c:invertIfNegative val="0"/>
          <c:dLbls>
            <c:showLegendKey val="0"/>
            <c:showVal val="1"/>
            <c:showCatName val="0"/>
            <c:showSerName val="0"/>
            <c:showPercent val="0"/>
            <c:showBubbleSize val="0"/>
            <c:showLeaderLines val="0"/>
          </c:dLbls>
          <c:cat>
            <c:strRef>
              <c:f>'[Chart in Microsoft Word]Post mtg info'!$B$1:$D$1</c:f>
              <c:strCache>
                <c:ptCount val="3"/>
                <c:pt idx="0">
                  <c:v>Apr 14 - Sep 14</c:v>
                </c:pt>
                <c:pt idx="1">
                  <c:v>Oct 14 - Mar 15</c:v>
                </c:pt>
                <c:pt idx="2">
                  <c:v>Apr 15 - Sep 15</c:v>
                </c:pt>
              </c:strCache>
            </c:strRef>
          </c:cat>
          <c:val>
            <c:numRef>
              <c:f>'[Chart in Microsoft Word]Post mtg info'!$B$3:$D$3</c:f>
              <c:numCache>
                <c:formatCode>0.0%</c:formatCode>
                <c:ptCount val="3"/>
                <c:pt idx="0">
                  <c:v>0.107</c:v>
                </c:pt>
                <c:pt idx="1">
                  <c:v>9.0999999999999998E-2</c:v>
                </c:pt>
                <c:pt idx="2">
                  <c:v>5.0761421319796954E-2</c:v>
                </c:pt>
              </c:numCache>
            </c:numRef>
          </c:val>
        </c:ser>
        <c:dLbls>
          <c:showLegendKey val="0"/>
          <c:showVal val="0"/>
          <c:showCatName val="0"/>
          <c:showSerName val="0"/>
          <c:showPercent val="0"/>
          <c:showBubbleSize val="0"/>
        </c:dLbls>
        <c:gapWidth val="36"/>
        <c:overlap val="100"/>
        <c:axId val="103609472"/>
        <c:axId val="103611008"/>
      </c:barChart>
      <c:catAx>
        <c:axId val="103609472"/>
        <c:scaling>
          <c:orientation val="minMax"/>
        </c:scaling>
        <c:delete val="0"/>
        <c:axPos val="l"/>
        <c:majorTickMark val="out"/>
        <c:minorTickMark val="none"/>
        <c:tickLblPos val="nextTo"/>
        <c:crossAx val="103611008"/>
        <c:crosses val="autoZero"/>
        <c:auto val="1"/>
        <c:lblAlgn val="ctr"/>
        <c:lblOffset val="100"/>
        <c:noMultiLvlLbl val="0"/>
      </c:catAx>
      <c:valAx>
        <c:axId val="103611008"/>
        <c:scaling>
          <c:orientation val="minMax"/>
          <c:min val="0"/>
        </c:scaling>
        <c:delete val="0"/>
        <c:axPos val="b"/>
        <c:majorGridlines>
          <c:spPr>
            <a:ln>
              <a:noFill/>
            </a:ln>
          </c:spPr>
        </c:majorGridlines>
        <c:numFmt formatCode="0%" sourceLinked="1"/>
        <c:majorTickMark val="out"/>
        <c:minorTickMark val="none"/>
        <c:tickLblPos val="nextTo"/>
        <c:crossAx val="10360947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bar"/>
        <c:grouping val="percentStacked"/>
        <c:varyColors val="0"/>
        <c:ser>
          <c:idx val="0"/>
          <c:order val="0"/>
          <c:tx>
            <c:strRef>
              <c:f>'Add Value '!$A$2</c:f>
              <c:strCache>
                <c:ptCount val="1"/>
                <c:pt idx="0">
                  <c:v>Yes</c:v>
                </c:pt>
              </c:strCache>
            </c:strRef>
          </c:tx>
          <c:invertIfNegative val="0"/>
          <c:dLbls>
            <c:showLegendKey val="0"/>
            <c:showVal val="1"/>
            <c:showCatName val="0"/>
            <c:showSerName val="0"/>
            <c:showPercent val="0"/>
            <c:showBubbleSize val="0"/>
            <c:showLeaderLines val="0"/>
          </c:dLbls>
          <c:cat>
            <c:strRef>
              <c:f>'Add Value '!$B$1:$D$1</c:f>
              <c:strCache>
                <c:ptCount val="3"/>
                <c:pt idx="0">
                  <c:v>Apr 14 - Sep 14</c:v>
                </c:pt>
                <c:pt idx="1">
                  <c:v>Oct 14 - Mar 15</c:v>
                </c:pt>
                <c:pt idx="2">
                  <c:v>Apr 15 - Sep 15</c:v>
                </c:pt>
              </c:strCache>
            </c:strRef>
          </c:cat>
          <c:val>
            <c:numRef>
              <c:f>'Add Value '!$B$2:$D$2</c:f>
              <c:numCache>
                <c:formatCode>0.00%</c:formatCode>
                <c:ptCount val="3"/>
                <c:pt idx="0">
                  <c:v>0.81899999999999995</c:v>
                </c:pt>
                <c:pt idx="1">
                  <c:v>0.79900000000000004</c:v>
                </c:pt>
                <c:pt idx="2">
                  <c:v>0.81347150259067358</c:v>
                </c:pt>
              </c:numCache>
            </c:numRef>
          </c:val>
        </c:ser>
        <c:ser>
          <c:idx val="1"/>
          <c:order val="1"/>
          <c:tx>
            <c:strRef>
              <c:f>'Add Value '!$A$3</c:f>
              <c:strCache>
                <c:ptCount val="1"/>
                <c:pt idx="0">
                  <c:v>No</c:v>
                </c:pt>
              </c:strCache>
            </c:strRef>
          </c:tx>
          <c:invertIfNegative val="0"/>
          <c:dLbls>
            <c:showLegendKey val="0"/>
            <c:showVal val="1"/>
            <c:showCatName val="0"/>
            <c:showSerName val="0"/>
            <c:showPercent val="0"/>
            <c:showBubbleSize val="0"/>
            <c:showLeaderLines val="0"/>
          </c:dLbls>
          <c:cat>
            <c:strRef>
              <c:f>'Add Value '!$B$1:$D$1</c:f>
              <c:strCache>
                <c:ptCount val="3"/>
                <c:pt idx="0">
                  <c:v>Apr 14 - Sep 14</c:v>
                </c:pt>
                <c:pt idx="1">
                  <c:v>Oct 14 - Mar 15</c:v>
                </c:pt>
                <c:pt idx="2">
                  <c:v>Apr 15 - Sep 15</c:v>
                </c:pt>
              </c:strCache>
            </c:strRef>
          </c:cat>
          <c:val>
            <c:numRef>
              <c:f>'Add Value '!$B$3:$D$3</c:f>
              <c:numCache>
                <c:formatCode>0.00%</c:formatCode>
                <c:ptCount val="3"/>
                <c:pt idx="0">
                  <c:v>0.18099999999999999</c:v>
                </c:pt>
                <c:pt idx="1">
                  <c:v>0.20300000000000001</c:v>
                </c:pt>
                <c:pt idx="2">
                  <c:v>0.18652849740932642</c:v>
                </c:pt>
              </c:numCache>
            </c:numRef>
          </c:val>
        </c:ser>
        <c:dLbls>
          <c:showLegendKey val="0"/>
          <c:showVal val="0"/>
          <c:showCatName val="0"/>
          <c:showSerName val="0"/>
          <c:showPercent val="0"/>
          <c:showBubbleSize val="0"/>
        </c:dLbls>
        <c:gapWidth val="36"/>
        <c:overlap val="100"/>
        <c:axId val="112804224"/>
        <c:axId val="112805760"/>
      </c:barChart>
      <c:catAx>
        <c:axId val="112804224"/>
        <c:scaling>
          <c:orientation val="minMax"/>
        </c:scaling>
        <c:delete val="0"/>
        <c:axPos val="l"/>
        <c:majorTickMark val="out"/>
        <c:minorTickMark val="none"/>
        <c:tickLblPos val="nextTo"/>
        <c:crossAx val="112805760"/>
        <c:crosses val="autoZero"/>
        <c:auto val="1"/>
        <c:lblAlgn val="ctr"/>
        <c:lblOffset val="100"/>
        <c:noMultiLvlLbl val="0"/>
      </c:catAx>
      <c:valAx>
        <c:axId val="112805760"/>
        <c:scaling>
          <c:orientation val="minMax"/>
          <c:min val="0"/>
        </c:scaling>
        <c:delete val="0"/>
        <c:axPos val="b"/>
        <c:majorGridlines>
          <c:spPr>
            <a:ln>
              <a:noFill/>
            </a:ln>
          </c:spPr>
        </c:majorGridlines>
        <c:numFmt formatCode="0%" sourceLinked="1"/>
        <c:majorTickMark val="out"/>
        <c:minorTickMark val="none"/>
        <c:tickLblPos val="nextTo"/>
        <c:crossAx val="11280422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Accreditation Trends Relating to Membership</a:t>
            </a:r>
          </a:p>
        </c:rich>
      </c:tx>
      <c:overlay val="0"/>
    </c:title>
    <c:autoTitleDeleted val="0"/>
    <c:plotArea>
      <c:layout>
        <c:manualLayout>
          <c:layoutTarget val="inner"/>
          <c:xMode val="edge"/>
          <c:yMode val="edge"/>
          <c:x val="0.16104868913857678"/>
          <c:y val="0.25679758308157075"/>
          <c:w val="0.55430711610486894"/>
          <c:h val="0.37160120845921452"/>
        </c:manualLayout>
      </c:layout>
      <c:lineChart>
        <c:grouping val="standard"/>
        <c:varyColors val="0"/>
        <c:ser>
          <c:idx val="0"/>
          <c:order val="0"/>
          <c:tx>
            <c:strRef>
              <c:f>Sheet1!$B$1</c:f>
              <c:strCache>
                <c:ptCount val="1"/>
                <c:pt idx="0">
                  <c:v>Indemnity</c:v>
                </c:pt>
              </c:strCache>
            </c:strRef>
          </c:tx>
          <c:cat>
            <c:strRef>
              <c:f>Sheet1!$A$2:$A$4</c:f>
              <c:strCache>
                <c:ptCount val="3"/>
                <c:pt idx="0">
                  <c:v>Apr 14 - Sep 14</c:v>
                </c:pt>
                <c:pt idx="1">
                  <c:v>Oct 14 - Mar 15</c:v>
                </c:pt>
                <c:pt idx="2">
                  <c:v>Apr 15 - Sep 15</c:v>
                </c:pt>
              </c:strCache>
            </c:strRef>
          </c:cat>
          <c:val>
            <c:numRef>
              <c:f>Sheet1!$B$2:$B$4</c:f>
              <c:numCache>
                <c:formatCode>General</c:formatCode>
                <c:ptCount val="3"/>
                <c:pt idx="0">
                  <c:v>7</c:v>
                </c:pt>
                <c:pt idx="1">
                  <c:v>0</c:v>
                </c:pt>
                <c:pt idx="2">
                  <c:v>18</c:v>
                </c:pt>
              </c:numCache>
            </c:numRef>
          </c:val>
          <c:smooth val="0"/>
        </c:ser>
        <c:ser>
          <c:idx val="2"/>
          <c:order val="2"/>
          <c:tx>
            <c:strRef>
              <c:f>Sheet1!$D$1</c:f>
              <c:strCache>
                <c:ptCount val="1"/>
                <c:pt idx="0">
                  <c:v>Attendance</c:v>
                </c:pt>
              </c:strCache>
            </c:strRef>
          </c:tx>
          <c:cat>
            <c:strRef>
              <c:f>Sheet1!$A$2:$A$4</c:f>
              <c:strCache>
                <c:ptCount val="3"/>
                <c:pt idx="0">
                  <c:v>Apr 14 - Sep 14</c:v>
                </c:pt>
                <c:pt idx="1">
                  <c:v>Oct 14 - Mar 15</c:v>
                </c:pt>
                <c:pt idx="2">
                  <c:v>Apr 15 - Sep 15</c:v>
                </c:pt>
              </c:strCache>
            </c:strRef>
          </c:cat>
          <c:val>
            <c:numRef>
              <c:f>Sheet1!$D$2:$D$4</c:f>
              <c:numCache>
                <c:formatCode>General</c:formatCode>
                <c:ptCount val="3"/>
                <c:pt idx="0">
                  <c:v>3</c:v>
                </c:pt>
                <c:pt idx="1">
                  <c:v>9</c:v>
                </c:pt>
                <c:pt idx="2">
                  <c:v>0</c:v>
                </c:pt>
              </c:numCache>
            </c:numRef>
          </c:val>
          <c:smooth val="0"/>
        </c:ser>
        <c:ser>
          <c:idx val="3"/>
          <c:order val="3"/>
          <c:tx>
            <c:strRef>
              <c:f>Sheet1!$E$1</c:f>
              <c:strCache>
                <c:ptCount val="1"/>
                <c:pt idx="0">
                  <c:v>Constitution</c:v>
                </c:pt>
              </c:strCache>
            </c:strRef>
          </c:tx>
          <c:cat>
            <c:strRef>
              <c:f>Sheet1!$A$2:$A$4</c:f>
              <c:strCache>
                <c:ptCount val="3"/>
                <c:pt idx="0">
                  <c:v>Apr 14 - Sep 14</c:v>
                </c:pt>
                <c:pt idx="1">
                  <c:v>Oct 14 - Mar 15</c:v>
                </c:pt>
                <c:pt idx="2">
                  <c:v>Apr 15 - Sep 15</c:v>
                </c:pt>
              </c:strCache>
            </c:strRef>
          </c:cat>
          <c:val>
            <c:numRef>
              <c:f>Sheet1!$E$2:$E$4</c:f>
              <c:numCache>
                <c:formatCode>General</c:formatCode>
                <c:ptCount val="3"/>
                <c:pt idx="0">
                  <c:v>13</c:v>
                </c:pt>
                <c:pt idx="1">
                  <c:v>14</c:v>
                </c:pt>
                <c:pt idx="2">
                  <c:v>0</c:v>
                </c:pt>
              </c:numCache>
            </c:numRef>
          </c:val>
          <c:smooth val="0"/>
        </c:ser>
        <c:ser>
          <c:idx val="1"/>
          <c:order val="1"/>
          <c:tx>
            <c:strRef>
              <c:f>Sheet1!$C$1</c:f>
              <c:strCache>
                <c:ptCount val="1"/>
                <c:pt idx="0">
                  <c:v>Training</c:v>
                </c:pt>
              </c:strCache>
            </c:strRef>
          </c:tx>
          <c:cat>
            <c:strRef>
              <c:f>Sheet1!$A$2:$A$4</c:f>
              <c:strCache>
                <c:ptCount val="3"/>
                <c:pt idx="0">
                  <c:v>Apr 14 - Sep 14</c:v>
                </c:pt>
                <c:pt idx="1">
                  <c:v>Oct 14 - Mar 15</c:v>
                </c:pt>
                <c:pt idx="2">
                  <c:v>Apr 15 - Sep 15</c:v>
                </c:pt>
              </c:strCache>
            </c:strRef>
          </c:cat>
          <c:val>
            <c:numRef>
              <c:f>Sheet1!$C$2:$C$4</c:f>
              <c:numCache>
                <c:formatCode>General</c:formatCode>
                <c:ptCount val="3"/>
                <c:pt idx="0">
                  <c:v>7</c:v>
                </c:pt>
                <c:pt idx="1">
                  <c:v>24</c:v>
                </c:pt>
                <c:pt idx="2">
                  <c:v>0</c:v>
                </c:pt>
              </c:numCache>
            </c:numRef>
          </c:val>
          <c:smooth val="0"/>
        </c:ser>
        <c:ser>
          <c:idx val="4"/>
          <c:order val="4"/>
          <c:tx>
            <c:strRef>
              <c:f>Sheet1!$F$1</c:f>
              <c:strCache>
                <c:ptCount val="1"/>
                <c:pt idx="0">
                  <c:v>Recruitment</c:v>
                </c:pt>
              </c:strCache>
            </c:strRef>
          </c:tx>
          <c:cat>
            <c:strRef>
              <c:f>Sheet1!$A$2:$A$4</c:f>
              <c:strCache>
                <c:ptCount val="3"/>
                <c:pt idx="0">
                  <c:v>Apr 14 - Sep 14</c:v>
                </c:pt>
                <c:pt idx="1">
                  <c:v>Oct 14 - Mar 15</c:v>
                </c:pt>
                <c:pt idx="2">
                  <c:v>Apr 15 - Sep 15</c:v>
                </c:pt>
              </c:strCache>
            </c:strRef>
          </c:cat>
          <c:val>
            <c:numRef>
              <c:f>Sheet1!$F$2:$F$4</c:f>
              <c:numCache>
                <c:formatCode>General</c:formatCode>
                <c:ptCount val="3"/>
                <c:pt idx="0">
                  <c:v>0</c:v>
                </c:pt>
                <c:pt idx="1">
                  <c:v>0</c:v>
                </c:pt>
                <c:pt idx="2">
                  <c:v>0</c:v>
                </c:pt>
              </c:numCache>
            </c:numRef>
          </c:val>
          <c:smooth val="0"/>
        </c:ser>
        <c:dLbls>
          <c:showLegendKey val="0"/>
          <c:showVal val="0"/>
          <c:showCatName val="0"/>
          <c:showSerName val="0"/>
          <c:showPercent val="0"/>
          <c:showBubbleSize val="0"/>
        </c:dLbls>
        <c:marker val="1"/>
        <c:smooth val="0"/>
        <c:axId val="73775360"/>
        <c:axId val="83208064"/>
      </c:lineChart>
      <c:catAx>
        <c:axId val="73775360"/>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GB"/>
                  <a:t>6 month period covered by accreditation reports</a:t>
                </a:r>
              </a:p>
            </c:rich>
          </c:tx>
          <c:overlay val="0"/>
        </c:title>
        <c:numFmt formatCode="General" sourceLinked="1"/>
        <c:majorTickMark val="none"/>
        <c:minorTickMark val="none"/>
        <c:tickLblPos val="nextTo"/>
        <c:crossAx val="83208064"/>
        <c:crosses val="autoZero"/>
        <c:auto val="1"/>
        <c:lblAlgn val="ctr"/>
        <c:lblOffset val="100"/>
        <c:noMultiLvlLbl val="0"/>
      </c:catAx>
      <c:valAx>
        <c:axId val="8320806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 of issues raised within the 6 month reporting period</a:t>
                </a:r>
              </a:p>
            </c:rich>
          </c:tx>
          <c:layout>
            <c:manualLayout>
              <c:xMode val="edge"/>
              <c:yMode val="edge"/>
              <c:x val="6.1670447157408083E-2"/>
              <c:y val="4.2392276342341918E-2"/>
            </c:manualLayout>
          </c:layout>
          <c:overlay val="0"/>
        </c:title>
        <c:numFmt formatCode="General" sourceLinked="1"/>
        <c:majorTickMark val="out"/>
        <c:minorTickMark val="none"/>
        <c:tickLblPos val="nextTo"/>
        <c:crossAx val="73775360"/>
        <c:crosses val="autoZero"/>
        <c:crossBetween val="between"/>
      </c:valAx>
    </c:plotArea>
    <c:legend>
      <c:legendPos val="r"/>
      <c:layout>
        <c:manualLayout>
          <c:xMode val="edge"/>
          <c:yMode val="edge"/>
          <c:x val="0.78912470803534873"/>
          <c:y val="0.34358168796739602"/>
          <c:w val="0.19716265742011604"/>
          <c:h val="0.30289637162188898"/>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Accreditation Trends Relating to Administration</a:t>
            </a:r>
          </a:p>
        </c:rich>
      </c:tx>
      <c:overlay val="0"/>
    </c:title>
    <c:autoTitleDeleted val="0"/>
    <c:plotArea>
      <c:layout>
        <c:manualLayout>
          <c:layoutTarget val="inner"/>
          <c:xMode val="edge"/>
          <c:yMode val="edge"/>
          <c:x val="0.15035530452686408"/>
          <c:y val="0.26197349564433281"/>
          <c:w val="0.58697086892407002"/>
          <c:h val="0.41861584786564393"/>
        </c:manualLayout>
      </c:layout>
      <c:lineChart>
        <c:grouping val="standard"/>
        <c:varyColors val="0"/>
        <c:ser>
          <c:idx val="0"/>
          <c:order val="0"/>
          <c:tx>
            <c:strRef>
              <c:f>Sheet1!$B$1</c:f>
              <c:strCache>
                <c:ptCount val="1"/>
                <c:pt idx="0">
                  <c:v>Compliance with SOPs/Processes</c:v>
                </c:pt>
              </c:strCache>
            </c:strRef>
          </c:tx>
          <c:cat>
            <c:strRef>
              <c:f>Sheet1!$A$2:$A$4</c:f>
              <c:strCache>
                <c:ptCount val="3"/>
                <c:pt idx="0">
                  <c:v>Apr 14 - Sep 14</c:v>
                </c:pt>
                <c:pt idx="1">
                  <c:v>Oct 14 - Mar 15</c:v>
                </c:pt>
                <c:pt idx="2">
                  <c:v>Apr 15 - Sep 15</c:v>
                </c:pt>
              </c:strCache>
            </c:strRef>
          </c:cat>
          <c:val>
            <c:numRef>
              <c:f>Sheet1!$B$2:$B$4</c:f>
              <c:numCache>
                <c:formatCode>General</c:formatCode>
                <c:ptCount val="3"/>
                <c:pt idx="0">
                  <c:v>33</c:v>
                </c:pt>
                <c:pt idx="1">
                  <c:v>5</c:v>
                </c:pt>
                <c:pt idx="2">
                  <c:v>18</c:v>
                </c:pt>
              </c:numCache>
            </c:numRef>
          </c:val>
          <c:smooth val="0"/>
        </c:ser>
        <c:ser>
          <c:idx val="1"/>
          <c:order val="1"/>
          <c:tx>
            <c:strRef>
              <c:f>Sheet1!$C$1</c:f>
              <c:strCache>
                <c:ptCount val="1"/>
                <c:pt idx="0">
                  <c:v>HARP</c:v>
                </c:pt>
              </c:strCache>
            </c:strRef>
          </c:tx>
          <c:cat>
            <c:strRef>
              <c:f>Sheet1!$A$2:$A$4</c:f>
              <c:strCache>
                <c:ptCount val="3"/>
                <c:pt idx="0">
                  <c:v>Apr 14 - Sep 14</c:v>
                </c:pt>
                <c:pt idx="1">
                  <c:v>Oct 14 - Mar 15</c:v>
                </c:pt>
                <c:pt idx="2">
                  <c:v>Apr 15 - Sep 15</c:v>
                </c:pt>
              </c:strCache>
            </c:strRef>
          </c:cat>
          <c:val>
            <c:numRef>
              <c:f>Sheet1!$C$2:$C$4</c:f>
              <c:numCache>
                <c:formatCode>General</c:formatCode>
                <c:ptCount val="3"/>
                <c:pt idx="0">
                  <c:v>17</c:v>
                </c:pt>
                <c:pt idx="1">
                  <c:v>5</c:v>
                </c:pt>
                <c:pt idx="2">
                  <c:v>18</c:v>
                </c:pt>
              </c:numCache>
            </c:numRef>
          </c:val>
          <c:smooth val="0"/>
        </c:ser>
        <c:ser>
          <c:idx val="2"/>
          <c:order val="2"/>
          <c:tx>
            <c:strRef>
              <c:f>Sheet1!$D$1</c:f>
              <c:strCache>
                <c:ptCount val="1"/>
                <c:pt idx="0">
                  <c:v>Minutes/Letters</c:v>
                </c:pt>
              </c:strCache>
            </c:strRef>
          </c:tx>
          <c:cat>
            <c:strRef>
              <c:f>Sheet1!$A$2:$A$4</c:f>
              <c:strCache>
                <c:ptCount val="3"/>
                <c:pt idx="0">
                  <c:v>Apr 14 - Sep 14</c:v>
                </c:pt>
                <c:pt idx="1">
                  <c:v>Oct 14 - Mar 15</c:v>
                </c:pt>
                <c:pt idx="2">
                  <c:v>Apr 15 - Sep 15</c:v>
                </c:pt>
              </c:strCache>
            </c:strRef>
          </c:cat>
          <c:val>
            <c:numRef>
              <c:f>Sheet1!$D$2:$D$4</c:f>
              <c:numCache>
                <c:formatCode>General</c:formatCode>
                <c:ptCount val="3"/>
                <c:pt idx="0">
                  <c:v>10</c:v>
                </c:pt>
                <c:pt idx="1">
                  <c:v>24</c:v>
                </c:pt>
                <c:pt idx="2">
                  <c:v>18</c:v>
                </c:pt>
              </c:numCache>
            </c:numRef>
          </c:val>
          <c:smooth val="0"/>
        </c:ser>
        <c:ser>
          <c:idx val="3"/>
          <c:order val="3"/>
          <c:tx>
            <c:strRef>
              <c:f>Sheet1!$E$1</c:f>
              <c:strCache>
                <c:ptCount val="1"/>
                <c:pt idx="0">
                  <c:v>Timelines</c:v>
                </c:pt>
              </c:strCache>
            </c:strRef>
          </c:tx>
          <c:cat>
            <c:strRef>
              <c:f>Sheet1!$A$2:$A$4</c:f>
              <c:strCache>
                <c:ptCount val="3"/>
                <c:pt idx="0">
                  <c:v>Apr 14 - Sep 14</c:v>
                </c:pt>
                <c:pt idx="1">
                  <c:v>Oct 14 - Mar 15</c:v>
                </c:pt>
                <c:pt idx="2">
                  <c:v>Apr 15 - Sep 15</c:v>
                </c:pt>
              </c:strCache>
            </c:strRef>
          </c:cat>
          <c:val>
            <c:numRef>
              <c:f>Sheet1!$E$2:$E$4</c:f>
              <c:numCache>
                <c:formatCode>General</c:formatCode>
                <c:ptCount val="3"/>
                <c:pt idx="0">
                  <c:v>7</c:v>
                </c:pt>
                <c:pt idx="1">
                  <c:v>19</c:v>
                </c:pt>
                <c:pt idx="2">
                  <c:v>28</c:v>
                </c:pt>
              </c:numCache>
            </c:numRef>
          </c:val>
          <c:smooth val="0"/>
        </c:ser>
        <c:ser>
          <c:idx val="4"/>
          <c:order val="4"/>
          <c:tx>
            <c:strRef>
              <c:f>Sheet1!$F$1</c:f>
              <c:strCache>
                <c:ptCount val="1"/>
                <c:pt idx="0">
                  <c:v>Other </c:v>
                </c:pt>
              </c:strCache>
            </c:strRef>
          </c:tx>
          <c:cat>
            <c:strRef>
              <c:f>Sheet1!$A$2:$A$4</c:f>
              <c:strCache>
                <c:ptCount val="3"/>
                <c:pt idx="0">
                  <c:v>Apr 14 - Sep 14</c:v>
                </c:pt>
                <c:pt idx="1">
                  <c:v>Oct 14 - Mar 15</c:v>
                </c:pt>
                <c:pt idx="2">
                  <c:v>Apr 15 - Sep 15</c:v>
                </c:pt>
              </c:strCache>
            </c:strRef>
          </c:cat>
          <c:val>
            <c:numRef>
              <c:f>Sheet1!$F$2:$F$4</c:f>
              <c:numCache>
                <c:formatCode>General</c:formatCode>
                <c:ptCount val="3"/>
                <c:pt idx="0">
                  <c:v>3</c:v>
                </c:pt>
                <c:pt idx="1">
                  <c:v>0</c:v>
                </c:pt>
                <c:pt idx="2">
                  <c:v>0</c:v>
                </c:pt>
              </c:numCache>
            </c:numRef>
          </c:val>
          <c:smooth val="0"/>
        </c:ser>
        <c:dLbls>
          <c:showLegendKey val="0"/>
          <c:showVal val="0"/>
          <c:showCatName val="0"/>
          <c:showSerName val="0"/>
          <c:showPercent val="0"/>
          <c:showBubbleSize val="0"/>
        </c:dLbls>
        <c:marker val="1"/>
        <c:smooth val="0"/>
        <c:axId val="118391936"/>
        <c:axId val="118720768"/>
      </c:lineChart>
      <c:catAx>
        <c:axId val="118391936"/>
        <c:scaling>
          <c:orientation val="minMax"/>
        </c:scaling>
        <c:delete val="0"/>
        <c:axPos val="b"/>
        <c:title>
          <c:tx>
            <c:rich>
              <a:bodyPr/>
              <a:lstStyle/>
              <a:p>
                <a:pPr>
                  <a:defRPr/>
                </a:pPr>
                <a:r>
                  <a:rPr lang="en-GB"/>
                  <a:t>6 month period covered by accreditation reports</a:t>
                </a:r>
              </a:p>
            </c:rich>
          </c:tx>
          <c:overlay val="0"/>
        </c:title>
        <c:numFmt formatCode="General" sourceLinked="1"/>
        <c:majorTickMark val="none"/>
        <c:minorTickMark val="none"/>
        <c:tickLblPos val="nextTo"/>
        <c:crossAx val="118720768"/>
        <c:crosses val="autoZero"/>
        <c:auto val="1"/>
        <c:lblAlgn val="ctr"/>
        <c:lblOffset val="100"/>
        <c:noMultiLvlLbl val="0"/>
      </c:catAx>
      <c:valAx>
        <c:axId val="118720768"/>
        <c:scaling>
          <c:orientation val="minMax"/>
        </c:scaling>
        <c:delete val="0"/>
        <c:axPos val="l"/>
        <c:majorGridlines/>
        <c:title>
          <c:tx>
            <c:rich>
              <a:bodyPr/>
              <a:lstStyle/>
              <a:p>
                <a:pPr>
                  <a:defRPr/>
                </a:pPr>
                <a:r>
                  <a:rPr lang="en-GB"/>
                  <a:t>% of issues raised within the 6 month </a:t>
                </a:r>
              </a:p>
              <a:p>
                <a:pPr>
                  <a:defRPr/>
                </a:pPr>
                <a:r>
                  <a:rPr lang="en-GB"/>
                  <a:t>reporting period</a:t>
                </a:r>
              </a:p>
            </c:rich>
          </c:tx>
          <c:layout>
            <c:manualLayout>
              <c:xMode val="edge"/>
              <c:yMode val="edge"/>
              <c:x val="1.8967432441731307E-2"/>
              <c:y val="0.27659450497076632"/>
            </c:manualLayout>
          </c:layout>
          <c:overlay val="0"/>
        </c:title>
        <c:numFmt formatCode="General" sourceLinked="1"/>
        <c:majorTickMark val="out"/>
        <c:minorTickMark val="none"/>
        <c:tickLblPos val="nextTo"/>
        <c:crossAx val="118391936"/>
        <c:crosses val="autoZero"/>
        <c:crossBetween val="between"/>
      </c:valAx>
    </c:plotArea>
    <c:legend>
      <c:legendPos val="r"/>
      <c:layout>
        <c:manualLayout>
          <c:xMode val="edge"/>
          <c:yMode val="edge"/>
          <c:x val="0.76971157504394516"/>
          <c:y val="0.28609248586194769"/>
          <c:w val="0.23028842495605481"/>
          <c:h val="0.518313174770679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22361111111111112"/>
          <c:y val="3.9351851851851853E-2"/>
          <c:w val="0.57222222222222219"/>
          <c:h val="0.95370370370370372"/>
        </c:manualLayout>
      </c:layout>
      <c:pieChart>
        <c:varyColors val="1"/>
        <c:ser>
          <c:idx val="0"/>
          <c:order val="0"/>
          <c:dLbls>
            <c:dLbl>
              <c:idx val="0"/>
              <c:layout>
                <c:manualLayout>
                  <c:x val="-0.24718380499467268"/>
                  <c:y val="-0.11563965794598256"/>
                </c:manualLayout>
              </c:layout>
              <c:showLegendKey val="0"/>
              <c:showVal val="0"/>
              <c:showCatName val="1"/>
              <c:showSerName val="0"/>
              <c:showPercent val="1"/>
              <c:showBubbleSize val="0"/>
            </c:dLbl>
            <c:dLbl>
              <c:idx val="1"/>
              <c:layout>
                <c:manualLayout>
                  <c:x val="0.16614880070684235"/>
                  <c:y val="-0.19436152738972146"/>
                </c:manualLayout>
              </c:layout>
              <c:showLegendKey val="0"/>
              <c:showVal val="0"/>
              <c:showCatName val="1"/>
              <c:showSerName val="0"/>
              <c:showPercent val="1"/>
              <c:showBubbleSize val="0"/>
            </c:dLbl>
            <c:dLbl>
              <c:idx val="2"/>
              <c:layout>
                <c:manualLayout>
                  <c:x val="-2.0889435695538059E-2"/>
                  <c:y val="4.1863517060367452E-3"/>
                </c:manualLayout>
              </c:layout>
              <c:showLegendKey val="0"/>
              <c:showVal val="0"/>
              <c:showCatName val="1"/>
              <c:showSerName val="0"/>
              <c:showPercent val="1"/>
              <c:showBubbleSize val="0"/>
            </c:dLbl>
            <c:dLbl>
              <c:idx val="3"/>
              <c:layout>
                <c:manualLayout>
                  <c:x val="0.1344957771367688"/>
                  <c:y val="0.1704102954872576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role!$A$1:$A$7</c:f>
              <c:strCache>
                <c:ptCount val="5"/>
                <c:pt idx="0">
                  <c:v>Chief Investigator</c:v>
                </c:pt>
                <c:pt idx="1">
                  <c:v>Researcher</c:v>
                </c:pt>
                <c:pt idx="2">
                  <c:v>Sponsor</c:v>
                </c:pt>
                <c:pt idx="3">
                  <c:v>Student</c:v>
                </c:pt>
                <c:pt idx="4">
                  <c:v>Other</c:v>
                </c:pt>
              </c:strCache>
            </c:strRef>
          </c:cat>
          <c:val>
            <c:numRef>
              <c:f>role!$B$1:$B$7</c:f>
              <c:numCache>
                <c:formatCode>General</c:formatCode>
                <c:ptCount val="7"/>
                <c:pt idx="0">
                  <c:v>117</c:v>
                </c:pt>
                <c:pt idx="1">
                  <c:v>36</c:v>
                </c:pt>
                <c:pt idx="2">
                  <c:v>7</c:v>
                </c:pt>
                <c:pt idx="3">
                  <c:v>33</c:v>
                </c:pt>
                <c:pt idx="4">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21192235129024714"/>
          <c:y val="8.5648148148148154E-2"/>
          <c:w val="0.53817832747386385"/>
          <c:h val="0.90819817864553043"/>
        </c:manualLayout>
      </c:layout>
      <c:pieChart>
        <c:varyColors val="1"/>
        <c:ser>
          <c:idx val="0"/>
          <c:order val="0"/>
          <c:dLbls>
            <c:dLbl>
              <c:idx val="0"/>
              <c:layout>
                <c:manualLayout>
                  <c:x val="-0.1637830271216098"/>
                  <c:y val="0.11900918635170604"/>
                </c:manualLayout>
              </c:layout>
              <c:showLegendKey val="0"/>
              <c:showVal val="0"/>
              <c:showCatName val="1"/>
              <c:showSerName val="0"/>
              <c:showPercent val="1"/>
              <c:showBubbleSize val="0"/>
            </c:dLbl>
            <c:dLbl>
              <c:idx val="1"/>
              <c:layout>
                <c:manualLayout>
                  <c:x val="0.14850349956255468"/>
                  <c:y val="-0.15067512394284047"/>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PR!$A$1:$A$2</c:f>
              <c:strCache>
                <c:ptCount val="2"/>
                <c:pt idx="0">
                  <c:v>Yes</c:v>
                </c:pt>
                <c:pt idx="1">
                  <c:v>No</c:v>
                </c:pt>
              </c:strCache>
            </c:strRef>
          </c:cat>
          <c:val>
            <c:numRef>
              <c:f>PR!$B$1:$B$2</c:f>
              <c:numCache>
                <c:formatCode>General</c:formatCode>
                <c:ptCount val="2"/>
                <c:pt idx="0">
                  <c:v>75</c:v>
                </c:pt>
                <c:pt idx="1">
                  <c:v>133</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3.0341596910775769E-2"/>
          <c:y val="0.10329714231312193"/>
          <c:w val="0.87994760395210336"/>
          <c:h val="0.84903853061615464"/>
        </c:manualLayout>
      </c:layout>
      <c:ofPieChart>
        <c:ofPieType val="pie"/>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2.3428389018940201E-2"/>
                  <c:y val="-0.20130733658292713"/>
                </c:manualLayout>
              </c:layout>
              <c:showLegendKey val="0"/>
              <c:showVal val="0"/>
              <c:showCatName val="1"/>
              <c:showSerName val="0"/>
              <c:showPercent val="1"/>
              <c:showBubbleSize val="0"/>
            </c:dLbl>
            <c:dLbl>
              <c:idx val="1"/>
              <c:layout>
                <c:manualLayout>
                  <c:x val="1.6609108072017313E-2"/>
                  <c:y val="4.3957480314960627E-2"/>
                </c:manualLayout>
              </c:layout>
              <c:showLegendKey val="0"/>
              <c:showVal val="0"/>
              <c:showCatName val="1"/>
              <c:showSerName val="0"/>
              <c:showPercent val="1"/>
              <c:showBubbleSize val="0"/>
            </c:dLbl>
            <c:dLbl>
              <c:idx val="3"/>
              <c:layout>
                <c:manualLayout>
                  <c:x val="5.7788829027950453E-3"/>
                  <c:y val="-7.0462467191601055E-2"/>
                </c:manualLayout>
              </c:layout>
              <c:showLegendKey val="0"/>
              <c:showVal val="0"/>
              <c:showCatName val="1"/>
              <c:showSerName val="0"/>
              <c:showPercent val="1"/>
              <c:showBubbleSize val="0"/>
            </c:dLbl>
            <c:dLbl>
              <c:idx val="5"/>
              <c:layout>
                <c:manualLayout>
                  <c:x val="-6.4164715896999361E-2"/>
                  <c:y val="0.17549834048521712"/>
                </c:manualLayout>
              </c:layout>
              <c:showLegendKey val="0"/>
              <c:showVal val="0"/>
              <c:showCatName val="1"/>
              <c:showSerName val="0"/>
              <c:showPercent val="1"/>
              <c:showBubbleSize val="0"/>
            </c:dLbl>
            <c:dLbl>
              <c:idx val="6"/>
              <c:layout>
                <c:manualLayout>
                  <c:x val="4.19063201515395E-2"/>
                  <c:y val="1.8718909141245438E-2"/>
                </c:manualLayout>
              </c:layout>
              <c:numFmt formatCode="0.0%" sourceLinked="0"/>
              <c:spPr/>
              <c:txPr>
                <a:bodyPr/>
                <a:lstStyle/>
                <a:p>
                  <a:pPr>
                    <a:defRPr/>
                  </a:pPr>
                  <a:endParaRPr lang="en-US"/>
                </a:p>
              </c:txPr>
              <c:dLblPos val="bestFit"/>
              <c:showLegendKey val="0"/>
              <c:showVal val="0"/>
              <c:showCatName val="1"/>
              <c:showSerName val="0"/>
              <c:showPercent val="1"/>
              <c:showBubbleSize val="0"/>
            </c:dLbl>
            <c:dLbl>
              <c:idx val="7"/>
              <c:layout>
                <c:manualLayout>
                  <c:x val="0.10888406183174675"/>
                  <c:y val="0.14886622411918174"/>
                </c:manualLayout>
              </c:layout>
              <c:showLegendKey val="0"/>
              <c:showVal val="0"/>
              <c:showCatName val="1"/>
              <c:showSerName val="0"/>
              <c:showPercent val="1"/>
              <c:showBubbleSize val="0"/>
            </c:dLbl>
            <c:dLbl>
              <c:idx val="9"/>
              <c:layout>
                <c:manualLayout>
                  <c:x val="-0.19128323929096608"/>
                  <c:y val="-7.1281880865015478E-3"/>
                </c:manualLayout>
              </c:layout>
              <c:tx>
                <c:rich>
                  <a:bodyPr/>
                  <a:lstStyle/>
                  <a:p>
                    <a:pPr>
                      <a:defRPr/>
                    </a:pPr>
                    <a:r>
                      <a:rPr lang="en-US"/>
                      <a:t>Devolved Administrations
25.8%</a:t>
                    </a:r>
                  </a:p>
                </c:rich>
              </c:tx>
              <c:numFmt formatCode="0.0%" sourceLinked="0"/>
              <c:spPr/>
              <c:dLblPos val="bestFi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country!$A$2:$A$10</c:f>
              <c:strCache>
                <c:ptCount val="9"/>
                <c:pt idx="0">
                  <c:v>Bristol </c:v>
                </c:pt>
                <c:pt idx="1">
                  <c:v>London</c:v>
                </c:pt>
                <c:pt idx="2">
                  <c:v>Manchester </c:v>
                </c:pt>
                <c:pt idx="3">
                  <c:v>CAG</c:v>
                </c:pt>
                <c:pt idx="4">
                  <c:v>Nottingham</c:v>
                </c:pt>
                <c:pt idx="5">
                  <c:v>Jarrow </c:v>
                </c:pt>
                <c:pt idx="6">
                  <c:v>Northern Ireland </c:v>
                </c:pt>
                <c:pt idx="7">
                  <c:v>Scotland </c:v>
                </c:pt>
                <c:pt idx="8">
                  <c:v>Wales </c:v>
                </c:pt>
              </c:strCache>
            </c:strRef>
          </c:cat>
          <c:val>
            <c:numRef>
              <c:f>country!$B$2:$B$10</c:f>
              <c:numCache>
                <c:formatCode>General</c:formatCode>
                <c:ptCount val="9"/>
                <c:pt idx="0">
                  <c:v>42</c:v>
                </c:pt>
                <c:pt idx="1">
                  <c:v>9</c:v>
                </c:pt>
                <c:pt idx="2">
                  <c:v>38</c:v>
                </c:pt>
                <c:pt idx="3">
                  <c:v>1</c:v>
                </c:pt>
                <c:pt idx="4">
                  <c:v>28</c:v>
                </c:pt>
                <c:pt idx="5">
                  <c:v>29</c:v>
                </c:pt>
                <c:pt idx="6">
                  <c:v>8</c:v>
                </c:pt>
                <c:pt idx="7">
                  <c:v>32</c:v>
                </c:pt>
                <c:pt idx="8">
                  <c:v>11</c:v>
                </c:pt>
              </c:numCache>
            </c:numRef>
          </c:val>
        </c:ser>
        <c:dLbls>
          <c:showLegendKey val="0"/>
          <c:showVal val="0"/>
          <c:showCatName val="0"/>
          <c:showSerName val="0"/>
          <c:showPercent val="0"/>
          <c:showBubbleSize val="0"/>
          <c:showLeaderLines val="1"/>
        </c:dLbls>
        <c:gapWidth val="62"/>
        <c:secondPieSize val="65"/>
        <c:serLines/>
      </c:ofPieChart>
      <c:spPr>
        <a:noFill/>
        <a:ln w="25400">
          <a:noFill/>
        </a:ln>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bar"/>
        <c:grouping val="percentStacked"/>
        <c:varyColors val="0"/>
        <c:ser>
          <c:idx val="0"/>
          <c:order val="0"/>
          <c:tx>
            <c:strRef>
              <c:f>Service!$A$2</c:f>
              <c:strCache>
                <c:ptCount val="1"/>
                <c:pt idx="0">
                  <c:v>Excellent</c:v>
                </c:pt>
              </c:strCache>
            </c:strRef>
          </c:tx>
          <c:spPr>
            <a:solidFill>
              <a:schemeClr val="accent3"/>
            </a:solidFill>
          </c:spPr>
          <c:invertIfNegative val="0"/>
          <c:dLbls>
            <c:showLegendKey val="0"/>
            <c:showVal val="1"/>
            <c:showCatName val="0"/>
            <c:showSerName val="0"/>
            <c:showPercent val="0"/>
            <c:showBubbleSize val="0"/>
            <c:showLeaderLines val="0"/>
          </c:dLbls>
          <c:cat>
            <c:strRef>
              <c:f>Service!$B$1:$H$1</c:f>
              <c:strCache>
                <c:ptCount val="7"/>
                <c:pt idx="0">
                  <c:v>IRAS - Usability</c:v>
                </c:pt>
                <c:pt idx="1">
                  <c:v>IRAS - Guidance</c:v>
                </c:pt>
                <c:pt idx="2">
                  <c:v>Online Guidance</c:v>
                </c:pt>
                <c:pt idx="3">
                  <c:v>Decision Tools</c:v>
                </c:pt>
                <c:pt idx="4">
                  <c:v>HRA Website</c:v>
                </c:pt>
                <c:pt idx="5">
                  <c:v>HRA Queries Line</c:v>
                </c:pt>
                <c:pt idx="6">
                  <c:v>REC/CAT Staff</c:v>
                </c:pt>
              </c:strCache>
            </c:strRef>
          </c:cat>
          <c:val>
            <c:numRef>
              <c:f>Service!$B$2:$H$2</c:f>
              <c:numCache>
                <c:formatCode>0%</c:formatCode>
                <c:ptCount val="7"/>
                <c:pt idx="0">
                  <c:v>0.19387755102040816</c:v>
                </c:pt>
                <c:pt idx="1">
                  <c:v>0.1736842105263158</c:v>
                </c:pt>
                <c:pt idx="2">
                  <c:v>0.14705882352941177</c:v>
                </c:pt>
                <c:pt idx="3">
                  <c:v>0.20967741935483872</c:v>
                </c:pt>
                <c:pt idx="4">
                  <c:v>0.19867549668874171</c:v>
                </c:pt>
                <c:pt idx="5">
                  <c:v>0.43478260869565216</c:v>
                </c:pt>
                <c:pt idx="6">
                  <c:v>0.58288770053475936</c:v>
                </c:pt>
              </c:numCache>
            </c:numRef>
          </c:val>
        </c:ser>
        <c:ser>
          <c:idx val="1"/>
          <c:order val="1"/>
          <c:tx>
            <c:strRef>
              <c:f>Service!$A$3</c:f>
              <c:strCache>
                <c:ptCount val="1"/>
                <c:pt idx="0">
                  <c:v>Good</c:v>
                </c:pt>
              </c:strCache>
            </c:strRef>
          </c:tx>
          <c:spPr>
            <a:solidFill>
              <a:schemeClr val="accent4"/>
            </a:solidFill>
          </c:spPr>
          <c:invertIfNegative val="0"/>
          <c:dLbls>
            <c:showLegendKey val="0"/>
            <c:showVal val="1"/>
            <c:showCatName val="0"/>
            <c:showSerName val="0"/>
            <c:showPercent val="0"/>
            <c:showBubbleSize val="0"/>
            <c:showLeaderLines val="0"/>
          </c:dLbls>
          <c:cat>
            <c:strRef>
              <c:f>Service!$B$1:$H$1</c:f>
              <c:strCache>
                <c:ptCount val="7"/>
                <c:pt idx="0">
                  <c:v>IRAS - Usability</c:v>
                </c:pt>
                <c:pt idx="1">
                  <c:v>IRAS - Guidance</c:v>
                </c:pt>
                <c:pt idx="2">
                  <c:v>Online Guidance</c:v>
                </c:pt>
                <c:pt idx="3">
                  <c:v>Decision Tools</c:v>
                </c:pt>
                <c:pt idx="4">
                  <c:v>HRA Website</c:v>
                </c:pt>
                <c:pt idx="5">
                  <c:v>HRA Queries Line</c:v>
                </c:pt>
                <c:pt idx="6">
                  <c:v>REC/CAT Staff</c:v>
                </c:pt>
              </c:strCache>
            </c:strRef>
          </c:cat>
          <c:val>
            <c:numRef>
              <c:f>Service!$B$3:$H$3</c:f>
              <c:numCache>
                <c:formatCode>0%</c:formatCode>
                <c:ptCount val="7"/>
                <c:pt idx="0">
                  <c:v>0.61224489795918369</c:v>
                </c:pt>
                <c:pt idx="1">
                  <c:v>0.62631578947368416</c:v>
                </c:pt>
                <c:pt idx="2">
                  <c:v>0.6705882352941176</c:v>
                </c:pt>
                <c:pt idx="3">
                  <c:v>0.62903225806451613</c:v>
                </c:pt>
                <c:pt idx="4">
                  <c:v>0.70198675496688745</c:v>
                </c:pt>
                <c:pt idx="5">
                  <c:v>0.5043478260869565</c:v>
                </c:pt>
                <c:pt idx="6">
                  <c:v>0.39572192513368987</c:v>
                </c:pt>
              </c:numCache>
            </c:numRef>
          </c:val>
        </c:ser>
        <c:ser>
          <c:idx val="2"/>
          <c:order val="2"/>
          <c:tx>
            <c:strRef>
              <c:f>Service!$A$4</c:f>
              <c:strCache>
                <c:ptCount val="1"/>
                <c:pt idx="0">
                  <c:v>Poor</c:v>
                </c:pt>
              </c:strCache>
            </c:strRef>
          </c:tx>
          <c:spPr>
            <a:solidFill>
              <a:schemeClr val="accent2"/>
            </a:solidFill>
          </c:spPr>
          <c:invertIfNegative val="0"/>
          <c:dLbls>
            <c:dLbl>
              <c:idx val="6"/>
              <c:delete val="1"/>
            </c:dLbl>
            <c:showLegendKey val="0"/>
            <c:showVal val="1"/>
            <c:showCatName val="0"/>
            <c:showSerName val="0"/>
            <c:showPercent val="0"/>
            <c:showBubbleSize val="0"/>
            <c:showLeaderLines val="0"/>
          </c:dLbls>
          <c:cat>
            <c:strRef>
              <c:f>Service!$B$1:$H$1</c:f>
              <c:strCache>
                <c:ptCount val="7"/>
                <c:pt idx="0">
                  <c:v>IRAS - Usability</c:v>
                </c:pt>
                <c:pt idx="1">
                  <c:v>IRAS - Guidance</c:v>
                </c:pt>
                <c:pt idx="2">
                  <c:v>Online Guidance</c:v>
                </c:pt>
                <c:pt idx="3">
                  <c:v>Decision Tools</c:v>
                </c:pt>
                <c:pt idx="4">
                  <c:v>HRA Website</c:v>
                </c:pt>
                <c:pt idx="5">
                  <c:v>HRA Queries Line</c:v>
                </c:pt>
                <c:pt idx="6">
                  <c:v>REC/CAT Staff</c:v>
                </c:pt>
              </c:strCache>
            </c:strRef>
          </c:cat>
          <c:val>
            <c:numRef>
              <c:f>Service!$B$4:$H$4</c:f>
              <c:numCache>
                <c:formatCode>0%</c:formatCode>
                <c:ptCount val="7"/>
                <c:pt idx="0">
                  <c:v>0.14795918367346939</c:v>
                </c:pt>
                <c:pt idx="1">
                  <c:v>0.1736842105263158</c:v>
                </c:pt>
                <c:pt idx="2">
                  <c:v>0.12941176470588237</c:v>
                </c:pt>
                <c:pt idx="3">
                  <c:v>0.12903225806451613</c:v>
                </c:pt>
                <c:pt idx="4">
                  <c:v>8.6092715231788075E-2</c:v>
                </c:pt>
                <c:pt idx="5">
                  <c:v>3.4782608695652174E-2</c:v>
                </c:pt>
                <c:pt idx="6">
                  <c:v>5.3475935828877002E-3</c:v>
                </c:pt>
              </c:numCache>
            </c:numRef>
          </c:val>
        </c:ser>
        <c:ser>
          <c:idx val="3"/>
          <c:order val="3"/>
          <c:tx>
            <c:strRef>
              <c:f>Service!$A$5</c:f>
              <c:strCache>
                <c:ptCount val="1"/>
                <c:pt idx="0">
                  <c:v>Very Poor</c:v>
                </c:pt>
              </c:strCache>
            </c:strRef>
          </c:tx>
          <c:spPr>
            <a:solidFill>
              <a:schemeClr val="tx2">
                <a:lumMod val="40000"/>
                <a:lumOff val="60000"/>
              </a:schemeClr>
            </a:solidFill>
          </c:spPr>
          <c:invertIfNegative val="0"/>
          <c:dLbls>
            <c:dLbl>
              <c:idx val="4"/>
              <c:delete val="1"/>
            </c:dLbl>
            <c:dLbl>
              <c:idx val="5"/>
              <c:delete val="1"/>
            </c:dLbl>
            <c:dLbl>
              <c:idx val="6"/>
              <c:delete val="1"/>
            </c:dLbl>
            <c:showLegendKey val="0"/>
            <c:showVal val="1"/>
            <c:showCatName val="0"/>
            <c:showSerName val="0"/>
            <c:showPercent val="0"/>
            <c:showBubbleSize val="0"/>
            <c:showLeaderLines val="0"/>
          </c:dLbls>
          <c:cat>
            <c:strRef>
              <c:f>Service!$B$1:$H$1</c:f>
              <c:strCache>
                <c:ptCount val="7"/>
                <c:pt idx="0">
                  <c:v>IRAS - Usability</c:v>
                </c:pt>
                <c:pt idx="1">
                  <c:v>IRAS - Guidance</c:v>
                </c:pt>
                <c:pt idx="2">
                  <c:v>Online Guidance</c:v>
                </c:pt>
                <c:pt idx="3">
                  <c:v>Decision Tools</c:v>
                </c:pt>
                <c:pt idx="4">
                  <c:v>HRA Website</c:v>
                </c:pt>
                <c:pt idx="5">
                  <c:v>HRA Queries Line</c:v>
                </c:pt>
                <c:pt idx="6">
                  <c:v>REC/CAT Staff</c:v>
                </c:pt>
              </c:strCache>
            </c:strRef>
          </c:cat>
          <c:val>
            <c:numRef>
              <c:f>Service!$B$5:$H$5</c:f>
              <c:numCache>
                <c:formatCode>0%</c:formatCode>
                <c:ptCount val="7"/>
                <c:pt idx="0">
                  <c:v>4.5918367346938778E-2</c:v>
                </c:pt>
                <c:pt idx="1">
                  <c:v>2.6315789473684209E-2</c:v>
                </c:pt>
                <c:pt idx="2">
                  <c:v>5.2941176470588235E-2</c:v>
                </c:pt>
                <c:pt idx="3">
                  <c:v>3.2258064516129031E-2</c:v>
                </c:pt>
                <c:pt idx="4">
                  <c:v>1.3245033112582781E-2</c:v>
                </c:pt>
                <c:pt idx="5">
                  <c:v>2.6086956521739129E-2</c:v>
                </c:pt>
                <c:pt idx="6">
                  <c:v>1.6042780748663103E-2</c:v>
                </c:pt>
              </c:numCache>
            </c:numRef>
          </c:val>
        </c:ser>
        <c:dLbls>
          <c:showLegendKey val="0"/>
          <c:showVal val="0"/>
          <c:showCatName val="0"/>
          <c:showSerName val="0"/>
          <c:showPercent val="0"/>
          <c:showBubbleSize val="0"/>
        </c:dLbls>
        <c:gapWidth val="64"/>
        <c:overlap val="100"/>
        <c:axId val="39681408"/>
        <c:axId val="39683200"/>
      </c:barChart>
      <c:catAx>
        <c:axId val="39681408"/>
        <c:scaling>
          <c:orientation val="minMax"/>
        </c:scaling>
        <c:delete val="0"/>
        <c:axPos val="l"/>
        <c:numFmt formatCode="General" sourceLinked="1"/>
        <c:majorTickMark val="out"/>
        <c:minorTickMark val="none"/>
        <c:tickLblPos val="nextTo"/>
        <c:crossAx val="39683200"/>
        <c:crosses val="autoZero"/>
        <c:auto val="1"/>
        <c:lblAlgn val="ctr"/>
        <c:lblOffset val="100"/>
        <c:noMultiLvlLbl val="0"/>
      </c:catAx>
      <c:valAx>
        <c:axId val="39683200"/>
        <c:scaling>
          <c:orientation val="minMax"/>
        </c:scaling>
        <c:delete val="0"/>
        <c:axPos val="b"/>
        <c:numFmt formatCode="0%" sourceLinked="1"/>
        <c:majorTickMark val="out"/>
        <c:minorTickMark val="none"/>
        <c:tickLblPos val="nextTo"/>
        <c:crossAx val="396814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07804945434452E-2"/>
          <c:y val="3.254106750169742E-2"/>
          <c:w val="0.78885070023181425"/>
          <c:h val="0.86423291683134207"/>
        </c:manualLayout>
      </c:layout>
      <c:barChart>
        <c:barDir val="col"/>
        <c:grouping val="clustered"/>
        <c:varyColors val="0"/>
        <c:ser>
          <c:idx val="0"/>
          <c:order val="0"/>
          <c:tx>
            <c:strRef>
              <c:f>Trends!$B$23</c:f>
              <c:strCache>
                <c:ptCount val="1"/>
                <c:pt idx="0">
                  <c:v>Apr 2014 to Sep 2014</c:v>
                </c:pt>
              </c:strCache>
            </c:strRef>
          </c:tx>
          <c:invertIfNegative val="0"/>
          <c:cat>
            <c:strRef>
              <c:f>Trends!$A$42:$A$45</c:f>
              <c:strCache>
                <c:ptCount val="4"/>
                <c:pt idx="0">
                  <c:v>Excellent</c:v>
                </c:pt>
                <c:pt idx="1">
                  <c:v>Good</c:v>
                </c:pt>
                <c:pt idx="2">
                  <c:v>Poor</c:v>
                </c:pt>
                <c:pt idx="3">
                  <c:v>Very Poor</c:v>
                </c:pt>
              </c:strCache>
            </c:strRef>
          </c:cat>
          <c:val>
            <c:numRef>
              <c:f>Trends!$B$42:$B$45</c:f>
              <c:numCache>
                <c:formatCode>0%</c:formatCode>
                <c:ptCount val="4"/>
                <c:pt idx="0">
                  <c:v>0.16666666666666666</c:v>
                </c:pt>
                <c:pt idx="1">
                  <c:v>0.72463768115942029</c:v>
                </c:pt>
                <c:pt idx="2">
                  <c:v>7.9710144927536225E-2</c:v>
                </c:pt>
                <c:pt idx="3">
                  <c:v>2.8985507246376812E-2</c:v>
                </c:pt>
              </c:numCache>
            </c:numRef>
          </c:val>
        </c:ser>
        <c:ser>
          <c:idx val="1"/>
          <c:order val="1"/>
          <c:tx>
            <c:strRef>
              <c:f>Trends!$C$23</c:f>
              <c:strCache>
                <c:ptCount val="1"/>
                <c:pt idx="0">
                  <c:v>Oct 2014 to March 2015</c:v>
                </c:pt>
              </c:strCache>
            </c:strRef>
          </c:tx>
          <c:invertIfNegative val="0"/>
          <c:cat>
            <c:strRef>
              <c:f>Trends!$A$42:$A$45</c:f>
              <c:strCache>
                <c:ptCount val="4"/>
                <c:pt idx="0">
                  <c:v>Excellent</c:v>
                </c:pt>
                <c:pt idx="1">
                  <c:v>Good</c:v>
                </c:pt>
                <c:pt idx="2">
                  <c:v>Poor</c:v>
                </c:pt>
                <c:pt idx="3">
                  <c:v>Very Poor</c:v>
                </c:pt>
              </c:strCache>
            </c:strRef>
          </c:cat>
          <c:val>
            <c:numRef>
              <c:f>Trends!$C$42:$C$45</c:f>
              <c:numCache>
                <c:formatCode>0%</c:formatCode>
                <c:ptCount val="4"/>
                <c:pt idx="0">
                  <c:v>0.16058394160583941</c:v>
                </c:pt>
                <c:pt idx="1">
                  <c:v>0.75912408759124084</c:v>
                </c:pt>
                <c:pt idx="2">
                  <c:v>6.569343065693431E-2</c:v>
                </c:pt>
                <c:pt idx="3">
                  <c:v>1.4598540145985401E-2</c:v>
                </c:pt>
              </c:numCache>
            </c:numRef>
          </c:val>
        </c:ser>
        <c:ser>
          <c:idx val="2"/>
          <c:order val="2"/>
          <c:tx>
            <c:strRef>
              <c:f>Trends!$D$23</c:f>
              <c:strCache>
                <c:ptCount val="1"/>
                <c:pt idx="0">
                  <c:v>Apr 2015 to Sep 2015</c:v>
                </c:pt>
              </c:strCache>
            </c:strRef>
          </c:tx>
          <c:invertIfNegative val="0"/>
          <c:cat>
            <c:strRef>
              <c:f>Trends!$A$42:$A$45</c:f>
              <c:strCache>
                <c:ptCount val="4"/>
                <c:pt idx="0">
                  <c:v>Excellent</c:v>
                </c:pt>
                <c:pt idx="1">
                  <c:v>Good</c:v>
                </c:pt>
                <c:pt idx="2">
                  <c:v>Poor</c:v>
                </c:pt>
                <c:pt idx="3">
                  <c:v>Very Poor</c:v>
                </c:pt>
              </c:strCache>
            </c:strRef>
          </c:cat>
          <c:val>
            <c:numRef>
              <c:f>Trends!$D$42:$D$45</c:f>
              <c:numCache>
                <c:formatCode>0%</c:formatCode>
                <c:ptCount val="4"/>
                <c:pt idx="0">
                  <c:v>0.20967741935483872</c:v>
                </c:pt>
                <c:pt idx="1">
                  <c:v>0.62903225806451613</c:v>
                </c:pt>
                <c:pt idx="2">
                  <c:v>0.12903225806451613</c:v>
                </c:pt>
                <c:pt idx="3">
                  <c:v>3.2258064516129031E-2</c:v>
                </c:pt>
              </c:numCache>
            </c:numRef>
          </c:val>
        </c:ser>
        <c:dLbls>
          <c:showLegendKey val="0"/>
          <c:showVal val="0"/>
          <c:showCatName val="0"/>
          <c:showSerName val="0"/>
          <c:showPercent val="0"/>
          <c:showBubbleSize val="0"/>
        </c:dLbls>
        <c:gapWidth val="150"/>
        <c:axId val="41339904"/>
        <c:axId val="48235264"/>
      </c:barChart>
      <c:catAx>
        <c:axId val="41339904"/>
        <c:scaling>
          <c:orientation val="minMax"/>
        </c:scaling>
        <c:delete val="0"/>
        <c:axPos val="b"/>
        <c:numFmt formatCode="General" sourceLinked="1"/>
        <c:majorTickMark val="out"/>
        <c:minorTickMark val="none"/>
        <c:tickLblPos val="nextTo"/>
        <c:crossAx val="48235264"/>
        <c:crosses val="autoZero"/>
        <c:auto val="1"/>
        <c:lblAlgn val="ctr"/>
        <c:lblOffset val="100"/>
        <c:noMultiLvlLbl val="0"/>
      </c:catAx>
      <c:valAx>
        <c:axId val="48235264"/>
        <c:scaling>
          <c:orientation val="minMax"/>
        </c:scaling>
        <c:delete val="0"/>
        <c:axPos val="l"/>
        <c:majorGridlines>
          <c:spPr>
            <a:ln>
              <a:solidFill>
                <a:schemeClr val="bg1">
                  <a:lumMod val="75000"/>
                </a:schemeClr>
              </a:solidFill>
            </a:ln>
          </c:spPr>
        </c:majorGridlines>
        <c:numFmt formatCode="0%" sourceLinked="1"/>
        <c:majorTickMark val="out"/>
        <c:minorTickMark val="none"/>
        <c:tickLblPos val="nextTo"/>
        <c:crossAx val="4133990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14507975054549E-2"/>
          <c:y val="2.7675826236006215E-2"/>
          <c:w val="0.77835925997055244"/>
          <c:h val="0.83603549556305456"/>
        </c:manualLayout>
      </c:layout>
      <c:barChart>
        <c:barDir val="col"/>
        <c:grouping val="clustered"/>
        <c:varyColors val="0"/>
        <c:ser>
          <c:idx val="0"/>
          <c:order val="0"/>
          <c:tx>
            <c:strRef>
              <c:f>Trends!$B$23</c:f>
              <c:strCache>
                <c:ptCount val="1"/>
                <c:pt idx="0">
                  <c:v>Apr 2014 to Sep 2014</c:v>
                </c:pt>
              </c:strCache>
            </c:strRef>
          </c:tx>
          <c:invertIfNegative val="0"/>
          <c:cat>
            <c:strRef>
              <c:f>Trends!$A$24:$A$27</c:f>
              <c:strCache>
                <c:ptCount val="4"/>
                <c:pt idx="0">
                  <c:v>Excellent</c:v>
                </c:pt>
                <c:pt idx="1">
                  <c:v>Good</c:v>
                </c:pt>
                <c:pt idx="2">
                  <c:v>Poor</c:v>
                </c:pt>
                <c:pt idx="3">
                  <c:v>Very Poor</c:v>
                </c:pt>
              </c:strCache>
            </c:strRef>
          </c:cat>
          <c:val>
            <c:numRef>
              <c:f>Trends!$B$24:$B$27</c:f>
              <c:numCache>
                <c:formatCode>0%</c:formatCode>
                <c:ptCount val="4"/>
                <c:pt idx="0">
                  <c:v>0.16763005780346821</c:v>
                </c:pt>
                <c:pt idx="1">
                  <c:v>0.68208092485549132</c:v>
                </c:pt>
                <c:pt idx="2">
                  <c:v>0.13872832369942195</c:v>
                </c:pt>
                <c:pt idx="3">
                  <c:v>1.1560693641618497E-2</c:v>
                </c:pt>
              </c:numCache>
            </c:numRef>
          </c:val>
        </c:ser>
        <c:ser>
          <c:idx val="1"/>
          <c:order val="1"/>
          <c:tx>
            <c:strRef>
              <c:f>Trends!$C$23</c:f>
              <c:strCache>
                <c:ptCount val="1"/>
                <c:pt idx="0">
                  <c:v>Oct 2014 to March 2015</c:v>
                </c:pt>
              </c:strCache>
            </c:strRef>
          </c:tx>
          <c:invertIfNegative val="0"/>
          <c:cat>
            <c:strRef>
              <c:f>Trends!$A$24:$A$27</c:f>
              <c:strCache>
                <c:ptCount val="4"/>
                <c:pt idx="0">
                  <c:v>Excellent</c:v>
                </c:pt>
                <c:pt idx="1">
                  <c:v>Good</c:v>
                </c:pt>
                <c:pt idx="2">
                  <c:v>Poor</c:v>
                </c:pt>
                <c:pt idx="3">
                  <c:v>Very Poor</c:v>
                </c:pt>
              </c:strCache>
            </c:strRef>
          </c:cat>
          <c:val>
            <c:numRef>
              <c:f>Trends!$C$24:$C$27</c:f>
              <c:numCache>
                <c:formatCode>0%</c:formatCode>
                <c:ptCount val="4"/>
                <c:pt idx="0">
                  <c:v>0.20121951219512196</c:v>
                </c:pt>
                <c:pt idx="1">
                  <c:v>0.69512195121951215</c:v>
                </c:pt>
                <c:pt idx="2">
                  <c:v>6.7073170731707321E-2</c:v>
                </c:pt>
                <c:pt idx="3">
                  <c:v>3.6585365853658534E-2</c:v>
                </c:pt>
              </c:numCache>
            </c:numRef>
          </c:val>
        </c:ser>
        <c:ser>
          <c:idx val="2"/>
          <c:order val="2"/>
          <c:tx>
            <c:strRef>
              <c:f>Trends!$D$23</c:f>
              <c:strCache>
                <c:ptCount val="1"/>
                <c:pt idx="0">
                  <c:v>Apr 2015 to Sep 2015</c:v>
                </c:pt>
              </c:strCache>
            </c:strRef>
          </c:tx>
          <c:invertIfNegative val="0"/>
          <c:cat>
            <c:strRef>
              <c:f>Trends!$A$24:$A$27</c:f>
              <c:strCache>
                <c:ptCount val="4"/>
                <c:pt idx="0">
                  <c:v>Excellent</c:v>
                </c:pt>
                <c:pt idx="1">
                  <c:v>Good</c:v>
                </c:pt>
                <c:pt idx="2">
                  <c:v>Poor</c:v>
                </c:pt>
                <c:pt idx="3">
                  <c:v>Very Poor</c:v>
                </c:pt>
              </c:strCache>
            </c:strRef>
          </c:cat>
          <c:val>
            <c:numRef>
              <c:f>Trends!$D$24:$D$27</c:f>
              <c:numCache>
                <c:formatCode>0%</c:formatCode>
                <c:ptCount val="4"/>
                <c:pt idx="0">
                  <c:v>0.14705882352941177</c:v>
                </c:pt>
                <c:pt idx="1">
                  <c:v>0.6705882352941176</c:v>
                </c:pt>
                <c:pt idx="2">
                  <c:v>0.12941176470588237</c:v>
                </c:pt>
                <c:pt idx="3">
                  <c:v>5.2941176470588235E-2</c:v>
                </c:pt>
              </c:numCache>
            </c:numRef>
          </c:val>
        </c:ser>
        <c:dLbls>
          <c:showLegendKey val="0"/>
          <c:showVal val="0"/>
          <c:showCatName val="0"/>
          <c:showSerName val="0"/>
          <c:showPercent val="0"/>
          <c:showBubbleSize val="0"/>
        </c:dLbls>
        <c:gapWidth val="82"/>
        <c:axId val="71620480"/>
        <c:axId val="71622016"/>
      </c:barChart>
      <c:catAx>
        <c:axId val="71620480"/>
        <c:scaling>
          <c:orientation val="minMax"/>
        </c:scaling>
        <c:delete val="0"/>
        <c:axPos val="b"/>
        <c:numFmt formatCode="General" sourceLinked="1"/>
        <c:majorTickMark val="out"/>
        <c:minorTickMark val="none"/>
        <c:tickLblPos val="nextTo"/>
        <c:crossAx val="71622016"/>
        <c:crosses val="autoZero"/>
        <c:auto val="1"/>
        <c:lblAlgn val="ctr"/>
        <c:lblOffset val="100"/>
        <c:noMultiLvlLbl val="0"/>
      </c:catAx>
      <c:valAx>
        <c:axId val="71622016"/>
        <c:scaling>
          <c:orientation val="minMax"/>
        </c:scaling>
        <c:delete val="0"/>
        <c:axPos val="l"/>
        <c:majorGridlines>
          <c:spPr>
            <a:ln>
              <a:solidFill>
                <a:schemeClr val="bg1">
                  <a:lumMod val="75000"/>
                </a:schemeClr>
              </a:solidFill>
            </a:ln>
          </c:spPr>
        </c:majorGridlines>
        <c:numFmt formatCode="0%" sourceLinked="1"/>
        <c:majorTickMark val="out"/>
        <c:minorTickMark val="none"/>
        <c:tickLblPos val="nextTo"/>
        <c:crossAx val="7162048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921A9E-F7AB-4442-B0EB-263DBF9A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4921</TotalTime>
  <Pages>29</Pages>
  <Words>6372</Words>
  <Characters>36326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Wisely</dc:creator>
  <cp:lastModifiedBy>Steve Tebbutt</cp:lastModifiedBy>
  <cp:revision>70</cp:revision>
  <cp:lastPrinted>2015-05-29T10:09:00Z</cp:lastPrinted>
  <dcterms:created xsi:type="dcterms:W3CDTF">2015-04-10T09:28:00Z</dcterms:created>
  <dcterms:modified xsi:type="dcterms:W3CDTF">2015-11-11T15:02:00Z</dcterms:modified>
</cp:coreProperties>
</file>