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4357F3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7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4357F3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B</w:t>
            </w:r>
            <w:bookmarkStart w:id="0" w:name="_GoBack"/>
            <w:bookmarkEnd w:id="0"/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B81CF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November 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B81CF6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Approval Gateway Healthcheck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B81CF6" w:rsidRPr="00B81CF6" w:rsidRDefault="00B81CF6" w:rsidP="00B81CF6">
            <w:pPr>
              <w:jc w:val="both"/>
              <w:rPr>
                <w:rFonts w:asciiTheme="minorHAnsi" w:hAnsiTheme="minorHAnsi" w:cstheme="minorHAnsi"/>
              </w:rPr>
            </w:pPr>
            <w:r w:rsidRPr="00B81CF6">
              <w:rPr>
                <w:rFonts w:asciiTheme="minorHAnsi" w:hAnsiTheme="minorHAnsi" w:cstheme="minorHAnsi"/>
              </w:rPr>
              <w:t xml:space="preserve">The purpose of </w:t>
            </w:r>
            <w:r>
              <w:rPr>
                <w:rFonts w:asciiTheme="minorHAnsi" w:hAnsiTheme="minorHAnsi" w:cstheme="minorHAnsi"/>
              </w:rPr>
              <w:t>the</w:t>
            </w:r>
            <w:r w:rsidRPr="00B81CF6">
              <w:rPr>
                <w:rFonts w:asciiTheme="minorHAnsi" w:hAnsiTheme="minorHAnsi" w:cstheme="minorHAnsi"/>
              </w:rPr>
              <w:t xml:space="preserve"> Healthcheck is to provide early and informal advice on the progress made by </w:t>
            </w:r>
            <w:r>
              <w:rPr>
                <w:rFonts w:asciiTheme="minorHAnsi" w:hAnsiTheme="minorHAnsi" w:cstheme="minorHAnsi"/>
              </w:rPr>
              <w:t>the</w:t>
            </w:r>
            <w:r w:rsidRPr="00B81CF6">
              <w:rPr>
                <w:rFonts w:asciiTheme="minorHAnsi" w:hAnsiTheme="minorHAnsi" w:cstheme="minorHAnsi"/>
              </w:rPr>
              <w:t xml:space="preserve"> Programme before the use of further Gateway Reviews, as part of an ongoing external assurance process.</w:t>
            </w:r>
          </w:p>
          <w:p w:rsidR="0000688A" w:rsidRPr="00C90060" w:rsidRDefault="0000688A" w:rsidP="00B81CF6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B81CF6" w:rsidRPr="00C90060" w:rsidRDefault="00B81CF6" w:rsidP="00B81C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Board with the report from the DH Gateway Healthcheck team for HRA Approval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B81CF6" w:rsidRPr="00B81CF6" w:rsidRDefault="00B81CF6" w:rsidP="00B81CF6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81CF6">
              <w:rPr>
                <w:rFonts w:asciiTheme="minorHAnsi" w:hAnsiTheme="minorHAnsi" w:cstheme="minorHAnsi"/>
                <w:b/>
                <w:u w:val="single"/>
              </w:rPr>
              <w:t>Summary of Report Recommendations</w:t>
            </w:r>
          </w:p>
          <w:p w:rsidR="00B81CF6" w:rsidRPr="00B81CF6" w:rsidRDefault="00B81CF6" w:rsidP="00B81CF6">
            <w:pPr>
              <w:rPr>
                <w:rFonts w:asciiTheme="minorHAnsi" w:hAnsiTheme="minorHAnsi" w:cstheme="minorHAnsi"/>
              </w:rPr>
            </w:pPr>
            <w:r w:rsidRPr="00B81CF6">
              <w:rPr>
                <w:rFonts w:asciiTheme="minorHAnsi" w:hAnsiTheme="minorHAnsi" w:cstheme="minorHAnsi"/>
              </w:rPr>
              <w:t>The Review Team makes the following recommendations which are prioritised using the definitions below.</w:t>
            </w:r>
          </w:p>
          <w:p w:rsidR="00B81CF6" w:rsidRPr="00B81CF6" w:rsidRDefault="00B81CF6" w:rsidP="00B81CF6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580"/>
              <w:gridCol w:w="3660"/>
              <w:gridCol w:w="1844"/>
            </w:tblGrid>
            <w:tr w:rsidR="00B81CF6" w:rsidRPr="00B81CF6" w:rsidTr="00B81CF6">
              <w:tc>
                <w:tcPr>
                  <w:tcW w:w="580" w:type="dxa"/>
                  <w:vAlign w:val="center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81CF6">
                    <w:rPr>
                      <w:rFonts w:asciiTheme="minorHAnsi" w:hAnsiTheme="minorHAnsi" w:cstheme="minorHAnsi"/>
                      <w:b/>
                      <w:bCs/>
                    </w:rPr>
                    <w:t>Ref. No.</w:t>
                  </w:r>
                </w:p>
              </w:tc>
              <w:tc>
                <w:tcPr>
                  <w:tcW w:w="3728" w:type="dxa"/>
                  <w:vAlign w:val="center"/>
                </w:tcPr>
                <w:p w:rsidR="00B81CF6" w:rsidRPr="00B81CF6" w:rsidRDefault="00B81CF6" w:rsidP="00B81CF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81CF6">
                    <w:rPr>
                      <w:rFonts w:asciiTheme="minorHAnsi" w:hAnsiTheme="minorHAnsi" w:cstheme="minorHAnsi"/>
                      <w:b/>
                      <w:bCs/>
                    </w:rPr>
                    <w:t>Recommendation</w:t>
                  </w:r>
                </w:p>
              </w:tc>
              <w:tc>
                <w:tcPr>
                  <w:tcW w:w="1776" w:type="dxa"/>
                  <w:vAlign w:val="center"/>
                </w:tcPr>
                <w:p w:rsidR="00B81CF6" w:rsidRDefault="00B81CF6" w:rsidP="00B81CF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81CF6">
                    <w:rPr>
                      <w:rFonts w:asciiTheme="minorHAnsi" w:hAnsiTheme="minorHAnsi" w:cstheme="minorHAnsi"/>
                      <w:b/>
                      <w:bCs/>
                    </w:rPr>
                    <w:t>Critical/Essential/</w:t>
                  </w:r>
                </w:p>
                <w:p w:rsidR="00B81CF6" w:rsidRPr="00B81CF6" w:rsidRDefault="00B81CF6" w:rsidP="00B81CF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81CF6">
                    <w:rPr>
                      <w:rFonts w:asciiTheme="minorHAnsi" w:hAnsiTheme="minorHAnsi" w:cstheme="minorHAnsi"/>
                      <w:b/>
                      <w:bCs/>
                    </w:rPr>
                    <w:t>Recommended</w:t>
                  </w:r>
                </w:p>
              </w:tc>
            </w:tr>
            <w:tr w:rsidR="00B81CF6" w:rsidRPr="00B81CF6" w:rsidTr="00B81CF6">
              <w:tc>
                <w:tcPr>
                  <w:tcW w:w="580" w:type="dxa"/>
                </w:tcPr>
                <w:p w:rsidR="00B81CF6" w:rsidRPr="00B81CF6" w:rsidRDefault="00B81CF6" w:rsidP="00B81CF6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hanging="7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28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81CF6">
                    <w:rPr>
                      <w:rFonts w:asciiTheme="minorHAnsi" w:hAnsiTheme="minorHAnsi" w:cstheme="minorHAnsi"/>
                    </w:rPr>
                    <w:t>To update the Risk Register to include a more comprehensive range of external stakeholder risks</w:t>
                  </w:r>
                </w:p>
              </w:tc>
              <w:tc>
                <w:tcPr>
                  <w:tcW w:w="1776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81CF6">
                    <w:rPr>
                      <w:rFonts w:asciiTheme="minorHAnsi" w:hAnsiTheme="minorHAnsi" w:cstheme="minorHAnsi"/>
                    </w:rPr>
                    <w:t>Do now</w:t>
                  </w:r>
                </w:p>
              </w:tc>
            </w:tr>
            <w:tr w:rsidR="00B81CF6" w:rsidRPr="00B81CF6" w:rsidTr="00B81CF6">
              <w:tc>
                <w:tcPr>
                  <w:tcW w:w="580" w:type="dxa"/>
                </w:tcPr>
                <w:p w:rsidR="00B81CF6" w:rsidRPr="00B81CF6" w:rsidRDefault="00B81CF6" w:rsidP="00B81CF6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hanging="7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28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81CF6">
                    <w:rPr>
                      <w:rFonts w:asciiTheme="minorHAnsi" w:hAnsiTheme="minorHAnsi" w:cstheme="minorHAnsi"/>
                    </w:rPr>
                    <w:t>To resolve the concerns expressed regarding the compatibility of proposed systems with Devolved Governments</w:t>
                  </w:r>
                </w:p>
              </w:tc>
              <w:tc>
                <w:tcPr>
                  <w:tcW w:w="1776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81CF6">
                    <w:rPr>
                      <w:rFonts w:asciiTheme="minorHAnsi" w:hAnsiTheme="minorHAnsi" w:cstheme="minorHAnsi"/>
                    </w:rPr>
                    <w:t>Do now</w:t>
                  </w:r>
                </w:p>
              </w:tc>
            </w:tr>
            <w:tr w:rsidR="00B81CF6" w:rsidRPr="00B81CF6" w:rsidTr="00B81CF6">
              <w:tc>
                <w:tcPr>
                  <w:tcW w:w="580" w:type="dxa"/>
                </w:tcPr>
                <w:p w:rsidR="00B81CF6" w:rsidRPr="00B81CF6" w:rsidRDefault="00B81CF6" w:rsidP="00B81CF6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hanging="7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28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81CF6">
                    <w:rPr>
                      <w:rFonts w:asciiTheme="minorHAnsi" w:hAnsiTheme="minorHAnsi" w:cstheme="minorHAnsi"/>
                    </w:rPr>
                    <w:t>To develop, further, a stakeholder-focussed Communications Plan in advance of Cohorts 3 and 4</w:t>
                  </w:r>
                </w:p>
              </w:tc>
              <w:tc>
                <w:tcPr>
                  <w:tcW w:w="1776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81CF6">
                    <w:rPr>
                      <w:rFonts w:asciiTheme="minorHAnsi" w:hAnsiTheme="minorHAnsi" w:cstheme="minorHAnsi"/>
                    </w:rPr>
                    <w:t>Do now</w:t>
                  </w:r>
                </w:p>
              </w:tc>
            </w:tr>
            <w:tr w:rsidR="00B81CF6" w:rsidRPr="00B81CF6" w:rsidTr="00B81CF6">
              <w:tc>
                <w:tcPr>
                  <w:tcW w:w="580" w:type="dxa"/>
                </w:tcPr>
                <w:p w:rsidR="00B81CF6" w:rsidRPr="00B81CF6" w:rsidRDefault="00B81CF6" w:rsidP="00B81CF6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hanging="7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28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81CF6">
                    <w:rPr>
                      <w:rFonts w:asciiTheme="minorHAnsi" w:hAnsiTheme="minorHAnsi" w:cstheme="minorHAnsi"/>
                    </w:rPr>
                    <w:t>To confirm a plan to secure the continuity of staffing, from the go-live period to the completion of the Programme</w:t>
                  </w:r>
                </w:p>
              </w:tc>
              <w:tc>
                <w:tcPr>
                  <w:tcW w:w="1776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81CF6">
                    <w:rPr>
                      <w:rFonts w:asciiTheme="minorHAnsi" w:hAnsiTheme="minorHAnsi" w:cstheme="minorHAnsi"/>
                    </w:rPr>
                    <w:t>Do by Dec 2015</w:t>
                  </w:r>
                </w:p>
              </w:tc>
            </w:tr>
            <w:tr w:rsidR="00B81CF6" w:rsidRPr="00B81CF6" w:rsidTr="00B81CF6">
              <w:tc>
                <w:tcPr>
                  <w:tcW w:w="580" w:type="dxa"/>
                </w:tcPr>
                <w:p w:rsidR="00B81CF6" w:rsidRPr="00B81CF6" w:rsidRDefault="00B81CF6" w:rsidP="00B81CF6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hanging="7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28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81CF6">
                    <w:rPr>
                      <w:rFonts w:asciiTheme="minorHAnsi" w:hAnsiTheme="minorHAnsi" w:cstheme="minorHAnsi"/>
                      <w:szCs w:val="24"/>
                    </w:rPr>
                    <w:t xml:space="preserve">To consider how to further engage and support stakeholders </w:t>
                  </w:r>
                  <w:r w:rsidRPr="00B81CF6">
                    <w:rPr>
                      <w:rFonts w:asciiTheme="minorHAnsi" w:hAnsiTheme="minorHAnsi" w:cstheme="minorHAnsi"/>
                      <w:lang w:val="en-US"/>
                    </w:rPr>
                    <w:t xml:space="preserve">including disseminating operational requirements to them and developing a proactive implementation support </w:t>
                  </w:r>
                  <w:r w:rsidRPr="00B81CF6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plan.</w:t>
                  </w:r>
                </w:p>
              </w:tc>
              <w:tc>
                <w:tcPr>
                  <w:tcW w:w="1776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81CF6">
                    <w:rPr>
                      <w:rFonts w:asciiTheme="minorHAnsi" w:hAnsiTheme="minorHAnsi" w:cstheme="minorHAnsi"/>
                    </w:rPr>
                    <w:lastRenderedPageBreak/>
                    <w:t>Do now</w:t>
                  </w:r>
                </w:p>
              </w:tc>
            </w:tr>
            <w:tr w:rsidR="00B81CF6" w:rsidRPr="00B81CF6" w:rsidTr="00B81CF6">
              <w:tc>
                <w:tcPr>
                  <w:tcW w:w="580" w:type="dxa"/>
                </w:tcPr>
                <w:p w:rsidR="00B81CF6" w:rsidRPr="00B81CF6" w:rsidRDefault="00B81CF6" w:rsidP="00B81CF6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hanging="7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28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81CF6">
                    <w:rPr>
                      <w:rFonts w:asciiTheme="minorHAnsi" w:hAnsiTheme="minorHAnsi" w:cstheme="minorHAnsi"/>
                    </w:rPr>
                    <w:t>To develop an effective Critical Path for the Programme</w:t>
                  </w:r>
                </w:p>
              </w:tc>
              <w:tc>
                <w:tcPr>
                  <w:tcW w:w="1776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81CF6">
                    <w:rPr>
                      <w:rFonts w:asciiTheme="minorHAnsi" w:hAnsiTheme="minorHAnsi" w:cstheme="minorHAnsi"/>
                    </w:rPr>
                    <w:t>Do now</w:t>
                  </w:r>
                </w:p>
              </w:tc>
            </w:tr>
            <w:tr w:rsidR="00B81CF6" w:rsidRPr="00B81CF6" w:rsidTr="00B81CF6">
              <w:tc>
                <w:tcPr>
                  <w:tcW w:w="580" w:type="dxa"/>
                </w:tcPr>
                <w:p w:rsidR="00B81CF6" w:rsidRPr="00B81CF6" w:rsidRDefault="00B81CF6" w:rsidP="00B81CF6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hanging="7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28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81CF6">
                    <w:rPr>
                      <w:rFonts w:asciiTheme="minorHAnsi" w:hAnsiTheme="minorHAnsi" w:cstheme="minorHAnsi"/>
                    </w:rPr>
                    <w:t>To complete the Benefits Realisation Plan, including agreeing the metrics with stakeholders</w:t>
                  </w:r>
                </w:p>
              </w:tc>
              <w:tc>
                <w:tcPr>
                  <w:tcW w:w="1776" w:type="dxa"/>
                </w:tcPr>
                <w:p w:rsidR="00B81CF6" w:rsidRPr="00B81CF6" w:rsidRDefault="00B81CF6" w:rsidP="00B81CF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81CF6">
                    <w:rPr>
                      <w:rFonts w:asciiTheme="minorHAnsi" w:hAnsiTheme="minorHAnsi" w:cstheme="minorHAnsi"/>
                    </w:rPr>
                    <w:t>Do by March 2016</w:t>
                  </w:r>
                </w:p>
              </w:tc>
            </w:tr>
          </w:tbl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B81CF6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 mins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B81CF6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B81CF6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B81CF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Janet Wisely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B81CF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Chief Executive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B81CF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11/11/2015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D6D65"/>
    <w:multiLevelType w:val="hybridMultilevel"/>
    <w:tmpl w:val="0E2A9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5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8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7"/>
  </w:num>
  <w:num w:numId="32">
    <w:abstractNumId w:val="14"/>
  </w:num>
  <w:num w:numId="33">
    <w:abstractNumId w:val="23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357F3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1CF6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0F5F31-290B-4899-B811-FB20D899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5</cp:revision>
  <cp:lastPrinted>2013-01-08T15:55:00Z</cp:lastPrinted>
  <dcterms:created xsi:type="dcterms:W3CDTF">2014-10-10T10:09:00Z</dcterms:created>
  <dcterms:modified xsi:type="dcterms:W3CDTF">2015-11-11T14:53:00Z</dcterms:modified>
</cp:coreProperties>
</file>