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7F" w:rsidRDefault="0063397F" w:rsidP="0063397F">
      <w:pPr>
        <w:pStyle w:val="NoSpacing"/>
        <w:jc w:val="right"/>
        <w:rPr>
          <w:rFonts w:ascii="Arial" w:hAnsi="Arial" w:cs="Arial"/>
          <w:b/>
          <w:noProof/>
          <w:lang w:val="en-GB" w:eastAsia="en-GB"/>
        </w:rPr>
      </w:pPr>
    </w:p>
    <w:p w:rsidR="001B0E16" w:rsidRPr="00FF7CBA" w:rsidRDefault="001B0E16" w:rsidP="0063397F">
      <w:pPr>
        <w:pStyle w:val="NoSpacing"/>
        <w:jc w:val="right"/>
        <w:rPr>
          <w:rFonts w:ascii="Arial" w:hAnsi="Arial" w:cs="Arial"/>
          <w:b/>
          <w:lang w:val="en-GB"/>
        </w:rPr>
      </w:pPr>
    </w:p>
    <w:tbl>
      <w:tblPr>
        <w:tblStyle w:val="TableGrid"/>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Agenda item:</w:t>
            </w:r>
          </w:p>
        </w:tc>
        <w:tc>
          <w:tcPr>
            <w:tcW w:w="1260" w:type="dxa"/>
          </w:tcPr>
          <w:p w:rsidR="00E068B3" w:rsidRPr="001B0E16" w:rsidRDefault="004C0327" w:rsidP="00413CD1">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1</w:t>
            </w:r>
            <w:r w:rsidR="00413CD1">
              <w:rPr>
                <w:rFonts w:asciiTheme="minorHAnsi" w:hAnsiTheme="minorHAnsi" w:cstheme="minorHAnsi"/>
                <w:b/>
                <w:sz w:val="44"/>
                <w:szCs w:val="44"/>
                <w:lang w:val="en-GB"/>
              </w:rPr>
              <w:t>3</w:t>
            </w:r>
            <w:bookmarkStart w:id="0" w:name="_GoBack"/>
            <w:bookmarkEnd w:id="0"/>
          </w:p>
        </w:tc>
      </w:tr>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Attachment:</w:t>
            </w:r>
          </w:p>
        </w:tc>
        <w:tc>
          <w:tcPr>
            <w:tcW w:w="1260" w:type="dxa"/>
          </w:tcPr>
          <w:p w:rsidR="00E068B3" w:rsidRPr="001B0E16" w:rsidRDefault="002249DC" w:rsidP="00E068B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E</w:t>
            </w:r>
          </w:p>
        </w:tc>
      </w:tr>
    </w:tbl>
    <w:p w:rsidR="0000688A" w:rsidRPr="0000688A" w:rsidRDefault="0000688A" w:rsidP="0063397F">
      <w:pPr>
        <w:spacing w:after="0"/>
        <w:jc w:val="center"/>
        <w:rPr>
          <w:rFonts w:asciiTheme="minorHAnsi" w:hAnsiTheme="minorHAnsi" w:cstheme="minorHAnsi"/>
          <w:b/>
          <w:sz w:val="24"/>
          <w:szCs w:val="24"/>
        </w:rPr>
      </w:pPr>
    </w:p>
    <w:p w:rsidR="00E068B3" w:rsidRDefault="00E068B3" w:rsidP="0063397F">
      <w:pPr>
        <w:spacing w:after="0"/>
        <w:jc w:val="center"/>
        <w:rPr>
          <w:rFonts w:asciiTheme="minorHAnsi" w:hAnsiTheme="minorHAnsi" w:cstheme="minorHAnsi"/>
          <w:b/>
          <w:sz w:val="40"/>
          <w:szCs w:val="40"/>
        </w:rPr>
      </w:pPr>
    </w:p>
    <w:p w:rsidR="00E068B3" w:rsidRDefault="00E068B3" w:rsidP="00151DBF">
      <w:pPr>
        <w:spacing w:after="0" w:line="240" w:lineRule="auto"/>
        <w:jc w:val="center"/>
        <w:rPr>
          <w:rFonts w:asciiTheme="minorHAnsi" w:hAnsiTheme="minorHAnsi" w:cstheme="minorHAnsi"/>
          <w:b/>
          <w:sz w:val="24"/>
          <w:szCs w:val="24"/>
        </w:rPr>
      </w:pPr>
    </w:p>
    <w:p w:rsidR="00151DBF" w:rsidRPr="00151DBF" w:rsidRDefault="00151DBF" w:rsidP="00151DBF">
      <w:pPr>
        <w:spacing w:after="0" w:line="240" w:lineRule="auto"/>
        <w:jc w:val="center"/>
        <w:rPr>
          <w:rFonts w:asciiTheme="minorHAnsi" w:hAnsiTheme="minorHAnsi" w:cstheme="minorHAnsi"/>
          <w:b/>
          <w:sz w:val="24"/>
          <w:szCs w:val="24"/>
        </w:rPr>
      </w:pPr>
    </w:p>
    <w:p w:rsidR="0063397F" w:rsidRPr="00151DBF" w:rsidRDefault="001B0E16" w:rsidP="00151DBF">
      <w:pPr>
        <w:spacing w:after="0" w:line="240" w:lineRule="auto"/>
        <w:jc w:val="center"/>
        <w:rPr>
          <w:rFonts w:asciiTheme="minorHAnsi" w:hAnsiTheme="minorHAnsi" w:cstheme="minorHAnsi"/>
          <w:b/>
          <w:sz w:val="44"/>
          <w:szCs w:val="44"/>
        </w:rPr>
      </w:pPr>
      <w:r w:rsidRPr="00151DBF">
        <w:rPr>
          <w:rFonts w:asciiTheme="minorHAnsi" w:hAnsiTheme="minorHAnsi" w:cstheme="minorHAnsi"/>
          <w:b/>
          <w:sz w:val="44"/>
          <w:szCs w:val="44"/>
        </w:rPr>
        <w:t xml:space="preserve">HRA </w:t>
      </w:r>
      <w:r w:rsidR="00EF083F">
        <w:rPr>
          <w:rFonts w:asciiTheme="minorHAnsi" w:hAnsiTheme="minorHAnsi" w:cstheme="minorHAnsi"/>
          <w:b/>
          <w:sz w:val="44"/>
          <w:szCs w:val="44"/>
        </w:rPr>
        <w:t>BOARD</w:t>
      </w:r>
      <w:r w:rsidRPr="00151DBF">
        <w:rPr>
          <w:rFonts w:asciiTheme="minorHAnsi" w:hAnsiTheme="minorHAnsi" w:cstheme="minorHAnsi"/>
          <w:b/>
          <w:sz w:val="44"/>
          <w:szCs w:val="44"/>
        </w:rPr>
        <w:t xml:space="preserve"> COVER SHEET</w:t>
      </w:r>
    </w:p>
    <w:p w:rsidR="00151DBF" w:rsidRDefault="00151DBF" w:rsidP="0063397F">
      <w:pPr>
        <w:spacing w:after="0"/>
        <w:jc w:val="cente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2628"/>
        <w:gridCol w:w="6320"/>
      </w:tblGrid>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Date of Meeting:</w:t>
            </w:r>
          </w:p>
          <w:p w:rsidR="00151DBF" w:rsidRPr="00C90060" w:rsidRDefault="00151DBF" w:rsidP="00AE2C5E">
            <w:pPr>
              <w:rPr>
                <w:rFonts w:asciiTheme="minorHAnsi" w:hAnsiTheme="minorHAnsi" w:cstheme="minorHAnsi"/>
                <w:b/>
              </w:rPr>
            </w:pPr>
          </w:p>
        </w:tc>
        <w:tc>
          <w:tcPr>
            <w:tcW w:w="6320" w:type="dxa"/>
          </w:tcPr>
          <w:p w:rsidR="00151DBF" w:rsidRDefault="00324EDB" w:rsidP="00AE2C5E">
            <w:pPr>
              <w:rPr>
                <w:rFonts w:asciiTheme="minorHAnsi" w:hAnsiTheme="minorHAnsi" w:cstheme="minorHAnsi"/>
              </w:rPr>
            </w:pPr>
            <w:r>
              <w:rPr>
                <w:rFonts w:asciiTheme="minorHAnsi" w:hAnsiTheme="minorHAnsi" w:cstheme="minorHAnsi"/>
              </w:rPr>
              <w:t>21 October 2015</w:t>
            </w:r>
          </w:p>
          <w:p w:rsidR="00C90060" w:rsidRDefault="00C90060" w:rsidP="00AE2C5E">
            <w:pPr>
              <w:rPr>
                <w:rFonts w:asciiTheme="minorHAnsi" w:hAnsiTheme="minorHAnsi" w:cstheme="minorHAnsi"/>
              </w:rPr>
            </w:pPr>
          </w:p>
          <w:p w:rsidR="00C90060" w:rsidRPr="00C90060" w:rsidRDefault="00C90060" w:rsidP="00AE2C5E">
            <w:pPr>
              <w:rPr>
                <w:rFonts w:asciiTheme="minorHAnsi" w:hAnsiTheme="minorHAnsi" w:cstheme="minorHAnsi"/>
              </w:rPr>
            </w:pPr>
          </w:p>
        </w:tc>
      </w:tr>
    </w:tbl>
    <w:p w:rsidR="00151DBF" w:rsidRPr="00C90060" w:rsidRDefault="00151DBF" w:rsidP="0063397F">
      <w:pPr>
        <w:spacing w:after="0"/>
        <w:jc w:val="center"/>
        <w:rPr>
          <w:rFonts w:asciiTheme="minorHAnsi" w:hAnsiTheme="minorHAnsi" w:cstheme="minorHAnsi"/>
          <w:b/>
        </w:rPr>
      </w:pPr>
    </w:p>
    <w:tbl>
      <w:tblPr>
        <w:tblStyle w:val="TableGrid"/>
        <w:tblW w:w="0" w:type="auto"/>
        <w:tblLook w:val="04A0" w:firstRow="1" w:lastRow="0" w:firstColumn="1" w:lastColumn="0" w:noHBand="0" w:noVBand="1"/>
      </w:tblPr>
      <w:tblGrid>
        <w:gridCol w:w="2628"/>
        <w:gridCol w:w="6320"/>
      </w:tblGrid>
      <w:tr w:rsidR="0000688A" w:rsidRPr="00C90060" w:rsidTr="00151DBF">
        <w:tc>
          <w:tcPr>
            <w:tcW w:w="2628" w:type="dxa"/>
          </w:tcPr>
          <w:p w:rsidR="0000688A" w:rsidRDefault="0000688A" w:rsidP="00C90060">
            <w:pPr>
              <w:rPr>
                <w:rFonts w:asciiTheme="minorHAnsi" w:hAnsiTheme="minorHAnsi" w:cstheme="minorHAnsi"/>
                <w:b/>
              </w:rPr>
            </w:pPr>
            <w:r w:rsidRPr="00C90060">
              <w:rPr>
                <w:rFonts w:asciiTheme="minorHAnsi" w:hAnsiTheme="minorHAnsi" w:cstheme="minorHAnsi"/>
                <w:b/>
              </w:rPr>
              <w:t>Title of Paper:</w:t>
            </w:r>
          </w:p>
          <w:p w:rsidR="00C90060" w:rsidRDefault="00C90060" w:rsidP="00C90060">
            <w:pPr>
              <w:rPr>
                <w:rFonts w:asciiTheme="minorHAnsi" w:hAnsiTheme="minorHAnsi" w:cstheme="minorHAnsi"/>
                <w:b/>
              </w:rPr>
            </w:pPr>
          </w:p>
          <w:p w:rsidR="00C90060" w:rsidRPr="00C90060" w:rsidRDefault="00C90060" w:rsidP="00C90060">
            <w:pPr>
              <w:rPr>
                <w:rFonts w:asciiTheme="minorHAnsi" w:hAnsiTheme="minorHAnsi" w:cstheme="minorHAnsi"/>
                <w:b/>
              </w:rPr>
            </w:pPr>
          </w:p>
        </w:tc>
        <w:tc>
          <w:tcPr>
            <w:tcW w:w="6320" w:type="dxa"/>
          </w:tcPr>
          <w:p w:rsidR="0000688A" w:rsidRPr="00C90060" w:rsidRDefault="00324EDB" w:rsidP="00276682">
            <w:pPr>
              <w:rPr>
                <w:rFonts w:asciiTheme="minorHAnsi" w:hAnsiTheme="minorHAnsi" w:cstheme="minorHAnsi"/>
              </w:rPr>
            </w:pPr>
            <w:r>
              <w:rPr>
                <w:rFonts w:asciiTheme="minorHAnsi" w:hAnsiTheme="minorHAnsi" w:cstheme="minorHAnsi"/>
              </w:rPr>
              <w:t>Website – Review and Way Forward</w:t>
            </w:r>
          </w:p>
          <w:p w:rsidR="0000688A" w:rsidRPr="00C90060" w:rsidRDefault="0000688A" w:rsidP="00276682">
            <w:pPr>
              <w:rPr>
                <w:rFonts w:asciiTheme="minorHAnsi" w:hAnsiTheme="minorHAnsi" w:cstheme="minorHAnsi"/>
              </w:rPr>
            </w:pPr>
          </w:p>
        </w:tc>
      </w:tr>
      <w:tr w:rsidR="0082258E" w:rsidRPr="00C90060" w:rsidTr="00151DBF">
        <w:tc>
          <w:tcPr>
            <w:tcW w:w="2628" w:type="dxa"/>
          </w:tcPr>
          <w:p w:rsidR="0082258E" w:rsidRDefault="0082258E" w:rsidP="00AE2C5E">
            <w:pPr>
              <w:rPr>
                <w:rFonts w:asciiTheme="minorHAnsi" w:hAnsiTheme="minorHAnsi" w:cstheme="minorHAnsi"/>
                <w:b/>
              </w:rPr>
            </w:pPr>
            <w:r w:rsidRPr="00C90060">
              <w:rPr>
                <w:rFonts w:asciiTheme="minorHAnsi" w:hAnsiTheme="minorHAnsi" w:cstheme="minorHAnsi"/>
                <w:b/>
              </w:rPr>
              <w:t>Purpose of Paper:</w:t>
            </w:r>
          </w:p>
          <w:p w:rsidR="00C90060" w:rsidRPr="00C90060" w:rsidRDefault="00C90060" w:rsidP="00AE2C5E">
            <w:pPr>
              <w:rPr>
                <w:rFonts w:asciiTheme="minorHAnsi" w:hAnsiTheme="minorHAnsi" w:cstheme="minorHAnsi"/>
                <w:b/>
              </w:rPr>
            </w:pPr>
          </w:p>
          <w:p w:rsidR="0082258E" w:rsidRPr="00C90060" w:rsidRDefault="0082258E" w:rsidP="00AE2C5E">
            <w:pPr>
              <w:rPr>
                <w:rFonts w:asciiTheme="minorHAnsi" w:hAnsiTheme="minorHAnsi" w:cstheme="minorHAnsi"/>
                <w:b/>
              </w:rPr>
            </w:pPr>
          </w:p>
        </w:tc>
        <w:tc>
          <w:tcPr>
            <w:tcW w:w="6320" w:type="dxa"/>
          </w:tcPr>
          <w:p w:rsidR="0000688A" w:rsidRPr="00C90060" w:rsidRDefault="009276B5" w:rsidP="009276B5">
            <w:pPr>
              <w:rPr>
                <w:rFonts w:asciiTheme="minorHAnsi" w:hAnsiTheme="minorHAnsi" w:cstheme="minorHAnsi"/>
              </w:rPr>
            </w:pPr>
            <w:r>
              <w:rPr>
                <w:rFonts w:asciiTheme="minorHAnsi" w:hAnsiTheme="minorHAnsi" w:cstheme="minorHAnsi"/>
              </w:rPr>
              <w:t xml:space="preserve">To provide the Board with an update on work to review the direction of travel with the website. </w:t>
            </w:r>
          </w:p>
        </w:tc>
      </w:tr>
      <w:tr w:rsidR="0082258E" w:rsidRPr="00C90060" w:rsidTr="00151DBF">
        <w:tc>
          <w:tcPr>
            <w:tcW w:w="2628" w:type="dxa"/>
          </w:tcPr>
          <w:p w:rsidR="0082258E" w:rsidRDefault="0082258E" w:rsidP="00AE2C5E">
            <w:pPr>
              <w:rPr>
                <w:rFonts w:asciiTheme="minorHAnsi" w:hAnsiTheme="minorHAnsi" w:cstheme="minorHAnsi"/>
                <w:b/>
              </w:rPr>
            </w:pPr>
            <w:r w:rsidRPr="00C90060">
              <w:rPr>
                <w:rFonts w:asciiTheme="minorHAnsi" w:hAnsiTheme="minorHAnsi" w:cstheme="minorHAnsi"/>
                <w:b/>
              </w:rPr>
              <w:t>Reason for Submission:</w:t>
            </w:r>
          </w:p>
          <w:p w:rsidR="00C90060" w:rsidRPr="00C90060" w:rsidRDefault="00C90060" w:rsidP="00AE2C5E">
            <w:pPr>
              <w:rPr>
                <w:rFonts w:asciiTheme="minorHAnsi" w:hAnsiTheme="minorHAnsi" w:cstheme="minorHAnsi"/>
                <w:b/>
              </w:rPr>
            </w:pPr>
          </w:p>
          <w:p w:rsidR="0082258E" w:rsidRPr="00C90060" w:rsidRDefault="0082258E" w:rsidP="00AE2C5E">
            <w:pPr>
              <w:rPr>
                <w:rFonts w:asciiTheme="minorHAnsi" w:hAnsiTheme="minorHAnsi" w:cstheme="minorHAnsi"/>
                <w:b/>
              </w:rPr>
            </w:pPr>
          </w:p>
        </w:tc>
        <w:tc>
          <w:tcPr>
            <w:tcW w:w="6320" w:type="dxa"/>
          </w:tcPr>
          <w:p w:rsidR="0000688A" w:rsidRPr="00C90060" w:rsidRDefault="00324EDB" w:rsidP="00AE2C5E">
            <w:pPr>
              <w:rPr>
                <w:rFonts w:asciiTheme="minorHAnsi" w:hAnsiTheme="minorHAnsi" w:cstheme="minorHAnsi"/>
              </w:rPr>
            </w:pPr>
            <w:r>
              <w:rPr>
                <w:rFonts w:asciiTheme="minorHAnsi" w:hAnsiTheme="minorHAnsi" w:cstheme="minorHAnsi"/>
              </w:rPr>
              <w:t xml:space="preserve">To provide </w:t>
            </w:r>
            <w:r w:rsidR="009276B5">
              <w:rPr>
                <w:rFonts w:asciiTheme="minorHAnsi" w:hAnsiTheme="minorHAnsi" w:cstheme="minorHAnsi"/>
              </w:rPr>
              <w:t>visibility on the direction of travel and assurance in relation to activity.</w:t>
            </w:r>
          </w:p>
          <w:p w:rsidR="0000688A" w:rsidRPr="00C90060" w:rsidRDefault="0000688A" w:rsidP="00AE2C5E">
            <w:pPr>
              <w:rPr>
                <w:rFonts w:asciiTheme="minorHAnsi" w:hAnsiTheme="minorHAnsi" w:cstheme="minorHAnsi"/>
              </w:rPr>
            </w:pPr>
          </w:p>
        </w:tc>
      </w:tr>
      <w:tr w:rsidR="0082258E" w:rsidRPr="00C90060" w:rsidTr="00151DBF">
        <w:tc>
          <w:tcPr>
            <w:tcW w:w="2628" w:type="dxa"/>
          </w:tcPr>
          <w:p w:rsidR="0082258E" w:rsidRDefault="0082258E" w:rsidP="00AE2C5E">
            <w:pPr>
              <w:rPr>
                <w:rFonts w:asciiTheme="minorHAnsi" w:hAnsiTheme="minorHAnsi" w:cstheme="minorHAnsi"/>
                <w:b/>
              </w:rPr>
            </w:pPr>
            <w:r w:rsidRPr="00C90060">
              <w:rPr>
                <w:rFonts w:asciiTheme="minorHAnsi" w:hAnsiTheme="minorHAnsi" w:cstheme="minorHAnsi"/>
                <w:b/>
              </w:rPr>
              <w:t>Details:</w:t>
            </w:r>
          </w:p>
          <w:p w:rsidR="00C90060" w:rsidRDefault="00C90060" w:rsidP="00AE2C5E">
            <w:pPr>
              <w:rPr>
                <w:rFonts w:asciiTheme="minorHAnsi" w:hAnsiTheme="minorHAnsi" w:cstheme="minorHAnsi"/>
                <w:b/>
              </w:rPr>
            </w:pPr>
          </w:p>
          <w:p w:rsidR="00C90060" w:rsidRPr="00C90060" w:rsidRDefault="00C90060" w:rsidP="00AE2C5E">
            <w:pPr>
              <w:rPr>
                <w:rFonts w:asciiTheme="minorHAnsi" w:hAnsiTheme="minorHAnsi" w:cstheme="minorHAnsi"/>
                <w:b/>
              </w:rPr>
            </w:pPr>
          </w:p>
        </w:tc>
        <w:tc>
          <w:tcPr>
            <w:tcW w:w="6320" w:type="dxa"/>
          </w:tcPr>
          <w:p w:rsidR="009276B5" w:rsidRPr="00C90060" w:rsidRDefault="009276B5" w:rsidP="009276B5">
            <w:pPr>
              <w:rPr>
                <w:rFonts w:asciiTheme="minorHAnsi" w:hAnsiTheme="minorHAnsi" w:cstheme="minorHAnsi"/>
              </w:rPr>
            </w:pPr>
            <w:r>
              <w:rPr>
                <w:rFonts w:asciiTheme="minorHAnsi" w:hAnsiTheme="minorHAnsi" w:cstheme="minorHAnsi"/>
              </w:rPr>
              <w:t xml:space="preserve">This report is the output of the website working group which was established to take forward work around the review of the website content in consideration of the business needs of the organisation and following the outcome of the judicial review. The report is an interim report intended to share with the Board the progress and direction of travel for further work. </w:t>
            </w:r>
          </w:p>
          <w:p w:rsidR="0000688A" w:rsidRPr="00C90060" w:rsidRDefault="0000688A" w:rsidP="00AE2C5E">
            <w:pPr>
              <w:rPr>
                <w:rFonts w:asciiTheme="minorHAnsi" w:hAnsiTheme="minorHAnsi" w:cstheme="minorHAnsi"/>
              </w:rPr>
            </w:pPr>
          </w:p>
          <w:p w:rsidR="0000688A" w:rsidRPr="00C90060" w:rsidRDefault="0000688A" w:rsidP="00AE2C5E">
            <w:pPr>
              <w:rPr>
                <w:rFonts w:asciiTheme="minorHAnsi" w:hAnsiTheme="minorHAnsi" w:cstheme="minorHAnsi"/>
              </w:rPr>
            </w:pPr>
          </w:p>
        </w:tc>
      </w:tr>
      <w:tr w:rsidR="00C90060" w:rsidRPr="00C90060" w:rsidTr="00151DBF">
        <w:tc>
          <w:tcPr>
            <w:tcW w:w="2628" w:type="dxa"/>
          </w:tcPr>
          <w:p w:rsidR="00C90060" w:rsidRDefault="00C90060" w:rsidP="00B86C50">
            <w:pPr>
              <w:rPr>
                <w:rFonts w:asciiTheme="minorHAnsi" w:hAnsiTheme="minorHAnsi" w:cstheme="minorHAnsi"/>
                <w:b/>
              </w:rPr>
            </w:pPr>
            <w:r>
              <w:rPr>
                <w:rFonts w:asciiTheme="minorHAnsi" w:hAnsiTheme="minorHAnsi" w:cstheme="minorHAnsi"/>
                <w:b/>
              </w:rPr>
              <w:t>Time required for item:</w:t>
            </w:r>
          </w:p>
          <w:p w:rsidR="00C90060" w:rsidRDefault="00C90060" w:rsidP="00B86C50">
            <w:pPr>
              <w:rPr>
                <w:rFonts w:asciiTheme="minorHAnsi" w:hAnsiTheme="minorHAnsi" w:cstheme="minorHAnsi"/>
                <w:b/>
              </w:rPr>
            </w:pPr>
          </w:p>
          <w:p w:rsidR="00C90060" w:rsidRPr="00C90060" w:rsidRDefault="00C90060" w:rsidP="00B86C50">
            <w:pPr>
              <w:rPr>
                <w:rFonts w:asciiTheme="minorHAnsi" w:hAnsiTheme="minorHAnsi" w:cstheme="minorHAnsi"/>
                <w:b/>
              </w:rPr>
            </w:pPr>
          </w:p>
        </w:tc>
        <w:tc>
          <w:tcPr>
            <w:tcW w:w="6320" w:type="dxa"/>
          </w:tcPr>
          <w:p w:rsidR="00C90060" w:rsidRPr="00C90060" w:rsidRDefault="008041E6" w:rsidP="00B86C50">
            <w:pPr>
              <w:rPr>
                <w:rFonts w:asciiTheme="minorHAnsi" w:hAnsiTheme="minorHAnsi" w:cstheme="minorHAnsi"/>
                <w:b/>
              </w:rPr>
            </w:pPr>
            <w:r>
              <w:rPr>
                <w:rFonts w:asciiTheme="minorHAnsi" w:hAnsiTheme="minorHAnsi" w:cstheme="minorHAnsi"/>
                <w:b/>
              </w:rPr>
              <w:t>10 mins</w:t>
            </w:r>
          </w:p>
        </w:tc>
      </w:tr>
    </w:tbl>
    <w:p w:rsidR="00E93D47" w:rsidRPr="00C90060" w:rsidRDefault="00E93D47" w:rsidP="00E93D47">
      <w:pPr>
        <w:spacing w:after="0"/>
        <w:rPr>
          <w:rFonts w:asciiTheme="minorHAnsi" w:hAnsiTheme="minorHAnsi" w:cstheme="minorHAnsi"/>
          <w:b/>
        </w:rPr>
      </w:pPr>
    </w:p>
    <w:tbl>
      <w:tblPr>
        <w:tblStyle w:val="TableGrid"/>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E93D47" w:rsidRPr="00C90060" w:rsidTr="00BD0800">
        <w:tc>
          <w:tcPr>
            <w:tcW w:w="2628" w:type="dxa"/>
            <w:vMerge w:val="restart"/>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Recommendation / Proposed Actions:</w:t>
            </w:r>
          </w:p>
          <w:p w:rsidR="00E93D47" w:rsidRPr="00C90060" w:rsidRDefault="00E93D47" w:rsidP="00BD0800">
            <w:pPr>
              <w:rPr>
                <w:rFonts w:asciiTheme="minorHAnsi" w:hAnsiTheme="minorHAnsi" w:cstheme="minorHAnsi"/>
                <w:b/>
              </w:rPr>
            </w:pPr>
          </w:p>
        </w:tc>
        <w:tc>
          <w:tcPr>
            <w:tcW w:w="5040" w:type="dxa"/>
            <w:gridSpan w:val="2"/>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To Approve</w:t>
            </w:r>
          </w:p>
        </w:tc>
        <w:tc>
          <w:tcPr>
            <w:tcW w:w="1280" w:type="dxa"/>
            <w:shd w:val="clear" w:color="auto" w:fill="auto"/>
          </w:tcPr>
          <w:p w:rsidR="00E93D47" w:rsidRPr="00C90060" w:rsidRDefault="00E93D47" w:rsidP="00BD0800">
            <w:pPr>
              <w:rPr>
                <w:rFonts w:asciiTheme="minorHAnsi" w:hAnsiTheme="minorHAnsi" w:cstheme="minorHAnsi"/>
                <w:b/>
              </w:rPr>
            </w:pPr>
          </w:p>
        </w:tc>
      </w:tr>
      <w:tr w:rsidR="00E93D47" w:rsidRPr="00C90060" w:rsidTr="00BD0800">
        <w:tc>
          <w:tcPr>
            <w:tcW w:w="2628" w:type="dxa"/>
            <w:vMerge/>
            <w:shd w:val="clear" w:color="auto" w:fill="D9D9D9" w:themeFill="background1" w:themeFillShade="D9"/>
          </w:tcPr>
          <w:p w:rsidR="00E93D47" w:rsidRPr="00C90060" w:rsidRDefault="00E93D47" w:rsidP="00BD0800">
            <w:pPr>
              <w:rPr>
                <w:rFonts w:asciiTheme="minorHAnsi" w:hAnsiTheme="minorHAnsi" w:cstheme="minorHAnsi"/>
                <w:b/>
              </w:rPr>
            </w:pPr>
          </w:p>
        </w:tc>
        <w:tc>
          <w:tcPr>
            <w:tcW w:w="5040" w:type="dxa"/>
            <w:gridSpan w:val="2"/>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To Note</w:t>
            </w:r>
          </w:p>
        </w:tc>
        <w:tc>
          <w:tcPr>
            <w:tcW w:w="1280" w:type="dxa"/>
            <w:shd w:val="clear" w:color="auto" w:fill="auto"/>
          </w:tcPr>
          <w:p w:rsidR="00E93D47" w:rsidRPr="00C90060" w:rsidRDefault="00EA2E6C" w:rsidP="00BD0800">
            <w:pPr>
              <w:rPr>
                <w:rFonts w:asciiTheme="minorHAnsi" w:hAnsiTheme="minorHAnsi" w:cstheme="minorHAnsi"/>
                <w:b/>
              </w:rPr>
            </w:pPr>
            <w:r>
              <w:rPr>
                <w:rFonts w:asciiTheme="minorHAnsi" w:hAnsiTheme="minorHAnsi" w:cstheme="minorHAnsi"/>
                <w:b/>
              </w:rPr>
              <w:t>x</w:t>
            </w:r>
          </w:p>
        </w:tc>
      </w:tr>
      <w:tr w:rsidR="008B043D" w:rsidRPr="00C90060" w:rsidTr="00BD0800">
        <w:tc>
          <w:tcPr>
            <w:tcW w:w="2628" w:type="dxa"/>
            <w:vMerge/>
            <w:shd w:val="clear" w:color="auto" w:fill="D9D9D9" w:themeFill="background1" w:themeFillShade="D9"/>
          </w:tcPr>
          <w:p w:rsidR="008B043D" w:rsidRPr="00C90060" w:rsidRDefault="008B043D" w:rsidP="00BD0800">
            <w:pPr>
              <w:rPr>
                <w:rFonts w:asciiTheme="minorHAnsi" w:hAnsiTheme="minorHAnsi" w:cstheme="minorHAnsi"/>
                <w:b/>
              </w:rPr>
            </w:pPr>
          </w:p>
        </w:tc>
        <w:tc>
          <w:tcPr>
            <w:tcW w:w="5040" w:type="dxa"/>
            <w:gridSpan w:val="2"/>
            <w:shd w:val="clear" w:color="auto" w:fill="D9D9D9" w:themeFill="background1" w:themeFillShade="D9"/>
          </w:tcPr>
          <w:p w:rsidR="008B043D" w:rsidRPr="00C90060" w:rsidRDefault="008B043D" w:rsidP="00BD0800">
            <w:pPr>
              <w:rPr>
                <w:rFonts w:asciiTheme="minorHAnsi" w:hAnsiTheme="minorHAnsi" w:cstheme="minorHAnsi"/>
                <w:b/>
              </w:rPr>
            </w:pPr>
            <w:r w:rsidRPr="00C90060">
              <w:rPr>
                <w:rFonts w:asciiTheme="minorHAnsi" w:hAnsiTheme="minorHAnsi" w:cstheme="minorHAnsi"/>
                <w:b/>
              </w:rPr>
              <w:t>For Discussion</w:t>
            </w:r>
          </w:p>
        </w:tc>
        <w:tc>
          <w:tcPr>
            <w:tcW w:w="1280" w:type="dxa"/>
            <w:shd w:val="clear" w:color="auto" w:fill="auto"/>
          </w:tcPr>
          <w:p w:rsidR="008B043D" w:rsidRPr="00C90060" w:rsidRDefault="008B043D" w:rsidP="00BD0800">
            <w:pPr>
              <w:rPr>
                <w:rFonts w:asciiTheme="minorHAnsi" w:hAnsiTheme="minorHAnsi" w:cstheme="minorHAnsi"/>
                <w:b/>
              </w:rPr>
            </w:pPr>
          </w:p>
        </w:tc>
      </w:tr>
      <w:tr w:rsidR="00E93D47" w:rsidRPr="00C90060" w:rsidTr="00BD0800">
        <w:tc>
          <w:tcPr>
            <w:tcW w:w="2628" w:type="dxa"/>
            <w:vMerge/>
            <w:shd w:val="clear" w:color="auto" w:fill="D9D9D9" w:themeFill="background1" w:themeFillShade="D9"/>
          </w:tcPr>
          <w:p w:rsidR="00E93D47" w:rsidRPr="00C90060" w:rsidRDefault="00E93D47" w:rsidP="00BD0800">
            <w:pPr>
              <w:rPr>
                <w:rFonts w:asciiTheme="minorHAnsi" w:hAnsiTheme="minorHAnsi" w:cstheme="minorHAnsi"/>
                <w:b/>
              </w:rPr>
            </w:pPr>
          </w:p>
        </w:tc>
        <w:tc>
          <w:tcPr>
            <w:tcW w:w="1350" w:type="dxa"/>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Comments</w:t>
            </w:r>
          </w:p>
        </w:tc>
        <w:tc>
          <w:tcPr>
            <w:tcW w:w="4970" w:type="dxa"/>
            <w:gridSpan w:val="2"/>
            <w:shd w:val="clear" w:color="auto" w:fill="auto"/>
          </w:tcPr>
          <w:p w:rsidR="00E93D47" w:rsidRPr="009276B5" w:rsidRDefault="009276B5" w:rsidP="00BD0800">
            <w:pPr>
              <w:rPr>
                <w:rFonts w:asciiTheme="minorHAnsi" w:hAnsiTheme="minorHAnsi" w:cstheme="minorHAnsi"/>
              </w:rPr>
            </w:pPr>
            <w:r w:rsidRPr="009276B5">
              <w:rPr>
                <w:rFonts w:asciiTheme="minorHAnsi" w:hAnsiTheme="minorHAnsi" w:cstheme="minorHAnsi"/>
              </w:rPr>
              <w:t xml:space="preserve">Open to views or comments from the Board. </w:t>
            </w:r>
          </w:p>
          <w:p w:rsidR="00E93D47" w:rsidRPr="009276B5" w:rsidRDefault="00E93D47" w:rsidP="00BD0800">
            <w:pPr>
              <w:rPr>
                <w:rFonts w:asciiTheme="minorHAnsi" w:hAnsiTheme="minorHAnsi" w:cstheme="minorHAnsi"/>
              </w:rPr>
            </w:pPr>
          </w:p>
        </w:tc>
      </w:tr>
    </w:tbl>
    <w:p w:rsidR="00E93D47" w:rsidRPr="00C90060" w:rsidRDefault="00E93D47" w:rsidP="00E93D47">
      <w:pPr>
        <w:tabs>
          <w:tab w:val="left" w:pos="1980"/>
        </w:tabs>
        <w:spacing w:after="0" w:line="240" w:lineRule="auto"/>
        <w:rPr>
          <w:rFonts w:asciiTheme="minorHAnsi" w:hAnsiTheme="minorHAnsi" w:cstheme="minorHAnsi"/>
          <w:b/>
        </w:rPr>
      </w:pPr>
    </w:p>
    <w:tbl>
      <w:tblPr>
        <w:tblStyle w:val="TableGrid"/>
        <w:tblW w:w="0" w:type="auto"/>
        <w:tblLook w:val="04A0" w:firstRow="1" w:lastRow="0" w:firstColumn="1" w:lastColumn="0" w:noHBand="0" w:noVBand="1"/>
      </w:tblPr>
      <w:tblGrid>
        <w:gridCol w:w="2628"/>
        <w:gridCol w:w="6320"/>
      </w:tblGrid>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Name:</w:t>
            </w:r>
          </w:p>
          <w:p w:rsidR="00151DBF" w:rsidRPr="00C90060" w:rsidRDefault="00151DBF" w:rsidP="00AE2C5E">
            <w:pPr>
              <w:rPr>
                <w:rFonts w:asciiTheme="minorHAnsi" w:hAnsiTheme="minorHAnsi" w:cstheme="minorHAnsi"/>
                <w:b/>
              </w:rPr>
            </w:pPr>
          </w:p>
        </w:tc>
        <w:tc>
          <w:tcPr>
            <w:tcW w:w="6320" w:type="dxa"/>
          </w:tcPr>
          <w:p w:rsidR="00151DBF" w:rsidRPr="00C90060" w:rsidRDefault="00324EDB" w:rsidP="00AE2C5E">
            <w:pPr>
              <w:rPr>
                <w:rFonts w:asciiTheme="minorHAnsi" w:hAnsiTheme="minorHAnsi" w:cstheme="minorHAnsi"/>
              </w:rPr>
            </w:pPr>
            <w:r>
              <w:rPr>
                <w:rFonts w:asciiTheme="minorHAnsi" w:hAnsiTheme="minorHAnsi" w:cstheme="minorHAnsi"/>
              </w:rPr>
              <w:t>Katherine Guerin</w:t>
            </w:r>
          </w:p>
          <w:p w:rsidR="00151DBF" w:rsidRPr="00C90060" w:rsidRDefault="00151DBF" w:rsidP="00AE2C5E">
            <w:pPr>
              <w:rPr>
                <w:rFonts w:asciiTheme="minorHAnsi" w:hAnsiTheme="minorHAnsi" w:cstheme="minorHAnsi"/>
              </w:rPr>
            </w:pPr>
          </w:p>
        </w:tc>
      </w:tr>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Job Title:</w:t>
            </w:r>
          </w:p>
          <w:p w:rsidR="00151DBF" w:rsidRPr="00C90060" w:rsidRDefault="00151DBF" w:rsidP="00AE2C5E">
            <w:pPr>
              <w:rPr>
                <w:rFonts w:asciiTheme="minorHAnsi" w:hAnsiTheme="minorHAnsi" w:cstheme="minorHAnsi"/>
                <w:b/>
              </w:rPr>
            </w:pPr>
          </w:p>
        </w:tc>
        <w:tc>
          <w:tcPr>
            <w:tcW w:w="6320" w:type="dxa"/>
          </w:tcPr>
          <w:p w:rsidR="00151DBF" w:rsidRPr="00C90060" w:rsidRDefault="00324EDB" w:rsidP="00AE2C5E">
            <w:pPr>
              <w:rPr>
                <w:rFonts w:asciiTheme="minorHAnsi" w:hAnsiTheme="minorHAnsi" w:cstheme="minorHAnsi"/>
              </w:rPr>
            </w:pPr>
            <w:r>
              <w:rPr>
                <w:rFonts w:asciiTheme="minorHAnsi" w:hAnsiTheme="minorHAnsi" w:cstheme="minorHAnsi"/>
              </w:rPr>
              <w:t>Deputy Director of Corporate Services</w:t>
            </w:r>
          </w:p>
          <w:p w:rsidR="00151DBF" w:rsidRPr="00C90060" w:rsidRDefault="00151DBF" w:rsidP="00AE2C5E">
            <w:pPr>
              <w:rPr>
                <w:rFonts w:asciiTheme="minorHAnsi" w:hAnsiTheme="minorHAnsi" w:cstheme="minorHAnsi"/>
              </w:rPr>
            </w:pPr>
          </w:p>
        </w:tc>
      </w:tr>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Date:</w:t>
            </w:r>
          </w:p>
          <w:p w:rsidR="00151DBF" w:rsidRPr="00C90060" w:rsidRDefault="00151DBF" w:rsidP="00AE2C5E">
            <w:pPr>
              <w:rPr>
                <w:rFonts w:asciiTheme="minorHAnsi" w:hAnsiTheme="minorHAnsi" w:cstheme="minorHAnsi"/>
                <w:b/>
              </w:rPr>
            </w:pPr>
          </w:p>
        </w:tc>
        <w:tc>
          <w:tcPr>
            <w:tcW w:w="6320" w:type="dxa"/>
          </w:tcPr>
          <w:p w:rsidR="00151DBF" w:rsidRPr="00C90060" w:rsidRDefault="00986E05" w:rsidP="00AE2C5E">
            <w:pPr>
              <w:rPr>
                <w:rFonts w:asciiTheme="minorHAnsi" w:hAnsiTheme="minorHAnsi" w:cstheme="minorHAnsi"/>
              </w:rPr>
            </w:pPr>
            <w:r>
              <w:rPr>
                <w:rFonts w:asciiTheme="minorHAnsi" w:hAnsiTheme="minorHAnsi" w:cstheme="minorHAnsi"/>
              </w:rPr>
              <w:t>14/10/15</w:t>
            </w:r>
          </w:p>
          <w:p w:rsidR="00151DBF" w:rsidRPr="00C90060" w:rsidRDefault="00151DBF" w:rsidP="00AE2C5E">
            <w:pPr>
              <w:rPr>
                <w:rFonts w:asciiTheme="minorHAnsi" w:hAnsiTheme="minorHAnsi" w:cstheme="minorHAnsi"/>
              </w:rPr>
            </w:pPr>
          </w:p>
        </w:tc>
      </w:tr>
    </w:tbl>
    <w:p w:rsidR="00151DBF" w:rsidRDefault="00151DBF" w:rsidP="00151DBF">
      <w:pPr>
        <w:tabs>
          <w:tab w:val="left" w:pos="1980"/>
        </w:tabs>
        <w:spacing w:after="0" w:line="240" w:lineRule="auto"/>
        <w:rPr>
          <w:rFonts w:asciiTheme="minorHAnsi" w:hAnsiTheme="minorHAnsi" w:cstheme="minorHAnsi"/>
          <w:b/>
        </w:rPr>
      </w:pPr>
    </w:p>
    <w:p w:rsidR="00986E05" w:rsidRDefault="00986E05" w:rsidP="00151DBF">
      <w:pPr>
        <w:tabs>
          <w:tab w:val="left" w:pos="1980"/>
        </w:tabs>
        <w:spacing w:after="0" w:line="240" w:lineRule="auto"/>
        <w:rPr>
          <w:rFonts w:asciiTheme="minorHAnsi" w:hAnsiTheme="minorHAnsi" w:cstheme="minorHAnsi"/>
          <w:b/>
        </w:rPr>
      </w:pPr>
    </w:p>
    <w:p w:rsidR="00986E05" w:rsidRDefault="00986E05" w:rsidP="00151DBF">
      <w:pPr>
        <w:tabs>
          <w:tab w:val="left" w:pos="1980"/>
        </w:tabs>
        <w:spacing w:after="0" w:line="240" w:lineRule="auto"/>
        <w:rPr>
          <w:rFonts w:asciiTheme="minorHAnsi" w:hAnsiTheme="minorHAnsi" w:cstheme="minorHAnsi"/>
          <w:b/>
        </w:rPr>
      </w:pPr>
    </w:p>
    <w:p w:rsidR="00986E05" w:rsidRDefault="00986E05" w:rsidP="00151DBF">
      <w:pPr>
        <w:tabs>
          <w:tab w:val="left" w:pos="1980"/>
        </w:tabs>
        <w:spacing w:after="0" w:line="240" w:lineRule="auto"/>
        <w:rPr>
          <w:rFonts w:asciiTheme="minorHAnsi" w:hAnsiTheme="minorHAnsi" w:cstheme="minorHAnsi"/>
          <w:b/>
        </w:rPr>
      </w:pPr>
    </w:p>
    <w:p w:rsidR="00986E05" w:rsidRDefault="00986E05" w:rsidP="00151DBF">
      <w:pPr>
        <w:tabs>
          <w:tab w:val="left" w:pos="1980"/>
        </w:tabs>
        <w:spacing w:after="0" w:line="240" w:lineRule="auto"/>
        <w:rPr>
          <w:rFonts w:asciiTheme="minorHAnsi" w:hAnsiTheme="minorHAnsi" w:cstheme="minorHAnsi"/>
          <w:b/>
        </w:rPr>
      </w:pPr>
    </w:p>
    <w:p w:rsidR="00986E05" w:rsidRDefault="00986E05" w:rsidP="00151DBF">
      <w:pPr>
        <w:tabs>
          <w:tab w:val="left" w:pos="1980"/>
        </w:tabs>
        <w:spacing w:after="0" w:line="240" w:lineRule="auto"/>
        <w:rPr>
          <w:rFonts w:asciiTheme="minorHAnsi" w:hAnsiTheme="minorHAnsi" w:cstheme="minorHAnsi"/>
          <w:b/>
        </w:rPr>
      </w:pPr>
    </w:p>
    <w:p w:rsidR="00EA2E6C" w:rsidRDefault="00986E05" w:rsidP="00120A98">
      <w:pPr>
        <w:tabs>
          <w:tab w:val="left" w:pos="1980"/>
        </w:tabs>
        <w:spacing w:after="0" w:line="240" w:lineRule="auto"/>
        <w:rPr>
          <w:rFonts w:cs="Arial"/>
          <w:b/>
        </w:rPr>
      </w:pPr>
      <w:r w:rsidRPr="00591212">
        <w:rPr>
          <w:rFonts w:cs="Arial"/>
          <w:b/>
        </w:rPr>
        <w:t>Background/Context</w:t>
      </w:r>
    </w:p>
    <w:p w:rsidR="00120A98" w:rsidRDefault="00120A98" w:rsidP="00120A98">
      <w:pPr>
        <w:tabs>
          <w:tab w:val="left" w:pos="1980"/>
        </w:tabs>
        <w:spacing w:after="0" w:line="240" w:lineRule="auto"/>
        <w:rPr>
          <w:color w:val="1F497D"/>
        </w:rPr>
      </w:pPr>
    </w:p>
    <w:p w:rsidR="00386659" w:rsidRDefault="00EA2E6C" w:rsidP="00151DBF">
      <w:pPr>
        <w:tabs>
          <w:tab w:val="left" w:pos="1980"/>
        </w:tabs>
        <w:spacing w:after="0" w:line="240" w:lineRule="auto"/>
        <w:rPr>
          <w:rFonts w:cs="Arial"/>
        </w:rPr>
      </w:pPr>
      <w:r w:rsidRPr="000B0B0C">
        <w:rPr>
          <w:rFonts w:cs="Arial"/>
        </w:rPr>
        <w:t>The HRA’s website is a key resource for the organisation through which we provide information, guidance, policies</w:t>
      </w:r>
      <w:r w:rsidR="00120A98">
        <w:rPr>
          <w:rFonts w:cs="Arial"/>
        </w:rPr>
        <w:t xml:space="preserve">, consultations, </w:t>
      </w:r>
      <w:r w:rsidR="002E1A2E" w:rsidRPr="000B0B0C">
        <w:rPr>
          <w:rFonts w:cs="Arial"/>
        </w:rPr>
        <w:t>calls for comment</w:t>
      </w:r>
      <w:r w:rsidRPr="000B0B0C">
        <w:rPr>
          <w:rFonts w:cs="Arial"/>
        </w:rPr>
        <w:t xml:space="preserve"> and resources</w:t>
      </w:r>
      <w:r w:rsidR="002E1A2E" w:rsidRPr="000B0B0C">
        <w:rPr>
          <w:rFonts w:cs="Arial"/>
        </w:rPr>
        <w:t xml:space="preserve">. The website was </w:t>
      </w:r>
      <w:r w:rsidR="000B0B0C" w:rsidRPr="000B0B0C">
        <w:rPr>
          <w:rFonts w:cs="Arial"/>
        </w:rPr>
        <w:t xml:space="preserve">developed organising information </w:t>
      </w:r>
      <w:r w:rsidR="00F4739A">
        <w:rPr>
          <w:rFonts w:cs="Arial"/>
        </w:rPr>
        <w:t xml:space="preserve">at the top level </w:t>
      </w:r>
      <w:r w:rsidR="000B0B0C" w:rsidRPr="000B0B0C">
        <w:rPr>
          <w:rFonts w:cs="Arial"/>
        </w:rPr>
        <w:t>primarily around audience</w:t>
      </w:r>
      <w:r w:rsidR="006F0903">
        <w:rPr>
          <w:rFonts w:cs="Arial"/>
        </w:rPr>
        <w:t xml:space="preserve">. It is made up of around 500 pages of content and holds around 900 documents and </w:t>
      </w:r>
      <w:r w:rsidR="00F4739A">
        <w:rPr>
          <w:rFonts w:cs="Arial"/>
        </w:rPr>
        <w:t xml:space="preserve">draws on </w:t>
      </w:r>
      <w:r w:rsidR="006F0903">
        <w:rPr>
          <w:rFonts w:cs="Arial"/>
        </w:rPr>
        <w:t xml:space="preserve">content is the REC directory database and research summaries database. </w:t>
      </w:r>
      <w:r w:rsidR="00386659">
        <w:rPr>
          <w:rFonts w:cs="Arial"/>
        </w:rPr>
        <w:t xml:space="preserve">Each month the website is visited around 30,000 times although some are repeated visits by the same user. Around 150,000 pages are viewed each </w:t>
      </w:r>
      <w:proofErr w:type="gramStart"/>
      <w:r w:rsidR="00386659">
        <w:rPr>
          <w:rFonts w:cs="Arial"/>
        </w:rPr>
        <w:t>month,</w:t>
      </w:r>
      <w:proofErr w:type="gramEnd"/>
      <w:r w:rsidR="00386659">
        <w:rPr>
          <w:rFonts w:cs="Arial"/>
        </w:rPr>
        <w:t xml:space="preserve"> however, some of these are users re-visiting the same page on a number of occasions. On average users spend three minutes on the website each time they visit. </w:t>
      </w:r>
    </w:p>
    <w:p w:rsidR="00386659" w:rsidRDefault="00386659" w:rsidP="00151DBF">
      <w:pPr>
        <w:tabs>
          <w:tab w:val="left" w:pos="1980"/>
        </w:tabs>
        <w:spacing w:after="0" w:line="240" w:lineRule="auto"/>
        <w:rPr>
          <w:rFonts w:cs="Arial"/>
        </w:rPr>
      </w:pPr>
    </w:p>
    <w:p w:rsidR="00A45457" w:rsidRDefault="006F0903" w:rsidP="00151DBF">
      <w:pPr>
        <w:tabs>
          <w:tab w:val="left" w:pos="1980"/>
        </w:tabs>
        <w:spacing w:after="0" w:line="240" w:lineRule="auto"/>
        <w:rPr>
          <w:rFonts w:cs="Arial"/>
        </w:rPr>
      </w:pPr>
      <w:r>
        <w:rPr>
          <w:rFonts w:cs="Arial"/>
        </w:rPr>
        <w:t xml:space="preserve">We have a model of </w:t>
      </w:r>
      <w:r w:rsidR="000B0B0C" w:rsidRPr="000B0B0C">
        <w:rPr>
          <w:rFonts w:cs="Arial"/>
        </w:rPr>
        <w:t xml:space="preserve">delegated authority </w:t>
      </w:r>
      <w:r w:rsidR="005219CD">
        <w:rPr>
          <w:rFonts w:cs="Arial"/>
        </w:rPr>
        <w:t xml:space="preserve">within the organisation </w:t>
      </w:r>
      <w:r w:rsidR="000B0B0C" w:rsidRPr="000B0B0C">
        <w:rPr>
          <w:rFonts w:cs="Arial"/>
        </w:rPr>
        <w:t>for the review and update of content. However, it has been proving difficult to manage and maintain</w:t>
      </w:r>
      <w:r w:rsidR="00F4739A">
        <w:rPr>
          <w:rFonts w:cs="Arial"/>
        </w:rPr>
        <w:t xml:space="preserve"> content</w:t>
      </w:r>
      <w:r w:rsidR="000B0B0C">
        <w:rPr>
          <w:rFonts w:cs="Arial"/>
        </w:rPr>
        <w:t>. W</w:t>
      </w:r>
      <w:r w:rsidR="000B0B0C" w:rsidRPr="000B0B0C">
        <w:rPr>
          <w:rFonts w:cs="Arial"/>
        </w:rPr>
        <w:t xml:space="preserve">e have been </w:t>
      </w:r>
      <w:r w:rsidR="000B0B0C">
        <w:rPr>
          <w:rFonts w:cs="Arial"/>
        </w:rPr>
        <w:t xml:space="preserve">unpicking </w:t>
      </w:r>
      <w:r w:rsidR="000B0B0C" w:rsidRPr="000B0B0C">
        <w:rPr>
          <w:rFonts w:cs="Arial"/>
        </w:rPr>
        <w:t xml:space="preserve">the challenges created by its current form </w:t>
      </w:r>
      <w:r w:rsidR="005219CD">
        <w:rPr>
          <w:rFonts w:cs="Arial"/>
        </w:rPr>
        <w:t>and considering a way forward in developing the site to better meet the needs of the organisation and site visitors</w:t>
      </w:r>
      <w:r w:rsidR="00386659">
        <w:rPr>
          <w:rFonts w:cs="Arial"/>
        </w:rPr>
        <w:t xml:space="preserve"> who we believe are predominately from the research community</w:t>
      </w:r>
      <w:r w:rsidR="005219CD">
        <w:rPr>
          <w:rFonts w:cs="Arial"/>
        </w:rPr>
        <w:t xml:space="preserve">.  </w:t>
      </w:r>
    </w:p>
    <w:p w:rsidR="00A45457" w:rsidRDefault="00A45457" w:rsidP="00151DBF">
      <w:pPr>
        <w:tabs>
          <w:tab w:val="left" w:pos="1980"/>
        </w:tabs>
        <w:spacing w:after="0" w:line="240" w:lineRule="auto"/>
        <w:rPr>
          <w:rFonts w:cs="Arial"/>
        </w:rPr>
      </w:pPr>
    </w:p>
    <w:p w:rsidR="00120A98" w:rsidRDefault="005219CD" w:rsidP="00120A98">
      <w:pPr>
        <w:tabs>
          <w:tab w:val="left" w:pos="1980"/>
        </w:tabs>
        <w:spacing w:after="0" w:line="240" w:lineRule="auto"/>
        <w:rPr>
          <w:rFonts w:cs="Arial"/>
        </w:rPr>
      </w:pPr>
      <w:r>
        <w:rPr>
          <w:rFonts w:cs="Arial"/>
        </w:rPr>
        <w:t>As part of this consideration, we are also taking account of the information source that the I</w:t>
      </w:r>
      <w:r w:rsidR="00A45457">
        <w:rPr>
          <w:rFonts w:cs="Arial"/>
        </w:rPr>
        <w:t xml:space="preserve">RAS application system provides, as each question on the IRAS form has specific guidance and has links both to our website and links to other relevant websites.  </w:t>
      </w:r>
      <w:r w:rsidR="00F4739A">
        <w:rPr>
          <w:rFonts w:cs="Arial"/>
        </w:rPr>
        <w:t>The popularity of the guidance section on the site points to users accessing content for practical support with research applications.</w:t>
      </w:r>
    </w:p>
    <w:p w:rsidR="00120A98" w:rsidRDefault="00120A98" w:rsidP="00120A98">
      <w:pPr>
        <w:tabs>
          <w:tab w:val="left" w:pos="1980"/>
        </w:tabs>
        <w:spacing w:after="0" w:line="240" w:lineRule="auto"/>
        <w:rPr>
          <w:rFonts w:cs="Arial"/>
        </w:rPr>
      </w:pPr>
    </w:p>
    <w:p w:rsidR="008041E6" w:rsidRDefault="00F4739A" w:rsidP="00591212">
      <w:pPr>
        <w:rPr>
          <w:rFonts w:cs="Arial"/>
          <w:color w:val="333333"/>
          <w:sz w:val="21"/>
          <w:szCs w:val="21"/>
          <w:shd w:val="clear" w:color="auto" w:fill="FFFFFF"/>
        </w:rPr>
      </w:pPr>
      <w:r>
        <w:rPr>
          <w:rFonts w:cs="Arial"/>
        </w:rPr>
        <w:t>T</w:t>
      </w:r>
      <w:r w:rsidR="009F1BD6" w:rsidRPr="00591212">
        <w:rPr>
          <w:rFonts w:cs="Arial"/>
        </w:rPr>
        <w:t xml:space="preserve">he outcome of the judicial review has </w:t>
      </w:r>
      <w:r w:rsidR="00120A98">
        <w:rPr>
          <w:rFonts w:cs="Arial"/>
        </w:rPr>
        <w:t xml:space="preserve">also </w:t>
      </w:r>
      <w:r w:rsidR="00804C4C" w:rsidRPr="00591212">
        <w:rPr>
          <w:rFonts w:cs="Arial"/>
        </w:rPr>
        <w:t xml:space="preserve">resulted in </w:t>
      </w:r>
      <w:r w:rsidR="00591212">
        <w:rPr>
          <w:rFonts w:cs="Arial"/>
        </w:rPr>
        <w:t xml:space="preserve">the HRA considering its website beyond the immediate remedies </w:t>
      </w:r>
      <w:r w:rsidR="002A4602">
        <w:rPr>
          <w:rFonts w:cs="Arial"/>
        </w:rPr>
        <w:t xml:space="preserve">on the promoting transparency website pages, </w:t>
      </w:r>
      <w:r w:rsidR="00591212">
        <w:rPr>
          <w:rFonts w:cs="Arial"/>
        </w:rPr>
        <w:t>required by the judgement.</w:t>
      </w:r>
      <w:r w:rsidR="00E94FE0" w:rsidRPr="00591212">
        <w:rPr>
          <w:rFonts w:cs="Arial"/>
          <w:color w:val="333333"/>
          <w:sz w:val="21"/>
          <w:szCs w:val="21"/>
          <w:shd w:val="clear" w:color="auto" w:fill="FFFFFF"/>
        </w:rPr>
        <w:t xml:space="preserve"> </w:t>
      </w:r>
      <w:r w:rsidR="00591212">
        <w:rPr>
          <w:rFonts w:cs="Arial"/>
          <w:color w:val="333333"/>
          <w:sz w:val="21"/>
          <w:szCs w:val="21"/>
          <w:shd w:val="clear" w:color="auto" w:fill="FFFFFF"/>
        </w:rPr>
        <w:t xml:space="preserve"> </w:t>
      </w:r>
    </w:p>
    <w:p w:rsidR="00804C4C" w:rsidRDefault="00804C4C" w:rsidP="00591212">
      <w:pPr>
        <w:rPr>
          <w:rFonts w:cs="Arial"/>
        </w:rPr>
      </w:pPr>
      <w:r w:rsidRPr="00591212">
        <w:rPr>
          <w:rFonts w:cs="Arial"/>
        </w:rPr>
        <w:t xml:space="preserve">The website working group was set up as a short term working group to </w:t>
      </w:r>
      <w:r w:rsidR="008041E6">
        <w:rPr>
          <w:rFonts w:cs="Arial"/>
        </w:rPr>
        <w:t>take this forward</w:t>
      </w:r>
      <w:r w:rsidR="00591212">
        <w:rPr>
          <w:rFonts w:cs="Arial"/>
        </w:rPr>
        <w:t xml:space="preserve"> </w:t>
      </w:r>
      <w:r w:rsidRPr="00591212">
        <w:rPr>
          <w:rFonts w:cs="Arial"/>
        </w:rPr>
        <w:t xml:space="preserve">from the perspective of </w:t>
      </w:r>
      <w:r w:rsidR="00312DD4">
        <w:rPr>
          <w:rFonts w:cs="Arial"/>
        </w:rPr>
        <w:t>developing a website that meets our</w:t>
      </w:r>
      <w:r w:rsidRPr="00591212">
        <w:rPr>
          <w:rFonts w:cs="Arial"/>
        </w:rPr>
        <w:t xml:space="preserve"> business </w:t>
      </w:r>
      <w:r w:rsidR="00312DD4">
        <w:rPr>
          <w:rFonts w:cs="Arial"/>
        </w:rPr>
        <w:t xml:space="preserve">needs and enables us to take a clear and consistent approach. The group has </w:t>
      </w:r>
      <w:r w:rsidRPr="00591212">
        <w:rPr>
          <w:rFonts w:cs="Arial"/>
        </w:rPr>
        <w:t>recommend</w:t>
      </w:r>
      <w:r w:rsidR="00312DD4">
        <w:rPr>
          <w:rFonts w:cs="Arial"/>
        </w:rPr>
        <w:t>ed some short term</w:t>
      </w:r>
      <w:r w:rsidRPr="00591212">
        <w:rPr>
          <w:rFonts w:cs="Arial"/>
        </w:rPr>
        <w:t xml:space="preserve"> actions and </w:t>
      </w:r>
      <w:r w:rsidR="00312DD4">
        <w:rPr>
          <w:rFonts w:cs="Arial"/>
        </w:rPr>
        <w:t>has</w:t>
      </w:r>
      <w:r w:rsidRPr="00591212">
        <w:rPr>
          <w:rFonts w:cs="Arial"/>
        </w:rPr>
        <w:t xml:space="preserve"> shape</w:t>
      </w:r>
      <w:r w:rsidR="00312DD4">
        <w:rPr>
          <w:rFonts w:cs="Arial"/>
        </w:rPr>
        <w:t>d</w:t>
      </w:r>
      <w:r w:rsidRPr="00591212">
        <w:rPr>
          <w:rFonts w:cs="Arial"/>
        </w:rPr>
        <w:t xml:space="preserve"> thinking for the </w:t>
      </w:r>
      <w:r w:rsidR="00312DD4">
        <w:rPr>
          <w:rFonts w:cs="Arial"/>
        </w:rPr>
        <w:t xml:space="preserve">establishment of a project to take forward the </w:t>
      </w:r>
      <w:r w:rsidRPr="00591212">
        <w:rPr>
          <w:rFonts w:cs="Arial"/>
        </w:rPr>
        <w:t xml:space="preserve">direction of travel for </w:t>
      </w:r>
      <w:r w:rsidR="00312DD4">
        <w:rPr>
          <w:rFonts w:cs="Arial"/>
        </w:rPr>
        <w:t>some medium term work.</w:t>
      </w:r>
      <w:r w:rsidRPr="00591212">
        <w:rPr>
          <w:rFonts w:cs="Arial"/>
        </w:rPr>
        <w:t xml:space="preserve"> </w:t>
      </w:r>
    </w:p>
    <w:p w:rsidR="002A4602" w:rsidRPr="00591212" w:rsidRDefault="002A4602" w:rsidP="00591212">
      <w:pPr>
        <w:rPr>
          <w:rFonts w:cs="Arial"/>
        </w:rPr>
      </w:pPr>
      <w:r>
        <w:rPr>
          <w:rFonts w:cs="Arial"/>
        </w:rPr>
        <w:t xml:space="preserve">Separately, there is a piece of work looking at producing a writing guide for the HRA so we can consistently refer to </w:t>
      </w:r>
      <w:r w:rsidR="00120A98">
        <w:rPr>
          <w:rFonts w:cs="Arial"/>
        </w:rPr>
        <w:t>‘</w:t>
      </w:r>
      <w:r>
        <w:rPr>
          <w:rFonts w:cs="Arial"/>
        </w:rPr>
        <w:t>should</w:t>
      </w:r>
      <w:r w:rsidR="00120A98">
        <w:rPr>
          <w:rFonts w:cs="Arial"/>
        </w:rPr>
        <w:t>’</w:t>
      </w:r>
      <w:r>
        <w:rPr>
          <w:rFonts w:cs="Arial"/>
        </w:rPr>
        <w:t xml:space="preserve"> or</w:t>
      </w:r>
      <w:r w:rsidR="00120A98">
        <w:rPr>
          <w:rFonts w:cs="Arial"/>
        </w:rPr>
        <w:t xml:space="preserve"> ‘</w:t>
      </w:r>
      <w:r>
        <w:rPr>
          <w:rFonts w:cs="Arial"/>
        </w:rPr>
        <w:t>expect</w:t>
      </w:r>
      <w:r w:rsidR="00120A98">
        <w:rPr>
          <w:rFonts w:cs="Arial"/>
        </w:rPr>
        <w:t>’</w:t>
      </w:r>
      <w:r>
        <w:rPr>
          <w:rFonts w:cs="Arial"/>
        </w:rPr>
        <w:t xml:space="preserve"> noting that in addition we may need to consider </w:t>
      </w:r>
      <w:r w:rsidR="00120A98">
        <w:rPr>
          <w:rFonts w:cs="Arial"/>
        </w:rPr>
        <w:t>‘</w:t>
      </w:r>
      <w:r>
        <w:rPr>
          <w:rFonts w:cs="Arial"/>
        </w:rPr>
        <w:t>must / mandate</w:t>
      </w:r>
      <w:r w:rsidR="00120A98">
        <w:rPr>
          <w:rFonts w:cs="Arial"/>
        </w:rPr>
        <w:t>’</w:t>
      </w:r>
      <w:r>
        <w:rPr>
          <w:rFonts w:cs="Arial"/>
        </w:rPr>
        <w:t xml:space="preserve"> where there is a legal source and a consequence of that legal source of a course of action. </w:t>
      </w:r>
    </w:p>
    <w:p w:rsidR="002A4F9D" w:rsidRDefault="002A4F9D" w:rsidP="00151DBF">
      <w:pPr>
        <w:tabs>
          <w:tab w:val="left" w:pos="1980"/>
        </w:tabs>
        <w:spacing w:after="0" w:line="240" w:lineRule="auto"/>
        <w:rPr>
          <w:rFonts w:cs="Arial"/>
        </w:rPr>
      </w:pPr>
      <w:r w:rsidRPr="00591212">
        <w:rPr>
          <w:rFonts w:cs="Arial"/>
        </w:rPr>
        <w:t>The website group was chaired by Janet Wisely</w:t>
      </w:r>
      <w:r w:rsidR="00312DD4">
        <w:rPr>
          <w:rFonts w:cs="Arial"/>
        </w:rPr>
        <w:t>, led by Katherine Guerin, with membership from across the organisation.</w:t>
      </w:r>
    </w:p>
    <w:p w:rsidR="00312DD4" w:rsidRDefault="00312DD4" w:rsidP="00151DBF">
      <w:pPr>
        <w:tabs>
          <w:tab w:val="left" w:pos="1980"/>
        </w:tabs>
        <w:spacing w:after="0" w:line="240" w:lineRule="auto"/>
        <w:rPr>
          <w:rFonts w:cs="Arial"/>
        </w:rPr>
      </w:pPr>
    </w:p>
    <w:p w:rsidR="00312DD4" w:rsidRPr="00591212" w:rsidRDefault="00312DD4" w:rsidP="00151DBF">
      <w:pPr>
        <w:tabs>
          <w:tab w:val="left" w:pos="1980"/>
        </w:tabs>
        <w:spacing w:after="0" w:line="240" w:lineRule="auto"/>
        <w:rPr>
          <w:rFonts w:cs="Arial"/>
        </w:rPr>
      </w:pPr>
      <w:r>
        <w:rPr>
          <w:rFonts w:cs="Arial"/>
        </w:rPr>
        <w:t>In considering the needs of our organisation, colleagues worked within their areas of subject expertise and drew on comparators with other organisations to take a wider view to inform their outputs.</w:t>
      </w:r>
    </w:p>
    <w:p w:rsidR="00986E05" w:rsidRDefault="00986E05" w:rsidP="00151DBF">
      <w:pPr>
        <w:tabs>
          <w:tab w:val="left" w:pos="1980"/>
        </w:tabs>
        <w:spacing w:after="0" w:line="240" w:lineRule="auto"/>
        <w:rPr>
          <w:rFonts w:asciiTheme="minorHAnsi" w:hAnsiTheme="minorHAnsi" w:cstheme="minorHAnsi"/>
          <w:b/>
        </w:rPr>
      </w:pPr>
    </w:p>
    <w:p w:rsidR="00971EA0" w:rsidRDefault="00312DD4" w:rsidP="00151DBF">
      <w:pPr>
        <w:tabs>
          <w:tab w:val="left" w:pos="1980"/>
        </w:tabs>
        <w:spacing w:after="0" w:line="240" w:lineRule="auto"/>
        <w:rPr>
          <w:rFonts w:cs="Arial"/>
        </w:rPr>
      </w:pPr>
      <w:r>
        <w:rPr>
          <w:rFonts w:cs="Arial"/>
        </w:rPr>
        <w:t>Additional relevant context for the group is t</w:t>
      </w:r>
      <w:r w:rsidR="00971EA0">
        <w:rPr>
          <w:rFonts w:cs="Arial"/>
        </w:rPr>
        <w:t xml:space="preserve">he </w:t>
      </w:r>
      <w:r>
        <w:rPr>
          <w:rFonts w:cs="Arial"/>
        </w:rPr>
        <w:t xml:space="preserve">work that the </w:t>
      </w:r>
      <w:r w:rsidR="00971EA0">
        <w:rPr>
          <w:rFonts w:cs="Arial"/>
        </w:rPr>
        <w:t xml:space="preserve">Government Digital Service has been </w:t>
      </w:r>
      <w:r>
        <w:rPr>
          <w:rFonts w:cs="Arial"/>
        </w:rPr>
        <w:t>doing</w:t>
      </w:r>
      <w:r w:rsidR="00971EA0">
        <w:rPr>
          <w:rFonts w:cs="Arial"/>
        </w:rPr>
        <w:t xml:space="preserve"> ac</w:t>
      </w:r>
      <w:r w:rsidR="00971EA0" w:rsidRPr="00971EA0">
        <w:rPr>
          <w:rFonts w:cs="Arial"/>
        </w:rPr>
        <w:t>ross Government t</w:t>
      </w:r>
      <w:r w:rsidR="00971EA0" w:rsidRPr="001833CD">
        <w:rPr>
          <w:rFonts w:cs="Arial"/>
        </w:rPr>
        <w:t>o bring all government information and services into one place</w:t>
      </w:r>
      <w:r w:rsidR="00971EA0">
        <w:rPr>
          <w:rFonts w:cs="Arial"/>
        </w:rPr>
        <w:t xml:space="preserve"> on </w:t>
      </w:r>
      <w:r>
        <w:rPr>
          <w:rFonts w:cs="Arial"/>
        </w:rPr>
        <w:t>GOV.UK</w:t>
      </w:r>
      <w:r w:rsidR="00971EA0">
        <w:rPr>
          <w:rFonts w:cs="Arial"/>
        </w:rPr>
        <w:t>. This work has been ongoing over a number of years, although a number of organisations have had an exemption, based on meeting one of the following broad criteria:</w:t>
      </w:r>
    </w:p>
    <w:p w:rsidR="00971EA0" w:rsidRDefault="00971EA0" w:rsidP="00F261BE">
      <w:pPr>
        <w:pStyle w:val="ListParagraph"/>
      </w:pPr>
      <w:r>
        <w:t>There is public benefit in maintaining a separate organisation site</w:t>
      </w:r>
    </w:p>
    <w:p w:rsidR="00971EA0" w:rsidRDefault="00BC7306" w:rsidP="00F261BE">
      <w:pPr>
        <w:pStyle w:val="ListParagraph"/>
      </w:pPr>
      <w:r>
        <w:lastRenderedPageBreak/>
        <w:t>The website is seen as essential in supporting the organisation in meeting its organisational goals</w:t>
      </w:r>
    </w:p>
    <w:p w:rsidR="00312DD4" w:rsidRDefault="00312DD4" w:rsidP="00BC7306"/>
    <w:p w:rsidR="00BC7306" w:rsidRDefault="00BC7306" w:rsidP="00BC7306">
      <w:r>
        <w:t>Under these broad criteria, all NHS organisations were given an exemption</w:t>
      </w:r>
      <w:r w:rsidR="00312DD4">
        <w:t xml:space="preserve"> and the HRA has been operating on the basis of its exemption on these terms</w:t>
      </w:r>
      <w:r w:rsidR="00F4739A">
        <w:t>,</w:t>
      </w:r>
      <w:r w:rsidR="00921DC5">
        <w:t xml:space="preserve"> although with the transfer to NDPB expects that it may need to revisit the website platform options. Hence this working group brought forward a focus on considerations that were already ongoing</w:t>
      </w:r>
      <w:r>
        <w:t>.</w:t>
      </w:r>
      <w:r w:rsidR="005B179E">
        <w:t xml:space="preserve"> As such the considerations included the website as a platform</w:t>
      </w:r>
      <w:r w:rsidR="00F4739A">
        <w:t xml:space="preserve"> as well as the future possibilities in relation to IRAS.</w:t>
      </w:r>
    </w:p>
    <w:p w:rsidR="00971EA0" w:rsidRPr="00971EA0" w:rsidRDefault="00971EA0" w:rsidP="00151DBF">
      <w:pPr>
        <w:tabs>
          <w:tab w:val="left" w:pos="1980"/>
        </w:tabs>
        <w:spacing w:after="0" w:line="240" w:lineRule="auto"/>
        <w:rPr>
          <w:rFonts w:cs="Arial"/>
        </w:rPr>
      </w:pPr>
    </w:p>
    <w:p w:rsidR="00986E05" w:rsidRPr="008A3C88" w:rsidRDefault="00986E05" w:rsidP="00151DBF">
      <w:pPr>
        <w:tabs>
          <w:tab w:val="left" w:pos="1980"/>
        </w:tabs>
        <w:spacing w:after="0" w:line="240" w:lineRule="auto"/>
        <w:rPr>
          <w:rFonts w:cs="Arial"/>
          <w:b/>
        </w:rPr>
      </w:pPr>
      <w:r w:rsidRPr="008A3C88">
        <w:rPr>
          <w:rFonts w:cs="Arial"/>
          <w:b/>
        </w:rPr>
        <w:t>Approach</w:t>
      </w:r>
    </w:p>
    <w:p w:rsidR="00E94FE0" w:rsidRPr="008A3C88" w:rsidRDefault="00E94FE0" w:rsidP="00151DBF">
      <w:pPr>
        <w:tabs>
          <w:tab w:val="left" w:pos="1980"/>
        </w:tabs>
        <w:spacing w:after="0" w:line="240" w:lineRule="auto"/>
        <w:rPr>
          <w:rFonts w:cs="Arial"/>
          <w:b/>
        </w:rPr>
      </w:pPr>
    </w:p>
    <w:p w:rsidR="00986E05" w:rsidRPr="008A3C88" w:rsidRDefault="00E94FE0" w:rsidP="00151DBF">
      <w:pPr>
        <w:tabs>
          <w:tab w:val="left" w:pos="1980"/>
        </w:tabs>
        <w:spacing w:after="0" w:line="240" w:lineRule="auto"/>
        <w:rPr>
          <w:rFonts w:cs="Arial"/>
        </w:rPr>
      </w:pPr>
      <w:r w:rsidRPr="008A3C88">
        <w:rPr>
          <w:rFonts w:cs="Arial"/>
        </w:rPr>
        <w:t>The website working group was set up with membership from across the key business areas of the organisation, to enable us to draw on the expertise and perspectives of the wide membership.</w:t>
      </w:r>
      <w:r w:rsidR="00312DD4">
        <w:rPr>
          <w:rFonts w:cs="Arial"/>
        </w:rPr>
        <w:t xml:space="preserve"> We have had a particular focus on considering </w:t>
      </w:r>
      <w:r w:rsidR="00921DC5">
        <w:rPr>
          <w:rFonts w:cs="Arial"/>
        </w:rPr>
        <w:t xml:space="preserve">our functions and the business requirements </w:t>
      </w:r>
      <w:r w:rsidR="00BF64BB">
        <w:rPr>
          <w:rFonts w:cs="Arial"/>
        </w:rPr>
        <w:t xml:space="preserve">as determined by </w:t>
      </w:r>
      <w:r w:rsidRPr="008A3C88">
        <w:rPr>
          <w:rFonts w:cs="Arial"/>
        </w:rPr>
        <w:t xml:space="preserve">the Care Act </w:t>
      </w:r>
      <w:r w:rsidR="00F261BE">
        <w:rPr>
          <w:rFonts w:cs="Arial"/>
        </w:rPr>
        <w:t>in</w:t>
      </w:r>
      <w:r w:rsidR="00153727" w:rsidRPr="008A3C88">
        <w:rPr>
          <w:rFonts w:cs="Arial"/>
        </w:rPr>
        <w:t xml:space="preserve"> particular </w:t>
      </w:r>
      <w:r w:rsidR="00F261BE">
        <w:rPr>
          <w:rFonts w:cs="Arial"/>
        </w:rPr>
        <w:t>in relation to</w:t>
      </w:r>
      <w:r w:rsidR="00153727" w:rsidRPr="008A3C88">
        <w:rPr>
          <w:rFonts w:cs="Arial"/>
        </w:rPr>
        <w:t xml:space="preserve"> our regulatory functions</w:t>
      </w:r>
      <w:r w:rsidR="00BF64BB">
        <w:rPr>
          <w:rFonts w:cs="Arial"/>
        </w:rPr>
        <w:t>, and in consideration of scope and application to other key partners and stakeholders</w:t>
      </w:r>
      <w:r w:rsidR="00F4739A">
        <w:rPr>
          <w:rFonts w:cs="Arial"/>
        </w:rPr>
        <w:t>.</w:t>
      </w:r>
      <w:r w:rsidR="00153727" w:rsidRPr="008A3C88">
        <w:rPr>
          <w:rFonts w:cs="Arial"/>
        </w:rPr>
        <w:t xml:space="preserve"> </w:t>
      </w:r>
    </w:p>
    <w:p w:rsidR="00153727" w:rsidRPr="008A3C88" w:rsidRDefault="00153727" w:rsidP="00151DBF">
      <w:pPr>
        <w:tabs>
          <w:tab w:val="left" w:pos="1980"/>
        </w:tabs>
        <w:spacing w:after="0" w:line="240" w:lineRule="auto"/>
        <w:rPr>
          <w:rFonts w:cs="Arial"/>
        </w:rPr>
      </w:pPr>
    </w:p>
    <w:p w:rsidR="00153727" w:rsidRPr="008A3C88" w:rsidRDefault="00153727" w:rsidP="00151DBF">
      <w:pPr>
        <w:tabs>
          <w:tab w:val="left" w:pos="1980"/>
        </w:tabs>
        <w:spacing w:after="0" w:line="240" w:lineRule="auto"/>
        <w:rPr>
          <w:rFonts w:cs="Arial"/>
        </w:rPr>
      </w:pPr>
      <w:r w:rsidRPr="008A3C88">
        <w:rPr>
          <w:rFonts w:cs="Arial"/>
        </w:rPr>
        <w:t>This report provides a summary view of the output and progress and visibility of both short terms activity and longer term options and direction of travel.</w:t>
      </w:r>
    </w:p>
    <w:p w:rsidR="00986E05" w:rsidRPr="008A3C88" w:rsidRDefault="00986E05" w:rsidP="00151DBF">
      <w:pPr>
        <w:tabs>
          <w:tab w:val="left" w:pos="1980"/>
        </w:tabs>
        <w:spacing w:after="0" w:line="240" w:lineRule="auto"/>
        <w:rPr>
          <w:rFonts w:cs="Arial"/>
          <w:b/>
        </w:rPr>
      </w:pPr>
    </w:p>
    <w:p w:rsidR="00986E05" w:rsidRPr="008A3C88" w:rsidRDefault="00986E05" w:rsidP="00151DBF">
      <w:pPr>
        <w:tabs>
          <w:tab w:val="left" w:pos="1980"/>
        </w:tabs>
        <w:spacing w:after="0" w:line="240" w:lineRule="auto"/>
        <w:rPr>
          <w:rFonts w:cs="Arial"/>
          <w:b/>
        </w:rPr>
      </w:pPr>
    </w:p>
    <w:p w:rsidR="00986E05" w:rsidRPr="008A3C88" w:rsidRDefault="00986E05" w:rsidP="00151DBF">
      <w:pPr>
        <w:tabs>
          <w:tab w:val="left" w:pos="1980"/>
        </w:tabs>
        <w:spacing w:after="0" w:line="240" w:lineRule="auto"/>
        <w:rPr>
          <w:rFonts w:cs="Arial"/>
          <w:b/>
        </w:rPr>
      </w:pPr>
      <w:r w:rsidRPr="008A3C88">
        <w:rPr>
          <w:rFonts w:cs="Arial"/>
          <w:b/>
        </w:rPr>
        <w:t>Immediate/short term actions</w:t>
      </w:r>
    </w:p>
    <w:p w:rsidR="00986E05" w:rsidRPr="008A3C88" w:rsidRDefault="00986E05" w:rsidP="00151DBF">
      <w:pPr>
        <w:tabs>
          <w:tab w:val="left" w:pos="1980"/>
        </w:tabs>
        <w:spacing w:after="0" w:line="240" w:lineRule="auto"/>
        <w:rPr>
          <w:rFonts w:cs="Arial"/>
        </w:rPr>
      </w:pPr>
    </w:p>
    <w:p w:rsidR="003C73E9" w:rsidRPr="008A3C88" w:rsidRDefault="00153727" w:rsidP="00151DBF">
      <w:pPr>
        <w:tabs>
          <w:tab w:val="left" w:pos="1980"/>
        </w:tabs>
        <w:spacing w:after="0" w:line="240" w:lineRule="auto"/>
        <w:rPr>
          <w:rFonts w:cs="Arial"/>
        </w:rPr>
      </w:pPr>
      <w:r w:rsidRPr="008A3C88">
        <w:rPr>
          <w:rFonts w:cs="Arial"/>
        </w:rPr>
        <w:t xml:space="preserve">We will </w:t>
      </w:r>
      <w:r w:rsidR="003C73E9" w:rsidRPr="008A3C88">
        <w:rPr>
          <w:rFonts w:cs="Arial"/>
        </w:rPr>
        <w:t xml:space="preserve">undertake some development work with the website supplier investing in a </w:t>
      </w:r>
      <w:r w:rsidRPr="008A3C88">
        <w:rPr>
          <w:rFonts w:cs="Arial"/>
        </w:rPr>
        <w:t>redesign</w:t>
      </w:r>
      <w:r w:rsidR="003C73E9" w:rsidRPr="008A3C88">
        <w:rPr>
          <w:rFonts w:cs="Arial"/>
        </w:rPr>
        <w:t xml:space="preserve"> of </w:t>
      </w:r>
      <w:r w:rsidRPr="008A3C88">
        <w:rPr>
          <w:rFonts w:cs="Arial"/>
        </w:rPr>
        <w:t>the home page and revisit</w:t>
      </w:r>
      <w:r w:rsidR="003C73E9" w:rsidRPr="008A3C88">
        <w:rPr>
          <w:rFonts w:cs="Arial"/>
        </w:rPr>
        <w:t>ing</w:t>
      </w:r>
      <w:r w:rsidRPr="008A3C88">
        <w:rPr>
          <w:rFonts w:cs="Arial"/>
        </w:rPr>
        <w:t xml:space="preserve"> the labelling </w:t>
      </w:r>
      <w:r w:rsidR="00F261BE">
        <w:rPr>
          <w:rFonts w:cs="Arial"/>
        </w:rPr>
        <w:t xml:space="preserve">of our sections </w:t>
      </w:r>
      <w:r w:rsidRPr="008A3C88">
        <w:rPr>
          <w:rFonts w:cs="Arial"/>
        </w:rPr>
        <w:t>as interim work</w:t>
      </w:r>
      <w:r w:rsidR="003C73E9" w:rsidRPr="008A3C88">
        <w:rPr>
          <w:rFonts w:cs="Arial"/>
        </w:rPr>
        <w:t>. T</w:t>
      </w:r>
      <w:r w:rsidRPr="008A3C88">
        <w:rPr>
          <w:rFonts w:cs="Arial"/>
        </w:rPr>
        <w:t xml:space="preserve">he aim </w:t>
      </w:r>
      <w:r w:rsidR="003C73E9" w:rsidRPr="008A3C88">
        <w:rPr>
          <w:rFonts w:cs="Arial"/>
        </w:rPr>
        <w:t xml:space="preserve">is to </w:t>
      </w:r>
      <w:r w:rsidRPr="008A3C88">
        <w:rPr>
          <w:rFonts w:cs="Arial"/>
        </w:rPr>
        <w:t>enabl</w:t>
      </w:r>
      <w:r w:rsidR="003C73E9" w:rsidRPr="008A3C88">
        <w:rPr>
          <w:rFonts w:cs="Arial"/>
        </w:rPr>
        <w:t>e</w:t>
      </w:r>
      <w:r w:rsidRPr="008A3C88">
        <w:rPr>
          <w:rFonts w:cs="Arial"/>
        </w:rPr>
        <w:t xml:space="preserve"> us to focus more on the services that we offer and help to signpost users more effectively. </w:t>
      </w:r>
      <w:r w:rsidR="003C73E9" w:rsidRPr="008A3C88">
        <w:rPr>
          <w:rFonts w:cs="Arial"/>
        </w:rPr>
        <w:t>In particular, we wish to be able to signpost uses easily to HRA Approval, RECs and CAG.</w:t>
      </w:r>
    </w:p>
    <w:p w:rsidR="003C73E9" w:rsidRPr="008A3C88" w:rsidRDefault="003C73E9" w:rsidP="00151DBF">
      <w:pPr>
        <w:tabs>
          <w:tab w:val="left" w:pos="1980"/>
        </w:tabs>
        <w:spacing w:after="0" w:line="240" w:lineRule="auto"/>
        <w:rPr>
          <w:rFonts w:cs="Arial"/>
        </w:rPr>
      </w:pPr>
    </w:p>
    <w:p w:rsidR="00153727" w:rsidRPr="008A3C88" w:rsidRDefault="003C73E9" w:rsidP="00151DBF">
      <w:pPr>
        <w:tabs>
          <w:tab w:val="left" w:pos="1980"/>
        </w:tabs>
        <w:spacing w:after="0" w:line="240" w:lineRule="auto"/>
        <w:rPr>
          <w:rFonts w:cs="Arial"/>
        </w:rPr>
      </w:pPr>
      <w:r w:rsidRPr="008A3C88">
        <w:rPr>
          <w:rFonts w:cs="Arial"/>
        </w:rPr>
        <w:t xml:space="preserve">A redesign of the homepage will also allow us to reflect our recent status as a Non-Departmental Public and </w:t>
      </w:r>
      <w:r w:rsidR="00153727" w:rsidRPr="008A3C88">
        <w:rPr>
          <w:rFonts w:cs="Arial"/>
        </w:rPr>
        <w:t xml:space="preserve">to refresh the look and feel of the landing page in line with agreed corporate colours but moving away from </w:t>
      </w:r>
      <w:r w:rsidR="00F261BE">
        <w:rPr>
          <w:rFonts w:cs="Arial"/>
        </w:rPr>
        <w:t>the current ‘</w:t>
      </w:r>
      <w:r w:rsidR="00153727" w:rsidRPr="008A3C88">
        <w:rPr>
          <w:rFonts w:cs="Arial"/>
        </w:rPr>
        <w:t>blocky</w:t>
      </w:r>
      <w:r w:rsidR="00F261BE">
        <w:rPr>
          <w:rFonts w:cs="Arial"/>
        </w:rPr>
        <w:t>’</w:t>
      </w:r>
      <w:r w:rsidR="00153727" w:rsidRPr="008A3C88">
        <w:rPr>
          <w:rFonts w:cs="Arial"/>
        </w:rPr>
        <w:t xml:space="preserve"> appearance</w:t>
      </w:r>
      <w:r w:rsidRPr="008A3C88">
        <w:rPr>
          <w:rFonts w:cs="Arial"/>
        </w:rPr>
        <w:t>.</w:t>
      </w:r>
    </w:p>
    <w:p w:rsidR="003C73E9" w:rsidRPr="008A3C88" w:rsidRDefault="003C73E9" w:rsidP="00151DBF">
      <w:pPr>
        <w:tabs>
          <w:tab w:val="left" w:pos="1980"/>
        </w:tabs>
        <w:spacing w:after="0" w:line="240" w:lineRule="auto"/>
        <w:rPr>
          <w:rFonts w:cs="Arial"/>
        </w:rPr>
      </w:pPr>
    </w:p>
    <w:p w:rsidR="003C73E9" w:rsidRDefault="003C73E9" w:rsidP="00151DBF">
      <w:pPr>
        <w:tabs>
          <w:tab w:val="left" w:pos="1980"/>
        </w:tabs>
        <w:spacing w:after="0" w:line="240" w:lineRule="auto"/>
        <w:rPr>
          <w:rFonts w:cs="Arial"/>
        </w:rPr>
      </w:pPr>
      <w:r w:rsidRPr="003C73E9">
        <w:rPr>
          <w:rFonts w:cs="Arial"/>
        </w:rPr>
        <w:t>The regular reviews of content for clarity, accuracy and consistency in the use of language will be continued.</w:t>
      </w:r>
    </w:p>
    <w:p w:rsidR="00B108C6" w:rsidRDefault="00B108C6" w:rsidP="00151DBF">
      <w:pPr>
        <w:tabs>
          <w:tab w:val="left" w:pos="1980"/>
        </w:tabs>
        <w:spacing w:after="0" w:line="240" w:lineRule="auto"/>
        <w:rPr>
          <w:rFonts w:cs="Arial"/>
        </w:rPr>
      </w:pPr>
    </w:p>
    <w:p w:rsidR="00986E05" w:rsidRDefault="00B108C6" w:rsidP="00151DBF">
      <w:pPr>
        <w:tabs>
          <w:tab w:val="left" w:pos="1980"/>
        </w:tabs>
        <w:spacing w:after="0" w:line="240" w:lineRule="auto"/>
        <w:rPr>
          <w:rFonts w:cs="Arial"/>
        </w:rPr>
      </w:pPr>
      <w:r>
        <w:rPr>
          <w:rFonts w:cs="Arial"/>
        </w:rPr>
        <w:t xml:space="preserve">Spend to undertake this activity will need </w:t>
      </w:r>
      <w:r w:rsidR="006A779C">
        <w:rPr>
          <w:rFonts w:cs="Arial"/>
        </w:rPr>
        <w:t xml:space="preserve">Cabinet Office Digital Spends Approval via the </w:t>
      </w:r>
      <w:r>
        <w:rPr>
          <w:rFonts w:cs="Arial"/>
        </w:rPr>
        <w:t xml:space="preserve">DH </w:t>
      </w:r>
      <w:r w:rsidR="006A779C">
        <w:rPr>
          <w:rFonts w:cs="Arial"/>
        </w:rPr>
        <w:t xml:space="preserve">Digital Projects Team as </w:t>
      </w:r>
      <w:r w:rsidR="0010208E">
        <w:rPr>
          <w:rFonts w:cs="Arial"/>
        </w:rPr>
        <w:t>the</w:t>
      </w:r>
      <w:r w:rsidR="006A779C">
        <w:rPr>
          <w:rFonts w:cs="Arial"/>
        </w:rPr>
        <w:t xml:space="preserve"> delegated </w:t>
      </w:r>
      <w:r w:rsidR="0010208E">
        <w:rPr>
          <w:rFonts w:cs="Arial"/>
        </w:rPr>
        <w:t xml:space="preserve">authority </w:t>
      </w:r>
      <w:r w:rsidR="006A779C">
        <w:rPr>
          <w:rFonts w:cs="Arial"/>
        </w:rPr>
        <w:t xml:space="preserve">for digital spend </w:t>
      </w:r>
      <w:r w:rsidR="0010208E">
        <w:rPr>
          <w:rFonts w:cs="Arial"/>
        </w:rPr>
        <w:t>has been set at £0.</w:t>
      </w:r>
    </w:p>
    <w:p w:rsidR="006A779C" w:rsidRPr="003C73E9" w:rsidRDefault="006A779C" w:rsidP="00151DBF">
      <w:pPr>
        <w:tabs>
          <w:tab w:val="left" w:pos="1980"/>
        </w:tabs>
        <w:spacing w:after="0" w:line="240" w:lineRule="auto"/>
        <w:rPr>
          <w:rFonts w:cs="Arial"/>
        </w:rPr>
      </w:pPr>
    </w:p>
    <w:p w:rsidR="00986E05" w:rsidRPr="008A3C88" w:rsidRDefault="00986E05" w:rsidP="00151DBF">
      <w:pPr>
        <w:tabs>
          <w:tab w:val="left" w:pos="1980"/>
        </w:tabs>
        <w:spacing w:after="0" w:line="240" w:lineRule="auto"/>
        <w:rPr>
          <w:rFonts w:cs="Arial"/>
          <w:b/>
        </w:rPr>
      </w:pPr>
      <w:r w:rsidRPr="008A3C88">
        <w:rPr>
          <w:rFonts w:cs="Arial"/>
          <w:b/>
        </w:rPr>
        <w:t>Longer term direction of travel</w:t>
      </w:r>
    </w:p>
    <w:p w:rsidR="00986E05" w:rsidRDefault="00986E05" w:rsidP="00151DBF">
      <w:pPr>
        <w:tabs>
          <w:tab w:val="left" w:pos="1980"/>
        </w:tabs>
        <w:spacing w:after="0" w:line="240" w:lineRule="auto"/>
        <w:rPr>
          <w:rFonts w:asciiTheme="minorHAnsi" w:hAnsiTheme="minorHAnsi" w:cstheme="minorHAnsi"/>
          <w:b/>
        </w:rPr>
      </w:pPr>
    </w:p>
    <w:p w:rsidR="00986E05" w:rsidRDefault="00B108C6" w:rsidP="00151DBF">
      <w:pPr>
        <w:tabs>
          <w:tab w:val="left" w:pos="1980"/>
        </w:tabs>
        <w:spacing w:after="0" w:line="240" w:lineRule="auto"/>
        <w:rPr>
          <w:rFonts w:cs="Arial"/>
        </w:rPr>
      </w:pPr>
      <w:r w:rsidRPr="0040035E">
        <w:rPr>
          <w:rFonts w:cs="Arial"/>
        </w:rPr>
        <w:t xml:space="preserve">The website working group have identified the need for a restructure of the existing website </w:t>
      </w:r>
      <w:r w:rsidR="005B179E">
        <w:rPr>
          <w:rFonts w:cs="Arial"/>
        </w:rPr>
        <w:t xml:space="preserve">material </w:t>
      </w:r>
      <w:r w:rsidRPr="0040035E">
        <w:rPr>
          <w:rFonts w:cs="Arial"/>
        </w:rPr>
        <w:t>which would allow us to provide more clarity about our work. I</w:t>
      </w:r>
      <w:r w:rsidR="00BE2A2F">
        <w:rPr>
          <w:rFonts w:cs="Arial"/>
        </w:rPr>
        <w:t>n particular</w:t>
      </w:r>
      <w:r w:rsidR="0040035E">
        <w:rPr>
          <w:rFonts w:cs="Arial"/>
        </w:rPr>
        <w:t>, we would</w:t>
      </w:r>
      <w:r w:rsidR="00BE2A2F">
        <w:rPr>
          <w:rFonts w:cs="Arial"/>
        </w:rPr>
        <w:t xml:space="preserve"> want to</w:t>
      </w:r>
      <w:r w:rsidR="0040035E">
        <w:rPr>
          <w:rFonts w:cs="Arial"/>
        </w:rPr>
        <w:t xml:space="preserve"> be able to separat</w:t>
      </w:r>
      <w:r w:rsidR="00BE2A2F">
        <w:rPr>
          <w:rFonts w:cs="Arial"/>
        </w:rPr>
        <w:t>e out our regulatory functions</w:t>
      </w:r>
      <w:r w:rsidR="0040035E">
        <w:rPr>
          <w:rFonts w:cs="Arial"/>
        </w:rPr>
        <w:t>. The working group has identified the following sections and subsections</w:t>
      </w:r>
      <w:r w:rsidR="00BE2A2F">
        <w:rPr>
          <w:rFonts w:cs="Arial"/>
        </w:rPr>
        <w:t xml:space="preserve"> in relation to our business needs</w:t>
      </w:r>
      <w:r w:rsidR="0040035E">
        <w:rPr>
          <w:rFonts w:cs="Arial"/>
        </w:rPr>
        <w:t>:</w:t>
      </w:r>
    </w:p>
    <w:p w:rsidR="0040035E" w:rsidRDefault="0040035E" w:rsidP="00151DBF">
      <w:pPr>
        <w:tabs>
          <w:tab w:val="left" w:pos="1980"/>
        </w:tabs>
        <w:spacing w:after="0" w:line="240" w:lineRule="auto"/>
        <w:rPr>
          <w:rFonts w:cs="Arial"/>
        </w:rPr>
      </w:pPr>
    </w:p>
    <w:p w:rsidR="0040035E" w:rsidRPr="00F261BE" w:rsidRDefault="0040035E" w:rsidP="007E1724">
      <w:pPr>
        <w:pStyle w:val="ListParagraph"/>
        <w:numPr>
          <w:ilvl w:val="0"/>
          <w:numId w:val="2"/>
        </w:numPr>
        <w:rPr>
          <w:b/>
        </w:rPr>
      </w:pPr>
      <w:r w:rsidRPr="00F261BE">
        <w:rPr>
          <w:b/>
        </w:rPr>
        <w:t>Corporate (specific labelling of this section to be agreed)</w:t>
      </w:r>
    </w:p>
    <w:p w:rsidR="0040035E" w:rsidRDefault="0040035E" w:rsidP="00F261BE">
      <w:pPr>
        <w:pStyle w:val="ListParagraph"/>
      </w:pPr>
      <w:r>
        <w:t>Who we are and what we do</w:t>
      </w:r>
    </w:p>
    <w:p w:rsidR="0040035E" w:rsidRDefault="0040035E" w:rsidP="00F261BE">
      <w:pPr>
        <w:pStyle w:val="ListParagraph"/>
      </w:pPr>
      <w:r>
        <w:t>News</w:t>
      </w:r>
    </w:p>
    <w:p w:rsidR="0040035E" w:rsidRDefault="0040035E" w:rsidP="00F261BE">
      <w:pPr>
        <w:pStyle w:val="ListParagraph"/>
      </w:pPr>
      <w:r>
        <w:lastRenderedPageBreak/>
        <w:t>What we spend and How we spend it</w:t>
      </w:r>
    </w:p>
    <w:p w:rsidR="0040035E" w:rsidRDefault="0040035E" w:rsidP="00F261BE">
      <w:pPr>
        <w:pStyle w:val="ListParagraph"/>
      </w:pPr>
      <w:r>
        <w:t>Our priorities (e.g. strategic , corporate and business plans)</w:t>
      </w:r>
    </w:p>
    <w:p w:rsidR="0040035E" w:rsidRDefault="0040035E" w:rsidP="00F261BE">
      <w:pPr>
        <w:pStyle w:val="ListParagraph"/>
      </w:pPr>
      <w:r>
        <w:t>How we make decisions</w:t>
      </w:r>
    </w:p>
    <w:p w:rsidR="0040035E" w:rsidRDefault="0040035E" w:rsidP="00F261BE">
      <w:pPr>
        <w:pStyle w:val="ListParagraph"/>
      </w:pPr>
      <w:r>
        <w:t>Corporate policies and procedures</w:t>
      </w:r>
    </w:p>
    <w:p w:rsidR="0040035E" w:rsidRDefault="0040035E" w:rsidP="00F261BE">
      <w:pPr>
        <w:pStyle w:val="ListParagraph"/>
      </w:pPr>
      <w:r>
        <w:t>Registers and lists</w:t>
      </w:r>
    </w:p>
    <w:p w:rsidR="0040035E" w:rsidRDefault="0040035E" w:rsidP="0040035E">
      <w:pPr>
        <w:ind w:left="360"/>
      </w:pPr>
    </w:p>
    <w:p w:rsidR="0040035E" w:rsidRPr="00F261BE" w:rsidRDefault="0040035E" w:rsidP="007E1724">
      <w:pPr>
        <w:pStyle w:val="ListParagraph"/>
        <w:numPr>
          <w:ilvl w:val="0"/>
          <w:numId w:val="1"/>
        </w:numPr>
        <w:rPr>
          <w:b/>
        </w:rPr>
      </w:pPr>
      <w:r w:rsidRPr="00F261BE">
        <w:rPr>
          <w:b/>
        </w:rPr>
        <w:t>Patients and the Public</w:t>
      </w:r>
    </w:p>
    <w:p w:rsidR="0040035E" w:rsidRDefault="0040035E" w:rsidP="00F261BE">
      <w:pPr>
        <w:pStyle w:val="ListParagraph"/>
      </w:pPr>
      <w:r>
        <w:t>The HRA and Public Involvement in research</w:t>
      </w:r>
    </w:p>
    <w:p w:rsidR="0040035E" w:rsidRDefault="0040035E" w:rsidP="00F261BE">
      <w:pPr>
        <w:pStyle w:val="ListParagraph"/>
      </w:pPr>
      <w:r>
        <w:t>How does the HRA involve the public in its work</w:t>
      </w:r>
    </w:p>
    <w:p w:rsidR="0040035E" w:rsidRDefault="0040035E" w:rsidP="0040035E">
      <w:pPr>
        <w:ind w:left="360"/>
      </w:pPr>
    </w:p>
    <w:p w:rsidR="0040035E" w:rsidRPr="00660259" w:rsidRDefault="00660259" w:rsidP="007E1724">
      <w:pPr>
        <w:pStyle w:val="ListParagraph"/>
        <w:numPr>
          <w:ilvl w:val="0"/>
          <w:numId w:val="1"/>
        </w:numPr>
      </w:pPr>
      <w:r w:rsidRPr="00F261BE">
        <w:rPr>
          <w:b/>
        </w:rPr>
        <w:t>Regulatory Functions</w:t>
      </w:r>
      <w:r w:rsidR="00FF4A1F" w:rsidRPr="00F261BE">
        <w:rPr>
          <w:b/>
        </w:rPr>
        <w:t xml:space="preserve"> </w:t>
      </w:r>
    </w:p>
    <w:p w:rsidR="00660259" w:rsidRDefault="00660259" w:rsidP="00F261BE">
      <w:pPr>
        <w:pStyle w:val="ListParagraph"/>
      </w:pPr>
      <w:r>
        <w:t>Co-ordination and standardisation of regulatory practice</w:t>
      </w:r>
    </w:p>
    <w:p w:rsidR="00660259" w:rsidRDefault="00660259" w:rsidP="007E1724">
      <w:pPr>
        <w:pStyle w:val="ListParagraph"/>
        <w:numPr>
          <w:ilvl w:val="2"/>
          <w:numId w:val="1"/>
        </w:numPr>
      </w:pPr>
      <w:r>
        <w:t>Promotion of proportionate, standardised regulatory practice across the UK</w:t>
      </w:r>
    </w:p>
    <w:p w:rsidR="00660259" w:rsidRDefault="00660259" w:rsidP="007E1724">
      <w:pPr>
        <w:pStyle w:val="ListParagraph"/>
        <w:numPr>
          <w:ilvl w:val="2"/>
          <w:numId w:val="1"/>
        </w:numPr>
      </w:pPr>
      <w:r>
        <w:t>Mutual co-operation between Devolved Administrations and HRA to co-ordinate and standardise regulatory practice</w:t>
      </w:r>
    </w:p>
    <w:p w:rsidR="00660259" w:rsidRDefault="00660259" w:rsidP="007E1724">
      <w:pPr>
        <w:pStyle w:val="ListParagraph"/>
        <w:numPr>
          <w:ilvl w:val="2"/>
          <w:numId w:val="1"/>
        </w:numPr>
      </w:pPr>
      <w:r>
        <w:t>Mutual co-operation with other regulators</w:t>
      </w:r>
    </w:p>
    <w:p w:rsidR="00660259" w:rsidRDefault="00660259" w:rsidP="007E1724">
      <w:pPr>
        <w:pStyle w:val="ListParagraph"/>
        <w:numPr>
          <w:ilvl w:val="2"/>
          <w:numId w:val="1"/>
        </w:numPr>
      </w:pPr>
      <w:r>
        <w:t>Publication of guidance on</w:t>
      </w:r>
    </w:p>
    <w:p w:rsidR="00660259" w:rsidRDefault="00660259" w:rsidP="007E1724">
      <w:pPr>
        <w:pStyle w:val="ListParagraph"/>
        <w:numPr>
          <w:ilvl w:val="3"/>
          <w:numId w:val="1"/>
        </w:numPr>
      </w:pPr>
      <w:r>
        <w:t>Legal requirements for researchers</w:t>
      </w:r>
    </w:p>
    <w:p w:rsidR="00660259" w:rsidRDefault="00660259" w:rsidP="007E1724">
      <w:pPr>
        <w:pStyle w:val="ListParagraph"/>
        <w:numPr>
          <w:ilvl w:val="3"/>
          <w:numId w:val="1"/>
        </w:numPr>
      </w:pPr>
      <w:r>
        <w:t>Principles of good practice in the management and conduct</w:t>
      </w:r>
      <w:r w:rsidR="00591212">
        <w:t xml:space="preserve"> </w:t>
      </w:r>
      <w:r>
        <w:t xml:space="preserve">of research </w:t>
      </w:r>
    </w:p>
    <w:p w:rsidR="00660259" w:rsidRDefault="00660259" w:rsidP="00F261BE">
      <w:pPr>
        <w:pStyle w:val="ListParagraph"/>
      </w:pPr>
      <w:r>
        <w:t>Regulation of RECs</w:t>
      </w:r>
    </w:p>
    <w:p w:rsidR="00660259" w:rsidRDefault="00660259" w:rsidP="007E1724">
      <w:pPr>
        <w:pStyle w:val="ListParagraph"/>
        <w:numPr>
          <w:ilvl w:val="2"/>
          <w:numId w:val="1"/>
        </w:numPr>
      </w:pPr>
      <w:r>
        <w:t>Guidance about when REC review is required as a matter of</w:t>
      </w:r>
    </w:p>
    <w:p w:rsidR="00660259" w:rsidRDefault="00660259" w:rsidP="007E1724">
      <w:pPr>
        <w:pStyle w:val="ListParagraph"/>
        <w:numPr>
          <w:ilvl w:val="3"/>
          <w:numId w:val="1"/>
        </w:numPr>
      </w:pPr>
      <w:r>
        <w:t>Law</w:t>
      </w:r>
    </w:p>
    <w:p w:rsidR="00660259" w:rsidRDefault="00660259" w:rsidP="007E1724">
      <w:pPr>
        <w:pStyle w:val="ListParagraph"/>
        <w:numPr>
          <w:ilvl w:val="3"/>
          <w:numId w:val="1"/>
        </w:numPr>
      </w:pPr>
      <w:r>
        <w:t>Good practice</w:t>
      </w:r>
    </w:p>
    <w:p w:rsidR="00660259" w:rsidRDefault="00660259" w:rsidP="007E1724">
      <w:pPr>
        <w:pStyle w:val="ListParagraph"/>
        <w:numPr>
          <w:ilvl w:val="2"/>
          <w:numId w:val="1"/>
        </w:numPr>
      </w:pPr>
      <w:r>
        <w:t>Publication requirements of RECS (GAfREC and SOPs)</w:t>
      </w:r>
    </w:p>
    <w:p w:rsidR="00660259" w:rsidRDefault="00660259" w:rsidP="007E1724">
      <w:pPr>
        <w:pStyle w:val="ListParagraph"/>
        <w:numPr>
          <w:ilvl w:val="2"/>
          <w:numId w:val="1"/>
        </w:numPr>
      </w:pPr>
      <w:r>
        <w:t xml:space="preserve">Monitoring and ensuring </w:t>
      </w:r>
      <w:proofErr w:type="spellStart"/>
      <w:r>
        <w:t>RECs’</w:t>
      </w:r>
      <w:proofErr w:type="spellEnd"/>
      <w:r>
        <w:t xml:space="preserve"> compliance</w:t>
      </w:r>
    </w:p>
    <w:p w:rsidR="00660259" w:rsidRDefault="00660259" w:rsidP="007E1724">
      <w:pPr>
        <w:pStyle w:val="ListParagraph"/>
        <w:numPr>
          <w:ilvl w:val="2"/>
          <w:numId w:val="1"/>
        </w:numPr>
      </w:pPr>
      <w:r>
        <w:t>Abolition and revocation of RECs</w:t>
      </w:r>
    </w:p>
    <w:p w:rsidR="00660259" w:rsidRDefault="00660259" w:rsidP="007E1724">
      <w:pPr>
        <w:pStyle w:val="ListParagraph"/>
        <w:numPr>
          <w:ilvl w:val="2"/>
          <w:numId w:val="1"/>
        </w:numPr>
      </w:pPr>
      <w:r>
        <w:t>Management of RECs</w:t>
      </w:r>
    </w:p>
    <w:p w:rsidR="00660259" w:rsidRDefault="00660259" w:rsidP="00F261BE">
      <w:pPr>
        <w:pStyle w:val="ListParagraph"/>
      </w:pPr>
      <w:r>
        <w:t>Regulation and processing of confidential patient information</w:t>
      </w:r>
    </w:p>
    <w:p w:rsidR="00660259" w:rsidRDefault="00660259" w:rsidP="007E1724">
      <w:pPr>
        <w:pStyle w:val="ListParagraph"/>
        <w:numPr>
          <w:ilvl w:val="2"/>
          <w:numId w:val="1"/>
        </w:numPr>
      </w:pPr>
      <w:r>
        <w:t>Decision-making function under Control of Patient Information Regulation</w:t>
      </w:r>
    </w:p>
    <w:p w:rsidR="00660259" w:rsidRDefault="00660259" w:rsidP="007E1724">
      <w:pPr>
        <w:pStyle w:val="ListParagraph"/>
        <w:numPr>
          <w:ilvl w:val="2"/>
          <w:numId w:val="1"/>
        </w:numPr>
      </w:pPr>
      <w:r>
        <w:t>Appointment of a committee to advise</w:t>
      </w:r>
    </w:p>
    <w:p w:rsidR="00660259" w:rsidRDefault="00660259" w:rsidP="007E1724">
      <w:pPr>
        <w:pStyle w:val="ListParagraph"/>
        <w:numPr>
          <w:ilvl w:val="3"/>
          <w:numId w:val="1"/>
        </w:numPr>
      </w:pPr>
      <w:r>
        <w:t>HRA,</w:t>
      </w:r>
      <w:r w:rsidR="00FF4A1F">
        <w:t xml:space="preserve"> </w:t>
      </w:r>
      <w:proofErr w:type="spellStart"/>
      <w:r>
        <w:t>SofS</w:t>
      </w:r>
      <w:proofErr w:type="spellEnd"/>
      <w:r>
        <w:t xml:space="preserve"> and HSCIC on the exercise of their functions on those Regulations</w:t>
      </w:r>
    </w:p>
    <w:p w:rsidR="00FF4A1F" w:rsidRDefault="00FF4A1F" w:rsidP="007E1724">
      <w:pPr>
        <w:pStyle w:val="ListParagraph"/>
        <w:numPr>
          <w:ilvl w:val="3"/>
          <w:numId w:val="1"/>
        </w:numPr>
      </w:pPr>
      <w:r>
        <w:t>HSCIC on the disclosure of identifiable information</w:t>
      </w:r>
    </w:p>
    <w:p w:rsidR="00F261BE" w:rsidRPr="00F261BE" w:rsidRDefault="00F261BE" w:rsidP="00F261BE">
      <w:pPr>
        <w:rPr>
          <w:b/>
        </w:rPr>
      </w:pPr>
    </w:p>
    <w:p w:rsidR="00FF4A1F" w:rsidRPr="00F261BE" w:rsidRDefault="00FF4A1F" w:rsidP="007E1724">
      <w:pPr>
        <w:pStyle w:val="ListParagraph"/>
        <w:numPr>
          <w:ilvl w:val="0"/>
          <w:numId w:val="1"/>
        </w:numPr>
        <w:rPr>
          <w:b/>
        </w:rPr>
      </w:pPr>
      <w:r w:rsidRPr="00F261BE">
        <w:rPr>
          <w:b/>
        </w:rPr>
        <w:t>Consultations</w:t>
      </w:r>
      <w:r w:rsidR="005B179E">
        <w:rPr>
          <w:b/>
        </w:rPr>
        <w:t xml:space="preserve"> and call for comments</w:t>
      </w:r>
    </w:p>
    <w:p w:rsidR="00BE2A2F" w:rsidRPr="00BE2A2F" w:rsidRDefault="00BE2A2F" w:rsidP="00BE2A2F">
      <w:pPr>
        <w:rPr>
          <w:b/>
        </w:rPr>
      </w:pPr>
    </w:p>
    <w:p w:rsidR="00FF4A1F" w:rsidRPr="00F261BE" w:rsidRDefault="00FF4A1F" w:rsidP="007E1724">
      <w:pPr>
        <w:pStyle w:val="ListParagraph"/>
        <w:numPr>
          <w:ilvl w:val="0"/>
          <w:numId w:val="1"/>
        </w:numPr>
        <w:rPr>
          <w:b/>
        </w:rPr>
      </w:pPr>
      <w:r w:rsidRPr="00F261BE">
        <w:rPr>
          <w:b/>
        </w:rPr>
        <w:t>REC, CAG and HRA Approval (specific labelling of this section to be agreed)</w:t>
      </w:r>
    </w:p>
    <w:p w:rsidR="00FF4A1F" w:rsidRDefault="00FF4A1F" w:rsidP="00F261BE">
      <w:pPr>
        <w:pStyle w:val="ListParagraph"/>
      </w:pPr>
      <w:r>
        <w:t>Service orientated details on each of these in terms of what they offer and how to access them for applicants</w:t>
      </w:r>
    </w:p>
    <w:p w:rsidR="00BE2A2F" w:rsidRDefault="00BE2A2F" w:rsidP="00BE2A2F">
      <w:pPr>
        <w:ind w:left="360"/>
      </w:pPr>
    </w:p>
    <w:p w:rsidR="00FF4A1F" w:rsidRPr="00F261BE" w:rsidRDefault="00FF4A1F" w:rsidP="007E1724">
      <w:pPr>
        <w:pStyle w:val="ListParagraph"/>
        <w:numPr>
          <w:ilvl w:val="0"/>
          <w:numId w:val="1"/>
        </w:numPr>
        <w:rPr>
          <w:b/>
        </w:rPr>
      </w:pPr>
      <w:r w:rsidRPr="00F261BE">
        <w:rPr>
          <w:b/>
        </w:rPr>
        <w:lastRenderedPageBreak/>
        <w:t>Learning and Development Collaboration</w:t>
      </w:r>
    </w:p>
    <w:p w:rsidR="00FF4A1F" w:rsidRDefault="00FF4A1F" w:rsidP="00F261BE">
      <w:pPr>
        <w:pStyle w:val="ListParagraph"/>
      </w:pPr>
      <w:r>
        <w:t>This section would reflect the direction development work taking place in relation to HRA’s delivery of external training for a mixed portfolio of opportunities including face-to- face, online both through the learning management system accessing resources developed in partnership with other organisations, webinars</w:t>
      </w:r>
      <w:r w:rsidR="00BE2A2F">
        <w:t>. These opportunities may be made more widely available beyond individual REC or committee members to researchers.</w:t>
      </w:r>
    </w:p>
    <w:p w:rsidR="00BE2A2F" w:rsidRDefault="00BE2A2F" w:rsidP="00BE2A2F"/>
    <w:p w:rsidR="00573384" w:rsidRDefault="00573384" w:rsidP="00BE2A2F">
      <w:r>
        <w:t>It is proposed that the current content on the website relating to ‘guidance’ will largely be moved to the IRAS domain</w:t>
      </w:r>
      <w:r w:rsidR="005B179E">
        <w:t xml:space="preserve"> (or a new separate platform rather than the website)</w:t>
      </w:r>
      <w:r>
        <w:t xml:space="preserve"> so the research applicants can access it more easily in preparing their applications.</w:t>
      </w:r>
      <w:r w:rsidR="002B12E8">
        <w:t xml:space="preserve"> The content that is moved here will relate to the UK-wide guidance in recognition that IRAS is provided on behalf of a number of partners and is a UK-wide system.</w:t>
      </w:r>
      <w:r w:rsidR="005B179E">
        <w:t xml:space="preserve"> </w:t>
      </w:r>
    </w:p>
    <w:p w:rsidR="00BE2A2F" w:rsidRDefault="00BE2A2F" w:rsidP="00BE2A2F">
      <w:r>
        <w:t xml:space="preserve">The technical work to understand how those business needs should be translated into technical requirements has begun but by necessity will need more time to evolve in line with </w:t>
      </w:r>
      <w:r w:rsidR="002B12E8">
        <w:t xml:space="preserve">developing our </w:t>
      </w:r>
      <w:r>
        <w:t xml:space="preserve">understanding how the business requirements translate into the way that the website will be used both by the business and the </w:t>
      </w:r>
      <w:r w:rsidR="002B12E8">
        <w:t>visitors to the site to allow us to identify the technology and platform that will be needed to underpin this.</w:t>
      </w:r>
    </w:p>
    <w:p w:rsidR="00BE2A2F" w:rsidRDefault="00BE2A2F" w:rsidP="00BE2A2F"/>
    <w:p w:rsidR="00BE2A2F" w:rsidRPr="002B12E8" w:rsidRDefault="00BE2A2F" w:rsidP="00BE2A2F">
      <w:pPr>
        <w:rPr>
          <w:b/>
        </w:rPr>
      </w:pPr>
      <w:r w:rsidRPr="002B12E8">
        <w:rPr>
          <w:b/>
        </w:rPr>
        <w:t>Conclusions</w:t>
      </w:r>
    </w:p>
    <w:p w:rsidR="00F5341F" w:rsidRDefault="00BE2A2F" w:rsidP="00BE2A2F">
      <w:r>
        <w:t xml:space="preserve">The outputs of the working group around our business needs work leads us to a number of options in taking forward the work. </w:t>
      </w:r>
      <w:r w:rsidR="00F5341F">
        <w:t>The objective for the project group will be to deliver a refreshed website presence that meets our business needs and reflects our statutory duties under the Care Act. In undertaking the project we will consider and assess the viability of a number of options</w:t>
      </w:r>
      <w:r w:rsidR="00035A96">
        <w:t>, bearing in mind whichever, option is taken forward any associated spend will require Cabinet Office Digital Spends Approval before we can proceed</w:t>
      </w:r>
      <w:r w:rsidR="00F5341F">
        <w:t>:</w:t>
      </w:r>
    </w:p>
    <w:p w:rsidR="00BC7306" w:rsidRDefault="00BC7306" w:rsidP="00BE2A2F"/>
    <w:p w:rsidR="00BC7306" w:rsidRDefault="00BC7306" w:rsidP="00BE2A2F">
      <w:r>
        <w:t>In taking forward the work the project will wish to consider:</w:t>
      </w:r>
    </w:p>
    <w:p w:rsidR="002124A0" w:rsidRPr="007E1724" w:rsidRDefault="002124A0" w:rsidP="007E1724">
      <w:pPr>
        <w:pStyle w:val="ListParagraph"/>
        <w:numPr>
          <w:ilvl w:val="0"/>
          <w:numId w:val="3"/>
        </w:numPr>
        <w:rPr>
          <w:b/>
        </w:rPr>
      </w:pPr>
      <w:r w:rsidRPr="007E1724">
        <w:rPr>
          <w:b/>
        </w:rPr>
        <w:t>Gov.UK</w:t>
      </w:r>
    </w:p>
    <w:p w:rsidR="002124A0" w:rsidRDefault="002124A0" w:rsidP="00BE2A2F">
      <w:r>
        <w:t>I</w:t>
      </w:r>
      <w:r w:rsidR="00BC7306">
        <w:t xml:space="preserve">n recognition of the Government desire to bring all government and information services into the </w:t>
      </w:r>
      <w:r w:rsidRPr="002124A0">
        <w:t xml:space="preserve">on </w:t>
      </w:r>
      <w:hyperlink r:id="rId9" w:tgtFrame="_blank" w:history="1">
        <w:r w:rsidRPr="002124A0">
          <w:t>GOV.UK</w:t>
        </w:r>
      </w:hyperlink>
      <w:r>
        <w:t xml:space="preserve"> </w:t>
      </w:r>
      <w:r w:rsidR="00BC7306">
        <w:t>domain</w:t>
      </w:r>
      <w:r>
        <w:t xml:space="preserve"> we will want to better understand the implications for us</w:t>
      </w:r>
      <w:r w:rsidR="00BC7306">
        <w:t>.  There are a number of areas that the HRA needs to better understand whether we continue to fall within the exemption criteria in particular around</w:t>
      </w:r>
      <w:r>
        <w:t>:</w:t>
      </w:r>
    </w:p>
    <w:p w:rsidR="00BC7306" w:rsidRDefault="00BC7306" w:rsidP="00F261BE">
      <w:pPr>
        <w:pStyle w:val="ListParagraph"/>
      </w:pPr>
      <w:proofErr w:type="gramStart"/>
      <w:r>
        <w:t>how</w:t>
      </w:r>
      <w:proofErr w:type="gramEnd"/>
      <w:r>
        <w:t xml:space="preserve"> the public, in particular the customers of our website (predominately researchers), would benefit from us remaining separate.</w:t>
      </w:r>
    </w:p>
    <w:p w:rsidR="002124A0" w:rsidRDefault="002124A0" w:rsidP="00F261BE">
      <w:pPr>
        <w:pStyle w:val="ListParagraph"/>
      </w:pPr>
      <w:r w:rsidRPr="002124A0">
        <w:t xml:space="preserve">Separation of powers </w:t>
      </w:r>
      <w:r>
        <w:t>–</w:t>
      </w:r>
      <w:r w:rsidRPr="002124A0">
        <w:t xml:space="preserve"> </w:t>
      </w:r>
      <w:r>
        <w:t xml:space="preserve">are there any </w:t>
      </w:r>
      <w:r w:rsidRPr="002124A0">
        <w:t xml:space="preserve"> specific legal duties </w:t>
      </w:r>
      <w:r>
        <w:t xml:space="preserve">we have </w:t>
      </w:r>
      <w:r w:rsidRPr="002124A0">
        <w:t xml:space="preserve">to deliver </w:t>
      </w:r>
      <w:r>
        <w:t>where our</w:t>
      </w:r>
      <w:r w:rsidRPr="002124A0">
        <w:t xml:space="preserve"> ability to carry them out would be damaged by </w:t>
      </w:r>
      <w:r>
        <w:t>our</w:t>
      </w:r>
      <w:r w:rsidRPr="002124A0">
        <w:t xml:space="preserve"> presence on </w:t>
      </w:r>
      <w:hyperlink r:id="rId10" w:tgtFrame="_blank" w:history="1">
        <w:r w:rsidRPr="002124A0">
          <w:t>GOV.UK</w:t>
        </w:r>
      </w:hyperlink>
    </w:p>
    <w:p w:rsidR="002124A0" w:rsidRPr="001833CD" w:rsidRDefault="002124A0" w:rsidP="00F261BE">
      <w:pPr>
        <w:pStyle w:val="ListParagraph"/>
        <w:rPr>
          <w:lang w:eastAsia="en-GB"/>
        </w:rPr>
      </w:pPr>
      <w:r>
        <w:rPr>
          <w:lang w:eastAsia="en-GB"/>
        </w:rPr>
        <w:t xml:space="preserve">How our responsibilities in relation to the </w:t>
      </w:r>
      <w:r w:rsidRPr="001833CD">
        <w:rPr>
          <w:lang w:eastAsia="en-GB"/>
        </w:rPr>
        <w:t>Devolved Administrations</w:t>
      </w:r>
      <w:proofErr w:type="gramStart"/>
      <w:r w:rsidRPr="001833CD">
        <w:rPr>
          <w:lang w:eastAsia="en-GB"/>
        </w:rPr>
        <w:t> </w:t>
      </w:r>
      <w:r>
        <w:rPr>
          <w:lang w:eastAsia="en-GB"/>
        </w:rPr>
        <w:t xml:space="preserve"> could</w:t>
      </w:r>
      <w:proofErr w:type="gramEnd"/>
      <w:r>
        <w:rPr>
          <w:lang w:eastAsia="en-GB"/>
        </w:rPr>
        <w:t xml:space="preserve"> be affected. Where </w:t>
      </w:r>
      <w:r w:rsidRPr="001833CD">
        <w:rPr>
          <w:lang w:eastAsia="en-GB"/>
        </w:rPr>
        <w:t xml:space="preserve">bodies have legal responsibilities to both the UK Government and the Devolved Administrations this needs to be clear to users. Having these organisations only represented on a UK Government website - </w:t>
      </w:r>
      <w:hyperlink r:id="rId11" w:tgtFrame="_blank" w:history="1">
        <w:r w:rsidRPr="001833CD">
          <w:rPr>
            <w:color w:val="2E3191"/>
            <w:u w:val="single"/>
            <w:lang w:eastAsia="en-GB"/>
          </w:rPr>
          <w:t>GOV.UK</w:t>
        </w:r>
      </w:hyperlink>
      <w:r w:rsidRPr="001833CD">
        <w:rPr>
          <w:lang w:eastAsia="en-GB"/>
        </w:rPr>
        <w:t xml:space="preserve"> - could be misleading and so they have been given exemption</w:t>
      </w:r>
    </w:p>
    <w:p w:rsidR="002124A0" w:rsidRDefault="002124A0" w:rsidP="002124A0"/>
    <w:p w:rsidR="002124A0" w:rsidRDefault="002124A0" w:rsidP="002124A0">
      <w:r>
        <w:lastRenderedPageBreak/>
        <w:t xml:space="preserve">This could mean that we are able to continue with our own website or in light of </w:t>
      </w:r>
      <w:r w:rsidR="008A1A4F">
        <w:t>supporting UK-wide competitiveness for life-</w:t>
      </w:r>
      <w:proofErr w:type="gramStart"/>
      <w:r w:rsidR="008A1A4F">
        <w:t>sciences,</w:t>
      </w:r>
      <w:proofErr w:type="gramEnd"/>
      <w:r w:rsidR="008A1A4F">
        <w:t xml:space="preserve"> </w:t>
      </w:r>
      <w:r>
        <w:t xml:space="preserve">the approach taken could require us to separate out elements that could sit on the GOV.UK </w:t>
      </w:r>
      <w:r w:rsidR="008A1A4F">
        <w:t>and maintain UK-wide elements on a separate site with links across to GOV.UK</w:t>
      </w:r>
      <w:r w:rsidR="00591212">
        <w:t>.</w:t>
      </w:r>
    </w:p>
    <w:p w:rsidR="00591212" w:rsidRPr="002124A0" w:rsidRDefault="00591212" w:rsidP="002124A0"/>
    <w:p w:rsidR="008A1A4F" w:rsidRPr="007E1724" w:rsidRDefault="008A1A4F" w:rsidP="007E1724">
      <w:pPr>
        <w:pStyle w:val="ListParagraph"/>
        <w:numPr>
          <w:ilvl w:val="0"/>
          <w:numId w:val="1"/>
        </w:numPr>
        <w:rPr>
          <w:b/>
        </w:rPr>
      </w:pPr>
      <w:r w:rsidRPr="007E1724">
        <w:rPr>
          <w:b/>
        </w:rPr>
        <w:t>Technical and procurement approach</w:t>
      </w:r>
    </w:p>
    <w:p w:rsidR="008A1A4F" w:rsidRPr="008A1A4F" w:rsidRDefault="008A1A4F" w:rsidP="008A1A4F">
      <w:pPr>
        <w:ind w:left="60"/>
      </w:pPr>
      <w:r w:rsidRPr="008A1A4F">
        <w:t>With</w:t>
      </w:r>
      <w:r>
        <w:t xml:space="preserve"> a better understanding of our business needs (including ongoing oversight and management of the website) we will need to assess whether the current technical platform and existing website provider can meet our needs </w:t>
      </w:r>
      <w:r w:rsidR="00591212">
        <w:t>or</w:t>
      </w:r>
      <w:r>
        <w:t xml:space="preserve"> whether in restructuring and refreshing the website we will need to undertake a procurement exercise for a new supplier to meet the requirements and future development of the website.</w:t>
      </w:r>
    </w:p>
    <w:p w:rsidR="00F5341F" w:rsidRDefault="008A1A4F" w:rsidP="00BE2A2F">
      <w:r>
        <w:t xml:space="preserve">Any investment whether with the current website provider or </w:t>
      </w:r>
      <w:r w:rsidR="001F43AD">
        <w:t>to allow us to follow</w:t>
      </w:r>
      <w:r>
        <w:t xml:space="preserve"> </w:t>
      </w:r>
      <w:proofErr w:type="gramStart"/>
      <w:r>
        <w:t>a procurement</w:t>
      </w:r>
      <w:proofErr w:type="gramEnd"/>
      <w:r>
        <w:t xml:space="preserve"> exercise will require Cabinet Office Digital Spend Approval.</w:t>
      </w:r>
    </w:p>
    <w:p w:rsidR="00591212" w:rsidRDefault="00591212" w:rsidP="00BE2A2F"/>
    <w:p w:rsidR="00591212" w:rsidRPr="007E1724" w:rsidRDefault="00591212" w:rsidP="007E1724">
      <w:pPr>
        <w:pStyle w:val="ListParagraph"/>
        <w:numPr>
          <w:ilvl w:val="0"/>
          <w:numId w:val="1"/>
        </w:numPr>
        <w:rPr>
          <w:b/>
        </w:rPr>
      </w:pPr>
      <w:r w:rsidRPr="007E1724">
        <w:rPr>
          <w:b/>
        </w:rPr>
        <w:t>Resource Requirements</w:t>
      </w:r>
    </w:p>
    <w:p w:rsidR="00591212" w:rsidRDefault="00591212" w:rsidP="00BE2A2F">
      <w:r>
        <w:t>A project of this scale is a significant piece of work for the organisation and one of the early priorities of the project group in scoping the work will be to properly understand the resource implications to be able to put this in place to enable successful delivery.</w:t>
      </w:r>
    </w:p>
    <w:p w:rsidR="007E1724" w:rsidRDefault="007E1724" w:rsidP="00BE2A2F"/>
    <w:p w:rsidR="007E1724" w:rsidRPr="007E1724" w:rsidRDefault="007E1724" w:rsidP="00BE2A2F">
      <w:pPr>
        <w:rPr>
          <w:b/>
        </w:rPr>
      </w:pPr>
      <w:r w:rsidRPr="007E1724">
        <w:rPr>
          <w:b/>
        </w:rPr>
        <w:t>Establishment of Formal Project</w:t>
      </w:r>
    </w:p>
    <w:p w:rsidR="007E1724" w:rsidRDefault="007E1724" w:rsidP="007E1724">
      <w:r>
        <w:t>We propose to take this forward by establishing a formal project led by Katherine Guerin, Deputy Director of Corporate Services, with membership from across the organisation to ensure a collaborative approach is taken drawing on expertise from across the organisation. Janet Wisely, Chief Executive will be the Senior Responsible Owner for the project, maintaining senior oversight and ensuring the project meets its expected objectives.</w:t>
      </w:r>
    </w:p>
    <w:sectPr w:rsidR="007E1724" w:rsidSect="00C90060">
      <w:headerReference w:type="default" r:id="rId12"/>
      <w:footerReference w:type="default" r:id="rId13"/>
      <w:pgSz w:w="11907" w:h="16840" w:code="9"/>
      <w:pgMar w:top="1134" w:right="1275" w:bottom="1134" w:left="1560" w:header="567" w:footer="7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0ED" w:rsidRDefault="00A330ED" w:rsidP="006B5376">
      <w:pPr>
        <w:spacing w:after="0" w:line="240" w:lineRule="auto"/>
      </w:pPr>
      <w:r>
        <w:separator/>
      </w:r>
    </w:p>
  </w:endnote>
  <w:endnote w:type="continuationSeparator" w:id="0">
    <w:p w:rsidR="00A330ED" w:rsidRDefault="00A330ED" w:rsidP="006B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60" w:rsidRDefault="00C90060" w:rsidP="00C90060">
    <w:pPr>
      <w:pStyle w:val="Footer"/>
      <w:ind w:left="-142" w:firstLine="862"/>
      <w:rPr>
        <w:sz w:val="18"/>
        <w:szCs w:val="18"/>
      </w:rPr>
    </w:pPr>
    <w:r w:rsidRPr="00C90060">
      <w:rPr>
        <w:rFonts w:asciiTheme="minorHAnsi" w:hAnsiTheme="minorHAnsi" w:cstheme="minorHAnsi"/>
        <w:noProof/>
        <w:sz w:val="18"/>
        <w:szCs w:val="18"/>
        <w:lang w:eastAsia="en-GB"/>
      </w:rPr>
      <w:drawing>
        <wp:anchor distT="0" distB="0" distL="114300" distR="114300" simplePos="0" relativeHeight="251659264" behindDoc="1" locked="0" layoutInCell="1" allowOverlap="1" wp14:anchorId="17DAD80B" wp14:editId="419EE554">
          <wp:simplePos x="0" y="0"/>
          <wp:positionH relativeFrom="column">
            <wp:posOffset>-122237</wp:posOffset>
          </wp:positionH>
          <wp:positionV relativeFrom="paragraph">
            <wp:posOffset>-84773</wp:posOffset>
          </wp:positionV>
          <wp:extent cx="361950" cy="358775"/>
          <wp:effectExtent l="77787" t="74613" r="77788" b="77787"/>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Graphic-144.psd"/>
                  <pic:cNvPicPr/>
                </pic:nvPicPr>
                <pic:blipFill>
                  <a:blip r:embed="rId1">
                    <a:extLst>
                      <a:ext uri="{28A0092B-C50C-407E-A947-70E740481C1C}">
                        <a14:useLocalDpi xmlns:a14="http://schemas.microsoft.com/office/drawing/2010/main" val="0"/>
                      </a:ext>
                    </a:extLst>
                  </a:blip>
                  <a:stretch>
                    <a:fillRect/>
                  </a:stretch>
                </pic:blipFill>
                <pic:spPr>
                  <a:xfrm rot="2718273">
                    <a:off x="0" y="0"/>
                    <a:ext cx="361950" cy="358775"/>
                  </a:xfrm>
                  <a:prstGeom prst="rect">
                    <a:avLst/>
                  </a:prstGeom>
                </pic:spPr>
              </pic:pic>
            </a:graphicData>
          </a:graphic>
          <wp14:sizeRelH relativeFrom="page">
            <wp14:pctWidth>0</wp14:pctWidth>
          </wp14:sizeRelH>
          <wp14:sizeRelV relativeFrom="page">
            <wp14:pctHeight>0</wp14:pctHeight>
          </wp14:sizeRelV>
        </wp:anchor>
      </w:drawing>
    </w:r>
    <w:r w:rsidRPr="00C90060">
      <w:rPr>
        <w:rFonts w:asciiTheme="minorHAnsi" w:hAnsiTheme="minorHAnsi" w:cstheme="minorHAnsi"/>
        <w:noProof/>
        <w:sz w:val="18"/>
        <w:szCs w:val="18"/>
        <w:lang w:eastAsia="en-GB"/>
      </w:rPr>
      <mc:AlternateContent>
        <mc:Choice Requires="wps">
          <w:drawing>
            <wp:anchor distT="0" distB="0" distL="114300" distR="114300" simplePos="0" relativeHeight="251660288" behindDoc="0" locked="0" layoutInCell="1" allowOverlap="1" wp14:anchorId="07D09E5C" wp14:editId="6957F6E7">
              <wp:simplePos x="0" y="0"/>
              <wp:positionH relativeFrom="column">
                <wp:posOffset>310515</wp:posOffset>
              </wp:positionH>
              <wp:positionV relativeFrom="paragraph">
                <wp:posOffset>104775</wp:posOffset>
              </wp:positionV>
              <wp:extent cx="56673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667375"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5pt,8.25pt" to="470.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" strokecolor="#f79646 [3209]"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0ED" w:rsidRDefault="00A330ED" w:rsidP="006B5376">
      <w:pPr>
        <w:spacing w:after="0" w:line="240" w:lineRule="auto"/>
      </w:pPr>
      <w:r>
        <w:separator/>
      </w:r>
    </w:p>
  </w:footnote>
  <w:footnote w:type="continuationSeparator" w:id="0">
    <w:p w:rsidR="00A330ED" w:rsidRDefault="00A330ED" w:rsidP="006B5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16" w:rsidRDefault="0000688A" w:rsidP="00E068B3">
    <w:pPr>
      <w:pStyle w:val="Header"/>
      <w:ind w:left="-720" w:right="-718"/>
      <w:jc w:val="right"/>
    </w:pPr>
    <w:r>
      <w:rPr>
        <w:rFonts w:cs="Arial"/>
        <w:b/>
        <w:noProof/>
        <w:lang w:eastAsia="en-GB"/>
      </w:rPr>
      <w:drawing>
        <wp:inline distT="0" distB="0" distL="0" distR="0" wp14:anchorId="348F6B14" wp14:editId="7D0BA392">
          <wp:extent cx="2964211" cy="581025"/>
          <wp:effectExtent l="0" t="0" r="0" b="0"/>
          <wp:docPr id="4" name="Picture 4"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1" cstate="print"/>
                  <a:srcRect/>
                  <a:stretch>
                    <a:fillRect/>
                  </a:stretch>
                </pic:blipFill>
                <pic:spPr bwMode="auto">
                  <a:xfrm>
                    <a:off x="0" y="0"/>
                    <a:ext cx="2986468" cy="5853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6AD6"/>
    <w:multiLevelType w:val="multilevel"/>
    <w:tmpl w:val="22BCD794"/>
    <w:lvl w:ilvl="0">
      <w:start w:val="1"/>
      <w:numFmt w:val="decimal"/>
      <w:lvlText w:val="%1)"/>
      <w:lvlJc w:val="left"/>
      <w:pPr>
        <w:ind w:left="360" w:hanging="360"/>
      </w:pPr>
      <w:rPr>
        <w:rFonts w:hint="default"/>
      </w:rPr>
    </w:lvl>
    <w:lvl w:ilvl="1">
      <w:start w:val="1"/>
      <w:numFmt w:val="lowerLetter"/>
      <w:pStyle w:val="List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5A8F5B4E"/>
    <w:multiLevelType w:val="hybridMultilevel"/>
    <w:tmpl w:val="B48A9878"/>
    <w:lvl w:ilvl="0" w:tplc="F66AD93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76C55E3"/>
    <w:multiLevelType w:val="hybridMultilevel"/>
    <w:tmpl w:val="6B16864A"/>
    <w:lvl w:ilvl="0" w:tplc="2362B1D2">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C2"/>
    <w:rsid w:val="00002037"/>
    <w:rsid w:val="0000688A"/>
    <w:rsid w:val="0001520F"/>
    <w:rsid w:val="0001579B"/>
    <w:rsid w:val="00031E55"/>
    <w:rsid w:val="00032018"/>
    <w:rsid w:val="00034690"/>
    <w:rsid w:val="00035A96"/>
    <w:rsid w:val="00077FB8"/>
    <w:rsid w:val="000805FF"/>
    <w:rsid w:val="00080CB0"/>
    <w:rsid w:val="00082E02"/>
    <w:rsid w:val="00087C21"/>
    <w:rsid w:val="000A13D1"/>
    <w:rsid w:val="000A7C2C"/>
    <w:rsid w:val="000B0B0C"/>
    <w:rsid w:val="000C027C"/>
    <w:rsid w:val="000C44EF"/>
    <w:rsid w:val="000C6B29"/>
    <w:rsid w:val="000D0F34"/>
    <w:rsid w:val="000D6A51"/>
    <w:rsid w:val="000E55E7"/>
    <w:rsid w:val="000E5A1B"/>
    <w:rsid w:val="000E6A39"/>
    <w:rsid w:val="000F2666"/>
    <w:rsid w:val="000F40ED"/>
    <w:rsid w:val="000F5FA5"/>
    <w:rsid w:val="00100687"/>
    <w:rsid w:val="0010208E"/>
    <w:rsid w:val="0011564E"/>
    <w:rsid w:val="00120A98"/>
    <w:rsid w:val="00122C95"/>
    <w:rsid w:val="001459D0"/>
    <w:rsid w:val="00151DBF"/>
    <w:rsid w:val="00153727"/>
    <w:rsid w:val="00156D64"/>
    <w:rsid w:val="00161566"/>
    <w:rsid w:val="00162E33"/>
    <w:rsid w:val="00162EEA"/>
    <w:rsid w:val="001650E4"/>
    <w:rsid w:val="00170438"/>
    <w:rsid w:val="00170E54"/>
    <w:rsid w:val="001803BF"/>
    <w:rsid w:val="00187B85"/>
    <w:rsid w:val="001B0E16"/>
    <w:rsid w:val="001C3D40"/>
    <w:rsid w:val="001C3FF9"/>
    <w:rsid w:val="001C5EE1"/>
    <w:rsid w:val="001D0C9D"/>
    <w:rsid w:val="001D339E"/>
    <w:rsid w:val="001D41F3"/>
    <w:rsid w:val="001D451F"/>
    <w:rsid w:val="001D4C53"/>
    <w:rsid w:val="001F43AD"/>
    <w:rsid w:val="002015B9"/>
    <w:rsid w:val="002017F5"/>
    <w:rsid w:val="00202CE8"/>
    <w:rsid w:val="00204034"/>
    <w:rsid w:val="002124A0"/>
    <w:rsid w:val="00217EFA"/>
    <w:rsid w:val="0022151D"/>
    <w:rsid w:val="002226BE"/>
    <w:rsid w:val="002249DC"/>
    <w:rsid w:val="002270EC"/>
    <w:rsid w:val="00236D2B"/>
    <w:rsid w:val="002528F0"/>
    <w:rsid w:val="002551D9"/>
    <w:rsid w:val="00255B6D"/>
    <w:rsid w:val="0026003B"/>
    <w:rsid w:val="00267CD4"/>
    <w:rsid w:val="0027131C"/>
    <w:rsid w:val="0027616F"/>
    <w:rsid w:val="0028249D"/>
    <w:rsid w:val="002A389A"/>
    <w:rsid w:val="002A4602"/>
    <w:rsid w:val="002A4F9D"/>
    <w:rsid w:val="002B12E8"/>
    <w:rsid w:val="002B1574"/>
    <w:rsid w:val="002B20F2"/>
    <w:rsid w:val="002D06F6"/>
    <w:rsid w:val="002E1A2E"/>
    <w:rsid w:val="002E5F0F"/>
    <w:rsid w:val="002E609D"/>
    <w:rsid w:val="002F3E34"/>
    <w:rsid w:val="002F3ECA"/>
    <w:rsid w:val="002F6947"/>
    <w:rsid w:val="002F73AF"/>
    <w:rsid w:val="00301A1D"/>
    <w:rsid w:val="00306495"/>
    <w:rsid w:val="003064F9"/>
    <w:rsid w:val="00306B55"/>
    <w:rsid w:val="00312DD4"/>
    <w:rsid w:val="0031367E"/>
    <w:rsid w:val="0032284B"/>
    <w:rsid w:val="00324EDB"/>
    <w:rsid w:val="0033263A"/>
    <w:rsid w:val="00336062"/>
    <w:rsid w:val="003447CD"/>
    <w:rsid w:val="00346669"/>
    <w:rsid w:val="00360E64"/>
    <w:rsid w:val="003620D2"/>
    <w:rsid w:val="00362136"/>
    <w:rsid w:val="0036304E"/>
    <w:rsid w:val="00363763"/>
    <w:rsid w:val="00372EDD"/>
    <w:rsid w:val="00374989"/>
    <w:rsid w:val="003858FE"/>
    <w:rsid w:val="00386659"/>
    <w:rsid w:val="003869D0"/>
    <w:rsid w:val="003904AA"/>
    <w:rsid w:val="003A29DC"/>
    <w:rsid w:val="003A5BF1"/>
    <w:rsid w:val="003A7557"/>
    <w:rsid w:val="003A79F8"/>
    <w:rsid w:val="003C1EAC"/>
    <w:rsid w:val="003C73E9"/>
    <w:rsid w:val="003D39CC"/>
    <w:rsid w:val="003D54B1"/>
    <w:rsid w:val="003F6CC2"/>
    <w:rsid w:val="0040035E"/>
    <w:rsid w:val="00413CD1"/>
    <w:rsid w:val="00416CDE"/>
    <w:rsid w:val="0042325B"/>
    <w:rsid w:val="00423CD3"/>
    <w:rsid w:val="00427AD7"/>
    <w:rsid w:val="00433C05"/>
    <w:rsid w:val="00443F1A"/>
    <w:rsid w:val="004562B7"/>
    <w:rsid w:val="00460A2D"/>
    <w:rsid w:val="00460A98"/>
    <w:rsid w:val="00472A5C"/>
    <w:rsid w:val="004806AB"/>
    <w:rsid w:val="00482B2C"/>
    <w:rsid w:val="00491A07"/>
    <w:rsid w:val="004960CF"/>
    <w:rsid w:val="004B078F"/>
    <w:rsid w:val="004B3B6C"/>
    <w:rsid w:val="004C0327"/>
    <w:rsid w:val="004E5A9A"/>
    <w:rsid w:val="004F7AF1"/>
    <w:rsid w:val="00502585"/>
    <w:rsid w:val="00510C14"/>
    <w:rsid w:val="00512FBB"/>
    <w:rsid w:val="005219CD"/>
    <w:rsid w:val="00521B16"/>
    <w:rsid w:val="00542C0A"/>
    <w:rsid w:val="005476DE"/>
    <w:rsid w:val="00547B8B"/>
    <w:rsid w:val="00564BD1"/>
    <w:rsid w:val="005714D1"/>
    <w:rsid w:val="00573384"/>
    <w:rsid w:val="00575297"/>
    <w:rsid w:val="00580C3F"/>
    <w:rsid w:val="005814FB"/>
    <w:rsid w:val="0058409E"/>
    <w:rsid w:val="00591212"/>
    <w:rsid w:val="00595956"/>
    <w:rsid w:val="005A2C41"/>
    <w:rsid w:val="005A3354"/>
    <w:rsid w:val="005A3581"/>
    <w:rsid w:val="005A39BD"/>
    <w:rsid w:val="005B08B2"/>
    <w:rsid w:val="005B0D4A"/>
    <w:rsid w:val="005B179E"/>
    <w:rsid w:val="005B2887"/>
    <w:rsid w:val="005B2E0F"/>
    <w:rsid w:val="005B486A"/>
    <w:rsid w:val="005B56AB"/>
    <w:rsid w:val="005B60F8"/>
    <w:rsid w:val="005C7E23"/>
    <w:rsid w:val="005D0C13"/>
    <w:rsid w:val="005D7F75"/>
    <w:rsid w:val="005E241C"/>
    <w:rsid w:val="005F4D7F"/>
    <w:rsid w:val="00611EC3"/>
    <w:rsid w:val="00631534"/>
    <w:rsid w:val="00632573"/>
    <w:rsid w:val="0063397F"/>
    <w:rsid w:val="006501B4"/>
    <w:rsid w:val="00650770"/>
    <w:rsid w:val="0065384C"/>
    <w:rsid w:val="00660259"/>
    <w:rsid w:val="00661712"/>
    <w:rsid w:val="00662C00"/>
    <w:rsid w:val="006727FE"/>
    <w:rsid w:val="00673D95"/>
    <w:rsid w:val="00676851"/>
    <w:rsid w:val="00683C84"/>
    <w:rsid w:val="006A3631"/>
    <w:rsid w:val="006A7595"/>
    <w:rsid w:val="006A779C"/>
    <w:rsid w:val="006B5376"/>
    <w:rsid w:val="006B7A8D"/>
    <w:rsid w:val="006C5258"/>
    <w:rsid w:val="006D039A"/>
    <w:rsid w:val="006D1922"/>
    <w:rsid w:val="006D37A9"/>
    <w:rsid w:val="006D515A"/>
    <w:rsid w:val="006E07C7"/>
    <w:rsid w:val="006F0655"/>
    <w:rsid w:val="006F0903"/>
    <w:rsid w:val="00703B1A"/>
    <w:rsid w:val="00704C22"/>
    <w:rsid w:val="00705F0F"/>
    <w:rsid w:val="00706270"/>
    <w:rsid w:val="00710AEF"/>
    <w:rsid w:val="00717BF6"/>
    <w:rsid w:val="00717E0A"/>
    <w:rsid w:val="00731474"/>
    <w:rsid w:val="007607A8"/>
    <w:rsid w:val="00767841"/>
    <w:rsid w:val="0079459F"/>
    <w:rsid w:val="007958A5"/>
    <w:rsid w:val="0079675F"/>
    <w:rsid w:val="00797B27"/>
    <w:rsid w:val="007A5239"/>
    <w:rsid w:val="007B28E6"/>
    <w:rsid w:val="007B7BA3"/>
    <w:rsid w:val="007C07BD"/>
    <w:rsid w:val="007C256C"/>
    <w:rsid w:val="007C4842"/>
    <w:rsid w:val="007C7004"/>
    <w:rsid w:val="007D0D13"/>
    <w:rsid w:val="007D276C"/>
    <w:rsid w:val="007E1724"/>
    <w:rsid w:val="007E3127"/>
    <w:rsid w:val="007E5587"/>
    <w:rsid w:val="007E74F4"/>
    <w:rsid w:val="007F12BE"/>
    <w:rsid w:val="007F504E"/>
    <w:rsid w:val="007F507E"/>
    <w:rsid w:val="008041E6"/>
    <w:rsid w:val="00804C4C"/>
    <w:rsid w:val="008143C8"/>
    <w:rsid w:val="00816718"/>
    <w:rsid w:val="00816EB4"/>
    <w:rsid w:val="00817A65"/>
    <w:rsid w:val="0082258E"/>
    <w:rsid w:val="00826978"/>
    <w:rsid w:val="00827C28"/>
    <w:rsid w:val="00830C27"/>
    <w:rsid w:val="008323E4"/>
    <w:rsid w:val="008335DB"/>
    <w:rsid w:val="008350EA"/>
    <w:rsid w:val="00836222"/>
    <w:rsid w:val="00840A31"/>
    <w:rsid w:val="008423AA"/>
    <w:rsid w:val="0084279E"/>
    <w:rsid w:val="00843505"/>
    <w:rsid w:val="008535D2"/>
    <w:rsid w:val="008565F8"/>
    <w:rsid w:val="00861F26"/>
    <w:rsid w:val="00863E23"/>
    <w:rsid w:val="00867070"/>
    <w:rsid w:val="00874ABA"/>
    <w:rsid w:val="00874ECF"/>
    <w:rsid w:val="008835B9"/>
    <w:rsid w:val="00896585"/>
    <w:rsid w:val="008A1A4F"/>
    <w:rsid w:val="008A3C88"/>
    <w:rsid w:val="008A46B0"/>
    <w:rsid w:val="008B043D"/>
    <w:rsid w:val="008B1A24"/>
    <w:rsid w:val="008B20CB"/>
    <w:rsid w:val="008B293F"/>
    <w:rsid w:val="008B56B4"/>
    <w:rsid w:val="008C4D96"/>
    <w:rsid w:val="008C747A"/>
    <w:rsid w:val="008D2FE3"/>
    <w:rsid w:val="008D32BF"/>
    <w:rsid w:val="008D4BB4"/>
    <w:rsid w:val="008E32BA"/>
    <w:rsid w:val="008E46BD"/>
    <w:rsid w:val="008E5A91"/>
    <w:rsid w:val="00900E09"/>
    <w:rsid w:val="00904D95"/>
    <w:rsid w:val="00913886"/>
    <w:rsid w:val="009202AF"/>
    <w:rsid w:val="00921DC5"/>
    <w:rsid w:val="00923299"/>
    <w:rsid w:val="00925CE3"/>
    <w:rsid w:val="009262E2"/>
    <w:rsid w:val="00926728"/>
    <w:rsid w:val="0092702E"/>
    <w:rsid w:val="009276B5"/>
    <w:rsid w:val="00930E67"/>
    <w:rsid w:val="00933BD8"/>
    <w:rsid w:val="009374AE"/>
    <w:rsid w:val="00944CAC"/>
    <w:rsid w:val="009451B5"/>
    <w:rsid w:val="009467D1"/>
    <w:rsid w:val="00947CF3"/>
    <w:rsid w:val="00947D2C"/>
    <w:rsid w:val="0095537A"/>
    <w:rsid w:val="00962326"/>
    <w:rsid w:val="009708DE"/>
    <w:rsid w:val="00971EA0"/>
    <w:rsid w:val="0098103F"/>
    <w:rsid w:val="00986DBB"/>
    <w:rsid w:val="00986E05"/>
    <w:rsid w:val="00987871"/>
    <w:rsid w:val="00995D46"/>
    <w:rsid w:val="00996564"/>
    <w:rsid w:val="009A1D17"/>
    <w:rsid w:val="009A35FA"/>
    <w:rsid w:val="009B7ADC"/>
    <w:rsid w:val="009D119A"/>
    <w:rsid w:val="009E5183"/>
    <w:rsid w:val="009F1BD6"/>
    <w:rsid w:val="009F234C"/>
    <w:rsid w:val="009F3946"/>
    <w:rsid w:val="009F44FD"/>
    <w:rsid w:val="00A0218A"/>
    <w:rsid w:val="00A06B20"/>
    <w:rsid w:val="00A10A0A"/>
    <w:rsid w:val="00A13804"/>
    <w:rsid w:val="00A262B0"/>
    <w:rsid w:val="00A330ED"/>
    <w:rsid w:val="00A34004"/>
    <w:rsid w:val="00A43609"/>
    <w:rsid w:val="00A43714"/>
    <w:rsid w:val="00A45457"/>
    <w:rsid w:val="00A469FD"/>
    <w:rsid w:val="00A55FD0"/>
    <w:rsid w:val="00A71B66"/>
    <w:rsid w:val="00A732F1"/>
    <w:rsid w:val="00A73CFB"/>
    <w:rsid w:val="00A85692"/>
    <w:rsid w:val="00A9292C"/>
    <w:rsid w:val="00A95157"/>
    <w:rsid w:val="00AA288A"/>
    <w:rsid w:val="00AA5F0C"/>
    <w:rsid w:val="00AB7764"/>
    <w:rsid w:val="00AC2BA5"/>
    <w:rsid w:val="00AC3ED9"/>
    <w:rsid w:val="00AC7807"/>
    <w:rsid w:val="00AF2B98"/>
    <w:rsid w:val="00AF3C6E"/>
    <w:rsid w:val="00B101D8"/>
    <w:rsid w:val="00B108C6"/>
    <w:rsid w:val="00B1110F"/>
    <w:rsid w:val="00B12EAF"/>
    <w:rsid w:val="00B16BC1"/>
    <w:rsid w:val="00B42EAA"/>
    <w:rsid w:val="00B43424"/>
    <w:rsid w:val="00B463BC"/>
    <w:rsid w:val="00B50AE2"/>
    <w:rsid w:val="00B560AF"/>
    <w:rsid w:val="00B62482"/>
    <w:rsid w:val="00B671AF"/>
    <w:rsid w:val="00B711BA"/>
    <w:rsid w:val="00B71708"/>
    <w:rsid w:val="00B75CDC"/>
    <w:rsid w:val="00B83C5D"/>
    <w:rsid w:val="00BA15CF"/>
    <w:rsid w:val="00BB19A7"/>
    <w:rsid w:val="00BB245B"/>
    <w:rsid w:val="00BC0B48"/>
    <w:rsid w:val="00BC3A08"/>
    <w:rsid w:val="00BC7306"/>
    <w:rsid w:val="00BE2A2F"/>
    <w:rsid w:val="00BF5379"/>
    <w:rsid w:val="00BF64BB"/>
    <w:rsid w:val="00C04153"/>
    <w:rsid w:val="00C15CC6"/>
    <w:rsid w:val="00C24C6C"/>
    <w:rsid w:val="00C265FE"/>
    <w:rsid w:val="00C36837"/>
    <w:rsid w:val="00C40072"/>
    <w:rsid w:val="00C42D0D"/>
    <w:rsid w:val="00C458CC"/>
    <w:rsid w:val="00C53126"/>
    <w:rsid w:val="00C56E47"/>
    <w:rsid w:val="00C5789F"/>
    <w:rsid w:val="00C665C4"/>
    <w:rsid w:val="00C8111C"/>
    <w:rsid w:val="00C815C1"/>
    <w:rsid w:val="00C81AD5"/>
    <w:rsid w:val="00C90060"/>
    <w:rsid w:val="00C91983"/>
    <w:rsid w:val="00C928CF"/>
    <w:rsid w:val="00C941B8"/>
    <w:rsid w:val="00CA3A21"/>
    <w:rsid w:val="00CB16AC"/>
    <w:rsid w:val="00CB32FA"/>
    <w:rsid w:val="00CC7EC2"/>
    <w:rsid w:val="00CC7F68"/>
    <w:rsid w:val="00CD103F"/>
    <w:rsid w:val="00CD6526"/>
    <w:rsid w:val="00CD7943"/>
    <w:rsid w:val="00CE51E2"/>
    <w:rsid w:val="00CE7EDE"/>
    <w:rsid w:val="00D244E5"/>
    <w:rsid w:val="00D506D1"/>
    <w:rsid w:val="00D53754"/>
    <w:rsid w:val="00D605E8"/>
    <w:rsid w:val="00D63E02"/>
    <w:rsid w:val="00D64CB6"/>
    <w:rsid w:val="00D87EE4"/>
    <w:rsid w:val="00DA1D6D"/>
    <w:rsid w:val="00DA683A"/>
    <w:rsid w:val="00DA6C5D"/>
    <w:rsid w:val="00DB1E6D"/>
    <w:rsid w:val="00DD4232"/>
    <w:rsid w:val="00DD7F46"/>
    <w:rsid w:val="00DE0B36"/>
    <w:rsid w:val="00DE44FD"/>
    <w:rsid w:val="00DF5E7E"/>
    <w:rsid w:val="00E068B3"/>
    <w:rsid w:val="00E06BF1"/>
    <w:rsid w:val="00E2595E"/>
    <w:rsid w:val="00E348B8"/>
    <w:rsid w:val="00E36F0A"/>
    <w:rsid w:val="00E42813"/>
    <w:rsid w:val="00E42F83"/>
    <w:rsid w:val="00E57FBC"/>
    <w:rsid w:val="00E64FA8"/>
    <w:rsid w:val="00E75234"/>
    <w:rsid w:val="00E80305"/>
    <w:rsid w:val="00E84A0A"/>
    <w:rsid w:val="00E86368"/>
    <w:rsid w:val="00E87161"/>
    <w:rsid w:val="00E93D47"/>
    <w:rsid w:val="00E94FE0"/>
    <w:rsid w:val="00E9533B"/>
    <w:rsid w:val="00EA2E6C"/>
    <w:rsid w:val="00EA73C0"/>
    <w:rsid w:val="00EB1CFA"/>
    <w:rsid w:val="00EC6545"/>
    <w:rsid w:val="00ED723B"/>
    <w:rsid w:val="00ED7497"/>
    <w:rsid w:val="00EE200F"/>
    <w:rsid w:val="00EE3EEA"/>
    <w:rsid w:val="00EE4784"/>
    <w:rsid w:val="00EF083F"/>
    <w:rsid w:val="00EF1675"/>
    <w:rsid w:val="00EF1E64"/>
    <w:rsid w:val="00EF3A3D"/>
    <w:rsid w:val="00EF529A"/>
    <w:rsid w:val="00EF727C"/>
    <w:rsid w:val="00F126A6"/>
    <w:rsid w:val="00F13444"/>
    <w:rsid w:val="00F207D7"/>
    <w:rsid w:val="00F227F0"/>
    <w:rsid w:val="00F261BE"/>
    <w:rsid w:val="00F4739A"/>
    <w:rsid w:val="00F5341F"/>
    <w:rsid w:val="00F568DC"/>
    <w:rsid w:val="00F650DF"/>
    <w:rsid w:val="00F76AFA"/>
    <w:rsid w:val="00F87165"/>
    <w:rsid w:val="00F923E9"/>
    <w:rsid w:val="00F93F96"/>
    <w:rsid w:val="00F94FDD"/>
    <w:rsid w:val="00FA23B7"/>
    <w:rsid w:val="00FB340F"/>
    <w:rsid w:val="00FB7CAB"/>
    <w:rsid w:val="00FD3BB3"/>
    <w:rsid w:val="00FD420C"/>
    <w:rsid w:val="00FE1450"/>
    <w:rsid w:val="00FF4A1F"/>
    <w:rsid w:val="00FF6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F261BE"/>
    <w:pPr>
      <w:numPr>
        <w:ilvl w:val="1"/>
        <w:numId w:val="1"/>
      </w:numPr>
      <w:spacing w:before="120" w:after="0" w:line="240" w:lineRule="auto"/>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E94F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F261BE"/>
    <w:pPr>
      <w:numPr>
        <w:ilvl w:val="1"/>
        <w:numId w:val="1"/>
      </w:numPr>
      <w:spacing w:before="120" w:after="0" w:line="240" w:lineRule="auto"/>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E94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1197">
      <w:bodyDiv w:val="1"/>
      <w:marLeft w:val="0"/>
      <w:marRight w:val="0"/>
      <w:marTop w:val="0"/>
      <w:marBottom w:val="0"/>
      <w:divBdr>
        <w:top w:val="none" w:sz="0" w:space="0" w:color="auto"/>
        <w:left w:val="none" w:sz="0" w:space="0" w:color="auto"/>
        <w:bottom w:val="none" w:sz="0" w:space="0" w:color="auto"/>
        <w:right w:val="none" w:sz="0" w:space="0" w:color="auto"/>
      </w:divBdr>
    </w:div>
    <w:div w:id="269239466">
      <w:bodyDiv w:val="1"/>
      <w:marLeft w:val="0"/>
      <w:marRight w:val="0"/>
      <w:marTop w:val="0"/>
      <w:marBottom w:val="0"/>
      <w:divBdr>
        <w:top w:val="none" w:sz="0" w:space="0" w:color="auto"/>
        <w:left w:val="none" w:sz="0" w:space="0" w:color="auto"/>
        <w:bottom w:val="none" w:sz="0" w:space="0" w:color="auto"/>
        <w:right w:val="none" w:sz="0" w:space="0" w:color="auto"/>
      </w:divBdr>
    </w:div>
    <w:div w:id="459538777">
      <w:bodyDiv w:val="1"/>
      <w:marLeft w:val="0"/>
      <w:marRight w:val="0"/>
      <w:marTop w:val="0"/>
      <w:marBottom w:val="0"/>
      <w:divBdr>
        <w:top w:val="none" w:sz="0" w:space="0" w:color="auto"/>
        <w:left w:val="none" w:sz="0" w:space="0" w:color="auto"/>
        <w:bottom w:val="none" w:sz="0" w:space="0" w:color="auto"/>
        <w:right w:val="none" w:sz="0" w:space="0" w:color="auto"/>
      </w:divBdr>
    </w:div>
    <w:div w:id="576398896">
      <w:bodyDiv w:val="1"/>
      <w:marLeft w:val="0"/>
      <w:marRight w:val="0"/>
      <w:marTop w:val="0"/>
      <w:marBottom w:val="0"/>
      <w:divBdr>
        <w:top w:val="none" w:sz="0" w:space="0" w:color="auto"/>
        <w:left w:val="none" w:sz="0" w:space="0" w:color="auto"/>
        <w:bottom w:val="none" w:sz="0" w:space="0" w:color="auto"/>
        <w:right w:val="none" w:sz="0" w:space="0" w:color="auto"/>
      </w:divBdr>
    </w:div>
    <w:div w:id="682364509">
      <w:bodyDiv w:val="1"/>
      <w:marLeft w:val="0"/>
      <w:marRight w:val="0"/>
      <w:marTop w:val="0"/>
      <w:marBottom w:val="0"/>
      <w:divBdr>
        <w:top w:val="none" w:sz="0" w:space="0" w:color="auto"/>
        <w:left w:val="none" w:sz="0" w:space="0" w:color="auto"/>
        <w:bottom w:val="none" w:sz="0" w:space="0" w:color="auto"/>
        <w:right w:val="none" w:sz="0" w:space="0" w:color="auto"/>
      </w:divBdr>
    </w:div>
    <w:div w:id="1024139145">
      <w:bodyDiv w:val="1"/>
      <w:marLeft w:val="0"/>
      <w:marRight w:val="0"/>
      <w:marTop w:val="0"/>
      <w:marBottom w:val="0"/>
      <w:divBdr>
        <w:top w:val="none" w:sz="0" w:space="0" w:color="auto"/>
        <w:left w:val="none" w:sz="0" w:space="0" w:color="auto"/>
        <w:bottom w:val="none" w:sz="0" w:space="0" w:color="auto"/>
        <w:right w:val="none" w:sz="0" w:space="0" w:color="auto"/>
      </w:divBdr>
      <w:divsChild>
        <w:div w:id="1180660519">
          <w:marLeft w:val="0"/>
          <w:marRight w:val="0"/>
          <w:marTop w:val="100"/>
          <w:marBottom w:val="100"/>
          <w:divBdr>
            <w:top w:val="none" w:sz="0" w:space="0" w:color="auto"/>
            <w:left w:val="none" w:sz="0" w:space="0" w:color="auto"/>
            <w:bottom w:val="none" w:sz="0" w:space="0" w:color="auto"/>
            <w:right w:val="none" w:sz="0" w:space="0" w:color="auto"/>
          </w:divBdr>
          <w:divsChild>
            <w:div w:id="980573089">
              <w:marLeft w:val="0"/>
              <w:marRight w:val="0"/>
              <w:marTop w:val="0"/>
              <w:marBottom w:val="150"/>
              <w:divBdr>
                <w:top w:val="none" w:sz="0" w:space="0" w:color="auto"/>
                <w:left w:val="none" w:sz="0" w:space="0" w:color="auto"/>
                <w:bottom w:val="none" w:sz="0" w:space="0" w:color="auto"/>
                <w:right w:val="none" w:sz="0" w:space="0" w:color="auto"/>
              </w:divBdr>
              <w:divsChild>
                <w:div w:id="624430045">
                  <w:marLeft w:val="0"/>
                  <w:marRight w:val="0"/>
                  <w:marTop w:val="390"/>
                  <w:marBottom w:val="0"/>
                  <w:divBdr>
                    <w:top w:val="none" w:sz="0" w:space="0" w:color="auto"/>
                    <w:left w:val="none" w:sz="0" w:space="0" w:color="auto"/>
                    <w:bottom w:val="none" w:sz="0" w:space="0" w:color="auto"/>
                    <w:right w:val="none" w:sz="0" w:space="0" w:color="auto"/>
                  </w:divBdr>
                  <w:divsChild>
                    <w:div w:id="897207759">
                      <w:marLeft w:val="0"/>
                      <w:marRight w:val="0"/>
                      <w:marTop w:val="0"/>
                      <w:marBottom w:val="0"/>
                      <w:divBdr>
                        <w:top w:val="none" w:sz="0" w:space="0" w:color="auto"/>
                        <w:left w:val="none" w:sz="0" w:space="0" w:color="auto"/>
                        <w:bottom w:val="none" w:sz="0" w:space="0" w:color="auto"/>
                        <w:right w:val="none" w:sz="0" w:space="0" w:color="auto"/>
                      </w:divBdr>
                      <w:divsChild>
                        <w:div w:id="1265847326">
                          <w:marLeft w:val="0"/>
                          <w:marRight w:val="0"/>
                          <w:marTop w:val="0"/>
                          <w:marBottom w:val="0"/>
                          <w:divBdr>
                            <w:top w:val="none" w:sz="0" w:space="0" w:color="auto"/>
                            <w:left w:val="none" w:sz="0" w:space="0" w:color="auto"/>
                            <w:bottom w:val="none" w:sz="0" w:space="0" w:color="auto"/>
                            <w:right w:val="none" w:sz="0" w:space="0" w:color="auto"/>
                          </w:divBdr>
                          <w:divsChild>
                            <w:div w:id="1970817110">
                              <w:marLeft w:val="0"/>
                              <w:marRight w:val="0"/>
                              <w:marTop w:val="0"/>
                              <w:marBottom w:val="0"/>
                              <w:divBdr>
                                <w:top w:val="none" w:sz="0" w:space="0" w:color="auto"/>
                                <w:left w:val="none" w:sz="0" w:space="0" w:color="auto"/>
                                <w:bottom w:val="none" w:sz="0" w:space="0" w:color="auto"/>
                                <w:right w:val="none" w:sz="0" w:space="0" w:color="auto"/>
                              </w:divBdr>
                            </w:div>
                            <w:div w:id="816725865">
                              <w:marLeft w:val="0"/>
                              <w:marRight w:val="0"/>
                              <w:marTop w:val="0"/>
                              <w:marBottom w:val="0"/>
                              <w:divBdr>
                                <w:top w:val="none" w:sz="0" w:space="0" w:color="auto"/>
                                <w:left w:val="none" w:sz="0" w:space="0" w:color="auto"/>
                                <w:bottom w:val="none" w:sz="0" w:space="0" w:color="auto"/>
                                <w:right w:val="none" w:sz="0" w:space="0" w:color="auto"/>
                              </w:divBdr>
                            </w:div>
                          </w:divsChild>
                        </w:div>
                        <w:div w:id="267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1659">
                  <w:marLeft w:val="0"/>
                  <w:marRight w:val="0"/>
                  <w:marTop w:val="225"/>
                  <w:marBottom w:val="225"/>
                  <w:divBdr>
                    <w:top w:val="none" w:sz="0" w:space="0" w:color="auto"/>
                    <w:left w:val="none" w:sz="0" w:space="0" w:color="auto"/>
                    <w:bottom w:val="none" w:sz="0" w:space="0" w:color="auto"/>
                    <w:right w:val="none" w:sz="0" w:space="0" w:color="auto"/>
                  </w:divBdr>
                  <w:divsChild>
                    <w:div w:id="1619601053">
                      <w:marLeft w:val="0"/>
                      <w:marRight w:val="0"/>
                      <w:marTop w:val="0"/>
                      <w:marBottom w:val="0"/>
                      <w:divBdr>
                        <w:top w:val="none" w:sz="0" w:space="0" w:color="auto"/>
                        <w:left w:val="none" w:sz="0" w:space="0" w:color="auto"/>
                        <w:bottom w:val="none" w:sz="0" w:space="0" w:color="auto"/>
                        <w:right w:val="none" w:sz="0" w:space="0" w:color="auto"/>
                      </w:divBdr>
                      <w:divsChild>
                        <w:div w:id="214463462">
                          <w:marLeft w:val="0"/>
                          <w:marRight w:val="0"/>
                          <w:marTop w:val="0"/>
                          <w:marBottom w:val="0"/>
                          <w:divBdr>
                            <w:top w:val="none" w:sz="0" w:space="0" w:color="auto"/>
                            <w:left w:val="none" w:sz="0" w:space="0" w:color="auto"/>
                            <w:bottom w:val="none" w:sz="0" w:space="0" w:color="auto"/>
                            <w:right w:val="none" w:sz="0" w:space="0" w:color="auto"/>
                          </w:divBdr>
                          <w:divsChild>
                            <w:div w:id="1956592608">
                              <w:marLeft w:val="0"/>
                              <w:marRight w:val="0"/>
                              <w:marTop w:val="0"/>
                              <w:marBottom w:val="0"/>
                              <w:divBdr>
                                <w:top w:val="none" w:sz="0" w:space="0" w:color="auto"/>
                                <w:left w:val="none" w:sz="0" w:space="0" w:color="auto"/>
                                <w:bottom w:val="none" w:sz="0" w:space="0" w:color="auto"/>
                                <w:right w:val="none" w:sz="0" w:space="0" w:color="auto"/>
                              </w:divBdr>
                              <w:divsChild>
                                <w:div w:id="224489956">
                                  <w:marLeft w:val="0"/>
                                  <w:marRight w:val="0"/>
                                  <w:marTop w:val="0"/>
                                  <w:marBottom w:val="0"/>
                                  <w:divBdr>
                                    <w:top w:val="none" w:sz="0" w:space="0" w:color="auto"/>
                                    <w:left w:val="none" w:sz="0" w:space="0" w:color="auto"/>
                                    <w:bottom w:val="none" w:sz="0" w:space="0" w:color="auto"/>
                                    <w:right w:val="none" w:sz="0" w:space="0" w:color="auto"/>
                                  </w:divBdr>
                                  <w:divsChild>
                                    <w:div w:id="738601335">
                                      <w:marLeft w:val="0"/>
                                      <w:marRight w:val="0"/>
                                      <w:marTop w:val="0"/>
                                      <w:marBottom w:val="0"/>
                                      <w:divBdr>
                                        <w:top w:val="none" w:sz="0" w:space="0" w:color="auto"/>
                                        <w:left w:val="none" w:sz="0" w:space="0" w:color="auto"/>
                                        <w:bottom w:val="none" w:sz="0" w:space="0" w:color="auto"/>
                                        <w:right w:val="none" w:sz="0" w:space="0" w:color="auto"/>
                                      </w:divBdr>
                                    </w:div>
                                    <w:div w:id="632564722">
                                      <w:marLeft w:val="0"/>
                                      <w:marRight w:val="0"/>
                                      <w:marTop w:val="0"/>
                                      <w:marBottom w:val="0"/>
                                      <w:divBdr>
                                        <w:top w:val="none" w:sz="0" w:space="0" w:color="auto"/>
                                        <w:left w:val="none" w:sz="0" w:space="0" w:color="auto"/>
                                        <w:bottom w:val="none" w:sz="0" w:space="0" w:color="auto"/>
                                        <w:right w:val="none" w:sz="0" w:space="0" w:color="auto"/>
                                      </w:divBdr>
                                    </w:div>
                                    <w:div w:id="2122139571">
                                      <w:marLeft w:val="0"/>
                                      <w:marRight w:val="0"/>
                                      <w:marTop w:val="0"/>
                                      <w:marBottom w:val="0"/>
                                      <w:divBdr>
                                        <w:top w:val="none" w:sz="0" w:space="0" w:color="auto"/>
                                        <w:left w:val="none" w:sz="0" w:space="0" w:color="auto"/>
                                        <w:bottom w:val="none" w:sz="0" w:space="0" w:color="auto"/>
                                        <w:right w:val="none" w:sz="0" w:space="0" w:color="auto"/>
                                      </w:divBdr>
                                    </w:div>
                                    <w:div w:id="11761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6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85031803">
      <w:bodyDiv w:val="1"/>
      <w:marLeft w:val="0"/>
      <w:marRight w:val="0"/>
      <w:marTop w:val="0"/>
      <w:marBottom w:val="0"/>
      <w:divBdr>
        <w:top w:val="none" w:sz="0" w:space="0" w:color="auto"/>
        <w:left w:val="none" w:sz="0" w:space="0" w:color="auto"/>
        <w:bottom w:val="none" w:sz="0" w:space="0" w:color="auto"/>
        <w:right w:val="none" w:sz="0" w:space="0" w:color="auto"/>
      </w:divBdr>
    </w:div>
    <w:div w:id="1130829205">
      <w:bodyDiv w:val="1"/>
      <w:marLeft w:val="0"/>
      <w:marRight w:val="0"/>
      <w:marTop w:val="0"/>
      <w:marBottom w:val="0"/>
      <w:divBdr>
        <w:top w:val="none" w:sz="0" w:space="0" w:color="auto"/>
        <w:left w:val="none" w:sz="0" w:space="0" w:color="auto"/>
        <w:bottom w:val="none" w:sz="0" w:space="0" w:color="auto"/>
        <w:right w:val="none" w:sz="0" w:space="0" w:color="auto"/>
      </w:divBdr>
    </w:div>
    <w:div w:id="1294211294">
      <w:bodyDiv w:val="1"/>
      <w:marLeft w:val="0"/>
      <w:marRight w:val="0"/>
      <w:marTop w:val="0"/>
      <w:marBottom w:val="0"/>
      <w:divBdr>
        <w:top w:val="none" w:sz="0" w:space="0" w:color="auto"/>
        <w:left w:val="none" w:sz="0" w:space="0" w:color="auto"/>
        <w:bottom w:val="none" w:sz="0" w:space="0" w:color="auto"/>
        <w:right w:val="none" w:sz="0" w:space="0" w:color="auto"/>
      </w:divBdr>
    </w:div>
    <w:div w:id="1461873307">
      <w:bodyDiv w:val="1"/>
      <w:marLeft w:val="0"/>
      <w:marRight w:val="0"/>
      <w:marTop w:val="0"/>
      <w:marBottom w:val="0"/>
      <w:divBdr>
        <w:top w:val="none" w:sz="0" w:space="0" w:color="auto"/>
        <w:left w:val="none" w:sz="0" w:space="0" w:color="auto"/>
        <w:bottom w:val="none" w:sz="0" w:space="0" w:color="auto"/>
        <w:right w:val="none" w:sz="0" w:space="0" w:color="auto"/>
      </w:divBdr>
    </w:div>
    <w:div w:id="1513031427">
      <w:bodyDiv w:val="1"/>
      <w:marLeft w:val="0"/>
      <w:marRight w:val="0"/>
      <w:marTop w:val="0"/>
      <w:marBottom w:val="0"/>
      <w:divBdr>
        <w:top w:val="none" w:sz="0" w:space="0" w:color="auto"/>
        <w:left w:val="none" w:sz="0" w:space="0" w:color="auto"/>
        <w:bottom w:val="none" w:sz="0" w:space="0" w:color="auto"/>
        <w:right w:val="none" w:sz="0" w:space="0" w:color="auto"/>
      </w:divBdr>
    </w:div>
    <w:div w:id="18450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ov.uk/" TargetMode="External"/><Relationship Id="rId4" Type="http://schemas.microsoft.com/office/2007/relationships/stylesWithEffects" Target="stylesWithEffects.xml"/><Relationship Id="rId9" Type="http://schemas.openxmlformats.org/officeDocument/2006/relationships/hyperlink" Target="http://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4C34DD0-649F-4922-923E-690E8A105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1946</Words>
  <Characters>11096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13016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Wisely</dc:creator>
  <cp:lastModifiedBy>Leonard Key</cp:lastModifiedBy>
  <cp:revision>6</cp:revision>
  <cp:lastPrinted>2013-01-08T15:55:00Z</cp:lastPrinted>
  <dcterms:created xsi:type="dcterms:W3CDTF">2015-10-14T10:22:00Z</dcterms:created>
  <dcterms:modified xsi:type="dcterms:W3CDTF">2015-10-15T13:08:00Z</dcterms:modified>
</cp:coreProperties>
</file>