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DB847" w14:textId="77777777" w:rsidR="00063DEC" w:rsidRDefault="00063DEC" w:rsidP="00063DEC">
      <w:pPr>
        <w:rPr>
          <w:rFonts w:ascii="Calibri" w:hAnsi="Calibri" w:cs="Calibri"/>
          <w:b/>
          <w:sz w:val="24"/>
          <w:u w:val="single"/>
        </w:rPr>
      </w:pPr>
    </w:p>
    <w:p w14:paraId="4103521C" w14:textId="77777777" w:rsidR="00063DEC" w:rsidRDefault="00063DEC" w:rsidP="00693E42">
      <w:pPr>
        <w:jc w:val="center"/>
        <w:rPr>
          <w:rFonts w:ascii="Calibri" w:hAnsi="Calibri" w:cs="Calibri"/>
          <w:b/>
          <w:sz w:val="24"/>
          <w:u w:val="single"/>
        </w:rPr>
      </w:pPr>
    </w:p>
    <w:p w14:paraId="0F367A1E" w14:textId="243C4275" w:rsidR="00693E42" w:rsidRPr="00B0441D" w:rsidRDefault="00693E42" w:rsidP="00693E42">
      <w:pPr>
        <w:jc w:val="center"/>
        <w:rPr>
          <w:rFonts w:ascii="Calibri" w:hAnsi="Calibri" w:cs="Calibri"/>
          <w:b/>
          <w:sz w:val="24"/>
        </w:rPr>
      </w:pPr>
      <w:r w:rsidRPr="00B0441D">
        <w:rPr>
          <w:rFonts w:ascii="Calibri" w:hAnsi="Calibri" w:cs="Calibri"/>
          <w:b/>
          <w:sz w:val="24"/>
        </w:rPr>
        <w:t xml:space="preserve">Clinical Trial </w:t>
      </w:r>
      <w:r w:rsidR="00D75B91" w:rsidRPr="00B0441D">
        <w:rPr>
          <w:rFonts w:ascii="Calibri" w:hAnsi="Calibri" w:cs="Calibri"/>
          <w:b/>
          <w:sz w:val="24"/>
        </w:rPr>
        <w:t>Registration A</w:t>
      </w:r>
      <w:r w:rsidRPr="00B0441D">
        <w:rPr>
          <w:rFonts w:ascii="Calibri" w:hAnsi="Calibri" w:cs="Calibri"/>
          <w:b/>
          <w:sz w:val="24"/>
        </w:rPr>
        <w:t>udit</w:t>
      </w:r>
      <w:r w:rsidR="00D75B91" w:rsidRPr="00B0441D">
        <w:rPr>
          <w:rFonts w:ascii="Calibri" w:hAnsi="Calibri" w:cs="Calibri"/>
          <w:b/>
          <w:sz w:val="24"/>
        </w:rPr>
        <w:t xml:space="preserve"> Report</w:t>
      </w:r>
    </w:p>
    <w:p w14:paraId="685B0C97" w14:textId="07FEF68B" w:rsidR="007D14CD" w:rsidRPr="00B0441D" w:rsidRDefault="007D14CD" w:rsidP="00693E42">
      <w:pPr>
        <w:jc w:val="center"/>
        <w:rPr>
          <w:rFonts w:ascii="Calibri" w:hAnsi="Calibri" w:cs="Calibri"/>
          <w:b/>
          <w:sz w:val="24"/>
        </w:rPr>
      </w:pPr>
      <w:r w:rsidRPr="00B0441D">
        <w:rPr>
          <w:rFonts w:ascii="Calibri" w:hAnsi="Calibri" w:cs="Calibri"/>
          <w:b/>
          <w:sz w:val="24"/>
        </w:rPr>
        <w:t>September 2015</w:t>
      </w:r>
    </w:p>
    <w:p w14:paraId="3BA1DE74" w14:textId="77777777" w:rsidR="00693E42" w:rsidRPr="002C75AC" w:rsidRDefault="00693E42" w:rsidP="00F74E7D">
      <w:pPr>
        <w:jc w:val="center"/>
        <w:rPr>
          <w:rFonts w:ascii="Calibri" w:hAnsi="Calibri" w:cs="Calibri"/>
          <w:sz w:val="24"/>
        </w:rPr>
      </w:pPr>
    </w:p>
    <w:p w14:paraId="1157A9C4" w14:textId="77777777" w:rsidR="00B0441D" w:rsidRDefault="00B0441D" w:rsidP="00F74E7D">
      <w:pPr>
        <w:jc w:val="center"/>
        <w:rPr>
          <w:rFonts w:ascii="Calibri" w:hAnsi="Calibri" w:cs="Calibri"/>
          <w:b/>
          <w:sz w:val="24"/>
        </w:rPr>
      </w:pPr>
    </w:p>
    <w:p w14:paraId="6588BBE4" w14:textId="6EE2EBF6" w:rsidR="00693E42" w:rsidRPr="00481008" w:rsidRDefault="007E6F1A" w:rsidP="00F74E7D">
      <w:pPr>
        <w:jc w:val="center"/>
        <w:rPr>
          <w:rFonts w:ascii="Calibri" w:hAnsi="Calibri" w:cs="Calibri"/>
          <w:b/>
          <w:sz w:val="24"/>
        </w:rPr>
      </w:pPr>
      <w:r w:rsidRPr="00481008">
        <w:rPr>
          <w:rFonts w:ascii="Calibri" w:hAnsi="Calibri" w:cs="Calibri"/>
          <w:b/>
          <w:sz w:val="24"/>
        </w:rPr>
        <w:t>Background</w:t>
      </w:r>
    </w:p>
    <w:p w14:paraId="798A40E5" w14:textId="77777777" w:rsidR="00803DEA" w:rsidRDefault="00803DEA" w:rsidP="003424A9">
      <w:pPr>
        <w:jc w:val="both"/>
        <w:rPr>
          <w:rFonts w:ascii="Calibri" w:hAnsi="Calibri" w:cs="Calibri"/>
          <w:sz w:val="24"/>
        </w:rPr>
      </w:pPr>
    </w:p>
    <w:p w14:paraId="6B188850" w14:textId="77777777" w:rsidR="00B0441D" w:rsidRDefault="00B0441D" w:rsidP="003424A9">
      <w:pPr>
        <w:jc w:val="both"/>
        <w:rPr>
          <w:rFonts w:ascii="Calibri" w:hAnsi="Calibri" w:cs="Calibri"/>
          <w:sz w:val="24"/>
        </w:rPr>
      </w:pPr>
    </w:p>
    <w:p w14:paraId="5693286A" w14:textId="03E3667E" w:rsidR="00803DEA" w:rsidRDefault="00693E42" w:rsidP="003424A9">
      <w:pPr>
        <w:jc w:val="both"/>
        <w:rPr>
          <w:rFonts w:ascii="Calibri" w:hAnsi="Calibri" w:cs="Calibri"/>
          <w:sz w:val="24"/>
        </w:rPr>
      </w:pPr>
      <w:r w:rsidRPr="002C75AC">
        <w:rPr>
          <w:rFonts w:ascii="Calibri" w:hAnsi="Calibri" w:cs="Calibri"/>
          <w:sz w:val="24"/>
        </w:rPr>
        <w:t xml:space="preserve">Since </w:t>
      </w:r>
      <w:r w:rsidR="003C4470">
        <w:rPr>
          <w:rFonts w:ascii="Calibri" w:hAnsi="Calibri" w:cs="Calibri"/>
          <w:sz w:val="24"/>
        </w:rPr>
        <w:t xml:space="preserve">30 September </w:t>
      </w:r>
      <w:r w:rsidRPr="002C75AC">
        <w:rPr>
          <w:rFonts w:ascii="Calibri" w:hAnsi="Calibri" w:cs="Calibri"/>
          <w:sz w:val="24"/>
        </w:rPr>
        <w:t>2013, it has been a condition of the favourable ethical opinion for clinical trials (as defined by the first 4 categories on the IRAS form) to be registered on a publicly accessible database</w:t>
      </w:r>
      <w:r w:rsidR="00481008">
        <w:rPr>
          <w:rFonts w:ascii="Calibri" w:hAnsi="Calibri" w:cs="Calibri"/>
          <w:sz w:val="24"/>
        </w:rPr>
        <w:t>,</w:t>
      </w:r>
      <w:r w:rsidRPr="002C75AC">
        <w:rPr>
          <w:rFonts w:ascii="Calibri" w:hAnsi="Calibri" w:cs="Calibri"/>
          <w:sz w:val="24"/>
        </w:rPr>
        <w:t xml:space="preserve"> no later than 6 weeks after recruitment of the first participant into th</w:t>
      </w:r>
      <w:r w:rsidR="00803DEA">
        <w:rPr>
          <w:rFonts w:ascii="Calibri" w:hAnsi="Calibri" w:cs="Calibri"/>
          <w:sz w:val="24"/>
        </w:rPr>
        <w:t xml:space="preserve">e trial. </w:t>
      </w:r>
    </w:p>
    <w:p w14:paraId="590821E5" w14:textId="6FFA6B88" w:rsidR="00803DEA" w:rsidRPr="002C75AC" w:rsidRDefault="00E67CA3" w:rsidP="00803DEA">
      <w:pPr>
        <w:jc w:val="both"/>
        <w:rPr>
          <w:rFonts w:ascii="Calibri" w:hAnsi="Calibri" w:cs="Calibri"/>
          <w:sz w:val="24"/>
        </w:rPr>
      </w:pPr>
      <w:r w:rsidRPr="002C75AC">
        <w:rPr>
          <w:rFonts w:ascii="Calibri" w:hAnsi="Calibri" w:cs="Calibri"/>
          <w:sz w:val="24"/>
        </w:rPr>
        <w:t>The HRA recognises that in certain circumstances, such as where details of the clinical trials could be considered commercially confidential, deferral of registration would be acceptable. A simple deferral mechanism was therefore put in place</w:t>
      </w:r>
      <w:r w:rsidR="00803DEA">
        <w:rPr>
          <w:rFonts w:ascii="Calibri" w:hAnsi="Calibri" w:cs="Calibri"/>
          <w:sz w:val="24"/>
        </w:rPr>
        <w:t xml:space="preserve">, as an option for all trials where the effect of current EU legislation does not provide public registration (the effect of EU </w:t>
      </w:r>
      <w:r w:rsidR="00803DEA" w:rsidRPr="002C75AC">
        <w:rPr>
          <w:rFonts w:ascii="Calibri" w:hAnsi="Calibri" w:cs="Calibri"/>
          <w:sz w:val="24"/>
        </w:rPr>
        <w:t>legislation</w:t>
      </w:r>
      <w:r w:rsidR="00803DEA">
        <w:rPr>
          <w:rFonts w:ascii="Calibri" w:hAnsi="Calibri" w:cs="Calibri"/>
          <w:sz w:val="24"/>
        </w:rPr>
        <w:t xml:space="preserve"> is that Clinical Trials of Medicines are registered</w:t>
      </w:r>
      <w:r w:rsidR="00803DEA" w:rsidRPr="002C75AC">
        <w:rPr>
          <w:rFonts w:ascii="Calibri" w:hAnsi="Calibri" w:cs="Calibri"/>
          <w:sz w:val="24"/>
        </w:rPr>
        <w:t xml:space="preserve">. Although this legislation has specific exemption for Phase 1 </w:t>
      </w:r>
      <w:proofErr w:type="gramStart"/>
      <w:r w:rsidR="00803DEA" w:rsidRPr="002C75AC">
        <w:rPr>
          <w:rFonts w:ascii="Calibri" w:hAnsi="Calibri" w:cs="Calibri"/>
          <w:sz w:val="24"/>
        </w:rPr>
        <w:t>trials</w:t>
      </w:r>
      <w:proofErr w:type="gramEnd"/>
      <w:r w:rsidR="00803DEA" w:rsidRPr="002C75AC">
        <w:rPr>
          <w:rFonts w:ascii="Calibri" w:hAnsi="Calibri" w:cs="Calibri"/>
          <w:sz w:val="24"/>
        </w:rPr>
        <w:t xml:space="preserve"> involving healthy volunteers</w:t>
      </w:r>
      <w:r w:rsidR="00803DEA">
        <w:rPr>
          <w:rFonts w:ascii="Calibri" w:hAnsi="Calibri" w:cs="Calibri"/>
          <w:sz w:val="24"/>
        </w:rPr>
        <w:t>)</w:t>
      </w:r>
      <w:r w:rsidR="00803DEA" w:rsidRPr="002C75AC">
        <w:rPr>
          <w:rFonts w:ascii="Calibri" w:hAnsi="Calibri" w:cs="Calibri"/>
          <w:sz w:val="24"/>
        </w:rPr>
        <w:t xml:space="preserve">. </w:t>
      </w:r>
    </w:p>
    <w:p w14:paraId="6E4194EC" w14:textId="212505ED" w:rsidR="00E67CA3" w:rsidRDefault="00803DEA" w:rsidP="003424A9">
      <w:pPr>
        <w:jc w:val="both"/>
        <w:rPr>
          <w:rFonts w:ascii="Calibri" w:hAnsi="Calibri" w:cs="Calibri"/>
          <w:sz w:val="24"/>
        </w:rPr>
      </w:pPr>
      <w:r>
        <w:rPr>
          <w:rFonts w:ascii="Calibri" w:hAnsi="Calibri" w:cs="Calibri"/>
          <w:sz w:val="24"/>
        </w:rPr>
        <w:t xml:space="preserve">The HRA has therefore required research sponsors of new trials as a condition of the REC opinion since </w:t>
      </w:r>
      <w:r w:rsidR="00AB66E0">
        <w:rPr>
          <w:rFonts w:ascii="Calibri" w:hAnsi="Calibri" w:cs="Calibri"/>
          <w:sz w:val="24"/>
        </w:rPr>
        <w:t xml:space="preserve">30 September 2013 to </w:t>
      </w:r>
      <w:r w:rsidR="00F43DD2">
        <w:rPr>
          <w:rFonts w:ascii="Calibri" w:hAnsi="Calibri" w:cs="Calibri"/>
          <w:sz w:val="24"/>
        </w:rPr>
        <w:t xml:space="preserve">register trials or </w:t>
      </w:r>
      <w:r w:rsidR="00E67CA3" w:rsidRPr="002C75AC">
        <w:rPr>
          <w:rFonts w:ascii="Calibri" w:hAnsi="Calibri" w:cs="Calibri"/>
          <w:sz w:val="24"/>
        </w:rPr>
        <w:t>to request,</w:t>
      </w:r>
      <w:r>
        <w:rPr>
          <w:rFonts w:ascii="Calibri" w:hAnsi="Calibri" w:cs="Calibri"/>
          <w:sz w:val="24"/>
        </w:rPr>
        <w:t xml:space="preserve"> on a trial by trial basis, </w:t>
      </w:r>
      <w:r w:rsidR="00E67CA3" w:rsidRPr="002C75AC">
        <w:rPr>
          <w:rFonts w:ascii="Calibri" w:hAnsi="Calibri" w:cs="Calibri"/>
          <w:sz w:val="24"/>
        </w:rPr>
        <w:t>an agreed deferral to registration, with the expectation that assurance is given that the trial will be registered when no longer commercially confidential or immediately should the trial be terminated early for safety reasons.</w:t>
      </w:r>
    </w:p>
    <w:p w14:paraId="658089E0" w14:textId="3477C696" w:rsidR="003C4470" w:rsidRPr="00B0441D" w:rsidRDefault="003C4470" w:rsidP="003C4470">
      <w:pPr>
        <w:rPr>
          <w:rFonts w:ascii="Calibri" w:hAnsi="Calibri" w:cs="Calibri"/>
          <w:sz w:val="24"/>
        </w:rPr>
      </w:pPr>
      <w:r w:rsidRPr="00B0441D">
        <w:rPr>
          <w:rFonts w:ascii="Calibri" w:hAnsi="Calibri" w:cs="Calibri"/>
          <w:sz w:val="24"/>
        </w:rPr>
        <w:t xml:space="preserve">The HRA introduced the specific REC condition to register clinical trials in September 2013, to set out the expectations to register for all clinical trials as a requirement of the REC favourable condition from that point. The purpose of creating this ‘line in the sand’ is to sharpen focus and awareness of the need to register and to enable, when we do look later at </w:t>
      </w:r>
      <w:r w:rsidR="00B0441D" w:rsidRPr="00B0441D">
        <w:rPr>
          <w:rFonts w:ascii="Calibri" w:hAnsi="Calibri" w:cs="Calibri"/>
          <w:sz w:val="24"/>
        </w:rPr>
        <w:t xml:space="preserve">administrative </w:t>
      </w:r>
      <w:r w:rsidRPr="00B0441D">
        <w:rPr>
          <w:rFonts w:ascii="Calibri" w:hAnsi="Calibri" w:cs="Calibri"/>
          <w:sz w:val="24"/>
        </w:rPr>
        <w:t>measures and sanctions, to be able to apply them from that point to all clinical trials (not just those trials of medicines falling under current or n</w:t>
      </w:r>
      <w:r w:rsidR="00AB66E0">
        <w:rPr>
          <w:rFonts w:ascii="Calibri" w:hAnsi="Calibri" w:cs="Calibri"/>
          <w:sz w:val="24"/>
        </w:rPr>
        <w:t>ew EU clinical trial legislation</w:t>
      </w:r>
      <w:r w:rsidRPr="00B0441D">
        <w:rPr>
          <w:rFonts w:ascii="Calibri" w:hAnsi="Calibri" w:cs="Calibri"/>
          <w:sz w:val="24"/>
        </w:rPr>
        <w:t>).</w:t>
      </w:r>
      <w:r w:rsidR="00B0441D" w:rsidRPr="00B0441D">
        <w:rPr>
          <w:rFonts w:ascii="Calibri" w:hAnsi="Calibri" w:cs="Calibri"/>
          <w:sz w:val="24"/>
        </w:rPr>
        <w:t xml:space="preserve"> There are no HRA sanctions in place at this time.</w:t>
      </w:r>
    </w:p>
    <w:p w14:paraId="45DFB442" w14:textId="6F5ED1D6" w:rsidR="003C4470" w:rsidRPr="00B0441D" w:rsidRDefault="009B3AB0" w:rsidP="003424A9">
      <w:pPr>
        <w:jc w:val="both"/>
        <w:rPr>
          <w:rFonts w:ascii="Calibri" w:hAnsi="Calibri" w:cs="Calibri"/>
          <w:sz w:val="24"/>
        </w:rPr>
      </w:pPr>
      <w:r>
        <w:rPr>
          <w:rFonts w:ascii="Calibri" w:eastAsia="Calibri" w:hAnsi="Calibri" w:cs="Calibri"/>
          <w:color w:val="000000"/>
          <w:sz w:val="24"/>
        </w:rPr>
        <w:t xml:space="preserve">Where registration </w:t>
      </w:r>
      <w:r w:rsidR="00B0441D" w:rsidRPr="00B0441D">
        <w:rPr>
          <w:rFonts w:ascii="Calibri" w:eastAsia="Calibri" w:hAnsi="Calibri" w:cs="Calibri"/>
          <w:color w:val="000000"/>
          <w:sz w:val="24"/>
        </w:rPr>
        <w:t xml:space="preserve">is a specific condition of the REC favourable opinion for that trial, a sponsor will be in “serious breach”. Breaches are managed in accordance with REC standard operating procedures.  The HRA is not actively pursuing this route at this time, </w:t>
      </w:r>
      <w:r w:rsidR="00AB66E0">
        <w:rPr>
          <w:rFonts w:ascii="Calibri" w:eastAsia="Calibri" w:hAnsi="Calibri" w:cs="Calibri"/>
          <w:color w:val="000000"/>
          <w:sz w:val="24"/>
        </w:rPr>
        <w:t xml:space="preserve">the purpose of </w:t>
      </w:r>
      <w:r w:rsidR="00B0441D" w:rsidRPr="00B0441D">
        <w:rPr>
          <w:rFonts w:ascii="Calibri" w:eastAsia="Calibri" w:hAnsi="Calibri" w:cs="Calibri"/>
          <w:color w:val="000000"/>
          <w:sz w:val="24"/>
        </w:rPr>
        <w:t>this audit is to scope the issue and to work with and support sponsors and others to promote research transparency and clinical trial registration in line with HRA statutory responsibilities.</w:t>
      </w:r>
    </w:p>
    <w:p w14:paraId="6DF8DEA6" w14:textId="77777777" w:rsidR="00803DEA" w:rsidRDefault="00803DEA" w:rsidP="003424A9">
      <w:pPr>
        <w:jc w:val="both"/>
        <w:rPr>
          <w:rFonts w:ascii="Calibri" w:hAnsi="Calibri" w:cs="Calibri"/>
          <w:sz w:val="24"/>
        </w:rPr>
      </w:pPr>
    </w:p>
    <w:p w14:paraId="7F828228" w14:textId="77777777" w:rsidR="00803DEA" w:rsidRPr="002C75AC" w:rsidRDefault="00803DEA" w:rsidP="003424A9">
      <w:pPr>
        <w:jc w:val="both"/>
        <w:rPr>
          <w:rFonts w:ascii="Calibri" w:hAnsi="Calibri" w:cs="Calibri"/>
          <w:sz w:val="24"/>
        </w:rPr>
      </w:pPr>
    </w:p>
    <w:p w14:paraId="0377142E" w14:textId="77777777" w:rsidR="00160474" w:rsidRDefault="00160474" w:rsidP="00F74E7D">
      <w:pPr>
        <w:jc w:val="center"/>
        <w:rPr>
          <w:rFonts w:ascii="Calibri" w:hAnsi="Calibri" w:cs="Calibri"/>
          <w:b/>
          <w:sz w:val="24"/>
        </w:rPr>
      </w:pPr>
    </w:p>
    <w:p w14:paraId="499579DC" w14:textId="77777777" w:rsidR="009B3AB0" w:rsidRDefault="009B3AB0" w:rsidP="00F74E7D">
      <w:pPr>
        <w:jc w:val="center"/>
        <w:rPr>
          <w:rFonts w:ascii="Calibri" w:hAnsi="Calibri" w:cs="Calibri"/>
          <w:b/>
          <w:sz w:val="24"/>
        </w:rPr>
      </w:pPr>
    </w:p>
    <w:p w14:paraId="68F87CEF" w14:textId="77777777" w:rsidR="00E67CA3" w:rsidRPr="00481008" w:rsidRDefault="00E67CA3" w:rsidP="00F74E7D">
      <w:pPr>
        <w:jc w:val="center"/>
        <w:rPr>
          <w:rFonts w:ascii="Calibri" w:hAnsi="Calibri" w:cs="Calibri"/>
          <w:b/>
          <w:sz w:val="24"/>
        </w:rPr>
      </w:pPr>
      <w:r w:rsidRPr="00481008">
        <w:rPr>
          <w:rFonts w:ascii="Calibri" w:hAnsi="Calibri" w:cs="Calibri"/>
          <w:b/>
          <w:sz w:val="24"/>
        </w:rPr>
        <w:lastRenderedPageBreak/>
        <w:t>Method</w:t>
      </w:r>
    </w:p>
    <w:p w14:paraId="133A2A67" w14:textId="77777777" w:rsidR="00F43DD2" w:rsidRDefault="00F43DD2" w:rsidP="003424A9">
      <w:pPr>
        <w:jc w:val="both"/>
        <w:rPr>
          <w:rFonts w:ascii="Calibri" w:hAnsi="Calibri" w:cs="Calibri"/>
          <w:sz w:val="24"/>
        </w:rPr>
      </w:pPr>
    </w:p>
    <w:p w14:paraId="499CFF81" w14:textId="13C321D2" w:rsidR="00693E42" w:rsidRPr="002C75AC" w:rsidRDefault="00E67CA3" w:rsidP="003424A9">
      <w:pPr>
        <w:jc w:val="both"/>
        <w:rPr>
          <w:rFonts w:ascii="Calibri" w:hAnsi="Calibri" w:cs="Calibri"/>
          <w:sz w:val="24"/>
        </w:rPr>
      </w:pPr>
      <w:r w:rsidRPr="002C75AC">
        <w:rPr>
          <w:rFonts w:ascii="Calibri" w:hAnsi="Calibri" w:cs="Calibri"/>
          <w:sz w:val="24"/>
        </w:rPr>
        <w:t>Compliance with the requirement to register as a condition of the favourable opinion is monitored</w:t>
      </w:r>
      <w:r w:rsidR="00693E42" w:rsidRPr="002C75AC">
        <w:rPr>
          <w:rFonts w:ascii="Calibri" w:hAnsi="Calibri" w:cs="Calibri"/>
          <w:sz w:val="24"/>
        </w:rPr>
        <w:t xml:space="preserve"> by searching for clinical trials which have received a favourable opinion from a UK REC</w:t>
      </w:r>
      <w:r w:rsidR="002746BD">
        <w:rPr>
          <w:rFonts w:ascii="Calibri" w:hAnsi="Calibri" w:cs="Calibri"/>
          <w:sz w:val="24"/>
        </w:rPr>
        <w:t xml:space="preserve"> since 30 September 2013</w:t>
      </w:r>
      <w:r w:rsidR="00720A5D" w:rsidRPr="002C75AC">
        <w:rPr>
          <w:rFonts w:ascii="Calibri" w:hAnsi="Calibri" w:cs="Calibri"/>
          <w:sz w:val="24"/>
        </w:rPr>
        <w:t>, and where an allowed deferral is not in place,</w:t>
      </w:r>
      <w:r w:rsidR="00693E42" w:rsidRPr="002C75AC">
        <w:rPr>
          <w:rFonts w:ascii="Calibri" w:hAnsi="Calibri" w:cs="Calibri"/>
          <w:sz w:val="24"/>
        </w:rPr>
        <w:t xml:space="preserve"> on publicly accessible databases. CTIMPs, with the exception of Phase 1 trials involving healthy volunteers, are </w:t>
      </w:r>
      <w:r w:rsidR="00D75B91" w:rsidRPr="002C75AC">
        <w:rPr>
          <w:rFonts w:ascii="Calibri" w:hAnsi="Calibri" w:cs="Calibri"/>
          <w:sz w:val="24"/>
        </w:rPr>
        <w:t xml:space="preserve">always </w:t>
      </w:r>
      <w:r w:rsidR="00693E42" w:rsidRPr="002C75AC">
        <w:rPr>
          <w:rFonts w:ascii="Calibri" w:hAnsi="Calibri" w:cs="Calibri"/>
          <w:sz w:val="24"/>
        </w:rPr>
        <w:t xml:space="preserve">registered on the EU clinical trials register via </w:t>
      </w:r>
      <w:proofErr w:type="spellStart"/>
      <w:r w:rsidR="00693E42" w:rsidRPr="002C75AC">
        <w:rPr>
          <w:rFonts w:ascii="Calibri" w:hAnsi="Calibri" w:cs="Calibri"/>
          <w:sz w:val="24"/>
        </w:rPr>
        <w:t>EudraCT</w:t>
      </w:r>
      <w:proofErr w:type="spellEnd"/>
      <w:r w:rsidR="00693E42" w:rsidRPr="002C75AC">
        <w:rPr>
          <w:rFonts w:ascii="Calibri" w:hAnsi="Calibri" w:cs="Calibri"/>
          <w:sz w:val="24"/>
        </w:rPr>
        <w:t xml:space="preserve"> </w:t>
      </w:r>
      <w:r w:rsidR="00D75B91" w:rsidRPr="002C75AC">
        <w:rPr>
          <w:rFonts w:ascii="Calibri" w:hAnsi="Calibri" w:cs="Calibri"/>
          <w:sz w:val="24"/>
        </w:rPr>
        <w:t>and it can therefore be assumed that all CTIMPs have been registered and the monitoring therefore covers clinical trials other than CTIMPs</w:t>
      </w:r>
      <w:r w:rsidR="00F74E7D">
        <w:rPr>
          <w:rFonts w:ascii="Calibri" w:hAnsi="Calibri" w:cs="Calibri"/>
          <w:sz w:val="24"/>
        </w:rPr>
        <w:t>, with the exception of Phase 1 trial involving healthy volunteers</w:t>
      </w:r>
      <w:r w:rsidR="003424A9">
        <w:rPr>
          <w:rFonts w:ascii="Calibri" w:hAnsi="Calibri" w:cs="Calibri"/>
          <w:sz w:val="24"/>
        </w:rPr>
        <w:t>,</w:t>
      </w:r>
      <w:r w:rsidR="00F74E7D">
        <w:rPr>
          <w:rFonts w:ascii="Calibri" w:hAnsi="Calibri" w:cs="Calibri"/>
          <w:sz w:val="24"/>
        </w:rPr>
        <w:t xml:space="preserve"> which are monitored</w:t>
      </w:r>
      <w:r w:rsidR="00D75B91" w:rsidRPr="002C75AC">
        <w:rPr>
          <w:rFonts w:ascii="Calibri" w:hAnsi="Calibri" w:cs="Calibri"/>
          <w:sz w:val="24"/>
        </w:rPr>
        <w:t>.</w:t>
      </w:r>
    </w:p>
    <w:p w14:paraId="3C6F0743" w14:textId="4BFE452C" w:rsidR="003C4470" w:rsidRDefault="00F74E7D" w:rsidP="003424A9">
      <w:pPr>
        <w:jc w:val="both"/>
        <w:rPr>
          <w:rFonts w:ascii="Calibri" w:hAnsi="Calibri" w:cs="Calibri"/>
          <w:sz w:val="24"/>
        </w:rPr>
      </w:pPr>
      <w:r>
        <w:rPr>
          <w:rFonts w:ascii="Calibri" w:hAnsi="Calibri" w:cs="Calibri"/>
          <w:sz w:val="24"/>
        </w:rPr>
        <w:t>Publicly accessible d</w:t>
      </w:r>
      <w:r w:rsidR="00C054BF" w:rsidRPr="002C75AC">
        <w:rPr>
          <w:rFonts w:ascii="Calibri" w:hAnsi="Calibri" w:cs="Calibri"/>
          <w:sz w:val="24"/>
        </w:rPr>
        <w:t>atabases</w:t>
      </w:r>
      <w:r w:rsidR="00D43301">
        <w:rPr>
          <w:rFonts w:ascii="Calibri" w:hAnsi="Calibri" w:cs="Calibri"/>
          <w:sz w:val="24"/>
        </w:rPr>
        <w:t xml:space="preserve"> (</w:t>
      </w:r>
      <w:r>
        <w:rPr>
          <w:rFonts w:ascii="Calibri" w:hAnsi="Calibri" w:cs="Calibri"/>
          <w:sz w:val="24"/>
        </w:rPr>
        <w:t xml:space="preserve">primarily </w:t>
      </w:r>
      <w:r w:rsidR="00D43301">
        <w:rPr>
          <w:rFonts w:ascii="Calibri" w:hAnsi="Calibri" w:cs="Calibri"/>
          <w:sz w:val="24"/>
        </w:rPr>
        <w:t>clinicaltrials.gov and ISRCTN)</w:t>
      </w:r>
      <w:r w:rsidR="00C054BF" w:rsidRPr="002C75AC">
        <w:rPr>
          <w:rFonts w:ascii="Calibri" w:hAnsi="Calibri" w:cs="Calibri"/>
          <w:sz w:val="24"/>
        </w:rPr>
        <w:t xml:space="preserve"> were searched </w:t>
      </w:r>
      <w:r w:rsidR="00195090">
        <w:rPr>
          <w:rFonts w:ascii="Calibri" w:hAnsi="Calibri" w:cs="Calibri"/>
          <w:sz w:val="24"/>
        </w:rPr>
        <w:t xml:space="preserve">via google </w:t>
      </w:r>
      <w:r w:rsidR="00C054BF" w:rsidRPr="002C75AC">
        <w:rPr>
          <w:rFonts w:ascii="Calibri" w:hAnsi="Calibri" w:cs="Calibri"/>
          <w:sz w:val="24"/>
        </w:rPr>
        <w:t>using the full study title and</w:t>
      </w:r>
      <w:r>
        <w:rPr>
          <w:rFonts w:ascii="Calibri" w:hAnsi="Calibri" w:cs="Calibri"/>
          <w:sz w:val="24"/>
        </w:rPr>
        <w:t>,</w:t>
      </w:r>
      <w:r w:rsidR="00C054BF" w:rsidRPr="002C75AC">
        <w:rPr>
          <w:rFonts w:ascii="Calibri" w:hAnsi="Calibri" w:cs="Calibri"/>
          <w:sz w:val="24"/>
        </w:rPr>
        <w:t xml:space="preserve"> if the trial</w:t>
      </w:r>
      <w:r>
        <w:rPr>
          <w:rFonts w:ascii="Calibri" w:hAnsi="Calibri" w:cs="Calibri"/>
          <w:sz w:val="24"/>
        </w:rPr>
        <w:t xml:space="preserve"> could not be located using the title</w:t>
      </w:r>
      <w:r w:rsidR="00C054BF" w:rsidRPr="002C75AC">
        <w:rPr>
          <w:rFonts w:ascii="Calibri" w:hAnsi="Calibri" w:cs="Calibri"/>
          <w:sz w:val="24"/>
        </w:rPr>
        <w:t xml:space="preserve">, the REC reference was searched. </w:t>
      </w:r>
      <w:r w:rsidRPr="00F74E7D">
        <w:rPr>
          <w:rFonts w:ascii="Calibri" w:hAnsi="Calibri" w:cs="Calibri"/>
          <w:sz w:val="24"/>
        </w:rPr>
        <w:t xml:space="preserve">Where trials could not be located on a publicly accessible database, this does not necessarily mean that they have not been registered, nor does is necessarily mean </w:t>
      </w:r>
      <w:r w:rsidR="003C4470">
        <w:rPr>
          <w:rFonts w:ascii="Calibri" w:hAnsi="Calibri" w:cs="Calibri"/>
          <w:sz w:val="24"/>
        </w:rPr>
        <w:t xml:space="preserve">therefore </w:t>
      </w:r>
      <w:r w:rsidRPr="00F74E7D">
        <w:rPr>
          <w:rFonts w:ascii="Calibri" w:hAnsi="Calibri" w:cs="Calibri"/>
          <w:sz w:val="24"/>
        </w:rPr>
        <w:t>that the sponsor is in breach of the cond</w:t>
      </w:r>
      <w:r>
        <w:rPr>
          <w:rFonts w:ascii="Calibri" w:hAnsi="Calibri" w:cs="Calibri"/>
          <w:sz w:val="24"/>
        </w:rPr>
        <w:t xml:space="preserve">ition of the favourable opinion. </w:t>
      </w:r>
      <w:r w:rsidR="00C054BF" w:rsidRPr="002C75AC">
        <w:rPr>
          <w:rFonts w:ascii="Calibri" w:hAnsi="Calibri" w:cs="Calibri"/>
          <w:sz w:val="24"/>
        </w:rPr>
        <w:t xml:space="preserve">The requirement to register is no later than 6 weeks after recruitment of the first participant and this time point may not have been reached at the time of searching. </w:t>
      </w:r>
      <w:r w:rsidR="007A57D2">
        <w:rPr>
          <w:rFonts w:ascii="Calibri" w:hAnsi="Calibri" w:cs="Calibri"/>
          <w:sz w:val="24"/>
        </w:rPr>
        <w:t>The audit period goes up to 30 June 2015 which allows 7 weeks from the end of the reporting period to the date of the audit and it is unlikely that studies will have commenced immediately after the fav</w:t>
      </w:r>
      <w:r w:rsidR="00F24AE3">
        <w:rPr>
          <w:rFonts w:ascii="Calibri" w:hAnsi="Calibri" w:cs="Calibri"/>
          <w:sz w:val="24"/>
        </w:rPr>
        <w:t>ourable opinion has been issued; in which case there would be no expectation that these studies are registered at the point of audit. Further clarification will be sought from sponsors regarding the study status.</w:t>
      </w:r>
      <w:r w:rsidR="007A57D2">
        <w:rPr>
          <w:rFonts w:ascii="Calibri" w:hAnsi="Calibri" w:cs="Calibri"/>
          <w:sz w:val="24"/>
        </w:rPr>
        <w:t xml:space="preserve"> </w:t>
      </w:r>
      <w:r w:rsidR="00C054BF" w:rsidRPr="002C75AC">
        <w:rPr>
          <w:rFonts w:ascii="Calibri" w:hAnsi="Calibri" w:cs="Calibri"/>
          <w:sz w:val="24"/>
        </w:rPr>
        <w:t xml:space="preserve">Additionally, in some cases, not finding the trial may have been due to the search method rather than the trial not having been registered. </w:t>
      </w:r>
    </w:p>
    <w:p w14:paraId="52EEA841" w14:textId="1E49B3B9" w:rsidR="009D4336" w:rsidRDefault="00C054BF" w:rsidP="00864600">
      <w:pPr>
        <w:jc w:val="both"/>
        <w:rPr>
          <w:rFonts w:ascii="Calibri" w:hAnsi="Calibri" w:cs="Calibri"/>
          <w:sz w:val="24"/>
        </w:rPr>
      </w:pPr>
      <w:r w:rsidRPr="002C75AC">
        <w:rPr>
          <w:rFonts w:ascii="Calibri" w:hAnsi="Calibri" w:cs="Calibri"/>
          <w:sz w:val="24"/>
        </w:rPr>
        <w:t xml:space="preserve">The </w:t>
      </w:r>
      <w:r w:rsidR="003C4470">
        <w:rPr>
          <w:rFonts w:ascii="Calibri" w:hAnsi="Calibri" w:cs="Calibri"/>
          <w:sz w:val="24"/>
        </w:rPr>
        <w:t xml:space="preserve">proposed </w:t>
      </w:r>
      <w:r w:rsidRPr="002C75AC">
        <w:rPr>
          <w:rFonts w:ascii="Calibri" w:hAnsi="Calibri" w:cs="Calibri"/>
          <w:sz w:val="24"/>
        </w:rPr>
        <w:t>next phase will therefore involve writing to sponsors for the trials not located to request confirmation of whether the trial has been registered and if not, what is the reason for this and what is the expectation of the sponsor in terms of registering the trial.</w:t>
      </w:r>
      <w:r w:rsidR="00AB66E0">
        <w:rPr>
          <w:rFonts w:ascii="Calibri" w:hAnsi="Calibri" w:cs="Calibri"/>
          <w:sz w:val="24"/>
        </w:rPr>
        <w:t xml:space="preserve"> This </w:t>
      </w:r>
      <w:r w:rsidR="003C4470">
        <w:rPr>
          <w:rFonts w:ascii="Calibri" w:hAnsi="Calibri" w:cs="Calibri"/>
          <w:sz w:val="24"/>
        </w:rPr>
        <w:t xml:space="preserve">extends an exercise undertaken earlier this year and presented to the HRA Phase 1 Advisory Group. </w:t>
      </w:r>
    </w:p>
    <w:p w14:paraId="0C807D0D" w14:textId="77777777" w:rsidR="00864600" w:rsidRDefault="00864600" w:rsidP="00864600">
      <w:pPr>
        <w:jc w:val="both"/>
        <w:rPr>
          <w:rFonts w:ascii="Calibri" w:hAnsi="Calibri" w:cs="Calibri"/>
          <w:sz w:val="24"/>
        </w:rPr>
      </w:pPr>
    </w:p>
    <w:p w14:paraId="0F0A489D" w14:textId="77777777" w:rsidR="00864600" w:rsidRDefault="00864600" w:rsidP="00864600">
      <w:pPr>
        <w:jc w:val="both"/>
        <w:rPr>
          <w:rFonts w:ascii="Calibri" w:hAnsi="Calibri" w:cs="Calibri"/>
          <w:sz w:val="24"/>
        </w:rPr>
      </w:pPr>
      <w:bookmarkStart w:id="0" w:name="_GoBack"/>
      <w:bookmarkEnd w:id="0"/>
    </w:p>
    <w:p w14:paraId="18905F5E" w14:textId="77777777" w:rsidR="00864600" w:rsidRPr="00864600" w:rsidRDefault="00864600" w:rsidP="00864600">
      <w:pPr>
        <w:jc w:val="both"/>
        <w:rPr>
          <w:rFonts w:ascii="Calibri" w:hAnsi="Calibri" w:cs="Calibri"/>
          <w:sz w:val="24"/>
        </w:rPr>
      </w:pPr>
    </w:p>
    <w:p w14:paraId="6B5E30B9" w14:textId="17801183" w:rsidR="00F74E7D" w:rsidRPr="00AB66E0" w:rsidRDefault="00F74E7D" w:rsidP="00F74E7D">
      <w:pPr>
        <w:jc w:val="center"/>
        <w:rPr>
          <w:rFonts w:ascii="Calibri" w:hAnsi="Calibri" w:cs="Calibri"/>
          <w:b/>
          <w:sz w:val="24"/>
        </w:rPr>
      </w:pPr>
      <w:r w:rsidRPr="00AB66E0">
        <w:rPr>
          <w:rFonts w:ascii="Calibri" w:hAnsi="Calibri" w:cs="Calibri"/>
          <w:b/>
          <w:sz w:val="24"/>
        </w:rPr>
        <w:t>Audit findings</w:t>
      </w:r>
    </w:p>
    <w:p w14:paraId="09BD0BA5" w14:textId="631FDD2A" w:rsidR="00E67CA3" w:rsidRPr="00AB66E0" w:rsidRDefault="00BB4679" w:rsidP="00693E42">
      <w:pPr>
        <w:rPr>
          <w:rFonts w:ascii="Calibri" w:hAnsi="Calibri" w:cs="Calibri"/>
          <w:b/>
          <w:sz w:val="24"/>
          <w:u w:val="single"/>
        </w:rPr>
      </w:pPr>
      <w:r w:rsidRPr="00AB66E0">
        <w:rPr>
          <w:rFonts w:ascii="Calibri" w:hAnsi="Calibri" w:cs="Calibri"/>
          <w:b/>
          <w:sz w:val="24"/>
          <w:u w:val="single"/>
        </w:rPr>
        <w:t xml:space="preserve">Phase 1 Clinical </w:t>
      </w:r>
      <w:proofErr w:type="gramStart"/>
      <w:r w:rsidRPr="00AB66E0">
        <w:rPr>
          <w:rFonts w:ascii="Calibri" w:hAnsi="Calibri" w:cs="Calibri"/>
          <w:b/>
          <w:sz w:val="24"/>
          <w:u w:val="single"/>
        </w:rPr>
        <w:t>Trials</w:t>
      </w:r>
      <w:proofErr w:type="gramEnd"/>
    </w:p>
    <w:p w14:paraId="664C77BF" w14:textId="33F57A36" w:rsidR="00900FD4" w:rsidRPr="009D4336" w:rsidRDefault="00BB4679" w:rsidP="00693E42">
      <w:pPr>
        <w:rPr>
          <w:rFonts w:ascii="Calibri" w:hAnsi="Calibri" w:cs="Calibri"/>
          <w:szCs w:val="22"/>
        </w:rPr>
      </w:pPr>
      <w:r w:rsidRPr="00AB66E0">
        <w:rPr>
          <w:rFonts w:ascii="Calibri" w:hAnsi="Calibri" w:cs="Calibri"/>
          <w:sz w:val="24"/>
        </w:rPr>
        <w:t>The HRA has been monitoring compliance with the condition for Phase 1 trials since the condition was introduced in 2013. The data for Phase 1 trials therefore covers the period 1 October 2013 to 30 June 2015</w:t>
      </w:r>
      <w:r w:rsidRPr="009D4336">
        <w:rPr>
          <w:rFonts w:ascii="Calibri" w:hAnsi="Calibri" w:cs="Calibri"/>
          <w:szCs w:val="22"/>
        </w:rPr>
        <w:t>.</w:t>
      </w:r>
    </w:p>
    <w:tbl>
      <w:tblPr>
        <w:tblW w:w="9644" w:type="dxa"/>
        <w:tblInd w:w="103" w:type="dxa"/>
        <w:tblLook w:val="04A0" w:firstRow="1" w:lastRow="0" w:firstColumn="1" w:lastColumn="0" w:noHBand="0" w:noVBand="1"/>
      </w:tblPr>
      <w:tblGrid>
        <w:gridCol w:w="7660"/>
        <w:gridCol w:w="992"/>
        <w:gridCol w:w="992"/>
      </w:tblGrid>
      <w:tr w:rsidR="00B3519C" w:rsidRPr="009D4336" w14:paraId="76965125" w14:textId="08EB9408" w:rsidTr="00B3519C">
        <w:trPr>
          <w:trHeight w:val="300"/>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FC352" w14:textId="0746C83D" w:rsidR="00B3519C" w:rsidRPr="009D4336" w:rsidRDefault="00B3519C" w:rsidP="00BB4679">
            <w:pPr>
              <w:spacing w:after="0" w:line="240" w:lineRule="auto"/>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Total number of Phase 1 trials with a FO during the reporting period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86505A5" w14:textId="77777777" w:rsidR="00B3519C" w:rsidRPr="009D4336" w:rsidRDefault="00B3519C" w:rsidP="00BB4679">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325</w:t>
            </w:r>
          </w:p>
        </w:tc>
        <w:tc>
          <w:tcPr>
            <w:tcW w:w="992" w:type="dxa"/>
            <w:tcBorders>
              <w:top w:val="single" w:sz="4" w:space="0" w:color="auto"/>
              <w:left w:val="nil"/>
              <w:bottom w:val="single" w:sz="4" w:space="0" w:color="auto"/>
              <w:right w:val="single" w:sz="4" w:space="0" w:color="auto"/>
            </w:tcBorders>
          </w:tcPr>
          <w:p w14:paraId="509ABC5D" w14:textId="77777777" w:rsidR="00B3519C" w:rsidRPr="009D4336" w:rsidRDefault="00B3519C" w:rsidP="00BB4679">
            <w:pPr>
              <w:spacing w:after="0" w:line="240" w:lineRule="auto"/>
              <w:jc w:val="right"/>
              <w:rPr>
                <w:rFonts w:ascii="Calibri" w:eastAsia="Times New Roman" w:hAnsi="Calibri" w:cs="Calibri"/>
                <w:color w:val="000000"/>
                <w:szCs w:val="22"/>
                <w:lang w:eastAsia="en-GB"/>
              </w:rPr>
            </w:pPr>
          </w:p>
        </w:tc>
      </w:tr>
      <w:tr w:rsidR="00B3519C" w:rsidRPr="009D4336" w14:paraId="0D805DCF" w14:textId="5B39243C" w:rsidTr="00B3519C">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tcPr>
          <w:p w14:paraId="2F8A082D" w14:textId="109B9815" w:rsidR="00B3519C" w:rsidRPr="009D4336" w:rsidRDefault="00B3519C" w:rsidP="00BB4679">
            <w:pPr>
              <w:spacing w:after="0" w:line="240" w:lineRule="auto"/>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Total number of Phase 1 trials found on a publicly accessible database</w:t>
            </w:r>
          </w:p>
        </w:tc>
        <w:tc>
          <w:tcPr>
            <w:tcW w:w="992" w:type="dxa"/>
            <w:tcBorders>
              <w:top w:val="nil"/>
              <w:left w:val="nil"/>
              <w:bottom w:val="single" w:sz="4" w:space="0" w:color="auto"/>
              <w:right w:val="single" w:sz="4" w:space="0" w:color="auto"/>
            </w:tcBorders>
            <w:shd w:val="clear" w:color="auto" w:fill="auto"/>
            <w:noWrap/>
            <w:vAlign w:val="bottom"/>
          </w:tcPr>
          <w:p w14:paraId="5D688342" w14:textId="552D51E8" w:rsidR="00B3519C" w:rsidRPr="009D4336" w:rsidRDefault="00B3519C" w:rsidP="00BB4679">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208</w:t>
            </w:r>
          </w:p>
        </w:tc>
        <w:tc>
          <w:tcPr>
            <w:tcW w:w="992" w:type="dxa"/>
            <w:tcBorders>
              <w:top w:val="nil"/>
              <w:left w:val="nil"/>
              <w:bottom w:val="single" w:sz="4" w:space="0" w:color="auto"/>
              <w:right w:val="single" w:sz="4" w:space="0" w:color="auto"/>
            </w:tcBorders>
          </w:tcPr>
          <w:p w14:paraId="3A2FF394" w14:textId="580127E9" w:rsidR="00B3519C" w:rsidRPr="009D4336" w:rsidRDefault="0015745D" w:rsidP="00BB4679">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64%</w:t>
            </w:r>
          </w:p>
        </w:tc>
      </w:tr>
      <w:tr w:rsidR="00B3519C" w:rsidRPr="009D4336" w14:paraId="36975E75" w14:textId="5CA0502D" w:rsidTr="00B3519C">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7FB40035" w14:textId="4711FF63" w:rsidR="00B3519C" w:rsidRPr="009D4336" w:rsidRDefault="00B3519C" w:rsidP="00900FD4">
            <w:pPr>
              <w:spacing w:after="0" w:line="240" w:lineRule="auto"/>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 xml:space="preserve">Of the total number registered, those found on ISRCTN </w:t>
            </w:r>
          </w:p>
        </w:tc>
        <w:tc>
          <w:tcPr>
            <w:tcW w:w="992" w:type="dxa"/>
            <w:tcBorders>
              <w:top w:val="nil"/>
              <w:left w:val="nil"/>
              <w:bottom w:val="single" w:sz="4" w:space="0" w:color="auto"/>
              <w:right w:val="single" w:sz="4" w:space="0" w:color="auto"/>
            </w:tcBorders>
            <w:shd w:val="clear" w:color="auto" w:fill="auto"/>
            <w:noWrap/>
            <w:vAlign w:val="bottom"/>
            <w:hideMark/>
          </w:tcPr>
          <w:p w14:paraId="3778F68D" w14:textId="2AE5C03D" w:rsidR="00B3519C" w:rsidRPr="009D4336" w:rsidRDefault="00B3519C" w:rsidP="00BB4679">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(6)</w:t>
            </w:r>
          </w:p>
        </w:tc>
        <w:tc>
          <w:tcPr>
            <w:tcW w:w="992" w:type="dxa"/>
            <w:tcBorders>
              <w:top w:val="nil"/>
              <w:left w:val="nil"/>
              <w:bottom w:val="single" w:sz="4" w:space="0" w:color="auto"/>
              <w:right w:val="single" w:sz="4" w:space="0" w:color="auto"/>
            </w:tcBorders>
          </w:tcPr>
          <w:p w14:paraId="0D30BF45" w14:textId="3F64F448" w:rsidR="00B3519C" w:rsidRPr="009D4336" w:rsidRDefault="0015745D" w:rsidP="00BB4679">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(2%)</w:t>
            </w:r>
          </w:p>
        </w:tc>
      </w:tr>
      <w:tr w:rsidR="00B3519C" w:rsidRPr="009D4336" w14:paraId="3A5D0783" w14:textId="22266347" w:rsidTr="00B3519C">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680F832C" w14:textId="42715344" w:rsidR="00B3519C" w:rsidRPr="009D4336" w:rsidRDefault="00B3519C" w:rsidP="00BB4679">
            <w:pPr>
              <w:spacing w:after="0" w:line="240" w:lineRule="auto"/>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Of the total number registered, those found on clinicaltrials.gov</w:t>
            </w:r>
          </w:p>
        </w:tc>
        <w:tc>
          <w:tcPr>
            <w:tcW w:w="992" w:type="dxa"/>
            <w:tcBorders>
              <w:top w:val="nil"/>
              <w:left w:val="nil"/>
              <w:bottom w:val="single" w:sz="4" w:space="0" w:color="auto"/>
              <w:right w:val="single" w:sz="4" w:space="0" w:color="auto"/>
            </w:tcBorders>
            <w:shd w:val="clear" w:color="auto" w:fill="auto"/>
            <w:noWrap/>
            <w:vAlign w:val="bottom"/>
            <w:hideMark/>
          </w:tcPr>
          <w:p w14:paraId="36281291" w14:textId="40D0EF78" w:rsidR="00B3519C" w:rsidRPr="009D4336" w:rsidRDefault="00B3519C" w:rsidP="00BB4679">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(198)</w:t>
            </w:r>
          </w:p>
        </w:tc>
        <w:tc>
          <w:tcPr>
            <w:tcW w:w="992" w:type="dxa"/>
            <w:tcBorders>
              <w:top w:val="nil"/>
              <w:left w:val="nil"/>
              <w:bottom w:val="single" w:sz="4" w:space="0" w:color="auto"/>
              <w:right w:val="single" w:sz="4" w:space="0" w:color="auto"/>
            </w:tcBorders>
          </w:tcPr>
          <w:p w14:paraId="35BB70E3" w14:textId="4C019A3C" w:rsidR="00B3519C" w:rsidRPr="009D4336" w:rsidRDefault="0015745D" w:rsidP="00BB4679">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(61%)</w:t>
            </w:r>
          </w:p>
        </w:tc>
      </w:tr>
      <w:tr w:rsidR="00B3519C" w:rsidRPr="009D4336" w14:paraId="7BDA4C03" w14:textId="72E682FD" w:rsidTr="00B3519C">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3D3F0E2F" w14:textId="3DB5D287" w:rsidR="00B3519C" w:rsidRPr="009D4336" w:rsidRDefault="00B3519C" w:rsidP="00BB4679">
            <w:pPr>
              <w:spacing w:after="0" w:line="240" w:lineRule="auto"/>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The number of Phase 1 trials where a deferral was allowed</w:t>
            </w:r>
          </w:p>
        </w:tc>
        <w:tc>
          <w:tcPr>
            <w:tcW w:w="992" w:type="dxa"/>
            <w:tcBorders>
              <w:top w:val="nil"/>
              <w:left w:val="nil"/>
              <w:bottom w:val="single" w:sz="4" w:space="0" w:color="auto"/>
              <w:right w:val="single" w:sz="4" w:space="0" w:color="auto"/>
            </w:tcBorders>
            <w:shd w:val="clear" w:color="auto" w:fill="auto"/>
            <w:noWrap/>
            <w:vAlign w:val="bottom"/>
            <w:hideMark/>
          </w:tcPr>
          <w:p w14:paraId="370FFFEF" w14:textId="0158BB87" w:rsidR="00B3519C" w:rsidRPr="009D4336" w:rsidRDefault="00B3519C" w:rsidP="00BB4679">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49</w:t>
            </w:r>
          </w:p>
        </w:tc>
        <w:tc>
          <w:tcPr>
            <w:tcW w:w="992" w:type="dxa"/>
            <w:tcBorders>
              <w:top w:val="nil"/>
              <w:left w:val="nil"/>
              <w:bottom w:val="single" w:sz="4" w:space="0" w:color="auto"/>
              <w:right w:val="single" w:sz="4" w:space="0" w:color="auto"/>
            </w:tcBorders>
          </w:tcPr>
          <w:p w14:paraId="103C0B8A" w14:textId="7486D5FF" w:rsidR="00B3519C" w:rsidRPr="009D4336" w:rsidRDefault="0015745D" w:rsidP="00BB4679">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15%</w:t>
            </w:r>
          </w:p>
        </w:tc>
      </w:tr>
      <w:tr w:rsidR="00B3519C" w:rsidRPr="009D4336" w14:paraId="00ACAB77" w14:textId="6A9368B3" w:rsidTr="00B3519C">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00A30747" w14:textId="3C13BFFE" w:rsidR="00B3519C" w:rsidRPr="009D4336" w:rsidRDefault="00B3519C" w:rsidP="00BB4679">
            <w:pPr>
              <w:spacing w:after="0" w:line="240" w:lineRule="auto"/>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The number of Phase 1 trials that could not be found</w:t>
            </w:r>
          </w:p>
        </w:tc>
        <w:tc>
          <w:tcPr>
            <w:tcW w:w="992" w:type="dxa"/>
            <w:tcBorders>
              <w:top w:val="nil"/>
              <w:left w:val="nil"/>
              <w:bottom w:val="single" w:sz="4" w:space="0" w:color="auto"/>
              <w:right w:val="single" w:sz="4" w:space="0" w:color="auto"/>
            </w:tcBorders>
            <w:shd w:val="clear" w:color="auto" w:fill="auto"/>
            <w:noWrap/>
            <w:vAlign w:val="bottom"/>
            <w:hideMark/>
          </w:tcPr>
          <w:p w14:paraId="095AEFC2" w14:textId="77777777" w:rsidR="00B3519C" w:rsidRPr="009D4336" w:rsidRDefault="00B3519C" w:rsidP="00BB4679">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74</w:t>
            </w:r>
          </w:p>
        </w:tc>
        <w:tc>
          <w:tcPr>
            <w:tcW w:w="992" w:type="dxa"/>
            <w:tcBorders>
              <w:top w:val="nil"/>
              <w:left w:val="nil"/>
              <w:bottom w:val="single" w:sz="4" w:space="0" w:color="auto"/>
              <w:right w:val="single" w:sz="4" w:space="0" w:color="auto"/>
            </w:tcBorders>
          </w:tcPr>
          <w:p w14:paraId="34248461" w14:textId="73CC8E8C" w:rsidR="00B3519C" w:rsidRPr="009D4336" w:rsidRDefault="0015745D" w:rsidP="00BB4679">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23%</w:t>
            </w:r>
          </w:p>
        </w:tc>
      </w:tr>
    </w:tbl>
    <w:p w14:paraId="1C888807" w14:textId="4BAFAA63" w:rsidR="00FE2B86" w:rsidRPr="009D4336" w:rsidRDefault="00FE2B86" w:rsidP="00693E42">
      <w:pPr>
        <w:rPr>
          <w:rFonts w:ascii="Calibri" w:hAnsi="Calibri" w:cs="Calibri"/>
          <w:szCs w:val="22"/>
        </w:rPr>
      </w:pPr>
    </w:p>
    <w:p w14:paraId="68945630" w14:textId="1DBB69F3" w:rsidR="00D43301" w:rsidRPr="00AB66E0" w:rsidRDefault="00D43301" w:rsidP="00693E42">
      <w:pPr>
        <w:rPr>
          <w:rFonts w:ascii="Calibri" w:hAnsi="Calibri" w:cs="Calibri"/>
          <w:b/>
          <w:sz w:val="24"/>
          <w:u w:val="single"/>
        </w:rPr>
      </w:pPr>
      <w:r w:rsidRPr="00AB66E0">
        <w:rPr>
          <w:rFonts w:ascii="Calibri" w:hAnsi="Calibri" w:cs="Calibri"/>
          <w:b/>
          <w:sz w:val="24"/>
          <w:u w:val="single"/>
        </w:rPr>
        <w:t>Clinical trials of a medical device</w:t>
      </w:r>
    </w:p>
    <w:p w14:paraId="51DFD8F3" w14:textId="68D5F50C" w:rsidR="00D43301" w:rsidRDefault="00D43301" w:rsidP="00693E42">
      <w:pPr>
        <w:rPr>
          <w:rFonts w:ascii="Calibri" w:hAnsi="Calibri" w:cs="Calibri"/>
          <w:sz w:val="24"/>
        </w:rPr>
      </w:pPr>
      <w:r w:rsidRPr="00AB66E0">
        <w:rPr>
          <w:rFonts w:ascii="Calibri" w:hAnsi="Calibri" w:cs="Calibri"/>
          <w:sz w:val="24"/>
        </w:rPr>
        <w:t>The monitoring period for clinical trials of a medical device is 1 January 2015 to 30 June 2015.</w:t>
      </w:r>
    </w:p>
    <w:p w14:paraId="37BAB6E3" w14:textId="77777777" w:rsidR="00AB66E0" w:rsidRPr="00AB66E0" w:rsidRDefault="00AB66E0" w:rsidP="00693E42">
      <w:pPr>
        <w:rPr>
          <w:rFonts w:ascii="Calibri" w:hAnsi="Calibri" w:cs="Calibri"/>
          <w:sz w:val="24"/>
        </w:rPr>
      </w:pPr>
    </w:p>
    <w:tbl>
      <w:tblPr>
        <w:tblW w:w="9644" w:type="dxa"/>
        <w:tblInd w:w="103" w:type="dxa"/>
        <w:tblLook w:val="04A0" w:firstRow="1" w:lastRow="0" w:firstColumn="1" w:lastColumn="0" w:noHBand="0" w:noVBand="1"/>
      </w:tblPr>
      <w:tblGrid>
        <w:gridCol w:w="7660"/>
        <w:gridCol w:w="992"/>
        <w:gridCol w:w="992"/>
      </w:tblGrid>
      <w:tr w:rsidR="00B3519C" w:rsidRPr="009D4336" w14:paraId="2AEC06E9" w14:textId="4C882D80" w:rsidTr="00B3519C">
        <w:trPr>
          <w:trHeight w:val="300"/>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E325A" w14:textId="78433894" w:rsidR="00B3519C" w:rsidRPr="009D4336" w:rsidRDefault="00B3519C" w:rsidP="00D43301">
            <w:pPr>
              <w:spacing w:after="0" w:line="240" w:lineRule="auto"/>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Total number of medical device trials with a FO during the reporting period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F4E53A6" w14:textId="4485DC59" w:rsidR="00B3519C" w:rsidRPr="009D4336" w:rsidRDefault="00B3519C" w:rsidP="00464940">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169</w:t>
            </w:r>
          </w:p>
        </w:tc>
        <w:tc>
          <w:tcPr>
            <w:tcW w:w="992" w:type="dxa"/>
            <w:tcBorders>
              <w:top w:val="single" w:sz="4" w:space="0" w:color="auto"/>
              <w:left w:val="nil"/>
              <w:bottom w:val="single" w:sz="4" w:space="0" w:color="auto"/>
              <w:right w:val="single" w:sz="4" w:space="0" w:color="auto"/>
            </w:tcBorders>
          </w:tcPr>
          <w:p w14:paraId="1F4672CD" w14:textId="77777777" w:rsidR="00B3519C" w:rsidRPr="009D4336" w:rsidRDefault="00B3519C" w:rsidP="00464940">
            <w:pPr>
              <w:spacing w:after="0" w:line="240" w:lineRule="auto"/>
              <w:jc w:val="right"/>
              <w:rPr>
                <w:rFonts w:ascii="Calibri" w:eastAsia="Times New Roman" w:hAnsi="Calibri" w:cs="Calibri"/>
                <w:color w:val="000000"/>
                <w:szCs w:val="22"/>
                <w:lang w:eastAsia="en-GB"/>
              </w:rPr>
            </w:pPr>
          </w:p>
        </w:tc>
      </w:tr>
      <w:tr w:rsidR="00B3519C" w:rsidRPr="009D4336" w14:paraId="2EB0D969" w14:textId="6CAEDA24" w:rsidTr="00B3519C">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tcPr>
          <w:p w14:paraId="3BD1D902" w14:textId="4C7A6DB3" w:rsidR="00B3519C" w:rsidRPr="009D4336" w:rsidRDefault="00B3519C" w:rsidP="00D43301">
            <w:pPr>
              <w:spacing w:after="0" w:line="240" w:lineRule="auto"/>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Total number of medical device trials found on a publicly accessible database</w:t>
            </w:r>
          </w:p>
        </w:tc>
        <w:tc>
          <w:tcPr>
            <w:tcW w:w="992" w:type="dxa"/>
            <w:tcBorders>
              <w:top w:val="nil"/>
              <w:left w:val="nil"/>
              <w:bottom w:val="single" w:sz="4" w:space="0" w:color="auto"/>
              <w:right w:val="single" w:sz="4" w:space="0" w:color="auto"/>
            </w:tcBorders>
            <w:shd w:val="clear" w:color="auto" w:fill="auto"/>
            <w:noWrap/>
            <w:vAlign w:val="bottom"/>
          </w:tcPr>
          <w:p w14:paraId="7C7EFCB0" w14:textId="2959F3FB" w:rsidR="00B3519C" w:rsidRPr="009D4336" w:rsidRDefault="00B3519C" w:rsidP="00464940">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82</w:t>
            </w:r>
          </w:p>
        </w:tc>
        <w:tc>
          <w:tcPr>
            <w:tcW w:w="992" w:type="dxa"/>
            <w:tcBorders>
              <w:top w:val="nil"/>
              <w:left w:val="nil"/>
              <w:bottom w:val="single" w:sz="4" w:space="0" w:color="auto"/>
              <w:right w:val="single" w:sz="4" w:space="0" w:color="auto"/>
            </w:tcBorders>
          </w:tcPr>
          <w:p w14:paraId="0AF395B6" w14:textId="098574E4" w:rsidR="00B3519C" w:rsidRPr="009D4336" w:rsidRDefault="00B3519C" w:rsidP="00464940">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48</w:t>
            </w:r>
            <w:r w:rsidR="0015745D" w:rsidRPr="009D4336">
              <w:rPr>
                <w:rFonts w:ascii="Calibri" w:eastAsia="Times New Roman" w:hAnsi="Calibri" w:cs="Calibri"/>
                <w:color w:val="000000"/>
                <w:szCs w:val="22"/>
                <w:lang w:eastAsia="en-GB"/>
              </w:rPr>
              <w:t>%</w:t>
            </w:r>
          </w:p>
        </w:tc>
      </w:tr>
      <w:tr w:rsidR="00B3519C" w:rsidRPr="009D4336" w14:paraId="7F8A0F80" w14:textId="3DC319B2" w:rsidTr="00B3519C">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51915328" w14:textId="77777777" w:rsidR="00B3519C" w:rsidRPr="009D4336" w:rsidRDefault="00B3519C" w:rsidP="00464940">
            <w:pPr>
              <w:spacing w:after="0" w:line="240" w:lineRule="auto"/>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 xml:space="preserve">Of the total number registered, those found on ISRCTN </w:t>
            </w:r>
          </w:p>
        </w:tc>
        <w:tc>
          <w:tcPr>
            <w:tcW w:w="992" w:type="dxa"/>
            <w:tcBorders>
              <w:top w:val="nil"/>
              <w:left w:val="nil"/>
              <w:bottom w:val="single" w:sz="4" w:space="0" w:color="auto"/>
              <w:right w:val="single" w:sz="4" w:space="0" w:color="auto"/>
            </w:tcBorders>
            <w:shd w:val="clear" w:color="auto" w:fill="auto"/>
            <w:noWrap/>
            <w:vAlign w:val="bottom"/>
            <w:hideMark/>
          </w:tcPr>
          <w:p w14:paraId="4F300058" w14:textId="25F44AC9" w:rsidR="00B3519C" w:rsidRPr="009D4336" w:rsidRDefault="00B3519C" w:rsidP="00464940">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14</w:t>
            </w:r>
          </w:p>
        </w:tc>
        <w:tc>
          <w:tcPr>
            <w:tcW w:w="992" w:type="dxa"/>
            <w:tcBorders>
              <w:top w:val="nil"/>
              <w:left w:val="nil"/>
              <w:bottom w:val="single" w:sz="4" w:space="0" w:color="auto"/>
              <w:right w:val="single" w:sz="4" w:space="0" w:color="auto"/>
            </w:tcBorders>
          </w:tcPr>
          <w:p w14:paraId="00BD8C72" w14:textId="0AA4F250" w:rsidR="00B3519C" w:rsidRPr="009D4336" w:rsidRDefault="00B3519C" w:rsidP="00464940">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(8%)</w:t>
            </w:r>
          </w:p>
        </w:tc>
      </w:tr>
      <w:tr w:rsidR="00B3519C" w:rsidRPr="009D4336" w14:paraId="6FD3B3DE" w14:textId="02C1AF89" w:rsidTr="00B3519C">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6E81920A" w14:textId="77777777" w:rsidR="00B3519C" w:rsidRPr="009D4336" w:rsidRDefault="00B3519C" w:rsidP="00464940">
            <w:pPr>
              <w:spacing w:after="0" w:line="240" w:lineRule="auto"/>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Of the total number registered, those found on clinicaltrials.gov</w:t>
            </w:r>
          </w:p>
        </w:tc>
        <w:tc>
          <w:tcPr>
            <w:tcW w:w="992" w:type="dxa"/>
            <w:tcBorders>
              <w:top w:val="nil"/>
              <w:left w:val="nil"/>
              <w:bottom w:val="single" w:sz="4" w:space="0" w:color="auto"/>
              <w:right w:val="single" w:sz="4" w:space="0" w:color="auto"/>
            </w:tcBorders>
            <w:shd w:val="clear" w:color="auto" w:fill="auto"/>
            <w:noWrap/>
            <w:vAlign w:val="bottom"/>
            <w:hideMark/>
          </w:tcPr>
          <w:p w14:paraId="7BCC833D" w14:textId="27E5D0AC" w:rsidR="00B3519C" w:rsidRPr="009D4336" w:rsidRDefault="00B3519C" w:rsidP="00464940">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68</w:t>
            </w:r>
          </w:p>
        </w:tc>
        <w:tc>
          <w:tcPr>
            <w:tcW w:w="992" w:type="dxa"/>
            <w:tcBorders>
              <w:top w:val="nil"/>
              <w:left w:val="nil"/>
              <w:bottom w:val="single" w:sz="4" w:space="0" w:color="auto"/>
              <w:right w:val="single" w:sz="4" w:space="0" w:color="auto"/>
            </w:tcBorders>
          </w:tcPr>
          <w:p w14:paraId="5B77BE23" w14:textId="74F09AC3" w:rsidR="00B3519C" w:rsidRPr="009D4336" w:rsidRDefault="00B3519C" w:rsidP="00464940">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(40%)</w:t>
            </w:r>
          </w:p>
        </w:tc>
      </w:tr>
      <w:tr w:rsidR="00B3519C" w:rsidRPr="009D4336" w14:paraId="5DD181E6" w14:textId="1BC61FDE" w:rsidTr="00B3519C">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27A83D77" w14:textId="1FF70D75" w:rsidR="00B3519C" w:rsidRPr="009D4336" w:rsidRDefault="00B3519C" w:rsidP="00D43301">
            <w:pPr>
              <w:spacing w:after="0" w:line="240" w:lineRule="auto"/>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Total number of medical device trials not registered but details of the trial could be found on the UKCRN site</w:t>
            </w:r>
          </w:p>
        </w:tc>
        <w:tc>
          <w:tcPr>
            <w:tcW w:w="992" w:type="dxa"/>
            <w:tcBorders>
              <w:top w:val="nil"/>
              <w:left w:val="nil"/>
              <w:bottom w:val="single" w:sz="4" w:space="0" w:color="auto"/>
              <w:right w:val="single" w:sz="4" w:space="0" w:color="auto"/>
            </w:tcBorders>
            <w:shd w:val="clear" w:color="auto" w:fill="auto"/>
            <w:noWrap/>
            <w:vAlign w:val="bottom"/>
            <w:hideMark/>
          </w:tcPr>
          <w:p w14:paraId="7C4AD4C5" w14:textId="36830D2F" w:rsidR="00B3519C" w:rsidRPr="009D4336" w:rsidRDefault="00B3519C" w:rsidP="00464940">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19</w:t>
            </w:r>
          </w:p>
        </w:tc>
        <w:tc>
          <w:tcPr>
            <w:tcW w:w="992" w:type="dxa"/>
            <w:tcBorders>
              <w:top w:val="nil"/>
              <w:left w:val="nil"/>
              <w:bottom w:val="single" w:sz="4" w:space="0" w:color="auto"/>
              <w:right w:val="single" w:sz="4" w:space="0" w:color="auto"/>
            </w:tcBorders>
          </w:tcPr>
          <w:p w14:paraId="4D6E116B" w14:textId="77777777" w:rsidR="00B3519C" w:rsidRPr="009D4336" w:rsidRDefault="00B3519C" w:rsidP="00464940">
            <w:pPr>
              <w:spacing w:after="0" w:line="240" w:lineRule="auto"/>
              <w:jc w:val="right"/>
              <w:rPr>
                <w:rFonts w:ascii="Calibri" w:eastAsia="Times New Roman" w:hAnsi="Calibri" w:cs="Calibri"/>
                <w:color w:val="000000"/>
                <w:szCs w:val="22"/>
                <w:lang w:eastAsia="en-GB"/>
              </w:rPr>
            </w:pPr>
          </w:p>
          <w:p w14:paraId="1AC13608" w14:textId="129F02FA" w:rsidR="00B3519C" w:rsidRPr="009D4336" w:rsidRDefault="00B3519C" w:rsidP="00464940">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11%</w:t>
            </w:r>
          </w:p>
        </w:tc>
      </w:tr>
      <w:tr w:rsidR="00B3519C" w:rsidRPr="009D4336" w14:paraId="2A85C2F1" w14:textId="01429518" w:rsidTr="00B3519C">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497149F8" w14:textId="2567B17E" w:rsidR="00B3519C" w:rsidRPr="009D4336" w:rsidRDefault="00B3519C" w:rsidP="00D43301">
            <w:pPr>
              <w:spacing w:after="0" w:line="240" w:lineRule="auto"/>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The number of medical device trials that could not be found</w:t>
            </w:r>
          </w:p>
        </w:tc>
        <w:tc>
          <w:tcPr>
            <w:tcW w:w="992" w:type="dxa"/>
            <w:tcBorders>
              <w:top w:val="nil"/>
              <w:left w:val="nil"/>
              <w:bottom w:val="single" w:sz="4" w:space="0" w:color="auto"/>
              <w:right w:val="single" w:sz="4" w:space="0" w:color="auto"/>
            </w:tcBorders>
            <w:shd w:val="clear" w:color="auto" w:fill="auto"/>
            <w:noWrap/>
            <w:vAlign w:val="bottom"/>
            <w:hideMark/>
          </w:tcPr>
          <w:p w14:paraId="1A2F7AC6" w14:textId="5C9D8E7A" w:rsidR="00B3519C" w:rsidRPr="009D4336" w:rsidRDefault="00B3519C" w:rsidP="00464940">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68</w:t>
            </w:r>
          </w:p>
        </w:tc>
        <w:tc>
          <w:tcPr>
            <w:tcW w:w="992" w:type="dxa"/>
            <w:tcBorders>
              <w:top w:val="nil"/>
              <w:left w:val="nil"/>
              <w:bottom w:val="single" w:sz="4" w:space="0" w:color="auto"/>
              <w:right w:val="single" w:sz="4" w:space="0" w:color="auto"/>
            </w:tcBorders>
          </w:tcPr>
          <w:p w14:paraId="725E786E" w14:textId="7941E0C5" w:rsidR="00B3519C" w:rsidRPr="009D4336" w:rsidRDefault="00B3519C" w:rsidP="00464940">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40%</w:t>
            </w:r>
          </w:p>
        </w:tc>
      </w:tr>
    </w:tbl>
    <w:p w14:paraId="6E65D022" w14:textId="77777777" w:rsidR="009D4336" w:rsidRPr="009D4336" w:rsidRDefault="009D4336" w:rsidP="00693E42">
      <w:pPr>
        <w:rPr>
          <w:rFonts w:ascii="Calibri" w:hAnsi="Calibri" w:cs="Calibri"/>
          <w:szCs w:val="22"/>
        </w:rPr>
      </w:pPr>
    </w:p>
    <w:p w14:paraId="34746740" w14:textId="5F964AA7" w:rsidR="00E67CA3" w:rsidRPr="00AB66E0" w:rsidRDefault="002C75AC" w:rsidP="00693E42">
      <w:pPr>
        <w:rPr>
          <w:rFonts w:ascii="Calibri" w:hAnsi="Calibri" w:cs="Calibri"/>
          <w:b/>
          <w:sz w:val="24"/>
          <w:u w:val="single"/>
        </w:rPr>
      </w:pPr>
      <w:proofErr w:type="gramStart"/>
      <w:r w:rsidRPr="00AB66E0">
        <w:rPr>
          <w:rFonts w:ascii="Calibri" w:hAnsi="Calibri" w:cs="Calibri"/>
          <w:b/>
          <w:sz w:val="24"/>
          <w:u w:val="single"/>
        </w:rPr>
        <w:t>Clinical Trials other than CTIMPs or Medical Device trials.</w:t>
      </w:r>
      <w:proofErr w:type="gramEnd"/>
    </w:p>
    <w:p w14:paraId="30453DCB" w14:textId="566A8610" w:rsidR="00D43301" w:rsidRDefault="00D43301" w:rsidP="00693E42">
      <w:pPr>
        <w:rPr>
          <w:rFonts w:ascii="Calibri" w:hAnsi="Calibri" w:cs="Calibri"/>
          <w:sz w:val="24"/>
        </w:rPr>
      </w:pPr>
      <w:r w:rsidRPr="00AB66E0">
        <w:rPr>
          <w:rFonts w:ascii="Calibri" w:hAnsi="Calibri" w:cs="Calibri"/>
          <w:sz w:val="24"/>
        </w:rPr>
        <w:t>The monitoring period for ‘other’ clinical trials is 1 January 2015 to 30 June 2015.</w:t>
      </w:r>
    </w:p>
    <w:p w14:paraId="048A18AD" w14:textId="77777777" w:rsidR="00AB66E0" w:rsidRPr="00AB66E0" w:rsidRDefault="00AB66E0" w:rsidP="00693E42">
      <w:pPr>
        <w:rPr>
          <w:rFonts w:ascii="Calibri" w:hAnsi="Calibri" w:cs="Calibri"/>
          <w:sz w:val="24"/>
        </w:rPr>
      </w:pPr>
    </w:p>
    <w:tbl>
      <w:tblPr>
        <w:tblW w:w="9644" w:type="dxa"/>
        <w:tblInd w:w="103" w:type="dxa"/>
        <w:tblLook w:val="04A0" w:firstRow="1" w:lastRow="0" w:firstColumn="1" w:lastColumn="0" w:noHBand="0" w:noVBand="1"/>
      </w:tblPr>
      <w:tblGrid>
        <w:gridCol w:w="7660"/>
        <w:gridCol w:w="992"/>
        <w:gridCol w:w="992"/>
      </w:tblGrid>
      <w:tr w:rsidR="00B3519C" w:rsidRPr="009D4336" w14:paraId="2DD132B8" w14:textId="43A2D21C" w:rsidTr="00B3519C">
        <w:trPr>
          <w:trHeight w:val="300"/>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81DCB" w14:textId="5BE9EACF" w:rsidR="00B3519C" w:rsidRPr="009D4336" w:rsidRDefault="00B3519C" w:rsidP="00D43301">
            <w:pPr>
              <w:spacing w:after="0" w:line="240" w:lineRule="auto"/>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Total number of other trials with a FO during the reporting period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84BC4FF" w14:textId="2B1DC618" w:rsidR="00B3519C" w:rsidRPr="009D4336" w:rsidRDefault="00B3519C" w:rsidP="00464940">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300</w:t>
            </w:r>
          </w:p>
        </w:tc>
        <w:tc>
          <w:tcPr>
            <w:tcW w:w="992" w:type="dxa"/>
            <w:tcBorders>
              <w:top w:val="single" w:sz="4" w:space="0" w:color="auto"/>
              <w:left w:val="nil"/>
              <w:bottom w:val="single" w:sz="4" w:space="0" w:color="auto"/>
              <w:right w:val="single" w:sz="4" w:space="0" w:color="auto"/>
            </w:tcBorders>
          </w:tcPr>
          <w:p w14:paraId="5863679E" w14:textId="77777777" w:rsidR="00B3519C" w:rsidRPr="009D4336" w:rsidRDefault="00B3519C" w:rsidP="00464940">
            <w:pPr>
              <w:spacing w:after="0" w:line="240" w:lineRule="auto"/>
              <w:jc w:val="right"/>
              <w:rPr>
                <w:rFonts w:ascii="Calibri" w:eastAsia="Times New Roman" w:hAnsi="Calibri" w:cs="Calibri"/>
                <w:color w:val="000000"/>
                <w:szCs w:val="22"/>
                <w:lang w:eastAsia="en-GB"/>
              </w:rPr>
            </w:pPr>
          </w:p>
        </w:tc>
      </w:tr>
      <w:tr w:rsidR="00B3519C" w:rsidRPr="009D4336" w14:paraId="53AAA1ED" w14:textId="788B045E" w:rsidTr="00B3519C">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tcPr>
          <w:p w14:paraId="4D938CA4" w14:textId="37E1EBC1" w:rsidR="00B3519C" w:rsidRPr="009D4336" w:rsidRDefault="00B3519C" w:rsidP="00D43301">
            <w:pPr>
              <w:spacing w:after="0" w:line="240" w:lineRule="auto"/>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Total number of other trials found on a publicly accessible database</w:t>
            </w:r>
          </w:p>
        </w:tc>
        <w:tc>
          <w:tcPr>
            <w:tcW w:w="992" w:type="dxa"/>
            <w:tcBorders>
              <w:top w:val="nil"/>
              <w:left w:val="nil"/>
              <w:bottom w:val="single" w:sz="4" w:space="0" w:color="auto"/>
              <w:right w:val="single" w:sz="4" w:space="0" w:color="auto"/>
            </w:tcBorders>
            <w:shd w:val="clear" w:color="auto" w:fill="auto"/>
            <w:noWrap/>
            <w:vAlign w:val="bottom"/>
          </w:tcPr>
          <w:p w14:paraId="30875A94" w14:textId="58146FD1" w:rsidR="00B3519C" w:rsidRPr="009D4336" w:rsidRDefault="00B3519C" w:rsidP="00464940">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144</w:t>
            </w:r>
          </w:p>
        </w:tc>
        <w:tc>
          <w:tcPr>
            <w:tcW w:w="992" w:type="dxa"/>
            <w:tcBorders>
              <w:top w:val="nil"/>
              <w:left w:val="nil"/>
              <w:bottom w:val="single" w:sz="4" w:space="0" w:color="auto"/>
              <w:right w:val="single" w:sz="4" w:space="0" w:color="auto"/>
            </w:tcBorders>
          </w:tcPr>
          <w:p w14:paraId="0833808A" w14:textId="2D3F1571" w:rsidR="00B3519C" w:rsidRPr="009D4336" w:rsidRDefault="00B3519C" w:rsidP="00464940">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48%</w:t>
            </w:r>
          </w:p>
        </w:tc>
      </w:tr>
      <w:tr w:rsidR="00B3519C" w:rsidRPr="009D4336" w14:paraId="0611F38F" w14:textId="3AD6E14F" w:rsidTr="00B3519C">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5412E9D9" w14:textId="77777777" w:rsidR="00B3519C" w:rsidRPr="009D4336" w:rsidRDefault="00B3519C" w:rsidP="00464940">
            <w:pPr>
              <w:spacing w:after="0" w:line="240" w:lineRule="auto"/>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 xml:space="preserve">Of the total number registered, those found on ISRCTN </w:t>
            </w:r>
          </w:p>
        </w:tc>
        <w:tc>
          <w:tcPr>
            <w:tcW w:w="992" w:type="dxa"/>
            <w:tcBorders>
              <w:top w:val="nil"/>
              <w:left w:val="nil"/>
              <w:bottom w:val="single" w:sz="4" w:space="0" w:color="auto"/>
              <w:right w:val="single" w:sz="4" w:space="0" w:color="auto"/>
            </w:tcBorders>
            <w:shd w:val="clear" w:color="auto" w:fill="auto"/>
            <w:noWrap/>
            <w:vAlign w:val="bottom"/>
            <w:hideMark/>
          </w:tcPr>
          <w:p w14:paraId="74A2011F" w14:textId="231277CC" w:rsidR="00B3519C" w:rsidRPr="009D4336" w:rsidRDefault="00B3519C" w:rsidP="00464940">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75</w:t>
            </w:r>
          </w:p>
        </w:tc>
        <w:tc>
          <w:tcPr>
            <w:tcW w:w="992" w:type="dxa"/>
            <w:tcBorders>
              <w:top w:val="nil"/>
              <w:left w:val="nil"/>
              <w:bottom w:val="single" w:sz="4" w:space="0" w:color="auto"/>
              <w:right w:val="single" w:sz="4" w:space="0" w:color="auto"/>
            </w:tcBorders>
          </w:tcPr>
          <w:p w14:paraId="608E6FDC" w14:textId="68264A45" w:rsidR="00B3519C" w:rsidRPr="009D4336" w:rsidRDefault="00B3519C" w:rsidP="00464940">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(25%)</w:t>
            </w:r>
          </w:p>
        </w:tc>
      </w:tr>
      <w:tr w:rsidR="00B3519C" w:rsidRPr="009D4336" w14:paraId="1236E7BA" w14:textId="536634CB" w:rsidTr="00B3519C">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79B95AA3" w14:textId="77777777" w:rsidR="00B3519C" w:rsidRPr="009D4336" w:rsidRDefault="00B3519C" w:rsidP="00464940">
            <w:pPr>
              <w:spacing w:after="0" w:line="240" w:lineRule="auto"/>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Of the total number registered, those found on clinicaltrials.gov</w:t>
            </w:r>
          </w:p>
        </w:tc>
        <w:tc>
          <w:tcPr>
            <w:tcW w:w="992" w:type="dxa"/>
            <w:tcBorders>
              <w:top w:val="nil"/>
              <w:left w:val="nil"/>
              <w:bottom w:val="single" w:sz="4" w:space="0" w:color="auto"/>
              <w:right w:val="single" w:sz="4" w:space="0" w:color="auto"/>
            </w:tcBorders>
            <w:shd w:val="clear" w:color="auto" w:fill="auto"/>
            <w:noWrap/>
            <w:vAlign w:val="bottom"/>
            <w:hideMark/>
          </w:tcPr>
          <w:p w14:paraId="56D70710" w14:textId="168AA2E8" w:rsidR="00B3519C" w:rsidRPr="009D4336" w:rsidRDefault="00B3519C" w:rsidP="00464940">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69</w:t>
            </w:r>
          </w:p>
        </w:tc>
        <w:tc>
          <w:tcPr>
            <w:tcW w:w="992" w:type="dxa"/>
            <w:tcBorders>
              <w:top w:val="nil"/>
              <w:left w:val="nil"/>
              <w:bottom w:val="single" w:sz="4" w:space="0" w:color="auto"/>
              <w:right w:val="single" w:sz="4" w:space="0" w:color="auto"/>
            </w:tcBorders>
          </w:tcPr>
          <w:p w14:paraId="130442D7" w14:textId="1FFC1814" w:rsidR="00B3519C" w:rsidRPr="009D4336" w:rsidRDefault="00B3519C" w:rsidP="00464940">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(23%)</w:t>
            </w:r>
          </w:p>
        </w:tc>
      </w:tr>
      <w:tr w:rsidR="00B3519C" w:rsidRPr="009D4336" w14:paraId="5AE03789" w14:textId="2584E595" w:rsidTr="00B3519C">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5F648829" w14:textId="0292A0CF" w:rsidR="00B3519C" w:rsidRPr="009D4336" w:rsidRDefault="00B3519C" w:rsidP="00464940">
            <w:pPr>
              <w:spacing w:after="0" w:line="240" w:lineRule="auto"/>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Total number of other trials not registered but details of the trial could be found on the UKCRN site</w:t>
            </w:r>
          </w:p>
        </w:tc>
        <w:tc>
          <w:tcPr>
            <w:tcW w:w="992" w:type="dxa"/>
            <w:tcBorders>
              <w:top w:val="nil"/>
              <w:left w:val="nil"/>
              <w:bottom w:val="single" w:sz="4" w:space="0" w:color="auto"/>
              <w:right w:val="single" w:sz="4" w:space="0" w:color="auto"/>
            </w:tcBorders>
            <w:shd w:val="clear" w:color="auto" w:fill="auto"/>
            <w:noWrap/>
            <w:vAlign w:val="bottom"/>
            <w:hideMark/>
          </w:tcPr>
          <w:p w14:paraId="2EC87293" w14:textId="5F9850EE" w:rsidR="00B3519C" w:rsidRPr="009D4336" w:rsidRDefault="00B3519C" w:rsidP="00464940">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36</w:t>
            </w:r>
          </w:p>
        </w:tc>
        <w:tc>
          <w:tcPr>
            <w:tcW w:w="992" w:type="dxa"/>
            <w:tcBorders>
              <w:top w:val="nil"/>
              <w:left w:val="nil"/>
              <w:bottom w:val="single" w:sz="4" w:space="0" w:color="auto"/>
              <w:right w:val="single" w:sz="4" w:space="0" w:color="auto"/>
            </w:tcBorders>
          </w:tcPr>
          <w:p w14:paraId="25347708" w14:textId="77777777" w:rsidR="00B3519C" w:rsidRPr="009D4336" w:rsidRDefault="00B3519C" w:rsidP="00464940">
            <w:pPr>
              <w:spacing w:after="0" w:line="240" w:lineRule="auto"/>
              <w:jc w:val="right"/>
              <w:rPr>
                <w:rFonts w:ascii="Calibri" w:eastAsia="Times New Roman" w:hAnsi="Calibri" w:cs="Calibri"/>
                <w:color w:val="000000"/>
                <w:szCs w:val="22"/>
                <w:lang w:eastAsia="en-GB"/>
              </w:rPr>
            </w:pPr>
          </w:p>
          <w:p w14:paraId="766856CC" w14:textId="68C7377C" w:rsidR="00B3519C" w:rsidRPr="009D4336" w:rsidRDefault="00B3519C" w:rsidP="00464940">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12%</w:t>
            </w:r>
          </w:p>
        </w:tc>
      </w:tr>
      <w:tr w:rsidR="00B3519C" w:rsidRPr="009D4336" w14:paraId="600ABE7B" w14:textId="1BD6CFDD" w:rsidTr="00B3519C">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66BF5D35" w14:textId="711E1BCF" w:rsidR="00B3519C" w:rsidRPr="009D4336" w:rsidRDefault="00B3519C" w:rsidP="00D43301">
            <w:pPr>
              <w:spacing w:after="0" w:line="240" w:lineRule="auto"/>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The number of other trials that could not be found</w:t>
            </w:r>
          </w:p>
        </w:tc>
        <w:tc>
          <w:tcPr>
            <w:tcW w:w="992" w:type="dxa"/>
            <w:tcBorders>
              <w:top w:val="nil"/>
              <w:left w:val="nil"/>
              <w:bottom w:val="single" w:sz="4" w:space="0" w:color="auto"/>
              <w:right w:val="single" w:sz="4" w:space="0" w:color="auto"/>
            </w:tcBorders>
            <w:shd w:val="clear" w:color="auto" w:fill="auto"/>
            <w:noWrap/>
            <w:vAlign w:val="bottom"/>
            <w:hideMark/>
          </w:tcPr>
          <w:p w14:paraId="56679D4F" w14:textId="7165B291" w:rsidR="00B3519C" w:rsidRPr="009D4336" w:rsidRDefault="00B3519C" w:rsidP="00464940">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120</w:t>
            </w:r>
          </w:p>
        </w:tc>
        <w:tc>
          <w:tcPr>
            <w:tcW w:w="992" w:type="dxa"/>
            <w:tcBorders>
              <w:top w:val="nil"/>
              <w:left w:val="nil"/>
              <w:bottom w:val="single" w:sz="4" w:space="0" w:color="auto"/>
              <w:right w:val="single" w:sz="4" w:space="0" w:color="auto"/>
            </w:tcBorders>
          </w:tcPr>
          <w:p w14:paraId="1AF11F96" w14:textId="3DA8781F" w:rsidR="00B3519C" w:rsidRPr="009D4336" w:rsidRDefault="00B3519C" w:rsidP="00464940">
            <w:pPr>
              <w:spacing w:after="0" w:line="240" w:lineRule="auto"/>
              <w:jc w:val="right"/>
              <w:rPr>
                <w:rFonts w:ascii="Calibri" w:eastAsia="Times New Roman" w:hAnsi="Calibri" w:cs="Calibri"/>
                <w:color w:val="000000"/>
                <w:szCs w:val="22"/>
                <w:lang w:eastAsia="en-GB"/>
              </w:rPr>
            </w:pPr>
            <w:r w:rsidRPr="009D4336">
              <w:rPr>
                <w:rFonts w:ascii="Calibri" w:eastAsia="Times New Roman" w:hAnsi="Calibri" w:cs="Calibri"/>
                <w:color w:val="000000"/>
                <w:szCs w:val="22"/>
                <w:lang w:eastAsia="en-GB"/>
              </w:rPr>
              <w:t>40%</w:t>
            </w:r>
          </w:p>
        </w:tc>
      </w:tr>
    </w:tbl>
    <w:p w14:paraId="5EA49F74" w14:textId="77777777" w:rsidR="009D4336" w:rsidRDefault="009D4336" w:rsidP="00693E42">
      <w:pPr>
        <w:rPr>
          <w:rFonts w:ascii="Calibri" w:hAnsi="Calibri" w:cs="Calibri"/>
          <w:szCs w:val="22"/>
        </w:rPr>
      </w:pPr>
    </w:p>
    <w:p w14:paraId="23BACE6C" w14:textId="2D3DA588" w:rsidR="002C75AC" w:rsidRPr="00EC52E9" w:rsidRDefault="007D14CD" w:rsidP="00EC52E9">
      <w:pPr>
        <w:jc w:val="center"/>
        <w:rPr>
          <w:rFonts w:ascii="Calibri" w:hAnsi="Calibri" w:cs="Calibri"/>
          <w:b/>
          <w:szCs w:val="22"/>
        </w:rPr>
      </w:pPr>
      <w:r w:rsidRPr="00EC52E9">
        <w:rPr>
          <w:rFonts w:ascii="Calibri" w:hAnsi="Calibri" w:cs="Calibri"/>
          <w:b/>
          <w:szCs w:val="22"/>
        </w:rPr>
        <w:t>Next steps</w:t>
      </w:r>
    </w:p>
    <w:p w14:paraId="13F1EF9A" w14:textId="77777777" w:rsidR="002746BD" w:rsidRDefault="002746BD" w:rsidP="00EC52E9">
      <w:pPr>
        <w:jc w:val="both"/>
        <w:rPr>
          <w:rFonts w:ascii="Calibri" w:hAnsi="Calibri" w:cs="Calibri"/>
          <w:szCs w:val="22"/>
        </w:rPr>
      </w:pPr>
    </w:p>
    <w:p w14:paraId="5FDCBE15" w14:textId="001A763B" w:rsidR="002746BD" w:rsidRPr="00900FEE" w:rsidRDefault="001C149E" w:rsidP="00EC52E9">
      <w:pPr>
        <w:jc w:val="both"/>
        <w:rPr>
          <w:rFonts w:ascii="Calibri" w:hAnsi="Calibri" w:cs="Calibri"/>
          <w:sz w:val="24"/>
        </w:rPr>
      </w:pPr>
      <w:r w:rsidRPr="00900FEE">
        <w:rPr>
          <w:rFonts w:ascii="Calibri" w:hAnsi="Calibri" w:cs="Calibri"/>
          <w:sz w:val="24"/>
        </w:rPr>
        <w:t>For clinical trials approved since 30 September 2013 w</w:t>
      </w:r>
      <w:r w:rsidR="007A57D2" w:rsidRPr="00900FEE">
        <w:rPr>
          <w:rFonts w:ascii="Calibri" w:hAnsi="Calibri" w:cs="Calibri"/>
          <w:sz w:val="24"/>
        </w:rPr>
        <w:t xml:space="preserve">e will e-mail each sponsor where the clinical trial could not be located </w:t>
      </w:r>
      <w:r w:rsidR="002746BD" w:rsidRPr="00900FEE">
        <w:rPr>
          <w:rFonts w:ascii="Calibri" w:hAnsi="Calibri" w:cs="Calibri"/>
          <w:sz w:val="24"/>
        </w:rPr>
        <w:t xml:space="preserve">on a public register </w:t>
      </w:r>
      <w:r w:rsidR="007A57D2" w:rsidRPr="00900FEE">
        <w:rPr>
          <w:rFonts w:ascii="Calibri" w:hAnsi="Calibri" w:cs="Calibri"/>
          <w:sz w:val="24"/>
        </w:rPr>
        <w:t xml:space="preserve">and request details of registration or if not registered, details of why the trial is not registered and confirmation that the trial will be registered. </w:t>
      </w:r>
    </w:p>
    <w:p w14:paraId="357CEC53" w14:textId="17918E12" w:rsidR="00D75B91" w:rsidRPr="00900FEE" w:rsidRDefault="009D4336" w:rsidP="00EC52E9">
      <w:pPr>
        <w:jc w:val="both"/>
        <w:rPr>
          <w:rFonts w:ascii="Calibri" w:hAnsi="Calibri" w:cs="Calibri"/>
          <w:sz w:val="24"/>
        </w:rPr>
      </w:pPr>
      <w:r w:rsidRPr="00900FEE">
        <w:rPr>
          <w:rFonts w:ascii="Calibri" w:hAnsi="Calibri" w:cs="Calibri"/>
          <w:sz w:val="24"/>
        </w:rPr>
        <w:t xml:space="preserve">Additionally, since April 2015 the HRA </w:t>
      </w:r>
      <w:r w:rsidR="001C149E" w:rsidRPr="00900FEE">
        <w:rPr>
          <w:rFonts w:ascii="Calibri" w:hAnsi="Calibri" w:cs="Calibri"/>
          <w:sz w:val="24"/>
        </w:rPr>
        <w:t xml:space="preserve">has provided notice that it will extend this audit activity </w:t>
      </w:r>
      <w:r w:rsidR="002746BD" w:rsidRPr="00900FEE">
        <w:rPr>
          <w:rFonts w:ascii="Calibri" w:hAnsi="Calibri" w:cs="Calibri"/>
          <w:sz w:val="24"/>
        </w:rPr>
        <w:t>to check if</w:t>
      </w:r>
      <w:r w:rsidRPr="00900FEE">
        <w:rPr>
          <w:rFonts w:ascii="Calibri" w:hAnsi="Calibri" w:cs="Calibri"/>
          <w:sz w:val="24"/>
        </w:rPr>
        <w:t xml:space="preserve"> registration of clinical trials which received a favourable opinion before 30 September 2013</w:t>
      </w:r>
      <w:r w:rsidR="002746BD" w:rsidRPr="00900FEE">
        <w:rPr>
          <w:rFonts w:ascii="Calibri" w:hAnsi="Calibri" w:cs="Calibri"/>
          <w:sz w:val="24"/>
        </w:rPr>
        <w:t>,</w:t>
      </w:r>
      <w:r w:rsidRPr="00900FEE">
        <w:rPr>
          <w:rFonts w:ascii="Calibri" w:hAnsi="Calibri" w:cs="Calibri"/>
          <w:sz w:val="24"/>
        </w:rPr>
        <w:t xml:space="preserve"> which are in active recruitment</w:t>
      </w:r>
      <w:r w:rsidR="001C149E" w:rsidRPr="00900FEE">
        <w:rPr>
          <w:rFonts w:ascii="Calibri" w:hAnsi="Calibri" w:cs="Calibri"/>
          <w:sz w:val="24"/>
        </w:rPr>
        <w:t xml:space="preserve"> have been registered, where registration is a best practice standard not a condition of the favourable REC opinion</w:t>
      </w:r>
      <w:r w:rsidR="002746BD" w:rsidRPr="00900FEE">
        <w:rPr>
          <w:rFonts w:ascii="Calibri" w:hAnsi="Calibri" w:cs="Calibri"/>
          <w:sz w:val="24"/>
        </w:rPr>
        <w:t>. W</w:t>
      </w:r>
      <w:r w:rsidR="001C149E" w:rsidRPr="00900FEE">
        <w:rPr>
          <w:rFonts w:ascii="Calibri" w:hAnsi="Calibri" w:cs="Calibri"/>
          <w:sz w:val="24"/>
        </w:rPr>
        <w:t xml:space="preserve">here clinical trials </w:t>
      </w:r>
      <w:r w:rsidR="002746BD" w:rsidRPr="00900FEE">
        <w:rPr>
          <w:rFonts w:ascii="Calibri" w:hAnsi="Calibri" w:cs="Calibri"/>
          <w:sz w:val="24"/>
        </w:rPr>
        <w:t>cannot be found the HRA will extend an enquiry to the research sponsor against these existing best practice standards</w:t>
      </w:r>
      <w:r w:rsidRPr="00900FEE">
        <w:rPr>
          <w:rFonts w:ascii="Calibri" w:hAnsi="Calibri" w:cs="Calibri"/>
          <w:sz w:val="24"/>
        </w:rPr>
        <w:t xml:space="preserve">. </w:t>
      </w:r>
    </w:p>
    <w:p w14:paraId="7960B93E" w14:textId="0EF0599D" w:rsidR="00803DEA" w:rsidRDefault="00AB66E0" w:rsidP="00EC52E9">
      <w:pPr>
        <w:jc w:val="both"/>
        <w:rPr>
          <w:rFonts w:ascii="Calibri" w:hAnsi="Calibri" w:cs="Calibri"/>
          <w:szCs w:val="22"/>
        </w:rPr>
      </w:pPr>
      <w:r w:rsidRPr="00803DEA">
        <w:rPr>
          <w:rFonts w:ascii="Calibri" w:hAnsi="Calibri" w:cs="Calibri"/>
          <w:noProof/>
          <w:szCs w:val="22"/>
          <w:lang w:eastAsia="en-GB"/>
        </w:rPr>
        <mc:AlternateContent>
          <mc:Choice Requires="wps">
            <w:drawing>
              <wp:anchor distT="0" distB="0" distL="114300" distR="114300" simplePos="0" relativeHeight="251659264" behindDoc="0" locked="0" layoutInCell="1" allowOverlap="1" wp14:anchorId="705821AC" wp14:editId="6E896125">
                <wp:simplePos x="0" y="0"/>
                <wp:positionH relativeFrom="column">
                  <wp:align>center</wp:align>
                </wp:positionH>
                <wp:positionV relativeFrom="paragraph">
                  <wp:posOffset>0</wp:posOffset>
                </wp:positionV>
                <wp:extent cx="5463540" cy="1403985"/>
                <wp:effectExtent l="0" t="0" r="2286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403985"/>
                        </a:xfrm>
                        <a:prstGeom prst="rect">
                          <a:avLst/>
                        </a:prstGeom>
                        <a:solidFill>
                          <a:srgbClr val="FFFFFF"/>
                        </a:solidFill>
                        <a:ln w="9525">
                          <a:solidFill>
                            <a:srgbClr val="000000"/>
                          </a:solidFill>
                          <a:miter lim="800000"/>
                          <a:headEnd/>
                          <a:tailEnd/>
                        </a:ln>
                      </wps:spPr>
                      <wps:txbx>
                        <w:txbxContent>
                          <w:p w14:paraId="77037E73" w14:textId="77777777" w:rsidR="00803DEA" w:rsidRPr="00900FEE" w:rsidRDefault="00803DEA" w:rsidP="00803DEA">
                            <w:pPr>
                              <w:jc w:val="center"/>
                              <w:rPr>
                                <w:rFonts w:ascii="Calibri" w:hAnsi="Calibri" w:cs="Calibri"/>
                                <w:szCs w:val="22"/>
                              </w:rPr>
                            </w:pPr>
                            <w:r w:rsidRPr="00900FEE">
                              <w:rPr>
                                <w:rFonts w:ascii="Calibri" w:hAnsi="Calibri" w:cs="Calibri"/>
                                <w:szCs w:val="22"/>
                              </w:rPr>
                              <w:t>The HRA has reviewed this text to ensure greater consistency in the use of language in conveying standards that should be followed (ethical obligations or best practice) or must be followed (legal requirements) although readers are advised that the HRA holds both in high regard.</w:t>
                            </w:r>
                          </w:p>
                          <w:p w14:paraId="5C16ECB3" w14:textId="77777777" w:rsidR="00803DEA" w:rsidRPr="00900FEE" w:rsidRDefault="00803DEA" w:rsidP="00803DEA">
                            <w:pPr>
                              <w:rPr>
                                <w:rFonts w:ascii="Calibri" w:hAnsi="Calibri" w:cs="Calibri"/>
                                <w:szCs w:val="22"/>
                              </w:rPr>
                            </w:pPr>
                          </w:p>
                          <w:p w14:paraId="768370A8" w14:textId="77777777" w:rsidR="00803DEA" w:rsidRPr="00900FEE" w:rsidRDefault="00803DEA" w:rsidP="00803DEA">
                            <w:pPr>
                              <w:pStyle w:val="CommentText"/>
                              <w:jc w:val="center"/>
                              <w:rPr>
                                <w:rFonts w:ascii="Calibri" w:hAnsi="Calibri" w:cs="Calibri"/>
                                <w:b/>
                                <w:sz w:val="22"/>
                                <w:szCs w:val="22"/>
                              </w:rPr>
                            </w:pPr>
                            <w:r w:rsidRPr="00900FEE">
                              <w:rPr>
                                <w:rFonts w:ascii="Calibri" w:hAnsi="Calibri" w:cs="Calibri"/>
                                <w:b/>
                                <w:sz w:val="22"/>
                                <w:szCs w:val="22"/>
                              </w:rPr>
                              <w:t>The HRA website material is a statement of the HRA understanding. Whilst the reader is encouraged to seek further clarification from the HRA in respect of any queries via the queries line, it will be for the reader to take their own legal advice as to what their legal duties are.</w:t>
                            </w:r>
                          </w:p>
                          <w:p w14:paraId="3C04987C" w14:textId="7A785FE3" w:rsidR="00803DEA" w:rsidRDefault="00803D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30.2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34Iw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">
                <v:textbox style="mso-fit-shape-to-text:t">
                  <w:txbxContent>
                    <w:p w14:paraId="77037E73" w14:textId="77777777" w:rsidR="00803DEA" w:rsidRPr="00900FEE" w:rsidRDefault="00803DEA" w:rsidP="00803DEA">
                      <w:pPr>
                        <w:jc w:val="center"/>
                        <w:rPr>
                          <w:rFonts w:ascii="Calibri" w:hAnsi="Calibri" w:cs="Calibri"/>
                          <w:szCs w:val="22"/>
                        </w:rPr>
                      </w:pPr>
                      <w:r w:rsidRPr="00900FEE">
                        <w:rPr>
                          <w:rFonts w:ascii="Calibri" w:hAnsi="Calibri" w:cs="Calibri"/>
                          <w:szCs w:val="22"/>
                        </w:rPr>
                        <w:t>The HRA has reviewed this text to ensure greater consistency in the use of language in conveying standards that should be followed (ethical obligations or best practice) or must be followed (legal requirements) although readers are advised that the HRA holds both in high regard.</w:t>
                      </w:r>
                    </w:p>
                    <w:p w14:paraId="5C16ECB3" w14:textId="77777777" w:rsidR="00803DEA" w:rsidRPr="00900FEE" w:rsidRDefault="00803DEA" w:rsidP="00803DEA">
                      <w:pPr>
                        <w:rPr>
                          <w:rFonts w:ascii="Calibri" w:hAnsi="Calibri" w:cs="Calibri"/>
                          <w:szCs w:val="22"/>
                        </w:rPr>
                      </w:pPr>
                    </w:p>
                    <w:p w14:paraId="768370A8" w14:textId="77777777" w:rsidR="00803DEA" w:rsidRPr="00900FEE" w:rsidRDefault="00803DEA" w:rsidP="00803DEA">
                      <w:pPr>
                        <w:pStyle w:val="CommentText"/>
                        <w:jc w:val="center"/>
                        <w:rPr>
                          <w:rFonts w:ascii="Calibri" w:hAnsi="Calibri" w:cs="Calibri"/>
                          <w:b/>
                          <w:sz w:val="22"/>
                          <w:szCs w:val="22"/>
                        </w:rPr>
                      </w:pPr>
                      <w:r w:rsidRPr="00900FEE">
                        <w:rPr>
                          <w:rFonts w:ascii="Calibri" w:hAnsi="Calibri" w:cs="Calibri"/>
                          <w:b/>
                          <w:sz w:val="22"/>
                          <w:szCs w:val="22"/>
                        </w:rPr>
                        <w:t>The HRA website material is a statement of the HRA understanding. Whilst the reader is encouraged to seek further clarification from the HRA in respect of any queries via the queries line, it will be for the reader to take their own legal advice as to what their legal duties are.</w:t>
                      </w:r>
                    </w:p>
                    <w:p w14:paraId="3C04987C" w14:textId="7A785FE3" w:rsidR="00803DEA" w:rsidRDefault="00803DEA"/>
                  </w:txbxContent>
                </v:textbox>
              </v:shape>
            </w:pict>
          </mc:Fallback>
        </mc:AlternateContent>
      </w:r>
    </w:p>
    <w:p w14:paraId="0EAF7876" w14:textId="5E0C0A34" w:rsidR="00803DEA" w:rsidRPr="009D4336" w:rsidRDefault="00803DEA" w:rsidP="00EC52E9">
      <w:pPr>
        <w:jc w:val="both"/>
        <w:rPr>
          <w:rFonts w:ascii="Calibri" w:hAnsi="Calibri" w:cs="Calibri"/>
          <w:szCs w:val="22"/>
        </w:rPr>
      </w:pPr>
    </w:p>
    <w:p w14:paraId="014795ED" w14:textId="77777777" w:rsidR="00D75B91" w:rsidRDefault="00D75B91" w:rsidP="00693E42">
      <w:pPr>
        <w:rPr>
          <w:rFonts w:ascii="Arial" w:hAnsi="Arial" w:cs="Arial"/>
          <w:szCs w:val="22"/>
        </w:rPr>
      </w:pPr>
    </w:p>
    <w:p w14:paraId="41C3D5A0" w14:textId="77777777" w:rsidR="00803DEA" w:rsidRPr="009D4336" w:rsidRDefault="00803DEA" w:rsidP="00693E42">
      <w:pPr>
        <w:rPr>
          <w:rFonts w:ascii="Arial" w:hAnsi="Arial" w:cs="Arial"/>
          <w:szCs w:val="22"/>
        </w:rPr>
      </w:pPr>
    </w:p>
    <w:sectPr w:rsidR="00803DEA" w:rsidRPr="009D4336" w:rsidSect="00BA53C2">
      <w:headerReference w:type="default" r:id="rId8"/>
      <w:footerReference w:type="default" r:id="rId9"/>
      <w:headerReference w:type="first" r:id="rId10"/>
      <w:footerReference w:type="first" r:id="rId11"/>
      <w:pgSz w:w="11900" w:h="16840"/>
      <w:pgMar w:top="1985" w:right="964" w:bottom="1134" w:left="96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E6645" w14:textId="77777777" w:rsidR="0070231D" w:rsidRDefault="0070231D" w:rsidP="00234F6D">
      <w:r>
        <w:separator/>
      </w:r>
    </w:p>
  </w:endnote>
  <w:endnote w:type="continuationSeparator" w:id="0">
    <w:p w14:paraId="65EA8598" w14:textId="77777777" w:rsidR="0070231D" w:rsidRDefault="0070231D"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718409"/>
      <w:docPartObj>
        <w:docPartGallery w:val="Page Numbers (Bottom of Page)"/>
        <w:docPartUnique/>
      </w:docPartObj>
    </w:sdtPr>
    <w:sdtEndPr>
      <w:rPr>
        <w:noProof/>
      </w:rPr>
    </w:sdtEndPr>
    <w:sdtContent>
      <w:p w14:paraId="0197AAB6" w14:textId="7771B9AA" w:rsidR="003C2EEA" w:rsidRDefault="003C2EEA">
        <w:pPr>
          <w:pStyle w:val="Footer"/>
          <w:jc w:val="right"/>
        </w:pPr>
        <w:r>
          <w:fldChar w:fldCharType="begin"/>
        </w:r>
        <w:r>
          <w:instrText xml:space="preserve"> PAGE   \* MERGEFORMAT </w:instrText>
        </w:r>
        <w:r>
          <w:fldChar w:fldCharType="separate"/>
        </w:r>
        <w:r w:rsidR="00BC0857">
          <w:rPr>
            <w:noProof/>
          </w:rPr>
          <w:t>2</w:t>
        </w:r>
        <w:r>
          <w:rPr>
            <w:noProof/>
          </w:rPr>
          <w:fldChar w:fldCharType="end"/>
        </w:r>
      </w:p>
    </w:sdtContent>
  </w:sdt>
  <w:p w14:paraId="30437931" w14:textId="77FEB5F7" w:rsidR="005F7C56" w:rsidRDefault="005F7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7A712" w14:textId="78453EC4" w:rsidR="005F7C56" w:rsidRDefault="000C7CF4">
    <w:pPr>
      <w:pStyle w:val="Footer"/>
    </w:pPr>
    <w:r>
      <w:rPr>
        <w:noProof/>
        <w:lang w:eastAsia="en-GB"/>
      </w:rPr>
      <mc:AlternateContent>
        <mc:Choice Requires="wps">
          <w:drawing>
            <wp:anchor distT="0" distB="0" distL="114300" distR="114300" simplePos="0" relativeHeight="251663360" behindDoc="0" locked="0" layoutInCell="1" allowOverlap="1" wp14:anchorId="10CCEB66" wp14:editId="73E51D3B">
              <wp:simplePos x="0" y="0"/>
              <wp:positionH relativeFrom="column">
                <wp:posOffset>457200</wp:posOffset>
              </wp:positionH>
              <wp:positionV relativeFrom="paragraph">
                <wp:posOffset>198755</wp:posOffset>
              </wp:positionV>
              <wp:extent cx="5865690" cy="0"/>
              <wp:effectExtent l="0" t="0" r="27305" b="25400"/>
              <wp:wrapNone/>
              <wp:docPr id="3" name="Straight Connector 3"/>
              <wp:cNvGraphicFramePr/>
              <a:graphic xmlns:a="http://schemas.openxmlformats.org/drawingml/2006/main">
                <a:graphicData uri="http://schemas.microsoft.com/office/word/2010/wordprocessingShape">
                  <wps:wsp>
                    <wps:cNvCnPr/>
                    <wps:spPr>
                      <a:xfrm>
                        <a:off x="0" y="0"/>
                        <a:ext cx="5865690"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65pt" to="497.8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" strokecolor="#f79646 [3209]" strokeweight="2pt"/>
          </w:pict>
        </mc:Fallback>
      </mc:AlternateContent>
    </w:r>
    <w:r w:rsidR="005F7C56">
      <w:rPr>
        <w:noProof/>
        <w:lang w:eastAsia="en-GB"/>
      </w:rPr>
      <w:drawing>
        <wp:anchor distT="0" distB="0" distL="114300" distR="114300" simplePos="0" relativeHeight="251658240" behindDoc="1" locked="0" layoutInCell="1" allowOverlap="1" wp14:anchorId="2B20E491" wp14:editId="7FA0B4C6">
          <wp:simplePos x="0" y="0"/>
          <wp:positionH relativeFrom="column">
            <wp:posOffset>-19050</wp:posOffset>
          </wp:positionH>
          <wp:positionV relativeFrom="paragraph">
            <wp:posOffset>635</wp:posOffset>
          </wp:positionV>
          <wp:extent cx="362712" cy="359664"/>
          <wp:effectExtent l="77788" t="74612" r="20002" b="96203"/>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2712" cy="3596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451B8" w14:textId="77777777" w:rsidR="0070231D" w:rsidRDefault="0070231D" w:rsidP="00234F6D">
      <w:r>
        <w:separator/>
      </w:r>
    </w:p>
  </w:footnote>
  <w:footnote w:type="continuationSeparator" w:id="0">
    <w:p w14:paraId="4041949B" w14:textId="77777777" w:rsidR="0070231D" w:rsidRDefault="0070231D" w:rsidP="0023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D51B" w14:textId="218EB056" w:rsidR="005F7C56" w:rsidRDefault="005F7C56">
    <w:pPr>
      <w:pStyle w:val="Header"/>
    </w:pPr>
    <w:r>
      <w:rPr>
        <w:noProof/>
        <w:lang w:eastAsia="en-GB"/>
      </w:rPr>
      <w:drawing>
        <wp:anchor distT="0" distB="0" distL="114300" distR="114300" simplePos="0" relativeHeight="251661312" behindDoc="0" locked="0" layoutInCell="1" allowOverlap="1" wp14:anchorId="725A8C99" wp14:editId="37E0D1A6">
          <wp:simplePos x="0" y="0"/>
          <wp:positionH relativeFrom="column">
            <wp:posOffset>4158615</wp:posOffset>
          </wp:positionH>
          <wp:positionV relativeFrom="paragraph">
            <wp:posOffset>6985</wp:posOffset>
          </wp:positionV>
          <wp:extent cx="2171065" cy="53784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2171065" cy="5378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4277" w14:textId="79906441" w:rsidR="005F7C56" w:rsidRPr="00234F6D" w:rsidRDefault="005F7C56" w:rsidP="00BE008E">
    <w:r>
      <w:rPr>
        <w:noProof/>
        <w:lang w:eastAsia="en-GB"/>
      </w:rPr>
      <w:drawing>
        <wp:anchor distT="0" distB="0" distL="114300" distR="114300" simplePos="0" relativeHeight="251662336" behindDoc="0" locked="0" layoutInCell="1" allowOverlap="1" wp14:anchorId="01A422FA" wp14:editId="693F32AC">
          <wp:simplePos x="0" y="0"/>
          <wp:positionH relativeFrom="column">
            <wp:posOffset>3304540</wp:posOffset>
          </wp:positionH>
          <wp:positionV relativeFrom="paragraph">
            <wp:posOffset>6350</wp:posOffset>
          </wp:positionV>
          <wp:extent cx="3042920" cy="75374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0B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4D066EA"/>
    <w:lvl w:ilvl="0">
      <w:start w:val="1"/>
      <w:numFmt w:val="decimal"/>
      <w:lvlText w:val="%1."/>
      <w:lvlJc w:val="left"/>
      <w:pPr>
        <w:tabs>
          <w:tab w:val="num" w:pos="1492"/>
        </w:tabs>
        <w:ind w:left="1492" w:hanging="360"/>
      </w:pPr>
    </w:lvl>
  </w:abstractNum>
  <w:abstractNum w:abstractNumId="2">
    <w:nsid w:val="FFFFFF7D"/>
    <w:multiLevelType w:val="singleLevel"/>
    <w:tmpl w:val="385A558E"/>
    <w:lvl w:ilvl="0">
      <w:start w:val="1"/>
      <w:numFmt w:val="decimal"/>
      <w:lvlText w:val="%1."/>
      <w:lvlJc w:val="left"/>
      <w:pPr>
        <w:tabs>
          <w:tab w:val="num" w:pos="1209"/>
        </w:tabs>
        <w:ind w:left="1209" w:hanging="360"/>
      </w:pPr>
    </w:lvl>
  </w:abstractNum>
  <w:abstractNum w:abstractNumId="3">
    <w:nsid w:val="FFFFFF7E"/>
    <w:multiLevelType w:val="singleLevel"/>
    <w:tmpl w:val="B2947186"/>
    <w:lvl w:ilvl="0">
      <w:start w:val="1"/>
      <w:numFmt w:val="decimal"/>
      <w:lvlText w:val="%1."/>
      <w:lvlJc w:val="left"/>
      <w:pPr>
        <w:tabs>
          <w:tab w:val="num" w:pos="926"/>
        </w:tabs>
        <w:ind w:left="926" w:hanging="360"/>
      </w:pPr>
    </w:lvl>
  </w:abstractNum>
  <w:abstractNum w:abstractNumId="4">
    <w:nsid w:val="FFFFFF7F"/>
    <w:multiLevelType w:val="singleLevel"/>
    <w:tmpl w:val="BC824456"/>
    <w:lvl w:ilvl="0">
      <w:start w:val="1"/>
      <w:numFmt w:val="decimal"/>
      <w:lvlText w:val="%1."/>
      <w:lvlJc w:val="left"/>
      <w:pPr>
        <w:tabs>
          <w:tab w:val="num" w:pos="643"/>
        </w:tabs>
        <w:ind w:left="643" w:hanging="360"/>
      </w:pPr>
    </w:lvl>
  </w:abstractNum>
  <w:abstractNum w:abstractNumId="5">
    <w:nsid w:val="FFFFFF80"/>
    <w:multiLevelType w:val="singleLevel"/>
    <w:tmpl w:val="AD66CBA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D6ED3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36888A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71E79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BBC297C"/>
    <w:lvl w:ilvl="0">
      <w:start w:val="1"/>
      <w:numFmt w:val="decimal"/>
      <w:lvlText w:val="%1."/>
      <w:lvlJc w:val="left"/>
      <w:pPr>
        <w:tabs>
          <w:tab w:val="num" w:pos="360"/>
        </w:tabs>
        <w:ind w:left="360" w:hanging="360"/>
      </w:pPr>
    </w:lvl>
  </w:abstractNum>
  <w:abstractNum w:abstractNumId="10">
    <w:nsid w:val="FFFFFF89"/>
    <w:multiLevelType w:val="singleLevel"/>
    <w:tmpl w:val="0C3CB3EC"/>
    <w:lvl w:ilvl="0">
      <w:start w:val="1"/>
      <w:numFmt w:val="bullet"/>
      <w:lvlText w:val=""/>
      <w:lvlJc w:val="left"/>
      <w:pPr>
        <w:tabs>
          <w:tab w:val="num" w:pos="360"/>
        </w:tabs>
        <w:ind w:left="360" w:hanging="360"/>
      </w:pPr>
      <w:rPr>
        <w:rFonts w:ascii="Symbol" w:hAnsi="Symbol" w:hint="default"/>
      </w:rPr>
    </w:lvl>
  </w:abstractNum>
  <w:abstractNum w:abstractNumId="11">
    <w:nsid w:val="079754F1"/>
    <w:multiLevelType w:val="hybridMultilevel"/>
    <w:tmpl w:val="C2B6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292336"/>
    <w:multiLevelType w:val="hybridMultilevel"/>
    <w:tmpl w:val="0FFCA274"/>
    <w:lvl w:ilvl="0" w:tplc="B2F054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513771B"/>
    <w:multiLevelType w:val="hybridMultilevel"/>
    <w:tmpl w:val="F4E22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96098D"/>
    <w:multiLevelType w:val="hybridMultilevel"/>
    <w:tmpl w:val="2AFE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AA4E08"/>
    <w:multiLevelType w:val="hybridMultilevel"/>
    <w:tmpl w:val="8BE6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4E03D7"/>
    <w:multiLevelType w:val="hybridMultilevel"/>
    <w:tmpl w:val="6284F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836735"/>
    <w:multiLevelType w:val="hybridMultilevel"/>
    <w:tmpl w:val="4EC2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A67A12"/>
    <w:multiLevelType w:val="multilevel"/>
    <w:tmpl w:val="53CE6B16"/>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 w:numId="4">
    <w:abstractNumId w:val="3"/>
  </w:num>
  <w:num w:numId="5">
    <w:abstractNumId w:val="9"/>
  </w:num>
  <w:num w:numId="6">
    <w:abstractNumId w:val="4"/>
  </w:num>
  <w:num w:numId="7">
    <w:abstractNumId w:val="5"/>
  </w:num>
  <w:num w:numId="8">
    <w:abstractNumId w:val="6"/>
  </w:num>
  <w:num w:numId="9">
    <w:abstractNumId w:val="7"/>
  </w:num>
  <w:num w:numId="10">
    <w:abstractNumId w:val="8"/>
  </w:num>
  <w:num w:numId="11">
    <w:abstractNumId w:val="10"/>
  </w:num>
  <w:num w:numId="12">
    <w:abstractNumId w:val="14"/>
  </w:num>
  <w:num w:numId="13">
    <w:abstractNumId w:val="17"/>
  </w:num>
  <w:num w:numId="14">
    <w:abstractNumId w:val="15"/>
  </w:num>
  <w:num w:numId="15">
    <w:abstractNumId w:val="13"/>
  </w:num>
  <w:num w:numId="16">
    <w:abstractNumId w:val="12"/>
  </w:num>
  <w:num w:numId="17">
    <w:abstractNumId w:val="16"/>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D"/>
    <w:rsid w:val="00063DEC"/>
    <w:rsid w:val="00076F16"/>
    <w:rsid w:val="000C531C"/>
    <w:rsid w:val="000C7CF4"/>
    <w:rsid w:val="00117E8A"/>
    <w:rsid w:val="001444A7"/>
    <w:rsid w:val="0015745D"/>
    <w:rsid w:val="00160474"/>
    <w:rsid w:val="00191996"/>
    <w:rsid w:val="00195090"/>
    <w:rsid w:val="001B16DC"/>
    <w:rsid w:val="001B41C4"/>
    <w:rsid w:val="001C149E"/>
    <w:rsid w:val="002126E2"/>
    <w:rsid w:val="00234F6D"/>
    <w:rsid w:val="00236E57"/>
    <w:rsid w:val="002676B7"/>
    <w:rsid w:val="002746BD"/>
    <w:rsid w:val="002B1CB1"/>
    <w:rsid w:val="002C75AC"/>
    <w:rsid w:val="003319CA"/>
    <w:rsid w:val="003424A9"/>
    <w:rsid w:val="00350036"/>
    <w:rsid w:val="00373AEE"/>
    <w:rsid w:val="00377742"/>
    <w:rsid w:val="00381946"/>
    <w:rsid w:val="003A1578"/>
    <w:rsid w:val="003C2EEA"/>
    <w:rsid w:val="003C4470"/>
    <w:rsid w:val="003E5CA2"/>
    <w:rsid w:val="00411D67"/>
    <w:rsid w:val="0044745A"/>
    <w:rsid w:val="0046376B"/>
    <w:rsid w:val="00481008"/>
    <w:rsid w:val="00513A70"/>
    <w:rsid w:val="005D12F5"/>
    <w:rsid w:val="005F7C56"/>
    <w:rsid w:val="00693E42"/>
    <w:rsid w:val="0070231D"/>
    <w:rsid w:val="00720A5D"/>
    <w:rsid w:val="00753946"/>
    <w:rsid w:val="007A57D2"/>
    <w:rsid w:val="007D14CD"/>
    <w:rsid w:val="007E6F1A"/>
    <w:rsid w:val="007F7C65"/>
    <w:rsid w:val="00803DEA"/>
    <w:rsid w:val="0081047C"/>
    <w:rsid w:val="00864600"/>
    <w:rsid w:val="00880C3E"/>
    <w:rsid w:val="008C3919"/>
    <w:rsid w:val="008F0C9F"/>
    <w:rsid w:val="008F7008"/>
    <w:rsid w:val="00900FD4"/>
    <w:rsid w:val="00900FEE"/>
    <w:rsid w:val="00903C63"/>
    <w:rsid w:val="00983566"/>
    <w:rsid w:val="009B3AB0"/>
    <w:rsid w:val="009C22B2"/>
    <w:rsid w:val="009D4336"/>
    <w:rsid w:val="00A13F7C"/>
    <w:rsid w:val="00A40045"/>
    <w:rsid w:val="00A77174"/>
    <w:rsid w:val="00A966D1"/>
    <w:rsid w:val="00AB66E0"/>
    <w:rsid w:val="00AE26F2"/>
    <w:rsid w:val="00AF48E1"/>
    <w:rsid w:val="00B0441D"/>
    <w:rsid w:val="00B17F61"/>
    <w:rsid w:val="00B3519C"/>
    <w:rsid w:val="00B678E1"/>
    <w:rsid w:val="00B678FD"/>
    <w:rsid w:val="00B75230"/>
    <w:rsid w:val="00B90470"/>
    <w:rsid w:val="00BA53C2"/>
    <w:rsid w:val="00BB4679"/>
    <w:rsid w:val="00BC0857"/>
    <w:rsid w:val="00BE008E"/>
    <w:rsid w:val="00C054BF"/>
    <w:rsid w:val="00C47D48"/>
    <w:rsid w:val="00C5704F"/>
    <w:rsid w:val="00C61B86"/>
    <w:rsid w:val="00C83FDB"/>
    <w:rsid w:val="00C84257"/>
    <w:rsid w:val="00CB2B1E"/>
    <w:rsid w:val="00CE060B"/>
    <w:rsid w:val="00D10D33"/>
    <w:rsid w:val="00D43301"/>
    <w:rsid w:val="00D5595B"/>
    <w:rsid w:val="00D706FE"/>
    <w:rsid w:val="00D75B91"/>
    <w:rsid w:val="00D91008"/>
    <w:rsid w:val="00DA6A8F"/>
    <w:rsid w:val="00DB7C49"/>
    <w:rsid w:val="00E365A2"/>
    <w:rsid w:val="00E67CA3"/>
    <w:rsid w:val="00E94CA1"/>
    <w:rsid w:val="00EC52E9"/>
    <w:rsid w:val="00F24AE3"/>
    <w:rsid w:val="00F43DD2"/>
    <w:rsid w:val="00F74E7D"/>
    <w:rsid w:val="00F91FBF"/>
    <w:rsid w:val="00FA0A14"/>
    <w:rsid w:val="00FE2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97E2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uiPriority w:val="9"/>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uiPriority w:val="9"/>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iPriority w:val="9"/>
    <w:unhideWhenUsed/>
    <w:qFormat/>
    <w:rsid w:val="003E5CA2"/>
    <w:pPr>
      <w:keepNext/>
      <w:keepLines/>
      <w:spacing w:before="200" w:after="0"/>
      <w:outlineLvl w:val="2"/>
    </w:pPr>
    <w:rPr>
      <w:rFonts w:asciiTheme="majorHAnsi" w:eastAsiaTheme="majorEastAsia" w:hAnsiTheme="majorHAnsi" w:cstheme="majorBidi"/>
      <w:b/>
      <w:bCs/>
      <w:color w:val="332A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uiPriority w:val="99"/>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uiPriority w:val="59"/>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381946"/>
    <w:pPr>
      <w:spacing w:after="200" w:line="276" w:lineRule="auto"/>
      <w:ind w:left="720"/>
      <w:contextualSpacing/>
    </w:pPr>
    <w:rPr>
      <w:rFonts w:eastAsiaTheme="minorHAnsi"/>
      <w:szCs w:val="22"/>
    </w:rPr>
  </w:style>
  <w:style w:type="paragraph" w:styleId="NoSpacing">
    <w:name w:val="No Spacing"/>
    <w:uiPriority w:val="99"/>
    <w:qFormat/>
    <w:rsid w:val="00880C3E"/>
    <w:rPr>
      <w:rFonts w:ascii="Calibri" w:eastAsia="Times New Roman" w:hAnsi="Calibri" w:cs="Times New Roman"/>
      <w:sz w:val="22"/>
      <w:szCs w:val="22"/>
    </w:rPr>
  </w:style>
  <w:style w:type="paragraph" w:styleId="CommentText">
    <w:name w:val="annotation text"/>
    <w:basedOn w:val="Normal"/>
    <w:link w:val="CommentTextChar"/>
    <w:uiPriority w:val="99"/>
    <w:semiHidden/>
    <w:unhideWhenUsed/>
    <w:rsid w:val="00803DEA"/>
    <w:pPr>
      <w:spacing w:after="20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803DEA"/>
    <w:rPr>
      <w:rFonts w:eastAsiaTheme="minorHAnsi"/>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uiPriority w:val="9"/>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uiPriority w:val="9"/>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iPriority w:val="9"/>
    <w:unhideWhenUsed/>
    <w:qFormat/>
    <w:rsid w:val="003E5CA2"/>
    <w:pPr>
      <w:keepNext/>
      <w:keepLines/>
      <w:spacing w:before="200" w:after="0"/>
      <w:outlineLvl w:val="2"/>
    </w:pPr>
    <w:rPr>
      <w:rFonts w:asciiTheme="majorHAnsi" w:eastAsiaTheme="majorEastAsia" w:hAnsiTheme="majorHAnsi" w:cstheme="majorBidi"/>
      <w:b/>
      <w:bCs/>
      <w:color w:val="332A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uiPriority w:val="99"/>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uiPriority w:val="59"/>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381946"/>
    <w:pPr>
      <w:spacing w:after="200" w:line="276" w:lineRule="auto"/>
      <w:ind w:left="720"/>
      <w:contextualSpacing/>
    </w:pPr>
    <w:rPr>
      <w:rFonts w:eastAsiaTheme="minorHAnsi"/>
      <w:szCs w:val="22"/>
    </w:rPr>
  </w:style>
  <w:style w:type="paragraph" w:styleId="NoSpacing">
    <w:name w:val="No Spacing"/>
    <w:uiPriority w:val="99"/>
    <w:qFormat/>
    <w:rsid w:val="00880C3E"/>
    <w:rPr>
      <w:rFonts w:ascii="Calibri" w:eastAsia="Times New Roman" w:hAnsi="Calibri" w:cs="Times New Roman"/>
      <w:sz w:val="22"/>
      <w:szCs w:val="22"/>
    </w:rPr>
  </w:style>
  <w:style w:type="paragraph" w:styleId="CommentText">
    <w:name w:val="annotation text"/>
    <w:basedOn w:val="Normal"/>
    <w:link w:val="CommentTextChar"/>
    <w:uiPriority w:val="99"/>
    <w:semiHidden/>
    <w:unhideWhenUsed/>
    <w:rsid w:val="00803DEA"/>
    <w:pPr>
      <w:spacing w:after="20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803DEA"/>
    <w:rPr>
      <w:rFonts w:eastAsiaTheme="minorHAns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5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Catherine Blewett</cp:lastModifiedBy>
  <cp:revision>3</cp:revision>
  <cp:lastPrinted>2013-10-28T13:02:00Z</cp:lastPrinted>
  <dcterms:created xsi:type="dcterms:W3CDTF">2015-09-04T12:14:00Z</dcterms:created>
  <dcterms:modified xsi:type="dcterms:W3CDTF">2015-09-04T12:14:00Z</dcterms:modified>
</cp:coreProperties>
</file>