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4617DB" w:rsidRDefault="000B5923" w:rsidP="006B3203">
      <w:pPr>
        <w:ind w:right="-188"/>
        <w:jc w:val="center"/>
        <w:rPr>
          <w:rFonts w:cs="Arial"/>
          <w:b/>
          <w:sz w:val="28"/>
          <w:szCs w:val="28"/>
        </w:rPr>
      </w:pPr>
    </w:p>
    <w:p w:rsidR="000B5923" w:rsidRDefault="000B5923" w:rsidP="000B5923">
      <w:pPr>
        <w:ind w:right="-188"/>
        <w:jc w:val="center"/>
        <w:rPr>
          <w:rFonts w:cs="Arial"/>
          <w:b/>
          <w:sz w:val="24"/>
          <w:szCs w:val="24"/>
        </w:rPr>
      </w:pPr>
      <w:r>
        <w:rPr>
          <w:rFonts w:cs="Arial"/>
          <w:b/>
          <w:sz w:val="24"/>
          <w:szCs w:val="24"/>
        </w:rPr>
        <w:t>Part 1 – Public session</w:t>
      </w:r>
    </w:p>
    <w:p w:rsidR="006B3203" w:rsidRPr="00201179" w:rsidRDefault="006B3203" w:rsidP="006B3203">
      <w:pPr>
        <w:jc w:val="center"/>
        <w:rPr>
          <w:rFonts w:cs="Arial"/>
          <w:b/>
          <w:sz w:val="16"/>
          <w:szCs w:val="16"/>
        </w:rPr>
      </w:pPr>
    </w:p>
    <w:p w:rsidR="00D94169" w:rsidRPr="00C9722B" w:rsidRDefault="00D94169" w:rsidP="00D94169">
      <w:pPr>
        <w:ind w:right="-188"/>
        <w:jc w:val="center"/>
        <w:rPr>
          <w:rFonts w:cs="Arial"/>
          <w:b/>
          <w:sz w:val="24"/>
          <w:szCs w:val="24"/>
        </w:rPr>
      </w:pPr>
      <w:r w:rsidRPr="00C9722B">
        <w:rPr>
          <w:rFonts w:cs="Arial"/>
          <w:b/>
          <w:sz w:val="24"/>
          <w:szCs w:val="24"/>
        </w:rPr>
        <w:t xml:space="preserve">Agenda for the Health Research Authority Board Meeting, to be held on </w:t>
      </w:r>
      <w:r w:rsidR="00942CA1">
        <w:rPr>
          <w:rFonts w:cs="Arial"/>
          <w:b/>
          <w:sz w:val="24"/>
          <w:szCs w:val="24"/>
        </w:rPr>
        <w:t xml:space="preserve">Wednesday </w:t>
      </w:r>
      <w:r w:rsidR="00A0558D">
        <w:rPr>
          <w:rFonts w:cs="Arial"/>
          <w:b/>
          <w:sz w:val="24"/>
          <w:szCs w:val="24"/>
        </w:rPr>
        <w:t xml:space="preserve">16 September </w:t>
      </w:r>
      <w:r w:rsidR="00664A6C">
        <w:rPr>
          <w:rFonts w:cs="Arial"/>
          <w:b/>
          <w:sz w:val="24"/>
          <w:szCs w:val="24"/>
        </w:rPr>
        <w:t>2015</w:t>
      </w:r>
      <w:r w:rsidRPr="00C9722B">
        <w:rPr>
          <w:rFonts w:cs="Arial"/>
          <w:b/>
          <w:sz w:val="24"/>
          <w:szCs w:val="24"/>
        </w:rPr>
        <w:t xml:space="preserve"> from </w:t>
      </w:r>
      <w:r w:rsidR="00664A6C">
        <w:rPr>
          <w:rFonts w:cs="Arial"/>
          <w:b/>
          <w:sz w:val="24"/>
          <w:szCs w:val="24"/>
        </w:rPr>
        <w:t>1</w:t>
      </w:r>
      <w:r w:rsidR="00777309">
        <w:rPr>
          <w:rFonts w:cs="Arial"/>
          <w:b/>
          <w:sz w:val="24"/>
          <w:szCs w:val="24"/>
        </w:rPr>
        <w:t>2</w:t>
      </w:r>
      <w:r w:rsidR="00664A6C">
        <w:rPr>
          <w:rFonts w:cs="Arial"/>
          <w:b/>
          <w:sz w:val="24"/>
          <w:szCs w:val="24"/>
        </w:rPr>
        <w:t>.</w:t>
      </w:r>
      <w:r w:rsidR="00777309">
        <w:rPr>
          <w:rFonts w:cs="Arial"/>
          <w:b/>
          <w:sz w:val="24"/>
          <w:szCs w:val="24"/>
        </w:rPr>
        <w:t>45</w:t>
      </w:r>
      <w:r w:rsidR="00664A6C">
        <w:rPr>
          <w:rFonts w:cs="Arial"/>
          <w:b/>
          <w:sz w:val="24"/>
          <w:szCs w:val="24"/>
        </w:rPr>
        <w:t>pm</w:t>
      </w:r>
      <w:r w:rsidR="00876A26" w:rsidRPr="00C9722B">
        <w:rPr>
          <w:rFonts w:asciiTheme="minorHAnsi" w:hAnsiTheme="minorHAnsi" w:cstheme="minorHAnsi"/>
          <w:b/>
          <w:sz w:val="24"/>
          <w:szCs w:val="24"/>
        </w:rPr>
        <w:t xml:space="preserve"> – </w:t>
      </w:r>
      <w:r w:rsidR="00777309">
        <w:rPr>
          <w:rFonts w:asciiTheme="minorHAnsi" w:hAnsiTheme="minorHAnsi" w:cstheme="minorHAnsi"/>
          <w:b/>
          <w:sz w:val="24"/>
          <w:szCs w:val="24"/>
        </w:rPr>
        <w:t>3.3</w:t>
      </w:r>
      <w:r w:rsidR="00664A6C">
        <w:rPr>
          <w:rFonts w:asciiTheme="minorHAnsi" w:hAnsiTheme="minorHAnsi" w:cstheme="minorHAnsi"/>
          <w:b/>
          <w:sz w:val="24"/>
          <w:szCs w:val="24"/>
        </w:rPr>
        <w:t>0pm</w:t>
      </w:r>
      <w:r w:rsidRPr="00C9722B">
        <w:rPr>
          <w:rFonts w:asciiTheme="minorHAnsi" w:hAnsiTheme="minorHAnsi" w:cstheme="minorHAnsi"/>
          <w:b/>
          <w:sz w:val="24"/>
          <w:szCs w:val="24"/>
        </w:rPr>
        <w:t xml:space="preserve"> </w:t>
      </w:r>
      <w:r w:rsidR="00664A6C">
        <w:rPr>
          <w:rFonts w:asciiTheme="minorHAnsi" w:hAnsiTheme="minorHAnsi" w:cstheme="minorHAnsi"/>
          <w:b/>
          <w:sz w:val="24"/>
          <w:szCs w:val="24"/>
        </w:rPr>
        <w:t xml:space="preserve">at </w:t>
      </w:r>
      <w:r w:rsidR="00A0558D">
        <w:rPr>
          <w:rFonts w:asciiTheme="minorHAnsi" w:hAnsiTheme="minorHAnsi" w:cstheme="minorHAnsi"/>
          <w:b/>
          <w:sz w:val="24"/>
          <w:szCs w:val="24"/>
        </w:rPr>
        <w:t>Jarrow HRA Centre</w:t>
      </w:r>
    </w:p>
    <w:p w:rsidR="000B5923" w:rsidRDefault="000B5923" w:rsidP="000B5923">
      <w:pPr>
        <w:ind w:right="-188"/>
        <w:jc w:val="center"/>
        <w:rPr>
          <w:rFonts w:asciiTheme="minorHAnsi" w:hAnsiTheme="minorHAnsi" w:cstheme="minorHAnsi"/>
          <w:sz w:val="24"/>
          <w:szCs w:val="24"/>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777309" w:rsidTr="00592AD0">
        <w:tc>
          <w:tcPr>
            <w:tcW w:w="698" w:type="dxa"/>
            <w:shd w:val="clear" w:color="auto" w:fill="D9D9D9" w:themeFill="background1" w:themeFillShade="D9"/>
          </w:tcPr>
          <w:p w:rsidR="00777309" w:rsidRPr="004617DB" w:rsidRDefault="00777309" w:rsidP="006B3203">
            <w:pPr>
              <w:rPr>
                <w:rFonts w:cs="Arial"/>
                <w:b/>
              </w:rPr>
            </w:pPr>
            <w:r w:rsidRPr="004617DB">
              <w:rPr>
                <w:rFonts w:cs="Arial"/>
                <w:b/>
              </w:rPr>
              <w:t>Item</w:t>
            </w:r>
          </w:p>
        </w:tc>
        <w:tc>
          <w:tcPr>
            <w:tcW w:w="5789" w:type="dxa"/>
            <w:shd w:val="clear" w:color="auto" w:fill="D9D9D9" w:themeFill="background1" w:themeFillShade="D9"/>
          </w:tcPr>
          <w:p w:rsidR="00777309" w:rsidRDefault="00777309" w:rsidP="006B3203">
            <w:pPr>
              <w:rPr>
                <w:rFonts w:cs="Arial"/>
                <w:b/>
              </w:rPr>
            </w:pPr>
            <w:r w:rsidRPr="004617DB">
              <w:rPr>
                <w:rFonts w:cs="Arial"/>
                <w:b/>
              </w:rPr>
              <w:t>Item details</w:t>
            </w:r>
          </w:p>
          <w:p w:rsidR="00777309" w:rsidRPr="004617DB" w:rsidRDefault="00777309" w:rsidP="006B3203">
            <w:pPr>
              <w:rPr>
                <w:rFonts w:cs="Arial"/>
                <w:b/>
              </w:rPr>
            </w:pPr>
          </w:p>
        </w:tc>
        <w:tc>
          <w:tcPr>
            <w:tcW w:w="851" w:type="dxa"/>
            <w:shd w:val="clear" w:color="auto" w:fill="D9D9D9" w:themeFill="background1" w:themeFillShade="D9"/>
          </w:tcPr>
          <w:p w:rsidR="00777309" w:rsidRDefault="00777309" w:rsidP="00AF19D5">
            <w:pPr>
              <w:jc w:val="center"/>
              <w:rPr>
                <w:rFonts w:cs="Arial"/>
                <w:b/>
              </w:rPr>
            </w:pPr>
            <w:r>
              <w:rPr>
                <w:rFonts w:cs="Arial"/>
                <w:b/>
              </w:rPr>
              <w:t>Time</w:t>
            </w:r>
          </w:p>
          <w:p w:rsidR="00777309" w:rsidRPr="004617DB" w:rsidRDefault="00777309" w:rsidP="00AF19D5">
            <w:pPr>
              <w:jc w:val="center"/>
              <w:rPr>
                <w:rFonts w:cs="Arial"/>
                <w:b/>
              </w:rPr>
            </w:pPr>
            <w:r>
              <w:rPr>
                <w:rFonts w:cs="Arial"/>
                <w:b/>
              </w:rPr>
              <w:t>(mins)</w:t>
            </w:r>
          </w:p>
        </w:tc>
        <w:tc>
          <w:tcPr>
            <w:tcW w:w="1417" w:type="dxa"/>
            <w:shd w:val="clear" w:color="auto" w:fill="D9D9D9" w:themeFill="background1" w:themeFillShade="D9"/>
          </w:tcPr>
          <w:p w:rsidR="00777309" w:rsidRPr="004617DB" w:rsidRDefault="00777309" w:rsidP="00AF19D5">
            <w:pPr>
              <w:jc w:val="center"/>
              <w:rPr>
                <w:rFonts w:cs="Arial"/>
                <w:b/>
              </w:rPr>
            </w:pPr>
            <w:r>
              <w:rPr>
                <w:rFonts w:cs="Arial"/>
                <w:b/>
              </w:rPr>
              <w:t>Attachment</w:t>
            </w:r>
          </w:p>
        </w:tc>
        <w:tc>
          <w:tcPr>
            <w:tcW w:w="992" w:type="dxa"/>
            <w:shd w:val="clear" w:color="auto" w:fill="D9D9D9" w:themeFill="background1" w:themeFillShade="D9"/>
          </w:tcPr>
          <w:p w:rsidR="00777309" w:rsidRDefault="00777309" w:rsidP="00AF19D5">
            <w:pPr>
              <w:jc w:val="center"/>
              <w:rPr>
                <w:rFonts w:cs="Arial"/>
                <w:b/>
              </w:rPr>
            </w:pPr>
            <w:r>
              <w:rPr>
                <w:rFonts w:cs="Arial"/>
                <w:b/>
              </w:rPr>
              <w:t>Page no</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664A6C">
            <w:pPr>
              <w:rPr>
                <w:rFonts w:cs="Arial"/>
                <w:b/>
              </w:rPr>
            </w:pPr>
            <w:r>
              <w:rPr>
                <w:rFonts w:cs="Arial"/>
                <w:b/>
              </w:rPr>
              <w:t>Apologies</w:t>
            </w:r>
          </w:p>
          <w:p w:rsidR="00777309" w:rsidRPr="00EE0650" w:rsidRDefault="00777309" w:rsidP="00A0558D">
            <w:pPr>
              <w:rPr>
                <w:rFonts w:cs="Arial"/>
                <w:b/>
              </w:rPr>
            </w:pPr>
          </w:p>
        </w:tc>
        <w:tc>
          <w:tcPr>
            <w:tcW w:w="851" w:type="dxa"/>
            <w:vMerge w:val="restart"/>
            <w:vAlign w:val="center"/>
          </w:tcPr>
          <w:p w:rsidR="00777309" w:rsidRDefault="00777309" w:rsidP="00D71ACC">
            <w:pPr>
              <w:jc w:val="center"/>
              <w:rPr>
                <w:rFonts w:cs="Arial"/>
              </w:rPr>
            </w:pPr>
            <w:r>
              <w:rPr>
                <w:rFonts w:cs="Arial"/>
              </w:rPr>
              <w:t>10</w:t>
            </w: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592AD0" w:rsidP="00AF19D5">
            <w:pPr>
              <w:jc w:val="center"/>
              <w:rPr>
                <w:rFonts w:cs="Arial"/>
              </w:rPr>
            </w:pPr>
            <w:r w:rsidRPr="00592AD0">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C1AF7" w:rsidRDefault="00777309" w:rsidP="00EC1AF7">
            <w:pPr>
              <w:rPr>
                <w:rFonts w:cs="Arial"/>
                <w:b/>
              </w:rPr>
            </w:pPr>
            <w:r w:rsidRPr="00EE0650">
              <w:rPr>
                <w:rFonts w:cs="Arial"/>
                <w:b/>
              </w:rPr>
              <w:t>Conflicts of interest</w:t>
            </w:r>
          </w:p>
        </w:tc>
        <w:tc>
          <w:tcPr>
            <w:tcW w:w="851" w:type="dxa"/>
            <w:vMerge/>
          </w:tcPr>
          <w:p w:rsidR="00777309" w:rsidRDefault="00777309" w:rsidP="00D71ACC">
            <w:pPr>
              <w:jc w:val="center"/>
              <w:rPr>
                <w:rFonts w:cs="Arial"/>
              </w:rPr>
            </w:pPr>
          </w:p>
        </w:tc>
        <w:tc>
          <w:tcPr>
            <w:tcW w:w="1417" w:type="dxa"/>
          </w:tcPr>
          <w:p w:rsidR="00777309" w:rsidRDefault="00777309" w:rsidP="00AF19D5">
            <w:pPr>
              <w:jc w:val="center"/>
              <w:rPr>
                <w:rFonts w:cs="Arial"/>
              </w:rPr>
            </w:pPr>
            <w:r>
              <w:rPr>
                <w:rFonts w:cs="Arial"/>
              </w:rPr>
              <w:t>Verbal</w:t>
            </w:r>
          </w:p>
          <w:p w:rsidR="00777309" w:rsidRPr="00D71ACC" w:rsidRDefault="00777309" w:rsidP="00AF19D5">
            <w:pPr>
              <w:jc w:val="center"/>
              <w:rPr>
                <w:rFonts w:cs="Arial"/>
                <w:b/>
              </w:rPr>
            </w:pPr>
          </w:p>
        </w:tc>
        <w:tc>
          <w:tcPr>
            <w:tcW w:w="992" w:type="dxa"/>
          </w:tcPr>
          <w:p w:rsidR="00777309" w:rsidRPr="00592AD0" w:rsidRDefault="00592AD0" w:rsidP="00AF19D5">
            <w:pPr>
              <w:jc w:val="center"/>
              <w:rPr>
                <w:rFonts w:cs="Arial"/>
              </w:rPr>
            </w:pPr>
            <w:r w:rsidRPr="00592AD0">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Minutes of last meeting</w:t>
            </w:r>
          </w:p>
          <w:p w:rsidR="00777309" w:rsidRPr="00EE0650" w:rsidRDefault="00777309" w:rsidP="006B3203">
            <w:pPr>
              <w:rPr>
                <w:rFonts w:cs="Arial"/>
                <w:b/>
              </w:rPr>
            </w:pPr>
          </w:p>
        </w:tc>
        <w:tc>
          <w:tcPr>
            <w:tcW w:w="851" w:type="dxa"/>
            <w:vMerge/>
            <w:vAlign w:val="center"/>
          </w:tcPr>
          <w:p w:rsidR="00777309" w:rsidRDefault="00777309" w:rsidP="00D71ACC">
            <w:pPr>
              <w:jc w:val="center"/>
              <w:rPr>
                <w:rFonts w:cs="Arial"/>
              </w:rPr>
            </w:pPr>
          </w:p>
        </w:tc>
        <w:tc>
          <w:tcPr>
            <w:tcW w:w="1417" w:type="dxa"/>
          </w:tcPr>
          <w:p w:rsidR="00777309" w:rsidRPr="00AF19D5" w:rsidRDefault="00777309" w:rsidP="00AF19D5">
            <w:pPr>
              <w:jc w:val="center"/>
              <w:rPr>
                <w:rFonts w:cs="Arial"/>
                <w:b/>
              </w:rPr>
            </w:pPr>
            <w:r>
              <w:rPr>
                <w:rFonts w:cs="Arial"/>
                <w:b/>
              </w:rPr>
              <w:t>A</w:t>
            </w:r>
          </w:p>
        </w:tc>
        <w:tc>
          <w:tcPr>
            <w:tcW w:w="992" w:type="dxa"/>
          </w:tcPr>
          <w:p w:rsidR="00777309" w:rsidRPr="00592AD0" w:rsidRDefault="00592AD0" w:rsidP="00AF19D5">
            <w:pPr>
              <w:jc w:val="center"/>
              <w:rPr>
                <w:rFonts w:cs="Arial"/>
              </w:rPr>
            </w:pPr>
            <w:r w:rsidRPr="00592AD0">
              <w:rPr>
                <w:rFonts w:cs="Arial"/>
              </w:rPr>
              <w:t>4-16</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Matters arising</w:t>
            </w:r>
          </w:p>
          <w:p w:rsidR="00777309" w:rsidRPr="00EE0650" w:rsidRDefault="00777309" w:rsidP="006B3203">
            <w:pPr>
              <w:rPr>
                <w:rFonts w:cs="Arial"/>
                <w:b/>
              </w:rPr>
            </w:pPr>
          </w:p>
        </w:tc>
        <w:tc>
          <w:tcPr>
            <w:tcW w:w="851" w:type="dxa"/>
            <w:vMerge/>
          </w:tcPr>
          <w:p w:rsidR="00777309" w:rsidRDefault="00777309" w:rsidP="00AF19D5">
            <w:pPr>
              <w:jc w:val="center"/>
              <w:rPr>
                <w:rFonts w:cs="Arial"/>
              </w:rPr>
            </w:pP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592AD0"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Pr>
                <w:rFonts w:cs="Arial"/>
                <w:b/>
              </w:rPr>
              <w:t>Update from Chair</w:t>
            </w:r>
          </w:p>
          <w:p w:rsidR="00777309" w:rsidRPr="00EE0650" w:rsidRDefault="00777309" w:rsidP="006B3203">
            <w:pPr>
              <w:rPr>
                <w:rFonts w:cs="Arial"/>
                <w:b/>
              </w:rPr>
            </w:pPr>
          </w:p>
        </w:tc>
        <w:tc>
          <w:tcPr>
            <w:tcW w:w="851" w:type="dxa"/>
          </w:tcPr>
          <w:p w:rsidR="00777309" w:rsidRDefault="00777309" w:rsidP="00DE6C5B">
            <w:pPr>
              <w:jc w:val="center"/>
              <w:rPr>
                <w:rFonts w:cs="Arial"/>
              </w:rPr>
            </w:pPr>
            <w:r>
              <w:rPr>
                <w:rFonts w:cs="Arial"/>
              </w:rPr>
              <w:t>5</w:t>
            </w: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592AD0"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6E6D03">
            <w:pPr>
              <w:rPr>
                <w:rFonts w:cs="Arial"/>
                <w:b/>
              </w:rPr>
            </w:pPr>
            <w:r>
              <w:rPr>
                <w:rFonts w:cs="Arial"/>
                <w:b/>
              </w:rPr>
              <w:t>Update from Chief Executive</w:t>
            </w:r>
          </w:p>
          <w:p w:rsidR="00777309" w:rsidRPr="00EE0650" w:rsidRDefault="00777309" w:rsidP="006E6D03">
            <w:pPr>
              <w:rPr>
                <w:rFonts w:cs="Arial"/>
                <w:b/>
              </w:rPr>
            </w:pPr>
          </w:p>
        </w:tc>
        <w:tc>
          <w:tcPr>
            <w:tcW w:w="851" w:type="dxa"/>
          </w:tcPr>
          <w:p w:rsidR="00777309" w:rsidRDefault="00777309" w:rsidP="006E6D03">
            <w:pPr>
              <w:jc w:val="center"/>
              <w:rPr>
                <w:rFonts w:cs="Arial"/>
              </w:rPr>
            </w:pPr>
            <w:r>
              <w:rPr>
                <w:rFonts w:cs="Arial"/>
              </w:rPr>
              <w:t>5</w:t>
            </w:r>
          </w:p>
        </w:tc>
        <w:tc>
          <w:tcPr>
            <w:tcW w:w="1417" w:type="dxa"/>
          </w:tcPr>
          <w:p w:rsidR="00777309" w:rsidRPr="00692E21" w:rsidRDefault="00777309" w:rsidP="00AF19D5">
            <w:pPr>
              <w:jc w:val="center"/>
              <w:rPr>
                <w:rFonts w:cs="Arial"/>
              </w:rPr>
            </w:pPr>
            <w:r>
              <w:rPr>
                <w:rFonts w:cs="Arial"/>
              </w:rPr>
              <w:t>Verbal</w:t>
            </w:r>
          </w:p>
        </w:tc>
        <w:tc>
          <w:tcPr>
            <w:tcW w:w="992" w:type="dxa"/>
          </w:tcPr>
          <w:p w:rsidR="00777309" w:rsidRPr="00592AD0" w:rsidRDefault="00592AD0"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6E6D03">
            <w:pPr>
              <w:rPr>
                <w:rFonts w:cs="Arial"/>
                <w:b/>
              </w:rPr>
            </w:pPr>
            <w:r>
              <w:rPr>
                <w:rFonts w:cs="Arial"/>
                <w:b/>
              </w:rPr>
              <w:t>Key Performance Indicators (Quarter 1 2015/16)</w:t>
            </w:r>
          </w:p>
          <w:p w:rsidR="00777309" w:rsidRDefault="00777309" w:rsidP="006E6D03">
            <w:pPr>
              <w:rPr>
                <w:rFonts w:cs="Arial"/>
                <w:b/>
              </w:rPr>
            </w:pPr>
          </w:p>
        </w:tc>
        <w:tc>
          <w:tcPr>
            <w:tcW w:w="851" w:type="dxa"/>
          </w:tcPr>
          <w:p w:rsidR="00777309" w:rsidRDefault="00777309" w:rsidP="006E6D03">
            <w:pPr>
              <w:jc w:val="center"/>
              <w:rPr>
                <w:rFonts w:cs="Arial"/>
              </w:rPr>
            </w:pPr>
            <w:r>
              <w:rPr>
                <w:rFonts w:cs="Arial"/>
              </w:rPr>
              <w:t>15</w:t>
            </w:r>
          </w:p>
        </w:tc>
        <w:tc>
          <w:tcPr>
            <w:tcW w:w="1417" w:type="dxa"/>
            <w:shd w:val="clear" w:color="auto" w:fill="auto"/>
          </w:tcPr>
          <w:p w:rsidR="00777309" w:rsidRPr="00576384" w:rsidRDefault="00777309" w:rsidP="00AF19D5">
            <w:pPr>
              <w:jc w:val="center"/>
              <w:rPr>
                <w:rFonts w:cs="Arial"/>
                <w:b/>
                <w:highlight w:val="yellow"/>
              </w:rPr>
            </w:pPr>
            <w:r w:rsidRPr="00777309">
              <w:rPr>
                <w:rFonts w:cs="Arial"/>
                <w:b/>
              </w:rPr>
              <w:t>B</w:t>
            </w:r>
          </w:p>
        </w:tc>
        <w:tc>
          <w:tcPr>
            <w:tcW w:w="992" w:type="dxa"/>
          </w:tcPr>
          <w:p w:rsidR="00777309" w:rsidRPr="00592AD0" w:rsidRDefault="00592AD0" w:rsidP="00AF19D5">
            <w:pPr>
              <w:jc w:val="center"/>
              <w:rPr>
                <w:rFonts w:cs="Arial"/>
              </w:rPr>
            </w:pPr>
            <w:r>
              <w:rPr>
                <w:rFonts w:cs="Arial"/>
              </w:rPr>
              <w:t>17-23</w:t>
            </w:r>
          </w:p>
        </w:tc>
      </w:tr>
      <w:tr w:rsidR="00777309" w:rsidTr="00592AD0">
        <w:trPr>
          <w:trHeight w:val="468"/>
        </w:trPr>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D53C74">
            <w:pPr>
              <w:rPr>
                <w:rFonts w:cstheme="minorHAnsi"/>
                <w:b/>
              </w:rPr>
            </w:pPr>
            <w:r>
              <w:rPr>
                <w:rFonts w:cstheme="minorHAnsi"/>
                <w:b/>
              </w:rPr>
              <w:t>Corporate Risk Register (Quarter 1 2015/16)</w:t>
            </w:r>
          </w:p>
        </w:tc>
        <w:tc>
          <w:tcPr>
            <w:tcW w:w="851" w:type="dxa"/>
          </w:tcPr>
          <w:p w:rsidR="00777309" w:rsidRDefault="00777309" w:rsidP="00AA41A0">
            <w:pPr>
              <w:jc w:val="center"/>
              <w:rPr>
                <w:rFonts w:cs="Arial"/>
              </w:rPr>
            </w:pPr>
            <w:r>
              <w:rPr>
                <w:rFonts w:cs="Arial"/>
              </w:rPr>
              <w:t>15</w:t>
            </w:r>
          </w:p>
        </w:tc>
        <w:tc>
          <w:tcPr>
            <w:tcW w:w="1417" w:type="dxa"/>
          </w:tcPr>
          <w:p w:rsidR="00777309" w:rsidRPr="00576384" w:rsidRDefault="00777309" w:rsidP="00B2141E">
            <w:pPr>
              <w:jc w:val="center"/>
              <w:rPr>
                <w:rFonts w:cs="Arial"/>
                <w:b/>
                <w:highlight w:val="yellow"/>
              </w:rPr>
            </w:pPr>
            <w:r w:rsidRPr="00B2141E">
              <w:rPr>
                <w:rFonts w:cs="Arial"/>
                <w:b/>
              </w:rPr>
              <w:t>C</w:t>
            </w:r>
          </w:p>
        </w:tc>
        <w:tc>
          <w:tcPr>
            <w:tcW w:w="992" w:type="dxa"/>
          </w:tcPr>
          <w:p w:rsidR="00777309" w:rsidRPr="00592AD0" w:rsidRDefault="00592AD0" w:rsidP="00B2141E">
            <w:pPr>
              <w:jc w:val="center"/>
              <w:rPr>
                <w:rFonts w:cs="Arial"/>
              </w:rPr>
            </w:pPr>
            <w:r>
              <w:rPr>
                <w:rFonts w:cs="Arial"/>
              </w:rPr>
              <w:t>24-29</w:t>
            </w:r>
          </w:p>
        </w:tc>
      </w:tr>
      <w:tr w:rsidR="00777309" w:rsidTr="00592AD0">
        <w:tc>
          <w:tcPr>
            <w:tcW w:w="698" w:type="dxa"/>
            <w:tcBorders>
              <w:bottom w:val="single" w:sz="4" w:space="0" w:color="auto"/>
            </w:tcBorders>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Borders>
              <w:bottom w:val="single" w:sz="4" w:space="0" w:color="auto"/>
            </w:tcBorders>
          </w:tcPr>
          <w:p w:rsidR="00777309" w:rsidRDefault="00777309" w:rsidP="00D53C74">
            <w:pPr>
              <w:rPr>
                <w:rFonts w:cstheme="minorHAnsi"/>
                <w:b/>
              </w:rPr>
            </w:pPr>
            <w:r>
              <w:rPr>
                <w:rFonts w:cstheme="minorHAnsi"/>
                <w:b/>
              </w:rPr>
              <w:t>Finance Report</w:t>
            </w:r>
          </w:p>
          <w:p w:rsidR="00777309" w:rsidRDefault="00777309" w:rsidP="00D53C74">
            <w:pPr>
              <w:rPr>
                <w:rFonts w:cstheme="minorHAnsi"/>
                <w:b/>
              </w:rPr>
            </w:pPr>
          </w:p>
          <w:p w:rsidR="00777309" w:rsidRPr="000D5BA2" w:rsidRDefault="00777309" w:rsidP="000D5BA2">
            <w:pPr>
              <w:pStyle w:val="ListParagraph"/>
              <w:numPr>
                <w:ilvl w:val="0"/>
                <w:numId w:val="24"/>
              </w:numPr>
              <w:rPr>
                <w:rFonts w:cstheme="minorHAnsi"/>
                <w:b/>
              </w:rPr>
            </w:pPr>
            <w:r>
              <w:rPr>
                <w:rFonts w:cstheme="minorHAnsi"/>
              </w:rPr>
              <w:t>July 2015</w:t>
            </w:r>
          </w:p>
          <w:p w:rsidR="00777309" w:rsidRPr="000D5BA2" w:rsidRDefault="00777309" w:rsidP="000D5BA2">
            <w:pPr>
              <w:pStyle w:val="ListParagraph"/>
              <w:rPr>
                <w:rFonts w:cstheme="minorHAnsi"/>
                <w:b/>
              </w:rPr>
            </w:pPr>
          </w:p>
        </w:tc>
        <w:tc>
          <w:tcPr>
            <w:tcW w:w="851" w:type="dxa"/>
            <w:tcBorders>
              <w:bottom w:val="single" w:sz="4" w:space="0" w:color="auto"/>
            </w:tcBorders>
          </w:tcPr>
          <w:p w:rsidR="00777309" w:rsidRDefault="00777309" w:rsidP="00AA41A0">
            <w:pPr>
              <w:jc w:val="center"/>
              <w:rPr>
                <w:rFonts w:cs="Arial"/>
              </w:rPr>
            </w:pPr>
          </w:p>
          <w:p w:rsidR="00777309" w:rsidRDefault="00777309" w:rsidP="00AA41A0">
            <w:pPr>
              <w:jc w:val="center"/>
              <w:rPr>
                <w:rFonts w:cs="Arial"/>
              </w:rPr>
            </w:pPr>
          </w:p>
          <w:p w:rsidR="00777309" w:rsidRDefault="00777309" w:rsidP="00AA41A0">
            <w:pPr>
              <w:jc w:val="center"/>
              <w:rPr>
                <w:rFonts w:cs="Arial"/>
              </w:rPr>
            </w:pPr>
            <w:r>
              <w:rPr>
                <w:rFonts w:cs="Arial"/>
              </w:rPr>
              <w:t>15</w:t>
            </w:r>
          </w:p>
        </w:tc>
        <w:tc>
          <w:tcPr>
            <w:tcW w:w="1417" w:type="dxa"/>
            <w:tcBorders>
              <w:bottom w:val="single" w:sz="4" w:space="0" w:color="auto"/>
            </w:tcBorders>
          </w:tcPr>
          <w:p w:rsidR="00777309" w:rsidRDefault="00777309" w:rsidP="00AF19D5">
            <w:pPr>
              <w:jc w:val="center"/>
              <w:rPr>
                <w:rFonts w:cs="Arial"/>
                <w:b/>
              </w:rPr>
            </w:pPr>
          </w:p>
          <w:p w:rsidR="00777309" w:rsidRDefault="00777309" w:rsidP="00AF19D5">
            <w:pPr>
              <w:jc w:val="center"/>
              <w:rPr>
                <w:rFonts w:cs="Arial"/>
                <w:b/>
              </w:rPr>
            </w:pPr>
          </w:p>
          <w:p w:rsidR="00777309" w:rsidRDefault="00777309" w:rsidP="00AF19D5">
            <w:pPr>
              <w:jc w:val="center"/>
              <w:rPr>
                <w:rFonts w:cs="Arial"/>
                <w:b/>
              </w:rPr>
            </w:pPr>
            <w:r>
              <w:rPr>
                <w:rFonts w:cs="Arial"/>
                <w:b/>
              </w:rPr>
              <w:t>D</w:t>
            </w:r>
          </w:p>
          <w:p w:rsidR="00777309" w:rsidRDefault="00777309" w:rsidP="00AF19D5">
            <w:pPr>
              <w:jc w:val="center"/>
              <w:rPr>
                <w:rFonts w:cs="Arial"/>
                <w:b/>
              </w:rPr>
            </w:pPr>
          </w:p>
        </w:tc>
        <w:tc>
          <w:tcPr>
            <w:tcW w:w="992" w:type="dxa"/>
            <w:tcBorders>
              <w:bottom w:val="single" w:sz="4" w:space="0" w:color="auto"/>
            </w:tcBorders>
          </w:tcPr>
          <w:p w:rsidR="00777309" w:rsidRPr="00592AD0" w:rsidRDefault="00592AD0" w:rsidP="00AF19D5">
            <w:pPr>
              <w:jc w:val="center"/>
              <w:rPr>
                <w:rFonts w:cs="Arial"/>
              </w:rPr>
            </w:pPr>
            <w:r>
              <w:rPr>
                <w:rFonts w:cs="Arial"/>
              </w:rPr>
              <w:t>30-45</w:t>
            </w:r>
          </w:p>
        </w:tc>
      </w:tr>
      <w:tr w:rsidR="00777309" w:rsidTr="00592AD0">
        <w:tc>
          <w:tcPr>
            <w:tcW w:w="8755" w:type="dxa"/>
            <w:gridSpan w:val="4"/>
            <w:shd w:val="clear" w:color="auto" w:fill="D9D9D9" w:themeFill="background1" w:themeFillShade="D9"/>
          </w:tcPr>
          <w:p w:rsidR="00777309" w:rsidRDefault="00777309" w:rsidP="00101060">
            <w:pPr>
              <w:rPr>
                <w:rFonts w:cs="Arial"/>
                <w:b/>
              </w:rPr>
            </w:pPr>
            <w:r w:rsidRPr="00F47D2D">
              <w:rPr>
                <w:rFonts w:cs="Arial"/>
                <w:i/>
              </w:rPr>
              <w:t xml:space="preserve">Items </w:t>
            </w:r>
            <w:r>
              <w:rPr>
                <w:rFonts w:cs="Arial"/>
                <w:i/>
              </w:rPr>
              <w:t>for discussion</w:t>
            </w:r>
          </w:p>
        </w:tc>
        <w:tc>
          <w:tcPr>
            <w:tcW w:w="992" w:type="dxa"/>
            <w:shd w:val="clear" w:color="auto" w:fill="D9D9D9" w:themeFill="background1" w:themeFillShade="D9"/>
          </w:tcPr>
          <w:p w:rsidR="00777309" w:rsidRPr="00592AD0" w:rsidRDefault="00777309" w:rsidP="00101060">
            <w:pPr>
              <w:rPr>
                <w:rFonts w:cs="Arial"/>
                <w:i/>
              </w:rPr>
            </w:pP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A0271F">
            <w:pPr>
              <w:rPr>
                <w:rFonts w:cstheme="minorHAnsi"/>
                <w:b/>
              </w:rPr>
            </w:pPr>
            <w:r>
              <w:rPr>
                <w:rFonts w:cstheme="minorHAnsi"/>
                <w:b/>
              </w:rPr>
              <w:t>Delivery, Performance and Development Report for Research Systems</w:t>
            </w:r>
          </w:p>
          <w:p w:rsidR="00777309" w:rsidRDefault="00777309" w:rsidP="00A0271F">
            <w:pPr>
              <w:rPr>
                <w:rFonts w:cstheme="minorHAnsi"/>
                <w:b/>
              </w:rPr>
            </w:pPr>
          </w:p>
        </w:tc>
        <w:tc>
          <w:tcPr>
            <w:tcW w:w="851" w:type="dxa"/>
          </w:tcPr>
          <w:p w:rsidR="00777309" w:rsidRDefault="00777309" w:rsidP="00AA41A0">
            <w:pPr>
              <w:jc w:val="center"/>
              <w:rPr>
                <w:rFonts w:cs="Arial"/>
              </w:rPr>
            </w:pPr>
            <w:r>
              <w:rPr>
                <w:rFonts w:cs="Arial"/>
              </w:rPr>
              <w:t>20</w:t>
            </w:r>
          </w:p>
        </w:tc>
        <w:tc>
          <w:tcPr>
            <w:tcW w:w="1417" w:type="dxa"/>
          </w:tcPr>
          <w:p w:rsidR="00777309" w:rsidRDefault="00777309" w:rsidP="00AF19D5">
            <w:pPr>
              <w:jc w:val="center"/>
              <w:rPr>
                <w:rFonts w:cs="Arial"/>
                <w:b/>
              </w:rPr>
            </w:pPr>
            <w:r>
              <w:rPr>
                <w:rFonts w:cs="Arial"/>
                <w:b/>
              </w:rPr>
              <w:t>E</w:t>
            </w:r>
          </w:p>
        </w:tc>
        <w:tc>
          <w:tcPr>
            <w:tcW w:w="992" w:type="dxa"/>
          </w:tcPr>
          <w:p w:rsidR="00777309" w:rsidRPr="00592AD0" w:rsidRDefault="00592AD0" w:rsidP="00AF19D5">
            <w:pPr>
              <w:jc w:val="center"/>
              <w:rPr>
                <w:rFonts w:cs="Arial"/>
              </w:rPr>
            </w:pPr>
            <w:r>
              <w:rPr>
                <w:rFonts w:cs="Arial"/>
              </w:rPr>
              <w:t>46-76</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2C7A93">
            <w:pPr>
              <w:rPr>
                <w:rFonts w:cstheme="minorHAnsi"/>
                <w:b/>
              </w:rPr>
            </w:pPr>
            <w:r>
              <w:rPr>
                <w:rFonts w:cstheme="minorHAnsi"/>
                <w:b/>
              </w:rPr>
              <w:t>UK Wide Compatibility</w:t>
            </w:r>
          </w:p>
          <w:p w:rsidR="00777309" w:rsidRDefault="00777309" w:rsidP="002C7A93">
            <w:pPr>
              <w:rPr>
                <w:rFonts w:cstheme="minorHAnsi"/>
                <w:b/>
              </w:rPr>
            </w:pPr>
          </w:p>
        </w:tc>
        <w:tc>
          <w:tcPr>
            <w:tcW w:w="851" w:type="dxa"/>
          </w:tcPr>
          <w:p w:rsidR="00777309" w:rsidRDefault="00777309" w:rsidP="00AA41A0">
            <w:pPr>
              <w:jc w:val="center"/>
              <w:rPr>
                <w:rFonts w:cs="Arial"/>
              </w:rPr>
            </w:pPr>
            <w:r>
              <w:rPr>
                <w:rFonts w:cs="Arial"/>
              </w:rPr>
              <w:t>15</w:t>
            </w:r>
          </w:p>
        </w:tc>
        <w:tc>
          <w:tcPr>
            <w:tcW w:w="1417" w:type="dxa"/>
          </w:tcPr>
          <w:p w:rsidR="00777309" w:rsidRPr="00777309" w:rsidRDefault="00777309" w:rsidP="00AF19D5">
            <w:pPr>
              <w:jc w:val="center"/>
              <w:rPr>
                <w:rFonts w:cs="Arial"/>
              </w:rPr>
            </w:pPr>
            <w:r w:rsidRPr="00777309">
              <w:rPr>
                <w:rFonts w:cs="Arial"/>
              </w:rPr>
              <w:t>Verbal</w:t>
            </w:r>
          </w:p>
        </w:tc>
        <w:tc>
          <w:tcPr>
            <w:tcW w:w="992" w:type="dxa"/>
          </w:tcPr>
          <w:p w:rsidR="00777309" w:rsidRPr="00592AD0" w:rsidRDefault="00592AD0"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2A488B">
            <w:pPr>
              <w:rPr>
                <w:b/>
                <w:bCs/>
              </w:rPr>
            </w:pPr>
            <w:r w:rsidRPr="00B33868">
              <w:rPr>
                <w:b/>
                <w:bCs/>
              </w:rPr>
              <w:t>Evaluation of the ‘Single Pharmacy Technical Review’ pilot undertaken in collaboration with Cancer Research UK and the UK Experimental Cancer Medicine Centres</w:t>
            </w:r>
          </w:p>
          <w:p w:rsidR="00777309" w:rsidRDefault="00777309" w:rsidP="002C7A93">
            <w:pPr>
              <w:rPr>
                <w:rFonts w:cstheme="minorHAnsi"/>
                <w:b/>
              </w:rPr>
            </w:pPr>
          </w:p>
        </w:tc>
        <w:tc>
          <w:tcPr>
            <w:tcW w:w="851" w:type="dxa"/>
          </w:tcPr>
          <w:p w:rsidR="00777309" w:rsidRDefault="00777309" w:rsidP="00AA41A0">
            <w:pPr>
              <w:jc w:val="center"/>
              <w:rPr>
                <w:rFonts w:cs="Arial"/>
              </w:rPr>
            </w:pPr>
            <w:r>
              <w:rPr>
                <w:rFonts w:cs="Arial"/>
              </w:rPr>
              <w:t>10</w:t>
            </w:r>
          </w:p>
        </w:tc>
        <w:tc>
          <w:tcPr>
            <w:tcW w:w="1417" w:type="dxa"/>
          </w:tcPr>
          <w:p w:rsidR="00777309" w:rsidRDefault="00777309" w:rsidP="00AF19D5">
            <w:pPr>
              <w:jc w:val="center"/>
              <w:rPr>
                <w:rFonts w:cs="Arial"/>
                <w:b/>
              </w:rPr>
            </w:pPr>
            <w:r>
              <w:rPr>
                <w:rFonts w:cs="Arial"/>
                <w:b/>
              </w:rPr>
              <w:t>G</w:t>
            </w:r>
          </w:p>
        </w:tc>
        <w:tc>
          <w:tcPr>
            <w:tcW w:w="992" w:type="dxa"/>
          </w:tcPr>
          <w:p w:rsidR="00777309" w:rsidRPr="00592AD0" w:rsidRDefault="00592AD0" w:rsidP="00AF19D5">
            <w:pPr>
              <w:jc w:val="center"/>
              <w:rPr>
                <w:rFonts w:cs="Arial"/>
              </w:rPr>
            </w:pPr>
            <w:r>
              <w:rPr>
                <w:rFonts w:cs="Arial"/>
              </w:rPr>
              <w:t>77-103</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2C7A93">
            <w:pPr>
              <w:rPr>
                <w:rFonts w:cstheme="minorHAnsi"/>
                <w:b/>
              </w:rPr>
            </w:pPr>
            <w:r>
              <w:rPr>
                <w:rFonts w:cstheme="minorHAnsi"/>
                <w:b/>
              </w:rPr>
              <w:t>The Lancet’s Reward Campaign invitation to HRA</w:t>
            </w:r>
          </w:p>
          <w:p w:rsidR="00777309" w:rsidRDefault="00777309" w:rsidP="00D53C74">
            <w:pPr>
              <w:rPr>
                <w:rFonts w:cstheme="minorHAnsi"/>
                <w:b/>
              </w:rPr>
            </w:pPr>
          </w:p>
        </w:tc>
        <w:tc>
          <w:tcPr>
            <w:tcW w:w="851" w:type="dxa"/>
          </w:tcPr>
          <w:p w:rsidR="00777309" w:rsidRDefault="00777309" w:rsidP="00AA41A0">
            <w:pPr>
              <w:jc w:val="center"/>
              <w:rPr>
                <w:rFonts w:cs="Arial"/>
              </w:rPr>
            </w:pPr>
            <w:r>
              <w:rPr>
                <w:rFonts w:cs="Arial"/>
              </w:rPr>
              <w:t>10</w:t>
            </w:r>
          </w:p>
        </w:tc>
        <w:tc>
          <w:tcPr>
            <w:tcW w:w="1417" w:type="dxa"/>
          </w:tcPr>
          <w:p w:rsidR="00777309" w:rsidRDefault="00777309" w:rsidP="00AF19D5">
            <w:pPr>
              <w:jc w:val="center"/>
              <w:rPr>
                <w:rFonts w:cs="Arial"/>
                <w:b/>
              </w:rPr>
            </w:pPr>
            <w:r>
              <w:rPr>
                <w:rFonts w:cs="Arial"/>
                <w:b/>
              </w:rPr>
              <w:t>H</w:t>
            </w:r>
          </w:p>
        </w:tc>
        <w:tc>
          <w:tcPr>
            <w:tcW w:w="992" w:type="dxa"/>
          </w:tcPr>
          <w:p w:rsidR="00777309" w:rsidRPr="00592AD0" w:rsidRDefault="00592AD0" w:rsidP="00AF19D5">
            <w:pPr>
              <w:jc w:val="center"/>
              <w:rPr>
                <w:rFonts w:cs="Arial"/>
              </w:rPr>
            </w:pPr>
            <w:r>
              <w:rPr>
                <w:rFonts w:cs="Arial"/>
              </w:rPr>
              <w:t>104-106</w:t>
            </w:r>
          </w:p>
        </w:tc>
      </w:tr>
      <w:tr w:rsidR="00777309" w:rsidTr="00592AD0">
        <w:tc>
          <w:tcPr>
            <w:tcW w:w="8755" w:type="dxa"/>
            <w:gridSpan w:val="4"/>
            <w:shd w:val="clear" w:color="auto" w:fill="D9D9D9" w:themeFill="background1" w:themeFillShade="D9"/>
          </w:tcPr>
          <w:p w:rsidR="00777309" w:rsidRPr="00B218A0" w:rsidRDefault="00777309" w:rsidP="00DF635D">
            <w:pPr>
              <w:rPr>
                <w:rFonts w:cs="Arial"/>
                <w:i/>
              </w:rPr>
            </w:pPr>
            <w:r w:rsidRPr="00F47D2D">
              <w:rPr>
                <w:rFonts w:cs="Arial"/>
                <w:i/>
              </w:rPr>
              <w:t xml:space="preserve">Items </w:t>
            </w:r>
            <w:r>
              <w:rPr>
                <w:rFonts w:cs="Arial"/>
                <w:i/>
              </w:rPr>
              <w:t>for information</w:t>
            </w:r>
          </w:p>
        </w:tc>
        <w:tc>
          <w:tcPr>
            <w:tcW w:w="992" w:type="dxa"/>
            <w:shd w:val="clear" w:color="auto" w:fill="D9D9D9" w:themeFill="background1" w:themeFillShade="D9"/>
          </w:tcPr>
          <w:p w:rsidR="00777309" w:rsidRPr="00592AD0" w:rsidRDefault="00777309" w:rsidP="00DF635D">
            <w:pPr>
              <w:rPr>
                <w:rFonts w:cs="Arial"/>
                <w:i/>
              </w:rPr>
            </w:pPr>
          </w:p>
        </w:tc>
      </w:tr>
      <w:tr w:rsidR="00777309" w:rsidTr="00592AD0">
        <w:tc>
          <w:tcPr>
            <w:tcW w:w="698" w:type="dxa"/>
          </w:tcPr>
          <w:p w:rsidR="00777309" w:rsidRPr="00415B4C" w:rsidRDefault="00777309" w:rsidP="00907C37">
            <w:pPr>
              <w:pStyle w:val="ListParagraph"/>
              <w:numPr>
                <w:ilvl w:val="0"/>
                <w:numId w:val="3"/>
              </w:numPr>
              <w:tabs>
                <w:tab w:val="left" w:pos="360"/>
              </w:tabs>
              <w:ind w:left="0" w:firstLine="0"/>
              <w:jc w:val="center"/>
              <w:rPr>
                <w:rFonts w:cs="Arial"/>
                <w:b/>
              </w:rPr>
            </w:pPr>
          </w:p>
        </w:tc>
        <w:tc>
          <w:tcPr>
            <w:tcW w:w="5789" w:type="dxa"/>
          </w:tcPr>
          <w:p w:rsidR="00777309" w:rsidRDefault="00777309" w:rsidP="00E8101A">
            <w:pPr>
              <w:rPr>
                <w:rFonts w:cs="Arial"/>
                <w:b/>
              </w:rPr>
            </w:pPr>
            <w:r>
              <w:rPr>
                <w:rFonts w:cs="Arial"/>
                <w:b/>
              </w:rPr>
              <w:t>Clinical Trials Registration Audit Report</w:t>
            </w:r>
          </w:p>
          <w:p w:rsidR="00777309" w:rsidRPr="00D53C74" w:rsidRDefault="00777309" w:rsidP="00E8101A">
            <w:pPr>
              <w:rPr>
                <w:rFonts w:cs="Arial"/>
                <w:b/>
              </w:rPr>
            </w:pPr>
          </w:p>
        </w:tc>
        <w:tc>
          <w:tcPr>
            <w:tcW w:w="851" w:type="dxa"/>
          </w:tcPr>
          <w:p w:rsidR="00777309" w:rsidRDefault="00777309" w:rsidP="00907C37">
            <w:pPr>
              <w:jc w:val="center"/>
              <w:rPr>
                <w:rFonts w:cs="Arial"/>
              </w:rPr>
            </w:pPr>
            <w:r>
              <w:rPr>
                <w:rFonts w:cs="Arial"/>
              </w:rPr>
              <w:t>10</w:t>
            </w:r>
          </w:p>
        </w:tc>
        <w:tc>
          <w:tcPr>
            <w:tcW w:w="1417" w:type="dxa"/>
          </w:tcPr>
          <w:p w:rsidR="00777309" w:rsidRPr="00A639BF" w:rsidRDefault="00777309" w:rsidP="00075ED0">
            <w:pPr>
              <w:jc w:val="center"/>
              <w:rPr>
                <w:rFonts w:cs="Arial"/>
                <w:b/>
              </w:rPr>
            </w:pPr>
            <w:r>
              <w:rPr>
                <w:rFonts w:cs="Arial"/>
                <w:b/>
              </w:rPr>
              <w:t>I</w:t>
            </w:r>
          </w:p>
        </w:tc>
        <w:tc>
          <w:tcPr>
            <w:tcW w:w="992" w:type="dxa"/>
          </w:tcPr>
          <w:p w:rsidR="00777309" w:rsidRPr="00592AD0" w:rsidRDefault="00592AD0" w:rsidP="00075ED0">
            <w:pPr>
              <w:jc w:val="center"/>
              <w:rPr>
                <w:rFonts w:cs="Arial"/>
              </w:rPr>
            </w:pPr>
            <w:r>
              <w:rPr>
                <w:rFonts w:cs="Arial"/>
              </w:rPr>
              <w:t>107-110</w:t>
            </w:r>
          </w:p>
        </w:tc>
      </w:tr>
      <w:tr w:rsidR="00777309" w:rsidTr="00592AD0">
        <w:tc>
          <w:tcPr>
            <w:tcW w:w="698" w:type="dxa"/>
          </w:tcPr>
          <w:p w:rsidR="00777309" w:rsidRPr="00415B4C" w:rsidRDefault="00777309" w:rsidP="00907C37">
            <w:pPr>
              <w:pStyle w:val="ListParagraph"/>
              <w:numPr>
                <w:ilvl w:val="0"/>
                <w:numId w:val="3"/>
              </w:numPr>
              <w:tabs>
                <w:tab w:val="left" w:pos="360"/>
              </w:tabs>
              <w:ind w:left="0" w:firstLine="0"/>
              <w:jc w:val="center"/>
              <w:rPr>
                <w:rFonts w:cs="Arial"/>
                <w:b/>
              </w:rPr>
            </w:pPr>
          </w:p>
        </w:tc>
        <w:tc>
          <w:tcPr>
            <w:tcW w:w="5789" w:type="dxa"/>
          </w:tcPr>
          <w:p w:rsidR="00777309" w:rsidRDefault="00777309" w:rsidP="00D53C74">
            <w:pPr>
              <w:rPr>
                <w:rFonts w:cs="Arial"/>
                <w:b/>
              </w:rPr>
            </w:pPr>
            <w:r>
              <w:rPr>
                <w:rFonts w:cs="Arial"/>
                <w:b/>
              </w:rPr>
              <w:t>Breach Report 1</w:t>
            </w:r>
            <w:r w:rsidRPr="00101060">
              <w:rPr>
                <w:rFonts w:cs="Arial"/>
                <w:b/>
                <w:vertAlign w:val="superscript"/>
              </w:rPr>
              <w:t>st</w:t>
            </w:r>
            <w:r>
              <w:rPr>
                <w:rFonts w:cs="Arial"/>
                <w:b/>
              </w:rPr>
              <w:t xml:space="preserve"> April 2014 – 31 March 2015</w:t>
            </w:r>
          </w:p>
          <w:p w:rsidR="00777309" w:rsidRDefault="00777309" w:rsidP="00D53C74">
            <w:pPr>
              <w:rPr>
                <w:rFonts w:cs="Arial"/>
                <w:b/>
              </w:rPr>
            </w:pPr>
          </w:p>
        </w:tc>
        <w:tc>
          <w:tcPr>
            <w:tcW w:w="851" w:type="dxa"/>
          </w:tcPr>
          <w:p w:rsidR="00777309" w:rsidRDefault="00777309" w:rsidP="00907C37">
            <w:pPr>
              <w:jc w:val="center"/>
              <w:rPr>
                <w:rFonts w:cs="Arial"/>
              </w:rPr>
            </w:pPr>
            <w:r>
              <w:rPr>
                <w:rFonts w:cs="Arial"/>
              </w:rPr>
              <w:t>10</w:t>
            </w:r>
          </w:p>
        </w:tc>
        <w:tc>
          <w:tcPr>
            <w:tcW w:w="1417" w:type="dxa"/>
          </w:tcPr>
          <w:p w:rsidR="00777309" w:rsidRPr="000F32A6" w:rsidRDefault="00777309" w:rsidP="00075ED0">
            <w:pPr>
              <w:jc w:val="center"/>
              <w:rPr>
                <w:rFonts w:cs="Arial"/>
                <w:b/>
              </w:rPr>
            </w:pPr>
            <w:r>
              <w:rPr>
                <w:rFonts w:cs="Arial"/>
                <w:b/>
              </w:rPr>
              <w:t>J</w:t>
            </w:r>
          </w:p>
        </w:tc>
        <w:tc>
          <w:tcPr>
            <w:tcW w:w="992" w:type="dxa"/>
          </w:tcPr>
          <w:p w:rsidR="00777309" w:rsidRPr="00592AD0" w:rsidRDefault="00592AD0" w:rsidP="00075ED0">
            <w:pPr>
              <w:jc w:val="center"/>
              <w:rPr>
                <w:rFonts w:cs="Arial"/>
              </w:rPr>
            </w:pPr>
            <w:r>
              <w:rPr>
                <w:rFonts w:cs="Arial"/>
              </w:rPr>
              <w:t>111-117</w:t>
            </w:r>
          </w:p>
        </w:tc>
      </w:tr>
      <w:tr w:rsidR="00777309" w:rsidTr="00592AD0">
        <w:tc>
          <w:tcPr>
            <w:tcW w:w="698" w:type="dxa"/>
          </w:tcPr>
          <w:p w:rsidR="00777309" w:rsidRPr="00415B4C" w:rsidRDefault="00777309" w:rsidP="00907C37">
            <w:pPr>
              <w:pStyle w:val="ListParagraph"/>
              <w:numPr>
                <w:ilvl w:val="0"/>
                <w:numId w:val="3"/>
              </w:numPr>
              <w:tabs>
                <w:tab w:val="left" w:pos="360"/>
              </w:tabs>
              <w:ind w:left="0" w:firstLine="0"/>
              <w:jc w:val="center"/>
              <w:rPr>
                <w:rFonts w:cs="Arial"/>
                <w:b/>
              </w:rPr>
            </w:pPr>
          </w:p>
        </w:tc>
        <w:tc>
          <w:tcPr>
            <w:tcW w:w="5789" w:type="dxa"/>
          </w:tcPr>
          <w:p w:rsidR="00777309" w:rsidRDefault="00777309" w:rsidP="009D4F60">
            <w:pPr>
              <w:rPr>
                <w:rFonts w:cs="Arial"/>
                <w:b/>
              </w:rPr>
            </w:pPr>
            <w:r>
              <w:rPr>
                <w:rFonts w:cs="Arial"/>
                <w:b/>
              </w:rPr>
              <w:t>Any other business</w:t>
            </w:r>
          </w:p>
          <w:p w:rsidR="00777309" w:rsidRPr="007902D5" w:rsidRDefault="00777309" w:rsidP="009D4F60">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w:t>
            </w:r>
            <w:r w:rsidRPr="007902D5">
              <w:rPr>
                <w:rFonts w:cs="Arial"/>
                <w:i/>
                <w:sz w:val="18"/>
                <w:szCs w:val="18"/>
              </w:rPr>
              <w:lastRenderedPageBreak/>
              <w:t xml:space="preserve">hours prior to the Board meeting </w:t>
            </w:r>
            <w:r>
              <w:rPr>
                <w:rFonts w:cs="Arial"/>
                <w:i/>
                <w:sz w:val="18"/>
                <w:szCs w:val="18"/>
              </w:rPr>
              <w:t>barring</w:t>
            </w:r>
            <w:r w:rsidRPr="007902D5">
              <w:rPr>
                <w:rFonts w:cs="Arial"/>
                <w:i/>
                <w:sz w:val="18"/>
                <w:szCs w:val="18"/>
              </w:rPr>
              <w:t xml:space="preserve"> exceptional circumstances)</w:t>
            </w:r>
          </w:p>
          <w:p w:rsidR="00777309" w:rsidRDefault="00777309" w:rsidP="00907C37">
            <w:pPr>
              <w:rPr>
                <w:rFonts w:cs="Arial"/>
                <w:b/>
              </w:rPr>
            </w:pPr>
          </w:p>
        </w:tc>
        <w:tc>
          <w:tcPr>
            <w:tcW w:w="851" w:type="dxa"/>
          </w:tcPr>
          <w:p w:rsidR="00777309" w:rsidRDefault="00777309" w:rsidP="00907C37">
            <w:pPr>
              <w:jc w:val="center"/>
              <w:rPr>
                <w:rFonts w:cs="Arial"/>
              </w:rPr>
            </w:pPr>
            <w:r>
              <w:rPr>
                <w:rFonts w:cs="Arial"/>
              </w:rPr>
              <w:lastRenderedPageBreak/>
              <w:t>5</w:t>
            </w:r>
          </w:p>
        </w:tc>
        <w:tc>
          <w:tcPr>
            <w:tcW w:w="1417" w:type="dxa"/>
          </w:tcPr>
          <w:p w:rsidR="00777309" w:rsidRPr="006E73FF" w:rsidRDefault="00777309" w:rsidP="00954287">
            <w:pPr>
              <w:jc w:val="center"/>
              <w:rPr>
                <w:rFonts w:cs="Arial"/>
              </w:rPr>
            </w:pPr>
            <w:r w:rsidRPr="006E73FF">
              <w:rPr>
                <w:rFonts w:cs="Arial"/>
              </w:rPr>
              <w:t>Verbal</w:t>
            </w:r>
          </w:p>
          <w:p w:rsidR="00777309" w:rsidRPr="000F32A6" w:rsidRDefault="00777309" w:rsidP="00954287">
            <w:pPr>
              <w:jc w:val="center"/>
              <w:rPr>
                <w:rFonts w:cs="Arial"/>
                <w:b/>
              </w:rPr>
            </w:pPr>
          </w:p>
        </w:tc>
        <w:tc>
          <w:tcPr>
            <w:tcW w:w="992" w:type="dxa"/>
          </w:tcPr>
          <w:p w:rsidR="00777309" w:rsidRPr="00592AD0" w:rsidRDefault="00592AD0" w:rsidP="00954287">
            <w:pPr>
              <w:jc w:val="center"/>
              <w:rPr>
                <w:rFonts w:cs="Arial"/>
              </w:rPr>
            </w:pPr>
            <w:r>
              <w:rPr>
                <w:rFonts w:cs="Arial"/>
              </w:rPr>
              <w:t>-</w:t>
            </w:r>
          </w:p>
        </w:tc>
      </w:tr>
      <w:tr w:rsidR="00777309" w:rsidTr="00592AD0">
        <w:tc>
          <w:tcPr>
            <w:tcW w:w="698" w:type="dxa"/>
          </w:tcPr>
          <w:p w:rsidR="00777309" w:rsidRPr="006E73FF" w:rsidRDefault="00777309" w:rsidP="006E6D03">
            <w:pPr>
              <w:pStyle w:val="ListParagraph"/>
              <w:numPr>
                <w:ilvl w:val="0"/>
                <w:numId w:val="3"/>
              </w:numPr>
              <w:tabs>
                <w:tab w:val="left" w:pos="360"/>
              </w:tabs>
              <w:ind w:left="0" w:firstLine="0"/>
              <w:jc w:val="center"/>
              <w:rPr>
                <w:rFonts w:cs="Arial"/>
                <w:b/>
              </w:rPr>
            </w:pPr>
          </w:p>
        </w:tc>
        <w:tc>
          <w:tcPr>
            <w:tcW w:w="5789" w:type="dxa"/>
          </w:tcPr>
          <w:p w:rsidR="00777309" w:rsidRPr="006E73FF" w:rsidRDefault="00777309" w:rsidP="006E6D03">
            <w:pPr>
              <w:rPr>
                <w:rFonts w:cs="Arial"/>
                <w:b/>
              </w:rPr>
            </w:pPr>
            <w:r w:rsidRPr="006E73FF">
              <w:rPr>
                <w:rFonts w:cs="Arial"/>
                <w:b/>
              </w:rPr>
              <w:t>Questions from the public</w:t>
            </w:r>
          </w:p>
          <w:p w:rsidR="00777309" w:rsidRPr="006E73FF" w:rsidRDefault="00777309" w:rsidP="006E6D03">
            <w:pPr>
              <w:rPr>
                <w:rFonts w:cs="Arial"/>
                <w:b/>
              </w:rPr>
            </w:pPr>
          </w:p>
        </w:tc>
        <w:tc>
          <w:tcPr>
            <w:tcW w:w="851" w:type="dxa"/>
          </w:tcPr>
          <w:p w:rsidR="00777309" w:rsidRPr="006E73FF" w:rsidRDefault="00777309" w:rsidP="006E6D03">
            <w:pPr>
              <w:jc w:val="center"/>
              <w:rPr>
                <w:rFonts w:cs="Arial"/>
              </w:rPr>
            </w:pPr>
            <w:r>
              <w:rPr>
                <w:rFonts w:cs="Arial"/>
              </w:rPr>
              <w:t>5</w:t>
            </w:r>
          </w:p>
        </w:tc>
        <w:tc>
          <w:tcPr>
            <w:tcW w:w="1417" w:type="dxa"/>
          </w:tcPr>
          <w:p w:rsidR="00777309" w:rsidRPr="000F32A6" w:rsidRDefault="00777309" w:rsidP="00954287">
            <w:pPr>
              <w:jc w:val="center"/>
              <w:rPr>
                <w:rFonts w:cs="Arial"/>
                <w:b/>
              </w:rPr>
            </w:pPr>
          </w:p>
        </w:tc>
        <w:tc>
          <w:tcPr>
            <w:tcW w:w="992" w:type="dxa"/>
          </w:tcPr>
          <w:p w:rsidR="00777309" w:rsidRPr="00592AD0" w:rsidRDefault="00592AD0" w:rsidP="00954287">
            <w:pPr>
              <w:jc w:val="center"/>
              <w:rPr>
                <w:rFonts w:cs="Arial"/>
              </w:rPr>
            </w:pPr>
            <w:r>
              <w:rPr>
                <w:rFonts w:cs="Arial"/>
              </w:rPr>
              <w:t>-</w:t>
            </w:r>
          </w:p>
        </w:tc>
      </w:tr>
      <w:tr w:rsidR="00777309" w:rsidTr="00592AD0">
        <w:tc>
          <w:tcPr>
            <w:tcW w:w="698" w:type="dxa"/>
          </w:tcPr>
          <w:p w:rsidR="00777309" w:rsidRPr="00A0558D" w:rsidRDefault="00777309" w:rsidP="00AF19D5">
            <w:pPr>
              <w:pStyle w:val="ListParagraph"/>
              <w:numPr>
                <w:ilvl w:val="0"/>
                <w:numId w:val="3"/>
              </w:numPr>
              <w:tabs>
                <w:tab w:val="left" w:pos="360"/>
              </w:tabs>
              <w:ind w:left="0" w:firstLine="0"/>
              <w:jc w:val="center"/>
              <w:rPr>
                <w:rFonts w:cs="Arial"/>
              </w:rPr>
            </w:pPr>
          </w:p>
        </w:tc>
        <w:tc>
          <w:tcPr>
            <w:tcW w:w="5789" w:type="dxa"/>
          </w:tcPr>
          <w:p w:rsidR="00777309" w:rsidRPr="00777309" w:rsidRDefault="00777309" w:rsidP="004D68EA">
            <w:pPr>
              <w:rPr>
                <w:rFonts w:cs="Arial"/>
                <w:b/>
              </w:rPr>
            </w:pPr>
            <w:r w:rsidRPr="00777309">
              <w:rPr>
                <w:rFonts w:cs="Arial"/>
                <w:b/>
              </w:rPr>
              <w:t>Date of next meeting</w:t>
            </w:r>
          </w:p>
          <w:p w:rsidR="00777309" w:rsidRPr="00A0558D" w:rsidRDefault="00777309" w:rsidP="004D68EA">
            <w:pPr>
              <w:rPr>
                <w:rFonts w:cs="Arial"/>
              </w:rPr>
            </w:pPr>
          </w:p>
          <w:p w:rsidR="00777309" w:rsidRDefault="00777309" w:rsidP="00A0558D">
            <w:pPr>
              <w:rPr>
                <w:rFonts w:cs="Arial"/>
              </w:rPr>
            </w:pPr>
            <w:r w:rsidRPr="00A0558D">
              <w:rPr>
                <w:rFonts w:cs="Arial"/>
              </w:rPr>
              <w:t>21 October 2015</w:t>
            </w:r>
          </w:p>
          <w:p w:rsidR="00777309" w:rsidRPr="00A0558D" w:rsidRDefault="00777309" w:rsidP="00A0558D">
            <w:pPr>
              <w:rPr>
                <w:rFonts w:cs="Arial"/>
              </w:rPr>
            </w:pPr>
          </w:p>
        </w:tc>
        <w:tc>
          <w:tcPr>
            <w:tcW w:w="851" w:type="dxa"/>
          </w:tcPr>
          <w:p w:rsidR="00777309" w:rsidRDefault="00777309" w:rsidP="00F95E26">
            <w:pPr>
              <w:jc w:val="center"/>
              <w:rPr>
                <w:rFonts w:cs="Arial"/>
              </w:rPr>
            </w:pPr>
          </w:p>
        </w:tc>
        <w:tc>
          <w:tcPr>
            <w:tcW w:w="1417" w:type="dxa"/>
          </w:tcPr>
          <w:p w:rsidR="00777309" w:rsidRDefault="00777309" w:rsidP="00AF19D5">
            <w:pPr>
              <w:jc w:val="center"/>
              <w:rPr>
                <w:rFonts w:cs="Arial"/>
              </w:rPr>
            </w:pPr>
          </w:p>
        </w:tc>
        <w:tc>
          <w:tcPr>
            <w:tcW w:w="992" w:type="dxa"/>
          </w:tcPr>
          <w:p w:rsidR="00777309" w:rsidRPr="00592AD0" w:rsidRDefault="00592AD0" w:rsidP="00AF19D5">
            <w:pPr>
              <w:jc w:val="center"/>
              <w:rPr>
                <w:rFonts w:cs="Arial"/>
              </w:rPr>
            </w:pPr>
            <w:r>
              <w:rPr>
                <w:rFonts w:cs="Arial"/>
              </w:rPr>
              <w:t>-</w:t>
            </w:r>
          </w:p>
        </w:tc>
      </w:tr>
      <w:tr w:rsidR="00777309" w:rsidTr="00592AD0">
        <w:tc>
          <w:tcPr>
            <w:tcW w:w="698" w:type="dxa"/>
          </w:tcPr>
          <w:p w:rsidR="00777309" w:rsidRPr="006E73FF" w:rsidRDefault="00777309" w:rsidP="00EC6C70">
            <w:pPr>
              <w:pStyle w:val="ListParagraph"/>
              <w:numPr>
                <w:ilvl w:val="0"/>
                <w:numId w:val="3"/>
              </w:numPr>
              <w:tabs>
                <w:tab w:val="left" w:pos="360"/>
              </w:tabs>
              <w:ind w:left="0" w:firstLine="0"/>
              <w:jc w:val="center"/>
              <w:rPr>
                <w:rFonts w:cs="Arial"/>
                <w:b/>
              </w:rPr>
            </w:pPr>
          </w:p>
        </w:tc>
        <w:tc>
          <w:tcPr>
            <w:tcW w:w="5789" w:type="dxa"/>
          </w:tcPr>
          <w:p w:rsidR="00777309" w:rsidRPr="006E73FF" w:rsidRDefault="00777309" w:rsidP="00EC6C70">
            <w:pPr>
              <w:rPr>
                <w:rFonts w:cs="Arial"/>
                <w:b/>
              </w:rPr>
            </w:pPr>
            <w:r w:rsidRPr="006E73FF">
              <w:rPr>
                <w:rFonts w:cs="Arial"/>
                <w:b/>
              </w:rPr>
              <w:t>Resolution to exclude members of the public</w:t>
            </w:r>
          </w:p>
          <w:p w:rsidR="00777309" w:rsidRPr="006E73FF" w:rsidRDefault="00777309" w:rsidP="00EC6C70">
            <w:pPr>
              <w:rPr>
                <w:rFonts w:cs="Arial"/>
              </w:rPr>
            </w:pPr>
          </w:p>
          <w:p w:rsidR="00777309" w:rsidRPr="006E73FF" w:rsidRDefault="00777309"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777309" w:rsidRPr="006E73FF" w:rsidRDefault="00777309" w:rsidP="00EC6C70">
            <w:pPr>
              <w:rPr>
                <w:rFonts w:cs="Arial"/>
                <w:i/>
              </w:rPr>
            </w:pPr>
          </w:p>
        </w:tc>
        <w:tc>
          <w:tcPr>
            <w:tcW w:w="851" w:type="dxa"/>
          </w:tcPr>
          <w:p w:rsidR="00777309" w:rsidRPr="006E73FF" w:rsidRDefault="00777309" w:rsidP="00EC6C70">
            <w:pPr>
              <w:jc w:val="center"/>
              <w:rPr>
                <w:rFonts w:cs="Arial"/>
              </w:rPr>
            </w:pPr>
          </w:p>
        </w:tc>
        <w:tc>
          <w:tcPr>
            <w:tcW w:w="1417" w:type="dxa"/>
          </w:tcPr>
          <w:p w:rsidR="00777309" w:rsidRPr="006E73FF" w:rsidRDefault="00777309" w:rsidP="00EC6C70">
            <w:pPr>
              <w:jc w:val="center"/>
              <w:rPr>
                <w:rFonts w:cs="Arial"/>
              </w:rPr>
            </w:pPr>
          </w:p>
        </w:tc>
        <w:tc>
          <w:tcPr>
            <w:tcW w:w="992" w:type="dxa"/>
          </w:tcPr>
          <w:p w:rsidR="00777309" w:rsidRPr="00592AD0" w:rsidRDefault="00592AD0" w:rsidP="00EC6C70">
            <w:pPr>
              <w:jc w:val="center"/>
              <w:rPr>
                <w:rFonts w:cs="Arial"/>
              </w:rPr>
            </w:pPr>
            <w:r>
              <w:rPr>
                <w:rFonts w:cs="Arial"/>
              </w:rPr>
              <w:t>-</w:t>
            </w:r>
            <w:bookmarkStart w:id="0" w:name="_GoBack"/>
            <w:bookmarkEnd w:id="0"/>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6A1721" w:rsidRDefault="000452D5" w:rsidP="000452D5">
      <w:pPr>
        <w:tabs>
          <w:tab w:val="left" w:pos="3000"/>
        </w:tabs>
        <w:rPr>
          <w:sz w:val="24"/>
          <w:szCs w:val="24"/>
        </w:rPr>
      </w:pPr>
      <w:r>
        <w:rPr>
          <w:sz w:val="24"/>
          <w:szCs w:val="24"/>
        </w:rPr>
        <w:tab/>
      </w: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Pr="006A1721" w:rsidRDefault="006A1721" w:rsidP="006A1721">
      <w:pPr>
        <w:rPr>
          <w:sz w:val="24"/>
          <w:szCs w:val="24"/>
        </w:rPr>
      </w:pPr>
    </w:p>
    <w:p w:rsidR="006A1721" w:rsidRDefault="006A1721" w:rsidP="006A1721">
      <w:pPr>
        <w:rPr>
          <w:sz w:val="24"/>
          <w:szCs w:val="24"/>
        </w:rPr>
      </w:pPr>
    </w:p>
    <w:p w:rsidR="005B2B7D" w:rsidRPr="006A1721" w:rsidRDefault="005B2B7D" w:rsidP="006A1721">
      <w:pPr>
        <w:rPr>
          <w:sz w:val="24"/>
          <w:szCs w:val="24"/>
        </w:rPr>
      </w:pPr>
    </w:p>
    <w:sectPr w:rsidR="005B2B7D" w:rsidRPr="006A1721"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592AD0">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592AD0">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664A6C">
              <w:rPr>
                <w:sz w:val="18"/>
                <w:szCs w:val="18"/>
              </w:rPr>
              <w:t>2015.</w:t>
            </w:r>
            <w:r w:rsidR="00A0558D">
              <w:rPr>
                <w:sz w:val="18"/>
                <w:szCs w:val="18"/>
              </w:rPr>
              <w:t>09.16</w:t>
            </w:r>
            <w:r w:rsidR="009D4F60">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592AD0">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592AD0">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664A6C">
          <w:rPr>
            <w:sz w:val="18"/>
            <w:szCs w:val="18"/>
          </w:rPr>
          <w:t>2015.</w:t>
        </w:r>
        <w:r w:rsidR="00A0558D">
          <w:rPr>
            <w:sz w:val="18"/>
            <w:szCs w:val="18"/>
          </w:rPr>
          <w:t>09.16</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23"/>
  </w:num>
  <w:num w:numId="4">
    <w:abstractNumId w:val="12"/>
  </w:num>
  <w:num w:numId="5">
    <w:abstractNumId w:val="8"/>
  </w:num>
  <w:num w:numId="6">
    <w:abstractNumId w:val="0"/>
  </w:num>
  <w:num w:numId="7">
    <w:abstractNumId w:val="14"/>
  </w:num>
  <w:num w:numId="8">
    <w:abstractNumId w:val="11"/>
  </w:num>
  <w:num w:numId="9">
    <w:abstractNumId w:val="2"/>
  </w:num>
  <w:num w:numId="10">
    <w:abstractNumId w:val="7"/>
  </w:num>
  <w:num w:numId="11">
    <w:abstractNumId w:val="22"/>
  </w:num>
  <w:num w:numId="12">
    <w:abstractNumId w:val="10"/>
  </w:num>
  <w:num w:numId="13">
    <w:abstractNumId w:val="24"/>
  </w:num>
  <w:num w:numId="14">
    <w:abstractNumId w:val="15"/>
  </w:num>
  <w:num w:numId="15">
    <w:abstractNumId w:val="4"/>
  </w:num>
  <w:num w:numId="16">
    <w:abstractNumId w:val="17"/>
  </w:num>
  <w:num w:numId="17">
    <w:abstractNumId w:val="5"/>
  </w:num>
  <w:num w:numId="18">
    <w:abstractNumId w:val="21"/>
  </w:num>
  <w:num w:numId="19">
    <w:abstractNumId w:val="3"/>
  </w:num>
  <w:num w:numId="20">
    <w:abstractNumId w:val="6"/>
  </w:num>
  <w:num w:numId="21">
    <w:abstractNumId w:val="16"/>
  </w:num>
  <w:num w:numId="22">
    <w:abstractNumId w:val="13"/>
  </w:num>
  <w:num w:numId="23">
    <w:abstractNumId w:val="18"/>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63ED"/>
    <w:rsid w:val="00026127"/>
    <w:rsid w:val="00026A84"/>
    <w:rsid w:val="0003184B"/>
    <w:rsid w:val="00033305"/>
    <w:rsid w:val="00034A4D"/>
    <w:rsid w:val="00041136"/>
    <w:rsid w:val="000452D5"/>
    <w:rsid w:val="00046B0F"/>
    <w:rsid w:val="0004770A"/>
    <w:rsid w:val="00060F14"/>
    <w:rsid w:val="00062FBE"/>
    <w:rsid w:val="00064850"/>
    <w:rsid w:val="00064E58"/>
    <w:rsid w:val="00074BD3"/>
    <w:rsid w:val="000804CD"/>
    <w:rsid w:val="00081775"/>
    <w:rsid w:val="000B15C8"/>
    <w:rsid w:val="000B2532"/>
    <w:rsid w:val="000B5923"/>
    <w:rsid w:val="000C270F"/>
    <w:rsid w:val="000C7FA6"/>
    <w:rsid w:val="000D0492"/>
    <w:rsid w:val="000D2DCF"/>
    <w:rsid w:val="000D5BA2"/>
    <w:rsid w:val="000E5BF9"/>
    <w:rsid w:val="000F32A6"/>
    <w:rsid w:val="000F4214"/>
    <w:rsid w:val="000F42F4"/>
    <w:rsid w:val="00101060"/>
    <w:rsid w:val="00120252"/>
    <w:rsid w:val="00121247"/>
    <w:rsid w:val="00121504"/>
    <w:rsid w:val="00121E87"/>
    <w:rsid w:val="00130ED3"/>
    <w:rsid w:val="00136FB3"/>
    <w:rsid w:val="00137843"/>
    <w:rsid w:val="001442D6"/>
    <w:rsid w:val="001470E2"/>
    <w:rsid w:val="00153612"/>
    <w:rsid w:val="00167178"/>
    <w:rsid w:val="00175116"/>
    <w:rsid w:val="0017565C"/>
    <w:rsid w:val="001A4130"/>
    <w:rsid w:val="001B153D"/>
    <w:rsid w:val="001B41DD"/>
    <w:rsid w:val="001C0A64"/>
    <w:rsid w:val="001E41EE"/>
    <w:rsid w:val="001F133E"/>
    <w:rsid w:val="001F3455"/>
    <w:rsid w:val="001F6FE7"/>
    <w:rsid w:val="00201179"/>
    <w:rsid w:val="00207C89"/>
    <w:rsid w:val="002166AB"/>
    <w:rsid w:val="00242AEB"/>
    <w:rsid w:val="00243DDA"/>
    <w:rsid w:val="00244EAC"/>
    <w:rsid w:val="00252866"/>
    <w:rsid w:val="00253C0C"/>
    <w:rsid w:val="002666D7"/>
    <w:rsid w:val="00274C5B"/>
    <w:rsid w:val="00285A4D"/>
    <w:rsid w:val="0028784C"/>
    <w:rsid w:val="00295537"/>
    <w:rsid w:val="002A047A"/>
    <w:rsid w:val="002A488B"/>
    <w:rsid w:val="002C3366"/>
    <w:rsid w:val="002C3ABB"/>
    <w:rsid w:val="002C7A93"/>
    <w:rsid w:val="002D178C"/>
    <w:rsid w:val="002D7186"/>
    <w:rsid w:val="002E479D"/>
    <w:rsid w:val="002E77B7"/>
    <w:rsid w:val="002F0375"/>
    <w:rsid w:val="002F0D44"/>
    <w:rsid w:val="002F51E5"/>
    <w:rsid w:val="002F5FD4"/>
    <w:rsid w:val="0030307B"/>
    <w:rsid w:val="0031271D"/>
    <w:rsid w:val="0032081B"/>
    <w:rsid w:val="00320889"/>
    <w:rsid w:val="00326982"/>
    <w:rsid w:val="00341AD0"/>
    <w:rsid w:val="003741A6"/>
    <w:rsid w:val="003871A8"/>
    <w:rsid w:val="00390009"/>
    <w:rsid w:val="0039487C"/>
    <w:rsid w:val="0039663F"/>
    <w:rsid w:val="00396E72"/>
    <w:rsid w:val="003970DC"/>
    <w:rsid w:val="00397942"/>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1E7D"/>
    <w:rsid w:val="0047616B"/>
    <w:rsid w:val="00476558"/>
    <w:rsid w:val="00485BED"/>
    <w:rsid w:val="00485C31"/>
    <w:rsid w:val="00493D79"/>
    <w:rsid w:val="00493E63"/>
    <w:rsid w:val="0049791E"/>
    <w:rsid w:val="004A1A1E"/>
    <w:rsid w:val="004B01B9"/>
    <w:rsid w:val="004B0304"/>
    <w:rsid w:val="004B11BA"/>
    <w:rsid w:val="004D5808"/>
    <w:rsid w:val="004D6435"/>
    <w:rsid w:val="004D68EA"/>
    <w:rsid w:val="004F1049"/>
    <w:rsid w:val="00504D4E"/>
    <w:rsid w:val="005060C9"/>
    <w:rsid w:val="00531EDB"/>
    <w:rsid w:val="00541A0C"/>
    <w:rsid w:val="00546B5B"/>
    <w:rsid w:val="00546E59"/>
    <w:rsid w:val="00576384"/>
    <w:rsid w:val="00592583"/>
    <w:rsid w:val="00592AD0"/>
    <w:rsid w:val="005A3DB2"/>
    <w:rsid w:val="005A56B1"/>
    <w:rsid w:val="005B0DDA"/>
    <w:rsid w:val="005B2B7D"/>
    <w:rsid w:val="005B7B0D"/>
    <w:rsid w:val="005C764F"/>
    <w:rsid w:val="005C7A56"/>
    <w:rsid w:val="005F52E1"/>
    <w:rsid w:val="00610BD1"/>
    <w:rsid w:val="00630CBD"/>
    <w:rsid w:val="006338F2"/>
    <w:rsid w:val="00635885"/>
    <w:rsid w:val="00651EEC"/>
    <w:rsid w:val="006620CF"/>
    <w:rsid w:val="00662781"/>
    <w:rsid w:val="00664A6C"/>
    <w:rsid w:val="00675409"/>
    <w:rsid w:val="00683A2A"/>
    <w:rsid w:val="00690D65"/>
    <w:rsid w:val="00692E21"/>
    <w:rsid w:val="00697209"/>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73FF"/>
    <w:rsid w:val="006F4BB3"/>
    <w:rsid w:val="006F54D7"/>
    <w:rsid w:val="0070737D"/>
    <w:rsid w:val="007077FA"/>
    <w:rsid w:val="00720950"/>
    <w:rsid w:val="00721AC5"/>
    <w:rsid w:val="00736A4B"/>
    <w:rsid w:val="0077062D"/>
    <w:rsid w:val="0077472D"/>
    <w:rsid w:val="00777309"/>
    <w:rsid w:val="00781EDE"/>
    <w:rsid w:val="00785F63"/>
    <w:rsid w:val="007902D5"/>
    <w:rsid w:val="007C0C1D"/>
    <w:rsid w:val="007C1CB5"/>
    <w:rsid w:val="007C7B46"/>
    <w:rsid w:val="007E5168"/>
    <w:rsid w:val="007E6557"/>
    <w:rsid w:val="007F2209"/>
    <w:rsid w:val="007F5CD3"/>
    <w:rsid w:val="00801C56"/>
    <w:rsid w:val="00815E6E"/>
    <w:rsid w:val="0082470A"/>
    <w:rsid w:val="0083064C"/>
    <w:rsid w:val="00831FD6"/>
    <w:rsid w:val="00837224"/>
    <w:rsid w:val="008414E8"/>
    <w:rsid w:val="0084253E"/>
    <w:rsid w:val="00844085"/>
    <w:rsid w:val="0085029B"/>
    <w:rsid w:val="008510F4"/>
    <w:rsid w:val="00854CB9"/>
    <w:rsid w:val="008647AF"/>
    <w:rsid w:val="00865C82"/>
    <w:rsid w:val="0087304C"/>
    <w:rsid w:val="008765F4"/>
    <w:rsid w:val="00876A26"/>
    <w:rsid w:val="008770B5"/>
    <w:rsid w:val="00886163"/>
    <w:rsid w:val="00886312"/>
    <w:rsid w:val="00893CD6"/>
    <w:rsid w:val="008A3B3B"/>
    <w:rsid w:val="008A5344"/>
    <w:rsid w:val="008A67E2"/>
    <w:rsid w:val="008B2F48"/>
    <w:rsid w:val="008C282E"/>
    <w:rsid w:val="008C3923"/>
    <w:rsid w:val="008C3A68"/>
    <w:rsid w:val="008D3835"/>
    <w:rsid w:val="008F5213"/>
    <w:rsid w:val="009010BD"/>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3944"/>
    <w:rsid w:val="00985EE3"/>
    <w:rsid w:val="00986603"/>
    <w:rsid w:val="009877AB"/>
    <w:rsid w:val="0099740D"/>
    <w:rsid w:val="009A4984"/>
    <w:rsid w:val="009B3341"/>
    <w:rsid w:val="009B5E20"/>
    <w:rsid w:val="009B70E6"/>
    <w:rsid w:val="009D4F60"/>
    <w:rsid w:val="009D620E"/>
    <w:rsid w:val="009D630B"/>
    <w:rsid w:val="009E5B49"/>
    <w:rsid w:val="009F42C6"/>
    <w:rsid w:val="00A0558D"/>
    <w:rsid w:val="00A05DCC"/>
    <w:rsid w:val="00A0755C"/>
    <w:rsid w:val="00A07BFB"/>
    <w:rsid w:val="00A11711"/>
    <w:rsid w:val="00A13562"/>
    <w:rsid w:val="00A17A3F"/>
    <w:rsid w:val="00A20222"/>
    <w:rsid w:val="00A349D7"/>
    <w:rsid w:val="00A639BF"/>
    <w:rsid w:val="00A91D19"/>
    <w:rsid w:val="00AA41A0"/>
    <w:rsid w:val="00AB30E2"/>
    <w:rsid w:val="00AB39C4"/>
    <w:rsid w:val="00AB51B4"/>
    <w:rsid w:val="00AB625F"/>
    <w:rsid w:val="00AC5250"/>
    <w:rsid w:val="00AE0BB5"/>
    <w:rsid w:val="00AE252E"/>
    <w:rsid w:val="00AE70C4"/>
    <w:rsid w:val="00AF19D5"/>
    <w:rsid w:val="00AF3C0D"/>
    <w:rsid w:val="00AF6005"/>
    <w:rsid w:val="00AF69AF"/>
    <w:rsid w:val="00B020E9"/>
    <w:rsid w:val="00B074B9"/>
    <w:rsid w:val="00B13540"/>
    <w:rsid w:val="00B16A19"/>
    <w:rsid w:val="00B2141E"/>
    <w:rsid w:val="00B218A0"/>
    <w:rsid w:val="00B25C4C"/>
    <w:rsid w:val="00B31C86"/>
    <w:rsid w:val="00B335D2"/>
    <w:rsid w:val="00B33868"/>
    <w:rsid w:val="00B34641"/>
    <w:rsid w:val="00B41E51"/>
    <w:rsid w:val="00B51250"/>
    <w:rsid w:val="00B52FE2"/>
    <w:rsid w:val="00B60B81"/>
    <w:rsid w:val="00B61BEC"/>
    <w:rsid w:val="00B660AB"/>
    <w:rsid w:val="00B70FE8"/>
    <w:rsid w:val="00B72E55"/>
    <w:rsid w:val="00B745F3"/>
    <w:rsid w:val="00B77B47"/>
    <w:rsid w:val="00B86922"/>
    <w:rsid w:val="00B869CC"/>
    <w:rsid w:val="00B87D4F"/>
    <w:rsid w:val="00B90344"/>
    <w:rsid w:val="00B93139"/>
    <w:rsid w:val="00BA55FD"/>
    <w:rsid w:val="00BA60C7"/>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25F5A"/>
    <w:rsid w:val="00C36A71"/>
    <w:rsid w:val="00C37D18"/>
    <w:rsid w:val="00C54EE0"/>
    <w:rsid w:val="00C6224B"/>
    <w:rsid w:val="00C813D2"/>
    <w:rsid w:val="00C84E10"/>
    <w:rsid w:val="00C8518F"/>
    <w:rsid w:val="00C93CC8"/>
    <w:rsid w:val="00C9722B"/>
    <w:rsid w:val="00CA5FA4"/>
    <w:rsid w:val="00CB0AAB"/>
    <w:rsid w:val="00CB2D9A"/>
    <w:rsid w:val="00CD336E"/>
    <w:rsid w:val="00CD3855"/>
    <w:rsid w:val="00CD437C"/>
    <w:rsid w:val="00CE059A"/>
    <w:rsid w:val="00CF0223"/>
    <w:rsid w:val="00CF0A97"/>
    <w:rsid w:val="00CF1872"/>
    <w:rsid w:val="00D07416"/>
    <w:rsid w:val="00D079AC"/>
    <w:rsid w:val="00D13FA0"/>
    <w:rsid w:val="00D14F0B"/>
    <w:rsid w:val="00D1669A"/>
    <w:rsid w:val="00D21365"/>
    <w:rsid w:val="00D33996"/>
    <w:rsid w:val="00D36B29"/>
    <w:rsid w:val="00D42585"/>
    <w:rsid w:val="00D4295C"/>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4F1"/>
    <w:rsid w:val="00DB0A75"/>
    <w:rsid w:val="00DB75AE"/>
    <w:rsid w:val="00DC4C98"/>
    <w:rsid w:val="00DD2DE4"/>
    <w:rsid w:val="00DD62AE"/>
    <w:rsid w:val="00DE6C5B"/>
    <w:rsid w:val="00DF08B0"/>
    <w:rsid w:val="00DF0DDE"/>
    <w:rsid w:val="00DF3EE7"/>
    <w:rsid w:val="00DF5F25"/>
    <w:rsid w:val="00DF635D"/>
    <w:rsid w:val="00E00414"/>
    <w:rsid w:val="00E04B60"/>
    <w:rsid w:val="00E05AF8"/>
    <w:rsid w:val="00E0782A"/>
    <w:rsid w:val="00E264CB"/>
    <w:rsid w:val="00E30CF7"/>
    <w:rsid w:val="00E432F9"/>
    <w:rsid w:val="00E53D13"/>
    <w:rsid w:val="00E701E8"/>
    <w:rsid w:val="00E70959"/>
    <w:rsid w:val="00E70CAE"/>
    <w:rsid w:val="00E8101A"/>
    <w:rsid w:val="00E83E27"/>
    <w:rsid w:val="00E876E2"/>
    <w:rsid w:val="00E97468"/>
    <w:rsid w:val="00EA0DE4"/>
    <w:rsid w:val="00EC1AF7"/>
    <w:rsid w:val="00ED1B36"/>
    <w:rsid w:val="00EE0650"/>
    <w:rsid w:val="00EE5006"/>
    <w:rsid w:val="00EF41BE"/>
    <w:rsid w:val="00EF6DCF"/>
    <w:rsid w:val="00F05855"/>
    <w:rsid w:val="00F137C0"/>
    <w:rsid w:val="00F14DC2"/>
    <w:rsid w:val="00F24B43"/>
    <w:rsid w:val="00F25D37"/>
    <w:rsid w:val="00F3283C"/>
    <w:rsid w:val="00F43537"/>
    <w:rsid w:val="00F46644"/>
    <w:rsid w:val="00F65189"/>
    <w:rsid w:val="00F677DC"/>
    <w:rsid w:val="00F67F27"/>
    <w:rsid w:val="00F72F2F"/>
    <w:rsid w:val="00F76EFD"/>
    <w:rsid w:val="00F775F1"/>
    <w:rsid w:val="00F91E3F"/>
    <w:rsid w:val="00F92955"/>
    <w:rsid w:val="00F95E26"/>
    <w:rsid w:val="00F95E47"/>
    <w:rsid w:val="00F96CED"/>
    <w:rsid w:val="00FA719E"/>
    <w:rsid w:val="00FB78B5"/>
    <w:rsid w:val="00FC04EE"/>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64</cp:revision>
  <cp:lastPrinted>2015-07-10T08:46:00Z</cp:lastPrinted>
  <dcterms:created xsi:type="dcterms:W3CDTF">2014-10-02T09:48:00Z</dcterms:created>
  <dcterms:modified xsi:type="dcterms:W3CDTF">2015-09-10T08:07:00Z</dcterms:modified>
</cp:coreProperties>
</file>