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1" w:rsidRPr="00FF7CBA" w:rsidRDefault="00AF4701" w:rsidP="00AF4701">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AF4701" w:rsidTr="008D5E5B">
        <w:tc>
          <w:tcPr>
            <w:tcW w:w="3420" w:type="dxa"/>
          </w:tcPr>
          <w:p w:rsidR="00AF4701" w:rsidRPr="001B0E16" w:rsidRDefault="00AF4701" w:rsidP="008D5E5B">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AF4701" w:rsidRPr="001B0E16" w:rsidRDefault="00AF4701" w:rsidP="008D5E5B">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7</w:t>
            </w:r>
          </w:p>
        </w:tc>
      </w:tr>
      <w:tr w:rsidR="00AF4701" w:rsidTr="008D5E5B">
        <w:tc>
          <w:tcPr>
            <w:tcW w:w="3420" w:type="dxa"/>
          </w:tcPr>
          <w:p w:rsidR="00AF4701" w:rsidRPr="001B0E16" w:rsidRDefault="00AF4701" w:rsidP="008D5E5B">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AF4701" w:rsidRPr="001B0E16" w:rsidRDefault="00AF4701" w:rsidP="008D5E5B">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B</w:t>
            </w:r>
          </w:p>
        </w:tc>
      </w:tr>
    </w:tbl>
    <w:p w:rsidR="00AF4701" w:rsidRPr="0000688A" w:rsidRDefault="00AF4701" w:rsidP="00AF4701">
      <w:pPr>
        <w:spacing w:after="0"/>
        <w:jc w:val="center"/>
        <w:rPr>
          <w:rFonts w:asciiTheme="minorHAnsi" w:hAnsiTheme="minorHAnsi" w:cstheme="minorHAnsi"/>
          <w:b/>
          <w:sz w:val="24"/>
          <w:szCs w:val="24"/>
        </w:rPr>
      </w:pPr>
    </w:p>
    <w:p w:rsidR="00AF4701" w:rsidRDefault="00AF4701" w:rsidP="00AF4701">
      <w:pPr>
        <w:spacing w:after="0"/>
        <w:jc w:val="center"/>
        <w:rPr>
          <w:rFonts w:asciiTheme="minorHAnsi" w:hAnsiTheme="minorHAnsi" w:cstheme="minorHAnsi"/>
          <w:b/>
          <w:sz w:val="40"/>
          <w:szCs w:val="40"/>
        </w:rPr>
      </w:pPr>
    </w:p>
    <w:p w:rsidR="00AF4701" w:rsidRDefault="00AF4701" w:rsidP="00AF4701">
      <w:pPr>
        <w:spacing w:after="0" w:line="240" w:lineRule="auto"/>
        <w:jc w:val="center"/>
        <w:rPr>
          <w:rFonts w:asciiTheme="minorHAnsi" w:hAnsiTheme="minorHAnsi" w:cstheme="minorHAnsi"/>
          <w:b/>
          <w:sz w:val="24"/>
          <w:szCs w:val="24"/>
        </w:rPr>
      </w:pPr>
    </w:p>
    <w:p w:rsidR="00AF4701" w:rsidRPr="00151DBF" w:rsidRDefault="00AF4701" w:rsidP="00AF4701">
      <w:pPr>
        <w:spacing w:after="0" w:line="240" w:lineRule="auto"/>
        <w:jc w:val="center"/>
        <w:rPr>
          <w:rFonts w:asciiTheme="minorHAnsi" w:hAnsiTheme="minorHAnsi" w:cstheme="minorHAnsi"/>
          <w:b/>
          <w:sz w:val="24"/>
          <w:szCs w:val="24"/>
        </w:rPr>
      </w:pPr>
    </w:p>
    <w:p w:rsidR="00AF4701" w:rsidRPr="00151DBF" w:rsidRDefault="00AF4701" w:rsidP="00AF4701">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AF4701" w:rsidRDefault="00AF4701" w:rsidP="00AF4701">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AF4701" w:rsidRPr="00C90060" w:rsidTr="008D5E5B">
        <w:tc>
          <w:tcPr>
            <w:tcW w:w="2628" w:type="dxa"/>
          </w:tcPr>
          <w:p w:rsidR="00AF4701" w:rsidRPr="00C90060" w:rsidRDefault="00AF4701" w:rsidP="008D5E5B">
            <w:pPr>
              <w:rPr>
                <w:rFonts w:asciiTheme="minorHAnsi" w:hAnsiTheme="minorHAnsi" w:cstheme="minorHAnsi"/>
                <w:b/>
              </w:rPr>
            </w:pPr>
            <w:r w:rsidRPr="00C90060">
              <w:rPr>
                <w:rFonts w:asciiTheme="minorHAnsi" w:hAnsiTheme="minorHAnsi" w:cstheme="minorHAnsi"/>
                <w:b/>
              </w:rPr>
              <w:t>Date of Meeting:</w:t>
            </w:r>
          </w:p>
          <w:p w:rsidR="00AF4701" w:rsidRPr="00C90060" w:rsidRDefault="00AF4701" w:rsidP="008D5E5B">
            <w:pPr>
              <w:rPr>
                <w:rFonts w:asciiTheme="minorHAnsi" w:hAnsiTheme="minorHAnsi" w:cstheme="minorHAnsi"/>
                <w:b/>
              </w:rPr>
            </w:pPr>
          </w:p>
        </w:tc>
        <w:tc>
          <w:tcPr>
            <w:tcW w:w="6320" w:type="dxa"/>
          </w:tcPr>
          <w:p w:rsidR="00AF4701" w:rsidRDefault="00AF4701" w:rsidP="008D5E5B">
            <w:pPr>
              <w:rPr>
                <w:rFonts w:asciiTheme="minorHAnsi" w:hAnsiTheme="minorHAnsi" w:cstheme="minorHAnsi"/>
              </w:rPr>
            </w:pPr>
            <w:r>
              <w:rPr>
                <w:rFonts w:asciiTheme="minorHAnsi" w:hAnsiTheme="minorHAnsi" w:cstheme="minorHAnsi"/>
              </w:rPr>
              <w:t>22 July 2015</w:t>
            </w:r>
          </w:p>
          <w:p w:rsidR="00AF4701" w:rsidRDefault="00AF4701" w:rsidP="008D5E5B">
            <w:pPr>
              <w:rPr>
                <w:rFonts w:asciiTheme="minorHAnsi" w:hAnsiTheme="minorHAnsi" w:cstheme="minorHAnsi"/>
              </w:rPr>
            </w:pPr>
          </w:p>
          <w:p w:rsidR="00AF4701" w:rsidRPr="00C90060" w:rsidRDefault="00AF4701" w:rsidP="008D5E5B">
            <w:pPr>
              <w:rPr>
                <w:rFonts w:asciiTheme="minorHAnsi" w:hAnsiTheme="minorHAnsi" w:cstheme="minorHAnsi"/>
              </w:rPr>
            </w:pPr>
          </w:p>
        </w:tc>
      </w:tr>
    </w:tbl>
    <w:p w:rsidR="00AF4701" w:rsidRPr="00C90060" w:rsidRDefault="00AF4701" w:rsidP="00AF4701">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AF4701" w:rsidRPr="00C90060" w:rsidTr="008D5E5B">
        <w:tc>
          <w:tcPr>
            <w:tcW w:w="2628" w:type="dxa"/>
          </w:tcPr>
          <w:p w:rsidR="00AF4701" w:rsidRDefault="00AF4701" w:rsidP="008D5E5B">
            <w:pPr>
              <w:rPr>
                <w:rFonts w:asciiTheme="minorHAnsi" w:hAnsiTheme="minorHAnsi" w:cstheme="minorHAnsi"/>
                <w:b/>
              </w:rPr>
            </w:pPr>
            <w:r w:rsidRPr="00C90060">
              <w:rPr>
                <w:rFonts w:asciiTheme="minorHAnsi" w:hAnsiTheme="minorHAnsi" w:cstheme="minorHAnsi"/>
                <w:b/>
              </w:rPr>
              <w:t>Title of Paper:</w:t>
            </w:r>
          </w:p>
          <w:p w:rsidR="00AF4701" w:rsidRDefault="00AF4701" w:rsidP="008D5E5B">
            <w:pPr>
              <w:rPr>
                <w:rFonts w:asciiTheme="minorHAnsi" w:hAnsiTheme="minorHAnsi" w:cstheme="minorHAnsi"/>
                <w:b/>
              </w:rPr>
            </w:pPr>
          </w:p>
          <w:p w:rsidR="00AF4701" w:rsidRPr="00C90060" w:rsidRDefault="00AF4701" w:rsidP="008D5E5B">
            <w:pPr>
              <w:rPr>
                <w:rFonts w:asciiTheme="minorHAnsi" w:hAnsiTheme="minorHAnsi" w:cstheme="minorHAnsi"/>
                <w:b/>
              </w:rPr>
            </w:pPr>
          </w:p>
        </w:tc>
        <w:tc>
          <w:tcPr>
            <w:tcW w:w="6320" w:type="dxa"/>
          </w:tcPr>
          <w:p w:rsidR="00AF4701" w:rsidRPr="00C90060" w:rsidRDefault="00AF4701" w:rsidP="008D5E5B">
            <w:pPr>
              <w:rPr>
                <w:rFonts w:asciiTheme="minorHAnsi" w:hAnsiTheme="minorHAnsi" w:cstheme="minorHAnsi"/>
              </w:rPr>
            </w:pPr>
            <w:r>
              <w:rPr>
                <w:rFonts w:asciiTheme="minorHAnsi" w:hAnsiTheme="minorHAnsi" w:cstheme="minorHAnsi"/>
              </w:rPr>
              <w:t>NREAP update for Board</w:t>
            </w:r>
          </w:p>
          <w:p w:rsidR="00AF4701" w:rsidRPr="00C90060" w:rsidRDefault="00AF4701" w:rsidP="008D5E5B">
            <w:pPr>
              <w:rPr>
                <w:rFonts w:asciiTheme="minorHAnsi" w:hAnsiTheme="minorHAnsi" w:cstheme="minorHAnsi"/>
              </w:rPr>
            </w:pPr>
          </w:p>
        </w:tc>
      </w:tr>
      <w:tr w:rsidR="00AF4701" w:rsidRPr="00C90060" w:rsidTr="008D5E5B">
        <w:tc>
          <w:tcPr>
            <w:tcW w:w="2628" w:type="dxa"/>
          </w:tcPr>
          <w:p w:rsidR="00AF4701" w:rsidRDefault="00AF4701" w:rsidP="008D5E5B">
            <w:pPr>
              <w:rPr>
                <w:rFonts w:asciiTheme="minorHAnsi" w:hAnsiTheme="minorHAnsi" w:cstheme="minorHAnsi"/>
                <w:b/>
              </w:rPr>
            </w:pPr>
            <w:r w:rsidRPr="00C90060">
              <w:rPr>
                <w:rFonts w:asciiTheme="minorHAnsi" w:hAnsiTheme="minorHAnsi" w:cstheme="minorHAnsi"/>
                <w:b/>
              </w:rPr>
              <w:t>Purpose of Paper:</w:t>
            </w:r>
          </w:p>
          <w:p w:rsidR="00AF4701" w:rsidRPr="00C90060" w:rsidRDefault="00AF4701" w:rsidP="008D5E5B">
            <w:pPr>
              <w:rPr>
                <w:rFonts w:asciiTheme="minorHAnsi" w:hAnsiTheme="minorHAnsi" w:cstheme="minorHAnsi"/>
                <w:b/>
              </w:rPr>
            </w:pPr>
          </w:p>
          <w:p w:rsidR="00AF4701" w:rsidRPr="00C90060" w:rsidRDefault="00AF4701" w:rsidP="008D5E5B">
            <w:pPr>
              <w:rPr>
                <w:rFonts w:asciiTheme="minorHAnsi" w:hAnsiTheme="minorHAnsi" w:cstheme="minorHAnsi"/>
                <w:b/>
              </w:rPr>
            </w:pPr>
          </w:p>
        </w:tc>
        <w:tc>
          <w:tcPr>
            <w:tcW w:w="6320" w:type="dxa"/>
          </w:tcPr>
          <w:p w:rsidR="00AF4701" w:rsidRPr="00C90060" w:rsidRDefault="00AF4701" w:rsidP="008D5E5B">
            <w:pPr>
              <w:rPr>
                <w:rFonts w:asciiTheme="minorHAnsi" w:hAnsiTheme="minorHAnsi" w:cstheme="minorHAnsi"/>
              </w:rPr>
            </w:pPr>
            <w:r>
              <w:rPr>
                <w:rFonts w:asciiTheme="minorHAnsi" w:hAnsiTheme="minorHAnsi" w:cstheme="minorHAnsi"/>
              </w:rPr>
              <w:t>To provide the Board with an update regarding the work conducted by NREAP over the last year.</w:t>
            </w:r>
          </w:p>
          <w:p w:rsidR="00AF4701" w:rsidRPr="00C90060" w:rsidRDefault="00AF4701" w:rsidP="008D5E5B">
            <w:pPr>
              <w:rPr>
                <w:rFonts w:asciiTheme="minorHAnsi" w:hAnsiTheme="minorHAnsi" w:cstheme="minorHAnsi"/>
              </w:rPr>
            </w:pPr>
          </w:p>
        </w:tc>
      </w:tr>
      <w:tr w:rsidR="00AF4701" w:rsidRPr="00C90060" w:rsidTr="008D5E5B">
        <w:tc>
          <w:tcPr>
            <w:tcW w:w="2628" w:type="dxa"/>
          </w:tcPr>
          <w:p w:rsidR="00AF4701" w:rsidRDefault="00AF4701" w:rsidP="008D5E5B">
            <w:pPr>
              <w:rPr>
                <w:rFonts w:asciiTheme="minorHAnsi" w:hAnsiTheme="minorHAnsi" w:cstheme="minorHAnsi"/>
                <w:b/>
              </w:rPr>
            </w:pPr>
            <w:r w:rsidRPr="00C90060">
              <w:rPr>
                <w:rFonts w:asciiTheme="minorHAnsi" w:hAnsiTheme="minorHAnsi" w:cstheme="minorHAnsi"/>
                <w:b/>
              </w:rPr>
              <w:t>Reason for Submission:</w:t>
            </w:r>
          </w:p>
          <w:p w:rsidR="00AF4701" w:rsidRPr="00C90060" w:rsidRDefault="00AF4701" w:rsidP="008D5E5B">
            <w:pPr>
              <w:rPr>
                <w:rFonts w:asciiTheme="minorHAnsi" w:hAnsiTheme="minorHAnsi" w:cstheme="minorHAnsi"/>
                <w:b/>
              </w:rPr>
            </w:pPr>
          </w:p>
          <w:p w:rsidR="00AF4701" w:rsidRPr="00C90060" w:rsidRDefault="00AF4701" w:rsidP="008D5E5B">
            <w:pPr>
              <w:rPr>
                <w:rFonts w:asciiTheme="minorHAnsi" w:hAnsiTheme="minorHAnsi" w:cstheme="minorHAnsi"/>
                <w:b/>
              </w:rPr>
            </w:pPr>
          </w:p>
        </w:tc>
        <w:tc>
          <w:tcPr>
            <w:tcW w:w="6320" w:type="dxa"/>
          </w:tcPr>
          <w:p w:rsidR="00AF4701" w:rsidRPr="00C90060" w:rsidRDefault="00AF4701" w:rsidP="008D5E5B">
            <w:pPr>
              <w:rPr>
                <w:rFonts w:asciiTheme="minorHAnsi" w:hAnsiTheme="minorHAnsi" w:cstheme="minorHAnsi"/>
              </w:rPr>
            </w:pPr>
            <w:r>
              <w:rPr>
                <w:rFonts w:asciiTheme="minorHAnsi" w:hAnsiTheme="minorHAnsi" w:cstheme="minorHAnsi"/>
              </w:rPr>
              <w:t xml:space="preserve">For </w:t>
            </w:r>
            <w:r w:rsidR="00ED1F6A">
              <w:rPr>
                <w:rFonts w:asciiTheme="minorHAnsi" w:hAnsiTheme="minorHAnsi" w:cstheme="minorHAnsi"/>
              </w:rPr>
              <w:t>information</w:t>
            </w:r>
            <w:bookmarkStart w:id="0" w:name="_GoBack"/>
            <w:bookmarkEnd w:id="0"/>
          </w:p>
          <w:p w:rsidR="00AF4701" w:rsidRPr="00C90060" w:rsidRDefault="00AF4701" w:rsidP="008D5E5B">
            <w:pPr>
              <w:rPr>
                <w:rFonts w:asciiTheme="minorHAnsi" w:hAnsiTheme="minorHAnsi" w:cstheme="minorHAnsi"/>
              </w:rPr>
            </w:pPr>
          </w:p>
        </w:tc>
      </w:tr>
      <w:tr w:rsidR="00AF4701" w:rsidRPr="00C90060" w:rsidTr="008D5E5B">
        <w:tc>
          <w:tcPr>
            <w:tcW w:w="2628" w:type="dxa"/>
          </w:tcPr>
          <w:p w:rsidR="00AF4701" w:rsidRDefault="00AF4701" w:rsidP="008D5E5B">
            <w:pPr>
              <w:rPr>
                <w:rFonts w:asciiTheme="minorHAnsi" w:hAnsiTheme="minorHAnsi" w:cstheme="minorHAnsi"/>
                <w:b/>
              </w:rPr>
            </w:pPr>
            <w:r w:rsidRPr="00C90060">
              <w:rPr>
                <w:rFonts w:asciiTheme="minorHAnsi" w:hAnsiTheme="minorHAnsi" w:cstheme="minorHAnsi"/>
                <w:b/>
              </w:rPr>
              <w:t>Details:</w:t>
            </w:r>
          </w:p>
          <w:p w:rsidR="00AF4701" w:rsidRDefault="00AF4701" w:rsidP="008D5E5B">
            <w:pPr>
              <w:rPr>
                <w:rFonts w:asciiTheme="minorHAnsi" w:hAnsiTheme="minorHAnsi" w:cstheme="minorHAnsi"/>
                <w:b/>
              </w:rPr>
            </w:pPr>
          </w:p>
          <w:p w:rsidR="00AF4701" w:rsidRPr="00C90060" w:rsidRDefault="00AF4701" w:rsidP="008D5E5B">
            <w:pPr>
              <w:rPr>
                <w:rFonts w:asciiTheme="minorHAnsi" w:hAnsiTheme="minorHAnsi" w:cstheme="minorHAnsi"/>
                <w:b/>
              </w:rPr>
            </w:pPr>
          </w:p>
        </w:tc>
        <w:tc>
          <w:tcPr>
            <w:tcW w:w="6320" w:type="dxa"/>
          </w:tcPr>
          <w:p w:rsidR="00AF4701" w:rsidRPr="00AF4701" w:rsidRDefault="00AF4701" w:rsidP="008D5E5B">
            <w:pPr>
              <w:rPr>
                <w:rFonts w:asciiTheme="minorHAnsi" w:hAnsiTheme="minorHAnsi" w:cstheme="minorHAnsi"/>
              </w:rPr>
            </w:pPr>
            <w:r w:rsidRPr="00AF4701">
              <w:rPr>
                <w:rFonts w:asciiTheme="minorHAnsi" w:hAnsiTheme="minorHAnsi" w:cstheme="minorHAnsi"/>
              </w:rPr>
              <w:t>Andrew George, NREAP Chair and Clive Collett, HRA Ethics Guidance and Strategy Manager to attend.</w:t>
            </w:r>
          </w:p>
          <w:p w:rsidR="00AF4701" w:rsidRPr="00C90060" w:rsidRDefault="00AF4701" w:rsidP="008D5E5B">
            <w:pPr>
              <w:rPr>
                <w:rFonts w:asciiTheme="minorHAnsi" w:hAnsiTheme="minorHAnsi" w:cstheme="minorHAnsi"/>
              </w:rPr>
            </w:pPr>
          </w:p>
        </w:tc>
      </w:tr>
      <w:tr w:rsidR="00AF4701" w:rsidRPr="00C90060" w:rsidTr="008D5E5B">
        <w:tc>
          <w:tcPr>
            <w:tcW w:w="2628" w:type="dxa"/>
          </w:tcPr>
          <w:p w:rsidR="00AF4701" w:rsidRDefault="00AF4701" w:rsidP="008D5E5B">
            <w:pPr>
              <w:rPr>
                <w:rFonts w:asciiTheme="minorHAnsi" w:hAnsiTheme="minorHAnsi" w:cstheme="minorHAnsi"/>
                <w:b/>
              </w:rPr>
            </w:pPr>
            <w:r>
              <w:rPr>
                <w:rFonts w:asciiTheme="minorHAnsi" w:hAnsiTheme="minorHAnsi" w:cstheme="minorHAnsi"/>
                <w:b/>
              </w:rPr>
              <w:t>Time required for item:</w:t>
            </w:r>
          </w:p>
          <w:p w:rsidR="00AF4701" w:rsidRDefault="00AF4701" w:rsidP="008D5E5B">
            <w:pPr>
              <w:rPr>
                <w:rFonts w:asciiTheme="minorHAnsi" w:hAnsiTheme="minorHAnsi" w:cstheme="minorHAnsi"/>
                <w:b/>
              </w:rPr>
            </w:pPr>
          </w:p>
          <w:p w:rsidR="00AF4701" w:rsidRPr="00C90060" w:rsidRDefault="00AF4701" w:rsidP="008D5E5B">
            <w:pPr>
              <w:rPr>
                <w:rFonts w:asciiTheme="minorHAnsi" w:hAnsiTheme="minorHAnsi" w:cstheme="minorHAnsi"/>
                <w:b/>
              </w:rPr>
            </w:pPr>
          </w:p>
        </w:tc>
        <w:tc>
          <w:tcPr>
            <w:tcW w:w="6320" w:type="dxa"/>
          </w:tcPr>
          <w:p w:rsidR="00AF4701" w:rsidRPr="00C90060" w:rsidRDefault="00AF4701" w:rsidP="008D5E5B">
            <w:pPr>
              <w:rPr>
                <w:rFonts w:asciiTheme="minorHAnsi" w:hAnsiTheme="minorHAnsi" w:cstheme="minorHAnsi"/>
                <w:b/>
              </w:rPr>
            </w:pPr>
            <w:r>
              <w:rPr>
                <w:rFonts w:asciiTheme="minorHAnsi" w:hAnsiTheme="minorHAnsi" w:cstheme="minorHAnsi"/>
                <w:b/>
              </w:rPr>
              <w:t>25</w:t>
            </w:r>
          </w:p>
        </w:tc>
      </w:tr>
    </w:tbl>
    <w:p w:rsidR="00AF4701" w:rsidRPr="00C90060" w:rsidRDefault="00AF4701" w:rsidP="00AF4701">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AF4701" w:rsidRPr="00C90060" w:rsidTr="008D5E5B">
        <w:tc>
          <w:tcPr>
            <w:tcW w:w="2628" w:type="dxa"/>
            <w:vMerge w:val="restart"/>
            <w:shd w:val="clear" w:color="auto" w:fill="D9D9D9" w:themeFill="background1" w:themeFillShade="D9"/>
          </w:tcPr>
          <w:p w:rsidR="00AF4701" w:rsidRPr="00C90060" w:rsidRDefault="00AF4701" w:rsidP="008D5E5B">
            <w:pPr>
              <w:rPr>
                <w:rFonts w:asciiTheme="minorHAnsi" w:hAnsiTheme="minorHAnsi" w:cstheme="minorHAnsi"/>
                <w:b/>
              </w:rPr>
            </w:pPr>
            <w:r w:rsidRPr="00C90060">
              <w:rPr>
                <w:rFonts w:asciiTheme="minorHAnsi" w:hAnsiTheme="minorHAnsi" w:cstheme="minorHAnsi"/>
                <w:b/>
              </w:rPr>
              <w:t>Recommendation / Proposed Actions:</w:t>
            </w:r>
          </w:p>
          <w:p w:rsidR="00AF4701" w:rsidRPr="00C90060" w:rsidRDefault="00AF4701" w:rsidP="008D5E5B">
            <w:pPr>
              <w:rPr>
                <w:rFonts w:asciiTheme="minorHAnsi" w:hAnsiTheme="minorHAnsi" w:cstheme="minorHAnsi"/>
                <w:b/>
              </w:rPr>
            </w:pPr>
          </w:p>
        </w:tc>
        <w:tc>
          <w:tcPr>
            <w:tcW w:w="5040" w:type="dxa"/>
            <w:gridSpan w:val="2"/>
            <w:shd w:val="clear" w:color="auto" w:fill="D9D9D9" w:themeFill="background1" w:themeFillShade="D9"/>
          </w:tcPr>
          <w:p w:rsidR="00AF4701" w:rsidRPr="00C90060" w:rsidRDefault="00AF4701" w:rsidP="008D5E5B">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AF4701" w:rsidRPr="00C90060" w:rsidRDefault="00AF4701" w:rsidP="008D5E5B">
            <w:pPr>
              <w:rPr>
                <w:rFonts w:asciiTheme="minorHAnsi" w:hAnsiTheme="minorHAnsi" w:cstheme="minorHAnsi"/>
                <w:b/>
              </w:rPr>
            </w:pPr>
          </w:p>
        </w:tc>
      </w:tr>
      <w:tr w:rsidR="00AF4701" w:rsidRPr="00C90060" w:rsidTr="008D5E5B">
        <w:tc>
          <w:tcPr>
            <w:tcW w:w="2628" w:type="dxa"/>
            <w:vMerge/>
            <w:shd w:val="clear" w:color="auto" w:fill="D9D9D9" w:themeFill="background1" w:themeFillShade="D9"/>
          </w:tcPr>
          <w:p w:rsidR="00AF4701" w:rsidRPr="00C90060" w:rsidRDefault="00AF4701" w:rsidP="008D5E5B">
            <w:pPr>
              <w:rPr>
                <w:rFonts w:asciiTheme="minorHAnsi" w:hAnsiTheme="minorHAnsi" w:cstheme="minorHAnsi"/>
                <w:b/>
              </w:rPr>
            </w:pPr>
          </w:p>
        </w:tc>
        <w:tc>
          <w:tcPr>
            <w:tcW w:w="5040" w:type="dxa"/>
            <w:gridSpan w:val="2"/>
            <w:shd w:val="clear" w:color="auto" w:fill="D9D9D9" w:themeFill="background1" w:themeFillShade="D9"/>
          </w:tcPr>
          <w:p w:rsidR="00AF4701" w:rsidRPr="00C90060" w:rsidRDefault="00AF4701" w:rsidP="008D5E5B">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AF4701" w:rsidRPr="00C90060" w:rsidRDefault="00AF4701" w:rsidP="008D5E5B">
            <w:pPr>
              <w:rPr>
                <w:rFonts w:asciiTheme="minorHAnsi" w:hAnsiTheme="minorHAnsi" w:cstheme="minorHAnsi"/>
                <w:b/>
              </w:rPr>
            </w:pPr>
            <w:r>
              <w:rPr>
                <w:rFonts w:asciiTheme="minorHAnsi" w:hAnsiTheme="minorHAnsi" w:cstheme="minorHAnsi"/>
                <w:b/>
              </w:rPr>
              <w:t>x</w:t>
            </w:r>
          </w:p>
        </w:tc>
      </w:tr>
      <w:tr w:rsidR="00AF4701" w:rsidRPr="00C90060" w:rsidTr="008D5E5B">
        <w:tc>
          <w:tcPr>
            <w:tcW w:w="2628" w:type="dxa"/>
            <w:vMerge/>
            <w:shd w:val="clear" w:color="auto" w:fill="D9D9D9" w:themeFill="background1" w:themeFillShade="D9"/>
          </w:tcPr>
          <w:p w:rsidR="00AF4701" w:rsidRPr="00C90060" w:rsidRDefault="00AF4701" w:rsidP="008D5E5B">
            <w:pPr>
              <w:rPr>
                <w:rFonts w:asciiTheme="minorHAnsi" w:hAnsiTheme="minorHAnsi" w:cstheme="minorHAnsi"/>
                <w:b/>
              </w:rPr>
            </w:pPr>
          </w:p>
        </w:tc>
        <w:tc>
          <w:tcPr>
            <w:tcW w:w="5040" w:type="dxa"/>
            <w:gridSpan w:val="2"/>
            <w:shd w:val="clear" w:color="auto" w:fill="D9D9D9" w:themeFill="background1" w:themeFillShade="D9"/>
          </w:tcPr>
          <w:p w:rsidR="00AF4701" w:rsidRPr="00C90060" w:rsidRDefault="00AF4701" w:rsidP="008D5E5B">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AF4701" w:rsidRPr="00C90060" w:rsidRDefault="00AF4701" w:rsidP="008D5E5B">
            <w:pPr>
              <w:rPr>
                <w:rFonts w:asciiTheme="minorHAnsi" w:hAnsiTheme="minorHAnsi" w:cstheme="minorHAnsi"/>
                <w:b/>
              </w:rPr>
            </w:pPr>
            <w:r>
              <w:rPr>
                <w:rFonts w:asciiTheme="minorHAnsi" w:hAnsiTheme="minorHAnsi" w:cstheme="minorHAnsi"/>
                <w:b/>
              </w:rPr>
              <w:t>x</w:t>
            </w:r>
          </w:p>
        </w:tc>
      </w:tr>
      <w:tr w:rsidR="00AF4701" w:rsidRPr="00C90060" w:rsidTr="008D5E5B">
        <w:tc>
          <w:tcPr>
            <w:tcW w:w="2628" w:type="dxa"/>
            <w:vMerge/>
            <w:shd w:val="clear" w:color="auto" w:fill="D9D9D9" w:themeFill="background1" w:themeFillShade="D9"/>
          </w:tcPr>
          <w:p w:rsidR="00AF4701" w:rsidRPr="00C90060" w:rsidRDefault="00AF4701" w:rsidP="008D5E5B">
            <w:pPr>
              <w:rPr>
                <w:rFonts w:asciiTheme="minorHAnsi" w:hAnsiTheme="minorHAnsi" w:cstheme="minorHAnsi"/>
                <w:b/>
              </w:rPr>
            </w:pPr>
          </w:p>
        </w:tc>
        <w:tc>
          <w:tcPr>
            <w:tcW w:w="1350" w:type="dxa"/>
            <w:shd w:val="clear" w:color="auto" w:fill="D9D9D9" w:themeFill="background1" w:themeFillShade="D9"/>
          </w:tcPr>
          <w:p w:rsidR="00AF4701" w:rsidRPr="00C90060" w:rsidRDefault="00AF4701" w:rsidP="008D5E5B">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AF4701" w:rsidRPr="00C90060" w:rsidRDefault="00AF4701" w:rsidP="008D5E5B">
            <w:pPr>
              <w:rPr>
                <w:rFonts w:asciiTheme="minorHAnsi" w:hAnsiTheme="minorHAnsi" w:cstheme="minorHAnsi"/>
                <w:b/>
              </w:rPr>
            </w:pPr>
          </w:p>
          <w:p w:rsidR="00AF4701" w:rsidRPr="00C90060" w:rsidRDefault="00AF4701" w:rsidP="008D5E5B">
            <w:pPr>
              <w:rPr>
                <w:rFonts w:asciiTheme="minorHAnsi" w:hAnsiTheme="minorHAnsi" w:cstheme="minorHAnsi"/>
                <w:b/>
              </w:rPr>
            </w:pPr>
          </w:p>
          <w:p w:rsidR="00AF4701" w:rsidRPr="00C90060" w:rsidRDefault="00AF4701" w:rsidP="008D5E5B">
            <w:pPr>
              <w:rPr>
                <w:rFonts w:asciiTheme="minorHAnsi" w:hAnsiTheme="minorHAnsi" w:cstheme="minorHAnsi"/>
                <w:b/>
              </w:rPr>
            </w:pPr>
          </w:p>
        </w:tc>
      </w:tr>
    </w:tbl>
    <w:p w:rsidR="00AF4701" w:rsidRPr="00C90060" w:rsidRDefault="00AF4701" w:rsidP="00AF4701">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AF4701" w:rsidRPr="00C90060" w:rsidTr="008D5E5B">
        <w:tc>
          <w:tcPr>
            <w:tcW w:w="2628" w:type="dxa"/>
          </w:tcPr>
          <w:p w:rsidR="00AF4701" w:rsidRPr="00C90060" w:rsidRDefault="00AF4701" w:rsidP="008D5E5B">
            <w:pPr>
              <w:rPr>
                <w:rFonts w:asciiTheme="minorHAnsi" w:hAnsiTheme="minorHAnsi" w:cstheme="minorHAnsi"/>
                <w:b/>
              </w:rPr>
            </w:pPr>
            <w:r w:rsidRPr="00C90060">
              <w:rPr>
                <w:rFonts w:asciiTheme="minorHAnsi" w:hAnsiTheme="minorHAnsi" w:cstheme="minorHAnsi"/>
                <w:b/>
              </w:rPr>
              <w:t>Name:</w:t>
            </w:r>
          </w:p>
          <w:p w:rsidR="00AF4701" w:rsidRPr="00C90060" w:rsidRDefault="00AF4701" w:rsidP="008D5E5B">
            <w:pPr>
              <w:rPr>
                <w:rFonts w:asciiTheme="minorHAnsi" w:hAnsiTheme="minorHAnsi" w:cstheme="minorHAnsi"/>
                <w:b/>
              </w:rPr>
            </w:pPr>
          </w:p>
        </w:tc>
        <w:tc>
          <w:tcPr>
            <w:tcW w:w="6320" w:type="dxa"/>
          </w:tcPr>
          <w:p w:rsidR="00AF4701" w:rsidRPr="00AF4701" w:rsidRDefault="00AF4701" w:rsidP="008D5E5B">
            <w:pPr>
              <w:rPr>
                <w:rFonts w:asciiTheme="minorHAnsi" w:hAnsiTheme="minorHAnsi" w:cstheme="minorHAnsi"/>
              </w:rPr>
            </w:pPr>
            <w:r w:rsidRPr="00AF4701">
              <w:rPr>
                <w:rFonts w:asciiTheme="minorHAnsi" w:hAnsiTheme="minorHAnsi" w:cstheme="minorHAnsi"/>
              </w:rPr>
              <w:t>Clive Collett</w:t>
            </w:r>
          </w:p>
          <w:p w:rsidR="00AF4701" w:rsidRPr="00AF4701" w:rsidRDefault="00AF4701" w:rsidP="008D5E5B">
            <w:pPr>
              <w:rPr>
                <w:rFonts w:asciiTheme="minorHAnsi" w:hAnsiTheme="minorHAnsi" w:cstheme="minorHAnsi"/>
              </w:rPr>
            </w:pPr>
          </w:p>
        </w:tc>
      </w:tr>
      <w:tr w:rsidR="00AF4701" w:rsidRPr="00C90060" w:rsidTr="008D5E5B">
        <w:tc>
          <w:tcPr>
            <w:tcW w:w="2628" w:type="dxa"/>
          </w:tcPr>
          <w:p w:rsidR="00AF4701" w:rsidRPr="00C90060" w:rsidRDefault="00AF4701" w:rsidP="008D5E5B">
            <w:pPr>
              <w:rPr>
                <w:rFonts w:asciiTheme="minorHAnsi" w:hAnsiTheme="minorHAnsi" w:cstheme="minorHAnsi"/>
                <w:b/>
              </w:rPr>
            </w:pPr>
            <w:r w:rsidRPr="00C90060">
              <w:rPr>
                <w:rFonts w:asciiTheme="minorHAnsi" w:hAnsiTheme="minorHAnsi" w:cstheme="minorHAnsi"/>
                <w:b/>
              </w:rPr>
              <w:t>Job Title:</w:t>
            </w:r>
          </w:p>
          <w:p w:rsidR="00AF4701" w:rsidRPr="00C90060" w:rsidRDefault="00AF4701" w:rsidP="008D5E5B">
            <w:pPr>
              <w:rPr>
                <w:rFonts w:asciiTheme="minorHAnsi" w:hAnsiTheme="minorHAnsi" w:cstheme="minorHAnsi"/>
                <w:b/>
              </w:rPr>
            </w:pPr>
          </w:p>
        </w:tc>
        <w:tc>
          <w:tcPr>
            <w:tcW w:w="6320" w:type="dxa"/>
          </w:tcPr>
          <w:p w:rsidR="00AF4701" w:rsidRPr="00AF4701" w:rsidRDefault="00AF4701" w:rsidP="008D5E5B">
            <w:pPr>
              <w:rPr>
                <w:rFonts w:asciiTheme="minorHAnsi" w:hAnsiTheme="minorHAnsi" w:cstheme="minorHAnsi"/>
              </w:rPr>
            </w:pPr>
            <w:r w:rsidRPr="00AF4701">
              <w:rPr>
                <w:rFonts w:asciiTheme="minorHAnsi" w:hAnsiTheme="minorHAnsi" w:cstheme="minorHAnsi"/>
              </w:rPr>
              <w:t>HRA Ethics Guidance and Strategy Manager</w:t>
            </w:r>
          </w:p>
          <w:p w:rsidR="00AF4701" w:rsidRPr="00AF4701" w:rsidRDefault="00AF4701" w:rsidP="008D5E5B">
            <w:pPr>
              <w:rPr>
                <w:rFonts w:asciiTheme="minorHAnsi" w:hAnsiTheme="minorHAnsi" w:cstheme="minorHAnsi"/>
              </w:rPr>
            </w:pPr>
          </w:p>
        </w:tc>
      </w:tr>
      <w:tr w:rsidR="00AF4701" w:rsidRPr="00C90060" w:rsidTr="008D5E5B">
        <w:tc>
          <w:tcPr>
            <w:tcW w:w="2628" w:type="dxa"/>
          </w:tcPr>
          <w:p w:rsidR="00AF4701" w:rsidRPr="00C90060" w:rsidRDefault="00AF4701" w:rsidP="008D5E5B">
            <w:pPr>
              <w:rPr>
                <w:rFonts w:asciiTheme="minorHAnsi" w:hAnsiTheme="minorHAnsi" w:cstheme="minorHAnsi"/>
                <w:b/>
              </w:rPr>
            </w:pPr>
            <w:r w:rsidRPr="00C90060">
              <w:rPr>
                <w:rFonts w:asciiTheme="minorHAnsi" w:hAnsiTheme="minorHAnsi" w:cstheme="minorHAnsi"/>
                <w:b/>
              </w:rPr>
              <w:t>Date:</w:t>
            </w:r>
          </w:p>
          <w:p w:rsidR="00AF4701" w:rsidRPr="00C90060" w:rsidRDefault="00AF4701" w:rsidP="008D5E5B">
            <w:pPr>
              <w:rPr>
                <w:rFonts w:asciiTheme="minorHAnsi" w:hAnsiTheme="minorHAnsi" w:cstheme="minorHAnsi"/>
                <w:b/>
              </w:rPr>
            </w:pPr>
          </w:p>
        </w:tc>
        <w:tc>
          <w:tcPr>
            <w:tcW w:w="6320" w:type="dxa"/>
          </w:tcPr>
          <w:p w:rsidR="00AF4701" w:rsidRPr="00C90060" w:rsidRDefault="00AF4701" w:rsidP="008D5E5B">
            <w:pPr>
              <w:rPr>
                <w:rFonts w:asciiTheme="minorHAnsi" w:hAnsiTheme="minorHAnsi" w:cstheme="minorHAnsi"/>
              </w:rPr>
            </w:pPr>
            <w:r>
              <w:rPr>
                <w:rFonts w:asciiTheme="minorHAnsi" w:hAnsiTheme="minorHAnsi" w:cstheme="minorHAnsi"/>
              </w:rPr>
              <w:t>15/07/2015</w:t>
            </w:r>
          </w:p>
          <w:p w:rsidR="00AF4701" w:rsidRPr="00C90060" w:rsidRDefault="00AF4701" w:rsidP="008D5E5B">
            <w:pPr>
              <w:rPr>
                <w:rFonts w:asciiTheme="minorHAnsi" w:hAnsiTheme="minorHAnsi" w:cstheme="minorHAnsi"/>
              </w:rPr>
            </w:pPr>
          </w:p>
        </w:tc>
      </w:tr>
    </w:tbl>
    <w:p w:rsidR="00AF4701" w:rsidRDefault="00AF4701" w:rsidP="00AF4701">
      <w:pPr>
        <w:rPr>
          <w:rFonts w:cs="Arial"/>
          <w:b/>
          <w:sz w:val="28"/>
          <w:szCs w:val="28"/>
        </w:rPr>
      </w:pPr>
    </w:p>
    <w:p w:rsidR="00AF4701" w:rsidRDefault="00AF4701" w:rsidP="00AF4701">
      <w:pPr>
        <w:rPr>
          <w:rFonts w:cs="Arial"/>
          <w:b/>
          <w:sz w:val="28"/>
          <w:szCs w:val="28"/>
        </w:rPr>
      </w:pPr>
    </w:p>
    <w:p w:rsidR="00AF4701" w:rsidRDefault="00AF4701" w:rsidP="00AF4701">
      <w:pPr>
        <w:rPr>
          <w:rFonts w:cs="Arial"/>
          <w:b/>
          <w:sz w:val="28"/>
          <w:szCs w:val="28"/>
        </w:rPr>
      </w:pPr>
    </w:p>
    <w:p w:rsidR="00AF4701" w:rsidRDefault="00AF4701" w:rsidP="00AF4701">
      <w:pPr>
        <w:rPr>
          <w:rFonts w:cs="Arial"/>
          <w:b/>
          <w:sz w:val="28"/>
          <w:szCs w:val="28"/>
        </w:rPr>
      </w:pPr>
    </w:p>
    <w:p w:rsidR="009041AC" w:rsidRPr="004E1E59" w:rsidRDefault="00C41533" w:rsidP="00A453D5">
      <w:pPr>
        <w:shd w:val="clear" w:color="auto" w:fill="D9D9D9" w:themeFill="background1" w:themeFillShade="D9"/>
        <w:spacing w:line="240" w:lineRule="auto"/>
        <w:ind w:right="3356"/>
        <w:rPr>
          <w:rFonts w:cs="Arial"/>
          <w:b/>
          <w:sz w:val="28"/>
          <w:szCs w:val="28"/>
        </w:rPr>
      </w:pPr>
      <w:r w:rsidRPr="004E1E59">
        <w:rPr>
          <w:rFonts w:cs="Arial"/>
          <w:b/>
          <w:sz w:val="28"/>
          <w:szCs w:val="28"/>
        </w:rPr>
        <w:lastRenderedPageBreak/>
        <w:t>National Research Ethics Advisors’ Panel</w:t>
      </w:r>
    </w:p>
    <w:p w:rsidR="00CC579E" w:rsidRDefault="00CC579E" w:rsidP="00CC579E">
      <w:pPr>
        <w:shd w:val="clear" w:color="auto" w:fill="D9D9D9" w:themeFill="background1" w:themeFillShade="D9"/>
        <w:rPr>
          <w:rFonts w:cs="Arial"/>
          <w:b/>
          <w:sz w:val="28"/>
          <w:szCs w:val="28"/>
        </w:rPr>
      </w:pPr>
      <w:r w:rsidRPr="004E1E59">
        <w:rPr>
          <w:rFonts w:cs="Arial"/>
          <w:b/>
          <w:sz w:val="28"/>
          <w:szCs w:val="28"/>
        </w:rPr>
        <w:t>HRA Board Update 201</w:t>
      </w:r>
      <w:r w:rsidR="002A2DB1">
        <w:rPr>
          <w:rFonts w:cs="Arial"/>
          <w:b/>
          <w:sz w:val="28"/>
          <w:szCs w:val="28"/>
        </w:rPr>
        <w:t>4/15</w:t>
      </w:r>
    </w:p>
    <w:p w:rsidR="00B6389C" w:rsidRPr="004E1E59" w:rsidRDefault="00B6389C" w:rsidP="00B6389C">
      <w:pPr>
        <w:pStyle w:val="NormalWeb"/>
        <w:rPr>
          <w:rFonts w:cs="Arial"/>
          <w:b/>
          <w:sz w:val="28"/>
          <w:szCs w:val="28"/>
        </w:rPr>
      </w:pPr>
    </w:p>
    <w:p w:rsidR="00EA659F" w:rsidRPr="00B6389C" w:rsidRDefault="00EA659F" w:rsidP="00B6389C">
      <w:pPr>
        <w:shd w:val="clear" w:color="auto" w:fill="D9D9D9" w:themeFill="background1" w:themeFillShade="D9"/>
        <w:spacing w:line="240" w:lineRule="auto"/>
        <w:rPr>
          <w:rStyle w:val="Strong"/>
          <w:sz w:val="28"/>
          <w:szCs w:val="28"/>
        </w:rPr>
      </w:pPr>
      <w:r w:rsidRPr="00377F3B">
        <w:rPr>
          <w:b/>
          <w:bCs/>
          <w:sz w:val="28"/>
          <w:szCs w:val="28"/>
        </w:rPr>
        <w:t>Contents:</w:t>
      </w:r>
    </w:p>
    <w:p w:rsidR="00EA659F" w:rsidRPr="00E664B9" w:rsidRDefault="00A453D5" w:rsidP="00EA659F">
      <w:pPr>
        <w:pStyle w:val="NormalWeb"/>
        <w:rPr>
          <w:rStyle w:val="Strong"/>
          <w:rFonts w:ascii="Arial" w:hAnsi="Arial" w:cs="Arial"/>
          <w:b w:val="0"/>
          <w:color w:val="000000"/>
          <w:sz w:val="22"/>
          <w:szCs w:val="22"/>
        </w:rPr>
      </w:pPr>
      <w:r>
        <w:rPr>
          <w:rStyle w:val="Strong"/>
          <w:rFonts w:ascii="Arial" w:hAnsi="Arial" w:cs="Arial"/>
          <w:b w:val="0"/>
          <w:color w:val="000000"/>
          <w:sz w:val="22"/>
          <w:szCs w:val="22"/>
        </w:rPr>
        <w:t xml:space="preserve">1. </w:t>
      </w:r>
      <w:hyperlink w:anchor="Intro" w:history="1">
        <w:r w:rsidR="008E2025" w:rsidRPr="00007B39">
          <w:rPr>
            <w:rStyle w:val="Hyperlink"/>
            <w:rFonts w:ascii="Arial" w:hAnsi="Arial" w:cs="Arial"/>
            <w:sz w:val="22"/>
            <w:szCs w:val="22"/>
          </w:rPr>
          <w:t>Introduction</w:t>
        </w:r>
      </w:hyperlink>
    </w:p>
    <w:p w:rsidR="008E2025" w:rsidRPr="00E664B9" w:rsidRDefault="00A453D5" w:rsidP="00EA659F">
      <w:pPr>
        <w:pStyle w:val="NormalWeb"/>
        <w:rPr>
          <w:rStyle w:val="Strong"/>
          <w:rFonts w:ascii="Arial" w:hAnsi="Arial" w:cs="Arial"/>
          <w:b w:val="0"/>
          <w:color w:val="000000"/>
          <w:sz w:val="22"/>
          <w:szCs w:val="22"/>
        </w:rPr>
      </w:pPr>
      <w:r>
        <w:rPr>
          <w:rStyle w:val="Strong"/>
          <w:rFonts w:ascii="Arial" w:hAnsi="Arial" w:cs="Arial"/>
          <w:b w:val="0"/>
          <w:color w:val="000000"/>
          <w:sz w:val="22"/>
          <w:szCs w:val="22"/>
        </w:rPr>
        <w:t xml:space="preserve">2. </w:t>
      </w:r>
      <w:hyperlink w:anchor="Highlights" w:history="1">
        <w:r w:rsidR="008E2025" w:rsidRPr="00007B39">
          <w:rPr>
            <w:rStyle w:val="Hyperlink"/>
            <w:rFonts w:ascii="Arial" w:hAnsi="Arial" w:cs="Arial"/>
            <w:sz w:val="22"/>
            <w:szCs w:val="22"/>
          </w:rPr>
          <w:t>Work Highlights 2014/15</w:t>
        </w:r>
      </w:hyperlink>
    </w:p>
    <w:p w:rsidR="008E2025" w:rsidRPr="00E664B9" w:rsidRDefault="00A453D5" w:rsidP="00EA659F">
      <w:pPr>
        <w:pStyle w:val="NormalWeb"/>
        <w:rPr>
          <w:rStyle w:val="Strong"/>
          <w:rFonts w:ascii="Arial" w:hAnsi="Arial" w:cs="Arial"/>
          <w:b w:val="0"/>
          <w:color w:val="000000"/>
          <w:sz w:val="22"/>
          <w:szCs w:val="22"/>
        </w:rPr>
      </w:pPr>
      <w:r>
        <w:rPr>
          <w:rStyle w:val="Strong"/>
          <w:rFonts w:ascii="Arial" w:hAnsi="Arial" w:cs="Arial"/>
          <w:b w:val="0"/>
          <w:color w:val="000000"/>
          <w:sz w:val="22"/>
          <w:szCs w:val="22"/>
        </w:rPr>
        <w:t xml:space="preserve">3. </w:t>
      </w:r>
      <w:hyperlink w:anchor="Guidance" w:history="1">
        <w:r w:rsidR="008E2025" w:rsidRPr="00007B39">
          <w:rPr>
            <w:rStyle w:val="Hyperlink"/>
            <w:rFonts w:ascii="Arial" w:hAnsi="Arial" w:cs="Arial"/>
            <w:sz w:val="22"/>
            <w:szCs w:val="22"/>
          </w:rPr>
          <w:t>Guidance</w:t>
        </w:r>
      </w:hyperlink>
    </w:p>
    <w:p w:rsidR="008E2025" w:rsidRPr="00E664B9" w:rsidRDefault="00A453D5" w:rsidP="00EA659F">
      <w:pPr>
        <w:pStyle w:val="NormalWeb"/>
        <w:rPr>
          <w:rStyle w:val="Strong"/>
          <w:rFonts w:ascii="Arial" w:hAnsi="Arial" w:cs="Arial"/>
          <w:b w:val="0"/>
          <w:color w:val="000000"/>
          <w:sz w:val="22"/>
          <w:szCs w:val="22"/>
        </w:rPr>
      </w:pPr>
      <w:r>
        <w:rPr>
          <w:rStyle w:val="Strong"/>
          <w:rFonts w:ascii="Arial" w:hAnsi="Arial" w:cs="Arial"/>
          <w:b w:val="0"/>
          <w:color w:val="000000"/>
          <w:sz w:val="22"/>
          <w:szCs w:val="22"/>
        </w:rPr>
        <w:t xml:space="preserve">4. </w:t>
      </w:r>
      <w:hyperlink w:anchor="Statements" w:history="1">
        <w:r w:rsidR="008E2025" w:rsidRPr="00B4686C">
          <w:rPr>
            <w:rStyle w:val="Hyperlink"/>
            <w:rFonts w:ascii="Arial" w:hAnsi="Arial" w:cs="Arial"/>
            <w:sz w:val="22"/>
            <w:szCs w:val="22"/>
          </w:rPr>
          <w:t>NREAP Statements</w:t>
        </w:r>
      </w:hyperlink>
    </w:p>
    <w:p w:rsidR="008E2025" w:rsidRDefault="00A453D5" w:rsidP="00EA659F">
      <w:pPr>
        <w:pStyle w:val="NormalWeb"/>
        <w:rPr>
          <w:rStyle w:val="Strong"/>
          <w:rFonts w:ascii="Arial" w:hAnsi="Arial" w:cs="Arial"/>
          <w:b w:val="0"/>
          <w:color w:val="000000"/>
          <w:sz w:val="22"/>
          <w:szCs w:val="22"/>
        </w:rPr>
      </w:pPr>
      <w:r>
        <w:rPr>
          <w:rStyle w:val="Strong"/>
          <w:rFonts w:ascii="Arial" w:hAnsi="Arial" w:cs="Arial"/>
          <w:b w:val="0"/>
          <w:color w:val="000000"/>
          <w:sz w:val="22"/>
          <w:szCs w:val="22"/>
        </w:rPr>
        <w:t xml:space="preserve">5. </w:t>
      </w:r>
      <w:hyperlink w:anchor="Consultations" w:history="1">
        <w:r w:rsidR="00E664B9" w:rsidRPr="00B4686C">
          <w:rPr>
            <w:rStyle w:val="Hyperlink"/>
            <w:rFonts w:ascii="Arial" w:hAnsi="Arial" w:cs="Arial"/>
            <w:sz w:val="22"/>
            <w:szCs w:val="22"/>
          </w:rPr>
          <w:t>HRA Responses to External Consultations</w:t>
        </w:r>
      </w:hyperlink>
    </w:p>
    <w:p w:rsidR="00A453D5" w:rsidRDefault="00A453D5" w:rsidP="00E664B9">
      <w:pPr>
        <w:pStyle w:val="NormalWeb"/>
        <w:rPr>
          <w:rStyle w:val="Strong"/>
          <w:rFonts w:ascii="Arial" w:hAnsi="Arial" w:cs="Arial"/>
          <w:b w:val="0"/>
          <w:color w:val="000000"/>
          <w:sz w:val="22"/>
          <w:szCs w:val="22"/>
        </w:rPr>
      </w:pPr>
      <w:r>
        <w:rPr>
          <w:rStyle w:val="Strong"/>
          <w:rFonts w:ascii="Arial" w:hAnsi="Arial" w:cs="Arial"/>
          <w:b w:val="0"/>
          <w:color w:val="000000"/>
          <w:sz w:val="22"/>
          <w:szCs w:val="22"/>
        </w:rPr>
        <w:t xml:space="preserve">6. </w:t>
      </w:r>
      <w:hyperlink w:anchor="Consideration" w:history="1">
        <w:r w:rsidR="00E664B9" w:rsidRPr="00B4686C">
          <w:rPr>
            <w:rStyle w:val="Hyperlink"/>
            <w:rFonts w:ascii="Arial" w:hAnsi="Arial" w:cs="Arial"/>
            <w:sz w:val="22"/>
            <w:szCs w:val="22"/>
          </w:rPr>
          <w:t xml:space="preserve">Future Work </w:t>
        </w:r>
        <w:proofErr w:type="gramStart"/>
        <w:r w:rsidR="00E664B9" w:rsidRPr="00B4686C">
          <w:rPr>
            <w:rStyle w:val="Hyperlink"/>
            <w:rFonts w:ascii="Arial" w:hAnsi="Arial" w:cs="Arial"/>
            <w:sz w:val="22"/>
            <w:szCs w:val="22"/>
          </w:rPr>
          <w:t>Under</w:t>
        </w:r>
        <w:proofErr w:type="gramEnd"/>
        <w:r w:rsidR="00E664B9" w:rsidRPr="00B4686C">
          <w:rPr>
            <w:rStyle w:val="Hyperlink"/>
            <w:rFonts w:ascii="Arial" w:hAnsi="Arial" w:cs="Arial"/>
            <w:sz w:val="22"/>
            <w:szCs w:val="22"/>
          </w:rPr>
          <w:t xml:space="preserve"> Consideration</w:t>
        </w:r>
      </w:hyperlink>
    </w:p>
    <w:p w:rsidR="00A453D5" w:rsidRDefault="00A453D5" w:rsidP="00E664B9">
      <w:pPr>
        <w:pStyle w:val="NormalWeb"/>
        <w:rPr>
          <w:rStyle w:val="Strong"/>
          <w:rFonts w:ascii="Arial" w:hAnsi="Arial" w:cs="Arial"/>
          <w:b w:val="0"/>
          <w:color w:val="000000"/>
          <w:sz w:val="22"/>
          <w:szCs w:val="22"/>
        </w:rPr>
      </w:pPr>
    </w:p>
    <w:p w:rsidR="00E664B9" w:rsidRDefault="00ED1F6A" w:rsidP="00E664B9">
      <w:pPr>
        <w:pStyle w:val="NormalWeb"/>
        <w:rPr>
          <w:rStyle w:val="Strong"/>
          <w:rFonts w:ascii="Arial" w:hAnsi="Arial" w:cs="Arial"/>
          <w:b w:val="0"/>
          <w:color w:val="000000"/>
          <w:sz w:val="22"/>
          <w:szCs w:val="22"/>
        </w:rPr>
      </w:pPr>
      <w:hyperlink w:anchor="Annex1" w:history="1">
        <w:r w:rsidR="00E664B9" w:rsidRPr="00C72ED5">
          <w:rPr>
            <w:rStyle w:val="Hyperlink"/>
            <w:rFonts w:ascii="Arial" w:hAnsi="Arial" w:cs="Arial"/>
            <w:sz w:val="22"/>
            <w:szCs w:val="22"/>
          </w:rPr>
          <w:t>Annex 1: National Researc</w:t>
        </w:r>
        <w:r w:rsidR="0057586B" w:rsidRPr="00C72ED5">
          <w:rPr>
            <w:rStyle w:val="Hyperlink"/>
            <w:rFonts w:ascii="Arial" w:hAnsi="Arial" w:cs="Arial"/>
            <w:sz w:val="22"/>
            <w:szCs w:val="22"/>
          </w:rPr>
          <w:t>h Ethics Advisory Panel Members</w:t>
        </w:r>
      </w:hyperlink>
    </w:p>
    <w:p w:rsidR="0057586B" w:rsidRDefault="00ED1F6A" w:rsidP="0057586B">
      <w:pPr>
        <w:pStyle w:val="NormalWeb"/>
        <w:rPr>
          <w:rStyle w:val="Strong"/>
          <w:rFonts w:ascii="Arial" w:hAnsi="Arial" w:cs="Arial"/>
          <w:b w:val="0"/>
          <w:color w:val="000000"/>
          <w:sz w:val="22"/>
          <w:szCs w:val="22"/>
        </w:rPr>
      </w:pPr>
      <w:hyperlink w:anchor="Annex2" w:history="1">
        <w:r w:rsidR="0057586B" w:rsidRPr="00C72ED5">
          <w:rPr>
            <w:rStyle w:val="Hyperlink"/>
            <w:rFonts w:ascii="Arial" w:hAnsi="Arial" w:cs="Arial"/>
            <w:sz w:val="22"/>
            <w:szCs w:val="22"/>
          </w:rPr>
          <w:t>Annex 2: Additional Work Undertaken on Behalf of the HRA</w:t>
        </w:r>
      </w:hyperlink>
    </w:p>
    <w:p w:rsidR="0057586B" w:rsidRDefault="00ED1F6A" w:rsidP="0057586B">
      <w:pPr>
        <w:pStyle w:val="NormalWeb"/>
        <w:rPr>
          <w:rStyle w:val="Strong"/>
          <w:rFonts w:ascii="Arial" w:hAnsi="Arial" w:cs="Arial"/>
          <w:b w:val="0"/>
          <w:color w:val="000000"/>
          <w:sz w:val="22"/>
          <w:szCs w:val="22"/>
        </w:rPr>
      </w:pPr>
      <w:hyperlink w:anchor="Annex3" w:history="1">
        <w:r w:rsidR="0057586B" w:rsidRPr="00C72ED5">
          <w:rPr>
            <w:rStyle w:val="Hyperlink"/>
            <w:rFonts w:ascii="Arial" w:hAnsi="Arial" w:cs="Arial"/>
            <w:sz w:val="22"/>
            <w:szCs w:val="22"/>
          </w:rPr>
          <w:t>Annex 3: NREAP/Chairs Network Meetings Held in 2014/15</w:t>
        </w:r>
      </w:hyperlink>
    </w:p>
    <w:p w:rsidR="00E664B9" w:rsidRDefault="00ED1F6A" w:rsidP="0057586B">
      <w:pPr>
        <w:pStyle w:val="NormalWeb"/>
        <w:rPr>
          <w:rStyle w:val="Strong"/>
          <w:rFonts w:ascii="Arial" w:hAnsi="Arial" w:cs="Arial"/>
          <w:b w:val="0"/>
          <w:color w:val="000000"/>
          <w:sz w:val="22"/>
          <w:szCs w:val="22"/>
        </w:rPr>
      </w:pPr>
      <w:hyperlink w:anchor="Annex4" w:history="1">
        <w:r w:rsidR="0057586B" w:rsidRPr="00C72ED5">
          <w:rPr>
            <w:rStyle w:val="Hyperlink"/>
            <w:rFonts w:ascii="Arial" w:hAnsi="Arial" w:cs="Arial"/>
            <w:sz w:val="22"/>
            <w:szCs w:val="22"/>
          </w:rPr>
          <w:t xml:space="preserve">Annex 4: NREAP Terms of Reference                                                                                          </w:t>
        </w:r>
      </w:hyperlink>
      <w:r w:rsidR="0057586B" w:rsidRPr="0057586B">
        <w:rPr>
          <w:rStyle w:val="Strong"/>
          <w:rFonts w:ascii="Arial" w:hAnsi="Arial" w:cs="Arial"/>
          <w:b w:val="0"/>
          <w:color w:val="000000"/>
          <w:sz w:val="22"/>
          <w:szCs w:val="22"/>
        </w:rPr>
        <w:t xml:space="preserve"> </w:t>
      </w:r>
    </w:p>
    <w:p w:rsidR="00EA659F" w:rsidRDefault="00EA659F" w:rsidP="00EA659F">
      <w:pPr>
        <w:pStyle w:val="NormalWeb"/>
        <w:rPr>
          <w:rStyle w:val="Strong"/>
          <w:rFonts w:ascii="Arial" w:hAnsi="Arial" w:cs="Arial"/>
          <w:color w:val="000000"/>
          <w:sz w:val="22"/>
          <w:szCs w:val="22"/>
        </w:rPr>
      </w:pPr>
    </w:p>
    <w:p w:rsidR="00CC579E" w:rsidRPr="00B6389C" w:rsidRDefault="00DE3C22" w:rsidP="006F5170">
      <w:pPr>
        <w:pStyle w:val="ListParagraph"/>
      </w:pPr>
      <w:bookmarkStart w:id="1" w:name="Intro"/>
      <w:r w:rsidRPr="00B6389C">
        <w:t>Introduction</w:t>
      </w:r>
    </w:p>
    <w:bookmarkEnd w:id="1"/>
    <w:p w:rsidR="00DE3C22" w:rsidRPr="004E1E59" w:rsidRDefault="00DE3C22" w:rsidP="00C41533">
      <w:pPr>
        <w:pStyle w:val="NormalWeb"/>
        <w:rPr>
          <w:rStyle w:val="Strong"/>
          <w:rFonts w:ascii="Arial" w:hAnsi="Arial" w:cs="Arial"/>
          <w:b w:val="0"/>
          <w:color w:val="000000"/>
          <w:sz w:val="22"/>
          <w:szCs w:val="22"/>
        </w:rPr>
      </w:pPr>
    </w:p>
    <w:p w:rsidR="009041AC" w:rsidRDefault="00C41533" w:rsidP="00377EB2">
      <w:pPr>
        <w:pStyle w:val="NormalWeb"/>
        <w:rPr>
          <w:rStyle w:val="Strong"/>
          <w:rFonts w:ascii="Arial" w:hAnsi="Arial" w:cs="Arial"/>
          <w:b w:val="0"/>
          <w:color w:val="000000"/>
          <w:sz w:val="22"/>
          <w:szCs w:val="22"/>
        </w:rPr>
      </w:pPr>
      <w:r w:rsidRPr="004E1E59">
        <w:rPr>
          <w:rStyle w:val="Strong"/>
          <w:rFonts w:ascii="Arial" w:hAnsi="Arial" w:cs="Arial"/>
          <w:b w:val="0"/>
          <w:color w:val="000000"/>
          <w:sz w:val="22"/>
          <w:szCs w:val="22"/>
        </w:rPr>
        <w:t>Over the past year the National Research Ethics Advisors have continued to discuss ethical issues faced by research ethics committees, issue guidance</w:t>
      </w:r>
      <w:r w:rsidR="00A23220" w:rsidRPr="004E1E59">
        <w:rPr>
          <w:rStyle w:val="Strong"/>
          <w:rFonts w:ascii="Arial" w:hAnsi="Arial" w:cs="Arial"/>
          <w:b w:val="0"/>
          <w:color w:val="000000"/>
          <w:sz w:val="22"/>
          <w:szCs w:val="22"/>
        </w:rPr>
        <w:t xml:space="preserve"> and statements</w:t>
      </w:r>
      <w:r w:rsidR="00D3079D" w:rsidRPr="004E1E59">
        <w:rPr>
          <w:rStyle w:val="Strong"/>
          <w:rFonts w:ascii="Arial" w:hAnsi="Arial" w:cs="Arial"/>
          <w:b w:val="0"/>
          <w:color w:val="000000"/>
          <w:sz w:val="22"/>
          <w:szCs w:val="22"/>
        </w:rPr>
        <w:t xml:space="preserve"> and provid</w:t>
      </w:r>
      <w:r w:rsidR="008C2004">
        <w:rPr>
          <w:rStyle w:val="Strong"/>
          <w:rFonts w:ascii="Arial" w:hAnsi="Arial" w:cs="Arial"/>
          <w:b w:val="0"/>
          <w:color w:val="000000"/>
          <w:sz w:val="22"/>
          <w:szCs w:val="22"/>
        </w:rPr>
        <w:t>e the basis of HRA responses to</w:t>
      </w:r>
      <w:r w:rsidR="00D3079D" w:rsidRPr="004E1E59">
        <w:rPr>
          <w:rStyle w:val="Strong"/>
          <w:rFonts w:ascii="Arial" w:hAnsi="Arial" w:cs="Arial"/>
          <w:b w:val="0"/>
          <w:color w:val="000000"/>
          <w:sz w:val="22"/>
          <w:szCs w:val="22"/>
        </w:rPr>
        <w:t xml:space="preserve"> important external consultations</w:t>
      </w:r>
      <w:r w:rsidRPr="004E1E59">
        <w:rPr>
          <w:rStyle w:val="Strong"/>
          <w:rFonts w:ascii="Arial" w:hAnsi="Arial" w:cs="Arial"/>
          <w:b w:val="0"/>
          <w:color w:val="000000"/>
          <w:sz w:val="22"/>
          <w:szCs w:val="22"/>
        </w:rPr>
        <w:t xml:space="preserve">. </w:t>
      </w:r>
    </w:p>
    <w:p w:rsidR="009041AC" w:rsidRDefault="009041AC" w:rsidP="00377EB2">
      <w:pPr>
        <w:pStyle w:val="NormalWeb"/>
        <w:rPr>
          <w:rStyle w:val="Strong"/>
          <w:rFonts w:ascii="Arial" w:hAnsi="Arial" w:cs="Arial"/>
          <w:b w:val="0"/>
          <w:color w:val="000000"/>
          <w:sz w:val="22"/>
          <w:szCs w:val="22"/>
        </w:rPr>
      </w:pPr>
    </w:p>
    <w:p w:rsidR="00377EB2" w:rsidRPr="004E1E59" w:rsidRDefault="00337622" w:rsidP="00377EB2">
      <w:pPr>
        <w:pStyle w:val="NormalWeb"/>
        <w:rPr>
          <w:rStyle w:val="Strong"/>
          <w:rFonts w:ascii="Arial" w:hAnsi="Arial" w:cs="Arial"/>
          <w:b w:val="0"/>
          <w:color w:val="000000"/>
          <w:sz w:val="22"/>
          <w:szCs w:val="22"/>
        </w:rPr>
      </w:pPr>
      <w:r w:rsidRPr="004E1E59">
        <w:rPr>
          <w:rStyle w:val="Strong"/>
          <w:rFonts w:ascii="Arial" w:hAnsi="Arial" w:cs="Arial"/>
          <w:b w:val="0"/>
          <w:color w:val="000000"/>
          <w:sz w:val="22"/>
          <w:szCs w:val="22"/>
        </w:rPr>
        <w:t xml:space="preserve">An important strand of the panel’s work is hosting the </w:t>
      </w:r>
      <w:r w:rsidR="00B530DF" w:rsidRPr="004E1E59">
        <w:rPr>
          <w:rStyle w:val="Strong"/>
          <w:rFonts w:ascii="Arial" w:hAnsi="Arial" w:cs="Arial"/>
          <w:b w:val="0"/>
          <w:color w:val="000000"/>
          <w:sz w:val="22"/>
          <w:szCs w:val="22"/>
        </w:rPr>
        <w:t xml:space="preserve">regional </w:t>
      </w:r>
      <w:r w:rsidRPr="004E1E59">
        <w:rPr>
          <w:rStyle w:val="Strong"/>
          <w:rFonts w:ascii="Arial" w:hAnsi="Arial" w:cs="Arial"/>
          <w:b w:val="0"/>
          <w:color w:val="000000"/>
          <w:sz w:val="22"/>
          <w:szCs w:val="22"/>
        </w:rPr>
        <w:t xml:space="preserve">‘Chairs’ Network meetings’ which are now established </w:t>
      </w:r>
      <w:r w:rsidR="00FC09E4">
        <w:rPr>
          <w:rStyle w:val="Strong"/>
          <w:rFonts w:ascii="Arial" w:hAnsi="Arial" w:cs="Arial"/>
          <w:b w:val="0"/>
          <w:color w:val="000000"/>
          <w:sz w:val="22"/>
          <w:szCs w:val="22"/>
        </w:rPr>
        <w:t>and continues to develop as</w:t>
      </w:r>
      <w:r w:rsidRPr="004E1E59">
        <w:rPr>
          <w:rStyle w:val="Strong"/>
          <w:rFonts w:ascii="Arial" w:hAnsi="Arial" w:cs="Arial"/>
          <w:b w:val="0"/>
          <w:color w:val="000000"/>
          <w:sz w:val="22"/>
          <w:szCs w:val="22"/>
        </w:rPr>
        <w:t xml:space="preserve"> an important forum for dialogue between the Chairs</w:t>
      </w:r>
      <w:r w:rsidR="00B530DF" w:rsidRPr="004E1E59">
        <w:rPr>
          <w:rStyle w:val="Strong"/>
          <w:rFonts w:ascii="Arial" w:hAnsi="Arial" w:cs="Arial"/>
          <w:b w:val="0"/>
          <w:color w:val="000000"/>
          <w:sz w:val="22"/>
          <w:szCs w:val="22"/>
        </w:rPr>
        <w:t>/Vice-Chairs</w:t>
      </w:r>
      <w:r w:rsidRPr="004E1E59">
        <w:rPr>
          <w:rStyle w:val="Strong"/>
          <w:rFonts w:ascii="Arial" w:hAnsi="Arial" w:cs="Arial"/>
          <w:b w:val="0"/>
          <w:color w:val="000000"/>
          <w:sz w:val="22"/>
          <w:szCs w:val="22"/>
        </w:rPr>
        <w:t xml:space="preserve">, their committees and the panel </w:t>
      </w:r>
      <w:r w:rsidR="00133DA2">
        <w:rPr>
          <w:rStyle w:val="Strong"/>
          <w:rFonts w:ascii="Arial" w:hAnsi="Arial" w:cs="Arial"/>
          <w:b w:val="0"/>
          <w:color w:val="000000"/>
          <w:sz w:val="22"/>
          <w:szCs w:val="22"/>
        </w:rPr>
        <w:t>thus</w:t>
      </w:r>
      <w:r w:rsidRPr="004E1E59">
        <w:rPr>
          <w:rStyle w:val="Strong"/>
          <w:rFonts w:ascii="Arial" w:hAnsi="Arial" w:cs="Arial"/>
          <w:b w:val="0"/>
          <w:color w:val="000000"/>
          <w:sz w:val="22"/>
          <w:szCs w:val="22"/>
        </w:rPr>
        <w:t xml:space="preserve"> keep</w:t>
      </w:r>
      <w:r w:rsidR="00133DA2">
        <w:rPr>
          <w:rStyle w:val="Strong"/>
          <w:rFonts w:ascii="Arial" w:hAnsi="Arial" w:cs="Arial"/>
          <w:b w:val="0"/>
          <w:color w:val="000000"/>
          <w:sz w:val="22"/>
          <w:szCs w:val="22"/>
        </w:rPr>
        <w:t>ing</w:t>
      </w:r>
      <w:r w:rsidRPr="004E1E59">
        <w:rPr>
          <w:rStyle w:val="Strong"/>
          <w:rFonts w:ascii="Arial" w:hAnsi="Arial" w:cs="Arial"/>
          <w:b w:val="0"/>
          <w:color w:val="000000"/>
          <w:sz w:val="22"/>
          <w:szCs w:val="22"/>
        </w:rPr>
        <w:t xml:space="preserve"> the panel informed of issues that affect RECs at the ‘sharp end’ of ethical review.</w:t>
      </w:r>
      <w:r w:rsidR="00B530DF" w:rsidRPr="004E1E59">
        <w:rPr>
          <w:rStyle w:val="Strong"/>
          <w:rFonts w:ascii="Arial" w:hAnsi="Arial" w:cs="Arial"/>
          <w:b w:val="0"/>
          <w:color w:val="000000"/>
          <w:sz w:val="22"/>
          <w:szCs w:val="22"/>
        </w:rPr>
        <w:t xml:space="preserve"> </w:t>
      </w:r>
      <w:r w:rsidR="006928B7">
        <w:rPr>
          <w:rStyle w:val="Strong"/>
          <w:rFonts w:ascii="Arial" w:hAnsi="Arial" w:cs="Arial"/>
          <w:b w:val="0"/>
          <w:color w:val="000000"/>
          <w:sz w:val="22"/>
          <w:szCs w:val="22"/>
        </w:rPr>
        <w:t xml:space="preserve">Each </w:t>
      </w:r>
      <w:r w:rsidR="00775777" w:rsidRPr="004E1E59">
        <w:rPr>
          <w:rStyle w:val="Strong"/>
          <w:rFonts w:ascii="Arial" w:hAnsi="Arial" w:cs="Arial"/>
          <w:b w:val="0"/>
          <w:color w:val="000000"/>
          <w:sz w:val="22"/>
          <w:szCs w:val="22"/>
        </w:rPr>
        <w:t xml:space="preserve">meeting </w:t>
      </w:r>
      <w:r w:rsidR="004A4714">
        <w:rPr>
          <w:rStyle w:val="Strong"/>
          <w:rFonts w:ascii="Arial" w:hAnsi="Arial" w:cs="Arial"/>
          <w:b w:val="0"/>
          <w:color w:val="000000"/>
          <w:sz w:val="22"/>
          <w:szCs w:val="22"/>
        </w:rPr>
        <w:t>includes</w:t>
      </w:r>
      <w:r w:rsidR="00775777" w:rsidRPr="004E1E59">
        <w:rPr>
          <w:rStyle w:val="Strong"/>
          <w:rFonts w:ascii="Arial" w:hAnsi="Arial" w:cs="Arial"/>
          <w:b w:val="0"/>
          <w:color w:val="000000"/>
          <w:sz w:val="22"/>
          <w:szCs w:val="22"/>
        </w:rPr>
        <w:t xml:space="preserve"> at least one item engaging attendees with</w:t>
      </w:r>
      <w:r w:rsidR="006928B7">
        <w:rPr>
          <w:rStyle w:val="Strong"/>
          <w:rFonts w:ascii="Arial" w:hAnsi="Arial" w:cs="Arial"/>
          <w:b w:val="0"/>
          <w:color w:val="000000"/>
          <w:sz w:val="22"/>
          <w:szCs w:val="22"/>
        </w:rPr>
        <w:t xml:space="preserve"> </w:t>
      </w:r>
      <w:r w:rsidR="00775777" w:rsidRPr="004E1E59">
        <w:rPr>
          <w:rStyle w:val="Strong"/>
          <w:rFonts w:ascii="Arial" w:hAnsi="Arial" w:cs="Arial"/>
          <w:b w:val="0"/>
          <w:color w:val="000000"/>
          <w:sz w:val="22"/>
          <w:szCs w:val="22"/>
        </w:rPr>
        <w:t>a</w:t>
      </w:r>
      <w:r w:rsidR="00377EB2" w:rsidRPr="004E1E59">
        <w:rPr>
          <w:rStyle w:val="Strong"/>
          <w:rFonts w:ascii="Arial" w:hAnsi="Arial" w:cs="Arial"/>
          <w:b w:val="0"/>
          <w:color w:val="000000"/>
          <w:sz w:val="22"/>
          <w:szCs w:val="22"/>
        </w:rPr>
        <w:t>cademic thought on a relevant</w:t>
      </w:r>
      <w:r w:rsidR="0096264B">
        <w:rPr>
          <w:rStyle w:val="Strong"/>
          <w:rFonts w:ascii="Arial" w:hAnsi="Arial" w:cs="Arial"/>
          <w:b w:val="0"/>
          <w:color w:val="000000"/>
          <w:sz w:val="22"/>
          <w:szCs w:val="22"/>
        </w:rPr>
        <w:t xml:space="preserve"> ethical</w:t>
      </w:r>
      <w:r w:rsidR="00377EB2" w:rsidRPr="004E1E59">
        <w:rPr>
          <w:rStyle w:val="Strong"/>
          <w:rFonts w:ascii="Arial" w:hAnsi="Arial" w:cs="Arial"/>
          <w:b w:val="0"/>
          <w:color w:val="000000"/>
          <w:sz w:val="22"/>
          <w:szCs w:val="22"/>
        </w:rPr>
        <w:t xml:space="preserve"> issue facing RECs</w:t>
      </w:r>
      <w:r w:rsidR="00D05E67" w:rsidRPr="004E1E59">
        <w:rPr>
          <w:rStyle w:val="Strong"/>
          <w:rFonts w:ascii="Arial" w:hAnsi="Arial" w:cs="Arial"/>
          <w:b w:val="0"/>
          <w:color w:val="000000"/>
          <w:sz w:val="22"/>
          <w:szCs w:val="22"/>
        </w:rPr>
        <w:t xml:space="preserve"> </w:t>
      </w:r>
      <w:r w:rsidR="004A4714">
        <w:rPr>
          <w:rStyle w:val="Strong"/>
          <w:rFonts w:ascii="Arial" w:hAnsi="Arial" w:cs="Arial"/>
          <w:b w:val="0"/>
          <w:color w:val="000000"/>
          <w:sz w:val="22"/>
          <w:szCs w:val="22"/>
        </w:rPr>
        <w:t>as well as</w:t>
      </w:r>
      <w:r w:rsidR="00D05E67" w:rsidRPr="004E1E59">
        <w:rPr>
          <w:rStyle w:val="Strong"/>
          <w:rFonts w:ascii="Arial" w:hAnsi="Arial" w:cs="Arial"/>
          <w:b w:val="0"/>
          <w:color w:val="000000"/>
          <w:sz w:val="22"/>
          <w:szCs w:val="22"/>
        </w:rPr>
        <w:t xml:space="preserve"> </w:t>
      </w:r>
      <w:r w:rsidR="004A4714">
        <w:rPr>
          <w:rStyle w:val="Strong"/>
          <w:rFonts w:ascii="Arial" w:hAnsi="Arial" w:cs="Arial"/>
          <w:b w:val="0"/>
          <w:color w:val="000000"/>
          <w:sz w:val="22"/>
          <w:szCs w:val="22"/>
        </w:rPr>
        <w:t>opportunities to debate</w:t>
      </w:r>
      <w:r w:rsidR="00D05E67" w:rsidRPr="004E1E59">
        <w:rPr>
          <w:rStyle w:val="Strong"/>
          <w:rFonts w:ascii="Arial" w:hAnsi="Arial" w:cs="Arial"/>
          <w:b w:val="0"/>
          <w:color w:val="000000"/>
          <w:sz w:val="22"/>
          <w:szCs w:val="22"/>
        </w:rPr>
        <w:t xml:space="preserve"> </w:t>
      </w:r>
      <w:r w:rsidR="004A4714">
        <w:rPr>
          <w:rStyle w:val="Strong"/>
          <w:rFonts w:ascii="Arial" w:hAnsi="Arial" w:cs="Arial"/>
          <w:b w:val="0"/>
          <w:color w:val="000000"/>
          <w:sz w:val="22"/>
          <w:szCs w:val="22"/>
        </w:rPr>
        <w:t>and comment</w:t>
      </w:r>
      <w:r w:rsidR="00D05E67" w:rsidRPr="004E1E59">
        <w:rPr>
          <w:rStyle w:val="Strong"/>
          <w:rFonts w:ascii="Arial" w:hAnsi="Arial" w:cs="Arial"/>
          <w:b w:val="0"/>
          <w:color w:val="000000"/>
          <w:sz w:val="22"/>
          <w:szCs w:val="22"/>
        </w:rPr>
        <w:t xml:space="preserve"> </w:t>
      </w:r>
      <w:r w:rsidR="004A4714">
        <w:rPr>
          <w:rStyle w:val="Strong"/>
          <w:rFonts w:ascii="Arial" w:hAnsi="Arial" w:cs="Arial"/>
          <w:b w:val="0"/>
          <w:color w:val="000000"/>
          <w:sz w:val="22"/>
          <w:szCs w:val="22"/>
        </w:rPr>
        <w:t>up</w:t>
      </w:r>
      <w:r w:rsidR="00D05E67" w:rsidRPr="004E1E59">
        <w:rPr>
          <w:rStyle w:val="Strong"/>
          <w:rFonts w:ascii="Arial" w:hAnsi="Arial" w:cs="Arial"/>
          <w:b w:val="0"/>
          <w:color w:val="000000"/>
          <w:sz w:val="22"/>
          <w:szCs w:val="22"/>
        </w:rPr>
        <w:t>on early drafts of NREAP ethical guidance</w:t>
      </w:r>
      <w:r w:rsidR="0044601C">
        <w:rPr>
          <w:rStyle w:val="Strong"/>
          <w:rFonts w:ascii="Arial" w:hAnsi="Arial" w:cs="Arial"/>
          <w:b w:val="0"/>
          <w:color w:val="000000"/>
          <w:sz w:val="22"/>
          <w:szCs w:val="22"/>
        </w:rPr>
        <w:t>. A</w:t>
      </w:r>
      <w:r w:rsidR="00377EB2" w:rsidRPr="004E1E59">
        <w:rPr>
          <w:rStyle w:val="Strong"/>
          <w:rFonts w:ascii="Arial" w:hAnsi="Arial" w:cs="Arial"/>
          <w:b w:val="0"/>
          <w:color w:val="000000"/>
          <w:sz w:val="22"/>
          <w:szCs w:val="22"/>
        </w:rPr>
        <w:t xml:space="preserve">ttendance at the National Research Ethics Advisors’ Panel (NREAP) hosted meetings can be recorded as </w:t>
      </w:r>
      <w:r w:rsidR="00D05E67" w:rsidRPr="004E1E59">
        <w:rPr>
          <w:rStyle w:val="Strong"/>
          <w:rFonts w:ascii="Arial" w:hAnsi="Arial" w:cs="Arial"/>
          <w:b w:val="0"/>
          <w:color w:val="000000"/>
          <w:sz w:val="22"/>
          <w:szCs w:val="22"/>
        </w:rPr>
        <w:t xml:space="preserve">2 hours of </w:t>
      </w:r>
      <w:r w:rsidR="00377EB2" w:rsidRPr="004E1E59">
        <w:rPr>
          <w:rStyle w:val="Strong"/>
          <w:rFonts w:ascii="Arial" w:hAnsi="Arial" w:cs="Arial"/>
          <w:b w:val="0"/>
          <w:color w:val="000000"/>
          <w:sz w:val="22"/>
          <w:szCs w:val="22"/>
        </w:rPr>
        <w:t xml:space="preserve">self-directed learning and count towards a </w:t>
      </w:r>
      <w:r w:rsidR="0096264B">
        <w:rPr>
          <w:rStyle w:val="Strong"/>
          <w:rFonts w:ascii="Arial" w:hAnsi="Arial" w:cs="Arial"/>
          <w:b w:val="0"/>
          <w:color w:val="000000"/>
          <w:sz w:val="22"/>
          <w:szCs w:val="22"/>
        </w:rPr>
        <w:t xml:space="preserve">REC </w:t>
      </w:r>
      <w:r w:rsidR="00377EB2" w:rsidRPr="004E1E59">
        <w:rPr>
          <w:rStyle w:val="Strong"/>
          <w:rFonts w:ascii="Arial" w:hAnsi="Arial" w:cs="Arial"/>
          <w:b w:val="0"/>
          <w:color w:val="000000"/>
          <w:sz w:val="22"/>
          <w:szCs w:val="22"/>
        </w:rPr>
        <w:t xml:space="preserve">member’s annual training requirement. </w:t>
      </w:r>
      <w:r w:rsidR="008019AB">
        <w:rPr>
          <w:rStyle w:val="Strong"/>
          <w:rFonts w:ascii="Arial" w:hAnsi="Arial" w:cs="Arial"/>
          <w:b w:val="0"/>
          <w:color w:val="000000"/>
          <w:sz w:val="22"/>
          <w:szCs w:val="22"/>
        </w:rPr>
        <w:t xml:space="preserve">See </w:t>
      </w:r>
      <w:hyperlink w:anchor="Annex3" w:history="1">
        <w:r w:rsidR="00C34D53" w:rsidRPr="00C34D53">
          <w:rPr>
            <w:rStyle w:val="Hyperlink"/>
            <w:rFonts w:ascii="Arial" w:hAnsi="Arial" w:cs="Arial"/>
            <w:sz w:val="22"/>
            <w:szCs w:val="22"/>
          </w:rPr>
          <w:t>Annex 3</w:t>
        </w:r>
      </w:hyperlink>
      <w:r w:rsidR="008019AB">
        <w:rPr>
          <w:rStyle w:val="Strong"/>
          <w:rFonts w:ascii="Arial" w:hAnsi="Arial" w:cs="Arial"/>
          <w:b w:val="0"/>
          <w:color w:val="000000"/>
          <w:sz w:val="22"/>
          <w:szCs w:val="22"/>
        </w:rPr>
        <w:t xml:space="preserve"> for </w:t>
      </w:r>
      <w:r w:rsidR="00000DF3">
        <w:rPr>
          <w:rStyle w:val="Strong"/>
          <w:rFonts w:ascii="Arial" w:hAnsi="Arial" w:cs="Arial"/>
          <w:b w:val="0"/>
          <w:color w:val="000000"/>
          <w:sz w:val="22"/>
          <w:szCs w:val="22"/>
        </w:rPr>
        <w:t xml:space="preserve">Chairs’ </w:t>
      </w:r>
      <w:r w:rsidR="008019AB">
        <w:rPr>
          <w:rStyle w:val="Strong"/>
          <w:rFonts w:ascii="Arial" w:hAnsi="Arial" w:cs="Arial"/>
          <w:b w:val="0"/>
          <w:color w:val="000000"/>
          <w:sz w:val="22"/>
          <w:szCs w:val="22"/>
        </w:rPr>
        <w:t>meetings held dur</w:t>
      </w:r>
      <w:r w:rsidR="00BF3BC5">
        <w:rPr>
          <w:rStyle w:val="Strong"/>
          <w:rFonts w:ascii="Arial" w:hAnsi="Arial" w:cs="Arial"/>
          <w:b w:val="0"/>
          <w:color w:val="000000"/>
          <w:sz w:val="22"/>
          <w:szCs w:val="22"/>
        </w:rPr>
        <w:t>ing 2014/15</w:t>
      </w:r>
    </w:p>
    <w:p w:rsidR="00AC7E2C" w:rsidRDefault="00AC7E2C" w:rsidP="00C41533">
      <w:pPr>
        <w:pStyle w:val="NormalWeb"/>
        <w:rPr>
          <w:rStyle w:val="Strong"/>
          <w:rFonts w:ascii="Arial" w:hAnsi="Arial" w:cs="Arial"/>
          <w:b w:val="0"/>
          <w:color w:val="000000"/>
          <w:sz w:val="22"/>
          <w:szCs w:val="22"/>
        </w:rPr>
      </w:pPr>
    </w:p>
    <w:p w:rsidR="00DE3C22" w:rsidRPr="00DE3C22" w:rsidRDefault="00DE3C22" w:rsidP="00F97A2B">
      <w:pPr>
        <w:pStyle w:val="NormalWeb"/>
        <w:shd w:val="clear" w:color="auto" w:fill="F2F2F2" w:themeFill="background1" w:themeFillShade="F2"/>
        <w:ind w:right="8033"/>
        <w:rPr>
          <w:rStyle w:val="Strong"/>
          <w:rFonts w:ascii="Arial" w:hAnsi="Arial" w:cs="Arial"/>
          <w:color w:val="000000"/>
          <w:sz w:val="22"/>
          <w:szCs w:val="22"/>
        </w:rPr>
      </w:pPr>
      <w:bookmarkStart w:id="2" w:name="Meetings"/>
      <w:r w:rsidRPr="00DE3C22">
        <w:rPr>
          <w:rStyle w:val="Strong"/>
          <w:rFonts w:ascii="Arial" w:hAnsi="Arial" w:cs="Arial"/>
          <w:color w:val="000000"/>
          <w:sz w:val="22"/>
          <w:szCs w:val="22"/>
        </w:rPr>
        <w:t>Meetings</w:t>
      </w:r>
    </w:p>
    <w:bookmarkEnd w:id="2"/>
    <w:p w:rsidR="00DE3C22" w:rsidRDefault="00DE3C22" w:rsidP="00C41533">
      <w:pPr>
        <w:pStyle w:val="NormalWeb"/>
        <w:rPr>
          <w:rStyle w:val="Strong"/>
          <w:rFonts w:ascii="Arial" w:hAnsi="Arial" w:cs="Arial"/>
          <w:b w:val="0"/>
          <w:color w:val="000000"/>
          <w:sz w:val="22"/>
          <w:szCs w:val="22"/>
        </w:rPr>
      </w:pPr>
    </w:p>
    <w:p w:rsidR="00CC579E" w:rsidRPr="004E1E59" w:rsidRDefault="002920FF" w:rsidP="00C41533">
      <w:pPr>
        <w:pStyle w:val="NormalWeb"/>
        <w:rPr>
          <w:rStyle w:val="Strong"/>
          <w:rFonts w:ascii="Arial" w:hAnsi="Arial" w:cs="Arial"/>
          <w:b w:val="0"/>
          <w:color w:val="000000"/>
          <w:sz w:val="22"/>
          <w:szCs w:val="22"/>
        </w:rPr>
      </w:pPr>
      <w:r>
        <w:rPr>
          <w:rStyle w:val="Strong"/>
          <w:rFonts w:ascii="Arial" w:hAnsi="Arial" w:cs="Arial"/>
          <w:b w:val="0"/>
          <w:color w:val="000000"/>
          <w:sz w:val="22"/>
          <w:szCs w:val="22"/>
        </w:rPr>
        <w:t>In 2014/15</w:t>
      </w:r>
      <w:r w:rsidR="000550FA" w:rsidRPr="004E1E59">
        <w:rPr>
          <w:rStyle w:val="Strong"/>
          <w:rFonts w:ascii="Arial" w:hAnsi="Arial" w:cs="Arial"/>
          <w:b w:val="0"/>
          <w:color w:val="000000"/>
          <w:sz w:val="22"/>
          <w:szCs w:val="22"/>
        </w:rPr>
        <w:t xml:space="preserve"> </w:t>
      </w:r>
      <w:r w:rsidR="00000DF3">
        <w:rPr>
          <w:rStyle w:val="Strong"/>
          <w:rFonts w:ascii="Arial" w:hAnsi="Arial" w:cs="Arial"/>
          <w:b w:val="0"/>
          <w:color w:val="000000"/>
          <w:sz w:val="22"/>
          <w:szCs w:val="22"/>
        </w:rPr>
        <w:t xml:space="preserve">NREAP </w:t>
      </w:r>
      <w:r w:rsidR="000550FA" w:rsidRPr="004E1E59">
        <w:rPr>
          <w:rStyle w:val="Strong"/>
          <w:rFonts w:ascii="Arial" w:hAnsi="Arial" w:cs="Arial"/>
          <w:b w:val="0"/>
          <w:color w:val="000000"/>
          <w:sz w:val="22"/>
          <w:szCs w:val="22"/>
        </w:rPr>
        <w:t>meetings were held on:</w:t>
      </w:r>
    </w:p>
    <w:p w:rsidR="000550FA" w:rsidRPr="004E1E59" w:rsidRDefault="000550FA" w:rsidP="000550FA">
      <w:pPr>
        <w:pStyle w:val="NormalWeb"/>
        <w:rPr>
          <w:rStyle w:val="Strong"/>
          <w:rFonts w:ascii="Arial" w:hAnsi="Arial" w:cs="Arial"/>
          <w:b w:val="0"/>
          <w:color w:val="000000"/>
          <w:sz w:val="22"/>
          <w:szCs w:val="22"/>
        </w:rPr>
      </w:pPr>
    </w:p>
    <w:p w:rsidR="002920FF" w:rsidRPr="002920FF" w:rsidRDefault="002920FF" w:rsidP="002920FF">
      <w:pPr>
        <w:pStyle w:val="NormalWeb"/>
        <w:rPr>
          <w:rStyle w:val="Strong"/>
          <w:rFonts w:ascii="Arial" w:hAnsi="Arial" w:cs="Arial"/>
          <w:color w:val="000000"/>
          <w:sz w:val="22"/>
          <w:szCs w:val="22"/>
        </w:rPr>
      </w:pPr>
      <w:r w:rsidRPr="002920FF">
        <w:rPr>
          <w:rStyle w:val="Strong"/>
          <w:rFonts w:ascii="Arial" w:hAnsi="Arial" w:cs="Arial"/>
          <w:color w:val="000000"/>
          <w:sz w:val="22"/>
          <w:szCs w:val="22"/>
        </w:rPr>
        <w:t>15th January 2014</w:t>
      </w:r>
    </w:p>
    <w:p w:rsidR="002920FF" w:rsidRPr="002920FF" w:rsidRDefault="002920FF" w:rsidP="002920FF">
      <w:pPr>
        <w:pStyle w:val="NormalWeb"/>
        <w:rPr>
          <w:rStyle w:val="Strong"/>
          <w:rFonts w:ascii="Arial" w:hAnsi="Arial" w:cs="Arial"/>
          <w:color w:val="000000"/>
          <w:sz w:val="22"/>
          <w:szCs w:val="22"/>
        </w:rPr>
      </w:pPr>
      <w:r w:rsidRPr="002920FF">
        <w:rPr>
          <w:rStyle w:val="Strong"/>
          <w:rFonts w:ascii="Arial" w:hAnsi="Arial" w:cs="Arial"/>
          <w:color w:val="000000"/>
          <w:sz w:val="22"/>
          <w:szCs w:val="22"/>
        </w:rPr>
        <w:t>2nd April 2014</w:t>
      </w:r>
    </w:p>
    <w:p w:rsidR="002920FF" w:rsidRPr="002920FF" w:rsidRDefault="002920FF" w:rsidP="002920FF">
      <w:pPr>
        <w:pStyle w:val="NormalWeb"/>
        <w:rPr>
          <w:rStyle w:val="Strong"/>
          <w:rFonts w:ascii="Arial" w:hAnsi="Arial" w:cs="Arial"/>
          <w:color w:val="000000"/>
          <w:sz w:val="22"/>
          <w:szCs w:val="22"/>
        </w:rPr>
      </w:pPr>
      <w:r w:rsidRPr="002920FF">
        <w:rPr>
          <w:rStyle w:val="Strong"/>
          <w:rFonts w:ascii="Arial" w:hAnsi="Arial" w:cs="Arial"/>
          <w:color w:val="000000"/>
          <w:sz w:val="22"/>
          <w:szCs w:val="22"/>
        </w:rPr>
        <w:t>2nd July 2014</w:t>
      </w:r>
    </w:p>
    <w:p w:rsidR="002920FF" w:rsidRPr="002920FF" w:rsidRDefault="002920FF" w:rsidP="002920FF">
      <w:pPr>
        <w:pStyle w:val="NormalWeb"/>
        <w:rPr>
          <w:rStyle w:val="Strong"/>
          <w:rFonts w:ascii="Arial" w:hAnsi="Arial" w:cs="Arial"/>
          <w:color w:val="000000"/>
          <w:sz w:val="22"/>
          <w:szCs w:val="22"/>
        </w:rPr>
      </w:pPr>
      <w:r w:rsidRPr="002920FF">
        <w:rPr>
          <w:rStyle w:val="Strong"/>
          <w:rFonts w:ascii="Arial" w:hAnsi="Arial" w:cs="Arial"/>
          <w:color w:val="000000"/>
          <w:sz w:val="22"/>
          <w:szCs w:val="22"/>
        </w:rPr>
        <w:t>8th October 2014</w:t>
      </w:r>
    </w:p>
    <w:p w:rsidR="002920FF" w:rsidRDefault="00113F23" w:rsidP="00C41533">
      <w:pPr>
        <w:pStyle w:val="NormalWeb"/>
        <w:rPr>
          <w:rStyle w:val="Strong"/>
          <w:rFonts w:ascii="Arial" w:hAnsi="Arial" w:cs="Arial"/>
          <w:color w:val="000000"/>
          <w:sz w:val="22"/>
          <w:szCs w:val="22"/>
        </w:rPr>
      </w:pPr>
      <w:r w:rsidRPr="00113F23">
        <w:rPr>
          <w:rStyle w:val="Strong"/>
          <w:rFonts w:ascii="Arial" w:hAnsi="Arial" w:cs="Arial"/>
          <w:color w:val="000000"/>
          <w:sz w:val="22"/>
          <w:szCs w:val="22"/>
        </w:rPr>
        <w:t xml:space="preserve">2nd March 2015  </w:t>
      </w:r>
    </w:p>
    <w:p w:rsidR="00AA1EAB" w:rsidRPr="00113F23" w:rsidRDefault="00AA1EAB" w:rsidP="00C41533">
      <w:pPr>
        <w:pStyle w:val="NormalWeb"/>
        <w:rPr>
          <w:rStyle w:val="Strong"/>
          <w:rFonts w:ascii="Arial" w:hAnsi="Arial" w:cs="Arial"/>
          <w:color w:val="000000"/>
          <w:sz w:val="22"/>
          <w:szCs w:val="22"/>
        </w:rPr>
      </w:pPr>
      <w:r w:rsidRPr="00AA1EAB">
        <w:rPr>
          <w:rStyle w:val="Strong"/>
          <w:rFonts w:ascii="Arial" w:hAnsi="Arial" w:cs="Arial"/>
          <w:color w:val="000000"/>
          <w:sz w:val="22"/>
          <w:szCs w:val="22"/>
        </w:rPr>
        <w:t>5</w:t>
      </w:r>
      <w:r>
        <w:rPr>
          <w:rStyle w:val="Strong"/>
          <w:rFonts w:ascii="Arial" w:hAnsi="Arial" w:cs="Arial"/>
          <w:color w:val="000000"/>
          <w:sz w:val="22"/>
          <w:szCs w:val="22"/>
        </w:rPr>
        <w:t>th</w:t>
      </w:r>
      <w:r w:rsidRPr="00AA1EAB">
        <w:rPr>
          <w:rStyle w:val="Strong"/>
          <w:rFonts w:ascii="Arial" w:hAnsi="Arial" w:cs="Arial"/>
          <w:color w:val="000000"/>
          <w:sz w:val="22"/>
          <w:szCs w:val="22"/>
        </w:rPr>
        <w:t xml:space="preserve"> March 2015</w:t>
      </w:r>
      <w:r>
        <w:rPr>
          <w:rStyle w:val="Strong"/>
          <w:rFonts w:ascii="Arial" w:hAnsi="Arial" w:cs="Arial"/>
          <w:color w:val="000000"/>
          <w:sz w:val="22"/>
          <w:szCs w:val="22"/>
        </w:rPr>
        <w:t xml:space="preserve"> (‘Away </w:t>
      </w:r>
      <w:r w:rsidR="00551F78">
        <w:rPr>
          <w:rStyle w:val="Strong"/>
          <w:rFonts w:ascii="Arial" w:hAnsi="Arial" w:cs="Arial"/>
          <w:color w:val="000000"/>
          <w:sz w:val="22"/>
          <w:szCs w:val="22"/>
        </w:rPr>
        <w:t>D</w:t>
      </w:r>
      <w:r>
        <w:rPr>
          <w:rStyle w:val="Strong"/>
          <w:rFonts w:ascii="Arial" w:hAnsi="Arial" w:cs="Arial"/>
          <w:color w:val="000000"/>
          <w:sz w:val="22"/>
          <w:szCs w:val="22"/>
        </w:rPr>
        <w:t>ay’)</w:t>
      </w:r>
    </w:p>
    <w:p w:rsidR="002920FF" w:rsidRDefault="009A10F1" w:rsidP="00C41533">
      <w:pPr>
        <w:pStyle w:val="NormalWeb"/>
        <w:rPr>
          <w:rStyle w:val="Strong"/>
          <w:rFonts w:ascii="Arial" w:hAnsi="Arial" w:cs="Arial"/>
          <w:color w:val="000000"/>
          <w:sz w:val="22"/>
          <w:szCs w:val="22"/>
        </w:rPr>
      </w:pPr>
      <w:r w:rsidRPr="009A10F1">
        <w:rPr>
          <w:rStyle w:val="Strong"/>
          <w:rFonts w:ascii="Arial" w:hAnsi="Arial" w:cs="Arial"/>
          <w:color w:val="000000"/>
          <w:sz w:val="22"/>
          <w:szCs w:val="22"/>
        </w:rPr>
        <w:t>18</w:t>
      </w:r>
      <w:r w:rsidRPr="009A10F1">
        <w:rPr>
          <w:rStyle w:val="Strong"/>
          <w:rFonts w:ascii="Arial" w:hAnsi="Arial" w:cs="Arial"/>
          <w:color w:val="000000"/>
          <w:sz w:val="22"/>
          <w:szCs w:val="22"/>
          <w:vertAlign w:val="superscript"/>
        </w:rPr>
        <w:t>th</w:t>
      </w:r>
      <w:r w:rsidRPr="009A10F1">
        <w:rPr>
          <w:rStyle w:val="Strong"/>
          <w:rFonts w:ascii="Arial" w:hAnsi="Arial" w:cs="Arial"/>
          <w:color w:val="000000"/>
          <w:sz w:val="22"/>
          <w:szCs w:val="22"/>
        </w:rPr>
        <w:t xml:space="preserve"> May 2015</w:t>
      </w:r>
    </w:p>
    <w:p w:rsidR="00DE3C22" w:rsidRPr="004E1E59" w:rsidRDefault="00DE3C22" w:rsidP="00DE3C22">
      <w:pPr>
        <w:pStyle w:val="NormalWeb"/>
        <w:rPr>
          <w:rStyle w:val="Strong"/>
          <w:rFonts w:ascii="Arial" w:hAnsi="Arial" w:cs="Arial"/>
          <w:b w:val="0"/>
          <w:color w:val="000000"/>
          <w:sz w:val="22"/>
          <w:szCs w:val="22"/>
        </w:rPr>
      </w:pPr>
    </w:p>
    <w:p w:rsidR="00DE3C22" w:rsidRDefault="00DE3C22" w:rsidP="00DE3C22">
      <w:pPr>
        <w:pStyle w:val="NormalWeb"/>
        <w:rPr>
          <w:rStyle w:val="Strong"/>
          <w:rFonts w:ascii="Arial" w:hAnsi="Arial" w:cs="Arial"/>
          <w:b w:val="0"/>
          <w:color w:val="000000"/>
          <w:sz w:val="22"/>
          <w:szCs w:val="22"/>
        </w:rPr>
      </w:pPr>
      <w:r w:rsidRPr="004E1E59">
        <w:rPr>
          <w:rStyle w:val="Strong"/>
          <w:rFonts w:ascii="Arial" w:hAnsi="Arial" w:cs="Arial"/>
          <w:b w:val="0"/>
          <w:color w:val="000000"/>
          <w:sz w:val="22"/>
          <w:szCs w:val="22"/>
        </w:rPr>
        <w:t xml:space="preserve">The minutes of all NREAP meetings are available at: </w:t>
      </w:r>
      <w:hyperlink r:id="rId9" w:history="1">
        <w:r w:rsidRPr="004E1E59">
          <w:rPr>
            <w:rStyle w:val="Hyperlink"/>
            <w:rFonts w:ascii="Arial" w:hAnsi="Arial" w:cs="Arial"/>
            <w:sz w:val="22"/>
            <w:szCs w:val="22"/>
          </w:rPr>
          <w:t>http://www.hra.nhs.uk/about-the-hra/our-committees/panels-and-advisory-groups/nreap-meetings/</w:t>
        </w:r>
      </w:hyperlink>
      <w:r w:rsidRPr="004E1E59">
        <w:rPr>
          <w:rStyle w:val="Strong"/>
          <w:rFonts w:ascii="Arial" w:hAnsi="Arial" w:cs="Arial"/>
          <w:b w:val="0"/>
          <w:color w:val="000000"/>
          <w:sz w:val="22"/>
          <w:szCs w:val="22"/>
        </w:rPr>
        <w:t xml:space="preserve"> </w:t>
      </w:r>
    </w:p>
    <w:p w:rsidR="00176351" w:rsidRDefault="00176351" w:rsidP="00DE3C22">
      <w:pPr>
        <w:pStyle w:val="NormalWeb"/>
        <w:rPr>
          <w:rStyle w:val="Strong"/>
          <w:rFonts w:ascii="Arial" w:hAnsi="Arial" w:cs="Arial"/>
          <w:b w:val="0"/>
          <w:color w:val="000000"/>
          <w:sz w:val="22"/>
          <w:szCs w:val="22"/>
        </w:rPr>
      </w:pPr>
    </w:p>
    <w:p w:rsidR="00176351" w:rsidRDefault="00176351" w:rsidP="00DE3C22">
      <w:pPr>
        <w:pStyle w:val="NormalWeb"/>
        <w:rPr>
          <w:rStyle w:val="Strong"/>
          <w:rFonts w:ascii="Arial" w:hAnsi="Arial" w:cs="Arial"/>
          <w:b w:val="0"/>
          <w:color w:val="000000"/>
          <w:sz w:val="22"/>
          <w:szCs w:val="22"/>
        </w:rPr>
      </w:pPr>
    </w:p>
    <w:p w:rsidR="001820B4" w:rsidRPr="001820B4" w:rsidRDefault="001820B4" w:rsidP="00F97A2B">
      <w:pPr>
        <w:pStyle w:val="NormalWeb"/>
        <w:shd w:val="clear" w:color="auto" w:fill="F2F2F2" w:themeFill="background1" w:themeFillShade="F2"/>
        <w:ind w:right="7041"/>
        <w:rPr>
          <w:rStyle w:val="Strong"/>
          <w:rFonts w:ascii="Arial" w:hAnsi="Arial" w:cs="Arial"/>
          <w:color w:val="000000"/>
          <w:sz w:val="22"/>
          <w:szCs w:val="22"/>
        </w:rPr>
      </w:pPr>
      <w:bookmarkStart w:id="3" w:name="Awayday"/>
      <w:r w:rsidRPr="001820B4">
        <w:rPr>
          <w:rStyle w:val="Strong"/>
          <w:rFonts w:ascii="Arial" w:hAnsi="Arial" w:cs="Arial"/>
          <w:color w:val="000000"/>
          <w:sz w:val="22"/>
          <w:szCs w:val="22"/>
        </w:rPr>
        <w:t>NREAP Away Day</w:t>
      </w:r>
    </w:p>
    <w:bookmarkEnd w:id="3"/>
    <w:p w:rsidR="001820B4" w:rsidRDefault="001820B4" w:rsidP="00C41533">
      <w:pPr>
        <w:pStyle w:val="NormalWeb"/>
        <w:rPr>
          <w:rStyle w:val="Strong"/>
          <w:rFonts w:ascii="Arial" w:hAnsi="Arial" w:cs="Arial"/>
          <w:b w:val="0"/>
          <w:color w:val="000000"/>
          <w:sz w:val="22"/>
          <w:szCs w:val="22"/>
        </w:rPr>
      </w:pPr>
    </w:p>
    <w:p w:rsidR="001820B4" w:rsidRDefault="001820B4" w:rsidP="00C41533">
      <w:pPr>
        <w:pStyle w:val="NormalWeb"/>
        <w:rPr>
          <w:rStyle w:val="Strong"/>
          <w:rFonts w:ascii="Arial" w:hAnsi="Arial" w:cs="Arial"/>
          <w:b w:val="0"/>
          <w:color w:val="000000"/>
          <w:sz w:val="22"/>
          <w:szCs w:val="22"/>
        </w:rPr>
      </w:pPr>
      <w:r>
        <w:rPr>
          <w:rStyle w:val="Strong"/>
          <w:rFonts w:ascii="Arial" w:hAnsi="Arial" w:cs="Arial"/>
          <w:b w:val="0"/>
          <w:color w:val="000000"/>
          <w:sz w:val="22"/>
          <w:szCs w:val="22"/>
        </w:rPr>
        <w:lastRenderedPageBreak/>
        <w:t>On the 5</w:t>
      </w:r>
      <w:r w:rsidRPr="001820B4">
        <w:rPr>
          <w:rStyle w:val="Strong"/>
          <w:rFonts w:ascii="Arial" w:hAnsi="Arial" w:cs="Arial"/>
          <w:b w:val="0"/>
          <w:color w:val="000000"/>
          <w:sz w:val="22"/>
          <w:szCs w:val="22"/>
          <w:vertAlign w:val="superscript"/>
        </w:rPr>
        <w:t>th</w:t>
      </w:r>
      <w:r>
        <w:rPr>
          <w:rStyle w:val="Strong"/>
          <w:rFonts w:ascii="Arial" w:hAnsi="Arial" w:cs="Arial"/>
          <w:b w:val="0"/>
          <w:color w:val="000000"/>
          <w:sz w:val="22"/>
          <w:szCs w:val="22"/>
        </w:rPr>
        <w:t xml:space="preserve"> March the panel held an “Away Day” meeting </w:t>
      </w:r>
      <w:r w:rsidR="00C77839">
        <w:rPr>
          <w:rStyle w:val="Strong"/>
          <w:rFonts w:ascii="Arial" w:hAnsi="Arial" w:cs="Arial"/>
          <w:b w:val="0"/>
          <w:color w:val="000000"/>
          <w:sz w:val="22"/>
          <w:szCs w:val="22"/>
        </w:rPr>
        <w:t>at the Indian YMCA in</w:t>
      </w:r>
      <w:r>
        <w:rPr>
          <w:rStyle w:val="Strong"/>
          <w:rFonts w:ascii="Arial" w:hAnsi="Arial" w:cs="Arial"/>
          <w:b w:val="0"/>
          <w:color w:val="000000"/>
          <w:sz w:val="22"/>
          <w:szCs w:val="22"/>
        </w:rPr>
        <w:t xml:space="preserve"> London to discuss</w:t>
      </w:r>
    </w:p>
    <w:p w:rsidR="004575F5" w:rsidRDefault="004575F5" w:rsidP="00C41533">
      <w:pPr>
        <w:pStyle w:val="NormalWeb"/>
        <w:rPr>
          <w:rStyle w:val="Strong"/>
          <w:rFonts w:ascii="Arial" w:hAnsi="Arial" w:cs="Arial"/>
          <w:b w:val="0"/>
          <w:color w:val="000000"/>
          <w:sz w:val="22"/>
          <w:szCs w:val="22"/>
        </w:rPr>
      </w:pPr>
    </w:p>
    <w:p w:rsidR="004E5B2B" w:rsidRDefault="004575F5" w:rsidP="004575F5">
      <w:pPr>
        <w:pStyle w:val="NormalWeb"/>
        <w:numPr>
          <w:ilvl w:val="0"/>
          <w:numId w:val="27"/>
        </w:numPr>
        <w:rPr>
          <w:rStyle w:val="Strong"/>
          <w:rFonts w:ascii="Arial" w:hAnsi="Arial" w:cs="Arial"/>
          <w:b w:val="0"/>
          <w:color w:val="000000"/>
          <w:sz w:val="22"/>
          <w:szCs w:val="22"/>
        </w:rPr>
      </w:pPr>
      <w:r w:rsidRPr="004575F5">
        <w:rPr>
          <w:rStyle w:val="Strong"/>
          <w:rFonts w:ascii="Arial" w:hAnsi="Arial" w:cs="Arial"/>
          <w:b w:val="0"/>
          <w:color w:val="000000"/>
          <w:sz w:val="22"/>
          <w:szCs w:val="22"/>
        </w:rPr>
        <w:t>NREAP role, composition and remit in context of changes to HRA remit and status brought about by Care Act (change from Special Health Authority to Non Departmental Public Body (NDPB)).</w:t>
      </w:r>
    </w:p>
    <w:p w:rsidR="004E5B2B" w:rsidRDefault="004575F5" w:rsidP="004575F5">
      <w:pPr>
        <w:pStyle w:val="NormalWeb"/>
        <w:numPr>
          <w:ilvl w:val="0"/>
          <w:numId w:val="27"/>
        </w:numPr>
        <w:rPr>
          <w:rStyle w:val="Strong"/>
          <w:rFonts w:ascii="Arial" w:hAnsi="Arial" w:cs="Arial"/>
          <w:b w:val="0"/>
          <w:color w:val="000000"/>
          <w:sz w:val="22"/>
          <w:szCs w:val="22"/>
        </w:rPr>
      </w:pPr>
      <w:r w:rsidRPr="004E5B2B">
        <w:rPr>
          <w:rStyle w:val="Strong"/>
          <w:rFonts w:ascii="Arial" w:hAnsi="Arial" w:cs="Arial"/>
          <w:b w:val="0"/>
          <w:color w:val="000000"/>
          <w:sz w:val="22"/>
          <w:szCs w:val="22"/>
        </w:rPr>
        <w:t>Be</w:t>
      </w:r>
      <w:r w:rsidR="006260F9">
        <w:rPr>
          <w:rStyle w:val="Strong"/>
          <w:rFonts w:ascii="Arial" w:hAnsi="Arial" w:cs="Arial"/>
          <w:b w:val="0"/>
          <w:color w:val="000000"/>
          <w:sz w:val="22"/>
          <w:szCs w:val="22"/>
        </w:rPr>
        <w:t>tter Ways of Working Together</w:t>
      </w:r>
    </w:p>
    <w:p w:rsidR="004E5B2B" w:rsidRDefault="004E5B2B" w:rsidP="004E5B2B">
      <w:pPr>
        <w:pStyle w:val="NormalWeb"/>
        <w:rPr>
          <w:rStyle w:val="Strong"/>
          <w:rFonts w:ascii="Arial" w:hAnsi="Arial" w:cs="Arial"/>
          <w:b w:val="0"/>
          <w:color w:val="000000"/>
          <w:sz w:val="22"/>
          <w:szCs w:val="22"/>
        </w:rPr>
      </w:pPr>
    </w:p>
    <w:p w:rsidR="004E5B2B" w:rsidRDefault="00ED1F6A" w:rsidP="004575F5">
      <w:pPr>
        <w:pStyle w:val="NormalWeb"/>
        <w:rPr>
          <w:rStyle w:val="Strong"/>
          <w:rFonts w:ascii="Arial" w:hAnsi="Arial" w:cs="Arial"/>
          <w:b w:val="0"/>
          <w:color w:val="000000"/>
          <w:sz w:val="22"/>
          <w:szCs w:val="22"/>
        </w:rPr>
      </w:pPr>
      <w:hyperlink r:id="rId10" w:history="1">
        <w:r w:rsidR="004E5B2B" w:rsidRPr="00D94C2A">
          <w:rPr>
            <w:rStyle w:val="Hyperlink"/>
            <w:rFonts w:ascii="Arial" w:hAnsi="Arial" w:cs="Arial"/>
            <w:sz w:val="22"/>
            <w:szCs w:val="22"/>
          </w:rPr>
          <w:t>Professor Jeremy Wyatt</w:t>
        </w:r>
      </w:hyperlink>
      <w:r w:rsidR="004E5B2B" w:rsidRPr="004575F5">
        <w:rPr>
          <w:rStyle w:val="Strong"/>
          <w:rFonts w:ascii="Arial" w:hAnsi="Arial" w:cs="Arial"/>
          <w:b w:val="0"/>
          <w:color w:val="000000"/>
          <w:sz w:val="22"/>
          <w:szCs w:val="22"/>
        </w:rPr>
        <w:t xml:space="preserve"> </w:t>
      </w:r>
      <w:r w:rsidR="004E5B2B">
        <w:rPr>
          <w:rStyle w:val="Strong"/>
          <w:rFonts w:ascii="Arial" w:hAnsi="Arial" w:cs="Arial"/>
          <w:b w:val="0"/>
          <w:color w:val="000000"/>
          <w:sz w:val="22"/>
          <w:szCs w:val="22"/>
        </w:rPr>
        <w:t>also attended to present on “</w:t>
      </w:r>
      <w:r w:rsidR="004E5B2B" w:rsidRPr="004E5B2B">
        <w:rPr>
          <w:rStyle w:val="Strong"/>
          <w:rFonts w:ascii="Arial" w:hAnsi="Arial" w:cs="Arial"/>
          <w:b w:val="0"/>
          <w:color w:val="000000"/>
          <w:sz w:val="22"/>
          <w:szCs w:val="22"/>
        </w:rPr>
        <w:t>E-Health – Future Possib</w:t>
      </w:r>
      <w:r w:rsidR="004E5B2B">
        <w:rPr>
          <w:rStyle w:val="Strong"/>
          <w:rFonts w:ascii="Arial" w:hAnsi="Arial" w:cs="Arial"/>
          <w:b w:val="0"/>
          <w:color w:val="000000"/>
          <w:sz w:val="22"/>
          <w:szCs w:val="22"/>
        </w:rPr>
        <w:t>ilities and Ethical Challenges”</w:t>
      </w:r>
    </w:p>
    <w:p w:rsidR="004575F5" w:rsidRDefault="004575F5" w:rsidP="00C41533">
      <w:pPr>
        <w:pStyle w:val="NormalWeb"/>
        <w:rPr>
          <w:rStyle w:val="Strong"/>
          <w:rFonts w:ascii="Arial" w:hAnsi="Arial" w:cs="Arial"/>
          <w:b w:val="0"/>
          <w:color w:val="000000"/>
          <w:sz w:val="22"/>
          <w:szCs w:val="22"/>
        </w:rPr>
      </w:pPr>
    </w:p>
    <w:p w:rsidR="009A10F1" w:rsidRDefault="009A10F1" w:rsidP="00C41533">
      <w:pPr>
        <w:pStyle w:val="NormalWeb"/>
        <w:rPr>
          <w:rStyle w:val="Strong"/>
          <w:rFonts w:ascii="Arial" w:hAnsi="Arial" w:cs="Arial"/>
          <w:b w:val="0"/>
          <w:color w:val="000000"/>
          <w:sz w:val="22"/>
          <w:szCs w:val="22"/>
        </w:rPr>
      </w:pPr>
      <w:r>
        <w:rPr>
          <w:rStyle w:val="Strong"/>
          <w:rFonts w:ascii="Arial" w:hAnsi="Arial" w:cs="Arial"/>
          <w:b w:val="0"/>
          <w:color w:val="000000"/>
          <w:sz w:val="22"/>
          <w:szCs w:val="22"/>
        </w:rPr>
        <w:t xml:space="preserve">This first NREAP “Away Day” was </w:t>
      </w:r>
      <w:r w:rsidR="00E209A8">
        <w:rPr>
          <w:rStyle w:val="Strong"/>
          <w:rFonts w:ascii="Arial" w:hAnsi="Arial" w:cs="Arial"/>
          <w:b w:val="0"/>
          <w:color w:val="000000"/>
          <w:sz w:val="22"/>
          <w:szCs w:val="22"/>
        </w:rPr>
        <w:t xml:space="preserve">considered a </w:t>
      </w:r>
      <w:r w:rsidR="006877AE">
        <w:rPr>
          <w:rStyle w:val="Strong"/>
          <w:rFonts w:ascii="Arial" w:hAnsi="Arial" w:cs="Arial"/>
          <w:b w:val="0"/>
          <w:color w:val="000000"/>
          <w:sz w:val="22"/>
          <w:szCs w:val="22"/>
        </w:rPr>
        <w:t xml:space="preserve">great </w:t>
      </w:r>
      <w:r w:rsidR="00E209A8">
        <w:rPr>
          <w:rStyle w:val="Strong"/>
          <w:rFonts w:ascii="Arial" w:hAnsi="Arial" w:cs="Arial"/>
          <w:b w:val="0"/>
          <w:color w:val="000000"/>
          <w:sz w:val="22"/>
          <w:szCs w:val="22"/>
        </w:rPr>
        <w:t>success, providing the panel with an opportunity to meet and discuss</w:t>
      </w:r>
      <w:r w:rsidR="00C77839">
        <w:rPr>
          <w:rStyle w:val="Strong"/>
          <w:rFonts w:ascii="Arial" w:hAnsi="Arial" w:cs="Arial"/>
          <w:b w:val="0"/>
          <w:color w:val="000000"/>
          <w:sz w:val="22"/>
          <w:szCs w:val="22"/>
        </w:rPr>
        <w:t xml:space="preserve"> broad</w:t>
      </w:r>
      <w:r w:rsidR="00E209A8">
        <w:rPr>
          <w:rStyle w:val="Strong"/>
          <w:rFonts w:ascii="Arial" w:hAnsi="Arial" w:cs="Arial"/>
          <w:b w:val="0"/>
          <w:color w:val="000000"/>
          <w:sz w:val="22"/>
          <w:szCs w:val="22"/>
        </w:rPr>
        <w:t xml:space="preserve"> issues related to the </w:t>
      </w:r>
      <w:r w:rsidR="00C77839">
        <w:rPr>
          <w:rStyle w:val="Strong"/>
          <w:rFonts w:ascii="Arial" w:hAnsi="Arial" w:cs="Arial"/>
          <w:b w:val="0"/>
          <w:color w:val="000000"/>
          <w:sz w:val="22"/>
          <w:szCs w:val="22"/>
        </w:rPr>
        <w:t>panel and its future direction in a neutral</w:t>
      </w:r>
      <w:r w:rsidR="00E209A8">
        <w:rPr>
          <w:rStyle w:val="Strong"/>
          <w:rFonts w:ascii="Arial" w:hAnsi="Arial" w:cs="Arial"/>
          <w:b w:val="0"/>
          <w:color w:val="000000"/>
          <w:sz w:val="22"/>
          <w:szCs w:val="22"/>
        </w:rPr>
        <w:t xml:space="preserve"> environment</w:t>
      </w:r>
      <w:r w:rsidR="00C77839">
        <w:rPr>
          <w:rStyle w:val="Strong"/>
          <w:rFonts w:ascii="Arial" w:hAnsi="Arial" w:cs="Arial"/>
          <w:b w:val="0"/>
          <w:color w:val="000000"/>
          <w:sz w:val="22"/>
          <w:szCs w:val="22"/>
        </w:rPr>
        <w:t xml:space="preserve">. </w:t>
      </w:r>
      <w:r w:rsidR="001674FA">
        <w:rPr>
          <w:rStyle w:val="Strong"/>
          <w:rFonts w:ascii="Arial" w:hAnsi="Arial" w:cs="Arial"/>
          <w:b w:val="0"/>
          <w:color w:val="000000"/>
          <w:sz w:val="22"/>
          <w:szCs w:val="22"/>
        </w:rPr>
        <w:t>Going forward t</w:t>
      </w:r>
      <w:r w:rsidR="00760A23">
        <w:rPr>
          <w:rStyle w:val="Strong"/>
          <w:rFonts w:ascii="Arial" w:hAnsi="Arial" w:cs="Arial"/>
          <w:b w:val="0"/>
          <w:color w:val="000000"/>
          <w:sz w:val="22"/>
          <w:szCs w:val="22"/>
        </w:rPr>
        <w:t>he panel will hold an</w:t>
      </w:r>
      <w:r w:rsidR="00612325">
        <w:rPr>
          <w:rStyle w:val="Strong"/>
          <w:rFonts w:ascii="Arial" w:hAnsi="Arial" w:cs="Arial"/>
          <w:b w:val="0"/>
          <w:color w:val="000000"/>
          <w:sz w:val="22"/>
          <w:szCs w:val="22"/>
        </w:rPr>
        <w:t xml:space="preserve"> “</w:t>
      </w:r>
      <w:r w:rsidR="00675B1D">
        <w:rPr>
          <w:rStyle w:val="Strong"/>
          <w:rFonts w:ascii="Arial" w:hAnsi="Arial" w:cs="Arial"/>
          <w:b w:val="0"/>
          <w:color w:val="000000"/>
          <w:sz w:val="22"/>
          <w:szCs w:val="22"/>
        </w:rPr>
        <w:t>Away Day”</w:t>
      </w:r>
      <w:r>
        <w:rPr>
          <w:rStyle w:val="Strong"/>
          <w:rFonts w:ascii="Arial" w:hAnsi="Arial" w:cs="Arial"/>
          <w:b w:val="0"/>
          <w:color w:val="000000"/>
          <w:sz w:val="22"/>
          <w:szCs w:val="22"/>
        </w:rPr>
        <w:t xml:space="preserve"> </w:t>
      </w:r>
      <w:r w:rsidR="00760A23">
        <w:rPr>
          <w:rStyle w:val="Strong"/>
          <w:rFonts w:ascii="Arial" w:hAnsi="Arial" w:cs="Arial"/>
          <w:b w:val="0"/>
          <w:color w:val="000000"/>
          <w:sz w:val="22"/>
          <w:szCs w:val="22"/>
        </w:rPr>
        <w:t xml:space="preserve">each year to </w:t>
      </w:r>
      <w:r w:rsidR="00CB2135">
        <w:rPr>
          <w:rStyle w:val="Strong"/>
          <w:rFonts w:ascii="Arial" w:hAnsi="Arial" w:cs="Arial"/>
          <w:b w:val="0"/>
          <w:color w:val="000000"/>
          <w:sz w:val="22"/>
          <w:szCs w:val="22"/>
        </w:rPr>
        <w:t>facilitate teambuilding</w:t>
      </w:r>
      <w:r w:rsidR="006877AE">
        <w:rPr>
          <w:rStyle w:val="Strong"/>
          <w:rFonts w:ascii="Arial" w:hAnsi="Arial" w:cs="Arial"/>
          <w:b w:val="0"/>
          <w:color w:val="000000"/>
          <w:sz w:val="22"/>
          <w:szCs w:val="22"/>
        </w:rPr>
        <w:t xml:space="preserve">, </w:t>
      </w:r>
      <w:r w:rsidR="00760A23">
        <w:rPr>
          <w:rStyle w:val="Strong"/>
          <w:rFonts w:ascii="Arial" w:hAnsi="Arial" w:cs="Arial"/>
          <w:b w:val="0"/>
          <w:color w:val="000000"/>
          <w:sz w:val="22"/>
          <w:szCs w:val="22"/>
        </w:rPr>
        <w:t xml:space="preserve">enable broader discussion </w:t>
      </w:r>
      <w:r w:rsidR="001674FA">
        <w:rPr>
          <w:rStyle w:val="Strong"/>
          <w:rFonts w:ascii="Arial" w:hAnsi="Arial" w:cs="Arial"/>
          <w:b w:val="0"/>
          <w:color w:val="000000"/>
          <w:sz w:val="22"/>
          <w:szCs w:val="22"/>
        </w:rPr>
        <w:t>of the panel’s work</w:t>
      </w:r>
      <w:r w:rsidR="006877AE">
        <w:rPr>
          <w:rStyle w:val="Strong"/>
          <w:rFonts w:ascii="Arial" w:hAnsi="Arial" w:cs="Arial"/>
          <w:b w:val="0"/>
          <w:color w:val="000000"/>
          <w:sz w:val="22"/>
          <w:szCs w:val="22"/>
        </w:rPr>
        <w:t xml:space="preserve"> and agenda setting</w:t>
      </w:r>
      <w:r w:rsidR="007F63D3">
        <w:rPr>
          <w:rStyle w:val="Strong"/>
          <w:rFonts w:ascii="Arial" w:hAnsi="Arial" w:cs="Arial"/>
          <w:b w:val="0"/>
          <w:color w:val="000000"/>
          <w:sz w:val="22"/>
          <w:szCs w:val="22"/>
        </w:rPr>
        <w:t xml:space="preserve"> for the coming year</w:t>
      </w:r>
      <w:r w:rsidR="001674FA">
        <w:rPr>
          <w:rStyle w:val="Strong"/>
          <w:rFonts w:ascii="Arial" w:hAnsi="Arial" w:cs="Arial"/>
          <w:b w:val="0"/>
          <w:color w:val="000000"/>
          <w:sz w:val="22"/>
          <w:szCs w:val="22"/>
        </w:rPr>
        <w:t>.</w:t>
      </w:r>
    </w:p>
    <w:p w:rsidR="008E2025" w:rsidRDefault="008E2025" w:rsidP="00C41533">
      <w:pPr>
        <w:pStyle w:val="NormalWeb"/>
        <w:rPr>
          <w:rStyle w:val="Strong"/>
          <w:rFonts w:ascii="Arial" w:hAnsi="Arial" w:cs="Arial"/>
          <w:b w:val="0"/>
          <w:color w:val="000000"/>
          <w:sz w:val="22"/>
          <w:szCs w:val="22"/>
        </w:rPr>
      </w:pPr>
    </w:p>
    <w:p w:rsidR="00585B42" w:rsidRPr="00585B42" w:rsidRDefault="00585B42" w:rsidP="00F97A2B">
      <w:pPr>
        <w:pStyle w:val="NormalWeb"/>
        <w:shd w:val="clear" w:color="auto" w:fill="F2F2F2" w:themeFill="background1" w:themeFillShade="F2"/>
        <w:ind w:right="7608"/>
        <w:rPr>
          <w:rStyle w:val="Strong"/>
          <w:rFonts w:ascii="Arial" w:hAnsi="Arial" w:cs="Arial"/>
          <w:color w:val="000000"/>
          <w:sz w:val="22"/>
          <w:szCs w:val="22"/>
        </w:rPr>
      </w:pPr>
      <w:bookmarkStart w:id="4" w:name="Membership"/>
      <w:r w:rsidRPr="00585B42">
        <w:rPr>
          <w:rStyle w:val="Strong"/>
          <w:rFonts w:ascii="Arial" w:hAnsi="Arial" w:cs="Arial"/>
          <w:color w:val="000000"/>
          <w:sz w:val="22"/>
          <w:szCs w:val="22"/>
        </w:rPr>
        <w:t>Membership</w:t>
      </w:r>
    </w:p>
    <w:bookmarkEnd w:id="4"/>
    <w:p w:rsidR="00585B42" w:rsidRPr="004E1E59" w:rsidRDefault="00585B42" w:rsidP="00C41533">
      <w:pPr>
        <w:pStyle w:val="NormalWeb"/>
        <w:rPr>
          <w:rStyle w:val="Strong"/>
          <w:rFonts w:ascii="Arial" w:hAnsi="Arial" w:cs="Arial"/>
          <w:b w:val="0"/>
          <w:color w:val="000000"/>
          <w:sz w:val="22"/>
          <w:szCs w:val="22"/>
        </w:rPr>
      </w:pPr>
    </w:p>
    <w:p w:rsidR="00585B42" w:rsidRDefault="00585B42" w:rsidP="00585B42">
      <w:pPr>
        <w:pStyle w:val="NormalWeb"/>
        <w:rPr>
          <w:rStyle w:val="Strong"/>
          <w:rFonts w:ascii="Arial" w:hAnsi="Arial" w:cs="Arial"/>
          <w:b w:val="0"/>
          <w:color w:val="000000"/>
          <w:sz w:val="22"/>
          <w:szCs w:val="22"/>
        </w:rPr>
      </w:pPr>
      <w:r>
        <w:rPr>
          <w:rStyle w:val="Strong"/>
          <w:rFonts w:ascii="Arial" w:hAnsi="Arial" w:cs="Arial"/>
          <w:b w:val="0"/>
          <w:color w:val="000000"/>
          <w:sz w:val="22"/>
          <w:szCs w:val="22"/>
        </w:rPr>
        <w:t xml:space="preserve">See </w:t>
      </w:r>
      <w:hyperlink w:anchor="Annex1" w:history="1">
        <w:r w:rsidRPr="00F406C6">
          <w:rPr>
            <w:rStyle w:val="Hyperlink"/>
            <w:rFonts w:ascii="Arial" w:hAnsi="Arial" w:cs="Arial"/>
            <w:sz w:val="22"/>
            <w:szCs w:val="22"/>
          </w:rPr>
          <w:t>Annex 1</w:t>
        </w:r>
      </w:hyperlink>
      <w:r>
        <w:rPr>
          <w:rStyle w:val="Strong"/>
          <w:rFonts w:ascii="Arial" w:hAnsi="Arial" w:cs="Arial"/>
          <w:b w:val="0"/>
          <w:color w:val="000000"/>
          <w:sz w:val="22"/>
          <w:szCs w:val="22"/>
        </w:rPr>
        <w:t xml:space="preserve"> for NREA</w:t>
      </w:r>
      <w:r w:rsidR="00C62014">
        <w:rPr>
          <w:rStyle w:val="Strong"/>
          <w:rFonts w:ascii="Arial" w:hAnsi="Arial" w:cs="Arial"/>
          <w:b w:val="0"/>
          <w:color w:val="000000"/>
          <w:sz w:val="22"/>
          <w:szCs w:val="22"/>
        </w:rPr>
        <w:t>P</w:t>
      </w:r>
      <w:r>
        <w:rPr>
          <w:rStyle w:val="Strong"/>
          <w:rFonts w:ascii="Arial" w:hAnsi="Arial" w:cs="Arial"/>
          <w:b w:val="0"/>
          <w:color w:val="000000"/>
          <w:sz w:val="22"/>
          <w:szCs w:val="22"/>
        </w:rPr>
        <w:t xml:space="preserve"> membership.</w:t>
      </w:r>
    </w:p>
    <w:p w:rsidR="00717589" w:rsidRDefault="00717589" w:rsidP="00C41533">
      <w:pPr>
        <w:pStyle w:val="NormalWeb"/>
        <w:rPr>
          <w:rStyle w:val="Strong"/>
          <w:rFonts w:ascii="Arial" w:hAnsi="Arial" w:cs="Arial"/>
          <w:b w:val="0"/>
          <w:color w:val="000000"/>
          <w:sz w:val="22"/>
          <w:szCs w:val="22"/>
        </w:rPr>
      </w:pPr>
    </w:p>
    <w:p w:rsidR="00D30681" w:rsidRPr="00D30681" w:rsidRDefault="00D30681" w:rsidP="00D30681">
      <w:pPr>
        <w:rPr>
          <w:rFonts w:eastAsia="Calibri" w:cs="Arial"/>
        </w:rPr>
      </w:pPr>
      <w:r w:rsidRPr="00D30681">
        <w:rPr>
          <w:rFonts w:eastAsia="Calibri" w:cs="Arial"/>
          <w:b/>
        </w:rPr>
        <w:t>On 15</w:t>
      </w:r>
      <w:r w:rsidRPr="00D30681">
        <w:rPr>
          <w:rFonts w:eastAsia="Calibri" w:cs="Arial"/>
          <w:b/>
          <w:vertAlign w:val="superscript"/>
        </w:rPr>
        <w:t>th</w:t>
      </w:r>
      <w:r w:rsidRPr="00D30681">
        <w:rPr>
          <w:rFonts w:eastAsia="Calibri" w:cs="Arial"/>
          <w:b/>
        </w:rPr>
        <w:t xml:space="preserve"> April 2015 the HRA Board approved a request for Andrew George</w:t>
      </w:r>
      <w:r w:rsidR="00573B27">
        <w:rPr>
          <w:rFonts w:eastAsia="Calibri" w:cs="Arial"/>
          <w:b/>
        </w:rPr>
        <w:t xml:space="preserve"> (NREAP Chair)</w:t>
      </w:r>
      <w:r w:rsidRPr="00D30681">
        <w:rPr>
          <w:rFonts w:eastAsia="Calibri" w:cs="Arial"/>
          <w:b/>
        </w:rPr>
        <w:t>, Peter Heasman and Simon Woods’ terms to be extended until end September 2016</w:t>
      </w:r>
      <w:r w:rsidRPr="00D30681">
        <w:rPr>
          <w:rFonts w:eastAsia="Calibri" w:cs="Arial"/>
        </w:rPr>
        <w:t xml:space="preserve"> to allow continuity </w:t>
      </w:r>
      <w:r w:rsidR="004138EB">
        <w:rPr>
          <w:rFonts w:eastAsia="Calibri" w:cs="Arial"/>
        </w:rPr>
        <w:t xml:space="preserve">of </w:t>
      </w:r>
      <w:r w:rsidRPr="00D30681">
        <w:rPr>
          <w:rFonts w:eastAsia="Calibri" w:cs="Arial"/>
        </w:rPr>
        <w:t xml:space="preserve">business during the challenging year ahead and to allow sufficient time for review of membership and terms of reference and subsequent recruitment and appointment of new NREAs including a Chair via a public recruitment process (summer 2016). </w:t>
      </w:r>
    </w:p>
    <w:p w:rsidR="00D30681" w:rsidRPr="00D30681" w:rsidRDefault="00D30681" w:rsidP="00D30681">
      <w:pPr>
        <w:rPr>
          <w:rFonts w:eastAsia="Calibri" w:cs="Arial"/>
        </w:rPr>
      </w:pPr>
      <w:r w:rsidRPr="00D30681">
        <w:rPr>
          <w:rFonts w:eastAsia="Calibri" w:cs="Arial"/>
          <w:b/>
        </w:rPr>
        <w:t>The Board further approved the request that all three NREAs would be eligible to reapply to join the panel</w:t>
      </w:r>
      <w:r w:rsidRPr="00D30681">
        <w:rPr>
          <w:rFonts w:eastAsia="Calibri" w:cs="Arial"/>
        </w:rPr>
        <w:t xml:space="preserve"> (and (re)apply for the Chair) at such time as new members/Chair are sought and, if successful, would be appointed to a term adjusted to bring their total time as an NREA to 10 years. </w:t>
      </w:r>
    </w:p>
    <w:p w:rsidR="00D30681" w:rsidRPr="00D30681" w:rsidRDefault="00D30681" w:rsidP="00D30681">
      <w:pPr>
        <w:rPr>
          <w:rFonts w:eastAsia="Calibri" w:cs="Arial"/>
          <w:b/>
        </w:rPr>
      </w:pPr>
      <w:r w:rsidRPr="00D30681">
        <w:rPr>
          <w:rFonts w:eastAsia="Calibri" w:cs="Arial"/>
          <w:b/>
        </w:rPr>
        <w:t>Revised NREA Terms of Office: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2275F" w:rsidRPr="00D30681" w:rsidTr="00C55FF2">
        <w:tc>
          <w:tcPr>
            <w:tcW w:w="3024" w:type="dxa"/>
            <w:shd w:val="clear" w:color="auto" w:fill="D9D9D9"/>
          </w:tcPr>
          <w:p w:rsidR="0002275F" w:rsidRPr="00D30681" w:rsidRDefault="0002275F" w:rsidP="00D30681">
            <w:pPr>
              <w:spacing w:after="0" w:line="240" w:lineRule="auto"/>
              <w:rPr>
                <w:rFonts w:eastAsia="Calibri" w:cs="Arial"/>
                <w:b/>
              </w:rPr>
            </w:pPr>
            <w:r w:rsidRPr="00D30681">
              <w:rPr>
                <w:rFonts w:eastAsia="Calibri" w:cs="Arial"/>
                <w:b/>
              </w:rPr>
              <w:t>NREA</w:t>
            </w:r>
          </w:p>
        </w:tc>
        <w:tc>
          <w:tcPr>
            <w:tcW w:w="3024" w:type="dxa"/>
            <w:shd w:val="clear" w:color="auto" w:fill="D9D9D9"/>
          </w:tcPr>
          <w:p w:rsidR="0002275F" w:rsidRPr="00D30681" w:rsidRDefault="0002275F" w:rsidP="00CF342D">
            <w:pPr>
              <w:spacing w:after="0" w:line="240" w:lineRule="auto"/>
              <w:rPr>
                <w:rFonts w:eastAsia="Calibri" w:cs="Arial"/>
                <w:b/>
              </w:rPr>
            </w:pPr>
            <w:r w:rsidRPr="00D30681">
              <w:rPr>
                <w:rFonts w:eastAsia="Calibri" w:cs="Arial"/>
                <w:b/>
              </w:rPr>
              <w:t>Appointment date</w:t>
            </w:r>
          </w:p>
        </w:tc>
        <w:tc>
          <w:tcPr>
            <w:tcW w:w="3024" w:type="dxa"/>
            <w:shd w:val="clear" w:color="auto" w:fill="D9D9D9"/>
          </w:tcPr>
          <w:p w:rsidR="0002275F" w:rsidRPr="00D30681" w:rsidRDefault="0002275F" w:rsidP="00CF342D">
            <w:pPr>
              <w:spacing w:after="0" w:line="240" w:lineRule="auto"/>
              <w:rPr>
                <w:rFonts w:eastAsia="Calibri" w:cs="Arial"/>
                <w:b/>
              </w:rPr>
            </w:pPr>
            <w:r w:rsidRPr="00D30681">
              <w:rPr>
                <w:rFonts w:eastAsia="Calibri" w:cs="Arial"/>
                <w:b/>
              </w:rPr>
              <w:t>Term End Date</w:t>
            </w:r>
          </w:p>
        </w:tc>
      </w:tr>
      <w:tr w:rsidR="0002275F" w:rsidRPr="00D30681" w:rsidTr="00C55FF2">
        <w:tc>
          <w:tcPr>
            <w:tcW w:w="3024" w:type="dxa"/>
            <w:shd w:val="clear" w:color="auto" w:fill="FFFFFF"/>
          </w:tcPr>
          <w:p w:rsidR="0002275F" w:rsidRPr="00D30681" w:rsidRDefault="0002275F" w:rsidP="00D30681">
            <w:pPr>
              <w:spacing w:after="0" w:line="240" w:lineRule="auto"/>
              <w:rPr>
                <w:rFonts w:eastAsia="Calibri" w:cs="Arial"/>
                <w:b/>
              </w:rPr>
            </w:pPr>
            <w:r w:rsidRPr="00D30681">
              <w:rPr>
                <w:rFonts w:eastAsia="Calibri" w:cs="Arial"/>
                <w:b/>
              </w:rPr>
              <w:t>Andrew George (Chair)</w:t>
            </w:r>
          </w:p>
        </w:tc>
        <w:tc>
          <w:tcPr>
            <w:tcW w:w="3024" w:type="dxa"/>
            <w:shd w:val="clear" w:color="auto" w:fill="F2F2F2"/>
          </w:tcPr>
          <w:p w:rsidR="0002275F" w:rsidRPr="00D30681" w:rsidRDefault="0002275F" w:rsidP="00CF342D">
            <w:pPr>
              <w:spacing w:after="0" w:line="240" w:lineRule="auto"/>
              <w:rPr>
                <w:rFonts w:eastAsia="Calibri" w:cs="Arial"/>
              </w:rPr>
            </w:pPr>
            <w:r w:rsidRPr="00D30681">
              <w:rPr>
                <w:rFonts w:eastAsia="Calibri" w:cs="Arial"/>
              </w:rPr>
              <w:t>September 2009</w:t>
            </w:r>
          </w:p>
        </w:tc>
        <w:tc>
          <w:tcPr>
            <w:tcW w:w="3024" w:type="dxa"/>
            <w:shd w:val="clear" w:color="auto" w:fill="F2F2F2"/>
          </w:tcPr>
          <w:p w:rsidR="0002275F" w:rsidRPr="00D30681" w:rsidRDefault="0002275F" w:rsidP="00CF342D">
            <w:pPr>
              <w:spacing w:after="0" w:line="240" w:lineRule="auto"/>
              <w:rPr>
                <w:rFonts w:eastAsia="Calibri" w:cs="Arial"/>
                <w:b/>
              </w:rPr>
            </w:pPr>
            <w:r w:rsidRPr="00D30681">
              <w:rPr>
                <w:rFonts w:eastAsia="Calibri" w:cs="Arial"/>
                <w:b/>
              </w:rPr>
              <w:t>30th September 2016</w:t>
            </w:r>
          </w:p>
        </w:tc>
      </w:tr>
      <w:tr w:rsidR="0002275F" w:rsidRPr="00D30681" w:rsidTr="00C55FF2">
        <w:tc>
          <w:tcPr>
            <w:tcW w:w="3024" w:type="dxa"/>
            <w:shd w:val="clear" w:color="auto" w:fill="FFFFFF"/>
          </w:tcPr>
          <w:p w:rsidR="0002275F" w:rsidRPr="00D30681" w:rsidRDefault="0002275F" w:rsidP="00D30681">
            <w:pPr>
              <w:spacing w:after="0" w:line="240" w:lineRule="auto"/>
              <w:rPr>
                <w:rFonts w:eastAsia="Calibri" w:cs="Arial"/>
                <w:b/>
              </w:rPr>
            </w:pPr>
            <w:r w:rsidRPr="00D30681">
              <w:rPr>
                <w:rFonts w:eastAsia="Calibri" w:cs="Arial"/>
                <w:b/>
              </w:rPr>
              <w:t xml:space="preserve">Peter Heasman </w:t>
            </w:r>
          </w:p>
        </w:tc>
        <w:tc>
          <w:tcPr>
            <w:tcW w:w="3024" w:type="dxa"/>
            <w:shd w:val="clear" w:color="auto" w:fill="F2F2F2"/>
          </w:tcPr>
          <w:p w:rsidR="0002275F" w:rsidRPr="00D30681" w:rsidRDefault="0002275F" w:rsidP="00CF342D">
            <w:pPr>
              <w:spacing w:after="0" w:line="240" w:lineRule="auto"/>
              <w:rPr>
                <w:rFonts w:eastAsia="Calibri" w:cs="Arial"/>
              </w:rPr>
            </w:pPr>
            <w:r w:rsidRPr="00D30681">
              <w:rPr>
                <w:rFonts w:eastAsia="Calibri" w:cs="Arial"/>
              </w:rPr>
              <w:t>September 2009</w:t>
            </w:r>
          </w:p>
        </w:tc>
        <w:tc>
          <w:tcPr>
            <w:tcW w:w="3024" w:type="dxa"/>
            <w:shd w:val="clear" w:color="auto" w:fill="F2F2F2"/>
          </w:tcPr>
          <w:p w:rsidR="0002275F" w:rsidRPr="00D30681" w:rsidRDefault="0002275F" w:rsidP="00CF342D">
            <w:pPr>
              <w:spacing w:after="0" w:line="240" w:lineRule="auto"/>
              <w:rPr>
                <w:rFonts w:eastAsia="Calibri" w:cs="Arial"/>
                <w:b/>
              </w:rPr>
            </w:pPr>
            <w:r w:rsidRPr="00D30681">
              <w:rPr>
                <w:rFonts w:eastAsia="Calibri" w:cs="Arial"/>
                <w:b/>
              </w:rPr>
              <w:t>30th September 2016</w:t>
            </w:r>
          </w:p>
        </w:tc>
      </w:tr>
      <w:tr w:rsidR="0002275F" w:rsidRPr="00D30681" w:rsidTr="00C55FF2">
        <w:tc>
          <w:tcPr>
            <w:tcW w:w="3024" w:type="dxa"/>
            <w:shd w:val="clear" w:color="auto" w:fill="FFFFFF"/>
          </w:tcPr>
          <w:p w:rsidR="0002275F" w:rsidRPr="00D30681" w:rsidRDefault="0002275F" w:rsidP="00D30681">
            <w:pPr>
              <w:spacing w:after="0" w:line="240" w:lineRule="auto"/>
              <w:rPr>
                <w:rFonts w:eastAsia="Calibri" w:cs="Arial"/>
                <w:b/>
              </w:rPr>
            </w:pPr>
            <w:r w:rsidRPr="00D30681">
              <w:rPr>
                <w:rFonts w:eastAsia="Calibri" w:cs="Arial"/>
                <w:b/>
              </w:rPr>
              <w:t>Simon Woods</w:t>
            </w:r>
          </w:p>
        </w:tc>
        <w:tc>
          <w:tcPr>
            <w:tcW w:w="3024" w:type="dxa"/>
            <w:shd w:val="clear" w:color="auto" w:fill="F2F2F2"/>
          </w:tcPr>
          <w:p w:rsidR="0002275F" w:rsidRPr="00D30681" w:rsidRDefault="0002275F" w:rsidP="00CF342D">
            <w:pPr>
              <w:spacing w:after="0" w:line="240" w:lineRule="auto"/>
              <w:rPr>
                <w:rFonts w:eastAsia="Calibri" w:cs="Arial"/>
              </w:rPr>
            </w:pPr>
            <w:r w:rsidRPr="00D30681">
              <w:rPr>
                <w:rFonts w:eastAsia="Calibri" w:cs="Arial"/>
              </w:rPr>
              <w:t>September 2009</w:t>
            </w:r>
          </w:p>
        </w:tc>
        <w:tc>
          <w:tcPr>
            <w:tcW w:w="3024" w:type="dxa"/>
            <w:shd w:val="clear" w:color="auto" w:fill="F2F2F2"/>
          </w:tcPr>
          <w:p w:rsidR="0002275F" w:rsidRPr="00D30681" w:rsidRDefault="0002275F" w:rsidP="00CF342D">
            <w:pPr>
              <w:spacing w:after="0" w:line="240" w:lineRule="auto"/>
              <w:rPr>
                <w:rFonts w:eastAsia="Calibri" w:cs="Arial"/>
                <w:b/>
              </w:rPr>
            </w:pPr>
            <w:r w:rsidRPr="00D30681">
              <w:rPr>
                <w:rFonts w:eastAsia="Calibri" w:cs="Arial"/>
                <w:b/>
              </w:rPr>
              <w:t>30th September 2016</w:t>
            </w:r>
          </w:p>
        </w:tc>
      </w:tr>
      <w:tr w:rsidR="0002275F" w:rsidRPr="00D30681" w:rsidTr="00C55FF2">
        <w:tc>
          <w:tcPr>
            <w:tcW w:w="3024" w:type="dxa"/>
            <w:shd w:val="clear" w:color="auto" w:fill="FFFFFF"/>
          </w:tcPr>
          <w:p w:rsidR="0002275F" w:rsidRPr="00D30681" w:rsidRDefault="0002275F" w:rsidP="00D30681">
            <w:pPr>
              <w:spacing w:after="0" w:line="240" w:lineRule="auto"/>
              <w:rPr>
                <w:rFonts w:eastAsia="Calibri" w:cs="Arial"/>
                <w:b/>
              </w:rPr>
            </w:pPr>
            <w:r w:rsidRPr="00D30681">
              <w:rPr>
                <w:rFonts w:eastAsia="Calibri" w:cs="Arial"/>
                <w:b/>
              </w:rPr>
              <w:t xml:space="preserve">Søren Holm </w:t>
            </w:r>
          </w:p>
        </w:tc>
        <w:tc>
          <w:tcPr>
            <w:tcW w:w="3024" w:type="dxa"/>
            <w:shd w:val="clear" w:color="auto" w:fill="F2F2F2"/>
          </w:tcPr>
          <w:p w:rsidR="0002275F" w:rsidRPr="00D30681" w:rsidRDefault="0002275F" w:rsidP="00CF342D">
            <w:pPr>
              <w:spacing w:after="0" w:line="240" w:lineRule="auto"/>
              <w:rPr>
                <w:rFonts w:eastAsia="Calibri" w:cs="Arial"/>
              </w:rPr>
            </w:pPr>
            <w:r w:rsidRPr="00D30681">
              <w:rPr>
                <w:rFonts w:eastAsia="Calibri" w:cs="Arial"/>
              </w:rPr>
              <w:t>September 2012</w:t>
            </w:r>
          </w:p>
        </w:tc>
        <w:tc>
          <w:tcPr>
            <w:tcW w:w="3024" w:type="dxa"/>
            <w:shd w:val="clear" w:color="auto" w:fill="F2F2F2"/>
          </w:tcPr>
          <w:p w:rsidR="0002275F" w:rsidRPr="00D30681" w:rsidRDefault="0002275F" w:rsidP="00CF342D">
            <w:pPr>
              <w:spacing w:after="0" w:line="240" w:lineRule="auto"/>
              <w:rPr>
                <w:rFonts w:eastAsia="Calibri" w:cs="Arial"/>
                <w:b/>
              </w:rPr>
            </w:pPr>
            <w:r w:rsidRPr="00D30681">
              <w:rPr>
                <w:rFonts w:eastAsia="Calibri" w:cs="Arial"/>
                <w:b/>
              </w:rPr>
              <w:t>23rd September 2017</w:t>
            </w:r>
          </w:p>
        </w:tc>
      </w:tr>
      <w:tr w:rsidR="0002275F" w:rsidRPr="00D30681" w:rsidTr="00C55FF2">
        <w:tc>
          <w:tcPr>
            <w:tcW w:w="3024" w:type="dxa"/>
            <w:shd w:val="clear" w:color="auto" w:fill="FFFFFF"/>
          </w:tcPr>
          <w:p w:rsidR="0002275F" w:rsidRPr="00D30681" w:rsidRDefault="0002275F" w:rsidP="00D30681">
            <w:pPr>
              <w:spacing w:after="0" w:line="240" w:lineRule="auto"/>
              <w:rPr>
                <w:rFonts w:eastAsia="Calibri" w:cs="Arial"/>
                <w:b/>
              </w:rPr>
            </w:pPr>
            <w:r w:rsidRPr="00D30681">
              <w:rPr>
                <w:rFonts w:eastAsia="Calibri" w:cs="Arial"/>
                <w:b/>
              </w:rPr>
              <w:t xml:space="preserve">Ros Levenson </w:t>
            </w:r>
          </w:p>
        </w:tc>
        <w:tc>
          <w:tcPr>
            <w:tcW w:w="3024" w:type="dxa"/>
            <w:shd w:val="clear" w:color="auto" w:fill="F2F2F2"/>
          </w:tcPr>
          <w:p w:rsidR="0002275F" w:rsidRPr="00D30681" w:rsidRDefault="0002275F" w:rsidP="00CF342D">
            <w:pPr>
              <w:spacing w:after="0" w:line="240" w:lineRule="auto"/>
              <w:rPr>
                <w:rFonts w:eastAsia="Calibri" w:cs="Arial"/>
              </w:rPr>
            </w:pPr>
            <w:r w:rsidRPr="00D30681">
              <w:rPr>
                <w:rFonts w:eastAsia="Calibri" w:cs="Arial"/>
              </w:rPr>
              <w:t>September 2012</w:t>
            </w:r>
          </w:p>
        </w:tc>
        <w:tc>
          <w:tcPr>
            <w:tcW w:w="3024" w:type="dxa"/>
            <w:shd w:val="clear" w:color="auto" w:fill="F2F2F2"/>
          </w:tcPr>
          <w:p w:rsidR="0002275F" w:rsidRPr="00D30681" w:rsidRDefault="0002275F" w:rsidP="00CF342D">
            <w:pPr>
              <w:spacing w:after="0" w:line="240" w:lineRule="auto"/>
              <w:rPr>
                <w:rFonts w:eastAsia="Calibri" w:cs="Arial"/>
                <w:b/>
              </w:rPr>
            </w:pPr>
            <w:r w:rsidRPr="00D30681">
              <w:rPr>
                <w:rFonts w:eastAsia="Calibri" w:cs="Arial"/>
                <w:b/>
              </w:rPr>
              <w:t>23rd September 2017</w:t>
            </w:r>
          </w:p>
        </w:tc>
      </w:tr>
      <w:tr w:rsidR="0002275F" w:rsidRPr="00D30681" w:rsidTr="00C55FF2">
        <w:tc>
          <w:tcPr>
            <w:tcW w:w="3024" w:type="dxa"/>
            <w:shd w:val="clear" w:color="auto" w:fill="FFFFFF"/>
          </w:tcPr>
          <w:p w:rsidR="0002275F" w:rsidRPr="00D30681" w:rsidRDefault="0002275F" w:rsidP="00D30681">
            <w:pPr>
              <w:spacing w:after="0" w:line="240" w:lineRule="auto"/>
              <w:rPr>
                <w:rFonts w:eastAsia="Calibri" w:cs="Arial"/>
                <w:b/>
              </w:rPr>
            </w:pPr>
            <w:r w:rsidRPr="00D30681">
              <w:rPr>
                <w:rFonts w:eastAsia="Calibri" w:cs="Arial"/>
                <w:b/>
              </w:rPr>
              <w:t xml:space="preserve">Mark Sheehan </w:t>
            </w:r>
          </w:p>
        </w:tc>
        <w:tc>
          <w:tcPr>
            <w:tcW w:w="3024" w:type="dxa"/>
            <w:shd w:val="clear" w:color="auto" w:fill="F2F2F2"/>
          </w:tcPr>
          <w:p w:rsidR="0002275F" w:rsidRPr="00D30681" w:rsidRDefault="0002275F" w:rsidP="00CF342D">
            <w:pPr>
              <w:spacing w:after="0" w:line="240" w:lineRule="auto"/>
              <w:rPr>
                <w:rFonts w:eastAsia="Calibri" w:cs="Arial"/>
              </w:rPr>
            </w:pPr>
            <w:r w:rsidRPr="00D30681">
              <w:rPr>
                <w:rFonts w:eastAsia="Calibri" w:cs="Arial"/>
              </w:rPr>
              <w:t>September 2012</w:t>
            </w:r>
          </w:p>
        </w:tc>
        <w:tc>
          <w:tcPr>
            <w:tcW w:w="3024" w:type="dxa"/>
            <w:shd w:val="clear" w:color="auto" w:fill="F2F2F2"/>
          </w:tcPr>
          <w:p w:rsidR="0002275F" w:rsidRPr="00D30681" w:rsidRDefault="0002275F" w:rsidP="00CF342D">
            <w:pPr>
              <w:spacing w:after="0" w:line="240" w:lineRule="auto"/>
              <w:rPr>
                <w:rFonts w:eastAsia="Calibri" w:cs="Arial"/>
                <w:b/>
              </w:rPr>
            </w:pPr>
            <w:r w:rsidRPr="00D30681">
              <w:rPr>
                <w:rFonts w:eastAsia="Calibri" w:cs="Arial"/>
                <w:b/>
              </w:rPr>
              <w:t>23rd September 2017</w:t>
            </w:r>
          </w:p>
        </w:tc>
      </w:tr>
      <w:tr w:rsidR="0002275F" w:rsidRPr="00D30681" w:rsidTr="00C55FF2">
        <w:tc>
          <w:tcPr>
            <w:tcW w:w="3024" w:type="dxa"/>
            <w:shd w:val="clear" w:color="auto" w:fill="FFFFFF"/>
          </w:tcPr>
          <w:p w:rsidR="0002275F" w:rsidRPr="00D30681" w:rsidRDefault="0002275F" w:rsidP="00D30681">
            <w:pPr>
              <w:spacing w:after="0" w:line="240" w:lineRule="auto"/>
              <w:rPr>
                <w:rFonts w:eastAsia="Calibri" w:cs="Arial"/>
                <w:b/>
              </w:rPr>
            </w:pPr>
            <w:r w:rsidRPr="00D30681">
              <w:rPr>
                <w:rFonts w:eastAsia="Calibri" w:cs="Arial"/>
                <w:b/>
              </w:rPr>
              <w:t xml:space="preserve">John Keen </w:t>
            </w:r>
          </w:p>
        </w:tc>
        <w:tc>
          <w:tcPr>
            <w:tcW w:w="3024" w:type="dxa"/>
            <w:shd w:val="clear" w:color="auto" w:fill="F2F2F2"/>
          </w:tcPr>
          <w:p w:rsidR="0002275F" w:rsidRPr="00D30681" w:rsidRDefault="0002275F" w:rsidP="00CF342D">
            <w:pPr>
              <w:spacing w:after="0" w:line="240" w:lineRule="auto"/>
              <w:rPr>
                <w:rFonts w:eastAsia="Calibri" w:cs="Arial"/>
              </w:rPr>
            </w:pPr>
            <w:r w:rsidRPr="00D30681">
              <w:rPr>
                <w:rFonts w:eastAsia="Calibri" w:cs="Arial"/>
              </w:rPr>
              <w:t>September 2012</w:t>
            </w:r>
          </w:p>
        </w:tc>
        <w:tc>
          <w:tcPr>
            <w:tcW w:w="3024" w:type="dxa"/>
            <w:shd w:val="clear" w:color="auto" w:fill="F2F2F2"/>
          </w:tcPr>
          <w:p w:rsidR="0002275F" w:rsidRPr="00D30681" w:rsidRDefault="0002275F" w:rsidP="00CF342D">
            <w:pPr>
              <w:spacing w:after="0" w:line="240" w:lineRule="auto"/>
              <w:rPr>
                <w:rFonts w:eastAsia="Calibri" w:cs="Arial"/>
                <w:b/>
              </w:rPr>
            </w:pPr>
            <w:r w:rsidRPr="00D30681">
              <w:rPr>
                <w:rFonts w:eastAsia="Calibri" w:cs="Arial"/>
                <w:b/>
              </w:rPr>
              <w:t>23rd September 2017</w:t>
            </w:r>
          </w:p>
        </w:tc>
      </w:tr>
      <w:tr w:rsidR="0002275F" w:rsidRPr="00D30681" w:rsidTr="00C55FF2">
        <w:tc>
          <w:tcPr>
            <w:tcW w:w="3024" w:type="dxa"/>
            <w:shd w:val="clear" w:color="auto" w:fill="FFFFFF"/>
          </w:tcPr>
          <w:p w:rsidR="0002275F" w:rsidRPr="00D30681" w:rsidRDefault="0002275F" w:rsidP="00D30681">
            <w:pPr>
              <w:spacing w:after="0" w:line="240" w:lineRule="auto"/>
              <w:rPr>
                <w:rFonts w:eastAsia="Calibri" w:cs="Arial"/>
                <w:b/>
              </w:rPr>
            </w:pPr>
            <w:r w:rsidRPr="00D30681">
              <w:rPr>
                <w:rFonts w:eastAsia="Calibri" w:cs="Arial"/>
                <w:b/>
              </w:rPr>
              <w:t>Malcolm Boyce</w:t>
            </w:r>
          </w:p>
        </w:tc>
        <w:tc>
          <w:tcPr>
            <w:tcW w:w="3024" w:type="dxa"/>
            <w:shd w:val="clear" w:color="auto" w:fill="F2F2F2"/>
          </w:tcPr>
          <w:p w:rsidR="0002275F" w:rsidRPr="00D30681" w:rsidRDefault="0002275F" w:rsidP="00CF342D">
            <w:pPr>
              <w:spacing w:after="0" w:line="240" w:lineRule="auto"/>
              <w:rPr>
                <w:rFonts w:eastAsia="Calibri" w:cs="Arial"/>
              </w:rPr>
            </w:pPr>
            <w:r w:rsidRPr="00D30681">
              <w:rPr>
                <w:rFonts w:eastAsia="Calibri" w:cs="Arial"/>
              </w:rPr>
              <w:t>December 2013</w:t>
            </w:r>
          </w:p>
        </w:tc>
        <w:tc>
          <w:tcPr>
            <w:tcW w:w="3024" w:type="dxa"/>
            <w:shd w:val="clear" w:color="auto" w:fill="F2F2F2"/>
          </w:tcPr>
          <w:p w:rsidR="0002275F" w:rsidRPr="00D30681" w:rsidRDefault="0002275F" w:rsidP="00CF342D">
            <w:pPr>
              <w:spacing w:after="0" w:line="240" w:lineRule="auto"/>
              <w:rPr>
                <w:rFonts w:eastAsia="Calibri" w:cs="Arial"/>
                <w:b/>
              </w:rPr>
            </w:pPr>
            <w:r w:rsidRPr="00D30681">
              <w:rPr>
                <w:rFonts w:eastAsia="Calibri" w:cs="Arial"/>
                <w:b/>
              </w:rPr>
              <w:t>31st December 2018</w:t>
            </w:r>
          </w:p>
        </w:tc>
      </w:tr>
    </w:tbl>
    <w:p w:rsidR="0002275F" w:rsidRPr="004E1E59" w:rsidRDefault="0002275F" w:rsidP="00AC7E2C">
      <w:pPr>
        <w:pStyle w:val="NormalWeb"/>
        <w:rPr>
          <w:rStyle w:val="Strong"/>
          <w:rFonts w:ascii="Arial" w:hAnsi="Arial" w:cs="Arial"/>
          <w:b w:val="0"/>
          <w:color w:val="000000"/>
          <w:sz w:val="22"/>
          <w:szCs w:val="22"/>
        </w:rPr>
      </w:pPr>
    </w:p>
    <w:p w:rsidR="00431CB8" w:rsidRPr="00DD0B84" w:rsidRDefault="00B823D0" w:rsidP="006F5170">
      <w:pPr>
        <w:pStyle w:val="ListParagraph"/>
      </w:pPr>
      <w:bookmarkStart w:id="5" w:name="Highlights"/>
      <w:r w:rsidRPr="00DD0B84">
        <w:t xml:space="preserve">Work </w:t>
      </w:r>
      <w:r w:rsidR="00025CE6" w:rsidRPr="00DD0B84">
        <w:t xml:space="preserve">Highlights </w:t>
      </w:r>
      <w:r w:rsidR="00B44B78" w:rsidRPr="00DD0B84">
        <w:t>2014/15</w:t>
      </w:r>
    </w:p>
    <w:bookmarkEnd w:id="5"/>
    <w:p w:rsidR="00431CB8" w:rsidRPr="004E1E59" w:rsidRDefault="00431CB8" w:rsidP="00AC7E2C">
      <w:pPr>
        <w:pStyle w:val="NormalWeb"/>
        <w:rPr>
          <w:rStyle w:val="Strong"/>
          <w:rFonts w:ascii="Arial" w:hAnsi="Arial" w:cs="Arial"/>
          <w:b w:val="0"/>
          <w:color w:val="000000"/>
          <w:sz w:val="22"/>
          <w:szCs w:val="22"/>
        </w:rPr>
      </w:pPr>
    </w:p>
    <w:p w:rsidR="00527A5F" w:rsidRPr="004E1E59" w:rsidRDefault="00527A5F" w:rsidP="00F97A2B">
      <w:pPr>
        <w:pStyle w:val="NormalWeb"/>
        <w:shd w:val="clear" w:color="auto" w:fill="F2F2F2" w:themeFill="background1" w:themeFillShade="F2"/>
        <w:ind w:right="5765"/>
        <w:rPr>
          <w:rStyle w:val="Strong"/>
          <w:rFonts w:ascii="Arial" w:hAnsi="Arial" w:cs="Arial"/>
          <w:color w:val="000000"/>
          <w:sz w:val="22"/>
          <w:szCs w:val="22"/>
        </w:rPr>
      </w:pPr>
      <w:r w:rsidRPr="004E1E59">
        <w:rPr>
          <w:rStyle w:val="Strong"/>
          <w:rFonts w:ascii="Arial" w:hAnsi="Arial" w:cs="Arial"/>
          <w:color w:val="000000"/>
          <w:sz w:val="22"/>
          <w:szCs w:val="22"/>
        </w:rPr>
        <w:t>Consistency of REC Decisions</w:t>
      </w:r>
    </w:p>
    <w:p w:rsidR="00733470" w:rsidRPr="004E1E59" w:rsidRDefault="00733470" w:rsidP="00AC7E2C">
      <w:pPr>
        <w:pStyle w:val="NormalWeb"/>
        <w:rPr>
          <w:rStyle w:val="Strong"/>
          <w:rFonts w:ascii="Arial" w:hAnsi="Arial" w:cs="Arial"/>
          <w:b w:val="0"/>
          <w:color w:val="000000"/>
          <w:sz w:val="22"/>
          <w:szCs w:val="22"/>
        </w:rPr>
      </w:pPr>
    </w:p>
    <w:p w:rsidR="000D71B9" w:rsidRDefault="000A5DAC" w:rsidP="00AC7E2C">
      <w:pPr>
        <w:pStyle w:val="NormalWeb"/>
        <w:rPr>
          <w:rStyle w:val="Strong"/>
          <w:rFonts w:ascii="Arial" w:hAnsi="Arial" w:cs="Arial"/>
          <w:b w:val="0"/>
          <w:color w:val="000000"/>
          <w:sz w:val="22"/>
          <w:szCs w:val="22"/>
        </w:rPr>
      </w:pPr>
      <w:r w:rsidRPr="004E1E59">
        <w:rPr>
          <w:rStyle w:val="Strong"/>
          <w:rFonts w:ascii="Arial" w:hAnsi="Arial" w:cs="Arial"/>
          <w:b w:val="0"/>
          <w:color w:val="000000"/>
          <w:sz w:val="22"/>
          <w:szCs w:val="22"/>
        </w:rPr>
        <w:t xml:space="preserve">Mark Sheehan </w:t>
      </w:r>
      <w:r w:rsidR="00C55FF2">
        <w:rPr>
          <w:rStyle w:val="Strong"/>
          <w:rFonts w:ascii="Arial" w:hAnsi="Arial" w:cs="Arial"/>
          <w:b w:val="0"/>
          <w:color w:val="000000"/>
          <w:sz w:val="22"/>
          <w:szCs w:val="22"/>
        </w:rPr>
        <w:t>le</w:t>
      </w:r>
      <w:r w:rsidR="002D7DEC">
        <w:rPr>
          <w:rStyle w:val="Strong"/>
          <w:rFonts w:ascii="Arial" w:hAnsi="Arial" w:cs="Arial"/>
          <w:b w:val="0"/>
          <w:color w:val="000000"/>
          <w:sz w:val="22"/>
          <w:szCs w:val="22"/>
        </w:rPr>
        <w:t>d</w:t>
      </w:r>
      <w:r w:rsidRPr="004E1E59">
        <w:rPr>
          <w:rStyle w:val="Strong"/>
          <w:rFonts w:ascii="Arial" w:hAnsi="Arial" w:cs="Arial"/>
          <w:b w:val="0"/>
          <w:color w:val="000000"/>
          <w:sz w:val="22"/>
          <w:szCs w:val="22"/>
        </w:rPr>
        <w:t xml:space="preserve"> on this important piece of work resulting in </w:t>
      </w:r>
      <w:r w:rsidR="007C4A2D">
        <w:rPr>
          <w:rStyle w:val="Strong"/>
          <w:rFonts w:ascii="Arial" w:hAnsi="Arial" w:cs="Arial"/>
          <w:b w:val="0"/>
          <w:color w:val="000000"/>
          <w:sz w:val="22"/>
          <w:szCs w:val="22"/>
        </w:rPr>
        <w:t>an</w:t>
      </w:r>
      <w:r w:rsidR="007C4A2D" w:rsidRPr="004E1E59">
        <w:rPr>
          <w:rStyle w:val="Strong"/>
          <w:rFonts w:ascii="Arial" w:hAnsi="Arial" w:cs="Arial"/>
          <w:b w:val="0"/>
          <w:color w:val="000000"/>
          <w:sz w:val="22"/>
          <w:szCs w:val="22"/>
        </w:rPr>
        <w:t xml:space="preserve"> </w:t>
      </w:r>
      <w:r w:rsidR="007C4A2D">
        <w:rPr>
          <w:rStyle w:val="Strong"/>
          <w:rFonts w:ascii="Arial" w:hAnsi="Arial" w:cs="Arial"/>
          <w:b w:val="0"/>
          <w:color w:val="000000"/>
          <w:sz w:val="22"/>
          <w:szCs w:val="22"/>
        </w:rPr>
        <w:t xml:space="preserve">NREAP </w:t>
      </w:r>
      <w:r w:rsidR="007C4A2D" w:rsidRPr="004E1E59">
        <w:rPr>
          <w:rStyle w:val="Strong"/>
          <w:rFonts w:ascii="Arial" w:hAnsi="Arial" w:cs="Arial"/>
          <w:b w:val="0"/>
          <w:color w:val="000000"/>
          <w:sz w:val="22"/>
          <w:szCs w:val="22"/>
        </w:rPr>
        <w:t xml:space="preserve">paper </w:t>
      </w:r>
      <w:r w:rsidR="007C4A2D">
        <w:rPr>
          <w:rStyle w:val="Strong"/>
          <w:rFonts w:ascii="Arial" w:hAnsi="Arial" w:cs="Arial"/>
          <w:b w:val="0"/>
          <w:color w:val="000000"/>
          <w:sz w:val="22"/>
          <w:szCs w:val="22"/>
        </w:rPr>
        <w:t>“</w:t>
      </w:r>
      <w:hyperlink r:id="rId11" w:history="1">
        <w:r w:rsidR="007C4A2D" w:rsidRPr="00AF2A56">
          <w:rPr>
            <w:rStyle w:val="Hyperlink"/>
            <w:rFonts w:ascii="Helvetica" w:hAnsi="Helvetica"/>
            <w:sz w:val="21"/>
            <w:szCs w:val="21"/>
            <w:lang w:val="en-US"/>
          </w:rPr>
          <w:t>Consistency in REC review</w:t>
        </w:r>
      </w:hyperlink>
      <w:r w:rsidR="007C4A2D">
        <w:rPr>
          <w:rFonts w:ascii="Helvetica" w:hAnsi="Helvetica"/>
          <w:color w:val="333333"/>
          <w:sz w:val="21"/>
          <w:szCs w:val="21"/>
          <w:lang w:val="en-US"/>
        </w:rPr>
        <w:t>” (</w:t>
      </w:r>
      <w:r w:rsidR="007C4A2D">
        <w:rPr>
          <w:rStyle w:val="Strong"/>
          <w:rFonts w:ascii="Arial" w:hAnsi="Arial" w:cs="Arial"/>
          <w:b w:val="0"/>
          <w:color w:val="000000"/>
          <w:sz w:val="22"/>
          <w:szCs w:val="22"/>
        </w:rPr>
        <w:t xml:space="preserve">published </w:t>
      </w:r>
      <w:r w:rsidR="007C4A2D">
        <w:rPr>
          <w:rFonts w:ascii="Helvetica" w:hAnsi="Helvetica"/>
          <w:color w:val="333333"/>
          <w:sz w:val="21"/>
          <w:szCs w:val="21"/>
          <w:lang w:val="en-US"/>
        </w:rPr>
        <w:t xml:space="preserve">2 May 2014) and </w:t>
      </w:r>
      <w:r w:rsidRPr="004E1E59">
        <w:rPr>
          <w:rStyle w:val="Strong"/>
          <w:rFonts w:ascii="Arial" w:hAnsi="Arial" w:cs="Arial"/>
          <w:b w:val="0"/>
          <w:color w:val="000000"/>
          <w:sz w:val="22"/>
          <w:szCs w:val="22"/>
        </w:rPr>
        <w:t xml:space="preserve">an academic paper which has been submitted for publication (under Mark Sheehan’s and </w:t>
      </w:r>
      <w:r w:rsidR="001E6435" w:rsidRPr="004E1E59">
        <w:rPr>
          <w:rStyle w:val="Strong"/>
          <w:rFonts w:ascii="Arial" w:hAnsi="Arial" w:cs="Arial"/>
          <w:b w:val="0"/>
          <w:color w:val="000000"/>
          <w:sz w:val="22"/>
          <w:szCs w:val="22"/>
        </w:rPr>
        <w:t xml:space="preserve">Aimi </w:t>
      </w:r>
      <w:proofErr w:type="spellStart"/>
      <w:r w:rsidRPr="004E1E59">
        <w:rPr>
          <w:rStyle w:val="Strong"/>
          <w:rFonts w:ascii="Arial" w:hAnsi="Arial" w:cs="Arial"/>
          <w:b w:val="0"/>
          <w:color w:val="000000"/>
          <w:sz w:val="22"/>
          <w:szCs w:val="22"/>
        </w:rPr>
        <w:t>Yusof’s</w:t>
      </w:r>
      <w:proofErr w:type="spellEnd"/>
      <w:r w:rsidRPr="004E1E59">
        <w:rPr>
          <w:rStyle w:val="Strong"/>
          <w:rFonts w:ascii="Arial" w:hAnsi="Arial" w:cs="Arial"/>
          <w:b w:val="0"/>
          <w:color w:val="000000"/>
          <w:sz w:val="22"/>
          <w:szCs w:val="22"/>
        </w:rPr>
        <w:t xml:space="preserve"> </w:t>
      </w:r>
      <w:r w:rsidR="001E6435" w:rsidRPr="004E1E59">
        <w:rPr>
          <w:rStyle w:val="Strong"/>
          <w:rFonts w:ascii="Arial" w:hAnsi="Arial" w:cs="Arial"/>
          <w:b w:val="0"/>
          <w:color w:val="000000"/>
          <w:sz w:val="22"/>
          <w:szCs w:val="22"/>
        </w:rPr>
        <w:t>authorship</w:t>
      </w:r>
      <w:r w:rsidR="000D71B9">
        <w:rPr>
          <w:rStyle w:val="Strong"/>
          <w:rFonts w:ascii="Arial" w:hAnsi="Arial" w:cs="Arial"/>
          <w:b w:val="0"/>
          <w:color w:val="000000"/>
          <w:sz w:val="22"/>
          <w:szCs w:val="22"/>
        </w:rPr>
        <w:t xml:space="preserve"> acknowledging the involvement of NREAP and the HRA</w:t>
      </w:r>
      <w:r w:rsidR="001E6435" w:rsidRPr="004E1E59">
        <w:rPr>
          <w:rStyle w:val="Strong"/>
          <w:rFonts w:ascii="Arial" w:hAnsi="Arial" w:cs="Arial"/>
          <w:b w:val="0"/>
          <w:color w:val="000000"/>
          <w:sz w:val="22"/>
          <w:szCs w:val="22"/>
        </w:rPr>
        <w:t>)</w:t>
      </w:r>
      <w:r w:rsidR="000A47FD">
        <w:rPr>
          <w:rFonts w:ascii="Helvetica" w:hAnsi="Helvetica"/>
          <w:color w:val="333333"/>
          <w:sz w:val="21"/>
          <w:szCs w:val="21"/>
          <w:lang w:val="en-US"/>
        </w:rPr>
        <w:t>.</w:t>
      </w:r>
      <w:r w:rsidR="000A47FD" w:rsidRPr="000A47FD">
        <w:t xml:space="preserve"> </w:t>
      </w:r>
      <w:r w:rsidR="009A2CD7" w:rsidRPr="004E1E59">
        <w:rPr>
          <w:rStyle w:val="Strong"/>
          <w:rFonts w:ascii="Arial" w:hAnsi="Arial" w:cs="Arial"/>
          <w:b w:val="0"/>
          <w:color w:val="000000"/>
          <w:sz w:val="22"/>
          <w:szCs w:val="22"/>
        </w:rPr>
        <w:t xml:space="preserve"> Both documents set out what is meant by </w:t>
      </w:r>
      <w:r w:rsidR="00366C07">
        <w:rPr>
          <w:rStyle w:val="Strong"/>
          <w:rFonts w:ascii="Arial" w:hAnsi="Arial" w:cs="Arial"/>
          <w:b w:val="0"/>
          <w:color w:val="000000"/>
          <w:sz w:val="22"/>
          <w:szCs w:val="22"/>
        </w:rPr>
        <w:lastRenderedPageBreak/>
        <w:t>“</w:t>
      </w:r>
      <w:r w:rsidR="009A2CD7" w:rsidRPr="004E1E59">
        <w:rPr>
          <w:rStyle w:val="Strong"/>
          <w:rFonts w:ascii="Arial" w:hAnsi="Arial" w:cs="Arial"/>
          <w:b w:val="0"/>
          <w:color w:val="000000"/>
          <w:sz w:val="22"/>
          <w:szCs w:val="22"/>
        </w:rPr>
        <w:t>consistency</w:t>
      </w:r>
      <w:r w:rsidR="00366C07">
        <w:rPr>
          <w:rStyle w:val="Strong"/>
          <w:rFonts w:ascii="Arial" w:hAnsi="Arial" w:cs="Arial"/>
          <w:b w:val="0"/>
          <w:color w:val="000000"/>
          <w:sz w:val="22"/>
          <w:szCs w:val="22"/>
        </w:rPr>
        <w:t>”</w:t>
      </w:r>
      <w:r w:rsidR="009A2CD7" w:rsidRPr="004E1E59">
        <w:rPr>
          <w:rStyle w:val="Strong"/>
          <w:rFonts w:ascii="Arial" w:hAnsi="Arial" w:cs="Arial"/>
          <w:b w:val="0"/>
          <w:color w:val="000000"/>
          <w:sz w:val="22"/>
          <w:szCs w:val="22"/>
        </w:rPr>
        <w:t xml:space="preserve"> in the context of REC decision making and </w:t>
      </w:r>
      <w:r w:rsidR="00366C07">
        <w:rPr>
          <w:rStyle w:val="Strong"/>
          <w:rFonts w:ascii="Arial" w:hAnsi="Arial" w:cs="Arial"/>
          <w:b w:val="0"/>
          <w:color w:val="000000"/>
          <w:sz w:val="22"/>
          <w:szCs w:val="22"/>
        </w:rPr>
        <w:t xml:space="preserve">proposes </w:t>
      </w:r>
      <w:r w:rsidR="009A2CD7" w:rsidRPr="004E1E59">
        <w:rPr>
          <w:rStyle w:val="Strong"/>
          <w:rFonts w:ascii="Arial" w:hAnsi="Arial" w:cs="Arial"/>
          <w:b w:val="0"/>
          <w:color w:val="000000"/>
          <w:sz w:val="22"/>
          <w:szCs w:val="22"/>
        </w:rPr>
        <w:t xml:space="preserve">a number of </w:t>
      </w:r>
      <w:r w:rsidR="00DC7CC5" w:rsidRPr="004E1E59">
        <w:rPr>
          <w:rStyle w:val="Strong"/>
          <w:rFonts w:ascii="Arial" w:hAnsi="Arial" w:cs="Arial"/>
          <w:b w:val="0"/>
          <w:color w:val="000000"/>
          <w:sz w:val="22"/>
          <w:szCs w:val="22"/>
        </w:rPr>
        <w:t xml:space="preserve">practical </w:t>
      </w:r>
      <w:r w:rsidR="009A2CD7" w:rsidRPr="004E1E59">
        <w:rPr>
          <w:rStyle w:val="Strong"/>
          <w:rFonts w:ascii="Arial" w:hAnsi="Arial" w:cs="Arial"/>
          <w:b w:val="0"/>
          <w:color w:val="000000"/>
          <w:sz w:val="22"/>
          <w:szCs w:val="22"/>
        </w:rPr>
        <w:t xml:space="preserve">suggestions </w:t>
      </w:r>
      <w:r w:rsidR="00DC7CC5" w:rsidRPr="004E1E59">
        <w:rPr>
          <w:rStyle w:val="Strong"/>
          <w:rFonts w:ascii="Arial" w:hAnsi="Arial" w:cs="Arial"/>
          <w:b w:val="0"/>
          <w:color w:val="000000"/>
          <w:sz w:val="22"/>
          <w:szCs w:val="22"/>
        </w:rPr>
        <w:t>for building upon the improvements already made by NRES in this area.</w:t>
      </w:r>
    </w:p>
    <w:p w:rsidR="00AF2A56" w:rsidRDefault="00AF2A56" w:rsidP="00AC7E2C">
      <w:pPr>
        <w:pStyle w:val="NormalWeb"/>
        <w:rPr>
          <w:rStyle w:val="Strong"/>
          <w:rFonts w:ascii="Arial" w:hAnsi="Arial" w:cs="Arial"/>
          <w:b w:val="0"/>
          <w:color w:val="000000"/>
          <w:sz w:val="22"/>
          <w:szCs w:val="22"/>
        </w:rPr>
      </w:pPr>
    </w:p>
    <w:p w:rsidR="00A0632B" w:rsidRPr="006B60EB" w:rsidRDefault="00AF2A56" w:rsidP="00217B46">
      <w:pPr>
        <w:pStyle w:val="NormalWeb"/>
        <w:rPr>
          <w:rStyle w:val="Strong"/>
          <w:rFonts w:ascii="Helvetica" w:hAnsi="Helvetica"/>
          <w:b w:val="0"/>
          <w:bCs w:val="0"/>
          <w:color w:val="333333"/>
          <w:sz w:val="21"/>
          <w:szCs w:val="21"/>
          <w:lang w:val="en-US"/>
        </w:rPr>
      </w:pPr>
      <w:r>
        <w:rPr>
          <w:rStyle w:val="Strong"/>
          <w:rFonts w:ascii="Arial" w:hAnsi="Arial" w:cs="Arial"/>
          <w:b w:val="0"/>
          <w:color w:val="000000"/>
          <w:sz w:val="22"/>
          <w:szCs w:val="22"/>
        </w:rPr>
        <w:t>HRA Operations have recently responded</w:t>
      </w:r>
      <w:r w:rsidR="00BB241F">
        <w:rPr>
          <w:rStyle w:val="Strong"/>
          <w:rFonts w:ascii="Arial" w:hAnsi="Arial" w:cs="Arial"/>
          <w:b w:val="0"/>
          <w:color w:val="000000"/>
          <w:sz w:val="22"/>
          <w:szCs w:val="22"/>
        </w:rPr>
        <w:t xml:space="preserve"> to these </w:t>
      </w:r>
      <w:r w:rsidR="009B74ED">
        <w:rPr>
          <w:rStyle w:val="Strong"/>
          <w:rFonts w:ascii="Arial" w:hAnsi="Arial" w:cs="Arial"/>
          <w:b w:val="0"/>
          <w:color w:val="000000"/>
          <w:sz w:val="22"/>
          <w:szCs w:val="22"/>
        </w:rPr>
        <w:t>suggestions</w:t>
      </w:r>
      <w:r w:rsidR="00BB241F">
        <w:rPr>
          <w:rStyle w:val="Strong"/>
          <w:rFonts w:ascii="Arial" w:hAnsi="Arial" w:cs="Arial"/>
          <w:b w:val="0"/>
          <w:color w:val="000000"/>
          <w:sz w:val="22"/>
          <w:szCs w:val="22"/>
        </w:rPr>
        <w:t>. The panel will review and discuss this response at the 30</w:t>
      </w:r>
      <w:r w:rsidR="00BB241F" w:rsidRPr="00BB241F">
        <w:rPr>
          <w:rStyle w:val="Strong"/>
          <w:rFonts w:ascii="Arial" w:hAnsi="Arial" w:cs="Arial"/>
          <w:b w:val="0"/>
          <w:color w:val="000000"/>
          <w:sz w:val="22"/>
          <w:szCs w:val="22"/>
          <w:vertAlign w:val="superscript"/>
        </w:rPr>
        <w:t>th</w:t>
      </w:r>
      <w:r w:rsidR="00BB241F">
        <w:rPr>
          <w:rStyle w:val="Strong"/>
          <w:rFonts w:ascii="Arial" w:hAnsi="Arial" w:cs="Arial"/>
          <w:b w:val="0"/>
          <w:color w:val="000000"/>
          <w:sz w:val="22"/>
          <w:szCs w:val="22"/>
        </w:rPr>
        <w:t xml:space="preserve"> July </w:t>
      </w:r>
      <w:r w:rsidR="00DE7A68">
        <w:rPr>
          <w:rStyle w:val="Strong"/>
          <w:rFonts w:ascii="Arial" w:hAnsi="Arial" w:cs="Arial"/>
          <w:b w:val="0"/>
          <w:color w:val="000000"/>
          <w:sz w:val="22"/>
          <w:szCs w:val="22"/>
        </w:rPr>
        <w:t xml:space="preserve">2015 NREAP </w:t>
      </w:r>
      <w:r w:rsidR="00BB241F">
        <w:rPr>
          <w:rStyle w:val="Strong"/>
          <w:rFonts w:ascii="Arial" w:hAnsi="Arial" w:cs="Arial"/>
          <w:b w:val="0"/>
          <w:color w:val="000000"/>
          <w:sz w:val="22"/>
          <w:szCs w:val="22"/>
        </w:rPr>
        <w:t>meeting.</w:t>
      </w:r>
      <w:r w:rsidR="006B60EB" w:rsidRPr="006B60EB">
        <w:rPr>
          <w:rFonts w:ascii="Helvetica" w:hAnsi="Helvetica"/>
          <w:color w:val="333333"/>
          <w:sz w:val="21"/>
          <w:szCs w:val="21"/>
          <w:lang w:val="en-US"/>
        </w:rPr>
        <w:t xml:space="preserve"> </w:t>
      </w:r>
    </w:p>
    <w:p w:rsidR="009C2185" w:rsidRPr="004E1E59" w:rsidRDefault="009C2185" w:rsidP="00C41533">
      <w:pPr>
        <w:pStyle w:val="NormalWeb"/>
        <w:rPr>
          <w:rStyle w:val="Strong"/>
          <w:rFonts w:ascii="Arial" w:hAnsi="Arial" w:cs="Arial"/>
          <w:b w:val="0"/>
          <w:color w:val="000000"/>
          <w:sz w:val="22"/>
          <w:szCs w:val="22"/>
        </w:rPr>
      </w:pPr>
    </w:p>
    <w:p w:rsidR="001331DF" w:rsidRPr="004E1E59" w:rsidRDefault="008249AA" w:rsidP="00F97A2B">
      <w:pPr>
        <w:shd w:val="clear" w:color="auto" w:fill="F2F2F2" w:themeFill="background1" w:themeFillShade="F2"/>
        <w:rPr>
          <w:rStyle w:val="Strong"/>
          <w:rFonts w:cs="Arial"/>
          <w:color w:val="000000"/>
          <w:lang w:eastAsia="en-GB"/>
        </w:rPr>
      </w:pPr>
      <w:r w:rsidRPr="004E1E59">
        <w:rPr>
          <w:rStyle w:val="Strong"/>
          <w:rFonts w:cs="Arial"/>
          <w:color w:val="000000"/>
        </w:rPr>
        <w:t>Nuffield Council on Bioethics</w:t>
      </w:r>
      <w:r w:rsidR="002A573B">
        <w:rPr>
          <w:rStyle w:val="Strong"/>
          <w:rFonts w:cs="Arial"/>
          <w:color w:val="000000"/>
        </w:rPr>
        <w:t xml:space="preserve"> (</w:t>
      </w:r>
      <w:proofErr w:type="spellStart"/>
      <w:r w:rsidR="002A573B">
        <w:rPr>
          <w:rStyle w:val="Strong"/>
          <w:rFonts w:cs="Arial"/>
          <w:color w:val="000000"/>
        </w:rPr>
        <w:t>NCo</w:t>
      </w:r>
      <w:r w:rsidR="00CF651A" w:rsidRPr="004E1E59">
        <w:rPr>
          <w:rStyle w:val="Strong"/>
          <w:rFonts w:cs="Arial"/>
          <w:color w:val="000000"/>
        </w:rPr>
        <w:t>B</w:t>
      </w:r>
      <w:proofErr w:type="spellEnd"/>
      <w:r w:rsidR="00CF651A" w:rsidRPr="004E1E59">
        <w:rPr>
          <w:rStyle w:val="Strong"/>
          <w:rFonts w:cs="Arial"/>
          <w:color w:val="000000"/>
        </w:rPr>
        <w:t>)</w:t>
      </w:r>
      <w:r w:rsidRPr="004E1E59">
        <w:rPr>
          <w:rStyle w:val="Strong"/>
          <w:rFonts w:cs="Arial"/>
          <w:color w:val="000000"/>
        </w:rPr>
        <w:t xml:space="preserve"> - </w:t>
      </w:r>
      <w:r w:rsidR="001331DF" w:rsidRPr="004E1E59">
        <w:rPr>
          <w:rStyle w:val="Strong"/>
          <w:rFonts w:cs="Arial"/>
          <w:color w:val="000000"/>
          <w:lang w:eastAsia="en-GB"/>
        </w:rPr>
        <w:t xml:space="preserve">Novel </w:t>
      </w:r>
      <w:proofErr w:type="spellStart"/>
      <w:r w:rsidR="001331DF" w:rsidRPr="004E1E59">
        <w:rPr>
          <w:rStyle w:val="Strong"/>
          <w:rFonts w:cs="Arial"/>
          <w:color w:val="000000"/>
          <w:lang w:eastAsia="en-GB"/>
        </w:rPr>
        <w:t>Neurotechnologies</w:t>
      </w:r>
      <w:proofErr w:type="spellEnd"/>
      <w:r w:rsidR="001331DF" w:rsidRPr="004E1E59">
        <w:rPr>
          <w:rStyle w:val="Strong"/>
          <w:rFonts w:cs="Arial"/>
          <w:color w:val="000000"/>
          <w:lang w:eastAsia="en-GB"/>
        </w:rPr>
        <w:t>: intervening in the brain</w:t>
      </w:r>
      <w:r w:rsidRPr="004E1E59">
        <w:rPr>
          <w:rStyle w:val="Strong"/>
          <w:rFonts w:cs="Arial"/>
          <w:color w:val="000000"/>
        </w:rPr>
        <w:t xml:space="preserve"> – Sham </w:t>
      </w:r>
      <w:r w:rsidR="00EF4BFF" w:rsidRPr="004E1E59">
        <w:rPr>
          <w:rStyle w:val="Strong"/>
          <w:rFonts w:cs="Arial"/>
          <w:color w:val="000000"/>
        </w:rPr>
        <w:t>Surgery</w:t>
      </w:r>
      <w:r w:rsidR="00EF4BFF">
        <w:rPr>
          <w:rStyle w:val="Strong"/>
          <w:rFonts w:cs="Arial"/>
          <w:color w:val="000000"/>
        </w:rPr>
        <w:t xml:space="preserve"> Workshop</w:t>
      </w:r>
      <w:r w:rsidR="00217B46">
        <w:rPr>
          <w:rStyle w:val="Strong"/>
          <w:rFonts w:cs="Arial"/>
          <w:color w:val="000000"/>
        </w:rPr>
        <w:t xml:space="preserve"> (May 2015)</w:t>
      </w:r>
    </w:p>
    <w:p w:rsidR="00217B46" w:rsidRDefault="00EF4BFF" w:rsidP="001A1E4A">
      <w:pPr>
        <w:spacing w:line="240" w:lineRule="auto"/>
        <w:rPr>
          <w:rStyle w:val="Strong"/>
          <w:rFonts w:cs="Arial"/>
          <w:b w:val="0"/>
          <w:color w:val="000000"/>
          <w:lang w:eastAsia="en-GB"/>
        </w:rPr>
      </w:pPr>
      <w:r>
        <w:rPr>
          <w:rStyle w:val="Strong"/>
          <w:rFonts w:cs="Arial"/>
          <w:b w:val="0"/>
          <w:color w:val="000000"/>
          <w:lang w:eastAsia="en-GB"/>
        </w:rPr>
        <w:t xml:space="preserve">In </w:t>
      </w:r>
      <w:r w:rsidR="008F6249">
        <w:rPr>
          <w:rStyle w:val="Strong"/>
          <w:rFonts w:cs="Arial"/>
          <w:b w:val="0"/>
          <w:color w:val="000000"/>
          <w:lang w:eastAsia="en-GB"/>
        </w:rPr>
        <w:t xml:space="preserve">July </w:t>
      </w:r>
      <w:r>
        <w:rPr>
          <w:rStyle w:val="Strong"/>
          <w:rFonts w:cs="Arial"/>
          <w:b w:val="0"/>
          <w:color w:val="000000"/>
          <w:lang w:eastAsia="en-GB"/>
        </w:rPr>
        <w:t>2013 the panel</w:t>
      </w:r>
      <w:r w:rsidR="00B8460A">
        <w:rPr>
          <w:rStyle w:val="Strong"/>
          <w:rFonts w:cs="Arial"/>
          <w:b w:val="0"/>
          <w:color w:val="000000"/>
          <w:lang w:eastAsia="en-GB"/>
        </w:rPr>
        <w:t xml:space="preserve"> </w:t>
      </w:r>
      <w:r>
        <w:rPr>
          <w:rStyle w:val="Strong"/>
          <w:rFonts w:cs="Arial"/>
          <w:b w:val="0"/>
          <w:color w:val="000000"/>
          <w:lang w:eastAsia="en-GB"/>
        </w:rPr>
        <w:t>considered</w:t>
      </w:r>
      <w:r w:rsidR="00B8460A">
        <w:rPr>
          <w:rStyle w:val="Strong"/>
          <w:rFonts w:cs="Arial"/>
          <w:b w:val="0"/>
          <w:color w:val="000000"/>
          <w:lang w:eastAsia="en-GB"/>
        </w:rPr>
        <w:t xml:space="preserve"> of</w:t>
      </w:r>
      <w:r w:rsidR="00994BA7" w:rsidRPr="004E1E59">
        <w:rPr>
          <w:rStyle w:val="Strong"/>
          <w:rFonts w:cs="Arial"/>
          <w:b w:val="0"/>
          <w:color w:val="000000"/>
          <w:lang w:eastAsia="en-GB"/>
        </w:rPr>
        <w:t xml:space="preserve"> the</w:t>
      </w:r>
      <w:r w:rsidR="00BA0F6E" w:rsidRPr="004E1E59">
        <w:rPr>
          <w:rStyle w:val="Strong"/>
          <w:rFonts w:cs="Arial"/>
          <w:b w:val="0"/>
          <w:color w:val="000000"/>
          <w:lang w:eastAsia="en-GB"/>
        </w:rPr>
        <w:t xml:space="preserve"> recommendation made by The Nuffield Council on Bioethics in their report “</w:t>
      </w:r>
      <w:r w:rsidR="00994BA7" w:rsidRPr="004E1E59">
        <w:rPr>
          <w:rStyle w:val="Strong"/>
          <w:rFonts w:cs="Arial"/>
          <w:b w:val="0"/>
          <w:color w:val="000000"/>
          <w:lang w:eastAsia="en-GB"/>
        </w:rPr>
        <w:t xml:space="preserve">Novel </w:t>
      </w:r>
      <w:proofErr w:type="spellStart"/>
      <w:r w:rsidR="00994BA7" w:rsidRPr="004E1E59">
        <w:rPr>
          <w:rStyle w:val="Strong"/>
          <w:rFonts w:cs="Arial"/>
          <w:b w:val="0"/>
          <w:color w:val="000000"/>
          <w:lang w:eastAsia="en-GB"/>
        </w:rPr>
        <w:t>Neurotechnol</w:t>
      </w:r>
      <w:r w:rsidR="0038056B">
        <w:rPr>
          <w:rStyle w:val="Strong"/>
          <w:rFonts w:cs="Arial"/>
          <w:b w:val="0"/>
          <w:color w:val="000000"/>
          <w:lang w:eastAsia="en-GB"/>
        </w:rPr>
        <w:t>ogies</w:t>
      </w:r>
      <w:proofErr w:type="spellEnd"/>
      <w:r w:rsidR="0038056B">
        <w:rPr>
          <w:rStyle w:val="Strong"/>
          <w:rFonts w:cs="Arial"/>
          <w:b w:val="0"/>
          <w:color w:val="000000"/>
          <w:lang w:eastAsia="en-GB"/>
        </w:rPr>
        <w:t>: intervening in the brain</w:t>
      </w:r>
      <w:r w:rsidR="00541D95">
        <w:rPr>
          <w:rStyle w:val="Strong"/>
          <w:rFonts w:cs="Arial"/>
          <w:b w:val="0"/>
          <w:color w:val="000000"/>
          <w:lang w:eastAsia="en-GB"/>
        </w:rPr>
        <w:t>” published</w:t>
      </w:r>
      <w:r w:rsidR="0038056B" w:rsidRPr="0038056B">
        <w:rPr>
          <w:rStyle w:val="Strong"/>
          <w:rFonts w:cs="Arial"/>
          <w:b w:val="0"/>
          <w:color w:val="000000"/>
          <w:lang w:eastAsia="en-GB"/>
        </w:rPr>
        <w:t xml:space="preserve"> </w:t>
      </w:r>
      <w:r w:rsidR="0038056B">
        <w:rPr>
          <w:rStyle w:val="Strong"/>
          <w:rFonts w:cs="Arial"/>
          <w:b w:val="0"/>
          <w:color w:val="000000"/>
          <w:lang w:eastAsia="en-GB"/>
        </w:rPr>
        <w:t xml:space="preserve">in June 2013 </w:t>
      </w:r>
      <w:r w:rsidR="00B8460A">
        <w:rPr>
          <w:rFonts w:cs="Arial"/>
          <w:bCs/>
          <w:color w:val="000000"/>
          <w:lang w:eastAsia="en-GB"/>
        </w:rPr>
        <w:t xml:space="preserve">and </w:t>
      </w:r>
      <w:r w:rsidR="002A573B">
        <w:rPr>
          <w:rFonts w:cs="Arial"/>
          <w:bCs/>
          <w:color w:val="000000"/>
          <w:lang w:eastAsia="en-GB"/>
        </w:rPr>
        <w:t>considered that</w:t>
      </w:r>
      <w:r w:rsidR="00B8460A" w:rsidRPr="00B8460A">
        <w:rPr>
          <w:rFonts w:cs="Arial"/>
          <w:bCs/>
          <w:i/>
          <w:color w:val="000000"/>
          <w:lang w:eastAsia="en-GB"/>
        </w:rPr>
        <w:t xml:space="preserve"> </w:t>
      </w:r>
      <w:r w:rsidR="002A573B">
        <w:rPr>
          <w:rFonts w:cs="Arial"/>
          <w:bCs/>
          <w:i/>
          <w:color w:val="000000"/>
          <w:lang w:eastAsia="en-GB"/>
        </w:rPr>
        <w:t>“</w:t>
      </w:r>
      <w:r w:rsidR="00B8460A" w:rsidRPr="00B8460A">
        <w:rPr>
          <w:rFonts w:cs="Arial"/>
          <w:bCs/>
          <w:i/>
          <w:color w:val="000000"/>
          <w:lang w:eastAsia="en-GB"/>
        </w:rPr>
        <w:t>in principle, the ethical considerations relating to sham surgical techniques are no different from those related to the taking of extra blood samples from controls.</w:t>
      </w:r>
      <w:r w:rsidR="00B8460A" w:rsidRPr="00B8460A">
        <w:rPr>
          <w:rFonts w:cs="Arial"/>
          <w:bCs/>
          <w:color w:val="000000"/>
          <w:lang w:eastAsia="en-GB"/>
        </w:rPr>
        <w:t>”</w:t>
      </w:r>
      <w:r w:rsidR="00B8460A">
        <w:rPr>
          <w:rStyle w:val="Strong"/>
          <w:rFonts w:cs="Arial"/>
          <w:b w:val="0"/>
          <w:color w:val="000000"/>
          <w:lang w:eastAsia="en-GB"/>
        </w:rPr>
        <w:t xml:space="preserve"> </w:t>
      </w:r>
    </w:p>
    <w:p w:rsidR="001A1E4A" w:rsidRPr="001A1E4A" w:rsidRDefault="002A573B" w:rsidP="001A1E4A">
      <w:pPr>
        <w:spacing w:line="240" w:lineRule="auto"/>
        <w:rPr>
          <w:rFonts w:cs="Arial"/>
          <w:bCs/>
          <w:color w:val="000000"/>
          <w:lang w:eastAsia="en-GB"/>
        </w:rPr>
      </w:pPr>
      <w:r w:rsidRPr="004E1E59">
        <w:rPr>
          <w:rStyle w:val="Strong"/>
          <w:rFonts w:cs="Arial"/>
          <w:b w:val="0"/>
          <w:color w:val="000000"/>
          <w:lang w:eastAsia="en-GB"/>
        </w:rPr>
        <w:t>On 27 February 2014</w:t>
      </w:r>
      <w:r>
        <w:rPr>
          <w:rStyle w:val="Strong"/>
          <w:rFonts w:cs="Arial"/>
          <w:b w:val="0"/>
          <w:color w:val="000000"/>
          <w:lang w:eastAsia="en-GB"/>
        </w:rPr>
        <w:t xml:space="preserve"> </w:t>
      </w:r>
      <w:r w:rsidR="00115B74" w:rsidRPr="004E1E59">
        <w:rPr>
          <w:rStyle w:val="Strong"/>
          <w:rFonts w:cs="Arial"/>
          <w:b w:val="0"/>
          <w:color w:val="000000"/>
          <w:lang w:eastAsia="en-GB"/>
        </w:rPr>
        <w:t xml:space="preserve">Andrew George, Søren Holm and Clive Collett met with </w:t>
      </w:r>
      <w:r>
        <w:rPr>
          <w:rStyle w:val="Strong"/>
          <w:rFonts w:cs="Arial"/>
          <w:b w:val="0"/>
          <w:color w:val="000000"/>
          <w:lang w:eastAsia="en-GB"/>
        </w:rPr>
        <w:t xml:space="preserve">Emily </w:t>
      </w:r>
      <w:proofErr w:type="spellStart"/>
      <w:r>
        <w:rPr>
          <w:rStyle w:val="Strong"/>
          <w:rFonts w:cs="Arial"/>
          <w:b w:val="0"/>
          <w:color w:val="000000"/>
          <w:lang w:eastAsia="en-GB"/>
        </w:rPr>
        <w:t>Postan</w:t>
      </w:r>
      <w:proofErr w:type="spellEnd"/>
      <w:r>
        <w:rPr>
          <w:rStyle w:val="Strong"/>
          <w:rFonts w:cs="Arial"/>
          <w:b w:val="0"/>
          <w:color w:val="000000"/>
          <w:lang w:eastAsia="en-GB"/>
        </w:rPr>
        <w:t xml:space="preserve"> (Leader of </w:t>
      </w:r>
      <w:proofErr w:type="spellStart"/>
      <w:r>
        <w:rPr>
          <w:rStyle w:val="Strong"/>
          <w:rFonts w:cs="Arial"/>
          <w:b w:val="0"/>
          <w:color w:val="000000"/>
          <w:lang w:eastAsia="en-GB"/>
        </w:rPr>
        <w:t>NCo</w:t>
      </w:r>
      <w:r w:rsidR="00CF651A" w:rsidRPr="004E1E59">
        <w:rPr>
          <w:rStyle w:val="Strong"/>
          <w:rFonts w:cs="Arial"/>
          <w:b w:val="0"/>
          <w:color w:val="000000"/>
          <w:lang w:eastAsia="en-GB"/>
        </w:rPr>
        <w:t>B</w:t>
      </w:r>
      <w:proofErr w:type="spellEnd"/>
      <w:r w:rsidR="00CF651A" w:rsidRPr="004E1E59">
        <w:rPr>
          <w:rStyle w:val="Strong"/>
          <w:rFonts w:cs="Arial"/>
          <w:b w:val="0"/>
          <w:color w:val="000000"/>
          <w:lang w:eastAsia="en-GB"/>
        </w:rPr>
        <w:t xml:space="preserve"> Novel </w:t>
      </w:r>
      <w:proofErr w:type="spellStart"/>
      <w:r w:rsidR="00CF651A" w:rsidRPr="004E1E59">
        <w:rPr>
          <w:rStyle w:val="Strong"/>
          <w:rFonts w:cs="Arial"/>
          <w:b w:val="0"/>
          <w:color w:val="000000"/>
          <w:lang w:eastAsia="en-GB"/>
        </w:rPr>
        <w:t>Neurotechnologies</w:t>
      </w:r>
      <w:proofErr w:type="spellEnd"/>
      <w:r w:rsidR="00CF651A" w:rsidRPr="004E1E59">
        <w:rPr>
          <w:rStyle w:val="Strong"/>
          <w:rFonts w:cs="Arial"/>
          <w:b w:val="0"/>
          <w:color w:val="000000"/>
          <w:lang w:eastAsia="en-GB"/>
        </w:rPr>
        <w:t xml:space="preserve"> Project) an</w:t>
      </w:r>
      <w:r>
        <w:rPr>
          <w:rStyle w:val="Strong"/>
          <w:rFonts w:cs="Arial"/>
          <w:b w:val="0"/>
          <w:color w:val="000000"/>
          <w:lang w:eastAsia="en-GB"/>
        </w:rPr>
        <w:t xml:space="preserve">d Hugh </w:t>
      </w:r>
      <w:proofErr w:type="spellStart"/>
      <w:r>
        <w:rPr>
          <w:rStyle w:val="Strong"/>
          <w:rFonts w:cs="Arial"/>
          <w:b w:val="0"/>
          <w:color w:val="000000"/>
          <w:lang w:eastAsia="en-GB"/>
        </w:rPr>
        <w:t>Whittall</w:t>
      </w:r>
      <w:proofErr w:type="spellEnd"/>
      <w:r>
        <w:rPr>
          <w:rStyle w:val="Strong"/>
          <w:rFonts w:cs="Arial"/>
          <w:b w:val="0"/>
          <w:color w:val="000000"/>
          <w:lang w:eastAsia="en-GB"/>
        </w:rPr>
        <w:t xml:space="preserve"> (Director of </w:t>
      </w:r>
      <w:proofErr w:type="spellStart"/>
      <w:r>
        <w:rPr>
          <w:rStyle w:val="Strong"/>
          <w:rFonts w:cs="Arial"/>
          <w:b w:val="0"/>
          <w:color w:val="000000"/>
          <w:lang w:eastAsia="en-GB"/>
        </w:rPr>
        <w:t>NCo</w:t>
      </w:r>
      <w:r w:rsidR="00CF651A" w:rsidRPr="004E1E59">
        <w:rPr>
          <w:rStyle w:val="Strong"/>
          <w:rFonts w:cs="Arial"/>
          <w:b w:val="0"/>
          <w:color w:val="000000"/>
          <w:lang w:eastAsia="en-GB"/>
        </w:rPr>
        <w:t>B</w:t>
      </w:r>
      <w:proofErr w:type="spellEnd"/>
      <w:r w:rsidR="0000676D" w:rsidRPr="004E1E59">
        <w:rPr>
          <w:rStyle w:val="Strong"/>
          <w:rFonts w:cs="Arial"/>
          <w:b w:val="0"/>
          <w:color w:val="000000"/>
          <w:lang w:eastAsia="en-GB"/>
        </w:rPr>
        <w:t>)</w:t>
      </w:r>
      <w:r w:rsidR="00EF4BFF" w:rsidRPr="004E1E59">
        <w:rPr>
          <w:rStyle w:val="Strong"/>
          <w:rFonts w:cs="Arial"/>
          <w:b w:val="0"/>
          <w:color w:val="000000"/>
          <w:lang w:eastAsia="en-GB"/>
        </w:rPr>
        <w:t xml:space="preserve">, </w:t>
      </w:r>
      <w:r w:rsidR="0000676D" w:rsidRPr="004E1E59">
        <w:rPr>
          <w:rStyle w:val="Strong"/>
          <w:rFonts w:cs="Arial"/>
          <w:b w:val="0"/>
          <w:color w:val="000000"/>
          <w:lang w:eastAsia="en-GB"/>
        </w:rPr>
        <w:t xml:space="preserve">to discuss the reasons behind the panel’s conclusion and </w:t>
      </w:r>
      <w:r w:rsidR="00B30AB3">
        <w:rPr>
          <w:rStyle w:val="Strong"/>
          <w:rFonts w:cs="Arial"/>
          <w:b w:val="0"/>
          <w:color w:val="000000"/>
          <w:lang w:eastAsia="en-GB"/>
        </w:rPr>
        <w:t>examine</w:t>
      </w:r>
      <w:r w:rsidR="0000676D" w:rsidRPr="004E1E59">
        <w:rPr>
          <w:rStyle w:val="Strong"/>
          <w:rFonts w:cs="Arial"/>
          <w:b w:val="0"/>
          <w:color w:val="000000"/>
          <w:lang w:eastAsia="en-GB"/>
        </w:rPr>
        <w:t xml:space="preserve"> use</w:t>
      </w:r>
      <w:r w:rsidR="00EF4BFF">
        <w:rPr>
          <w:rStyle w:val="Strong"/>
          <w:rFonts w:cs="Arial"/>
          <w:b w:val="0"/>
          <w:color w:val="000000"/>
          <w:lang w:eastAsia="en-GB"/>
        </w:rPr>
        <w:t xml:space="preserve">ful ways </w:t>
      </w:r>
      <w:r>
        <w:rPr>
          <w:rStyle w:val="Strong"/>
          <w:rFonts w:cs="Arial"/>
          <w:b w:val="0"/>
          <w:color w:val="000000"/>
          <w:lang w:eastAsia="en-GB"/>
        </w:rPr>
        <w:t xml:space="preserve">of moving forward. This resulted in a joint </w:t>
      </w:r>
      <w:proofErr w:type="spellStart"/>
      <w:r>
        <w:rPr>
          <w:rStyle w:val="Strong"/>
          <w:rFonts w:cs="Arial"/>
          <w:b w:val="0"/>
          <w:color w:val="000000"/>
          <w:lang w:eastAsia="en-GB"/>
        </w:rPr>
        <w:t>NCoB</w:t>
      </w:r>
      <w:proofErr w:type="spellEnd"/>
      <w:r>
        <w:rPr>
          <w:rStyle w:val="Strong"/>
          <w:rFonts w:cs="Arial"/>
          <w:b w:val="0"/>
          <w:color w:val="000000"/>
          <w:lang w:eastAsia="en-GB"/>
        </w:rPr>
        <w:t>/HRA workshop</w:t>
      </w:r>
      <w:r w:rsidR="00634F92">
        <w:rPr>
          <w:rStyle w:val="Strong"/>
          <w:rFonts w:cs="Arial"/>
          <w:b w:val="0"/>
          <w:color w:val="000000"/>
          <w:lang w:eastAsia="en-GB"/>
        </w:rPr>
        <w:t xml:space="preserve"> </w:t>
      </w:r>
      <w:r w:rsidR="00217B46">
        <w:rPr>
          <w:rStyle w:val="Strong"/>
          <w:rFonts w:cs="Arial"/>
          <w:b w:val="0"/>
          <w:color w:val="000000"/>
          <w:lang w:eastAsia="en-GB"/>
        </w:rPr>
        <w:t xml:space="preserve">held </w:t>
      </w:r>
      <w:r w:rsidR="00634F92">
        <w:rPr>
          <w:rStyle w:val="Strong"/>
          <w:rFonts w:cs="Arial"/>
          <w:b w:val="0"/>
          <w:color w:val="000000"/>
          <w:lang w:eastAsia="en-GB"/>
        </w:rPr>
        <w:t>on the 1</w:t>
      </w:r>
      <w:r w:rsidR="00634F92" w:rsidRPr="00634F92">
        <w:rPr>
          <w:rStyle w:val="Strong"/>
          <w:rFonts w:cs="Arial"/>
          <w:b w:val="0"/>
          <w:color w:val="000000"/>
          <w:vertAlign w:val="superscript"/>
          <w:lang w:eastAsia="en-GB"/>
        </w:rPr>
        <w:t>st</w:t>
      </w:r>
      <w:r w:rsidR="00634F92">
        <w:rPr>
          <w:rStyle w:val="Strong"/>
          <w:rFonts w:cs="Arial"/>
          <w:b w:val="0"/>
          <w:color w:val="000000"/>
          <w:lang w:eastAsia="en-GB"/>
        </w:rPr>
        <w:t xml:space="preserve"> </w:t>
      </w:r>
      <w:r w:rsidR="00217B46">
        <w:rPr>
          <w:rStyle w:val="Strong"/>
          <w:rFonts w:cs="Arial"/>
          <w:b w:val="0"/>
          <w:color w:val="000000"/>
          <w:lang w:eastAsia="en-GB"/>
        </w:rPr>
        <w:t>M</w:t>
      </w:r>
      <w:r w:rsidR="00634F92">
        <w:rPr>
          <w:rStyle w:val="Strong"/>
          <w:rFonts w:cs="Arial"/>
          <w:b w:val="0"/>
          <w:color w:val="000000"/>
          <w:lang w:eastAsia="en-GB"/>
        </w:rPr>
        <w:t>ay 2015. The outcome of this meeting was:</w:t>
      </w:r>
    </w:p>
    <w:p w:rsidR="00785DD0" w:rsidRPr="00C80919" w:rsidRDefault="00785DD0" w:rsidP="00785DD0">
      <w:pPr>
        <w:spacing w:after="0" w:line="240" w:lineRule="auto"/>
        <w:ind w:left="720"/>
        <w:outlineLvl w:val="0"/>
        <w:rPr>
          <w:rFonts w:cs="Arial"/>
          <w:b/>
          <w:bCs/>
          <w:lang w:eastAsia="en-GB"/>
        </w:rPr>
      </w:pPr>
      <w:r w:rsidRPr="00C80919">
        <w:rPr>
          <w:rFonts w:cs="Arial"/>
          <w:b/>
          <w:bCs/>
          <w:lang w:eastAsia="en-GB"/>
        </w:rPr>
        <w:t>a. Statement of the importance of research in surgery, explaining that placebo-controlled surgical trials are a part of this.</w:t>
      </w:r>
    </w:p>
    <w:p w:rsidR="00785DD0" w:rsidRPr="00785DD0" w:rsidRDefault="00785DD0" w:rsidP="00785DD0">
      <w:pPr>
        <w:spacing w:after="0" w:line="240" w:lineRule="auto"/>
        <w:ind w:left="720"/>
        <w:outlineLvl w:val="0"/>
        <w:rPr>
          <w:rFonts w:cs="Arial"/>
          <w:bCs/>
          <w:lang w:eastAsia="en-GB"/>
        </w:rPr>
      </w:pPr>
    </w:p>
    <w:p w:rsidR="00785DD0" w:rsidRDefault="00785DD0" w:rsidP="00785DD0">
      <w:pPr>
        <w:spacing w:after="0" w:line="240" w:lineRule="auto"/>
        <w:ind w:left="720"/>
        <w:outlineLvl w:val="0"/>
        <w:rPr>
          <w:rFonts w:cs="Arial"/>
          <w:bCs/>
          <w:lang w:eastAsia="en-GB"/>
        </w:rPr>
      </w:pPr>
      <w:r w:rsidRPr="00785DD0">
        <w:rPr>
          <w:rFonts w:cs="Arial"/>
          <w:bCs/>
          <w:lang w:eastAsia="en-GB"/>
        </w:rPr>
        <w:t xml:space="preserve">It was suggested that a statement from the Royal College of Surgeons (in consultation with their Patient Group), the Academy of Medical Sciences and Health Research Authority should be developed to clearly communicate this message to researchers, surgeons, anaesthetists and patients.  </w:t>
      </w:r>
    </w:p>
    <w:p w:rsidR="00785DD0" w:rsidRPr="00785DD0" w:rsidRDefault="00785DD0" w:rsidP="00785DD0">
      <w:pPr>
        <w:spacing w:after="0" w:line="240" w:lineRule="auto"/>
        <w:ind w:left="720"/>
        <w:outlineLvl w:val="0"/>
        <w:rPr>
          <w:rFonts w:cs="Arial"/>
          <w:bCs/>
          <w:lang w:eastAsia="en-GB"/>
        </w:rPr>
      </w:pPr>
    </w:p>
    <w:p w:rsidR="00785DD0" w:rsidRPr="00C80919" w:rsidRDefault="00785DD0" w:rsidP="00785DD0">
      <w:pPr>
        <w:spacing w:after="0" w:line="240" w:lineRule="auto"/>
        <w:ind w:left="720"/>
        <w:outlineLvl w:val="0"/>
        <w:rPr>
          <w:rFonts w:cs="Arial"/>
          <w:b/>
          <w:bCs/>
          <w:lang w:eastAsia="en-GB"/>
        </w:rPr>
      </w:pPr>
      <w:r w:rsidRPr="00C80919">
        <w:rPr>
          <w:rFonts w:cs="Arial"/>
          <w:b/>
          <w:bCs/>
          <w:lang w:eastAsia="en-GB"/>
        </w:rPr>
        <w:t xml:space="preserve">b. Supportive material with ‘questions to consider’ to help surgeons think about how to tackle the issue of placebo controlled surgical trials.  </w:t>
      </w:r>
    </w:p>
    <w:p w:rsidR="00785DD0" w:rsidRPr="00785DD0" w:rsidRDefault="00785DD0" w:rsidP="00785DD0">
      <w:pPr>
        <w:spacing w:after="0" w:line="240" w:lineRule="auto"/>
        <w:ind w:left="720"/>
        <w:outlineLvl w:val="0"/>
        <w:rPr>
          <w:rFonts w:cs="Arial"/>
          <w:bCs/>
          <w:lang w:eastAsia="en-GB"/>
        </w:rPr>
      </w:pPr>
    </w:p>
    <w:p w:rsidR="00785DD0" w:rsidRDefault="00785DD0" w:rsidP="00785DD0">
      <w:pPr>
        <w:spacing w:after="0" w:line="240" w:lineRule="auto"/>
        <w:ind w:left="720"/>
        <w:outlineLvl w:val="0"/>
        <w:rPr>
          <w:rFonts w:cs="Arial"/>
          <w:bCs/>
          <w:lang w:eastAsia="en-GB"/>
        </w:rPr>
      </w:pPr>
      <w:r w:rsidRPr="00785DD0">
        <w:rPr>
          <w:rFonts w:cs="Arial"/>
          <w:bCs/>
          <w:lang w:eastAsia="en-GB"/>
        </w:rPr>
        <w:t xml:space="preserve">It was suggested that the HRA, Academy of Medical Sciences and Royal College should work together to develop a series of questions. The GMC and other professional bodies could help promote through their networks. </w:t>
      </w:r>
    </w:p>
    <w:p w:rsidR="00785DD0" w:rsidRPr="00785DD0" w:rsidRDefault="00785DD0" w:rsidP="00785DD0">
      <w:pPr>
        <w:spacing w:after="0" w:line="240" w:lineRule="auto"/>
        <w:ind w:left="720"/>
        <w:outlineLvl w:val="0"/>
        <w:rPr>
          <w:rFonts w:cs="Arial"/>
          <w:bCs/>
          <w:lang w:eastAsia="en-GB"/>
        </w:rPr>
      </w:pPr>
    </w:p>
    <w:p w:rsidR="00785DD0" w:rsidRDefault="00785DD0" w:rsidP="00785DD0">
      <w:pPr>
        <w:spacing w:after="0" w:line="240" w:lineRule="auto"/>
        <w:ind w:left="720"/>
        <w:outlineLvl w:val="0"/>
        <w:rPr>
          <w:rFonts w:cs="Arial"/>
          <w:bCs/>
          <w:lang w:eastAsia="en-GB"/>
        </w:rPr>
      </w:pPr>
      <w:r w:rsidRPr="00785DD0">
        <w:rPr>
          <w:rFonts w:cs="Arial"/>
          <w:bCs/>
          <w:lang w:eastAsia="en-GB"/>
        </w:rPr>
        <w:t xml:space="preserve">This could take the format of an A4 page to help researchers/surgeons develop high quality placebo controlled surgical trials, and provide a useful framework before presenting the proposal to a REC. </w:t>
      </w:r>
    </w:p>
    <w:p w:rsidR="00785DD0" w:rsidRPr="00785DD0" w:rsidRDefault="00785DD0" w:rsidP="00785DD0">
      <w:pPr>
        <w:spacing w:after="0" w:line="240" w:lineRule="auto"/>
        <w:ind w:left="720"/>
        <w:outlineLvl w:val="0"/>
        <w:rPr>
          <w:rFonts w:cs="Arial"/>
          <w:bCs/>
          <w:lang w:eastAsia="en-GB"/>
        </w:rPr>
      </w:pPr>
    </w:p>
    <w:p w:rsidR="00785DD0" w:rsidRDefault="00785DD0" w:rsidP="00785DD0">
      <w:pPr>
        <w:spacing w:after="0" w:line="240" w:lineRule="auto"/>
        <w:ind w:left="720"/>
        <w:outlineLvl w:val="0"/>
        <w:rPr>
          <w:rFonts w:cs="Arial"/>
          <w:bCs/>
          <w:lang w:eastAsia="en-GB"/>
        </w:rPr>
      </w:pPr>
      <w:r w:rsidRPr="00785DD0">
        <w:rPr>
          <w:rFonts w:cs="Arial"/>
          <w:bCs/>
          <w:lang w:eastAsia="en-GB"/>
        </w:rPr>
        <w:t>This might include:</w:t>
      </w:r>
    </w:p>
    <w:p w:rsidR="00C80919" w:rsidRPr="00785DD0" w:rsidRDefault="00C80919" w:rsidP="00785DD0">
      <w:pPr>
        <w:spacing w:after="0" w:line="240" w:lineRule="auto"/>
        <w:ind w:left="720"/>
        <w:outlineLvl w:val="0"/>
        <w:rPr>
          <w:rFonts w:cs="Arial"/>
          <w:bCs/>
          <w:lang w:eastAsia="en-GB"/>
        </w:rPr>
      </w:pPr>
    </w:p>
    <w:p w:rsidR="00785DD0" w:rsidRPr="00785DD0" w:rsidRDefault="00785DD0" w:rsidP="00785DD0">
      <w:pPr>
        <w:spacing w:after="0" w:line="240" w:lineRule="auto"/>
        <w:ind w:left="720"/>
        <w:outlineLvl w:val="0"/>
        <w:rPr>
          <w:rFonts w:cs="Arial"/>
          <w:bCs/>
          <w:lang w:eastAsia="en-GB"/>
        </w:rPr>
      </w:pPr>
      <w:r w:rsidRPr="00785DD0">
        <w:rPr>
          <w:rFonts w:cs="Arial"/>
          <w:bCs/>
          <w:lang w:eastAsia="en-GB"/>
        </w:rPr>
        <w:t>•</w:t>
      </w:r>
      <w:r w:rsidRPr="00785DD0">
        <w:rPr>
          <w:rFonts w:cs="Arial"/>
          <w:bCs/>
          <w:lang w:eastAsia="en-GB"/>
        </w:rPr>
        <w:tab/>
        <w:t xml:space="preserve">What are the types of placebo controlled surgery? </w:t>
      </w:r>
    </w:p>
    <w:p w:rsidR="00785DD0" w:rsidRPr="00785DD0" w:rsidRDefault="00785DD0" w:rsidP="00785DD0">
      <w:pPr>
        <w:spacing w:after="0" w:line="240" w:lineRule="auto"/>
        <w:ind w:left="720"/>
        <w:outlineLvl w:val="0"/>
        <w:rPr>
          <w:rFonts w:cs="Arial"/>
          <w:bCs/>
          <w:lang w:eastAsia="en-GB"/>
        </w:rPr>
      </w:pPr>
      <w:r w:rsidRPr="00785DD0">
        <w:rPr>
          <w:rFonts w:cs="Arial"/>
          <w:bCs/>
          <w:lang w:eastAsia="en-GB"/>
        </w:rPr>
        <w:t>•</w:t>
      </w:r>
      <w:r w:rsidRPr="00785DD0">
        <w:rPr>
          <w:rFonts w:cs="Arial"/>
          <w:bCs/>
          <w:lang w:eastAsia="en-GB"/>
        </w:rPr>
        <w:tab/>
        <w:t xml:space="preserve">What is good practice in this field? </w:t>
      </w:r>
    </w:p>
    <w:p w:rsidR="00785DD0" w:rsidRPr="00785DD0" w:rsidRDefault="00785DD0" w:rsidP="00785DD0">
      <w:pPr>
        <w:spacing w:after="0" w:line="240" w:lineRule="auto"/>
        <w:ind w:left="720"/>
        <w:outlineLvl w:val="0"/>
        <w:rPr>
          <w:rFonts w:cs="Arial"/>
          <w:bCs/>
          <w:lang w:eastAsia="en-GB"/>
        </w:rPr>
      </w:pPr>
      <w:r w:rsidRPr="00785DD0">
        <w:rPr>
          <w:rFonts w:cs="Arial"/>
          <w:bCs/>
          <w:lang w:eastAsia="en-GB"/>
        </w:rPr>
        <w:t>•</w:t>
      </w:r>
      <w:r w:rsidRPr="00785DD0">
        <w:rPr>
          <w:rFonts w:cs="Arial"/>
          <w:bCs/>
          <w:lang w:eastAsia="en-GB"/>
        </w:rPr>
        <w:tab/>
        <w:t xml:space="preserve">When is a placebo-controlled surgical trial not appropriate? </w:t>
      </w:r>
    </w:p>
    <w:p w:rsidR="00F70033" w:rsidRDefault="00785DD0" w:rsidP="00785DD0">
      <w:pPr>
        <w:spacing w:after="0" w:line="240" w:lineRule="auto"/>
        <w:ind w:left="720"/>
        <w:outlineLvl w:val="0"/>
        <w:rPr>
          <w:rFonts w:cs="Arial"/>
          <w:bCs/>
          <w:lang w:eastAsia="en-GB"/>
        </w:rPr>
      </w:pPr>
      <w:r w:rsidRPr="00785DD0">
        <w:rPr>
          <w:rFonts w:cs="Arial"/>
          <w:bCs/>
          <w:lang w:eastAsia="en-GB"/>
        </w:rPr>
        <w:t>•</w:t>
      </w:r>
      <w:r w:rsidRPr="00785DD0">
        <w:rPr>
          <w:rFonts w:cs="Arial"/>
          <w:bCs/>
          <w:lang w:eastAsia="en-GB"/>
        </w:rPr>
        <w:tab/>
        <w:t>When is it necessary?</w:t>
      </w:r>
    </w:p>
    <w:p w:rsidR="00C80919" w:rsidRDefault="00C80919" w:rsidP="00C80919">
      <w:pPr>
        <w:spacing w:after="0" w:line="240" w:lineRule="auto"/>
        <w:outlineLvl w:val="0"/>
        <w:rPr>
          <w:rFonts w:cs="Arial"/>
          <w:bCs/>
          <w:lang w:eastAsia="en-GB"/>
        </w:rPr>
      </w:pPr>
    </w:p>
    <w:p w:rsidR="00176351" w:rsidRDefault="00176351" w:rsidP="000D2FA1">
      <w:pPr>
        <w:spacing w:after="0" w:line="240" w:lineRule="auto"/>
        <w:outlineLvl w:val="0"/>
        <w:rPr>
          <w:rFonts w:cs="Arial"/>
          <w:bCs/>
          <w:lang w:eastAsia="en-GB"/>
        </w:rPr>
      </w:pPr>
    </w:p>
    <w:p w:rsidR="000D2FA1" w:rsidRPr="002F5403" w:rsidRDefault="000D2FA1" w:rsidP="00F97A2B">
      <w:pPr>
        <w:shd w:val="clear" w:color="auto" w:fill="F2F2F2" w:themeFill="background1" w:themeFillShade="F2"/>
        <w:ind w:right="521"/>
        <w:rPr>
          <w:b/>
          <w:color w:val="000000"/>
        </w:rPr>
      </w:pPr>
      <w:r w:rsidRPr="002F5403">
        <w:rPr>
          <w:rStyle w:val="Strong"/>
          <w:bCs w:val="0"/>
          <w:color w:val="000000"/>
        </w:rPr>
        <w:t>Draft Guidance ‘Proportionate Consent for Simple and Efficient Trials in the NHS</w:t>
      </w:r>
    </w:p>
    <w:p w:rsidR="00C820E0" w:rsidRDefault="000D2FA1" w:rsidP="000D2FA1">
      <w:pPr>
        <w:spacing w:after="0" w:line="240" w:lineRule="auto"/>
        <w:outlineLvl w:val="0"/>
        <w:rPr>
          <w:rFonts w:cs="Arial"/>
          <w:bCs/>
          <w:lang w:eastAsia="en-GB"/>
        </w:rPr>
      </w:pPr>
      <w:r w:rsidRPr="00435EEB">
        <w:rPr>
          <w:rFonts w:cs="Arial"/>
          <w:bCs/>
          <w:lang w:eastAsia="en-GB"/>
        </w:rPr>
        <w:t xml:space="preserve">The Panel </w:t>
      </w:r>
      <w:r w:rsidR="005D1F84">
        <w:rPr>
          <w:rFonts w:cs="Arial"/>
          <w:bCs/>
          <w:lang w:eastAsia="en-GB"/>
        </w:rPr>
        <w:t>advised</w:t>
      </w:r>
      <w:r w:rsidRPr="00435EEB">
        <w:rPr>
          <w:rFonts w:cs="Arial"/>
          <w:bCs/>
          <w:lang w:eastAsia="en-GB"/>
        </w:rPr>
        <w:t xml:space="preserve"> on draft guidance regarding proportionate approaches to consent which </w:t>
      </w:r>
      <w:r w:rsidR="002F5403">
        <w:rPr>
          <w:rFonts w:cs="Arial"/>
          <w:bCs/>
          <w:lang w:eastAsia="en-GB"/>
        </w:rPr>
        <w:t>was</w:t>
      </w:r>
      <w:r w:rsidRPr="00435EEB">
        <w:rPr>
          <w:rFonts w:cs="Arial"/>
          <w:bCs/>
          <w:lang w:eastAsia="en-GB"/>
        </w:rPr>
        <w:t xml:space="preserve"> </w:t>
      </w:r>
      <w:r w:rsidR="005D1F84">
        <w:rPr>
          <w:rFonts w:cs="Arial"/>
          <w:bCs/>
          <w:lang w:eastAsia="en-GB"/>
        </w:rPr>
        <w:t xml:space="preserve">subsequently </w:t>
      </w:r>
      <w:r w:rsidRPr="00435EEB">
        <w:rPr>
          <w:rFonts w:cs="Arial"/>
          <w:bCs/>
          <w:lang w:eastAsia="en-GB"/>
        </w:rPr>
        <w:t xml:space="preserve">put out for </w:t>
      </w:r>
      <w:hyperlink r:id="rId12" w:history="1">
        <w:r w:rsidRPr="002B2C8C">
          <w:rPr>
            <w:rStyle w:val="Hyperlink"/>
            <w:rFonts w:cs="Arial"/>
            <w:bCs/>
            <w:lang w:eastAsia="en-GB"/>
          </w:rPr>
          <w:t>consultation</w:t>
        </w:r>
      </w:hyperlink>
      <w:r w:rsidRPr="00435EEB">
        <w:rPr>
          <w:rFonts w:cs="Arial"/>
          <w:bCs/>
          <w:lang w:eastAsia="en-GB"/>
        </w:rPr>
        <w:t xml:space="preserve"> in </w:t>
      </w:r>
      <w:r w:rsidR="005D1F84">
        <w:rPr>
          <w:rFonts w:cs="Arial"/>
          <w:bCs/>
          <w:lang w:eastAsia="en-GB"/>
        </w:rPr>
        <w:t>October 2014. The report summarising the responses received and next steps will be published shortly.</w:t>
      </w:r>
    </w:p>
    <w:p w:rsidR="00DC4B6C" w:rsidRDefault="00DC4B6C" w:rsidP="000D2FA1">
      <w:pPr>
        <w:spacing w:after="0" w:line="240" w:lineRule="auto"/>
        <w:outlineLvl w:val="0"/>
        <w:rPr>
          <w:rFonts w:cs="Arial"/>
          <w:bCs/>
          <w:lang w:eastAsia="en-GB"/>
        </w:rPr>
      </w:pPr>
    </w:p>
    <w:p w:rsidR="00F70033" w:rsidRDefault="00F70033" w:rsidP="000D2FA1">
      <w:pPr>
        <w:spacing w:after="0" w:line="240" w:lineRule="auto"/>
        <w:outlineLvl w:val="0"/>
        <w:rPr>
          <w:rFonts w:cs="Arial"/>
          <w:bCs/>
          <w:lang w:eastAsia="en-GB"/>
        </w:rPr>
      </w:pPr>
    </w:p>
    <w:p w:rsidR="00C80919" w:rsidRDefault="00C80919" w:rsidP="000D2FA1">
      <w:pPr>
        <w:spacing w:after="0" w:line="240" w:lineRule="auto"/>
        <w:outlineLvl w:val="0"/>
        <w:rPr>
          <w:rFonts w:cs="Arial"/>
          <w:bCs/>
          <w:lang w:eastAsia="en-GB"/>
        </w:rPr>
      </w:pPr>
    </w:p>
    <w:p w:rsidR="005C4528" w:rsidRPr="005C4528" w:rsidRDefault="005C4528" w:rsidP="00F97A2B">
      <w:pPr>
        <w:shd w:val="clear" w:color="auto" w:fill="F2F2F2" w:themeFill="background1" w:themeFillShade="F2"/>
        <w:ind w:right="3923"/>
        <w:rPr>
          <w:b/>
          <w:bCs/>
          <w:color w:val="000000"/>
        </w:rPr>
      </w:pPr>
      <w:r w:rsidRPr="00C820E0">
        <w:rPr>
          <w:rStyle w:val="Strong"/>
          <w:color w:val="000000"/>
        </w:rPr>
        <w:t>Mental Capacity Act: Revision of HRA guidance</w:t>
      </w:r>
    </w:p>
    <w:p w:rsidR="004B74B4" w:rsidRDefault="005C4528" w:rsidP="004B74B4">
      <w:pPr>
        <w:spacing w:after="0" w:line="240" w:lineRule="auto"/>
        <w:rPr>
          <w:rFonts w:cs="Arial"/>
          <w:lang w:eastAsia="en-GB"/>
        </w:rPr>
      </w:pPr>
      <w:r w:rsidRPr="005C4528">
        <w:rPr>
          <w:rFonts w:cs="Arial"/>
          <w:lang w:eastAsia="en-GB"/>
        </w:rPr>
        <w:lastRenderedPageBreak/>
        <w:t xml:space="preserve">The panel were asked to review existing HRA guidance regarding the Mental Capacity Act in the light of legal advice received regarding “research safeguards” particularly in relation to the monitoring of participant capacity in long-term studies and suggest revised text. </w:t>
      </w:r>
    </w:p>
    <w:p w:rsidR="004B74B4" w:rsidRDefault="004B74B4" w:rsidP="004B74B4">
      <w:pPr>
        <w:spacing w:after="0" w:line="240" w:lineRule="auto"/>
        <w:rPr>
          <w:rFonts w:cs="Arial"/>
          <w:lang w:eastAsia="en-GB"/>
        </w:rPr>
      </w:pPr>
    </w:p>
    <w:p w:rsidR="009C5C83" w:rsidRDefault="004B74B4" w:rsidP="004B74B4">
      <w:pPr>
        <w:spacing w:after="0" w:line="240" w:lineRule="auto"/>
        <w:rPr>
          <w:rFonts w:cs="Arial"/>
          <w:lang w:eastAsia="en-GB"/>
        </w:rPr>
      </w:pPr>
      <w:r w:rsidRPr="004B74B4">
        <w:rPr>
          <w:rFonts w:cs="Arial"/>
          <w:lang w:eastAsia="en-GB"/>
        </w:rPr>
        <w:t>The panel agreed that the current HRA guidance was compati</w:t>
      </w:r>
      <w:r>
        <w:rPr>
          <w:rFonts w:cs="Arial"/>
          <w:lang w:eastAsia="en-GB"/>
        </w:rPr>
        <w:t xml:space="preserve">ble with existing legislation. </w:t>
      </w:r>
      <w:r w:rsidRPr="004B74B4">
        <w:rPr>
          <w:rFonts w:cs="Arial"/>
          <w:lang w:eastAsia="en-GB"/>
        </w:rPr>
        <w:t>However, it was felt that the HRA's existing 'Mental Capacity Act 2005: Questions and Answers' might be revised to provide further guidance on monitoring capacity in longitudinal studies</w:t>
      </w:r>
      <w:r>
        <w:rPr>
          <w:rFonts w:cs="Arial"/>
          <w:lang w:eastAsia="en-GB"/>
        </w:rPr>
        <w:t xml:space="preserve">. </w:t>
      </w:r>
      <w:r w:rsidR="00C820E0">
        <w:rPr>
          <w:rFonts w:cs="Arial"/>
          <w:lang w:eastAsia="en-GB"/>
        </w:rPr>
        <w:t>This work is ongoing.</w:t>
      </w:r>
    </w:p>
    <w:p w:rsidR="00F70033" w:rsidRDefault="00F70033" w:rsidP="00C820E0">
      <w:pPr>
        <w:spacing w:after="0" w:line="240" w:lineRule="auto"/>
        <w:rPr>
          <w:rFonts w:cs="Arial"/>
          <w:lang w:eastAsia="en-GB"/>
        </w:rPr>
      </w:pPr>
    </w:p>
    <w:p w:rsidR="00C04EEB" w:rsidRPr="00480BF1" w:rsidRDefault="00C04EEB" w:rsidP="00F97A2B">
      <w:pPr>
        <w:shd w:val="clear" w:color="auto" w:fill="F2F2F2" w:themeFill="background1" w:themeFillShade="F2"/>
        <w:ind w:right="6049"/>
        <w:rPr>
          <w:b/>
          <w:bCs/>
          <w:color w:val="000000"/>
        </w:rPr>
      </w:pPr>
      <w:r>
        <w:rPr>
          <w:rStyle w:val="Strong"/>
          <w:color w:val="000000"/>
        </w:rPr>
        <w:t xml:space="preserve">Links with </w:t>
      </w:r>
      <w:r w:rsidRPr="00C04EEB">
        <w:rPr>
          <w:rStyle w:val="Strong"/>
          <w:color w:val="000000"/>
        </w:rPr>
        <w:t xml:space="preserve">Social Care REC </w:t>
      </w:r>
    </w:p>
    <w:p w:rsidR="00C04EEB" w:rsidRDefault="00C04EEB" w:rsidP="00C04EEB">
      <w:pPr>
        <w:spacing w:after="0" w:line="240" w:lineRule="auto"/>
        <w:rPr>
          <w:rFonts w:eastAsia="Calibri" w:cs="Arial"/>
          <w:lang w:eastAsia="en-GB"/>
        </w:rPr>
      </w:pPr>
      <w:r w:rsidRPr="00C04EEB">
        <w:rPr>
          <w:rFonts w:eastAsia="Calibri" w:cs="Arial"/>
          <w:lang w:eastAsia="en-GB"/>
        </w:rPr>
        <w:t>When the HRA became a Non Departmental Public Body</w:t>
      </w:r>
      <w:r w:rsidR="002B2C8C">
        <w:rPr>
          <w:rFonts w:eastAsia="Calibri" w:cs="Arial"/>
          <w:lang w:eastAsia="en-GB"/>
        </w:rPr>
        <w:t xml:space="preserve"> (NDPB)</w:t>
      </w:r>
      <w:r w:rsidRPr="00C04EEB">
        <w:rPr>
          <w:rFonts w:eastAsia="Calibri" w:cs="Arial"/>
          <w:lang w:eastAsia="en-GB"/>
        </w:rPr>
        <w:t xml:space="preserve"> on 1 January 2015 it took formal responsibility for research in adult social care. The Social Care REC and its secretariat transferred to the HRA 1 April 2015. Dr Martin Stevens attended the </w:t>
      </w:r>
      <w:r>
        <w:rPr>
          <w:rFonts w:eastAsia="Calibri" w:cs="Arial"/>
          <w:lang w:eastAsia="en-GB"/>
        </w:rPr>
        <w:t xml:space="preserve">May 2015 NREAP </w:t>
      </w:r>
      <w:r w:rsidRPr="00C04EEB">
        <w:rPr>
          <w:rFonts w:eastAsia="Calibri" w:cs="Arial"/>
          <w:lang w:eastAsia="en-GB"/>
        </w:rPr>
        <w:t xml:space="preserve">meeting to informally discuss the work of the Social Care REC. </w:t>
      </w:r>
      <w:r>
        <w:rPr>
          <w:rFonts w:eastAsia="Calibri" w:cs="Arial"/>
          <w:lang w:eastAsia="en-GB"/>
        </w:rPr>
        <w:t>Clive Collett attended the</w:t>
      </w:r>
      <w:r w:rsidR="00795CC2">
        <w:rPr>
          <w:rFonts w:eastAsia="Calibri" w:cs="Arial"/>
          <w:lang w:eastAsia="en-GB"/>
        </w:rPr>
        <w:t xml:space="preserve"> June</w:t>
      </w:r>
      <w:r>
        <w:rPr>
          <w:rFonts w:eastAsia="Calibri" w:cs="Arial"/>
          <w:lang w:eastAsia="en-GB"/>
        </w:rPr>
        <w:t xml:space="preserve"> SCREC meeting</w:t>
      </w:r>
      <w:r w:rsidR="00795CC2">
        <w:rPr>
          <w:rFonts w:eastAsia="Calibri" w:cs="Arial"/>
          <w:lang w:eastAsia="en-GB"/>
        </w:rPr>
        <w:t xml:space="preserve"> and Andrew George will also attend a future SCREC meeting.</w:t>
      </w:r>
    </w:p>
    <w:p w:rsidR="00AF1375" w:rsidRDefault="00AF1375" w:rsidP="00C04EEB">
      <w:pPr>
        <w:spacing w:after="0" w:line="240" w:lineRule="auto"/>
        <w:rPr>
          <w:rFonts w:eastAsia="Calibri" w:cs="Arial"/>
          <w:lang w:eastAsia="en-GB"/>
        </w:rPr>
      </w:pPr>
    </w:p>
    <w:p w:rsidR="00FF5123" w:rsidRPr="00FF5123" w:rsidRDefault="00FF5123" w:rsidP="00F97A2B">
      <w:pPr>
        <w:keepNext/>
        <w:widowControl w:val="0"/>
        <w:shd w:val="clear" w:color="auto" w:fill="F2F2F2" w:themeFill="background1" w:themeFillShade="F2"/>
        <w:suppressAutoHyphens/>
        <w:autoSpaceDE w:val="0"/>
        <w:autoSpaceDN w:val="0"/>
        <w:adjustRightInd w:val="0"/>
        <w:spacing w:after="0" w:line="240" w:lineRule="auto"/>
        <w:outlineLvl w:val="2"/>
        <w:rPr>
          <w:rFonts w:cs="Arial"/>
          <w:b/>
          <w:snapToGrid w:val="0"/>
        </w:rPr>
      </w:pPr>
      <w:proofErr w:type="gramStart"/>
      <w:r w:rsidRPr="00FF5123">
        <w:rPr>
          <w:rFonts w:cs="Arial"/>
          <w:b/>
          <w:snapToGrid w:val="0"/>
        </w:rPr>
        <w:t>Third party challenge to the study “Evaluating the net effects of extending the age range for breast screening in the NHS Breast Screening Programme in England from 50-70 years to 47-73 y</w:t>
      </w:r>
      <w:r>
        <w:rPr>
          <w:rFonts w:cs="Arial"/>
          <w:b/>
          <w:snapToGrid w:val="0"/>
        </w:rPr>
        <w:t>ears”</w:t>
      </w:r>
      <w:r w:rsidRPr="00FF5123">
        <w:rPr>
          <w:rFonts w:cs="Arial"/>
          <w:b/>
          <w:snapToGrid w:val="0"/>
        </w:rPr>
        <w:t>.</w:t>
      </w:r>
      <w:proofErr w:type="gramEnd"/>
    </w:p>
    <w:p w:rsidR="00F70033" w:rsidRDefault="00F70033" w:rsidP="00C04EEB">
      <w:pPr>
        <w:spacing w:after="0" w:line="240" w:lineRule="auto"/>
        <w:rPr>
          <w:rFonts w:eastAsia="Calibri" w:cs="Arial"/>
          <w:lang w:eastAsia="en-GB"/>
        </w:rPr>
      </w:pPr>
    </w:p>
    <w:p w:rsidR="00FF5123" w:rsidRDefault="00EB555B" w:rsidP="00C04EEB">
      <w:pPr>
        <w:spacing w:after="0" w:line="240" w:lineRule="auto"/>
        <w:rPr>
          <w:rFonts w:eastAsia="Calibri" w:cs="Arial"/>
          <w:lang w:eastAsia="en-GB"/>
        </w:rPr>
      </w:pPr>
      <w:r>
        <w:rPr>
          <w:rFonts w:eastAsia="Calibri" w:cs="Arial"/>
          <w:lang w:eastAsia="en-GB"/>
        </w:rPr>
        <w:t>In March 2015 the</w:t>
      </w:r>
      <w:r w:rsidR="00FF5123">
        <w:rPr>
          <w:rFonts w:eastAsia="Calibri" w:cs="Arial"/>
          <w:lang w:eastAsia="en-GB"/>
        </w:rPr>
        <w:t xml:space="preserve"> panel</w:t>
      </w:r>
      <w:r w:rsidR="00A84217" w:rsidRPr="00A84217">
        <w:t xml:space="preserve"> </w:t>
      </w:r>
      <w:r w:rsidR="00A84217" w:rsidRPr="00A84217">
        <w:rPr>
          <w:rFonts w:eastAsia="Calibri" w:cs="Arial"/>
          <w:lang w:eastAsia="en-GB"/>
        </w:rPr>
        <w:t xml:space="preserve">considered </w:t>
      </w:r>
      <w:r w:rsidR="00A84217">
        <w:rPr>
          <w:rFonts w:eastAsia="Calibri" w:cs="Arial"/>
          <w:lang w:eastAsia="en-GB"/>
        </w:rPr>
        <w:t xml:space="preserve">a challenge </w:t>
      </w:r>
      <w:r w:rsidR="00650C8C">
        <w:rPr>
          <w:rFonts w:eastAsia="Calibri" w:cs="Arial"/>
          <w:lang w:eastAsia="en-GB"/>
        </w:rPr>
        <w:t xml:space="preserve">to a REC opinion </w:t>
      </w:r>
      <w:r w:rsidR="00A84217">
        <w:rPr>
          <w:rFonts w:eastAsia="Calibri" w:cs="Arial"/>
          <w:lang w:eastAsia="en-GB"/>
        </w:rPr>
        <w:t xml:space="preserve">and the Operations response to </w:t>
      </w:r>
      <w:r w:rsidR="002B2C8C">
        <w:rPr>
          <w:rFonts w:eastAsia="Calibri" w:cs="Arial"/>
          <w:lang w:eastAsia="en-GB"/>
        </w:rPr>
        <w:t>that</w:t>
      </w:r>
      <w:r w:rsidR="00A84217">
        <w:rPr>
          <w:rFonts w:eastAsia="Calibri" w:cs="Arial"/>
          <w:lang w:eastAsia="en-GB"/>
        </w:rPr>
        <w:t xml:space="preserve"> challenge</w:t>
      </w:r>
      <w:r w:rsidR="00466098">
        <w:rPr>
          <w:rFonts w:eastAsia="Calibri" w:cs="Arial"/>
          <w:lang w:eastAsia="en-GB"/>
        </w:rPr>
        <w:t xml:space="preserve"> under new SOPs</w:t>
      </w:r>
      <w:r w:rsidR="007F7707">
        <w:rPr>
          <w:rFonts w:eastAsia="Calibri" w:cs="Arial"/>
          <w:lang w:eastAsia="en-GB"/>
        </w:rPr>
        <w:t xml:space="preserve"> which involve the panel providing advice to the HRA to inform their response to the challenger</w:t>
      </w:r>
      <w:r w:rsidR="00A84217" w:rsidRPr="00A84217">
        <w:rPr>
          <w:rFonts w:eastAsia="Calibri" w:cs="Arial"/>
          <w:lang w:eastAsia="en-GB"/>
        </w:rPr>
        <w:t>.</w:t>
      </w:r>
    </w:p>
    <w:p w:rsidR="00DE3C22" w:rsidRDefault="00DE3C22" w:rsidP="00AF1375">
      <w:pPr>
        <w:spacing w:after="0" w:line="240" w:lineRule="auto"/>
        <w:outlineLvl w:val="0"/>
        <w:rPr>
          <w:rStyle w:val="Strong"/>
          <w:color w:val="000000"/>
        </w:rPr>
      </w:pPr>
    </w:p>
    <w:p w:rsidR="00DE3C22" w:rsidRPr="00AF1375" w:rsidRDefault="00650C8C" w:rsidP="00AF1375">
      <w:pPr>
        <w:spacing w:after="0" w:line="240" w:lineRule="auto"/>
        <w:outlineLvl w:val="0"/>
        <w:rPr>
          <w:rFonts w:eastAsia="Calibri" w:cs="Arial"/>
          <w:lang w:eastAsia="en-GB"/>
        </w:rPr>
      </w:pPr>
      <w:r>
        <w:rPr>
          <w:rFonts w:eastAsia="Calibri" w:cs="Arial"/>
          <w:lang w:eastAsia="en-GB"/>
        </w:rPr>
        <w:t xml:space="preserve">Following their review of the above </w:t>
      </w:r>
      <w:proofErr w:type="gramStart"/>
      <w:r>
        <w:rPr>
          <w:rFonts w:eastAsia="Calibri" w:cs="Arial"/>
          <w:lang w:eastAsia="en-GB"/>
        </w:rPr>
        <w:t>challenge</w:t>
      </w:r>
      <w:r w:rsidR="00480BF1">
        <w:rPr>
          <w:rFonts w:eastAsia="Calibri" w:cs="Arial"/>
          <w:lang w:eastAsia="en-GB"/>
        </w:rPr>
        <w:t>,</w:t>
      </w:r>
      <w:proofErr w:type="gramEnd"/>
      <w:r>
        <w:rPr>
          <w:rFonts w:eastAsia="Calibri" w:cs="Arial"/>
          <w:lang w:eastAsia="en-GB"/>
        </w:rPr>
        <w:t xml:space="preserve"> </w:t>
      </w:r>
      <w:r w:rsidR="00466098">
        <w:rPr>
          <w:rFonts w:eastAsia="Calibri" w:cs="Arial"/>
          <w:lang w:eastAsia="en-GB"/>
        </w:rPr>
        <w:t>and contemplation of lessons learnt</w:t>
      </w:r>
      <w:r w:rsidR="00480BF1">
        <w:rPr>
          <w:rFonts w:eastAsia="Calibri" w:cs="Arial"/>
          <w:lang w:eastAsia="en-GB"/>
        </w:rPr>
        <w:t>,</w:t>
      </w:r>
      <w:r w:rsidR="00466098">
        <w:rPr>
          <w:rFonts w:eastAsia="Calibri" w:cs="Arial"/>
          <w:lang w:eastAsia="en-GB"/>
        </w:rPr>
        <w:t xml:space="preserve"> </w:t>
      </w:r>
      <w:r>
        <w:rPr>
          <w:rFonts w:eastAsia="Calibri" w:cs="Arial"/>
          <w:lang w:eastAsia="en-GB"/>
        </w:rPr>
        <w:t>t</w:t>
      </w:r>
      <w:r w:rsidR="00AF1375" w:rsidRPr="00AF1375">
        <w:rPr>
          <w:rFonts w:eastAsia="Calibri" w:cs="Arial"/>
          <w:lang w:eastAsia="en-GB"/>
        </w:rPr>
        <w:t>he panel</w:t>
      </w:r>
      <w:r>
        <w:rPr>
          <w:rFonts w:eastAsia="Calibri" w:cs="Arial"/>
          <w:lang w:eastAsia="en-GB"/>
        </w:rPr>
        <w:t xml:space="preserve"> subsequently</w:t>
      </w:r>
      <w:r w:rsidR="00AF1375" w:rsidRPr="00AF1375">
        <w:rPr>
          <w:rFonts w:eastAsia="Calibri" w:cs="Arial"/>
          <w:lang w:eastAsia="en-GB"/>
        </w:rPr>
        <w:t xml:space="preserve"> </w:t>
      </w:r>
      <w:r w:rsidR="00F32158">
        <w:rPr>
          <w:rFonts w:eastAsia="Calibri" w:cs="Arial"/>
          <w:lang w:eastAsia="en-GB"/>
        </w:rPr>
        <w:t>commented on</w:t>
      </w:r>
      <w:r w:rsidR="00AF1375" w:rsidRPr="00AF1375">
        <w:rPr>
          <w:rFonts w:eastAsia="Calibri" w:cs="Arial"/>
          <w:lang w:eastAsia="en-GB"/>
        </w:rPr>
        <w:t xml:space="preserve"> </w:t>
      </w:r>
      <w:r w:rsidR="00466098">
        <w:rPr>
          <w:rFonts w:eastAsia="Calibri" w:cs="Arial"/>
          <w:lang w:eastAsia="en-GB"/>
        </w:rPr>
        <w:t xml:space="preserve">revised </w:t>
      </w:r>
      <w:r w:rsidR="00AF1375" w:rsidRPr="00AF1375">
        <w:rPr>
          <w:rFonts w:eastAsia="Calibri" w:cs="Arial"/>
          <w:lang w:eastAsia="en-GB"/>
        </w:rPr>
        <w:t>SOPs regarding review of ethical opinion (Concerns/Challenges).</w:t>
      </w:r>
    </w:p>
    <w:p w:rsidR="00F70033" w:rsidRPr="00C820E0" w:rsidRDefault="00F70033" w:rsidP="00C820E0">
      <w:pPr>
        <w:spacing w:after="0" w:line="240" w:lineRule="auto"/>
        <w:rPr>
          <w:rStyle w:val="Strong"/>
          <w:rFonts w:cs="Arial"/>
          <w:b w:val="0"/>
          <w:bCs w:val="0"/>
          <w:lang w:eastAsia="en-GB"/>
        </w:rPr>
      </w:pPr>
    </w:p>
    <w:p w:rsidR="00C02A55" w:rsidRPr="00DD0B84" w:rsidRDefault="00007B39" w:rsidP="006F5170">
      <w:pPr>
        <w:pStyle w:val="ListParagraph"/>
      </w:pPr>
      <w:bookmarkStart w:id="6" w:name="Guidance"/>
      <w:r w:rsidRPr="00DD0B84">
        <w:t xml:space="preserve">NREAP </w:t>
      </w:r>
      <w:r w:rsidR="00DA08A3" w:rsidRPr="00DD0B84">
        <w:t>Guidance</w:t>
      </w:r>
      <w:r w:rsidR="00C41533" w:rsidRPr="00DD0B84">
        <w:t>:</w:t>
      </w:r>
    </w:p>
    <w:bookmarkEnd w:id="6"/>
    <w:p w:rsidR="00DD0B84" w:rsidRPr="00DD0B84" w:rsidRDefault="00DD0B84" w:rsidP="00DD0B84">
      <w:pPr>
        <w:spacing w:after="0" w:line="240" w:lineRule="auto"/>
        <w:rPr>
          <w:rStyle w:val="Strong"/>
          <w:rFonts w:cs="Arial"/>
          <w:b w:val="0"/>
          <w:bCs w:val="0"/>
          <w:lang w:eastAsia="en-GB"/>
        </w:rPr>
      </w:pPr>
    </w:p>
    <w:p w:rsidR="001C571A" w:rsidRPr="004E1E59" w:rsidRDefault="001C571A" w:rsidP="001C571A">
      <w:pPr>
        <w:pStyle w:val="NormalWeb"/>
        <w:shd w:val="clear" w:color="auto" w:fill="F2F2F2" w:themeFill="background1" w:themeFillShade="F2"/>
        <w:ind w:right="5340"/>
        <w:rPr>
          <w:rStyle w:val="Strong"/>
          <w:rFonts w:ascii="Arial" w:hAnsi="Arial" w:cs="Arial"/>
          <w:color w:val="000000"/>
          <w:sz w:val="22"/>
          <w:szCs w:val="22"/>
        </w:rPr>
      </w:pPr>
      <w:r w:rsidRPr="004E1E59">
        <w:rPr>
          <w:rStyle w:val="Strong"/>
          <w:rFonts w:ascii="Arial" w:hAnsi="Arial" w:cs="Arial"/>
          <w:color w:val="000000"/>
          <w:sz w:val="22"/>
          <w:szCs w:val="22"/>
        </w:rPr>
        <w:t>Payments &amp; Incentives Guidance</w:t>
      </w:r>
    </w:p>
    <w:p w:rsidR="001C571A" w:rsidRPr="004E1E59" w:rsidRDefault="001C571A" w:rsidP="001C571A">
      <w:pPr>
        <w:pStyle w:val="NormalWeb"/>
        <w:rPr>
          <w:rStyle w:val="Strong"/>
          <w:rFonts w:ascii="Arial" w:hAnsi="Arial" w:cs="Arial"/>
          <w:b w:val="0"/>
          <w:color w:val="000000"/>
          <w:sz w:val="22"/>
          <w:szCs w:val="22"/>
        </w:rPr>
      </w:pPr>
    </w:p>
    <w:p w:rsidR="001C571A" w:rsidRDefault="001C571A" w:rsidP="001C571A">
      <w:pPr>
        <w:pStyle w:val="NormalWeb"/>
        <w:rPr>
          <w:rFonts w:ascii="Helvetica" w:hAnsi="Helvetica"/>
          <w:color w:val="333333"/>
          <w:sz w:val="21"/>
          <w:szCs w:val="21"/>
          <w:lang w:val="en-US"/>
        </w:rPr>
      </w:pPr>
      <w:r>
        <w:rPr>
          <w:rStyle w:val="Strong"/>
          <w:rFonts w:ascii="Arial" w:hAnsi="Arial" w:cs="Arial"/>
          <w:b w:val="0"/>
          <w:color w:val="000000"/>
          <w:sz w:val="22"/>
          <w:szCs w:val="22"/>
        </w:rPr>
        <w:t xml:space="preserve">In May 2014 </w:t>
      </w:r>
      <w:r w:rsidRPr="004E1E59">
        <w:rPr>
          <w:rStyle w:val="Strong"/>
          <w:rFonts w:ascii="Arial" w:hAnsi="Arial" w:cs="Arial"/>
          <w:b w:val="0"/>
          <w:color w:val="000000"/>
          <w:sz w:val="22"/>
          <w:szCs w:val="22"/>
        </w:rPr>
        <w:t xml:space="preserve">the panel </w:t>
      </w:r>
      <w:r>
        <w:rPr>
          <w:rStyle w:val="Strong"/>
          <w:rFonts w:ascii="Arial" w:hAnsi="Arial" w:cs="Arial"/>
          <w:b w:val="0"/>
          <w:color w:val="000000"/>
          <w:sz w:val="22"/>
          <w:szCs w:val="22"/>
        </w:rPr>
        <w:t>published</w:t>
      </w:r>
      <w:r w:rsidRPr="004E1E59">
        <w:rPr>
          <w:rStyle w:val="Strong"/>
          <w:rFonts w:ascii="Arial" w:hAnsi="Arial" w:cs="Arial"/>
          <w:b w:val="0"/>
          <w:color w:val="000000"/>
          <w:sz w:val="22"/>
          <w:szCs w:val="22"/>
        </w:rPr>
        <w:t xml:space="preserve"> guidance </w:t>
      </w:r>
      <w:r>
        <w:rPr>
          <w:rFonts w:ascii="Helvetica" w:hAnsi="Helvetica"/>
          <w:color w:val="333333"/>
          <w:sz w:val="21"/>
          <w:szCs w:val="21"/>
          <w:lang w:val="en-US"/>
        </w:rPr>
        <w:t>on “</w:t>
      </w:r>
      <w:hyperlink r:id="rId13" w:history="1">
        <w:r w:rsidRPr="006B60EB">
          <w:rPr>
            <w:rStyle w:val="Hyperlink"/>
            <w:rFonts w:ascii="Helvetica" w:hAnsi="Helvetica"/>
            <w:sz w:val="21"/>
            <w:szCs w:val="21"/>
            <w:lang w:val="en-US"/>
          </w:rPr>
          <w:t>Payments and Incentives in Research</w:t>
        </w:r>
      </w:hyperlink>
      <w:r>
        <w:rPr>
          <w:rFonts w:ascii="Helvetica" w:hAnsi="Helvetica"/>
          <w:color w:val="333333"/>
          <w:sz w:val="21"/>
          <w:szCs w:val="21"/>
          <w:lang w:val="en-US"/>
        </w:rPr>
        <w:t>”.</w:t>
      </w:r>
      <w:r w:rsidRPr="006B60EB">
        <w:t xml:space="preserve"> </w:t>
      </w:r>
      <w:r w:rsidRPr="006B60EB">
        <w:rPr>
          <w:rFonts w:ascii="Helvetica" w:hAnsi="Helvetica"/>
          <w:color w:val="333333"/>
          <w:sz w:val="21"/>
          <w:szCs w:val="21"/>
          <w:lang w:val="en-US"/>
        </w:rPr>
        <w:t>This docum</w:t>
      </w:r>
      <w:r>
        <w:rPr>
          <w:rFonts w:ascii="Helvetica" w:hAnsi="Helvetica"/>
          <w:color w:val="333333"/>
          <w:sz w:val="21"/>
          <w:szCs w:val="21"/>
          <w:lang w:val="en-US"/>
        </w:rPr>
        <w:t>ent incorporates the</w:t>
      </w:r>
      <w:r w:rsidRPr="006B60EB">
        <w:rPr>
          <w:rFonts w:ascii="Helvetica" w:hAnsi="Helvetica"/>
          <w:color w:val="333333"/>
          <w:sz w:val="21"/>
          <w:szCs w:val="21"/>
          <w:lang w:val="en-US"/>
        </w:rPr>
        <w:t xml:space="preserve"> guidance developed by the Phase 1 Advisory Group on 'payments and </w:t>
      </w:r>
      <w:r>
        <w:rPr>
          <w:rFonts w:ascii="Helvetica" w:hAnsi="Helvetica"/>
          <w:color w:val="333333"/>
          <w:sz w:val="21"/>
          <w:szCs w:val="21"/>
          <w:lang w:val="en-US"/>
        </w:rPr>
        <w:t xml:space="preserve">incentives in phase I studies' but now </w:t>
      </w:r>
      <w:r w:rsidRPr="006B60EB">
        <w:rPr>
          <w:rFonts w:ascii="Helvetica" w:hAnsi="Helvetica"/>
          <w:color w:val="333333"/>
          <w:sz w:val="21"/>
          <w:szCs w:val="21"/>
          <w:lang w:val="en-US"/>
        </w:rPr>
        <w:t xml:space="preserve">provides general guidance on 'payments and incentives' that goes beyond phase 1 studies and encompasses the issue of payments to patients and healthy volunteers in both therapeutic and non-therapeutic research. </w:t>
      </w:r>
    </w:p>
    <w:p w:rsidR="008E2025" w:rsidRPr="006B60EB" w:rsidRDefault="008E2025" w:rsidP="001C571A">
      <w:pPr>
        <w:pStyle w:val="NormalWeb"/>
        <w:rPr>
          <w:rStyle w:val="Strong"/>
          <w:rFonts w:ascii="Helvetica" w:hAnsi="Helvetica"/>
          <w:b w:val="0"/>
          <w:bCs w:val="0"/>
          <w:color w:val="333333"/>
          <w:sz w:val="21"/>
          <w:szCs w:val="21"/>
          <w:lang w:val="en-US"/>
        </w:rPr>
      </w:pPr>
    </w:p>
    <w:p w:rsidR="00C02A55" w:rsidRPr="006F5170" w:rsidRDefault="00E3047C" w:rsidP="006F5170">
      <w:pPr>
        <w:pStyle w:val="ListParagraph"/>
      </w:pPr>
      <w:bookmarkStart w:id="7" w:name="Statements"/>
      <w:r w:rsidRPr="006F5170">
        <w:t xml:space="preserve">NREAP </w:t>
      </w:r>
      <w:r w:rsidR="00C41533" w:rsidRPr="006F5170">
        <w:t>Statements</w:t>
      </w:r>
      <w:r w:rsidR="00DA08A3" w:rsidRPr="006F5170">
        <w:t>:</w:t>
      </w:r>
    </w:p>
    <w:bookmarkEnd w:id="7"/>
    <w:p w:rsidR="006F5170" w:rsidRDefault="006F5170" w:rsidP="00193D9D">
      <w:pPr>
        <w:pStyle w:val="NormalWeb"/>
        <w:rPr>
          <w:rStyle w:val="Strong"/>
          <w:rFonts w:ascii="Arial" w:hAnsi="Arial" w:cs="Arial"/>
          <w:b w:val="0"/>
          <w:color w:val="000000"/>
          <w:sz w:val="22"/>
          <w:szCs w:val="22"/>
        </w:rPr>
      </w:pPr>
    </w:p>
    <w:p w:rsidR="00A0632B" w:rsidRPr="004E1E59" w:rsidRDefault="00C02A55" w:rsidP="00193D9D">
      <w:pPr>
        <w:pStyle w:val="NormalWeb"/>
        <w:rPr>
          <w:rStyle w:val="Strong"/>
          <w:rFonts w:ascii="Arial" w:hAnsi="Arial" w:cs="Arial"/>
          <w:b w:val="0"/>
          <w:color w:val="000000"/>
          <w:sz w:val="22"/>
          <w:szCs w:val="22"/>
        </w:rPr>
      </w:pPr>
      <w:r w:rsidRPr="004E1E59">
        <w:rPr>
          <w:rStyle w:val="Strong"/>
          <w:rFonts w:ascii="Arial" w:hAnsi="Arial" w:cs="Arial"/>
          <w:b w:val="0"/>
          <w:color w:val="000000"/>
          <w:sz w:val="22"/>
          <w:szCs w:val="22"/>
        </w:rPr>
        <w:t xml:space="preserve">The panel have made a number of statements that should be </w:t>
      </w:r>
      <w:r w:rsidR="007662EC">
        <w:rPr>
          <w:rStyle w:val="Strong"/>
          <w:rFonts w:ascii="Arial" w:hAnsi="Arial" w:cs="Arial"/>
          <w:b w:val="0"/>
          <w:color w:val="000000"/>
          <w:sz w:val="22"/>
          <w:szCs w:val="22"/>
        </w:rPr>
        <w:t>taken into account</w:t>
      </w:r>
      <w:r w:rsidRPr="004E1E59">
        <w:rPr>
          <w:rStyle w:val="Strong"/>
          <w:rFonts w:ascii="Arial" w:hAnsi="Arial" w:cs="Arial"/>
          <w:b w:val="0"/>
          <w:color w:val="000000"/>
          <w:sz w:val="22"/>
          <w:szCs w:val="22"/>
        </w:rPr>
        <w:t xml:space="preserve"> by RECs</w:t>
      </w:r>
      <w:r w:rsidR="007662EC">
        <w:rPr>
          <w:rStyle w:val="Strong"/>
          <w:rFonts w:ascii="Arial" w:hAnsi="Arial" w:cs="Arial"/>
          <w:b w:val="0"/>
          <w:color w:val="000000"/>
          <w:sz w:val="22"/>
          <w:szCs w:val="22"/>
        </w:rPr>
        <w:t>, where applicable,</w:t>
      </w:r>
      <w:r w:rsidRPr="004E1E59">
        <w:rPr>
          <w:rStyle w:val="Strong"/>
          <w:rFonts w:ascii="Arial" w:hAnsi="Arial" w:cs="Arial"/>
          <w:b w:val="0"/>
          <w:color w:val="000000"/>
          <w:sz w:val="22"/>
          <w:szCs w:val="22"/>
        </w:rPr>
        <w:t xml:space="preserve"> in reaching an opinion: </w:t>
      </w:r>
    </w:p>
    <w:p w:rsidR="00406DDB" w:rsidRDefault="00406DDB" w:rsidP="00406DDB">
      <w:pPr>
        <w:pStyle w:val="NormalWeb"/>
        <w:rPr>
          <w:rFonts w:ascii="Arial" w:hAnsi="Arial" w:cs="Arial"/>
          <w:bCs/>
          <w:color w:val="000000"/>
          <w:sz w:val="22"/>
          <w:szCs w:val="22"/>
        </w:rPr>
      </w:pPr>
    </w:p>
    <w:p w:rsidR="00562B7C" w:rsidRPr="00562B7C" w:rsidRDefault="00562B7C" w:rsidP="00F97A2B">
      <w:pPr>
        <w:shd w:val="clear" w:color="auto" w:fill="F2F2F2" w:themeFill="background1" w:themeFillShade="F2"/>
        <w:spacing w:after="0" w:line="240" w:lineRule="auto"/>
        <w:ind w:right="3072"/>
        <w:outlineLvl w:val="0"/>
        <w:rPr>
          <w:rFonts w:cs="Arial"/>
          <w:b/>
          <w:lang w:eastAsia="en-GB"/>
        </w:rPr>
      </w:pPr>
      <w:r w:rsidRPr="00562B7C">
        <w:rPr>
          <w:rFonts w:cs="Arial"/>
          <w:b/>
          <w:lang w:eastAsia="en-GB"/>
        </w:rPr>
        <w:t>Patient Information Leaflet (PIL) and Information Sheets</w:t>
      </w:r>
    </w:p>
    <w:p w:rsidR="00562B7C" w:rsidRPr="00562B7C" w:rsidRDefault="00562B7C" w:rsidP="00562B7C">
      <w:pPr>
        <w:spacing w:after="0" w:line="240" w:lineRule="auto"/>
        <w:rPr>
          <w:rFonts w:cs="Arial"/>
          <w:color w:val="333333"/>
          <w:lang w:eastAsia="en-GB"/>
        </w:rPr>
      </w:pPr>
    </w:p>
    <w:p w:rsidR="00562B7C" w:rsidRPr="00562B7C" w:rsidRDefault="00562B7C" w:rsidP="00562B7C">
      <w:pPr>
        <w:spacing w:after="0" w:line="240" w:lineRule="auto"/>
        <w:rPr>
          <w:rFonts w:cs="Arial"/>
          <w:color w:val="333333"/>
          <w:lang w:eastAsia="en-GB"/>
        </w:rPr>
      </w:pPr>
      <w:r w:rsidRPr="00562B7C">
        <w:rPr>
          <w:rFonts w:cs="Arial"/>
          <w:color w:val="333333"/>
          <w:lang w:eastAsia="en-GB"/>
        </w:rPr>
        <w:t xml:space="preserve">Sheila Oliver (Head of NRES) asked the panel to provide guidance or a position statement on the </w:t>
      </w:r>
      <w:proofErr w:type="spellStart"/>
      <w:r w:rsidRPr="00562B7C">
        <w:rPr>
          <w:rFonts w:cs="Arial"/>
          <w:color w:val="333333"/>
          <w:lang w:eastAsia="en-GB"/>
        </w:rPr>
        <w:t>the</w:t>
      </w:r>
      <w:proofErr w:type="spellEnd"/>
      <w:r w:rsidRPr="00562B7C">
        <w:rPr>
          <w:rFonts w:cs="Arial"/>
          <w:color w:val="333333"/>
          <w:lang w:eastAsia="en-GB"/>
        </w:rPr>
        <w:t xml:space="preserve"> issue of whether when a study involves the use of a licenced drug the information provided in the PIS should be a complete transcript of the Patient Information Leaflet (PIL) that would be provided with the medication had it been prescribed for normal care and treatment.</w:t>
      </w:r>
    </w:p>
    <w:p w:rsidR="00562B7C" w:rsidRPr="00562B7C" w:rsidRDefault="00562B7C" w:rsidP="00562B7C">
      <w:pPr>
        <w:spacing w:after="0" w:line="240" w:lineRule="auto"/>
        <w:ind w:left="720"/>
        <w:rPr>
          <w:rFonts w:cs="Arial"/>
          <w:color w:val="333333"/>
          <w:lang w:eastAsia="en-GB"/>
        </w:rPr>
      </w:pPr>
    </w:p>
    <w:p w:rsidR="00562B7C" w:rsidRDefault="00562B7C" w:rsidP="00562B7C">
      <w:pPr>
        <w:spacing w:after="0" w:line="240" w:lineRule="auto"/>
        <w:rPr>
          <w:rFonts w:cs="Arial"/>
          <w:color w:val="333333"/>
          <w:lang w:eastAsia="en-GB"/>
        </w:rPr>
      </w:pPr>
      <w:r w:rsidRPr="00562B7C">
        <w:rPr>
          <w:rFonts w:cs="Arial"/>
          <w:color w:val="333333"/>
          <w:lang w:eastAsia="en-GB"/>
        </w:rPr>
        <w:t>The panel endorsed the following statement:</w:t>
      </w:r>
    </w:p>
    <w:p w:rsidR="006F5170" w:rsidRPr="00562B7C" w:rsidRDefault="006F5170" w:rsidP="00562B7C">
      <w:pPr>
        <w:spacing w:after="0" w:line="240" w:lineRule="auto"/>
        <w:rPr>
          <w:rFonts w:cs="Arial"/>
          <w:color w:val="333333"/>
          <w:lang w:eastAsia="en-GB"/>
        </w:rPr>
      </w:pPr>
    </w:p>
    <w:p w:rsidR="00562B7C" w:rsidRPr="00562B7C" w:rsidRDefault="00562B7C" w:rsidP="00562B7C">
      <w:pPr>
        <w:pBdr>
          <w:top w:val="single" w:sz="4" w:space="1" w:color="auto"/>
          <w:left w:val="single" w:sz="4" w:space="4" w:color="auto"/>
          <w:bottom w:val="single" w:sz="4" w:space="1" w:color="auto"/>
          <w:right w:val="single" w:sz="4" w:space="4" w:color="auto"/>
        </w:pBdr>
        <w:shd w:val="clear" w:color="auto" w:fill="D9D9D9"/>
        <w:spacing w:after="0" w:line="240" w:lineRule="auto"/>
        <w:rPr>
          <w:rFonts w:cs="Arial"/>
          <w:color w:val="333333"/>
          <w:lang w:eastAsia="en-GB"/>
        </w:rPr>
      </w:pPr>
    </w:p>
    <w:p w:rsidR="00562B7C" w:rsidRPr="00562B7C" w:rsidRDefault="00562B7C" w:rsidP="00562B7C">
      <w:pPr>
        <w:pBdr>
          <w:top w:val="single" w:sz="4" w:space="1" w:color="auto"/>
          <w:left w:val="single" w:sz="4" w:space="4" w:color="auto"/>
          <w:bottom w:val="single" w:sz="4" w:space="1" w:color="auto"/>
          <w:right w:val="single" w:sz="4" w:space="4" w:color="auto"/>
        </w:pBdr>
        <w:shd w:val="clear" w:color="auto" w:fill="D9D9D9"/>
        <w:spacing w:after="0" w:line="240" w:lineRule="auto"/>
        <w:rPr>
          <w:rFonts w:cs="Arial"/>
          <w:color w:val="333333"/>
          <w:lang w:eastAsia="en-GB"/>
        </w:rPr>
      </w:pPr>
      <w:r w:rsidRPr="00562B7C">
        <w:rPr>
          <w:rFonts w:cs="Arial"/>
          <w:color w:val="333333"/>
          <w:lang w:eastAsia="en-GB"/>
        </w:rPr>
        <w:t>"Potential participants in a clinical trial involving licensed medicines should be provided with information equivalent to that they would have received had they been prescribed those medicines as part of their standard care (i.e. the information contained in the Patient Information Leaflet (PIL)).</w:t>
      </w:r>
    </w:p>
    <w:p w:rsidR="00562B7C" w:rsidRPr="00562B7C" w:rsidRDefault="00562B7C" w:rsidP="00562B7C">
      <w:pPr>
        <w:pBdr>
          <w:top w:val="single" w:sz="4" w:space="1" w:color="auto"/>
          <w:left w:val="single" w:sz="4" w:space="4" w:color="auto"/>
          <w:bottom w:val="single" w:sz="4" w:space="1" w:color="auto"/>
          <w:right w:val="single" w:sz="4" w:space="4" w:color="auto"/>
        </w:pBdr>
        <w:shd w:val="clear" w:color="auto" w:fill="D9D9D9"/>
        <w:spacing w:after="0" w:line="240" w:lineRule="auto"/>
        <w:rPr>
          <w:rFonts w:cs="Arial"/>
          <w:color w:val="333333"/>
          <w:lang w:eastAsia="en-GB"/>
        </w:rPr>
      </w:pPr>
    </w:p>
    <w:p w:rsidR="00562B7C" w:rsidRPr="00562B7C" w:rsidRDefault="00562B7C" w:rsidP="00562B7C">
      <w:pPr>
        <w:pBdr>
          <w:top w:val="single" w:sz="4" w:space="1" w:color="auto"/>
          <w:left w:val="single" w:sz="4" w:space="4" w:color="auto"/>
          <w:bottom w:val="single" w:sz="4" w:space="1" w:color="auto"/>
          <w:right w:val="single" w:sz="4" w:space="4" w:color="auto"/>
        </w:pBdr>
        <w:shd w:val="clear" w:color="auto" w:fill="D9D9D9"/>
        <w:spacing w:after="0" w:line="240" w:lineRule="auto"/>
        <w:rPr>
          <w:rFonts w:cs="Arial"/>
          <w:color w:val="333333"/>
          <w:lang w:eastAsia="en-GB"/>
        </w:rPr>
      </w:pPr>
      <w:r w:rsidRPr="00562B7C">
        <w:rPr>
          <w:rFonts w:cs="Arial"/>
          <w:color w:val="333333"/>
          <w:lang w:eastAsia="en-GB"/>
        </w:rPr>
        <w:t>This information may be provided separately to the Participant Information Sheet (PIS)"</w:t>
      </w:r>
    </w:p>
    <w:p w:rsidR="00562B7C" w:rsidRPr="00562B7C" w:rsidRDefault="00562B7C" w:rsidP="00562B7C">
      <w:pPr>
        <w:pBdr>
          <w:top w:val="single" w:sz="4" w:space="1" w:color="auto"/>
          <w:left w:val="single" w:sz="4" w:space="4" w:color="auto"/>
          <w:bottom w:val="single" w:sz="4" w:space="1" w:color="auto"/>
          <w:right w:val="single" w:sz="4" w:space="4" w:color="auto"/>
        </w:pBdr>
        <w:shd w:val="clear" w:color="auto" w:fill="D9D9D9"/>
        <w:spacing w:after="0" w:line="240" w:lineRule="auto"/>
        <w:rPr>
          <w:rFonts w:cs="Arial"/>
          <w:b/>
          <w:color w:val="333333"/>
          <w:lang w:eastAsia="en-GB"/>
        </w:rPr>
      </w:pPr>
    </w:p>
    <w:p w:rsidR="00EC6AD6" w:rsidRDefault="00EC6AD6" w:rsidP="00406DDB">
      <w:pPr>
        <w:pStyle w:val="NormalWeb"/>
        <w:rPr>
          <w:rFonts w:ascii="Arial" w:hAnsi="Arial" w:cs="Arial"/>
          <w:bCs/>
          <w:color w:val="000000"/>
          <w:sz w:val="22"/>
          <w:szCs w:val="22"/>
        </w:rPr>
      </w:pPr>
    </w:p>
    <w:p w:rsidR="00480BF1" w:rsidRPr="004E1E59" w:rsidRDefault="00480BF1" w:rsidP="00406DDB">
      <w:pPr>
        <w:pStyle w:val="NormalWeb"/>
        <w:rPr>
          <w:rFonts w:ascii="Arial" w:hAnsi="Arial" w:cs="Arial"/>
          <w:bCs/>
          <w:color w:val="000000"/>
          <w:sz w:val="22"/>
          <w:szCs w:val="22"/>
        </w:rPr>
      </w:pPr>
    </w:p>
    <w:p w:rsidR="00891596" w:rsidRPr="00891596" w:rsidRDefault="00891596" w:rsidP="00F97A2B">
      <w:pPr>
        <w:shd w:val="clear" w:color="auto" w:fill="F2F2F2" w:themeFill="background1" w:themeFillShade="F2"/>
        <w:spacing w:after="0" w:line="240" w:lineRule="auto"/>
        <w:ind w:right="3497"/>
        <w:outlineLvl w:val="0"/>
        <w:rPr>
          <w:rFonts w:cs="Arial"/>
          <w:b/>
          <w:lang w:eastAsia="en-GB"/>
        </w:rPr>
      </w:pPr>
      <w:r w:rsidRPr="00891596">
        <w:rPr>
          <w:rFonts w:cs="Arial"/>
          <w:b/>
          <w:lang w:eastAsia="en-GB"/>
        </w:rPr>
        <w:t>Payments &amp; Incentives</w:t>
      </w:r>
      <w:r>
        <w:rPr>
          <w:rFonts w:cs="Arial"/>
          <w:b/>
          <w:lang w:eastAsia="en-GB"/>
        </w:rPr>
        <w:t>: Impact on Benefits and PIS</w:t>
      </w:r>
    </w:p>
    <w:p w:rsidR="00891596" w:rsidRPr="00891596" w:rsidRDefault="00891596" w:rsidP="00891596">
      <w:pPr>
        <w:spacing w:after="0" w:line="240" w:lineRule="auto"/>
        <w:outlineLvl w:val="0"/>
        <w:rPr>
          <w:rFonts w:eastAsia="Calibri" w:cs="Arial"/>
          <w:lang w:eastAsia="en-GB"/>
        </w:rPr>
      </w:pPr>
    </w:p>
    <w:p w:rsidR="00891596" w:rsidRPr="00891596" w:rsidRDefault="00891596" w:rsidP="00891596">
      <w:pPr>
        <w:spacing w:after="0" w:line="240" w:lineRule="auto"/>
        <w:outlineLvl w:val="0"/>
        <w:rPr>
          <w:rFonts w:eastAsia="Calibri" w:cs="Arial"/>
          <w:lang w:eastAsia="en-GB"/>
        </w:rPr>
      </w:pPr>
      <w:r w:rsidRPr="00891596">
        <w:rPr>
          <w:rFonts w:eastAsia="Calibri" w:cs="Arial"/>
          <w:lang w:eastAsia="en-GB"/>
        </w:rPr>
        <w:t>The panel revise</w:t>
      </w:r>
      <w:r>
        <w:rPr>
          <w:rFonts w:eastAsia="Calibri" w:cs="Arial"/>
          <w:lang w:eastAsia="en-GB"/>
        </w:rPr>
        <w:t>d</w:t>
      </w:r>
      <w:r w:rsidRPr="00891596">
        <w:rPr>
          <w:rFonts w:eastAsia="Calibri" w:cs="Arial"/>
          <w:lang w:eastAsia="en-GB"/>
        </w:rPr>
        <w:t xml:space="preserve"> </w:t>
      </w:r>
      <w:r w:rsidR="00EC6AD6">
        <w:rPr>
          <w:rFonts w:eastAsia="Calibri" w:cs="Arial"/>
          <w:lang w:eastAsia="en-GB"/>
        </w:rPr>
        <w:t>a</w:t>
      </w:r>
      <w:r w:rsidRPr="00891596">
        <w:rPr>
          <w:rFonts w:eastAsia="Calibri" w:cs="Arial"/>
          <w:lang w:eastAsia="en-GB"/>
        </w:rPr>
        <w:t xml:space="preserve"> previous statemen</w:t>
      </w:r>
      <w:r>
        <w:rPr>
          <w:rFonts w:eastAsia="Calibri" w:cs="Arial"/>
          <w:lang w:eastAsia="en-GB"/>
        </w:rPr>
        <w:t xml:space="preserve">t </w:t>
      </w:r>
      <w:r w:rsidR="00EC6AD6">
        <w:rPr>
          <w:rFonts w:eastAsia="Calibri" w:cs="Arial"/>
          <w:lang w:eastAsia="en-GB"/>
        </w:rPr>
        <w:t xml:space="preserve">made in </w:t>
      </w:r>
      <w:r>
        <w:rPr>
          <w:rFonts w:eastAsia="Calibri" w:cs="Arial"/>
          <w:lang w:eastAsia="en-GB"/>
        </w:rPr>
        <w:t xml:space="preserve">October 2012 regarding </w:t>
      </w:r>
      <w:r w:rsidRPr="00891596">
        <w:rPr>
          <w:rFonts w:eastAsia="Calibri" w:cs="Arial"/>
          <w:lang w:eastAsia="en-GB"/>
        </w:rPr>
        <w:t>the provision of information to research participants on the effect of payment for research pa</w:t>
      </w:r>
      <w:r w:rsidR="00EC6AD6">
        <w:rPr>
          <w:rFonts w:eastAsia="Calibri" w:cs="Arial"/>
          <w:lang w:eastAsia="en-GB"/>
        </w:rPr>
        <w:t xml:space="preserve">rticipation on benefit payments </w:t>
      </w:r>
      <w:r w:rsidR="00FC1989">
        <w:rPr>
          <w:rFonts w:eastAsia="Calibri" w:cs="Arial"/>
          <w:lang w:eastAsia="en-GB"/>
        </w:rPr>
        <w:t xml:space="preserve">in order to highlight when it would be more appropriate to inform </w:t>
      </w:r>
      <w:r w:rsidR="00EC449F">
        <w:rPr>
          <w:rFonts w:eastAsia="Calibri" w:cs="Arial"/>
          <w:lang w:eastAsia="en-GB"/>
        </w:rPr>
        <w:t>participants</w:t>
      </w:r>
      <w:r w:rsidR="00FC1989">
        <w:rPr>
          <w:rFonts w:eastAsia="Calibri" w:cs="Arial"/>
          <w:lang w:eastAsia="en-GB"/>
        </w:rPr>
        <w:t xml:space="preserve"> that </w:t>
      </w:r>
      <w:r w:rsidR="00EC449F">
        <w:rPr>
          <w:rFonts w:eastAsia="Calibri" w:cs="Arial"/>
          <w:lang w:eastAsia="en-GB"/>
        </w:rPr>
        <w:t>acceptance of payment for taking part in research may affect their benefit payments</w:t>
      </w:r>
      <w:r w:rsidRPr="00891596">
        <w:rPr>
          <w:rFonts w:eastAsia="Calibri" w:cs="Arial"/>
          <w:lang w:eastAsia="en-GB"/>
        </w:rPr>
        <w:t>:</w:t>
      </w:r>
    </w:p>
    <w:p w:rsidR="00891596" w:rsidRDefault="00891596" w:rsidP="00891596">
      <w:pPr>
        <w:spacing w:after="0" w:line="240" w:lineRule="auto"/>
        <w:outlineLvl w:val="0"/>
        <w:rPr>
          <w:rFonts w:eastAsia="Calibri" w:cs="Arial"/>
          <w:lang w:eastAsia="en-GB"/>
        </w:rPr>
      </w:pPr>
    </w:p>
    <w:p w:rsidR="00C11521" w:rsidRPr="00891596" w:rsidRDefault="00C11521" w:rsidP="00891596">
      <w:pPr>
        <w:spacing w:after="0" w:line="240" w:lineRule="auto"/>
        <w:outlineLvl w:val="0"/>
        <w:rPr>
          <w:rFonts w:eastAsia="Calibri" w:cs="Arial"/>
          <w:lang w:eastAsia="en-GB"/>
        </w:rPr>
      </w:pPr>
    </w:p>
    <w:p w:rsidR="00891596" w:rsidRPr="00C11521" w:rsidRDefault="00891596" w:rsidP="0089159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Calibri" w:cs="Arial"/>
          <w:b/>
          <w:sz w:val="20"/>
          <w:szCs w:val="20"/>
          <w:lang w:eastAsia="en-GB"/>
        </w:rPr>
      </w:pPr>
    </w:p>
    <w:p w:rsidR="00891596" w:rsidRPr="00C11521" w:rsidRDefault="00891596" w:rsidP="0089159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Calibri" w:cs="Arial"/>
          <w:b/>
          <w:sz w:val="20"/>
          <w:szCs w:val="20"/>
          <w:lang w:eastAsia="en-GB"/>
        </w:rPr>
      </w:pPr>
      <w:r w:rsidRPr="00C11521">
        <w:rPr>
          <w:rFonts w:eastAsia="Calibri" w:cs="Arial"/>
          <w:b/>
          <w:sz w:val="20"/>
          <w:szCs w:val="20"/>
          <w:lang w:eastAsia="en-GB"/>
        </w:rPr>
        <w:t>Payments and incentives (including statements regarding their effect on benefit payments)</w:t>
      </w:r>
    </w:p>
    <w:p w:rsidR="00891596" w:rsidRPr="00C11521" w:rsidRDefault="00891596" w:rsidP="0089159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Calibri" w:cs="Arial"/>
          <w:sz w:val="20"/>
          <w:szCs w:val="20"/>
          <w:lang w:eastAsia="en-GB"/>
        </w:rPr>
      </w:pPr>
    </w:p>
    <w:p w:rsidR="00891596" w:rsidRPr="00C11521" w:rsidRDefault="00891596" w:rsidP="0089159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Calibri" w:cs="Arial"/>
          <w:sz w:val="20"/>
          <w:szCs w:val="20"/>
          <w:lang w:eastAsia="en-GB"/>
        </w:rPr>
      </w:pPr>
      <w:r w:rsidRPr="00C11521">
        <w:rPr>
          <w:rFonts w:eastAsia="Calibri" w:cs="Arial"/>
          <w:sz w:val="20"/>
          <w:szCs w:val="20"/>
          <w:lang w:eastAsia="en-GB"/>
        </w:rPr>
        <w:t xml:space="preserve">The panel addressed the issue of whether the information sheet should contain a specific statement regarding the effect payments received for research participation would have on benefits. The panel felt that, whilst there is no objection to doing so, it was not necessary for RECs to insist upon the inclusion of a statement in the information sheet regarding the impact payments made for participation in research would have on individuals in receipt of state benefits (nor the tax implications of such payments). </w:t>
      </w:r>
    </w:p>
    <w:p w:rsidR="00891596" w:rsidRPr="00C11521" w:rsidRDefault="00C11521" w:rsidP="00C11521">
      <w:pPr>
        <w:pBdr>
          <w:top w:val="single" w:sz="4" w:space="1" w:color="auto"/>
          <w:left w:val="single" w:sz="4" w:space="4" w:color="auto"/>
          <w:bottom w:val="single" w:sz="4" w:space="1" w:color="auto"/>
          <w:right w:val="single" w:sz="4" w:space="4" w:color="auto"/>
        </w:pBdr>
        <w:shd w:val="clear" w:color="auto" w:fill="F2F2F2"/>
        <w:tabs>
          <w:tab w:val="left" w:pos="1068"/>
        </w:tabs>
        <w:spacing w:after="0" w:line="240" w:lineRule="auto"/>
        <w:outlineLvl w:val="0"/>
        <w:rPr>
          <w:rFonts w:eastAsia="Calibri" w:cs="Arial"/>
          <w:sz w:val="20"/>
          <w:szCs w:val="20"/>
          <w:lang w:eastAsia="en-GB"/>
        </w:rPr>
      </w:pPr>
      <w:r w:rsidRPr="00C11521">
        <w:rPr>
          <w:rFonts w:eastAsia="Calibri" w:cs="Arial"/>
          <w:sz w:val="20"/>
          <w:szCs w:val="20"/>
          <w:lang w:eastAsia="en-GB"/>
        </w:rPr>
        <w:tab/>
      </w:r>
    </w:p>
    <w:p w:rsidR="00891596" w:rsidRPr="00C11521" w:rsidRDefault="00891596" w:rsidP="0089159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Calibri" w:cs="Arial"/>
          <w:sz w:val="20"/>
          <w:szCs w:val="20"/>
          <w:lang w:eastAsia="en-GB"/>
        </w:rPr>
      </w:pPr>
      <w:r w:rsidRPr="00C11521">
        <w:rPr>
          <w:rFonts w:eastAsia="Calibri" w:cs="Arial"/>
          <w:sz w:val="20"/>
          <w:szCs w:val="20"/>
          <w:lang w:eastAsia="en-GB"/>
        </w:rPr>
        <w:t>However, there may be situations where it would be appropriate for researchers to explicitly alert participants to the effect research payments may have on their benefits (e.g. where the study specifically targets, or would be very likely to include, participants in receipt of benefits).</w:t>
      </w:r>
    </w:p>
    <w:p w:rsidR="00891596" w:rsidRPr="00C11521" w:rsidRDefault="00891596" w:rsidP="0089159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Calibri" w:cs="Arial"/>
          <w:sz w:val="20"/>
          <w:szCs w:val="20"/>
          <w:lang w:eastAsia="en-GB"/>
        </w:rPr>
      </w:pPr>
    </w:p>
    <w:p w:rsidR="00891596" w:rsidRPr="00C11521" w:rsidRDefault="00891596" w:rsidP="0089159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Calibri" w:cs="Arial"/>
          <w:sz w:val="20"/>
          <w:szCs w:val="20"/>
          <w:lang w:eastAsia="en-GB"/>
        </w:rPr>
      </w:pPr>
      <w:r w:rsidRPr="00C11521">
        <w:rPr>
          <w:rFonts w:eastAsia="Calibri" w:cs="Arial"/>
          <w:sz w:val="20"/>
          <w:szCs w:val="20"/>
          <w:lang w:eastAsia="en-GB"/>
        </w:rPr>
        <w:t>It is the responsibility of people in receipt of state benefits to ensure that they keep to the conditions of those benefits regarding what they can do and the amount they can be paid.</w:t>
      </w:r>
    </w:p>
    <w:p w:rsidR="00891596" w:rsidRPr="00C11521" w:rsidRDefault="00891596" w:rsidP="00891596">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Calibri" w:cs="Arial"/>
          <w:sz w:val="20"/>
          <w:szCs w:val="20"/>
          <w:lang w:eastAsia="en-GB"/>
        </w:rPr>
      </w:pPr>
    </w:p>
    <w:p w:rsidR="00193D9D" w:rsidRDefault="00193D9D" w:rsidP="00DA08A3">
      <w:pPr>
        <w:pStyle w:val="NormalWeb"/>
        <w:rPr>
          <w:rStyle w:val="Strong"/>
          <w:rFonts w:ascii="Arial" w:hAnsi="Arial" w:cs="Arial"/>
          <w:b w:val="0"/>
          <w:color w:val="000000"/>
          <w:sz w:val="22"/>
          <w:szCs w:val="22"/>
        </w:rPr>
      </w:pPr>
    </w:p>
    <w:p w:rsidR="00907AA5" w:rsidRPr="004E1E59" w:rsidRDefault="00907AA5" w:rsidP="00DA08A3">
      <w:pPr>
        <w:pStyle w:val="NormalWeb"/>
        <w:rPr>
          <w:rStyle w:val="Strong"/>
          <w:rFonts w:ascii="Arial" w:hAnsi="Arial" w:cs="Arial"/>
          <w:b w:val="0"/>
          <w:color w:val="000000"/>
          <w:sz w:val="22"/>
          <w:szCs w:val="22"/>
        </w:rPr>
      </w:pPr>
    </w:p>
    <w:p w:rsidR="00DA08A3" w:rsidRPr="006F5170" w:rsidRDefault="00DA08A3" w:rsidP="006F5170">
      <w:pPr>
        <w:pStyle w:val="ListParagraph"/>
      </w:pPr>
      <w:bookmarkStart w:id="8" w:name="Consultations"/>
      <w:r w:rsidRPr="006F5170">
        <w:t>HRA Responses</w:t>
      </w:r>
      <w:r w:rsidR="00F758D1" w:rsidRPr="006F5170">
        <w:t xml:space="preserve"> to External</w:t>
      </w:r>
      <w:r w:rsidR="00B375B0" w:rsidRPr="006F5170">
        <w:t xml:space="preserve"> Consultations</w:t>
      </w:r>
      <w:r w:rsidRPr="006F5170">
        <w:t>:</w:t>
      </w:r>
    </w:p>
    <w:bookmarkEnd w:id="8"/>
    <w:p w:rsidR="006F5170" w:rsidRDefault="006F5170" w:rsidP="006F5170">
      <w:pPr>
        <w:spacing w:after="0" w:line="240" w:lineRule="auto"/>
        <w:outlineLvl w:val="0"/>
        <w:rPr>
          <w:rFonts w:cs="Arial"/>
          <w:b/>
          <w:lang w:eastAsia="en-GB"/>
        </w:rPr>
      </w:pPr>
    </w:p>
    <w:p w:rsidR="00907AA5" w:rsidRDefault="00907AA5" w:rsidP="006F5170">
      <w:pPr>
        <w:spacing w:after="0" w:line="240" w:lineRule="auto"/>
        <w:outlineLvl w:val="0"/>
        <w:rPr>
          <w:rFonts w:cs="Arial"/>
          <w:b/>
          <w:lang w:eastAsia="en-GB"/>
        </w:rPr>
      </w:pPr>
    </w:p>
    <w:p w:rsidR="00431CB8" w:rsidRPr="00E664B9" w:rsidRDefault="00E664B9" w:rsidP="00F97A2B">
      <w:pPr>
        <w:shd w:val="clear" w:color="auto" w:fill="F2F2F2" w:themeFill="background1" w:themeFillShade="F2"/>
        <w:spacing w:after="0" w:line="240" w:lineRule="auto"/>
        <w:ind w:right="6191"/>
        <w:outlineLvl w:val="0"/>
        <w:rPr>
          <w:rFonts w:cs="Arial"/>
          <w:b/>
          <w:lang w:eastAsia="en-GB"/>
        </w:rPr>
      </w:pPr>
      <w:r w:rsidRPr="00E664B9">
        <w:rPr>
          <w:rFonts w:cs="Arial"/>
          <w:b/>
          <w:lang w:eastAsia="en-GB"/>
        </w:rPr>
        <w:t>Formal Responses:</w:t>
      </w:r>
    </w:p>
    <w:p w:rsidR="00E664B9" w:rsidRPr="004E1E59" w:rsidRDefault="00E664B9" w:rsidP="00DA08A3">
      <w:pPr>
        <w:pStyle w:val="NormalWeb"/>
        <w:rPr>
          <w:rStyle w:val="Strong"/>
          <w:rFonts w:ascii="Arial" w:hAnsi="Arial" w:cs="Arial"/>
          <w:b w:val="0"/>
          <w:color w:val="000000"/>
          <w:sz w:val="22"/>
          <w:szCs w:val="22"/>
        </w:rPr>
      </w:pPr>
    </w:p>
    <w:p w:rsidR="00845E17" w:rsidRPr="004E1E59" w:rsidRDefault="004C175E" w:rsidP="00DA08A3">
      <w:pPr>
        <w:pStyle w:val="NormalWeb"/>
        <w:rPr>
          <w:rStyle w:val="Strong"/>
          <w:rFonts w:ascii="Arial" w:hAnsi="Arial" w:cs="Arial"/>
          <w:b w:val="0"/>
          <w:color w:val="000000"/>
          <w:sz w:val="22"/>
          <w:szCs w:val="22"/>
        </w:rPr>
      </w:pPr>
      <w:r>
        <w:rPr>
          <w:rStyle w:val="Strong"/>
          <w:rFonts w:ascii="Arial" w:hAnsi="Arial" w:cs="Arial"/>
          <w:b w:val="0"/>
          <w:color w:val="000000"/>
          <w:sz w:val="22"/>
          <w:szCs w:val="22"/>
        </w:rPr>
        <w:t>2014/2015</w:t>
      </w:r>
      <w:r w:rsidR="00845E17" w:rsidRPr="004E1E59">
        <w:rPr>
          <w:rStyle w:val="Strong"/>
          <w:rFonts w:ascii="Arial" w:hAnsi="Arial" w:cs="Arial"/>
          <w:b w:val="0"/>
          <w:color w:val="000000"/>
          <w:sz w:val="22"/>
          <w:szCs w:val="22"/>
        </w:rPr>
        <w:t xml:space="preserve"> </w:t>
      </w:r>
      <w:r w:rsidR="00EF44F9" w:rsidRPr="004E1E59">
        <w:rPr>
          <w:rStyle w:val="Strong"/>
          <w:rFonts w:ascii="Arial" w:hAnsi="Arial" w:cs="Arial"/>
          <w:b w:val="0"/>
          <w:color w:val="000000"/>
          <w:sz w:val="22"/>
          <w:szCs w:val="22"/>
        </w:rPr>
        <w:t xml:space="preserve">saw a substantial number of consultations </w:t>
      </w:r>
      <w:r w:rsidR="008655AE" w:rsidRPr="004E1E59">
        <w:rPr>
          <w:rStyle w:val="Strong"/>
          <w:rFonts w:ascii="Arial" w:hAnsi="Arial" w:cs="Arial"/>
          <w:b w:val="0"/>
          <w:color w:val="000000"/>
          <w:sz w:val="22"/>
          <w:szCs w:val="22"/>
        </w:rPr>
        <w:t xml:space="preserve">that NREAP discussed and </w:t>
      </w:r>
      <w:r>
        <w:rPr>
          <w:rStyle w:val="Strong"/>
          <w:rFonts w:ascii="Arial" w:hAnsi="Arial" w:cs="Arial"/>
          <w:b w:val="0"/>
          <w:color w:val="000000"/>
          <w:sz w:val="22"/>
          <w:szCs w:val="22"/>
        </w:rPr>
        <w:t xml:space="preserve">contributed to </w:t>
      </w:r>
      <w:r w:rsidR="008655AE" w:rsidRPr="004E1E59">
        <w:rPr>
          <w:rStyle w:val="Strong"/>
          <w:rFonts w:ascii="Arial" w:hAnsi="Arial" w:cs="Arial"/>
          <w:b w:val="0"/>
          <w:color w:val="000000"/>
          <w:sz w:val="22"/>
          <w:szCs w:val="22"/>
        </w:rPr>
        <w:t>formal HRA response</w:t>
      </w:r>
      <w:r w:rsidR="00BD6EA6">
        <w:rPr>
          <w:rStyle w:val="Strong"/>
          <w:rFonts w:ascii="Arial" w:hAnsi="Arial" w:cs="Arial"/>
          <w:b w:val="0"/>
          <w:color w:val="000000"/>
          <w:sz w:val="22"/>
          <w:szCs w:val="22"/>
        </w:rPr>
        <w:t>s</w:t>
      </w:r>
      <w:r w:rsidR="008655AE" w:rsidRPr="004E1E59">
        <w:rPr>
          <w:rStyle w:val="Strong"/>
          <w:rFonts w:ascii="Arial" w:hAnsi="Arial" w:cs="Arial"/>
          <w:b w:val="0"/>
          <w:color w:val="000000"/>
          <w:sz w:val="22"/>
          <w:szCs w:val="22"/>
        </w:rPr>
        <w:t xml:space="preserve"> </w:t>
      </w:r>
      <w:r w:rsidR="00BD6EA6">
        <w:rPr>
          <w:rStyle w:val="Strong"/>
          <w:rFonts w:ascii="Arial" w:hAnsi="Arial" w:cs="Arial"/>
          <w:b w:val="0"/>
          <w:color w:val="000000"/>
          <w:sz w:val="22"/>
          <w:szCs w:val="22"/>
        </w:rPr>
        <w:t>to</w:t>
      </w:r>
      <w:r w:rsidR="008655AE" w:rsidRPr="004E1E59">
        <w:rPr>
          <w:rStyle w:val="Strong"/>
          <w:rFonts w:ascii="Arial" w:hAnsi="Arial" w:cs="Arial"/>
          <w:b w:val="0"/>
          <w:color w:val="000000"/>
          <w:sz w:val="22"/>
          <w:szCs w:val="22"/>
        </w:rPr>
        <w:t>:</w:t>
      </w:r>
    </w:p>
    <w:p w:rsidR="00EF44F9" w:rsidRDefault="00EF44F9" w:rsidP="00DA08A3">
      <w:pPr>
        <w:pStyle w:val="NormalWeb"/>
        <w:rPr>
          <w:rStyle w:val="Strong"/>
          <w:rFonts w:ascii="Arial" w:hAnsi="Arial" w:cs="Arial"/>
          <w:b w:val="0"/>
          <w:color w:val="000000"/>
          <w:sz w:val="22"/>
          <w:szCs w:val="22"/>
        </w:rPr>
      </w:pPr>
    </w:p>
    <w:p w:rsidR="004C175E" w:rsidRDefault="00ED1F6A" w:rsidP="00085ED1">
      <w:pPr>
        <w:pStyle w:val="NormalWeb"/>
        <w:numPr>
          <w:ilvl w:val="0"/>
          <w:numId w:val="23"/>
        </w:numPr>
        <w:rPr>
          <w:rStyle w:val="Strong"/>
          <w:rFonts w:ascii="Arial" w:hAnsi="Arial" w:cs="Arial"/>
          <w:b w:val="0"/>
          <w:color w:val="000000"/>
          <w:sz w:val="22"/>
          <w:szCs w:val="22"/>
        </w:rPr>
      </w:pPr>
      <w:hyperlink r:id="rId14" w:history="1">
        <w:r w:rsidR="004C175E" w:rsidRPr="00085ED1">
          <w:rPr>
            <w:rStyle w:val="Hyperlink"/>
            <w:rFonts w:ascii="Arial" w:hAnsi="Arial" w:cs="Arial"/>
            <w:sz w:val="22"/>
            <w:szCs w:val="22"/>
          </w:rPr>
          <w:t>Department of Health Consultation ‘Protecting Health and Care Information’</w:t>
        </w:r>
      </w:hyperlink>
      <w:r w:rsidR="00B265DB">
        <w:rPr>
          <w:rStyle w:val="Strong"/>
          <w:rFonts w:ascii="Arial" w:hAnsi="Arial" w:cs="Arial"/>
          <w:b w:val="0"/>
          <w:color w:val="000000"/>
          <w:sz w:val="22"/>
          <w:szCs w:val="22"/>
        </w:rPr>
        <w:t xml:space="preserve"> (July 2014)</w:t>
      </w:r>
    </w:p>
    <w:p w:rsidR="00294036" w:rsidRPr="004C175E" w:rsidRDefault="00294036" w:rsidP="00294036">
      <w:pPr>
        <w:pStyle w:val="NormalWeb"/>
        <w:ind w:left="720"/>
        <w:rPr>
          <w:rStyle w:val="Strong"/>
          <w:rFonts w:ascii="Arial" w:hAnsi="Arial" w:cs="Arial"/>
          <w:b w:val="0"/>
          <w:color w:val="000000"/>
          <w:sz w:val="22"/>
          <w:szCs w:val="22"/>
        </w:rPr>
      </w:pPr>
    </w:p>
    <w:p w:rsidR="00431CB8" w:rsidRPr="00C90EE1" w:rsidRDefault="00ED1F6A" w:rsidP="00C90EE1">
      <w:pPr>
        <w:pStyle w:val="NormalWeb"/>
        <w:numPr>
          <w:ilvl w:val="0"/>
          <w:numId w:val="23"/>
        </w:numPr>
        <w:rPr>
          <w:rStyle w:val="Strong"/>
          <w:rFonts w:ascii="Arial" w:hAnsi="Arial" w:cs="Arial"/>
          <w:b w:val="0"/>
          <w:color w:val="000000"/>
          <w:sz w:val="22"/>
          <w:szCs w:val="22"/>
        </w:rPr>
      </w:pPr>
      <w:hyperlink r:id="rId15" w:history="1">
        <w:r w:rsidR="00294036" w:rsidRPr="00294036">
          <w:rPr>
            <w:rStyle w:val="Hyperlink"/>
            <w:rFonts w:ascii="Arial" w:hAnsi="Arial" w:cs="Arial"/>
            <w:bCs/>
            <w:sz w:val="22"/>
            <w:szCs w:val="22"/>
          </w:rPr>
          <w:t>Health &amp; Social Care Information Centre (HSCIC) Code of Practice on Confidential Information</w:t>
        </w:r>
      </w:hyperlink>
      <w:r w:rsidR="00C90EE1">
        <w:rPr>
          <w:rStyle w:val="Hyperlink"/>
          <w:rFonts w:ascii="Arial" w:hAnsi="Arial" w:cs="Arial"/>
          <w:bCs/>
          <w:sz w:val="22"/>
          <w:szCs w:val="22"/>
        </w:rPr>
        <w:t xml:space="preserve"> </w:t>
      </w:r>
      <w:r w:rsidR="00C90EE1" w:rsidRPr="00C90EE1">
        <w:rPr>
          <w:rStyle w:val="Strong"/>
          <w:rFonts w:ascii="Arial" w:hAnsi="Arial" w:cs="Arial"/>
          <w:b w:val="0"/>
          <w:bCs w:val="0"/>
          <w:color w:val="000000"/>
          <w:sz w:val="22"/>
          <w:szCs w:val="22"/>
        </w:rPr>
        <w:t>(July 2014)</w:t>
      </w:r>
    </w:p>
    <w:p w:rsidR="00A55A9C" w:rsidRDefault="00A55A9C" w:rsidP="00AC2C9A">
      <w:pPr>
        <w:pStyle w:val="NormalWeb"/>
        <w:ind w:left="720"/>
        <w:rPr>
          <w:rStyle w:val="Strong"/>
          <w:rFonts w:ascii="Arial" w:hAnsi="Arial" w:cs="Arial"/>
          <w:b w:val="0"/>
          <w:color w:val="000000"/>
          <w:sz w:val="22"/>
          <w:szCs w:val="22"/>
        </w:rPr>
      </w:pPr>
    </w:p>
    <w:p w:rsidR="00907AA5" w:rsidRDefault="00907AA5" w:rsidP="00AC2C9A">
      <w:pPr>
        <w:pStyle w:val="NormalWeb"/>
        <w:ind w:left="720"/>
        <w:rPr>
          <w:rStyle w:val="Strong"/>
          <w:rFonts w:ascii="Arial" w:hAnsi="Arial" w:cs="Arial"/>
          <w:b w:val="0"/>
          <w:color w:val="000000"/>
          <w:sz w:val="22"/>
          <w:szCs w:val="22"/>
        </w:rPr>
      </w:pPr>
    </w:p>
    <w:p w:rsidR="00907AA5" w:rsidRDefault="00907AA5" w:rsidP="00AC2C9A">
      <w:pPr>
        <w:pStyle w:val="NormalWeb"/>
        <w:ind w:left="720"/>
        <w:rPr>
          <w:rStyle w:val="Strong"/>
          <w:rFonts w:ascii="Arial" w:hAnsi="Arial" w:cs="Arial"/>
          <w:b w:val="0"/>
          <w:color w:val="000000"/>
          <w:sz w:val="22"/>
          <w:szCs w:val="22"/>
        </w:rPr>
      </w:pPr>
    </w:p>
    <w:p w:rsidR="00907AA5" w:rsidRPr="004E1E59" w:rsidRDefault="00907AA5" w:rsidP="00AC2C9A">
      <w:pPr>
        <w:pStyle w:val="NormalWeb"/>
        <w:ind w:left="720"/>
        <w:rPr>
          <w:rStyle w:val="Strong"/>
          <w:rFonts w:ascii="Arial" w:hAnsi="Arial" w:cs="Arial"/>
          <w:b w:val="0"/>
          <w:color w:val="000000"/>
          <w:sz w:val="22"/>
          <w:szCs w:val="22"/>
        </w:rPr>
      </w:pPr>
    </w:p>
    <w:p w:rsidR="00505B24" w:rsidRPr="008E2025" w:rsidRDefault="00E664B9" w:rsidP="00F97A2B">
      <w:pPr>
        <w:shd w:val="clear" w:color="auto" w:fill="F2F2F2" w:themeFill="background1" w:themeFillShade="F2"/>
        <w:spacing w:after="0" w:line="240" w:lineRule="auto"/>
        <w:ind w:right="6191"/>
        <w:outlineLvl w:val="0"/>
        <w:rPr>
          <w:rFonts w:cs="Arial"/>
          <w:b/>
          <w:lang w:eastAsia="en-GB"/>
        </w:rPr>
      </w:pPr>
      <w:r>
        <w:rPr>
          <w:rFonts w:cs="Arial"/>
          <w:b/>
          <w:lang w:eastAsia="en-GB"/>
        </w:rPr>
        <w:t xml:space="preserve">Informal </w:t>
      </w:r>
      <w:r w:rsidR="00B375B0" w:rsidRPr="008E2025">
        <w:rPr>
          <w:rFonts w:cs="Arial"/>
          <w:b/>
          <w:lang w:eastAsia="en-GB"/>
        </w:rPr>
        <w:t>Responses:</w:t>
      </w:r>
    </w:p>
    <w:p w:rsidR="00832B5E" w:rsidRDefault="00832B5E" w:rsidP="00832B5E">
      <w:pPr>
        <w:spacing w:after="0" w:line="240" w:lineRule="auto"/>
        <w:ind w:left="720"/>
        <w:outlineLvl w:val="0"/>
        <w:rPr>
          <w:rFonts w:eastAsia="Calibri" w:cs="Arial"/>
          <w:i/>
          <w:lang w:eastAsia="en-GB"/>
        </w:rPr>
      </w:pPr>
    </w:p>
    <w:p w:rsidR="00832B5E" w:rsidRPr="00832B5E" w:rsidRDefault="00832B5E" w:rsidP="00F97A2B">
      <w:pPr>
        <w:shd w:val="clear" w:color="auto" w:fill="F2F2F2" w:themeFill="background1" w:themeFillShade="F2"/>
        <w:spacing w:after="0" w:line="240" w:lineRule="auto"/>
        <w:ind w:right="3072"/>
        <w:outlineLvl w:val="0"/>
        <w:rPr>
          <w:rFonts w:cs="Arial"/>
          <w:b/>
          <w:lang w:eastAsia="en-GB"/>
        </w:rPr>
      </w:pPr>
      <w:r w:rsidRPr="00832B5E">
        <w:rPr>
          <w:rFonts w:cs="Arial"/>
          <w:b/>
          <w:lang w:eastAsia="en-GB"/>
        </w:rPr>
        <w:lastRenderedPageBreak/>
        <w:t>Research Ethics: A gu</w:t>
      </w:r>
      <w:r>
        <w:rPr>
          <w:rFonts w:cs="Arial"/>
          <w:b/>
          <w:lang w:eastAsia="en-GB"/>
        </w:rPr>
        <w:t>idance document for pharmacists</w:t>
      </w:r>
    </w:p>
    <w:p w:rsidR="00832B5E" w:rsidRPr="00832B5E" w:rsidRDefault="00832B5E" w:rsidP="00832B5E">
      <w:pPr>
        <w:spacing w:after="0" w:line="240" w:lineRule="auto"/>
        <w:ind w:left="720"/>
        <w:outlineLvl w:val="0"/>
        <w:rPr>
          <w:rFonts w:eastAsia="Calibri" w:cs="Arial"/>
          <w:i/>
          <w:lang w:eastAsia="en-GB"/>
        </w:rPr>
      </w:pPr>
    </w:p>
    <w:p w:rsidR="00832B5E" w:rsidRDefault="00832B5E" w:rsidP="00832B5E">
      <w:pPr>
        <w:spacing w:after="0" w:line="240" w:lineRule="auto"/>
        <w:outlineLvl w:val="0"/>
        <w:rPr>
          <w:rFonts w:ascii="Times New Roman" w:hAnsi="Times New Roman"/>
          <w:sz w:val="24"/>
          <w:szCs w:val="24"/>
          <w:lang w:eastAsia="en-GB"/>
        </w:rPr>
      </w:pPr>
      <w:r w:rsidRPr="00832B5E">
        <w:rPr>
          <w:rFonts w:eastAsia="Calibri" w:cs="Arial"/>
          <w:lang w:eastAsia="en-GB"/>
        </w:rPr>
        <w:t xml:space="preserve">The Royal Pharmaceutical Society </w:t>
      </w:r>
      <w:r w:rsidR="001851B3" w:rsidRPr="00832B5E">
        <w:rPr>
          <w:rFonts w:eastAsia="Calibri" w:cs="Arial"/>
          <w:lang w:eastAsia="en-GB"/>
        </w:rPr>
        <w:t>is</w:t>
      </w:r>
      <w:r w:rsidRPr="00832B5E">
        <w:rPr>
          <w:rFonts w:eastAsia="Calibri" w:cs="Arial"/>
          <w:lang w:eastAsia="en-GB"/>
        </w:rPr>
        <w:t xml:space="preserve"> developing guidance for their members on research ethics</w:t>
      </w:r>
      <w:r w:rsidR="001851B3">
        <w:rPr>
          <w:rFonts w:eastAsia="Calibri" w:cs="Arial"/>
          <w:lang w:eastAsia="en-GB"/>
        </w:rPr>
        <w:t>. The panel provided comments on behalf of the HRA</w:t>
      </w:r>
      <w:r w:rsidRPr="00832B5E">
        <w:rPr>
          <w:rFonts w:eastAsia="Calibri" w:cs="Arial"/>
          <w:lang w:eastAsia="en-GB"/>
        </w:rPr>
        <w:t>.</w:t>
      </w:r>
      <w:r w:rsidRPr="00832B5E">
        <w:rPr>
          <w:rFonts w:ascii="Times New Roman" w:hAnsi="Times New Roman"/>
          <w:sz w:val="24"/>
          <w:szCs w:val="24"/>
          <w:lang w:eastAsia="en-GB"/>
        </w:rPr>
        <w:t xml:space="preserve"> </w:t>
      </w:r>
    </w:p>
    <w:p w:rsidR="006F5170" w:rsidRPr="00832B5E" w:rsidRDefault="006F5170" w:rsidP="00832B5E">
      <w:pPr>
        <w:spacing w:after="0" w:line="240" w:lineRule="auto"/>
        <w:outlineLvl w:val="0"/>
        <w:rPr>
          <w:rFonts w:ascii="Times New Roman" w:hAnsi="Times New Roman"/>
          <w:sz w:val="24"/>
          <w:szCs w:val="24"/>
          <w:lang w:eastAsia="en-GB"/>
        </w:rPr>
      </w:pPr>
    </w:p>
    <w:p w:rsidR="00C41533" w:rsidRPr="006F5170" w:rsidRDefault="008C22C2" w:rsidP="006F5170">
      <w:pPr>
        <w:pStyle w:val="ListParagraph"/>
      </w:pPr>
      <w:bookmarkStart w:id="9" w:name="Consideration"/>
      <w:r w:rsidRPr="006F5170">
        <w:t>Future Work</w:t>
      </w:r>
      <w:r w:rsidR="00C15D37" w:rsidRPr="006F5170">
        <w:t xml:space="preserve"> Under Consideration</w:t>
      </w:r>
      <w:r w:rsidRPr="006F5170">
        <w:t>:</w:t>
      </w:r>
    </w:p>
    <w:bookmarkEnd w:id="9"/>
    <w:p w:rsidR="006F5170" w:rsidRDefault="006F5170" w:rsidP="006F5170">
      <w:pPr>
        <w:spacing w:after="0" w:line="240" w:lineRule="auto"/>
        <w:outlineLvl w:val="0"/>
        <w:rPr>
          <w:rStyle w:val="Strong"/>
          <w:rFonts w:cs="Arial"/>
        </w:rPr>
      </w:pPr>
    </w:p>
    <w:p w:rsidR="009B3381" w:rsidRPr="009B3381" w:rsidRDefault="00E95BC3" w:rsidP="00E95BC3">
      <w:pPr>
        <w:pStyle w:val="NormalWeb"/>
        <w:shd w:val="clear" w:color="auto" w:fill="F2F2F2" w:themeFill="background1" w:themeFillShade="F2"/>
        <w:tabs>
          <w:tab w:val="left" w:pos="4253"/>
        </w:tabs>
        <w:ind w:right="6474"/>
        <w:rPr>
          <w:rStyle w:val="Strong"/>
          <w:rFonts w:ascii="Arial" w:hAnsi="Arial" w:cs="Arial"/>
          <w:sz w:val="22"/>
          <w:szCs w:val="22"/>
        </w:rPr>
      </w:pPr>
      <w:r>
        <w:rPr>
          <w:rStyle w:val="Strong"/>
          <w:rFonts w:ascii="Arial" w:hAnsi="Arial" w:cs="Arial"/>
          <w:sz w:val="22"/>
          <w:szCs w:val="22"/>
        </w:rPr>
        <w:t>Participant Information</w:t>
      </w:r>
    </w:p>
    <w:p w:rsidR="009B3381" w:rsidRPr="009B3381" w:rsidRDefault="009B3381" w:rsidP="009B3381">
      <w:pPr>
        <w:spacing w:after="0" w:line="240" w:lineRule="auto"/>
        <w:outlineLvl w:val="0"/>
        <w:rPr>
          <w:rFonts w:eastAsia="Calibri" w:cs="Arial"/>
          <w:lang w:eastAsia="en-GB"/>
        </w:rPr>
      </w:pPr>
    </w:p>
    <w:p w:rsidR="009B3381" w:rsidRPr="009B3381" w:rsidRDefault="009B35EB" w:rsidP="009B3381">
      <w:pPr>
        <w:spacing w:after="0" w:line="240" w:lineRule="auto"/>
        <w:outlineLvl w:val="0"/>
        <w:rPr>
          <w:rFonts w:eastAsia="Calibri" w:cs="Arial"/>
          <w:lang w:eastAsia="en-GB"/>
        </w:rPr>
      </w:pPr>
      <w:r>
        <w:rPr>
          <w:rFonts w:eastAsia="Calibri" w:cs="Arial"/>
          <w:lang w:eastAsia="en-GB"/>
        </w:rPr>
        <w:t xml:space="preserve">The panel are interested in exploring </w:t>
      </w:r>
      <w:r w:rsidR="009B3381" w:rsidRPr="009B3381">
        <w:rPr>
          <w:rFonts w:eastAsia="Calibri" w:cs="Arial"/>
          <w:lang w:eastAsia="en-GB"/>
        </w:rPr>
        <w:t>how new media and technology might be incorporated into information provision and consent seeking procedures in a way that empower</w:t>
      </w:r>
      <w:r w:rsidR="00E95BC3">
        <w:rPr>
          <w:rFonts w:eastAsia="Calibri" w:cs="Arial"/>
          <w:lang w:eastAsia="en-GB"/>
        </w:rPr>
        <w:t>s and supports</w:t>
      </w:r>
      <w:r w:rsidR="009B3381" w:rsidRPr="009B3381">
        <w:rPr>
          <w:rFonts w:eastAsia="Calibri" w:cs="Arial"/>
          <w:lang w:eastAsia="en-GB"/>
        </w:rPr>
        <w:t xml:space="preserve"> potential participants in reaching a </w:t>
      </w:r>
      <w:r w:rsidR="00E95BC3">
        <w:rPr>
          <w:rFonts w:eastAsia="Calibri" w:cs="Arial"/>
          <w:lang w:eastAsia="en-GB"/>
        </w:rPr>
        <w:t xml:space="preserve">more </w:t>
      </w:r>
      <w:r w:rsidR="009B3381" w:rsidRPr="009B3381">
        <w:rPr>
          <w:rFonts w:eastAsia="Calibri" w:cs="Arial"/>
          <w:lang w:eastAsia="en-GB"/>
        </w:rPr>
        <w:t xml:space="preserve">truly informed decision regarding research participation. </w:t>
      </w:r>
      <w:r>
        <w:rPr>
          <w:rFonts w:eastAsia="Calibri" w:cs="Arial"/>
          <w:lang w:eastAsia="en-GB"/>
        </w:rPr>
        <w:t>NREAP acknowledge</w:t>
      </w:r>
      <w:r w:rsidR="009B3381" w:rsidRPr="009B3381">
        <w:rPr>
          <w:rFonts w:eastAsia="Calibri" w:cs="Arial"/>
          <w:lang w:eastAsia="en-GB"/>
        </w:rPr>
        <w:t xml:space="preserve"> that this would constitute a very large piece of work to undertake and that expertise beyond the panel would need to be included including academics</w:t>
      </w:r>
      <w:r w:rsidR="006E5DD6">
        <w:rPr>
          <w:rFonts w:eastAsia="Calibri" w:cs="Arial"/>
          <w:lang w:eastAsia="en-GB"/>
        </w:rPr>
        <w:t>, industry</w:t>
      </w:r>
      <w:r w:rsidR="009B3381" w:rsidRPr="009B3381">
        <w:rPr>
          <w:rFonts w:eastAsia="Calibri" w:cs="Arial"/>
          <w:lang w:eastAsia="en-GB"/>
        </w:rPr>
        <w:t xml:space="preserve"> and </w:t>
      </w:r>
      <w:r w:rsidR="006E5DD6">
        <w:rPr>
          <w:rFonts w:eastAsia="Calibri" w:cs="Arial"/>
          <w:lang w:eastAsia="en-GB"/>
        </w:rPr>
        <w:t xml:space="preserve">patients and </w:t>
      </w:r>
      <w:r w:rsidR="009B3381" w:rsidRPr="009B3381">
        <w:rPr>
          <w:rFonts w:eastAsia="Calibri" w:cs="Arial"/>
          <w:lang w:eastAsia="en-GB"/>
        </w:rPr>
        <w:t>the public and that this is likely to require additional resources.</w:t>
      </w:r>
    </w:p>
    <w:p w:rsidR="009B3381" w:rsidRPr="009B3381" w:rsidRDefault="009B3381" w:rsidP="009B3381">
      <w:pPr>
        <w:spacing w:after="0" w:line="240" w:lineRule="auto"/>
        <w:outlineLvl w:val="0"/>
        <w:rPr>
          <w:rFonts w:eastAsia="Calibri" w:cs="Arial"/>
          <w:lang w:eastAsia="en-GB"/>
        </w:rPr>
      </w:pPr>
    </w:p>
    <w:p w:rsidR="009B3381" w:rsidRPr="009B3381" w:rsidRDefault="009B3381" w:rsidP="00790B39">
      <w:pPr>
        <w:pStyle w:val="NormalWeb"/>
        <w:shd w:val="clear" w:color="auto" w:fill="F2F2F2" w:themeFill="background1" w:themeFillShade="F2"/>
        <w:tabs>
          <w:tab w:val="left" w:pos="4253"/>
        </w:tabs>
        <w:ind w:right="5198"/>
        <w:rPr>
          <w:rStyle w:val="Strong"/>
          <w:rFonts w:ascii="Arial" w:hAnsi="Arial"/>
          <w:sz w:val="22"/>
          <w:szCs w:val="22"/>
        </w:rPr>
      </w:pPr>
      <w:r w:rsidRPr="009B3381">
        <w:rPr>
          <w:rStyle w:val="Strong"/>
          <w:rFonts w:ascii="Arial" w:hAnsi="Arial"/>
          <w:sz w:val="22"/>
          <w:szCs w:val="22"/>
        </w:rPr>
        <w:t>Informati</w:t>
      </w:r>
      <w:r w:rsidR="00790B39">
        <w:rPr>
          <w:rStyle w:val="Strong"/>
          <w:rFonts w:ascii="Arial" w:hAnsi="Arial"/>
          <w:sz w:val="22"/>
          <w:szCs w:val="22"/>
        </w:rPr>
        <w:t>on N</w:t>
      </w:r>
      <w:r w:rsidRPr="009B3381">
        <w:rPr>
          <w:rStyle w:val="Strong"/>
          <w:rFonts w:ascii="Arial" w:hAnsi="Arial"/>
          <w:sz w:val="22"/>
          <w:szCs w:val="22"/>
        </w:rPr>
        <w:t>eeded for REC review</w:t>
      </w:r>
    </w:p>
    <w:p w:rsidR="009B3381" w:rsidRPr="009B3381" w:rsidRDefault="009B3381" w:rsidP="009B3381">
      <w:pPr>
        <w:spacing w:after="0" w:line="240" w:lineRule="auto"/>
        <w:outlineLvl w:val="0"/>
        <w:rPr>
          <w:rFonts w:eastAsia="Calibri" w:cs="Arial"/>
          <w:lang w:eastAsia="en-GB"/>
        </w:rPr>
      </w:pPr>
    </w:p>
    <w:p w:rsidR="009B3381" w:rsidRPr="009B3381" w:rsidRDefault="00790B39" w:rsidP="009B3381">
      <w:pPr>
        <w:spacing w:after="0" w:line="240" w:lineRule="auto"/>
        <w:outlineLvl w:val="0"/>
        <w:rPr>
          <w:rFonts w:eastAsia="Calibri" w:cs="Arial"/>
          <w:lang w:eastAsia="en-GB"/>
        </w:rPr>
      </w:pPr>
      <w:r>
        <w:rPr>
          <w:rFonts w:eastAsia="Calibri" w:cs="Arial"/>
          <w:lang w:eastAsia="en-GB"/>
        </w:rPr>
        <w:t>The panel</w:t>
      </w:r>
      <w:r w:rsidR="009B3381" w:rsidRPr="009B3381">
        <w:rPr>
          <w:rFonts w:eastAsia="Calibri" w:cs="Arial"/>
          <w:lang w:eastAsia="en-GB"/>
        </w:rPr>
        <w:t xml:space="preserve"> </w:t>
      </w:r>
      <w:r w:rsidR="00D34B87">
        <w:rPr>
          <w:rFonts w:eastAsia="Calibri" w:cs="Arial"/>
          <w:lang w:eastAsia="en-GB"/>
        </w:rPr>
        <w:t xml:space="preserve">are considering undertaking work looking at the </w:t>
      </w:r>
      <w:r w:rsidR="009B3381" w:rsidRPr="009B3381">
        <w:rPr>
          <w:rFonts w:eastAsia="Calibri" w:cs="Arial"/>
          <w:lang w:eastAsia="en-GB"/>
        </w:rPr>
        <w:t xml:space="preserve">amount and format of information </w:t>
      </w:r>
      <w:r w:rsidR="007B658F">
        <w:rPr>
          <w:rFonts w:eastAsia="Calibri" w:cs="Arial"/>
          <w:lang w:eastAsia="en-GB"/>
        </w:rPr>
        <w:t xml:space="preserve">needed </w:t>
      </w:r>
      <w:r w:rsidR="009B3381" w:rsidRPr="009B3381">
        <w:rPr>
          <w:rFonts w:eastAsia="Calibri" w:cs="Arial"/>
          <w:lang w:eastAsia="en-GB"/>
        </w:rPr>
        <w:t xml:space="preserve">to enable </w:t>
      </w:r>
      <w:r w:rsidR="007B658F" w:rsidRPr="009B3381">
        <w:rPr>
          <w:rFonts w:eastAsia="Calibri" w:cs="Arial"/>
          <w:lang w:eastAsia="en-GB"/>
        </w:rPr>
        <w:t xml:space="preserve">a research ethics committee </w:t>
      </w:r>
      <w:r w:rsidR="009B3381" w:rsidRPr="009B3381">
        <w:rPr>
          <w:rFonts w:eastAsia="Calibri" w:cs="Arial"/>
          <w:lang w:eastAsia="en-GB"/>
        </w:rPr>
        <w:t xml:space="preserve">to undertake robust ethical review in a manner proportionate to the research in question. This work could, for example, include consideration of </w:t>
      </w:r>
      <w:r w:rsidR="00D34B87">
        <w:rPr>
          <w:rFonts w:eastAsia="Calibri" w:cs="Arial"/>
          <w:lang w:eastAsia="en-GB"/>
        </w:rPr>
        <w:t>‘</w:t>
      </w:r>
      <w:r w:rsidR="009B3381" w:rsidRPr="009B3381">
        <w:rPr>
          <w:rFonts w:eastAsia="Calibri" w:cs="Arial"/>
          <w:i/>
          <w:lang w:eastAsia="en-GB"/>
        </w:rPr>
        <w:t>class</w:t>
      </w:r>
      <w:r w:rsidR="009B3381" w:rsidRPr="009B3381">
        <w:rPr>
          <w:rFonts w:eastAsia="Calibri" w:cs="Arial"/>
          <w:lang w:eastAsia="en-GB"/>
        </w:rPr>
        <w:t xml:space="preserve"> </w:t>
      </w:r>
      <w:r w:rsidR="009B3381" w:rsidRPr="009B3381">
        <w:rPr>
          <w:rFonts w:eastAsia="Calibri" w:cs="Arial"/>
          <w:i/>
          <w:lang w:eastAsia="en-GB"/>
        </w:rPr>
        <w:t>approval</w:t>
      </w:r>
      <w:r w:rsidR="00D34B87">
        <w:rPr>
          <w:rFonts w:eastAsia="Calibri" w:cs="Arial"/>
          <w:i/>
          <w:lang w:eastAsia="en-GB"/>
        </w:rPr>
        <w:t>’</w:t>
      </w:r>
      <w:r w:rsidR="00D34B87">
        <w:rPr>
          <w:rFonts w:eastAsia="Calibri" w:cs="Arial"/>
          <w:lang w:eastAsia="en-GB"/>
        </w:rPr>
        <w:t xml:space="preserve"> for specific types of research </w:t>
      </w:r>
      <w:r w:rsidR="009B3381" w:rsidRPr="009B3381">
        <w:rPr>
          <w:rFonts w:eastAsia="Calibri" w:cs="Arial"/>
          <w:lang w:eastAsia="en-GB"/>
        </w:rPr>
        <w:t xml:space="preserve">methodology and </w:t>
      </w:r>
      <w:r w:rsidR="00D34B87">
        <w:rPr>
          <w:rFonts w:eastAsia="Calibri" w:cs="Arial"/>
          <w:lang w:eastAsia="en-GB"/>
        </w:rPr>
        <w:t>‘</w:t>
      </w:r>
      <w:r w:rsidR="009B3381" w:rsidRPr="009B3381">
        <w:rPr>
          <w:rFonts w:eastAsia="Calibri" w:cs="Arial"/>
          <w:i/>
          <w:lang w:eastAsia="en-GB"/>
        </w:rPr>
        <w:t>protocol only review</w:t>
      </w:r>
      <w:r w:rsidR="00D34B87">
        <w:rPr>
          <w:rFonts w:eastAsia="Calibri" w:cs="Arial"/>
          <w:i/>
          <w:lang w:eastAsia="en-GB"/>
        </w:rPr>
        <w:t>’</w:t>
      </w:r>
      <w:r w:rsidR="009B3381" w:rsidRPr="009B3381">
        <w:rPr>
          <w:rFonts w:eastAsia="Calibri" w:cs="Arial"/>
          <w:lang w:eastAsia="en-GB"/>
        </w:rPr>
        <w:t>.</w:t>
      </w:r>
    </w:p>
    <w:p w:rsidR="00AC3CAD" w:rsidRDefault="00AC3CAD" w:rsidP="00751FF9">
      <w:pPr>
        <w:pStyle w:val="NormalWeb"/>
        <w:rPr>
          <w:rFonts w:ascii="Arial" w:hAnsi="Arial" w:cs="Arial"/>
          <w:bCs/>
          <w:color w:val="000000"/>
          <w:sz w:val="22"/>
          <w:szCs w:val="22"/>
        </w:rPr>
      </w:pPr>
    </w:p>
    <w:p w:rsidR="00893D3B" w:rsidRPr="00942076" w:rsidRDefault="004D147D" w:rsidP="00942076">
      <w:pPr>
        <w:pStyle w:val="NormalWeb"/>
        <w:rPr>
          <w:rFonts w:ascii="Arial" w:hAnsi="Arial" w:cs="Arial"/>
          <w:bCs/>
          <w:color w:val="000000"/>
          <w:sz w:val="22"/>
          <w:szCs w:val="22"/>
        </w:rPr>
      </w:pPr>
      <w:r>
        <w:rPr>
          <w:rFonts w:ascii="Arial" w:hAnsi="Arial" w:cs="Arial"/>
          <w:bCs/>
          <w:color w:val="000000"/>
          <w:sz w:val="22"/>
          <w:szCs w:val="22"/>
        </w:rPr>
        <w:t>The panel will discuss these issues further at their meeting on the 30</w:t>
      </w:r>
      <w:r w:rsidRPr="004D147D">
        <w:rPr>
          <w:rFonts w:ascii="Arial" w:hAnsi="Arial" w:cs="Arial"/>
          <w:bCs/>
          <w:color w:val="000000"/>
          <w:sz w:val="22"/>
          <w:szCs w:val="22"/>
          <w:vertAlign w:val="superscript"/>
        </w:rPr>
        <w:t>th</w:t>
      </w:r>
      <w:r>
        <w:rPr>
          <w:rFonts w:ascii="Arial" w:hAnsi="Arial" w:cs="Arial"/>
          <w:bCs/>
          <w:color w:val="000000"/>
          <w:sz w:val="22"/>
          <w:szCs w:val="22"/>
        </w:rPr>
        <w:t xml:space="preserve"> July.</w:t>
      </w:r>
    </w:p>
    <w:p w:rsidR="00947708" w:rsidRDefault="00947708" w:rsidP="00C41533">
      <w:pPr>
        <w:rPr>
          <w:rFonts w:cs="Arial"/>
          <w:color w:val="000000"/>
        </w:rPr>
      </w:pPr>
    </w:p>
    <w:p w:rsidR="00DC4B6C" w:rsidRDefault="00DC4B6C" w:rsidP="00C41533">
      <w:pPr>
        <w:rPr>
          <w:rFonts w:cs="Arial"/>
          <w:color w:val="000000"/>
        </w:rPr>
      </w:pPr>
    </w:p>
    <w:p w:rsidR="006F5170" w:rsidRDefault="006F5170" w:rsidP="00C41533">
      <w:pPr>
        <w:rPr>
          <w:rFonts w:cs="Arial"/>
          <w:color w:val="000000"/>
        </w:rPr>
      </w:pPr>
    </w:p>
    <w:p w:rsidR="006F5170" w:rsidRDefault="006F5170" w:rsidP="00C41533">
      <w:pPr>
        <w:rPr>
          <w:rFonts w:cs="Arial"/>
          <w:color w:val="000000"/>
        </w:rPr>
      </w:pPr>
    </w:p>
    <w:p w:rsidR="006F5170" w:rsidRDefault="006F5170" w:rsidP="00C41533">
      <w:pPr>
        <w:rPr>
          <w:rFonts w:cs="Arial"/>
          <w:color w:val="000000"/>
        </w:rPr>
      </w:pPr>
    </w:p>
    <w:p w:rsidR="006F5170" w:rsidRDefault="006F5170" w:rsidP="00C41533">
      <w:pPr>
        <w:rPr>
          <w:rFonts w:cs="Arial"/>
          <w:color w:val="000000"/>
        </w:rPr>
      </w:pPr>
    </w:p>
    <w:p w:rsidR="006F5170" w:rsidRDefault="006F5170" w:rsidP="00C41533">
      <w:pPr>
        <w:rPr>
          <w:rFonts w:cs="Arial"/>
          <w:color w:val="000000"/>
        </w:rPr>
      </w:pPr>
    </w:p>
    <w:p w:rsidR="006F5170" w:rsidRDefault="006F5170" w:rsidP="00C41533">
      <w:pPr>
        <w:rPr>
          <w:rFonts w:cs="Arial"/>
          <w:color w:val="000000"/>
        </w:rPr>
      </w:pPr>
    </w:p>
    <w:p w:rsidR="00907AA5" w:rsidRDefault="00907AA5" w:rsidP="00C41533">
      <w:pPr>
        <w:rPr>
          <w:rFonts w:cs="Arial"/>
          <w:color w:val="000000"/>
        </w:rPr>
      </w:pPr>
    </w:p>
    <w:p w:rsidR="006F5170" w:rsidRDefault="006F5170" w:rsidP="00C41533">
      <w:pPr>
        <w:rPr>
          <w:rFonts w:cs="Arial"/>
          <w:color w:val="000000"/>
        </w:rPr>
      </w:pPr>
    </w:p>
    <w:p w:rsidR="00907AA5" w:rsidRDefault="00907AA5" w:rsidP="00C41533">
      <w:pPr>
        <w:rPr>
          <w:rFonts w:cs="Arial"/>
          <w:color w:val="000000"/>
        </w:rPr>
      </w:pPr>
    </w:p>
    <w:p w:rsidR="006F5170" w:rsidRDefault="006F5170" w:rsidP="00C41533">
      <w:pPr>
        <w:rPr>
          <w:rFonts w:cs="Arial"/>
          <w:color w:val="000000"/>
        </w:rPr>
      </w:pPr>
    </w:p>
    <w:p w:rsidR="00C80919" w:rsidRDefault="00C80919" w:rsidP="00C41533">
      <w:pPr>
        <w:rPr>
          <w:rFonts w:cs="Arial"/>
          <w:color w:val="000000"/>
        </w:rPr>
      </w:pPr>
    </w:p>
    <w:p w:rsidR="00C80919" w:rsidRDefault="00C80919" w:rsidP="00C41533">
      <w:pPr>
        <w:rPr>
          <w:rFonts w:cs="Arial"/>
          <w:color w:val="000000"/>
        </w:rPr>
      </w:pPr>
    </w:p>
    <w:p w:rsidR="00EA796A" w:rsidRPr="002A0BEC" w:rsidRDefault="00EA796A" w:rsidP="00C41533">
      <w:pPr>
        <w:rPr>
          <w:rFonts w:cs="Arial"/>
          <w:b/>
          <w:color w:val="000000"/>
          <w:sz w:val="28"/>
          <w:szCs w:val="28"/>
        </w:rPr>
      </w:pPr>
      <w:bookmarkStart w:id="10" w:name="Annex1"/>
      <w:r w:rsidRPr="002A0BEC">
        <w:rPr>
          <w:rFonts w:cs="Arial"/>
          <w:b/>
          <w:color w:val="000000"/>
          <w:sz w:val="28"/>
          <w:szCs w:val="28"/>
        </w:rPr>
        <w:t>Annex 1</w:t>
      </w:r>
    </w:p>
    <w:bookmarkEnd w:id="10"/>
    <w:p w:rsidR="0067779D" w:rsidRPr="004E1E59" w:rsidRDefault="00C41533" w:rsidP="00BF680C">
      <w:pPr>
        <w:pStyle w:val="NormalWeb"/>
        <w:shd w:val="clear" w:color="auto" w:fill="D9D9D9" w:themeFill="background1" w:themeFillShade="D9"/>
        <w:rPr>
          <w:rStyle w:val="Strong"/>
          <w:rFonts w:ascii="Arial" w:hAnsi="Arial" w:cs="Arial"/>
          <w:sz w:val="28"/>
          <w:szCs w:val="28"/>
        </w:rPr>
      </w:pPr>
      <w:r w:rsidRPr="004E1E59">
        <w:rPr>
          <w:rStyle w:val="Strong"/>
          <w:rFonts w:ascii="Arial" w:hAnsi="Arial" w:cs="Arial"/>
          <w:sz w:val="28"/>
          <w:szCs w:val="28"/>
        </w:rPr>
        <w:lastRenderedPageBreak/>
        <w:t>National Research Ethics Advisory Panel Members:</w:t>
      </w:r>
    </w:p>
    <w:p w:rsidR="0048497C" w:rsidRPr="004E1E59" w:rsidRDefault="0048497C" w:rsidP="00EA796A">
      <w:pPr>
        <w:rPr>
          <w:rFonts w:cs="Arial"/>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3A0908" w:rsidRPr="004E1E59" w:rsidTr="0048497C">
        <w:tc>
          <w:tcPr>
            <w:tcW w:w="2235" w:type="dxa"/>
          </w:tcPr>
          <w:p w:rsidR="003A0908" w:rsidRPr="004E1E59" w:rsidRDefault="003A0908" w:rsidP="00EA796A">
            <w:pPr>
              <w:rPr>
                <w:rStyle w:val="Strong"/>
                <w:rFonts w:cs="Arial"/>
                <w:b w:val="0"/>
                <w:bCs w:val="0"/>
                <w:color w:val="000000"/>
              </w:rPr>
            </w:pPr>
            <w:r w:rsidRPr="00A406E9">
              <w:rPr>
                <w:rFonts w:cs="Arial"/>
                <w:b/>
                <w:bCs/>
                <w:noProof/>
                <w:color w:val="504598"/>
                <w:lang w:eastAsia="en-GB"/>
              </w:rPr>
              <w:drawing>
                <wp:inline distT="0" distB="0" distL="0" distR="0" wp14:anchorId="50B3A0B4" wp14:editId="1628F1BC">
                  <wp:extent cx="1276350" cy="1521802"/>
                  <wp:effectExtent l="0" t="0" r="0" b="2540"/>
                  <wp:docPr id="3" name="Picture 3" descr="Andrew-George-phot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drew-George-phot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521802"/>
                          </a:xfrm>
                          <a:prstGeom prst="rect">
                            <a:avLst/>
                          </a:prstGeom>
                          <a:noFill/>
                          <a:ln>
                            <a:noFill/>
                          </a:ln>
                        </pic:spPr>
                      </pic:pic>
                    </a:graphicData>
                  </a:graphic>
                </wp:inline>
              </w:drawing>
            </w:r>
          </w:p>
          <w:p w:rsidR="0067779D" w:rsidRPr="004E1E59" w:rsidRDefault="0067779D" w:rsidP="00EA796A">
            <w:pPr>
              <w:rPr>
                <w:rStyle w:val="Strong"/>
                <w:rFonts w:cs="Arial"/>
                <w:b w:val="0"/>
                <w:bCs w:val="0"/>
                <w:color w:val="000000"/>
              </w:rPr>
            </w:pPr>
          </w:p>
        </w:tc>
        <w:tc>
          <w:tcPr>
            <w:tcW w:w="7007" w:type="dxa"/>
            <w:vAlign w:val="center"/>
          </w:tcPr>
          <w:p w:rsidR="0021496E" w:rsidRPr="004E1E59" w:rsidRDefault="0021496E" w:rsidP="00C00529">
            <w:pPr>
              <w:spacing w:after="150"/>
              <w:rPr>
                <w:rFonts w:cs="Arial"/>
                <w:b/>
                <w:bCs/>
                <w:color w:val="333333"/>
                <w:lang w:val="en" w:eastAsia="en-GB"/>
              </w:rPr>
            </w:pPr>
            <w:r w:rsidRPr="004E1E59">
              <w:rPr>
                <w:rFonts w:cs="Arial"/>
                <w:b/>
                <w:bCs/>
                <w:color w:val="333333"/>
                <w:lang w:val="en" w:eastAsia="en-GB"/>
              </w:rPr>
              <w:t>Professor Andrew George</w:t>
            </w:r>
            <w:r w:rsidRPr="004E1E59">
              <w:rPr>
                <w:rFonts w:cs="Arial"/>
                <w:bCs/>
                <w:color w:val="333333"/>
                <w:lang w:val="en" w:eastAsia="en-GB"/>
              </w:rPr>
              <w:t xml:space="preserve"> (Chair)</w:t>
            </w:r>
          </w:p>
          <w:p w:rsidR="003A0908" w:rsidRPr="004E1E59" w:rsidRDefault="003A0908" w:rsidP="00C00529">
            <w:pPr>
              <w:spacing w:after="150"/>
              <w:rPr>
                <w:rFonts w:cs="Arial"/>
                <w:color w:val="333333"/>
                <w:lang w:val="en" w:eastAsia="en-GB"/>
              </w:rPr>
            </w:pPr>
            <w:r w:rsidRPr="004E1E59">
              <w:rPr>
                <w:rFonts w:cs="Arial"/>
                <w:color w:val="333333"/>
                <w:lang w:val="en" w:eastAsia="en-GB"/>
              </w:rPr>
              <w:t xml:space="preserve">Andrew is Vice Principal (Education &amp; International) at Brunel University. He was formerly Professor of Molecular Immunology in the Faculty of Medicine, Imperial College, </w:t>
            </w:r>
            <w:r w:rsidR="004A6313">
              <w:rPr>
                <w:rFonts w:cs="Arial"/>
                <w:color w:val="333333"/>
                <w:lang w:val="en" w:eastAsia="en-GB"/>
              </w:rPr>
              <w:t xml:space="preserve">and </w:t>
            </w:r>
            <w:r w:rsidRPr="004E1E59">
              <w:rPr>
                <w:rFonts w:cs="Arial"/>
                <w:color w:val="333333"/>
                <w:lang w:val="en" w:eastAsia="en-GB"/>
              </w:rPr>
              <w:t>the Director of Imperial College’s Graduate School and Scho</w:t>
            </w:r>
            <w:r w:rsidR="0067779D" w:rsidRPr="004E1E59">
              <w:rPr>
                <w:rFonts w:cs="Arial"/>
                <w:color w:val="333333"/>
                <w:lang w:val="en" w:eastAsia="en-GB"/>
              </w:rPr>
              <w:t>ol of Professional Development.</w:t>
            </w:r>
          </w:p>
          <w:p w:rsidR="003A0908" w:rsidRPr="004E1E59" w:rsidRDefault="003A0908" w:rsidP="00C00529">
            <w:pPr>
              <w:spacing w:after="150"/>
              <w:rPr>
                <w:rStyle w:val="Strong"/>
                <w:rFonts w:cs="Arial"/>
                <w:b w:val="0"/>
                <w:bCs w:val="0"/>
                <w:color w:val="333333"/>
                <w:lang w:val="en" w:eastAsia="en-GB"/>
              </w:rPr>
            </w:pPr>
            <w:r w:rsidRPr="004E1E59">
              <w:rPr>
                <w:rFonts w:cs="Arial"/>
                <w:color w:val="333333"/>
                <w:lang w:val="en" w:eastAsia="en-GB"/>
              </w:rPr>
              <w:t>Andrew is the Alternate Vice-Chair of the West London &amp; GTAC research ethics committee and a member of the MHRA’s Clinical Trials Expert Advisory Group of the Commission of Human Medicine. He is also a trustee of Action Medical Research, a governor of Richmond Adult Community College, and is on the T</w:t>
            </w:r>
            <w:r w:rsidR="0067779D" w:rsidRPr="004E1E59">
              <w:rPr>
                <w:rFonts w:cs="Arial"/>
                <w:color w:val="333333"/>
                <w:lang w:val="en" w:eastAsia="en-GB"/>
              </w:rPr>
              <w:t>raining Advisory Group of NERC.</w:t>
            </w:r>
          </w:p>
        </w:tc>
      </w:tr>
      <w:tr w:rsidR="0067779D" w:rsidRPr="004E1E59" w:rsidTr="00484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67779D" w:rsidRPr="004E1E59" w:rsidRDefault="0067779D" w:rsidP="004D7F87">
            <w:pPr>
              <w:rPr>
                <w:rStyle w:val="Strong"/>
                <w:rFonts w:cs="Arial"/>
                <w:b w:val="0"/>
                <w:bCs w:val="0"/>
                <w:color w:val="000000"/>
              </w:rPr>
            </w:pPr>
            <w:r w:rsidRPr="00A406E9">
              <w:rPr>
                <w:rFonts w:cs="Arial"/>
                <w:b/>
                <w:bCs/>
                <w:noProof/>
                <w:color w:val="504598"/>
                <w:lang w:eastAsia="en-GB"/>
              </w:rPr>
              <w:drawing>
                <wp:inline distT="0" distB="0" distL="0" distR="0" wp14:anchorId="707A38DC" wp14:editId="1BE45512">
                  <wp:extent cx="1238250" cy="1476375"/>
                  <wp:effectExtent l="0" t="0" r="0" b="9525"/>
                  <wp:docPr id="4" name="Picture 4" descr="P-Heasman-phot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easman-phot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1476375"/>
                          </a:xfrm>
                          <a:prstGeom prst="rect">
                            <a:avLst/>
                          </a:prstGeom>
                          <a:noFill/>
                          <a:ln>
                            <a:noFill/>
                          </a:ln>
                        </pic:spPr>
                      </pic:pic>
                    </a:graphicData>
                  </a:graphic>
                </wp:inline>
              </w:drawing>
            </w:r>
          </w:p>
        </w:tc>
        <w:tc>
          <w:tcPr>
            <w:tcW w:w="7007" w:type="dxa"/>
            <w:tcBorders>
              <w:top w:val="nil"/>
              <w:left w:val="nil"/>
              <w:bottom w:val="nil"/>
              <w:right w:val="nil"/>
            </w:tcBorders>
            <w:vAlign w:val="center"/>
          </w:tcPr>
          <w:p w:rsidR="0021496E" w:rsidRPr="00A406E9" w:rsidRDefault="0021496E" w:rsidP="00C00529">
            <w:pPr>
              <w:spacing w:after="150"/>
              <w:rPr>
                <w:rFonts w:cs="Arial"/>
                <w:b/>
                <w:color w:val="333333"/>
                <w:lang w:val="en" w:eastAsia="en-GB"/>
              </w:rPr>
            </w:pPr>
            <w:r w:rsidRPr="00A406E9">
              <w:rPr>
                <w:rFonts w:cs="Arial"/>
                <w:b/>
                <w:color w:val="333333"/>
                <w:lang w:val="en" w:eastAsia="en-GB"/>
              </w:rPr>
              <w:t>Professor Peter Heasman</w:t>
            </w:r>
          </w:p>
          <w:p w:rsidR="0067779D" w:rsidRPr="004E1E59" w:rsidRDefault="0021496E" w:rsidP="00C00529">
            <w:pPr>
              <w:spacing w:after="150"/>
              <w:rPr>
                <w:rStyle w:val="Strong"/>
                <w:rFonts w:cs="Arial"/>
                <w:b w:val="0"/>
                <w:bCs w:val="0"/>
                <w:color w:val="333333"/>
                <w:lang w:val="en" w:eastAsia="en-GB"/>
              </w:rPr>
            </w:pPr>
            <w:r w:rsidRPr="00A406E9">
              <w:rPr>
                <w:rFonts w:cs="Arial"/>
                <w:color w:val="333333"/>
                <w:lang w:val="en" w:eastAsia="en-GB"/>
              </w:rPr>
              <w:t>Peter Heasman is Professor of Periodontology and Honorary Consultant in Restorative Dentistry at the School of Dental Sciences, Newcastle University. He is the Chair of the North East – Northern and Yorkshire Research Ethics Committee and has been a member of NREAP since its inception in 2009.</w:t>
            </w:r>
          </w:p>
        </w:tc>
      </w:tr>
    </w:tbl>
    <w:p w:rsidR="00C00529" w:rsidRPr="004E1E59" w:rsidRDefault="00C00529" w:rsidP="00A406E9">
      <w:pPr>
        <w:spacing w:after="150" w:line="240" w:lineRule="auto"/>
        <w:rPr>
          <w:rStyle w:val="Strong"/>
          <w:rFonts w:cs="Arial"/>
          <w:b w:val="0"/>
          <w:bCs w:val="0"/>
          <w:color w:val="000000"/>
        </w:rPr>
      </w:pPr>
    </w:p>
    <w:tbl>
      <w:tblPr>
        <w:tblStyle w:val="TableGrid"/>
        <w:tblW w:w="0" w:type="auto"/>
        <w:tblLayout w:type="fixed"/>
        <w:tblLook w:val="04A0" w:firstRow="1" w:lastRow="0" w:firstColumn="1" w:lastColumn="0" w:noHBand="0" w:noVBand="1"/>
      </w:tblPr>
      <w:tblGrid>
        <w:gridCol w:w="2235"/>
        <w:gridCol w:w="7007"/>
      </w:tblGrid>
      <w:tr w:rsidR="00C00529" w:rsidRPr="004E1E59" w:rsidTr="0048497C">
        <w:tc>
          <w:tcPr>
            <w:tcW w:w="2235" w:type="dxa"/>
            <w:tcBorders>
              <w:top w:val="nil"/>
              <w:left w:val="nil"/>
              <w:bottom w:val="nil"/>
              <w:right w:val="nil"/>
            </w:tcBorders>
          </w:tcPr>
          <w:p w:rsidR="00C00529" w:rsidRPr="004E1E59" w:rsidRDefault="00A406E9" w:rsidP="004D7F87">
            <w:pPr>
              <w:rPr>
                <w:rStyle w:val="Strong"/>
                <w:rFonts w:cs="Arial"/>
                <w:b w:val="0"/>
                <w:bCs w:val="0"/>
                <w:color w:val="000000"/>
              </w:rPr>
            </w:pPr>
            <w:r w:rsidRPr="00A406E9">
              <w:rPr>
                <w:rFonts w:cs="Arial"/>
                <w:color w:val="333333"/>
                <w:lang w:val="en" w:eastAsia="en-GB"/>
              </w:rPr>
              <w:t> </w:t>
            </w:r>
            <w:r w:rsidR="00C00529" w:rsidRPr="00A406E9">
              <w:rPr>
                <w:rFonts w:cs="Arial"/>
                <w:b/>
                <w:bCs/>
                <w:noProof/>
                <w:color w:val="504598"/>
                <w:lang w:eastAsia="en-GB"/>
              </w:rPr>
              <w:drawing>
                <wp:inline distT="0" distB="0" distL="0" distR="0" wp14:anchorId="3571F7E2" wp14:editId="703F7C27">
                  <wp:extent cx="1238250" cy="1651000"/>
                  <wp:effectExtent l="0" t="0" r="0" b="6350"/>
                  <wp:docPr id="5" name="Picture 5" descr="Soren Hol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ren Hol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6899" cy="1675865"/>
                          </a:xfrm>
                          <a:prstGeom prst="rect">
                            <a:avLst/>
                          </a:prstGeom>
                          <a:noFill/>
                          <a:ln>
                            <a:noFill/>
                          </a:ln>
                        </pic:spPr>
                      </pic:pic>
                    </a:graphicData>
                  </a:graphic>
                </wp:inline>
              </w:drawing>
            </w:r>
          </w:p>
        </w:tc>
        <w:tc>
          <w:tcPr>
            <w:tcW w:w="7007" w:type="dxa"/>
            <w:tcBorders>
              <w:top w:val="nil"/>
              <w:left w:val="nil"/>
              <w:bottom w:val="nil"/>
              <w:right w:val="nil"/>
            </w:tcBorders>
            <w:vAlign w:val="center"/>
          </w:tcPr>
          <w:p w:rsidR="00C00529" w:rsidRPr="004E1E59" w:rsidRDefault="00C00529" w:rsidP="00C00529">
            <w:pPr>
              <w:spacing w:after="150"/>
              <w:rPr>
                <w:rStyle w:val="Strong"/>
                <w:rFonts w:cs="Arial"/>
                <w:bCs w:val="0"/>
                <w:color w:val="333333"/>
                <w:lang w:val="en" w:eastAsia="en-GB"/>
              </w:rPr>
            </w:pPr>
            <w:r w:rsidRPr="004E1E59">
              <w:rPr>
                <w:rStyle w:val="Strong"/>
                <w:rFonts w:cs="Arial"/>
                <w:bCs w:val="0"/>
                <w:color w:val="333333"/>
                <w:lang w:val="en" w:eastAsia="en-GB"/>
              </w:rPr>
              <w:t>Professor Søren Holm</w:t>
            </w:r>
          </w:p>
          <w:p w:rsidR="00C00529" w:rsidRPr="004E1E59" w:rsidRDefault="00C00529" w:rsidP="00C00529">
            <w:pPr>
              <w:spacing w:after="150"/>
              <w:rPr>
                <w:rStyle w:val="Strong"/>
                <w:rFonts w:cs="Arial"/>
                <w:b w:val="0"/>
                <w:bCs w:val="0"/>
                <w:color w:val="333333"/>
                <w:lang w:val="en" w:eastAsia="en-GB"/>
              </w:rPr>
            </w:pPr>
            <w:r w:rsidRPr="004E1E59">
              <w:rPr>
                <w:rStyle w:val="Strong"/>
                <w:rFonts w:cs="Arial"/>
                <w:b w:val="0"/>
                <w:bCs w:val="0"/>
                <w:color w:val="333333"/>
                <w:lang w:val="en" w:eastAsia="en-GB"/>
              </w:rPr>
              <w:t>Søren Holm is a medical doctor and philosopher. He is professor of bioethics at Manchester University and professor of medical ethics (part-time) at the University of Oslo.</w:t>
            </w:r>
          </w:p>
          <w:p w:rsidR="00C00529" w:rsidRPr="004E1E59" w:rsidRDefault="00C00529" w:rsidP="00C00529">
            <w:pPr>
              <w:spacing w:after="150"/>
              <w:rPr>
                <w:rStyle w:val="Strong"/>
                <w:rFonts w:cs="Arial"/>
                <w:b w:val="0"/>
                <w:bCs w:val="0"/>
                <w:color w:val="333333"/>
                <w:lang w:val="en" w:eastAsia="en-GB"/>
              </w:rPr>
            </w:pPr>
            <w:r w:rsidRPr="004E1E59">
              <w:rPr>
                <w:rStyle w:val="Strong"/>
                <w:rFonts w:cs="Arial"/>
                <w:b w:val="0"/>
                <w:bCs w:val="0"/>
                <w:color w:val="333333"/>
                <w:lang w:val="en" w:eastAsia="en-GB"/>
              </w:rPr>
              <w:t>He is currently the Editor In Chief of the journal Clinical Ethics and the former Editor in Chief of the Journal of Medical Ethics. He is a member of the UK Biobank Ethics and Governance Council and the UK Stem Cell Bank Steering Committee. He is also the Chair of the University of Manchester Committee on the Ethi</w:t>
            </w:r>
            <w:r w:rsidR="00DD531D" w:rsidRPr="004E1E59">
              <w:rPr>
                <w:rStyle w:val="Strong"/>
                <w:rFonts w:cs="Arial"/>
                <w:b w:val="0"/>
                <w:bCs w:val="0"/>
                <w:color w:val="333333"/>
                <w:lang w:val="en" w:eastAsia="en-GB"/>
              </w:rPr>
              <w:t>cs of Research on Human Beings.</w:t>
            </w:r>
          </w:p>
          <w:p w:rsidR="00C20761" w:rsidRPr="004E1E59" w:rsidRDefault="00C20761" w:rsidP="00C00529">
            <w:pPr>
              <w:spacing w:after="150"/>
              <w:rPr>
                <w:rStyle w:val="Strong"/>
                <w:rFonts w:cs="Arial"/>
                <w:b w:val="0"/>
                <w:bCs w:val="0"/>
                <w:color w:val="333333"/>
                <w:lang w:val="en" w:eastAsia="en-GB"/>
              </w:rPr>
            </w:pPr>
          </w:p>
        </w:tc>
      </w:tr>
      <w:tr w:rsidR="00DD531D" w:rsidRPr="004E1E59" w:rsidTr="0048497C">
        <w:tc>
          <w:tcPr>
            <w:tcW w:w="2235" w:type="dxa"/>
            <w:tcBorders>
              <w:top w:val="nil"/>
              <w:left w:val="nil"/>
              <w:bottom w:val="nil"/>
              <w:right w:val="nil"/>
            </w:tcBorders>
          </w:tcPr>
          <w:p w:rsidR="00DD531D" w:rsidRPr="004E1E59" w:rsidRDefault="00DD531D" w:rsidP="004D7F87">
            <w:pPr>
              <w:rPr>
                <w:rStyle w:val="Strong"/>
                <w:rFonts w:cs="Arial"/>
                <w:b w:val="0"/>
                <w:bCs w:val="0"/>
                <w:color w:val="000000"/>
              </w:rPr>
            </w:pPr>
            <w:r w:rsidRPr="00A406E9">
              <w:rPr>
                <w:rFonts w:cs="Arial"/>
                <w:b/>
                <w:bCs/>
                <w:noProof/>
                <w:color w:val="504598"/>
                <w:lang w:eastAsia="en-GB"/>
              </w:rPr>
              <w:drawing>
                <wp:inline distT="0" distB="0" distL="0" distR="0" wp14:anchorId="4E8AE951" wp14:editId="422599B9">
                  <wp:extent cx="1314450" cy="1795798"/>
                  <wp:effectExtent l="0" t="0" r="0" b="0"/>
                  <wp:docPr id="6" name="Picture 6" descr="John Kee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ohn Keen">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1795798"/>
                          </a:xfrm>
                          <a:prstGeom prst="rect">
                            <a:avLst/>
                          </a:prstGeom>
                          <a:noFill/>
                          <a:ln>
                            <a:noFill/>
                          </a:ln>
                        </pic:spPr>
                      </pic:pic>
                    </a:graphicData>
                  </a:graphic>
                </wp:inline>
              </w:drawing>
            </w:r>
          </w:p>
        </w:tc>
        <w:tc>
          <w:tcPr>
            <w:tcW w:w="7007" w:type="dxa"/>
            <w:tcBorders>
              <w:top w:val="nil"/>
              <w:left w:val="nil"/>
              <w:bottom w:val="nil"/>
              <w:right w:val="nil"/>
            </w:tcBorders>
            <w:vAlign w:val="center"/>
          </w:tcPr>
          <w:p w:rsidR="00DD531D" w:rsidRPr="00A406E9" w:rsidRDefault="00DD531D" w:rsidP="00DD531D">
            <w:pPr>
              <w:outlineLvl w:val="2"/>
              <w:rPr>
                <w:rFonts w:cs="Arial"/>
                <w:b/>
                <w:lang w:val="en" w:eastAsia="en-GB"/>
              </w:rPr>
            </w:pPr>
            <w:r w:rsidRPr="00A406E9">
              <w:rPr>
                <w:rFonts w:cs="Arial"/>
                <w:b/>
                <w:lang w:val="en" w:eastAsia="en-GB"/>
              </w:rPr>
              <w:t>Dr</w:t>
            </w:r>
            <w:r w:rsidRPr="004E1E59">
              <w:rPr>
                <w:rFonts w:cs="Arial"/>
                <w:b/>
                <w:lang w:val="en" w:eastAsia="en-GB"/>
              </w:rPr>
              <w:t>.</w:t>
            </w:r>
            <w:r w:rsidRPr="00A406E9">
              <w:rPr>
                <w:rFonts w:cs="Arial"/>
                <w:b/>
                <w:lang w:val="en" w:eastAsia="en-GB"/>
              </w:rPr>
              <w:t xml:space="preserve"> John Keen</w:t>
            </w:r>
          </w:p>
          <w:p w:rsidR="00DD531D" w:rsidRPr="004E1E59" w:rsidRDefault="00DD531D" w:rsidP="00DD531D">
            <w:pPr>
              <w:spacing w:after="150"/>
              <w:rPr>
                <w:rFonts w:cs="Arial"/>
                <w:color w:val="333333"/>
                <w:lang w:val="en" w:eastAsia="en-GB"/>
              </w:rPr>
            </w:pPr>
          </w:p>
          <w:p w:rsidR="00DD531D" w:rsidRPr="00A406E9" w:rsidRDefault="00DD531D" w:rsidP="00DD531D">
            <w:pPr>
              <w:spacing w:after="150"/>
              <w:rPr>
                <w:rFonts w:cs="Arial"/>
                <w:color w:val="333333"/>
                <w:lang w:val="en" w:eastAsia="en-GB"/>
              </w:rPr>
            </w:pPr>
            <w:r w:rsidRPr="00A406E9">
              <w:rPr>
                <w:rFonts w:cs="Arial"/>
                <w:color w:val="333333"/>
                <w:lang w:val="en" w:eastAsia="en-GB"/>
              </w:rPr>
              <w:t xml:space="preserve">John Keen has been a GP in </w:t>
            </w:r>
            <w:proofErr w:type="spellStart"/>
            <w:r w:rsidRPr="00A406E9">
              <w:rPr>
                <w:rFonts w:cs="Arial"/>
                <w:color w:val="333333"/>
                <w:lang w:val="en" w:eastAsia="en-GB"/>
              </w:rPr>
              <w:t>Chiswick</w:t>
            </w:r>
            <w:proofErr w:type="spellEnd"/>
            <w:r w:rsidRPr="00A406E9">
              <w:rPr>
                <w:rFonts w:cs="Arial"/>
                <w:color w:val="333333"/>
                <w:lang w:val="en" w:eastAsia="en-GB"/>
              </w:rPr>
              <w:t xml:space="preserve"> since 1988. He is the chair of the London – Brent Research Ethics Committees and is a member of the Home Office UKBA Family Returns Panel.</w:t>
            </w:r>
          </w:p>
          <w:p w:rsidR="00DD531D" w:rsidRPr="004E1E59" w:rsidRDefault="00DD531D" w:rsidP="00DD531D">
            <w:pPr>
              <w:spacing w:after="150"/>
              <w:rPr>
                <w:rStyle w:val="Strong"/>
                <w:rFonts w:cs="Arial"/>
                <w:b w:val="0"/>
                <w:bCs w:val="0"/>
                <w:color w:val="333333"/>
                <w:lang w:val="en" w:eastAsia="en-GB"/>
              </w:rPr>
            </w:pPr>
            <w:r w:rsidRPr="00A406E9">
              <w:rPr>
                <w:rFonts w:cs="Arial"/>
                <w:color w:val="333333"/>
                <w:lang w:val="en" w:eastAsia="en-GB"/>
              </w:rPr>
              <w:t xml:space="preserve">He is a Director of </w:t>
            </w:r>
            <w:proofErr w:type="spellStart"/>
            <w:r w:rsidRPr="00A406E9">
              <w:rPr>
                <w:rFonts w:cs="Arial"/>
                <w:color w:val="333333"/>
                <w:lang w:val="en" w:eastAsia="en-GB"/>
              </w:rPr>
              <w:t>NowMedical</w:t>
            </w:r>
            <w:proofErr w:type="spellEnd"/>
            <w:r w:rsidRPr="00A406E9">
              <w:rPr>
                <w:rFonts w:cs="Arial"/>
                <w:color w:val="333333"/>
                <w:lang w:val="en" w:eastAsia="en-GB"/>
              </w:rPr>
              <w:t xml:space="preserve"> Ltd, a company that provides medical and psychiatric advice to the housing departments of local authorities, housing associations and trusts, on matters such as medical priority for allocations and transfers, vulnerability for priority need, and special housing needs. </w:t>
            </w:r>
          </w:p>
        </w:tc>
      </w:tr>
      <w:tr w:rsidR="00C20761" w:rsidRPr="004E1E59" w:rsidTr="00484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Pr>
          <w:p w:rsidR="00C20761" w:rsidRPr="004E1E59" w:rsidRDefault="00C20761" w:rsidP="004D7F87">
            <w:pPr>
              <w:rPr>
                <w:rStyle w:val="Strong"/>
                <w:rFonts w:cs="Arial"/>
                <w:b w:val="0"/>
                <w:bCs w:val="0"/>
                <w:color w:val="000000"/>
              </w:rPr>
            </w:pPr>
            <w:r w:rsidRPr="00A406E9">
              <w:rPr>
                <w:rFonts w:cs="Arial"/>
                <w:b/>
                <w:bCs/>
                <w:noProof/>
                <w:color w:val="504598"/>
                <w:lang w:eastAsia="en-GB"/>
              </w:rPr>
              <w:lastRenderedPageBreak/>
              <w:drawing>
                <wp:inline distT="0" distB="0" distL="0" distR="0" wp14:anchorId="37872B1E" wp14:editId="578E00BA">
                  <wp:extent cx="1314450" cy="1795797"/>
                  <wp:effectExtent l="0" t="0" r="0" b="0"/>
                  <wp:docPr id="7" name="Picture 7" descr="Ros Levens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os Levenso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0" cy="1795797"/>
                          </a:xfrm>
                          <a:prstGeom prst="rect">
                            <a:avLst/>
                          </a:prstGeom>
                          <a:noFill/>
                          <a:ln>
                            <a:noFill/>
                          </a:ln>
                        </pic:spPr>
                      </pic:pic>
                    </a:graphicData>
                  </a:graphic>
                </wp:inline>
              </w:drawing>
            </w:r>
          </w:p>
        </w:tc>
        <w:tc>
          <w:tcPr>
            <w:tcW w:w="7007" w:type="dxa"/>
            <w:vAlign w:val="center"/>
          </w:tcPr>
          <w:p w:rsidR="00C20761" w:rsidRPr="004E1E59" w:rsidRDefault="00C20761" w:rsidP="00C20761">
            <w:pPr>
              <w:outlineLvl w:val="2"/>
              <w:rPr>
                <w:rFonts w:cs="Arial"/>
                <w:b/>
                <w:lang w:val="en" w:eastAsia="en-GB"/>
              </w:rPr>
            </w:pPr>
            <w:proofErr w:type="spellStart"/>
            <w:r w:rsidRPr="00A406E9">
              <w:rPr>
                <w:rFonts w:cs="Arial"/>
                <w:b/>
                <w:lang w:val="en" w:eastAsia="en-GB"/>
              </w:rPr>
              <w:t>Ms</w:t>
            </w:r>
            <w:proofErr w:type="spellEnd"/>
            <w:r w:rsidRPr="00A406E9">
              <w:rPr>
                <w:rFonts w:cs="Arial"/>
                <w:b/>
                <w:lang w:val="en" w:eastAsia="en-GB"/>
              </w:rPr>
              <w:t xml:space="preserve"> </w:t>
            </w:r>
            <w:proofErr w:type="spellStart"/>
            <w:r w:rsidRPr="00A406E9">
              <w:rPr>
                <w:rFonts w:cs="Arial"/>
                <w:b/>
                <w:lang w:val="en" w:eastAsia="en-GB"/>
              </w:rPr>
              <w:t>Ros</w:t>
            </w:r>
            <w:proofErr w:type="spellEnd"/>
            <w:r w:rsidRPr="00A406E9">
              <w:rPr>
                <w:rFonts w:cs="Arial"/>
                <w:b/>
                <w:lang w:val="en" w:eastAsia="en-GB"/>
              </w:rPr>
              <w:t xml:space="preserve"> </w:t>
            </w:r>
            <w:proofErr w:type="spellStart"/>
            <w:r w:rsidRPr="00A406E9">
              <w:rPr>
                <w:rFonts w:cs="Arial"/>
                <w:b/>
                <w:lang w:val="en" w:eastAsia="en-GB"/>
              </w:rPr>
              <w:t>Levenson</w:t>
            </w:r>
            <w:proofErr w:type="spellEnd"/>
          </w:p>
          <w:p w:rsidR="00C20761" w:rsidRPr="00A406E9" w:rsidRDefault="00C20761" w:rsidP="00C20761">
            <w:pPr>
              <w:outlineLvl w:val="2"/>
              <w:rPr>
                <w:rFonts w:cs="Arial"/>
                <w:b/>
                <w:lang w:val="en" w:eastAsia="en-GB"/>
              </w:rPr>
            </w:pPr>
          </w:p>
          <w:p w:rsidR="00C20761" w:rsidRPr="00A406E9" w:rsidRDefault="00C20761" w:rsidP="00C20761">
            <w:pPr>
              <w:spacing w:after="150"/>
              <w:rPr>
                <w:rFonts w:cs="Arial"/>
                <w:color w:val="333333"/>
                <w:lang w:val="en" w:eastAsia="en-GB"/>
              </w:rPr>
            </w:pPr>
            <w:r w:rsidRPr="00A406E9">
              <w:rPr>
                <w:rFonts w:cs="Arial"/>
                <w:color w:val="333333"/>
                <w:lang w:val="en" w:eastAsia="en-GB"/>
              </w:rPr>
              <w:t>Ros Levenson is an independent researcher, writer, evaluator and policy consultant, with a particular interest in health and social care, including medical ethics.</w:t>
            </w:r>
          </w:p>
          <w:p w:rsidR="00C20761" w:rsidRPr="00A406E9" w:rsidRDefault="00C20761" w:rsidP="00C20761">
            <w:pPr>
              <w:spacing w:after="150"/>
              <w:rPr>
                <w:rFonts w:cs="Arial"/>
                <w:color w:val="333333"/>
                <w:lang w:val="en" w:eastAsia="en-GB"/>
              </w:rPr>
            </w:pPr>
            <w:r w:rsidRPr="00A406E9">
              <w:rPr>
                <w:rFonts w:cs="Arial"/>
                <w:color w:val="333333"/>
                <w:lang w:val="en" w:eastAsia="en-GB"/>
              </w:rPr>
              <w:t>Ros is currently a non-executive director of the NHS Litigation Authority. She is also a member of the Architects Registration Board.</w:t>
            </w:r>
          </w:p>
          <w:p w:rsidR="00C20761" w:rsidRPr="004E1E59" w:rsidRDefault="00C20761" w:rsidP="004D7F87">
            <w:pPr>
              <w:spacing w:after="150"/>
              <w:rPr>
                <w:rStyle w:val="Strong"/>
                <w:rFonts w:cs="Arial"/>
                <w:b w:val="0"/>
                <w:bCs w:val="0"/>
                <w:color w:val="333333"/>
                <w:lang w:val="en" w:eastAsia="en-GB"/>
              </w:rPr>
            </w:pPr>
            <w:r w:rsidRPr="00A406E9">
              <w:rPr>
                <w:rFonts w:cs="Arial"/>
                <w:color w:val="333333"/>
                <w:lang w:val="en" w:eastAsia="en-GB"/>
              </w:rPr>
              <w:t>Ros was a lay member of the General Medical Council (GMC) and Chair of the GMC Standards and Ethics committee from 2009 to 2012. She served for 5 years on the Ethics and Confidentiality Committee of the National Information Governance Board until September 2010, and for 3 years as a lay member of the National Commissioning Group until October 2010.  She was also a non-executive director of an NHS Trust for 10 years and deputy Chair of the Trust for 6 years until she completed her term of appointment in November 2007.</w:t>
            </w:r>
          </w:p>
        </w:tc>
      </w:tr>
    </w:tbl>
    <w:p w:rsidR="0038736D" w:rsidRPr="004E1E59" w:rsidRDefault="0038736D" w:rsidP="0038736D">
      <w:pPr>
        <w:spacing w:after="150" w:line="240" w:lineRule="auto"/>
        <w:rPr>
          <w:rFonts w:cs="Arial"/>
          <w:color w:val="333333"/>
          <w:lang w:val="en"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07"/>
      </w:tblGrid>
      <w:tr w:rsidR="0038736D" w:rsidRPr="004E1E59" w:rsidTr="0048497C">
        <w:tc>
          <w:tcPr>
            <w:tcW w:w="2235" w:type="dxa"/>
          </w:tcPr>
          <w:p w:rsidR="0038736D" w:rsidRPr="004E1E59" w:rsidRDefault="0038736D" w:rsidP="004D7F87">
            <w:pPr>
              <w:rPr>
                <w:rStyle w:val="Strong"/>
                <w:rFonts w:cs="Arial"/>
                <w:b w:val="0"/>
                <w:bCs w:val="0"/>
                <w:color w:val="000000"/>
              </w:rPr>
            </w:pPr>
            <w:r w:rsidRPr="00A406E9">
              <w:rPr>
                <w:rFonts w:cs="Arial"/>
                <w:b/>
                <w:bCs/>
                <w:noProof/>
                <w:color w:val="504598"/>
                <w:lang w:eastAsia="en-GB"/>
              </w:rPr>
              <w:drawing>
                <wp:inline distT="0" distB="0" distL="0" distR="0" wp14:anchorId="7DBECFCF" wp14:editId="1C373C27">
                  <wp:extent cx="1276350" cy="1743746"/>
                  <wp:effectExtent l="0" t="0" r="0" b="8890"/>
                  <wp:docPr id="8" name="Picture 8" descr="Mark Sheeh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k Sheeha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9435" cy="1747961"/>
                          </a:xfrm>
                          <a:prstGeom prst="rect">
                            <a:avLst/>
                          </a:prstGeom>
                          <a:noFill/>
                          <a:ln>
                            <a:noFill/>
                          </a:ln>
                        </pic:spPr>
                      </pic:pic>
                    </a:graphicData>
                  </a:graphic>
                </wp:inline>
              </w:drawing>
            </w:r>
          </w:p>
        </w:tc>
        <w:tc>
          <w:tcPr>
            <w:tcW w:w="7007" w:type="dxa"/>
            <w:vAlign w:val="center"/>
          </w:tcPr>
          <w:p w:rsidR="0038736D" w:rsidRPr="004E1E59" w:rsidRDefault="0038736D" w:rsidP="0038736D">
            <w:pPr>
              <w:spacing w:after="150"/>
              <w:rPr>
                <w:rStyle w:val="Strong"/>
                <w:rFonts w:cs="Arial"/>
                <w:bCs w:val="0"/>
                <w:color w:val="333333"/>
                <w:lang w:val="en" w:eastAsia="en-GB"/>
              </w:rPr>
            </w:pPr>
            <w:proofErr w:type="spellStart"/>
            <w:r w:rsidRPr="004E1E59">
              <w:rPr>
                <w:rStyle w:val="Strong"/>
                <w:rFonts w:cs="Arial"/>
                <w:bCs w:val="0"/>
                <w:color w:val="333333"/>
                <w:lang w:val="en" w:eastAsia="en-GB"/>
              </w:rPr>
              <w:t>Dr</w:t>
            </w:r>
            <w:proofErr w:type="spellEnd"/>
            <w:r w:rsidRPr="004E1E59">
              <w:rPr>
                <w:rStyle w:val="Strong"/>
                <w:rFonts w:cs="Arial"/>
                <w:bCs w:val="0"/>
                <w:color w:val="333333"/>
                <w:lang w:val="en" w:eastAsia="en-GB"/>
              </w:rPr>
              <w:t xml:space="preserve"> Mark Sheehan</w:t>
            </w:r>
          </w:p>
          <w:p w:rsidR="0038736D" w:rsidRPr="004E1E59" w:rsidRDefault="0038736D" w:rsidP="0038736D">
            <w:pPr>
              <w:spacing w:after="150"/>
              <w:rPr>
                <w:rStyle w:val="Strong"/>
                <w:rFonts w:cs="Arial"/>
                <w:b w:val="0"/>
                <w:bCs w:val="0"/>
                <w:color w:val="333333"/>
                <w:lang w:val="en" w:eastAsia="en-GB"/>
              </w:rPr>
            </w:pPr>
            <w:r w:rsidRPr="004E1E59">
              <w:rPr>
                <w:rStyle w:val="Strong"/>
                <w:rFonts w:cs="Arial"/>
                <w:b w:val="0"/>
                <w:bCs w:val="0"/>
                <w:color w:val="333333"/>
                <w:lang w:val="en" w:eastAsia="en-GB"/>
              </w:rPr>
              <w:t xml:space="preserve">Mark Sheehan is Oxford NIHR Biomedical Research Centre Ethics Fellow at the </w:t>
            </w:r>
            <w:proofErr w:type="spellStart"/>
            <w:r w:rsidRPr="004E1E59">
              <w:rPr>
                <w:rStyle w:val="Strong"/>
                <w:rFonts w:cs="Arial"/>
                <w:b w:val="0"/>
                <w:bCs w:val="0"/>
                <w:color w:val="333333"/>
                <w:lang w:val="en" w:eastAsia="en-GB"/>
              </w:rPr>
              <w:t>Ethox</w:t>
            </w:r>
            <w:proofErr w:type="spellEnd"/>
            <w:r w:rsidRPr="004E1E59">
              <w:rPr>
                <w:rStyle w:val="Strong"/>
                <w:rFonts w:cs="Arial"/>
                <w:b w:val="0"/>
                <w:bCs w:val="0"/>
                <w:color w:val="333333"/>
                <w:lang w:val="en" w:eastAsia="en-GB"/>
              </w:rPr>
              <w:t xml:space="preserve"> Centre, a Research Fellow at the </w:t>
            </w:r>
            <w:proofErr w:type="spellStart"/>
            <w:r w:rsidRPr="004E1E59">
              <w:rPr>
                <w:rStyle w:val="Strong"/>
                <w:rFonts w:cs="Arial"/>
                <w:b w:val="0"/>
                <w:bCs w:val="0"/>
                <w:color w:val="333333"/>
                <w:lang w:val="en" w:eastAsia="en-GB"/>
              </w:rPr>
              <w:t>Uehiro</w:t>
            </w:r>
            <w:proofErr w:type="spellEnd"/>
            <w:r w:rsidRPr="004E1E59">
              <w:rPr>
                <w:rStyle w:val="Strong"/>
                <w:rFonts w:cs="Arial"/>
                <w:b w:val="0"/>
                <w:bCs w:val="0"/>
                <w:color w:val="333333"/>
                <w:lang w:val="en" w:eastAsia="en-GB"/>
              </w:rPr>
              <w:t xml:space="preserve"> Centre for Practical Ethics and a Senior Research Fellow in Philosophy at St. Benet’s Hall, University of Oxford.  </w:t>
            </w:r>
          </w:p>
          <w:p w:rsidR="0038736D" w:rsidRPr="004E1E59" w:rsidRDefault="0038736D" w:rsidP="0038736D">
            <w:pPr>
              <w:spacing w:after="150"/>
              <w:rPr>
                <w:rStyle w:val="Strong"/>
                <w:rFonts w:cs="Arial"/>
                <w:b w:val="0"/>
                <w:bCs w:val="0"/>
                <w:color w:val="333333"/>
                <w:lang w:val="en" w:eastAsia="en-GB"/>
              </w:rPr>
            </w:pPr>
            <w:r w:rsidRPr="004E1E59">
              <w:rPr>
                <w:rStyle w:val="Strong"/>
                <w:rFonts w:cs="Arial"/>
                <w:b w:val="0"/>
                <w:bCs w:val="0"/>
                <w:color w:val="333333"/>
                <w:lang w:val="en" w:eastAsia="en-GB"/>
              </w:rPr>
              <w:t xml:space="preserve">He is a member of the Advisory Group for National </w:t>
            </w:r>
            <w:proofErr w:type="spellStart"/>
            <w:r w:rsidRPr="004E1E59">
              <w:rPr>
                <w:rStyle w:val="Strong"/>
                <w:rFonts w:cs="Arial"/>
                <w:b w:val="0"/>
                <w:bCs w:val="0"/>
                <w:color w:val="333333"/>
                <w:lang w:val="en" w:eastAsia="en-GB"/>
              </w:rPr>
              <w:t>Specialised</w:t>
            </w:r>
            <w:proofErr w:type="spellEnd"/>
            <w:r w:rsidRPr="004E1E59">
              <w:rPr>
                <w:rStyle w:val="Strong"/>
                <w:rFonts w:cs="Arial"/>
                <w:b w:val="0"/>
                <w:bCs w:val="0"/>
                <w:color w:val="333333"/>
                <w:lang w:val="en" w:eastAsia="en-GB"/>
              </w:rPr>
              <w:t xml:space="preserve"> Services (AGNSS), vice-chair of the Thames Valley Priorities Forum (MOBBB) for the South Central Strategic Health Authority and is an Associate Editor of the Journal of Medical Ethics.</w:t>
            </w:r>
          </w:p>
        </w:tc>
      </w:tr>
    </w:tbl>
    <w:p w:rsidR="0038736D" w:rsidRPr="00A406E9" w:rsidRDefault="0038736D" w:rsidP="00A406E9">
      <w:pPr>
        <w:spacing w:after="150" w:line="240" w:lineRule="auto"/>
        <w:rPr>
          <w:rFonts w:cs="Arial"/>
          <w:color w:val="333333"/>
          <w:lang w:val="en"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07"/>
      </w:tblGrid>
      <w:tr w:rsidR="0038736D" w:rsidRPr="004E1E59" w:rsidTr="00F902E5">
        <w:tc>
          <w:tcPr>
            <w:tcW w:w="2235" w:type="dxa"/>
          </w:tcPr>
          <w:p w:rsidR="0038736D" w:rsidRPr="004E1E59" w:rsidRDefault="00A406E9" w:rsidP="004D7F87">
            <w:pPr>
              <w:rPr>
                <w:rStyle w:val="Strong"/>
                <w:rFonts w:cs="Arial"/>
                <w:b w:val="0"/>
                <w:bCs w:val="0"/>
                <w:color w:val="000000"/>
              </w:rPr>
            </w:pPr>
            <w:r w:rsidRPr="00A406E9">
              <w:rPr>
                <w:rFonts w:cs="Arial"/>
                <w:color w:val="333333"/>
                <w:lang w:val="en" w:eastAsia="en-GB"/>
              </w:rPr>
              <w:t> </w:t>
            </w:r>
            <w:r w:rsidR="0038736D" w:rsidRPr="00A406E9">
              <w:rPr>
                <w:rFonts w:cs="Arial"/>
                <w:b/>
                <w:bCs/>
                <w:noProof/>
                <w:color w:val="504598"/>
                <w:lang w:eastAsia="en-GB"/>
              </w:rPr>
              <w:drawing>
                <wp:inline distT="0" distB="0" distL="0" distR="0" wp14:anchorId="0E0B52B4" wp14:editId="63706F26">
                  <wp:extent cx="1286182" cy="1533525"/>
                  <wp:effectExtent l="0" t="0" r="9525" b="0"/>
                  <wp:docPr id="9" name="Picture 9" descr="Simon Wood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mon Wood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8524" cy="1536317"/>
                          </a:xfrm>
                          <a:prstGeom prst="rect">
                            <a:avLst/>
                          </a:prstGeom>
                          <a:noFill/>
                          <a:ln>
                            <a:noFill/>
                          </a:ln>
                        </pic:spPr>
                      </pic:pic>
                    </a:graphicData>
                  </a:graphic>
                </wp:inline>
              </w:drawing>
            </w:r>
          </w:p>
        </w:tc>
        <w:tc>
          <w:tcPr>
            <w:tcW w:w="7007" w:type="dxa"/>
            <w:vAlign w:val="center"/>
          </w:tcPr>
          <w:p w:rsidR="0038736D" w:rsidRPr="004E1E59" w:rsidRDefault="0038736D" w:rsidP="0038736D">
            <w:pPr>
              <w:spacing w:after="150"/>
              <w:rPr>
                <w:rStyle w:val="Strong"/>
                <w:rFonts w:cs="Arial"/>
                <w:bCs w:val="0"/>
                <w:color w:val="333333"/>
                <w:lang w:val="en" w:eastAsia="en-GB"/>
              </w:rPr>
            </w:pPr>
            <w:proofErr w:type="spellStart"/>
            <w:r w:rsidRPr="004E1E59">
              <w:rPr>
                <w:rStyle w:val="Strong"/>
                <w:rFonts w:cs="Arial"/>
                <w:bCs w:val="0"/>
                <w:color w:val="333333"/>
                <w:lang w:val="en" w:eastAsia="en-GB"/>
              </w:rPr>
              <w:t>Dr</w:t>
            </w:r>
            <w:proofErr w:type="spellEnd"/>
            <w:r w:rsidRPr="004E1E59">
              <w:rPr>
                <w:rStyle w:val="Strong"/>
                <w:rFonts w:cs="Arial"/>
                <w:bCs w:val="0"/>
                <w:color w:val="333333"/>
                <w:lang w:val="en" w:eastAsia="en-GB"/>
              </w:rPr>
              <w:t xml:space="preserve"> Simon Woods</w:t>
            </w:r>
          </w:p>
          <w:p w:rsidR="0038736D" w:rsidRPr="004E1E59" w:rsidRDefault="0038736D" w:rsidP="0038736D">
            <w:pPr>
              <w:spacing w:after="150"/>
              <w:rPr>
                <w:rStyle w:val="Strong"/>
                <w:rFonts w:cs="Arial"/>
                <w:b w:val="0"/>
                <w:bCs w:val="0"/>
                <w:color w:val="333333"/>
                <w:lang w:val="en" w:eastAsia="en-GB"/>
              </w:rPr>
            </w:pPr>
            <w:r w:rsidRPr="004E1E59">
              <w:rPr>
                <w:rStyle w:val="Strong"/>
                <w:rFonts w:cs="Arial"/>
                <w:b w:val="0"/>
                <w:bCs w:val="0"/>
                <w:color w:val="333333"/>
                <w:lang w:val="en" w:eastAsia="en-GB"/>
              </w:rPr>
              <w:t>Simon Woods is a senior lecturer and Co- Director of the Policy, Ethics and Life Sciences Research Centre, an ethics ‘think tank’ at Newcastle University involved in research teaching and public engagement on the ethical and social implications of the life sciences. He was one of the original NREAs appointed in 2009.</w:t>
            </w:r>
          </w:p>
          <w:p w:rsidR="0038736D" w:rsidRPr="004E1E59" w:rsidRDefault="0038736D" w:rsidP="0038736D">
            <w:pPr>
              <w:spacing w:after="150"/>
              <w:rPr>
                <w:rStyle w:val="Strong"/>
                <w:rFonts w:cs="Arial"/>
                <w:b w:val="0"/>
                <w:bCs w:val="0"/>
                <w:color w:val="333333"/>
                <w:lang w:val="en" w:eastAsia="en-GB"/>
              </w:rPr>
            </w:pPr>
            <w:r w:rsidRPr="004E1E59">
              <w:rPr>
                <w:rStyle w:val="Strong"/>
                <w:rFonts w:cs="Arial"/>
                <w:b w:val="0"/>
                <w:bCs w:val="0"/>
                <w:color w:val="333333"/>
                <w:lang w:val="en" w:eastAsia="en-GB"/>
              </w:rPr>
              <w:t xml:space="preserve">He spent 10 years as a clinical cancer nurse and Macmillan lecturer and he holds bachelor and doctoral degrees in philosophy. </w:t>
            </w:r>
          </w:p>
          <w:p w:rsidR="00911953" w:rsidRDefault="0038736D" w:rsidP="00194260">
            <w:pPr>
              <w:spacing w:after="150"/>
              <w:rPr>
                <w:rStyle w:val="Strong"/>
                <w:rFonts w:cs="Arial"/>
                <w:b w:val="0"/>
                <w:bCs w:val="0"/>
                <w:color w:val="333333"/>
                <w:lang w:val="en" w:eastAsia="en-GB"/>
              </w:rPr>
            </w:pPr>
            <w:r w:rsidRPr="004E1E59">
              <w:rPr>
                <w:rStyle w:val="Strong"/>
                <w:rFonts w:cs="Arial"/>
                <w:b w:val="0"/>
                <w:bCs w:val="0"/>
                <w:color w:val="333333"/>
                <w:lang w:val="en" w:eastAsia="en-GB"/>
              </w:rPr>
              <w:t xml:space="preserve">He has conducted empirical and conceptual research in bioethics and has taught and published widely in the field. </w:t>
            </w:r>
          </w:p>
          <w:p w:rsidR="00911953" w:rsidRPr="004E1E59" w:rsidRDefault="00911953" w:rsidP="00194260">
            <w:pPr>
              <w:spacing w:after="150"/>
              <w:rPr>
                <w:rStyle w:val="Strong"/>
                <w:rFonts w:cs="Arial"/>
                <w:b w:val="0"/>
                <w:bCs w:val="0"/>
                <w:color w:val="333333"/>
                <w:lang w:val="en" w:eastAsia="en-GB"/>
              </w:rPr>
            </w:pPr>
          </w:p>
        </w:tc>
      </w:tr>
      <w:tr w:rsidR="00194260" w:rsidRPr="004E1E59" w:rsidTr="0048497C">
        <w:tc>
          <w:tcPr>
            <w:tcW w:w="2235" w:type="dxa"/>
          </w:tcPr>
          <w:p w:rsidR="00194260" w:rsidRPr="004E1E59" w:rsidRDefault="00194260" w:rsidP="004D7F87">
            <w:pPr>
              <w:rPr>
                <w:rStyle w:val="Strong"/>
                <w:rFonts w:cs="Arial"/>
                <w:b w:val="0"/>
                <w:bCs w:val="0"/>
                <w:color w:val="000000"/>
              </w:rPr>
            </w:pPr>
            <w:r w:rsidRPr="00A406E9">
              <w:rPr>
                <w:rFonts w:cs="Arial"/>
                <w:b/>
                <w:bCs/>
                <w:noProof/>
                <w:color w:val="504598"/>
                <w:lang w:eastAsia="en-GB"/>
              </w:rPr>
              <w:drawing>
                <wp:inline distT="0" distB="0" distL="0" distR="0" wp14:anchorId="20F90091" wp14:editId="0B977101">
                  <wp:extent cx="1276350" cy="1521802"/>
                  <wp:effectExtent l="0" t="0" r="0" b="2540"/>
                  <wp:docPr id="10" name="Picture 10" descr="Photo_MalcolmBoyc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oto_MalcolmBoyc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350" cy="1521802"/>
                          </a:xfrm>
                          <a:prstGeom prst="rect">
                            <a:avLst/>
                          </a:prstGeom>
                          <a:noFill/>
                          <a:ln>
                            <a:noFill/>
                          </a:ln>
                        </pic:spPr>
                      </pic:pic>
                    </a:graphicData>
                  </a:graphic>
                </wp:inline>
              </w:drawing>
            </w:r>
          </w:p>
        </w:tc>
        <w:tc>
          <w:tcPr>
            <w:tcW w:w="7007" w:type="dxa"/>
            <w:vAlign w:val="center"/>
          </w:tcPr>
          <w:p w:rsidR="00194260" w:rsidRPr="004E1E59" w:rsidRDefault="00194260" w:rsidP="00194260">
            <w:pPr>
              <w:spacing w:after="150"/>
              <w:rPr>
                <w:rStyle w:val="Strong"/>
                <w:rFonts w:cs="Arial"/>
                <w:bCs w:val="0"/>
                <w:lang w:val="en" w:eastAsia="en-GB"/>
              </w:rPr>
            </w:pPr>
            <w:r w:rsidRPr="004E1E59">
              <w:rPr>
                <w:rStyle w:val="Strong"/>
                <w:rFonts w:cs="Arial"/>
                <w:bCs w:val="0"/>
                <w:lang w:val="en" w:eastAsia="en-GB"/>
              </w:rPr>
              <w:t>Dr. Malcolm Boyce</w:t>
            </w:r>
          </w:p>
          <w:p w:rsidR="00915133" w:rsidRPr="004E1E59" w:rsidRDefault="00F83921" w:rsidP="00194260">
            <w:pPr>
              <w:spacing w:after="150"/>
              <w:rPr>
                <w:rStyle w:val="Strong"/>
                <w:rFonts w:cs="Arial"/>
                <w:b w:val="0"/>
                <w:bCs w:val="0"/>
                <w:color w:val="333333"/>
                <w:lang w:val="en" w:eastAsia="en-GB"/>
              </w:rPr>
            </w:pPr>
            <w:r w:rsidRPr="004E1E59">
              <w:rPr>
                <w:rStyle w:val="Strong"/>
                <w:rFonts w:cs="Arial"/>
                <w:b w:val="0"/>
                <w:bCs w:val="0"/>
                <w:color w:val="333333"/>
                <w:lang w:val="en" w:eastAsia="en-GB"/>
              </w:rPr>
              <w:t xml:space="preserve">Malcolm is the Managing Director of Hammersmith Medicines Research, London, a </w:t>
            </w:r>
            <w:r w:rsidR="00915133" w:rsidRPr="004E1E59">
              <w:rPr>
                <w:rStyle w:val="Strong"/>
                <w:rFonts w:cs="Arial"/>
                <w:b w:val="0"/>
                <w:bCs w:val="0"/>
                <w:color w:val="333333"/>
                <w:lang w:val="en" w:eastAsia="en-GB"/>
              </w:rPr>
              <w:t xml:space="preserve">contract research </w:t>
            </w:r>
            <w:proofErr w:type="spellStart"/>
            <w:r w:rsidR="00915133" w:rsidRPr="004E1E59">
              <w:rPr>
                <w:rStyle w:val="Strong"/>
                <w:rFonts w:cs="Arial"/>
                <w:b w:val="0"/>
                <w:bCs w:val="0"/>
                <w:color w:val="333333"/>
                <w:lang w:val="en" w:eastAsia="en-GB"/>
              </w:rPr>
              <w:t>organisation</w:t>
            </w:r>
            <w:proofErr w:type="spellEnd"/>
            <w:r w:rsidR="00915133" w:rsidRPr="004E1E59">
              <w:rPr>
                <w:rStyle w:val="Strong"/>
                <w:rFonts w:cs="Arial"/>
                <w:b w:val="0"/>
                <w:bCs w:val="0"/>
                <w:color w:val="333333"/>
                <w:lang w:val="en" w:eastAsia="en-GB"/>
              </w:rPr>
              <w:t>.</w:t>
            </w:r>
          </w:p>
          <w:p w:rsidR="00194260" w:rsidRPr="004E1E59" w:rsidRDefault="00915133" w:rsidP="00194260">
            <w:pPr>
              <w:spacing w:after="150"/>
              <w:rPr>
                <w:rStyle w:val="Strong"/>
                <w:rFonts w:cs="Arial"/>
                <w:b w:val="0"/>
                <w:bCs w:val="0"/>
                <w:color w:val="333333"/>
                <w:lang w:val="en" w:eastAsia="en-GB"/>
              </w:rPr>
            </w:pPr>
            <w:r w:rsidRPr="004E1E59">
              <w:rPr>
                <w:rStyle w:val="Strong"/>
                <w:rFonts w:cs="Arial"/>
                <w:b w:val="0"/>
                <w:bCs w:val="0"/>
                <w:color w:val="333333"/>
                <w:lang w:val="en" w:eastAsia="en-GB"/>
              </w:rPr>
              <w:t xml:space="preserve">He has held various posts in clinical and academic medicine, and has worked for several of the major pharmaceutical companies. </w:t>
            </w:r>
            <w:r w:rsidR="00194260" w:rsidRPr="004E1E59">
              <w:rPr>
                <w:rStyle w:val="Strong"/>
                <w:rFonts w:cs="Arial"/>
                <w:b w:val="0"/>
                <w:bCs w:val="0"/>
                <w:color w:val="333333"/>
                <w:lang w:val="en" w:eastAsia="en-GB"/>
              </w:rPr>
              <w:t xml:space="preserve">He is </w:t>
            </w:r>
            <w:r w:rsidRPr="004E1E59">
              <w:rPr>
                <w:rStyle w:val="Strong"/>
                <w:rFonts w:cs="Arial"/>
                <w:b w:val="0"/>
                <w:bCs w:val="0"/>
                <w:color w:val="333333"/>
                <w:lang w:val="en" w:eastAsia="en-GB"/>
              </w:rPr>
              <w:t xml:space="preserve">also </w:t>
            </w:r>
            <w:r w:rsidR="00194260" w:rsidRPr="004E1E59">
              <w:rPr>
                <w:rStyle w:val="Strong"/>
                <w:rFonts w:cs="Arial"/>
                <w:b w:val="0"/>
                <w:bCs w:val="0"/>
                <w:color w:val="333333"/>
                <w:lang w:val="en" w:eastAsia="en-GB"/>
              </w:rPr>
              <w:t>an Honorary Senior Lecturer in Clinical Pharmacology at St Bartholomew’s Hospital Medical College.</w:t>
            </w:r>
          </w:p>
          <w:p w:rsidR="00194260" w:rsidRPr="004E1E59" w:rsidRDefault="00194260" w:rsidP="00194260">
            <w:pPr>
              <w:spacing w:after="150"/>
              <w:rPr>
                <w:rStyle w:val="Strong"/>
                <w:rFonts w:cs="Arial"/>
                <w:b w:val="0"/>
                <w:bCs w:val="0"/>
                <w:color w:val="333333"/>
                <w:lang w:val="en" w:eastAsia="en-GB"/>
              </w:rPr>
            </w:pPr>
            <w:r w:rsidRPr="004E1E59">
              <w:rPr>
                <w:rStyle w:val="Strong"/>
                <w:rFonts w:cs="Arial"/>
                <w:b w:val="0"/>
                <w:bCs w:val="0"/>
                <w:color w:val="333333"/>
                <w:lang w:val="en" w:eastAsia="en-GB"/>
              </w:rPr>
              <w:t xml:space="preserve">He is the chairman of the Faculty of Pharmaceutical Medicine Advisory Committee for the Diploma/Certificate in Human </w:t>
            </w:r>
            <w:r w:rsidRPr="004E1E59">
              <w:rPr>
                <w:rStyle w:val="Strong"/>
                <w:rFonts w:cs="Arial"/>
                <w:b w:val="0"/>
                <w:bCs w:val="0"/>
                <w:color w:val="333333"/>
                <w:lang w:val="en" w:eastAsia="en-GB"/>
              </w:rPr>
              <w:lastRenderedPageBreak/>
              <w:t>Pharmacology, and a member of the MHRA GCP Consultative Committee, NRES Phase 1 Advisory Group, and the Founding Council of the Faculty of Medical Leadership and Management.  He was a member and alternate chair of the London Research Ethics Committee 1997–2007.</w:t>
            </w:r>
          </w:p>
        </w:tc>
      </w:tr>
    </w:tbl>
    <w:p w:rsidR="00A406E9" w:rsidRPr="00A406E9" w:rsidRDefault="00A406E9" w:rsidP="00911953">
      <w:pPr>
        <w:spacing w:after="150" w:line="240" w:lineRule="auto"/>
        <w:rPr>
          <w:rFonts w:cs="Arial"/>
          <w:color w:val="333333"/>
          <w:lang w:val="en" w:eastAsia="en-GB"/>
        </w:rPr>
      </w:pPr>
    </w:p>
    <w:p w:rsidR="00915133" w:rsidRPr="004E1E59" w:rsidRDefault="00A406E9" w:rsidP="00915133">
      <w:pPr>
        <w:spacing w:after="150" w:line="240" w:lineRule="auto"/>
        <w:rPr>
          <w:rFonts w:cs="Arial"/>
          <w:b/>
          <w:color w:val="333333"/>
          <w:lang w:val="en" w:eastAsia="en-GB"/>
        </w:rPr>
      </w:pPr>
      <w:r w:rsidRPr="00A406E9">
        <w:rPr>
          <w:rFonts w:cs="Arial"/>
          <w:color w:val="333333"/>
          <w:lang w:val="en" w:eastAsia="en-GB"/>
        </w:rPr>
        <w:t> </w:t>
      </w:r>
      <w:r w:rsidR="00F902E5" w:rsidRPr="004E1E59">
        <w:rPr>
          <w:rFonts w:cs="Arial"/>
          <w:b/>
          <w:color w:val="333333"/>
          <w:lang w:val="en" w:eastAsia="en-GB"/>
        </w:rPr>
        <w:t>Secretariat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07"/>
      </w:tblGrid>
      <w:tr w:rsidR="00915133" w:rsidRPr="004E1E59" w:rsidTr="0048497C">
        <w:tc>
          <w:tcPr>
            <w:tcW w:w="2235" w:type="dxa"/>
          </w:tcPr>
          <w:p w:rsidR="00915133" w:rsidRPr="004E1E59" w:rsidRDefault="00915133" w:rsidP="004D7F87">
            <w:pPr>
              <w:rPr>
                <w:rStyle w:val="Strong"/>
                <w:rFonts w:cs="Arial"/>
                <w:b w:val="0"/>
                <w:bCs w:val="0"/>
                <w:color w:val="000000"/>
              </w:rPr>
            </w:pPr>
            <w:r w:rsidRPr="00A406E9">
              <w:rPr>
                <w:rFonts w:cs="Arial"/>
                <w:b/>
                <w:bCs/>
                <w:noProof/>
                <w:color w:val="504598"/>
                <w:lang w:eastAsia="en-GB"/>
              </w:rPr>
              <w:drawing>
                <wp:inline distT="0" distB="0" distL="0" distR="0" wp14:anchorId="3182B934" wp14:editId="7F07C4AC">
                  <wp:extent cx="1246597" cy="1703097"/>
                  <wp:effectExtent l="0" t="0" r="0" b="0"/>
                  <wp:docPr id="11" name="Picture 11" descr="CJ Collet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J Collet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6597" cy="1703097"/>
                          </a:xfrm>
                          <a:prstGeom prst="rect">
                            <a:avLst/>
                          </a:prstGeom>
                          <a:noFill/>
                          <a:ln>
                            <a:noFill/>
                          </a:ln>
                        </pic:spPr>
                      </pic:pic>
                    </a:graphicData>
                  </a:graphic>
                </wp:inline>
              </w:drawing>
            </w:r>
          </w:p>
        </w:tc>
        <w:tc>
          <w:tcPr>
            <w:tcW w:w="7007" w:type="dxa"/>
            <w:vAlign w:val="center"/>
          </w:tcPr>
          <w:p w:rsidR="00915133" w:rsidRPr="004E1E59" w:rsidRDefault="00915133" w:rsidP="00915133">
            <w:pPr>
              <w:spacing w:after="150"/>
              <w:rPr>
                <w:rStyle w:val="Strong"/>
                <w:rFonts w:cs="Arial"/>
                <w:bCs w:val="0"/>
                <w:color w:val="333333"/>
                <w:lang w:val="en" w:eastAsia="en-GB"/>
              </w:rPr>
            </w:pPr>
            <w:r w:rsidRPr="004E1E59">
              <w:rPr>
                <w:rStyle w:val="Strong"/>
                <w:rFonts w:cs="Arial"/>
                <w:bCs w:val="0"/>
                <w:color w:val="333333"/>
                <w:lang w:val="en" w:eastAsia="en-GB"/>
              </w:rPr>
              <w:t>Clive Collett</w:t>
            </w:r>
          </w:p>
          <w:p w:rsidR="00915133" w:rsidRPr="004E1E59" w:rsidRDefault="00915133" w:rsidP="00915133">
            <w:pPr>
              <w:spacing w:after="150"/>
              <w:rPr>
                <w:rStyle w:val="Strong"/>
                <w:rFonts w:cs="Arial"/>
                <w:b w:val="0"/>
                <w:bCs w:val="0"/>
                <w:color w:val="333333"/>
                <w:lang w:val="en" w:eastAsia="en-GB"/>
              </w:rPr>
            </w:pPr>
            <w:r w:rsidRPr="004E1E59">
              <w:rPr>
                <w:rStyle w:val="Strong"/>
                <w:rFonts w:cs="Arial"/>
                <w:b w:val="0"/>
                <w:bCs w:val="0"/>
                <w:color w:val="333333"/>
                <w:lang w:val="en" w:eastAsia="en-GB"/>
              </w:rPr>
              <w:t xml:space="preserve">Clive Collett is the HRA Ethics Guidance &amp; Strategy Manager and is responsible for the provision of the secretariat for the panel. He has been involved in the work of research ethics committees since 1996 when he became the Assistant R&amp;D Manager at Hammersmith Hospital with responsibility for the local REC (now  the ‘West London &amp; GTAC’ REC) for which he was the coordinator until April 2012. </w:t>
            </w:r>
          </w:p>
          <w:p w:rsidR="00915133" w:rsidRPr="004E1E59" w:rsidRDefault="00915133" w:rsidP="00705037">
            <w:pPr>
              <w:spacing w:after="150"/>
              <w:rPr>
                <w:rStyle w:val="Strong"/>
                <w:rFonts w:cs="Arial"/>
                <w:b w:val="0"/>
                <w:bCs w:val="0"/>
                <w:color w:val="333333"/>
                <w:lang w:val="en" w:eastAsia="en-GB"/>
              </w:rPr>
            </w:pPr>
            <w:r w:rsidRPr="004E1E59">
              <w:rPr>
                <w:rStyle w:val="Strong"/>
                <w:rFonts w:cs="Arial"/>
                <w:b w:val="0"/>
                <w:bCs w:val="0"/>
                <w:color w:val="333333"/>
                <w:lang w:val="en" w:eastAsia="en-GB"/>
              </w:rPr>
              <w:t xml:space="preserve">He is a lay member of the Ministry of </w:t>
            </w:r>
            <w:r w:rsidRPr="004E1E59">
              <w:rPr>
                <w:rStyle w:val="Strong"/>
                <w:rFonts w:cs="Arial"/>
                <w:b w:val="0"/>
                <w:bCs w:val="0"/>
                <w:color w:val="333333"/>
                <w:lang w:eastAsia="en-GB"/>
              </w:rPr>
              <w:t>Defence</w:t>
            </w:r>
            <w:r w:rsidRPr="004E1E59">
              <w:rPr>
                <w:rStyle w:val="Strong"/>
                <w:rFonts w:cs="Arial"/>
                <w:b w:val="0"/>
                <w:bCs w:val="0"/>
                <w:color w:val="333333"/>
                <w:lang w:val="en" w:eastAsia="en-GB"/>
              </w:rPr>
              <w:t xml:space="preserve"> Res</w:t>
            </w:r>
            <w:r w:rsidR="00705037">
              <w:rPr>
                <w:rStyle w:val="Strong"/>
                <w:rFonts w:cs="Arial"/>
                <w:b w:val="0"/>
                <w:bCs w:val="0"/>
                <w:color w:val="333333"/>
                <w:lang w:val="en" w:eastAsia="en-GB"/>
              </w:rPr>
              <w:t>earch Ethics Committee (MoDREC) and</w:t>
            </w:r>
            <w:r w:rsidRPr="004E1E59">
              <w:rPr>
                <w:rStyle w:val="Strong"/>
                <w:rFonts w:cs="Arial"/>
                <w:b w:val="0"/>
                <w:bCs w:val="0"/>
                <w:color w:val="333333"/>
                <w:lang w:val="en" w:eastAsia="en-GB"/>
              </w:rPr>
              <w:t xml:space="preserve"> has a </w:t>
            </w:r>
            <w:proofErr w:type="spellStart"/>
            <w:r w:rsidRPr="004E1E59">
              <w:rPr>
                <w:rStyle w:val="Strong"/>
                <w:rFonts w:cs="Arial"/>
                <w:b w:val="0"/>
                <w:bCs w:val="0"/>
                <w:color w:val="333333"/>
                <w:lang w:val="en" w:eastAsia="en-GB"/>
              </w:rPr>
              <w:t>PgDip</w:t>
            </w:r>
            <w:proofErr w:type="spellEnd"/>
            <w:r w:rsidRPr="004E1E59">
              <w:rPr>
                <w:rStyle w:val="Strong"/>
                <w:rFonts w:cs="Arial"/>
                <w:b w:val="0"/>
                <w:bCs w:val="0"/>
                <w:color w:val="333333"/>
                <w:lang w:val="en" w:eastAsia="en-GB"/>
              </w:rPr>
              <w:t xml:space="preserve"> in Healthcare Ethics and MA in Medical Ethics &amp; Law, both from King’s College, London.  </w:t>
            </w:r>
          </w:p>
        </w:tc>
      </w:tr>
    </w:tbl>
    <w:p w:rsidR="00947708" w:rsidRDefault="00947708" w:rsidP="00915133">
      <w:pPr>
        <w:spacing w:after="150" w:line="240" w:lineRule="auto"/>
        <w:rPr>
          <w:rFonts w:cs="Arial"/>
          <w:color w:val="333333"/>
          <w:lang w:val="en" w:eastAsia="en-GB"/>
        </w:rPr>
      </w:pPr>
    </w:p>
    <w:p w:rsidR="004904AE" w:rsidRDefault="004904AE" w:rsidP="004D7F87">
      <w:pPr>
        <w:rPr>
          <w:rFonts w:cs="Arial"/>
          <w:color w:val="333333"/>
          <w:lang w:val="en" w:eastAsia="en-GB"/>
        </w:rPr>
      </w:pPr>
      <w:bookmarkStart w:id="11" w:name="Annex2"/>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4904AE" w:rsidRDefault="004904AE" w:rsidP="004D7F87">
      <w:pPr>
        <w:rPr>
          <w:rFonts w:cs="Arial"/>
          <w:color w:val="333333"/>
          <w:lang w:val="en" w:eastAsia="en-GB"/>
        </w:rPr>
      </w:pPr>
    </w:p>
    <w:p w:rsidR="00E4739A" w:rsidRPr="006222D3" w:rsidRDefault="00897BFF" w:rsidP="004D7F87">
      <w:pPr>
        <w:rPr>
          <w:rFonts w:cs="Arial"/>
          <w:b/>
          <w:color w:val="000000"/>
          <w:sz w:val="28"/>
          <w:szCs w:val="28"/>
        </w:rPr>
      </w:pPr>
      <w:r w:rsidRPr="006222D3">
        <w:rPr>
          <w:rFonts w:cs="Arial"/>
          <w:b/>
          <w:color w:val="000000"/>
          <w:sz w:val="28"/>
          <w:szCs w:val="28"/>
        </w:rPr>
        <w:lastRenderedPageBreak/>
        <w:t>Annex 2</w:t>
      </w:r>
    </w:p>
    <w:bookmarkEnd w:id="11"/>
    <w:p w:rsidR="004D7F87" w:rsidRPr="00F82279" w:rsidRDefault="0057586B" w:rsidP="004D7F87">
      <w:pPr>
        <w:pStyle w:val="NormalWeb"/>
        <w:shd w:val="clear" w:color="auto" w:fill="D9D9D9" w:themeFill="background1" w:themeFillShade="D9"/>
        <w:rPr>
          <w:rStyle w:val="Strong"/>
          <w:rFonts w:ascii="Arial" w:hAnsi="Arial"/>
          <w:sz w:val="28"/>
          <w:szCs w:val="28"/>
        </w:rPr>
      </w:pPr>
      <w:r>
        <w:rPr>
          <w:rStyle w:val="Strong"/>
          <w:rFonts w:ascii="Arial" w:hAnsi="Arial"/>
          <w:sz w:val="28"/>
          <w:szCs w:val="28"/>
        </w:rPr>
        <w:t>Additional</w:t>
      </w:r>
      <w:r w:rsidR="004D7F87" w:rsidRPr="00F82279">
        <w:rPr>
          <w:rStyle w:val="Strong"/>
          <w:rFonts w:ascii="Arial" w:hAnsi="Arial"/>
          <w:sz w:val="28"/>
          <w:szCs w:val="28"/>
        </w:rPr>
        <w:t xml:space="preserve"> </w:t>
      </w:r>
      <w:r w:rsidR="004D7F87" w:rsidRPr="00D61870">
        <w:rPr>
          <w:rStyle w:val="Strong"/>
          <w:rFonts w:ascii="Arial" w:hAnsi="Arial" w:cs="Arial"/>
          <w:bCs w:val="0"/>
          <w:sz w:val="28"/>
          <w:szCs w:val="28"/>
        </w:rPr>
        <w:t>Work</w:t>
      </w:r>
      <w:r w:rsidR="004D7F87" w:rsidRPr="00F82279">
        <w:rPr>
          <w:rStyle w:val="Strong"/>
          <w:rFonts w:ascii="Arial" w:hAnsi="Arial"/>
          <w:sz w:val="28"/>
          <w:szCs w:val="28"/>
        </w:rPr>
        <w:t xml:space="preserve"> Undertaken on Behalf of the HRA</w:t>
      </w:r>
    </w:p>
    <w:p w:rsidR="004D7F87" w:rsidRDefault="004D7F87" w:rsidP="004D7F87">
      <w:pPr>
        <w:rPr>
          <w:rFonts w:eastAsia="Calibri"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521"/>
        <w:gridCol w:w="1417"/>
      </w:tblGrid>
      <w:tr w:rsidR="00465D61" w:rsidRPr="00465D61" w:rsidTr="009444B9">
        <w:tc>
          <w:tcPr>
            <w:tcW w:w="1134" w:type="dxa"/>
            <w:shd w:val="clear" w:color="auto" w:fill="D9D9D9"/>
          </w:tcPr>
          <w:p w:rsidR="00465D61" w:rsidRPr="00465D61" w:rsidRDefault="00465D61" w:rsidP="00465D61">
            <w:pPr>
              <w:rPr>
                <w:rFonts w:eastAsia="Calibri" w:cs="Arial"/>
                <w:b/>
              </w:rPr>
            </w:pPr>
            <w:r w:rsidRPr="00465D61">
              <w:rPr>
                <w:rFonts w:eastAsia="Calibri" w:cs="Arial"/>
                <w:b/>
              </w:rPr>
              <w:t>NREA</w:t>
            </w:r>
          </w:p>
        </w:tc>
        <w:tc>
          <w:tcPr>
            <w:tcW w:w="6521" w:type="dxa"/>
            <w:shd w:val="clear" w:color="auto" w:fill="D9D9D9"/>
          </w:tcPr>
          <w:p w:rsidR="00465D61" w:rsidRPr="00465D61" w:rsidRDefault="00465D61" w:rsidP="00465D61">
            <w:pPr>
              <w:rPr>
                <w:rFonts w:eastAsia="Calibri" w:cs="Arial"/>
                <w:b/>
              </w:rPr>
            </w:pPr>
            <w:r w:rsidRPr="00465D61">
              <w:rPr>
                <w:rFonts w:eastAsia="Calibri" w:cs="Arial"/>
                <w:b/>
              </w:rPr>
              <w:t>Activity</w:t>
            </w:r>
          </w:p>
        </w:tc>
        <w:tc>
          <w:tcPr>
            <w:tcW w:w="1417" w:type="dxa"/>
            <w:shd w:val="clear" w:color="auto" w:fill="D9D9D9"/>
          </w:tcPr>
          <w:p w:rsidR="00465D61" w:rsidRPr="00465D61" w:rsidRDefault="00465D61" w:rsidP="00465D61">
            <w:pPr>
              <w:rPr>
                <w:rFonts w:eastAsia="Calibri" w:cs="Arial"/>
                <w:b/>
              </w:rPr>
            </w:pPr>
            <w:r w:rsidRPr="00465D61">
              <w:rPr>
                <w:rFonts w:eastAsia="Calibri" w:cs="Arial"/>
                <w:b/>
              </w:rPr>
              <w:t>Date(s)</w:t>
            </w:r>
          </w:p>
        </w:tc>
      </w:tr>
      <w:tr w:rsidR="000F257C" w:rsidRPr="00465D61" w:rsidTr="009444B9">
        <w:trPr>
          <w:trHeight w:val="1894"/>
        </w:trPr>
        <w:tc>
          <w:tcPr>
            <w:tcW w:w="1134" w:type="dxa"/>
            <w:shd w:val="clear" w:color="auto" w:fill="auto"/>
          </w:tcPr>
          <w:p w:rsidR="000F257C" w:rsidRPr="00465D61" w:rsidRDefault="00D40259" w:rsidP="00465D61">
            <w:pPr>
              <w:widowControl w:val="0"/>
              <w:autoSpaceDE w:val="0"/>
              <w:autoSpaceDN w:val="0"/>
              <w:adjustRightInd w:val="0"/>
              <w:spacing w:after="0" w:line="240" w:lineRule="auto"/>
              <w:rPr>
                <w:rFonts w:cs="Arial"/>
                <w:b/>
              </w:rPr>
            </w:pPr>
            <w:r>
              <w:rPr>
                <w:rFonts w:cs="Arial"/>
                <w:b/>
              </w:rPr>
              <w:t xml:space="preserve">Andrew </w:t>
            </w:r>
            <w:r w:rsidR="000F257C" w:rsidRPr="00465D61">
              <w:rPr>
                <w:rFonts w:cs="Arial"/>
                <w:b/>
              </w:rPr>
              <w:t>George</w:t>
            </w:r>
          </w:p>
        </w:tc>
        <w:tc>
          <w:tcPr>
            <w:tcW w:w="6521" w:type="dxa"/>
            <w:shd w:val="clear" w:color="auto" w:fill="auto"/>
          </w:tcPr>
          <w:p w:rsidR="000F257C" w:rsidRPr="006222D3" w:rsidRDefault="000F257C" w:rsidP="00B115B1">
            <w:pPr>
              <w:spacing w:after="0" w:line="240" w:lineRule="auto"/>
              <w:rPr>
                <w:rFonts w:eastAsia="Calibri" w:cs="Arial"/>
                <w:sz w:val="20"/>
                <w:szCs w:val="20"/>
              </w:rPr>
            </w:pPr>
            <w:r w:rsidRPr="006222D3">
              <w:rPr>
                <w:rFonts w:eastAsia="Calibri" w:cs="Arial"/>
                <w:sz w:val="20"/>
                <w:szCs w:val="20"/>
              </w:rPr>
              <w:t>GTAC committee training</w:t>
            </w:r>
          </w:p>
          <w:p w:rsidR="000F257C" w:rsidRPr="006222D3" w:rsidRDefault="000F257C" w:rsidP="00B115B1">
            <w:pPr>
              <w:spacing w:after="0" w:line="240" w:lineRule="auto"/>
              <w:rPr>
                <w:rFonts w:eastAsia="Calibri" w:cs="Arial"/>
                <w:sz w:val="20"/>
                <w:szCs w:val="20"/>
              </w:rPr>
            </w:pPr>
          </w:p>
          <w:p w:rsidR="000F257C" w:rsidRPr="006222D3" w:rsidRDefault="000F257C" w:rsidP="00465D61">
            <w:pPr>
              <w:spacing w:after="0" w:line="240" w:lineRule="auto"/>
              <w:rPr>
                <w:rFonts w:eastAsia="Calibri" w:cs="Arial"/>
                <w:sz w:val="20"/>
                <w:szCs w:val="20"/>
              </w:rPr>
            </w:pPr>
            <w:r w:rsidRPr="006222D3">
              <w:rPr>
                <w:rFonts w:eastAsia="Calibri" w:cs="Arial"/>
                <w:sz w:val="20"/>
                <w:szCs w:val="20"/>
              </w:rPr>
              <w:t>Nuffield Council on Bioethics: Ethical issues around genome editing – ‘think tank’</w:t>
            </w:r>
          </w:p>
          <w:p w:rsidR="000F257C" w:rsidRPr="006222D3" w:rsidRDefault="000F257C" w:rsidP="00465D61">
            <w:pPr>
              <w:spacing w:after="0" w:line="240" w:lineRule="auto"/>
              <w:rPr>
                <w:rFonts w:eastAsia="Calibri" w:cs="Arial"/>
                <w:sz w:val="20"/>
                <w:szCs w:val="20"/>
              </w:rPr>
            </w:pPr>
          </w:p>
          <w:p w:rsidR="000F257C" w:rsidRPr="006222D3" w:rsidRDefault="000F257C" w:rsidP="00CF342D">
            <w:pPr>
              <w:spacing w:after="0" w:line="240" w:lineRule="auto"/>
              <w:rPr>
                <w:rFonts w:eastAsia="Calibri" w:cs="Arial"/>
                <w:sz w:val="20"/>
                <w:szCs w:val="20"/>
              </w:rPr>
            </w:pPr>
            <w:r w:rsidRPr="006222D3">
              <w:rPr>
                <w:rFonts w:eastAsia="Calibri" w:cs="Arial"/>
                <w:sz w:val="20"/>
                <w:szCs w:val="20"/>
              </w:rPr>
              <w:t>Nuffield Council on Bioethics/HRA: Sham Surgery Workshop</w:t>
            </w:r>
          </w:p>
          <w:p w:rsidR="000F257C" w:rsidRPr="006222D3" w:rsidRDefault="000F257C" w:rsidP="00CF342D">
            <w:pPr>
              <w:spacing w:after="0" w:line="240" w:lineRule="auto"/>
              <w:rPr>
                <w:rFonts w:eastAsia="Calibri" w:cs="Arial"/>
                <w:sz w:val="20"/>
                <w:szCs w:val="20"/>
              </w:rPr>
            </w:pPr>
          </w:p>
          <w:p w:rsidR="000F257C" w:rsidRPr="006222D3" w:rsidRDefault="000F257C" w:rsidP="00CF342D">
            <w:pPr>
              <w:spacing w:after="0" w:line="240" w:lineRule="auto"/>
              <w:rPr>
                <w:rFonts w:eastAsia="Calibri" w:cs="Arial"/>
                <w:sz w:val="20"/>
                <w:szCs w:val="20"/>
              </w:rPr>
            </w:pPr>
            <w:r w:rsidRPr="006222D3">
              <w:rPr>
                <w:rFonts w:eastAsia="Calibri" w:cs="Arial"/>
                <w:sz w:val="20"/>
                <w:szCs w:val="20"/>
              </w:rPr>
              <w:t>MISG R&amp;D workstream – contribution to HRA Response</w:t>
            </w:r>
          </w:p>
        </w:tc>
        <w:tc>
          <w:tcPr>
            <w:tcW w:w="1417" w:type="dxa"/>
            <w:shd w:val="clear" w:color="auto" w:fill="auto"/>
          </w:tcPr>
          <w:p w:rsidR="000F257C" w:rsidRPr="006222D3" w:rsidRDefault="000F257C" w:rsidP="00465D61">
            <w:pPr>
              <w:spacing w:line="240" w:lineRule="auto"/>
              <w:rPr>
                <w:rFonts w:eastAsia="Calibri" w:cs="Arial"/>
                <w:sz w:val="20"/>
                <w:szCs w:val="20"/>
              </w:rPr>
            </w:pPr>
            <w:r w:rsidRPr="006222D3">
              <w:rPr>
                <w:rFonts w:eastAsia="Calibri" w:cs="Arial"/>
                <w:sz w:val="20"/>
                <w:szCs w:val="20"/>
              </w:rPr>
              <w:t>18/02/2014</w:t>
            </w:r>
          </w:p>
          <w:p w:rsidR="000F257C" w:rsidRPr="006222D3" w:rsidRDefault="000F257C" w:rsidP="00465D61">
            <w:pPr>
              <w:spacing w:after="0" w:line="240" w:lineRule="auto"/>
              <w:rPr>
                <w:rFonts w:eastAsia="Calibri" w:cs="Arial"/>
                <w:sz w:val="20"/>
                <w:szCs w:val="20"/>
              </w:rPr>
            </w:pPr>
            <w:r w:rsidRPr="006222D3">
              <w:rPr>
                <w:rFonts w:eastAsia="Calibri" w:cs="Arial"/>
                <w:sz w:val="20"/>
                <w:szCs w:val="20"/>
              </w:rPr>
              <w:t>22/04/2015</w:t>
            </w:r>
          </w:p>
          <w:p w:rsidR="000F257C" w:rsidRPr="006222D3" w:rsidRDefault="000F257C" w:rsidP="00CF342D">
            <w:pPr>
              <w:spacing w:after="0" w:line="240" w:lineRule="auto"/>
              <w:rPr>
                <w:rFonts w:eastAsia="Calibri" w:cs="Arial"/>
                <w:sz w:val="20"/>
                <w:szCs w:val="20"/>
              </w:rPr>
            </w:pPr>
          </w:p>
          <w:p w:rsidR="000F257C" w:rsidRPr="006222D3" w:rsidRDefault="000F257C" w:rsidP="00CF342D">
            <w:pPr>
              <w:spacing w:after="0" w:line="240" w:lineRule="auto"/>
              <w:rPr>
                <w:rFonts w:eastAsia="Calibri" w:cs="Arial"/>
                <w:sz w:val="20"/>
                <w:szCs w:val="20"/>
              </w:rPr>
            </w:pPr>
          </w:p>
          <w:p w:rsidR="000F257C" w:rsidRPr="006222D3" w:rsidRDefault="000F257C" w:rsidP="00CF342D">
            <w:pPr>
              <w:spacing w:after="0" w:line="240" w:lineRule="auto"/>
              <w:rPr>
                <w:rFonts w:eastAsia="Calibri" w:cs="Arial"/>
                <w:sz w:val="20"/>
                <w:szCs w:val="20"/>
              </w:rPr>
            </w:pPr>
            <w:r w:rsidRPr="006222D3">
              <w:rPr>
                <w:rFonts w:eastAsia="Calibri" w:cs="Arial"/>
                <w:sz w:val="20"/>
                <w:szCs w:val="20"/>
              </w:rPr>
              <w:t>01/05/2015</w:t>
            </w:r>
          </w:p>
          <w:p w:rsidR="000F257C" w:rsidRPr="006222D3" w:rsidRDefault="000F257C" w:rsidP="00CF342D">
            <w:pPr>
              <w:spacing w:after="0" w:line="240" w:lineRule="auto"/>
              <w:rPr>
                <w:rFonts w:eastAsia="Calibri" w:cs="Arial"/>
                <w:sz w:val="20"/>
                <w:szCs w:val="20"/>
              </w:rPr>
            </w:pPr>
          </w:p>
          <w:p w:rsidR="000F257C" w:rsidRPr="006222D3" w:rsidRDefault="000F257C" w:rsidP="00CF342D">
            <w:pPr>
              <w:spacing w:after="0" w:line="240" w:lineRule="auto"/>
              <w:rPr>
                <w:rFonts w:eastAsia="Calibri" w:cs="Arial"/>
                <w:sz w:val="20"/>
                <w:szCs w:val="20"/>
              </w:rPr>
            </w:pPr>
            <w:r w:rsidRPr="006222D3">
              <w:rPr>
                <w:rFonts w:eastAsia="Calibri" w:cs="Arial"/>
                <w:sz w:val="20"/>
                <w:szCs w:val="20"/>
              </w:rPr>
              <w:t>06/05/2014</w:t>
            </w:r>
          </w:p>
        </w:tc>
      </w:tr>
      <w:tr w:rsidR="000F257C" w:rsidRPr="00465D61" w:rsidTr="009444B9">
        <w:trPr>
          <w:trHeight w:val="1223"/>
        </w:trPr>
        <w:tc>
          <w:tcPr>
            <w:tcW w:w="1134" w:type="dxa"/>
            <w:shd w:val="clear" w:color="auto" w:fill="auto"/>
          </w:tcPr>
          <w:p w:rsidR="000F257C" w:rsidRPr="00465D61" w:rsidRDefault="000F257C" w:rsidP="00465D61">
            <w:pPr>
              <w:widowControl w:val="0"/>
              <w:autoSpaceDE w:val="0"/>
              <w:autoSpaceDN w:val="0"/>
              <w:adjustRightInd w:val="0"/>
              <w:spacing w:after="0" w:line="240" w:lineRule="auto"/>
              <w:rPr>
                <w:rFonts w:cs="Arial"/>
                <w:b/>
              </w:rPr>
            </w:pPr>
            <w:r w:rsidRPr="00465D61">
              <w:rPr>
                <w:rFonts w:cs="Arial"/>
                <w:b/>
              </w:rPr>
              <w:t>Søren Holm</w:t>
            </w:r>
          </w:p>
        </w:tc>
        <w:tc>
          <w:tcPr>
            <w:tcW w:w="6521" w:type="dxa"/>
            <w:shd w:val="clear" w:color="auto" w:fill="auto"/>
          </w:tcPr>
          <w:p w:rsidR="000F257C" w:rsidRPr="006222D3" w:rsidRDefault="000F257C" w:rsidP="00465D61">
            <w:pPr>
              <w:rPr>
                <w:rFonts w:eastAsia="Calibri" w:cs="Arial"/>
                <w:sz w:val="20"/>
                <w:szCs w:val="20"/>
              </w:rPr>
            </w:pPr>
            <w:r w:rsidRPr="006222D3">
              <w:rPr>
                <w:rFonts w:eastAsia="Calibri" w:cs="Arial"/>
                <w:sz w:val="20"/>
                <w:szCs w:val="20"/>
              </w:rPr>
              <w:t>Provision of comments to HRA response to: “COMMITTEE ON BIOETHICS (DH-BIO) Draft Recommendation on research on biological materials of human origin”</w:t>
            </w:r>
          </w:p>
          <w:p w:rsidR="000F257C" w:rsidRPr="006222D3" w:rsidRDefault="000F257C" w:rsidP="00465D61">
            <w:pPr>
              <w:spacing w:after="0" w:line="240" w:lineRule="auto"/>
              <w:rPr>
                <w:rFonts w:eastAsia="Calibri" w:cs="Arial"/>
                <w:sz w:val="20"/>
                <w:szCs w:val="20"/>
              </w:rPr>
            </w:pPr>
            <w:r w:rsidRPr="006222D3">
              <w:rPr>
                <w:rFonts w:eastAsia="Calibri" w:cs="Arial"/>
                <w:sz w:val="20"/>
                <w:szCs w:val="20"/>
              </w:rPr>
              <w:t>Nuffield Council on Bioethics/HRA: Sham Surgery Workshop</w:t>
            </w:r>
          </w:p>
        </w:tc>
        <w:tc>
          <w:tcPr>
            <w:tcW w:w="1417" w:type="dxa"/>
            <w:shd w:val="clear" w:color="auto" w:fill="auto"/>
          </w:tcPr>
          <w:p w:rsidR="000F257C" w:rsidRPr="006222D3" w:rsidRDefault="000F257C" w:rsidP="00465D61">
            <w:pPr>
              <w:rPr>
                <w:rFonts w:eastAsia="Calibri" w:cs="Arial"/>
                <w:sz w:val="20"/>
                <w:szCs w:val="20"/>
              </w:rPr>
            </w:pPr>
            <w:r w:rsidRPr="006222D3">
              <w:rPr>
                <w:rFonts w:eastAsia="Calibri" w:cs="Arial"/>
                <w:sz w:val="20"/>
                <w:szCs w:val="20"/>
              </w:rPr>
              <w:t>27/04/2015</w:t>
            </w:r>
          </w:p>
          <w:p w:rsidR="000F257C" w:rsidRPr="006222D3" w:rsidRDefault="000F257C" w:rsidP="00465D61">
            <w:pPr>
              <w:spacing w:after="0" w:line="240" w:lineRule="auto"/>
              <w:rPr>
                <w:rFonts w:eastAsia="Calibri" w:cs="Arial"/>
                <w:sz w:val="20"/>
                <w:szCs w:val="20"/>
              </w:rPr>
            </w:pPr>
          </w:p>
          <w:p w:rsidR="000F257C" w:rsidRPr="006222D3" w:rsidRDefault="000F257C" w:rsidP="00465D61">
            <w:pPr>
              <w:spacing w:after="0" w:line="240" w:lineRule="auto"/>
              <w:rPr>
                <w:rFonts w:eastAsia="Calibri" w:cs="Arial"/>
                <w:sz w:val="20"/>
                <w:szCs w:val="20"/>
              </w:rPr>
            </w:pPr>
          </w:p>
          <w:p w:rsidR="000F257C" w:rsidRPr="006222D3" w:rsidRDefault="000F257C" w:rsidP="00465D61">
            <w:pPr>
              <w:spacing w:after="0" w:line="240" w:lineRule="auto"/>
              <w:rPr>
                <w:rFonts w:eastAsia="Calibri" w:cs="Arial"/>
                <w:sz w:val="20"/>
                <w:szCs w:val="20"/>
              </w:rPr>
            </w:pPr>
            <w:r w:rsidRPr="006222D3">
              <w:rPr>
                <w:rFonts w:eastAsia="Calibri" w:cs="Arial"/>
                <w:sz w:val="20"/>
                <w:szCs w:val="20"/>
              </w:rPr>
              <w:t>01/05/2015</w:t>
            </w:r>
          </w:p>
        </w:tc>
      </w:tr>
      <w:tr w:rsidR="00A84A30" w:rsidRPr="00465D61" w:rsidTr="009444B9">
        <w:trPr>
          <w:trHeight w:val="7702"/>
        </w:trPr>
        <w:tc>
          <w:tcPr>
            <w:tcW w:w="1134" w:type="dxa"/>
            <w:tcBorders>
              <w:bottom w:val="single" w:sz="4" w:space="0" w:color="auto"/>
            </w:tcBorders>
            <w:shd w:val="clear" w:color="auto" w:fill="auto"/>
          </w:tcPr>
          <w:p w:rsidR="00A84A30" w:rsidRPr="00465D61" w:rsidRDefault="00A84A30" w:rsidP="00465D61">
            <w:pPr>
              <w:widowControl w:val="0"/>
              <w:autoSpaceDE w:val="0"/>
              <w:autoSpaceDN w:val="0"/>
              <w:adjustRightInd w:val="0"/>
              <w:spacing w:after="0" w:line="240" w:lineRule="auto"/>
              <w:rPr>
                <w:rFonts w:cs="Arial"/>
                <w:b/>
              </w:rPr>
            </w:pPr>
            <w:r w:rsidRPr="00465D61">
              <w:rPr>
                <w:rFonts w:cs="Arial"/>
                <w:b/>
              </w:rPr>
              <w:t>Simon Woods</w:t>
            </w:r>
          </w:p>
        </w:tc>
        <w:tc>
          <w:tcPr>
            <w:tcW w:w="6521" w:type="dxa"/>
            <w:shd w:val="clear" w:color="auto" w:fill="auto"/>
          </w:tcPr>
          <w:p w:rsidR="00A84A30" w:rsidRPr="006222D3" w:rsidRDefault="00A84A30" w:rsidP="00465D61">
            <w:pPr>
              <w:rPr>
                <w:rFonts w:eastAsia="Calibri" w:cs="Arial"/>
                <w:sz w:val="20"/>
                <w:szCs w:val="20"/>
              </w:rPr>
            </w:pPr>
            <w:r w:rsidRPr="006222D3">
              <w:rPr>
                <w:rFonts w:eastAsia="Calibri" w:cs="Arial"/>
                <w:sz w:val="20"/>
                <w:szCs w:val="20"/>
              </w:rPr>
              <w:t>Evidence to Nuffield Council on Bioethics consultation on children in Research: This included being asked to act as a reviewer which gave me the opportunity to correct comments about the HRA and NRES.</w:t>
            </w:r>
          </w:p>
          <w:p w:rsidR="00A84A30" w:rsidRPr="006222D3" w:rsidRDefault="00A84A30" w:rsidP="00465D61">
            <w:pPr>
              <w:rPr>
                <w:rFonts w:eastAsia="Calibri" w:cs="Arial"/>
                <w:sz w:val="20"/>
                <w:szCs w:val="20"/>
              </w:rPr>
            </w:pPr>
            <w:r w:rsidRPr="006222D3">
              <w:rPr>
                <w:rFonts w:eastAsia="Calibri" w:cs="Arial"/>
                <w:sz w:val="20"/>
                <w:szCs w:val="20"/>
              </w:rPr>
              <w:t>Oral evidence given to EMA regarding placebo design for rare disease research.</w:t>
            </w:r>
          </w:p>
          <w:p w:rsidR="00A84A30" w:rsidRPr="006222D3" w:rsidRDefault="00A84A30" w:rsidP="00465D61">
            <w:pPr>
              <w:rPr>
                <w:rFonts w:eastAsia="Calibri" w:cs="Arial"/>
                <w:sz w:val="20"/>
                <w:szCs w:val="20"/>
              </w:rPr>
            </w:pPr>
            <w:r w:rsidRPr="006222D3">
              <w:rPr>
                <w:rFonts w:eastAsia="Calibri" w:cs="Arial"/>
                <w:sz w:val="20"/>
                <w:szCs w:val="20"/>
              </w:rPr>
              <w:t>Written evidence to EMA regarding clinical trials for children with rare disease.</w:t>
            </w:r>
          </w:p>
          <w:p w:rsidR="00A84A30" w:rsidRPr="006222D3" w:rsidRDefault="00A84A30" w:rsidP="006B2E73">
            <w:pPr>
              <w:rPr>
                <w:rFonts w:eastAsia="Calibri" w:cs="Arial"/>
                <w:sz w:val="20"/>
                <w:szCs w:val="20"/>
              </w:rPr>
            </w:pPr>
            <w:r w:rsidRPr="006222D3">
              <w:rPr>
                <w:rFonts w:eastAsia="Calibri" w:cs="Arial"/>
                <w:sz w:val="20"/>
                <w:szCs w:val="20"/>
              </w:rPr>
              <w:t>Ethics advisory group Genomics England re 100,000 Genomes project Further Advice Re: Genomics England REC application (esp. regarding MCA aspects) NRES consultation on MCA application.</w:t>
            </w:r>
          </w:p>
          <w:p w:rsidR="00A84A30" w:rsidRPr="006222D3" w:rsidRDefault="00A84A30" w:rsidP="006B2E73">
            <w:pPr>
              <w:rPr>
                <w:rFonts w:eastAsia="Calibri" w:cs="Arial"/>
                <w:sz w:val="20"/>
                <w:szCs w:val="20"/>
              </w:rPr>
            </w:pPr>
            <w:r w:rsidRPr="006222D3">
              <w:rPr>
                <w:rFonts w:eastAsia="Calibri" w:cs="Arial"/>
                <w:sz w:val="20"/>
                <w:szCs w:val="20"/>
              </w:rPr>
              <w:t>NRES consultation on 23andMe.</w:t>
            </w:r>
          </w:p>
          <w:p w:rsidR="00A84A30" w:rsidRPr="006222D3" w:rsidRDefault="00A84A30" w:rsidP="006B2E73">
            <w:pPr>
              <w:rPr>
                <w:rFonts w:eastAsia="Calibri" w:cs="Arial"/>
                <w:sz w:val="20"/>
                <w:szCs w:val="20"/>
              </w:rPr>
            </w:pPr>
            <w:r w:rsidRPr="006222D3">
              <w:rPr>
                <w:rFonts w:eastAsia="Calibri" w:cs="Arial"/>
                <w:sz w:val="20"/>
                <w:szCs w:val="20"/>
              </w:rPr>
              <w:t>Chaired workshop on children's participation on genetic disease research (which included EMA PPI lead) Consultation on: Re-examination of Recommendation (2006) 4 on research on biological materials of human origin.</w:t>
            </w:r>
          </w:p>
          <w:p w:rsidR="00A84A30" w:rsidRPr="006222D3" w:rsidRDefault="00A84A30" w:rsidP="00A84A30">
            <w:pPr>
              <w:spacing w:after="0" w:line="240" w:lineRule="auto"/>
              <w:rPr>
                <w:rFonts w:eastAsia="Calibri" w:cs="Arial"/>
                <w:sz w:val="20"/>
                <w:szCs w:val="20"/>
              </w:rPr>
            </w:pPr>
            <w:r w:rsidRPr="006222D3">
              <w:rPr>
                <w:rFonts w:eastAsia="Calibri" w:cs="Arial"/>
                <w:sz w:val="20"/>
                <w:szCs w:val="20"/>
              </w:rPr>
              <w:t xml:space="preserve">Appointment to </w:t>
            </w:r>
            <w:proofErr w:type="spellStart"/>
            <w:r w:rsidRPr="006222D3">
              <w:rPr>
                <w:rFonts w:eastAsia="Calibri" w:cs="Arial"/>
                <w:sz w:val="20"/>
                <w:szCs w:val="20"/>
              </w:rPr>
              <w:t>IRDiRC</w:t>
            </w:r>
            <w:proofErr w:type="spellEnd"/>
            <w:r w:rsidRPr="006222D3">
              <w:rPr>
                <w:rFonts w:eastAsia="Calibri" w:cs="Arial"/>
                <w:sz w:val="20"/>
                <w:szCs w:val="20"/>
              </w:rPr>
              <w:t xml:space="preserve"> (International Rare Disease Consortium) working group on ethics and governance.</w:t>
            </w:r>
          </w:p>
          <w:p w:rsidR="00A84A30" w:rsidRPr="006222D3" w:rsidRDefault="00A84A30" w:rsidP="00465D61">
            <w:pPr>
              <w:spacing w:after="0" w:line="240" w:lineRule="auto"/>
              <w:ind w:left="360"/>
              <w:rPr>
                <w:rFonts w:eastAsia="Calibri" w:cs="Arial"/>
                <w:sz w:val="20"/>
                <w:szCs w:val="20"/>
              </w:rPr>
            </w:pPr>
          </w:p>
          <w:p w:rsidR="00A84A30" w:rsidRPr="006222D3" w:rsidRDefault="00A84A30" w:rsidP="00A84A30">
            <w:pPr>
              <w:spacing w:after="0" w:line="240" w:lineRule="auto"/>
              <w:rPr>
                <w:rFonts w:eastAsia="Calibri" w:cs="Arial"/>
                <w:sz w:val="20"/>
                <w:szCs w:val="20"/>
              </w:rPr>
            </w:pPr>
            <w:r w:rsidRPr="006222D3">
              <w:rPr>
                <w:rFonts w:eastAsia="Calibri" w:cs="Arial"/>
                <w:sz w:val="20"/>
                <w:szCs w:val="20"/>
              </w:rPr>
              <w:t>Invitation to provide expert review for the Confidentiality Advisory Group (adults who lack capacity). Review of (non-research) application being reviewed by the CAG.</w:t>
            </w:r>
          </w:p>
          <w:p w:rsidR="00A84A30" w:rsidRPr="006222D3" w:rsidRDefault="00A84A30" w:rsidP="00A84A30">
            <w:pPr>
              <w:spacing w:after="0" w:line="240" w:lineRule="auto"/>
              <w:rPr>
                <w:rFonts w:eastAsia="Calibri" w:cs="Arial"/>
                <w:sz w:val="20"/>
                <w:szCs w:val="20"/>
              </w:rPr>
            </w:pPr>
          </w:p>
          <w:p w:rsidR="00A84A30" w:rsidRPr="006222D3" w:rsidRDefault="00A84A30" w:rsidP="00465D61">
            <w:pPr>
              <w:rPr>
                <w:rFonts w:eastAsia="Calibri" w:cs="Arial"/>
                <w:sz w:val="20"/>
                <w:szCs w:val="20"/>
              </w:rPr>
            </w:pPr>
            <w:r w:rsidRPr="006222D3">
              <w:rPr>
                <w:rFonts w:eastAsia="Calibri" w:cs="Arial"/>
                <w:sz w:val="20"/>
                <w:szCs w:val="20"/>
              </w:rPr>
              <w:t>Provision of comments to HRA response to: “COMMITTEE ON BIOETHICS (DH-BIO) Draft Recommendation on research on biological materials of human origin”</w:t>
            </w:r>
          </w:p>
        </w:tc>
        <w:tc>
          <w:tcPr>
            <w:tcW w:w="1417" w:type="dxa"/>
            <w:shd w:val="clear" w:color="auto" w:fill="auto"/>
          </w:tcPr>
          <w:p w:rsidR="00A84A30" w:rsidRPr="006222D3" w:rsidRDefault="00A84A30" w:rsidP="00465D61">
            <w:pPr>
              <w:rPr>
                <w:rFonts w:eastAsia="Calibri" w:cs="Arial"/>
                <w:sz w:val="20"/>
                <w:szCs w:val="20"/>
              </w:rPr>
            </w:pPr>
            <w:r w:rsidRPr="006222D3">
              <w:rPr>
                <w:rFonts w:eastAsia="Calibri" w:cs="Arial"/>
                <w:sz w:val="20"/>
                <w:szCs w:val="20"/>
              </w:rPr>
              <w:t>Jan</w:t>
            </w:r>
            <w:r w:rsidR="009444B9">
              <w:rPr>
                <w:rFonts w:eastAsia="Calibri" w:cs="Arial"/>
                <w:sz w:val="20"/>
                <w:szCs w:val="20"/>
              </w:rPr>
              <w:t>.</w:t>
            </w:r>
            <w:r w:rsidRPr="006222D3">
              <w:rPr>
                <w:rFonts w:eastAsia="Calibri" w:cs="Arial"/>
                <w:sz w:val="20"/>
                <w:szCs w:val="20"/>
              </w:rPr>
              <w:t xml:space="preserve"> 2015  - May 2015</w:t>
            </w:r>
          </w:p>
          <w:p w:rsidR="00A84A30" w:rsidRPr="006222D3" w:rsidRDefault="00A84A30" w:rsidP="00465D61">
            <w:pPr>
              <w:rPr>
                <w:rFonts w:eastAsia="Calibri" w:cs="Arial"/>
                <w:sz w:val="20"/>
                <w:szCs w:val="20"/>
              </w:rPr>
            </w:pPr>
          </w:p>
          <w:p w:rsidR="00A84A30" w:rsidRPr="006222D3" w:rsidRDefault="00A84A30" w:rsidP="00465D61">
            <w:pPr>
              <w:rPr>
                <w:rFonts w:eastAsia="Calibri" w:cs="Arial"/>
                <w:sz w:val="20"/>
                <w:szCs w:val="20"/>
              </w:rPr>
            </w:pPr>
          </w:p>
          <w:p w:rsidR="00A84A30" w:rsidRPr="006222D3" w:rsidRDefault="00A84A30" w:rsidP="00465D61">
            <w:pPr>
              <w:rPr>
                <w:rFonts w:eastAsia="Calibri" w:cs="Arial"/>
                <w:sz w:val="20"/>
                <w:szCs w:val="20"/>
              </w:rPr>
            </w:pPr>
          </w:p>
          <w:p w:rsidR="00A84A30" w:rsidRDefault="00A84A30" w:rsidP="00465D61">
            <w:pPr>
              <w:rPr>
                <w:rFonts w:eastAsia="Calibri" w:cs="Arial"/>
                <w:sz w:val="20"/>
                <w:szCs w:val="20"/>
              </w:rPr>
            </w:pPr>
          </w:p>
          <w:p w:rsidR="009444B9" w:rsidRPr="006222D3" w:rsidRDefault="009444B9" w:rsidP="00465D61">
            <w:pPr>
              <w:rPr>
                <w:rFonts w:eastAsia="Calibri" w:cs="Arial"/>
                <w:sz w:val="20"/>
                <w:szCs w:val="20"/>
              </w:rPr>
            </w:pPr>
          </w:p>
          <w:p w:rsidR="00A84A30" w:rsidRPr="006222D3" w:rsidRDefault="00A84A30" w:rsidP="00465D61">
            <w:pPr>
              <w:rPr>
                <w:rFonts w:eastAsia="Calibri" w:cs="Arial"/>
                <w:sz w:val="20"/>
                <w:szCs w:val="20"/>
              </w:rPr>
            </w:pPr>
          </w:p>
          <w:p w:rsidR="00A84A30" w:rsidRPr="006222D3" w:rsidRDefault="00A84A30" w:rsidP="00465D61">
            <w:pPr>
              <w:rPr>
                <w:rFonts w:eastAsia="Calibri" w:cs="Arial"/>
                <w:sz w:val="20"/>
                <w:szCs w:val="20"/>
              </w:rPr>
            </w:pPr>
          </w:p>
          <w:p w:rsidR="00A84A30" w:rsidRPr="006222D3" w:rsidRDefault="00A84A30" w:rsidP="00465D61">
            <w:pPr>
              <w:rPr>
                <w:rFonts w:eastAsia="Calibri" w:cs="Arial"/>
                <w:sz w:val="20"/>
                <w:szCs w:val="20"/>
              </w:rPr>
            </w:pPr>
          </w:p>
          <w:p w:rsidR="009444B9" w:rsidRDefault="009444B9" w:rsidP="00465D61">
            <w:pPr>
              <w:rPr>
                <w:rFonts w:eastAsia="Calibri" w:cs="Arial"/>
                <w:sz w:val="20"/>
                <w:szCs w:val="20"/>
              </w:rPr>
            </w:pPr>
          </w:p>
          <w:p w:rsidR="009444B9" w:rsidRPr="006222D3" w:rsidRDefault="009444B9" w:rsidP="00465D61">
            <w:pPr>
              <w:rPr>
                <w:rFonts w:eastAsia="Calibri" w:cs="Arial"/>
                <w:sz w:val="20"/>
                <w:szCs w:val="20"/>
              </w:rPr>
            </w:pPr>
          </w:p>
          <w:p w:rsidR="00A84A30" w:rsidRPr="006222D3" w:rsidRDefault="00A84A30" w:rsidP="00465D61">
            <w:pPr>
              <w:rPr>
                <w:rFonts w:eastAsia="Calibri" w:cs="Arial"/>
                <w:sz w:val="20"/>
                <w:szCs w:val="20"/>
              </w:rPr>
            </w:pPr>
            <w:r w:rsidRPr="006222D3">
              <w:rPr>
                <w:rFonts w:eastAsia="Calibri" w:cs="Arial"/>
                <w:sz w:val="20"/>
                <w:szCs w:val="20"/>
              </w:rPr>
              <w:t>15/01/2014</w:t>
            </w:r>
          </w:p>
          <w:p w:rsidR="00A84A30" w:rsidRPr="006222D3" w:rsidRDefault="00A84A30" w:rsidP="00465D61">
            <w:pPr>
              <w:rPr>
                <w:rFonts w:eastAsia="Calibri" w:cs="Arial"/>
                <w:sz w:val="20"/>
                <w:szCs w:val="20"/>
              </w:rPr>
            </w:pPr>
          </w:p>
          <w:p w:rsidR="00A84A30" w:rsidRPr="006222D3" w:rsidRDefault="00A84A30" w:rsidP="00465D61">
            <w:pPr>
              <w:rPr>
                <w:rFonts w:eastAsia="Calibri" w:cs="Arial"/>
                <w:sz w:val="20"/>
                <w:szCs w:val="20"/>
              </w:rPr>
            </w:pPr>
          </w:p>
          <w:p w:rsidR="00A84A30" w:rsidRPr="006222D3" w:rsidRDefault="00A84A30" w:rsidP="00465D61">
            <w:pPr>
              <w:rPr>
                <w:rFonts w:eastAsia="Calibri" w:cs="Arial"/>
                <w:sz w:val="20"/>
                <w:szCs w:val="20"/>
              </w:rPr>
            </w:pPr>
            <w:r w:rsidRPr="006222D3">
              <w:rPr>
                <w:rFonts w:eastAsia="Calibri" w:cs="Arial"/>
                <w:sz w:val="20"/>
                <w:szCs w:val="20"/>
              </w:rPr>
              <w:t>27/04/2015</w:t>
            </w:r>
          </w:p>
        </w:tc>
      </w:tr>
      <w:tr w:rsidR="007E603D" w:rsidRPr="00465D61" w:rsidTr="009444B9">
        <w:tc>
          <w:tcPr>
            <w:tcW w:w="1134" w:type="dxa"/>
            <w:shd w:val="clear" w:color="auto" w:fill="auto"/>
          </w:tcPr>
          <w:p w:rsidR="007E603D" w:rsidRPr="00465D61" w:rsidRDefault="007E603D" w:rsidP="00465D61">
            <w:pPr>
              <w:widowControl w:val="0"/>
              <w:autoSpaceDE w:val="0"/>
              <w:autoSpaceDN w:val="0"/>
              <w:adjustRightInd w:val="0"/>
              <w:spacing w:after="0" w:line="240" w:lineRule="auto"/>
              <w:rPr>
                <w:rFonts w:cs="Arial"/>
                <w:b/>
              </w:rPr>
            </w:pPr>
            <w:r w:rsidRPr="00465D61">
              <w:rPr>
                <w:rFonts w:cs="Arial"/>
                <w:b/>
              </w:rPr>
              <w:t>Malcolm Boyce</w:t>
            </w:r>
          </w:p>
        </w:tc>
        <w:tc>
          <w:tcPr>
            <w:tcW w:w="6521" w:type="dxa"/>
            <w:shd w:val="clear" w:color="auto" w:fill="auto"/>
          </w:tcPr>
          <w:p w:rsidR="007E603D" w:rsidRPr="006222D3" w:rsidRDefault="007E603D" w:rsidP="00124F8B">
            <w:pPr>
              <w:spacing w:after="0" w:line="240" w:lineRule="auto"/>
              <w:rPr>
                <w:rFonts w:eastAsia="Calibri" w:cs="Arial"/>
                <w:sz w:val="20"/>
                <w:szCs w:val="20"/>
              </w:rPr>
            </w:pPr>
            <w:r w:rsidRPr="006222D3">
              <w:rPr>
                <w:rFonts w:eastAsia="Calibri" w:cs="Arial"/>
                <w:sz w:val="20"/>
                <w:szCs w:val="20"/>
              </w:rPr>
              <w:t>MISG R&amp;D workstream – contribution to HRA Response</w:t>
            </w:r>
          </w:p>
        </w:tc>
        <w:tc>
          <w:tcPr>
            <w:tcW w:w="1417" w:type="dxa"/>
            <w:shd w:val="clear" w:color="auto" w:fill="auto"/>
          </w:tcPr>
          <w:p w:rsidR="007E603D" w:rsidRPr="006222D3" w:rsidRDefault="007E603D" w:rsidP="00465D61">
            <w:pPr>
              <w:rPr>
                <w:rFonts w:eastAsia="Calibri" w:cs="Arial"/>
                <w:sz w:val="20"/>
                <w:szCs w:val="20"/>
              </w:rPr>
            </w:pPr>
            <w:r w:rsidRPr="006222D3">
              <w:rPr>
                <w:rFonts w:eastAsia="Calibri" w:cs="Arial"/>
                <w:sz w:val="20"/>
                <w:szCs w:val="20"/>
              </w:rPr>
              <w:t>06/05/2014</w:t>
            </w:r>
          </w:p>
        </w:tc>
      </w:tr>
    </w:tbl>
    <w:p w:rsidR="009444B9" w:rsidRDefault="009444B9" w:rsidP="004D7F87">
      <w:pPr>
        <w:rPr>
          <w:rFonts w:cs="Arial"/>
          <w:b/>
          <w:color w:val="000000"/>
          <w:sz w:val="28"/>
          <w:szCs w:val="28"/>
        </w:rPr>
      </w:pPr>
    </w:p>
    <w:p w:rsidR="00DC4B6C" w:rsidRDefault="00DC4B6C" w:rsidP="004D7F87">
      <w:pPr>
        <w:rPr>
          <w:rFonts w:cs="Arial"/>
          <w:b/>
          <w:color w:val="000000"/>
          <w:sz w:val="28"/>
          <w:szCs w:val="28"/>
        </w:rPr>
      </w:pPr>
    </w:p>
    <w:p w:rsidR="00F82279" w:rsidRPr="006222D3" w:rsidRDefault="000D2F9C" w:rsidP="004D7F87">
      <w:pPr>
        <w:rPr>
          <w:rFonts w:cs="Arial"/>
          <w:b/>
          <w:color w:val="000000"/>
          <w:sz w:val="28"/>
          <w:szCs w:val="28"/>
        </w:rPr>
      </w:pPr>
      <w:bookmarkStart w:id="12" w:name="Annex3"/>
      <w:r w:rsidRPr="006222D3">
        <w:rPr>
          <w:rFonts w:cs="Arial"/>
          <w:b/>
          <w:color w:val="000000"/>
          <w:sz w:val="28"/>
          <w:szCs w:val="28"/>
        </w:rPr>
        <w:lastRenderedPageBreak/>
        <w:t xml:space="preserve">Annex </w:t>
      </w:r>
      <w:r w:rsidR="00897BFF" w:rsidRPr="006222D3">
        <w:rPr>
          <w:rFonts w:cs="Arial"/>
          <w:b/>
          <w:color w:val="000000"/>
          <w:sz w:val="28"/>
          <w:szCs w:val="28"/>
        </w:rPr>
        <w:t>3</w:t>
      </w:r>
    </w:p>
    <w:bookmarkEnd w:id="12"/>
    <w:p w:rsidR="00F82279" w:rsidRPr="00F82279" w:rsidRDefault="00F82279" w:rsidP="00F82279">
      <w:pPr>
        <w:pStyle w:val="NormalWeb"/>
        <w:shd w:val="clear" w:color="auto" w:fill="D9D9D9" w:themeFill="background1" w:themeFillShade="D9"/>
        <w:rPr>
          <w:rStyle w:val="Strong"/>
          <w:rFonts w:ascii="Arial" w:hAnsi="Arial"/>
          <w:sz w:val="28"/>
          <w:szCs w:val="28"/>
        </w:rPr>
      </w:pPr>
      <w:r w:rsidRPr="00F82279">
        <w:rPr>
          <w:rStyle w:val="Strong"/>
          <w:rFonts w:ascii="Arial" w:hAnsi="Arial"/>
          <w:sz w:val="28"/>
          <w:szCs w:val="28"/>
        </w:rPr>
        <w:t xml:space="preserve">NREAP/Chairs Network Meetings </w:t>
      </w:r>
      <w:r w:rsidR="00562FBC">
        <w:rPr>
          <w:rStyle w:val="Strong"/>
          <w:rFonts w:ascii="Arial" w:hAnsi="Arial"/>
          <w:sz w:val="28"/>
          <w:szCs w:val="28"/>
        </w:rPr>
        <w:t xml:space="preserve">Held in </w:t>
      </w:r>
      <w:r w:rsidRPr="00F82279">
        <w:rPr>
          <w:rStyle w:val="Strong"/>
          <w:rFonts w:ascii="Arial" w:hAnsi="Arial"/>
          <w:sz w:val="28"/>
          <w:szCs w:val="28"/>
        </w:rPr>
        <w:t>201</w:t>
      </w:r>
      <w:r w:rsidR="00D33EA9">
        <w:rPr>
          <w:rStyle w:val="Strong"/>
          <w:rFonts w:ascii="Arial" w:hAnsi="Arial"/>
          <w:sz w:val="28"/>
          <w:szCs w:val="28"/>
        </w:rPr>
        <w:t>4/15</w:t>
      </w:r>
    </w:p>
    <w:p w:rsidR="00F82279" w:rsidRPr="00F82279" w:rsidRDefault="00F82279" w:rsidP="00F82279">
      <w:pPr>
        <w:autoSpaceDN w:val="0"/>
        <w:spacing w:after="0" w:line="240" w:lineRule="auto"/>
        <w:rPr>
          <w:rFonts w:cs="Arial"/>
          <w:lang w:eastAsia="en-GB"/>
        </w:rPr>
      </w:pPr>
    </w:p>
    <w:p w:rsidR="00F82279" w:rsidRPr="00F82279" w:rsidRDefault="00F82279" w:rsidP="00F82279">
      <w:pPr>
        <w:autoSpaceDN w:val="0"/>
        <w:spacing w:after="0" w:line="240" w:lineRule="auto"/>
        <w:rPr>
          <w:rFonts w:cs="Arial"/>
          <w:lang w:eastAsia="en-GB"/>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1822"/>
        <w:gridCol w:w="3108"/>
        <w:gridCol w:w="1945"/>
      </w:tblGrid>
      <w:tr w:rsidR="00D33EA9" w:rsidRPr="00D33EA9" w:rsidTr="00FC4074">
        <w:trPr>
          <w:trHeight w:val="540"/>
        </w:trPr>
        <w:tc>
          <w:tcPr>
            <w:tcW w:w="1211" w:type="pct"/>
            <w:tcBorders>
              <w:top w:val="single" w:sz="4" w:space="0" w:color="auto"/>
              <w:left w:val="single" w:sz="4" w:space="0" w:color="auto"/>
              <w:bottom w:val="single" w:sz="4" w:space="0" w:color="auto"/>
              <w:right w:val="single" w:sz="4" w:space="0" w:color="auto"/>
            </w:tcBorders>
            <w:shd w:val="clear" w:color="auto" w:fill="D9D9D9"/>
            <w:hideMark/>
          </w:tcPr>
          <w:p w:rsidR="00D33EA9" w:rsidRPr="00D33EA9" w:rsidRDefault="00D33EA9" w:rsidP="00D33EA9">
            <w:pPr>
              <w:autoSpaceDN w:val="0"/>
              <w:spacing w:after="0" w:line="240" w:lineRule="auto"/>
              <w:rPr>
                <w:rFonts w:cs="Arial"/>
                <w:b/>
                <w:lang w:eastAsia="en-GB"/>
              </w:rPr>
            </w:pPr>
            <w:r w:rsidRPr="00D33EA9">
              <w:rPr>
                <w:rFonts w:cs="Arial"/>
                <w:b/>
                <w:lang w:eastAsia="en-GB"/>
              </w:rPr>
              <w:t>Region</w:t>
            </w:r>
          </w:p>
        </w:tc>
        <w:tc>
          <w:tcPr>
            <w:tcW w:w="1004" w:type="pct"/>
            <w:tcBorders>
              <w:top w:val="single" w:sz="4" w:space="0" w:color="auto"/>
              <w:left w:val="single" w:sz="4" w:space="0" w:color="auto"/>
              <w:bottom w:val="single" w:sz="4" w:space="0" w:color="auto"/>
              <w:right w:val="single" w:sz="4" w:space="0" w:color="auto"/>
            </w:tcBorders>
            <w:shd w:val="clear" w:color="auto" w:fill="D9D9D9"/>
            <w:noWrap/>
            <w:hideMark/>
          </w:tcPr>
          <w:p w:rsidR="00D33EA9" w:rsidRPr="00D33EA9" w:rsidRDefault="00D33EA9" w:rsidP="00D33EA9">
            <w:pPr>
              <w:autoSpaceDN w:val="0"/>
              <w:spacing w:after="0" w:line="240" w:lineRule="auto"/>
              <w:rPr>
                <w:rFonts w:cs="Arial"/>
                <w:b/>
                <w:lang w:eastAsia="en-GB"/>
              </w:rPr>
            </w:pPr>
            <w:r w:rsidRPr="00D33EA9">
              <w:rPr>
                <w:rFonts w:cs="Arial"/>
                <w:b/>
                <w:lang w:eastAsia="en-GB"/>
              </w:rPr>
              <w:t>Location</w:t>
            </w:r>
          </w:p>
        </w:tc>
        <w:tc>
          <w:tcPr>
            <w:tcW w:w="1713" w:type="pct"/>
            <w:tcBorders>
              <w:top w:val="single" w:sz="4" w:space="0" w:color="auto"/>
              <w:left w:val="single" w:sz="4" w:space="0" w:color="auto"/>
              <w:bottom w:val="single" w:sz="4" w:space="0" w:color="auto"/>
              <w:right w:val="single" w:sz="4" w:space="0" w:color="auto"/>
            </w:tcBorders>
            <w:shd w:val="clear" w:color="auto" w:fill="D9D9D9"/>
            <w:noWrap/>
            <w:hideMark/>
          </w:tcPr>
          <w:p w:rsidR="00D33EA9" w:rsidRPr="00D33EA9" w:rsidRDefault="00D33EA9" w:rsidP="00FC4074">
            <w:pPr>
              <w:autoSpaceDN w:val="0"/>
              <w:spacing w:after="0" w:line="240" w:lineRule="auto"/>
              <w:rPr>
                <w:rFonts w:cs="Arial"/>
                <w:b/>
                <w:lang w:eastAsia="en-GB"/>
              </w:rPr>
            </w:pPr>
            <w:r w:rsidRPr="00D33EA9">
              <w:rPr>
                <w:rFonts w:cs="Arial"/>
                <w:b/>
                <w:lang w:eastAsia="en-GB"/>
              </w:rPr>
              <w:t>NREA Meeting Chair</w:t>
            </w:r>
          </w:p>
        </w:tc>
        <w:tc>
          <w:tcPr>
            <w:tcW w:w="1072" w:type="pct"/>
            <w:tcBorders>
              <w:top w:val="single" w:sz="4" w:space="0" w:color="auto"/>
              <w:left w:val="single" w:sz="4" w:space="0" w:color="auto"/>
              <w:bottom w:val="single" w:sz="4" w:space="0" w:color="auto"/>
              <w:right w:val="single" w:sz="4" w:space="0" w:color="auto"/>
            </w:tcBorders>
            <w:shd w:val="clear" w:color="auto" w:fill="D9D9D9"/>
            <w:hideMark/>
          </w:tcPr>
          <w:p w:rsidR="00D33EA9" w:rsidRPr="00D33EA9" w:rsidRDefault="00D33EA9" w:rsidP="00D33EA9">
            <w:pPr>
              <w:autoSpaceDN w:val="0"/>
              <w:spacing w:after="0" w:line="240" w:lineRule="auto"/>
              <w:rPr>
                <w:rFonts w:cs="Arial"/>
                <w:b/>
                <w:lang w:eastAsia="en-GB"/>
              </w:rPr>
            </w:pPr>
            <w:r w:rsidRPr="00D33EA9">
              <w:rPr>
                <w:rFonts w:cs="Arial"/>
                <w:b/>
                <w:lang w:eastAsia="en-GB"/>
              </w:rPr>
              <w:t>Meeting dates</w:t>
            </w:r>
          </w:p>
        </w:tc>
      </w:tr>
      <w:tr w:rsidR="00D33EA9" w:rsidRPr="00D33EA9" w:rsidTr="00FC4074">
        <w:trPr>
          <w:trHeight w:val="540"/>
        </w:trPr>
        <w:tc>
          <w:tcPr>
            <w:tcW w:w="1211" w:type="pct"/>
            <w:tcBorders>
              <w:top w:val="single" w:sz="4" w:space="0" w:color="auto"/>
              <w:left w:val="single" w:sz="4" w:space="0" w:color="auto"/>
              <w:bottom w:val="single" w:sz="4" w:space="0" w:color="auto"/>
              <w:right w:val="single" w:sz="4" w:space="0" w:color="auto"/>
            </w:tcBorders>
            <w:hideMark/>
          </w:tcPr>
          <w:p w:rsidR="00D33EA9" w:rsidRPr="00D33EA9" w:rsidRDefault="00D33EA9" w:rsidP="00D33EA9">
            <w:pPr>
              <w:autoSpaceDN w:val="0"/>
              <w:spacing w:after="0" w:line="240" w:lineRule="auto"/>
              <w:rPr>
                <w:rFonts w:cs="Arial"/>
                <w:b/>
                <w:sz w:val="20"/>
                <w:szCs w:val="20"/>
                <w:lang w:eastAsia="en-GB"/>
              </w:rPr>
            </w:pPr>
            <w:r w:rsidRPr="00D33EA9">
              <w:rPr>
                <w:rFonts w:cs="Arial"/>
                <w:b/>
                <w:lang w:eastAsia="en-GB"/>
              </w:rPr>
              <w:t>London &amp; South East Coast</w:t>
            </w:r>
          </w:p>
        </w:tc>
        <w:tc>
          <w:tcPr>
            <w:tcW w:w="1004"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b/>
                <w:sz w:val="20"/>
                <w:szCs w:val="20"/>
                <w:lang w:eastAsia="en-GB"/>
              </w:rPr>
            </w:pPr>
            <w:r w:rsidRPr="00D33EA9">
              <w:rPr>
                <w:rFonts w:cs="Arial"/>
                <w:lang w:eastAsia="en-GB"/>
              </w:rPr>
              <w:t>London</w:t>
            </w:r>
          </w:p>
        </w:tc>
        <w:tc>
          <w:tcPr>
            <w:tcW w:w="1713"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sz w:val="20"/>
                <w:szCs w:val="20"/>
                <w:lang w:eastAsia="en-GB"/>
              </w:rPr>
            </w:pPr>
            <w:r w:rsidRPr="00D33EA9">
              <w:rPr>
                <w:rFonts w:cs="Arial"/>
                <w:lang w:eastAsia="en-GB"/>
              </w:rPr>
              <w:t>Andrew George</w:t>
            </w:r>
          </w:p>
        </w:tc>
        <w:tc>
          <w:tcPr>
            <w:tcW w:w="1072" w:type="pct"/>
            <w:tcBorders>
              <w:top w:val="single" w:sz="4" w:space="0" w:color="auto"/>
              <w:left w:val="single" w:sz="4" w:space="0" w:color="auto"/>
              <w:bottom w:val="single" w:sz="4" w:space="0" w:color="auto"/>
              <w:right w:val="single" w:sz="4" w:space="0" w:color="auto"/>
            </w:tcBorders>
            <w:hideMark/>
          </w:tcPr>
          <w:p w:rsidR="00D33EA9" w:rsidRPr="00D33EA9" w:rsidRDefault="00D33EA9" w:rsidP="00D33EA9">
            <w:pPr>
              <w:autoSpaceDN w:val="0"/>
              <w:spacing w:after="0" w:line="240" w:lineRule="auto"/>
              <w:rPr>
                <w:rFonts w:cs="Arial"/>
                <w:lang w:eastAsia="en-GB"/>
              </w:rPr>
            </w:pPr>
            <w:r w:rsidRPr="00D33EA9">
              <w:rPr>
                <w:rFonts w:cs="Arial"/>
                <w:lang w:eastAsia="en-GB"/>
              </w:rPr>
              <w:t>10/03/2014</w:t>
            </w:r>
          </w:p>
          <w:p w:rsidR="00D33EA9" w:rsidRPr="00D33EA9" w:rsidRDefault="00D33EA9" w:rsidP="00D33EA9">
            <w:pPr>
              <w:autoSpaceDN w:val="0"/>
              <w:spacing w:after="0" w:line="240" w:lineRule="auto"/>
              <w:rPr>
                <w:rFonts w:cs="Arial"/>
                <w:lang w:eastAsia="en-GB"/>
              </w:rPr>
            </w:pPr>
            <w:r w:rsidRPr="00D33EA9">
              <w:rPr>
                <w:rFonts w:cs="Arial"/>
                <w:lang w:eastAsia="en-GB"/>
              </w:rPr>
              <w:t>08/09/2014</w:t>
            </w:r>
          </w:p>
        </w:tc>
      </w:tr>
      <w:tr w:rsidR="00D33EA9" w:rsidRPr="00D33EA9" w:rsidTr="00FC4074">
        <w:trPr>
          <w:trHeight w:val="540"/>
        </w:trPr>
        <w:tc>
          <w:tcPr>
            <w:tcW w:w="1211" w:type="pct"/>
            <w:tcBorders>
              <w:top w:val="single" w:sz="4" w:space="0" w:color="auto"/>
              <w:left w:val="single" w:sz="4" w:space="0" w:color="auto"/>
              <w:bottom w:val="single" w:sz="4" w:space="0" w:color="auto"/>
              <w:right w:val="single" w:sz="4" w:space="0" w:color="auto"/>
            </w:tcBorders>
            <w:hideMark/>
          </w:tcPr>
          <w:p w:rsidR="00D33EA9" w:rsidRPr="00D33EA9" w:rsidRDefault="00D33EA9" w:rsidP="00D33EA9">
            <w:pPr>
              <w:autoSpaceDN w:val="0"/>
              <w:spacing w:after="0" w:line="240" w:lineRule="auto"/>
              <w:rPr>
                <w:rFonts w:cs="Arial"/>
                <w:b/>
                <w:sz w:val="20"/>
                <w:szCs w:val="20"/>
                <w:lang w:eastAsia="en-GB"/>
              </w:rPr>
            </w:pPr>
            <w:r w:rsidRPr="00D33EA9">
              <w:rPr>
                <w:rFonts w:cs="Arial"/>
                <w:b/>
                <w:lang w:eastAsia="en-GB"/>
              </w:rPr>
              <w:t xml:space="preserve">North East &amp; Yorkshire &amp; Humber  </w:t>
            </w:r>
          </w:p>
        </w:tc>
        <w:tc>
          <w:tcPr>
            <w:tcW w:w="1004"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b/>
                <w:sz w:val="20"/>
                <w:szCs w:val="20"/>
                <w:lang w:eastAsia="en-GB"/>
              </w:rPr>
            </w:pPr>
            <w:r w:rsidRPr="00D33EA9">
              <w:rPr>
                <w:rFonts w:cs="Arial"/>
                <w:lang w:eastAsia="en-GB"/>
              </w:rPr>
              <w:t>York</w:t>
            </w:r>
          </w:p>
        </w:tc>
        <w:tc>
          <w:tcPr>
            <w:tcW w:w="1713"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sz w:val="20"/>
                <w:szCs w:val="20"/>
                <w:lang w:eastAsia="en-GB"/>
              </w:rPr>
            </w:pPr>
            <w:r w:rsidRPr="00D33EA9">
              <w:rPr>
                <w:rFonts w:cs="Arial"/>
                <w:lang w:eastAsia="en-GB"/>
              </w:rPr>
              <w:t>Peter Heasman</w:t>
            </w:r>
          </w:p>
        </w:tc>
        <w:tc>
          <w:tcPr>
            <w:tcW w:w="1072" w:type="pct"/>
            <w:tcBorders>
              <w:top w:val="single" w:sz="4" w:space="0" w:color="auto"/>
              <w:left w:val="single" w:sz="4" w:space="0" w:color="auto"/>
              <w:bottom w:val="single" w:sz="4" w:space="0" w:color="auto"/>
              <w:right w:val="single" w:sz="4" w:space="0" w:color="auto"/>
            </w:tcBorders>
          </w:tcPr>
          <w:p w:rsidR="00D33EA9" w:rsidRPr="00D33EA9" w:rsidRDefault="00D33EA9" w:rsidP="00D33EA9">
            <w:pPr>
              <w:autoSpaceDN w:val="0"/>
              <w:spacing w:after="0" w:line="240" w:lineRule="auto"/>
              <w:rPr>
                <w:rFonts w:cs="Arial"/>
                <w:lang w:eastAsia="en-GB"/>
              </w:rPr>
            </w:pPr>
            <w:r w:rsidRPr="00D33EA9">
              <w:rPr>
                <w:rFonts w:cs="Arial"/>
                <w:lang w:eastAsia="en-GB"/>
              </w:rPr>
              <w:t>09/04/2014</w:t>
            </w:r>
          </w:p>
          <w:p w:rsidR="00D33EA9" w:rsidRPr="00D33EA9" w:rsidRDefault="00D33EA9" w:rsidP="00D33EA9">
            <w:pPr>
              <w:autoSpaceDN w:val="0"/>
              <w:spacing w:after="0" w:line="240" w:lineRule="auto"/>
              <w:rPr>
                <w:rFonts w:cs="Arial"/>
                <w:lang w:eastAsia="en-GB"/>
              </w:rPr>
            </w:pPr>
            <w:r w:rsidRPr="00D33EA9">
              <w:rPr>
                <w:rFonts w:cs="Arial"/>
                <w:lang w:eastAsia="en-GB"/>
              </w:rPr>
              <w:t>15/10/2014</w:t>
            </w:r>
          </w:p>
        </w:tc>
      </w:tr>
      <w:tr w:rsidR="00D33EA9" w:rsidRPr="00D33EA9" w:rsidTr="00FC4074">
        <w:trPr>
          <w:trHeight w:val="540"/>
        </w:trPr>
        <w:tc>
          <w:tcPr>
            <w:tcW w:w="1211" w:type="pct"/>
            <w:tcBorders>
              <w:top w:val="single" w:sz="4" w:space="0" w:color="auto"/>
              <w:left w:val="single" w:sz="4" w:space="0" w:color="auto"/>
              <w:bottom w:val="single" w:sz="4" w:space="0" w:color="auto"/>
              <w:right w:val="single" w:sz="4" w:space="0" w:color="auto"/>
            </w:tcBorders>
            <w:hideMark/>
          </w:tcPr>
          <w:p w:rsidR="00D33EA9" w:rsidRPr="00D33EA9" w:rsidRDefault="00D33EA9" w:rsidP="00D33EA9">
            <w:pPr>
              <w:autoSpaceDN w:val="0"/>
              <w:spacing w:after="0" w:line="240" w:lineRule="auto"/>
              <w:rPr>
                <w:rFonts w:cs="Arial"/>
                <w:b/>
                <w:lang w:eastAsia="en-GB"/>
              </w:rPr>
            </w:pPr>
            <w:r w:rsidRPr="00D33EA9">
              <w:rPr>
                <w:rFonts w:cs="Arial"/>
                <w:b/>
                <w:lang w:eastAsia="en-GB"/>
              </w:rPr>
              <w:t>East Midlands</w:t>
            </w:r>
          </w:p>
        </w:tc>
        <w:tc>
          <w:tcPr>
            <w:tcW w:w="1004"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lang w:eastAsia="en-GB"/>
              </w:rPr>
            </w:pPr>
            <w:r w:rsidRPr="00D33EA9">
              <w:rPr>
                <w:rFonts w:cs="Arial"/>
                <w:lang w:eastAsia="en-GB"/>
              </w:rPr>
              <w:t>Nottingham</w:t>
            </w:r>
          </w:p>
        </w:tc>
        <w:tc>
          <w:tcPr>
            <w:tcW w:w="1713"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lang w:eastAsia="en-GB"/>
              </w:rPr>
            </w:pPr>
            <w:r w:rsidRPr="00D33EA9">
              <w:rPr>
                <w:rFonts w:cs="Arial"/>
                <w:lang w:eastAsia="en-GB"/>
              </w:rPr>
              <w:t>Ros Levenson</w:t>
            </w:r>
          </w:p>
        </w:tc>
        <w:tc>
          <w:tcPr>
            <w:tcW w:w="1072" w:type="pct"/>
            <w:tcBorders>
              <w:top w:val="single" w:sz="4" w:space="0" w:color="auto"/>
              <w:left w:val="single" w:sz="4" w:space="0" w:color="auto"/>
              <w:bottom w:val="single" w:sz="4" w:space="0" w:color="auto"/>
              <w:right w:val="single" w:sz="4" w:space="0" w:color="auto"/>
            </w:tcBorders>
          </w:tcPr>
          <w:p w:rsidR="00D33EA9" w:rsidRPr="00D33EA9" w:rsidRDefault="00D33EA9" w:rsidP="00D33EA9">
            <w:pPr>
              <w:autoSpaceDN w:val="0"/>
              <w:spacing w:after="0" w:line="240" w:lineRule="auto"/>
              <w:rPr>
                <w:rFonts w:cs="Arial"/>
                <w:lang w:eastAsia="en-GB"/>
              </w:rPr>
            </w:pPr>
            <w:r w:rsidRPr="00D33EA9">
              <w:rPr>
                <w:rFonts w:cs="Arial"/>
                <w:lang w:eastAsia="en-GB"/>
              </w:rPr>
              <w:t>09/05/2014</w:t>
            </w:r>
          </w:p>
          <w:p w:rsidR="00D33EA9" w:rsidRPr="00D33EA9" w:rsidRDefault="00D33EA9" w:rsidP="00D33EA9">
            <w:pPr>
              <w:autoSpaceDN w:val="0"/>
              <w:spacing w:after="0" w:line="240" w:lineRule="auto"/>
              <w:rPr>
                <w:rFonts w:cs="Arial"/>
                <w:lang w:eastAsia="en-GB"/>
              </w:rPr>
            </w:pPr>
            <w:r w:rsidRPr="00D33EA9">
              <w:rPr>
                <w:rFonts w:cs="Arial"/>
                <w:lang w:eastAsia="en-GB"/>
              </w:rPr>
              <w:t>14/11/2014</w:t>
            </w:r>
          </w:p>
        </w:tc>
      </w:tr>
      <w:tr w:rsidR="00D33EA9" w:rsidRPr="00D33EA9" w:rsidTr="00FC4074">
        <w:trPr>
          <w:trHeight w:val="540"/>
        </w:trPr>
        <w:tc>
          <w:tcPr>
            <w:tcW w:w="1211" w:type="pct"/>
            <w:tcBorders>
              <w:top w:val="single" w:sz="4" w:space="0" w:color="auto"/>
              <w:left w:val="single" w:sz="4" w:space="0" w:color="auto"/>
              <w:bottom w:val="single" w:sz="4" w:space="0" w:color="auto"/>
              <w:right w:val="single" w:sz="4" w:space="0" w:color="auto"/>
            </w:tcBorders>
            <w:hideMark/>
          </w:tcPr>
          <w:p w:rsidR="00D33EA9" w:rsidRPr="00D33EA9" w:rsidRDefault="00D33EA9" w:rsidP="00D33EA9">
            <w:pPr>
              <w:autoSpaceDN w:val="0"/>
              <w:spacing w:after="0" w:line="240" w:lineRule="auto"/>
              <w:rPr>
                <w:rFonts w:cs="Arial"/>
                <w:b/>
                <w:lang w:eastAsia="en-GB"/>
              </w:rPr>
            </w:pPr>
            <w:r w:rsidRPr="00D33EA9">
              <w:rPr>
                <w:rFonts w:cs="Arial"/>
                <w:b/>
                <w:lang w:eastAsia="en-GB"/>
              </w:rPr>
              <w:t>West Midlands</w:t>
            </w:r>
          </w:p>
        </w:tc>
        <w:tc>
          <w:tcPr>
            <w:tcW w:w="1004"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lang w:eastAsia="en-GB"/>
              </w:rPr>
            </w:pPr>
            <w:r w:rsidRPr="00D33EA9">
              <w:rPr>
                <w:rFonts w:cs="Arial"/>
                <w:lang w:eastAsia="en-GB"/>
              </w:rPr>
              <w:t xml:space="preserve">Birmingham </w:t>
            </w:r>
          </w:p>
        </w:tc>
        <w:tc>
          <w:tcPr>
            <w:tcW w:w="1713"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lang w:eastAsia="en-GB"/>
              </w:rPr>
            </w:pPr>
            <w:r w:rsidRPr="00D33EA9">
              <w:rPr>
                <w:rFonts w:cs="Arial"/>
                <w:lang w:eastAsia="en-GB"/>
              </w:rPr>
              <w:t>Søren Holm</w:t>
            </w:r>
          </w:p>
        </w:tc>
        <w:tc>
          <w:tcPr>
            <w:tcW w:w="1072" w:type="pct"/>
            <w:tcBorders>
              <w:top w:val="single" w:sz="4" w:space="0" w:color="auto"/>
              <w:left w:val="single" w:sz="4" w:space="0" w:color="auto"/>
              <w:bottom w:val="single" w:sz="4" w:space="0" w:color="auto"/>
              <w:right w:val="single" w:sz="4" w:space="0" w:color="auto"/>
            </w:tcBorders>
          </w:tcPr>
          <w:p w:rsidR="00D33EA9" w:rsidRPr="00D33EA9" w:rsidRDefault="00D33EA9" w:rsidP="00D33EA9">
            <w:pPr>
              <w:autoSpaceDN w:val="0"/>
              <w:spacing w:after="0" w:line="240" w:lineRule="auto"/>
              <w:rPr>
                <w:rFonts w:cs="Arial"/>
                <w:lang w:eastAsia="en-GB"/>
              </w:rPr>
            </w:pPr>
            <w:r w:rsidRPr="00D33EA9">
              <w:rPr>
                <w:rFonts w:cs="Arial"/>
                <w:lang w:eastAsia="en-GB"/>
              </w:rPr>
              <w:t>15/05/2014</w:t>
            </w:r>
          </w:p>
          <w:p w:rsidR="00D33EA9" w:rsidRPr="00D33EA9" w:rsidRDefault="00D33EA9" w:rsidP="00D33EA9">
            <w:pPr>
              <w:autoSpaceDN w:val="0"/>
              <w:spacing w:after="0" w:line="240" w:lineRule="auto"/>
              <w:rPr>
                <w:rFonts w:cs="Arial"/>
                <w:lang w:eastAsia="en-GB"/>
              </w:rPr>
            </w:pPr>
            <w:r w:rsidRPr="00D33EA9">
              <w:rPr>
                <w:rFonts w:cs="Arial"/>
                <w:lang w:eastAsia="en-GB"/>
              </w:rPr>
              <w:t>06/11/2014</w:t>
            </w:r>
          </w:p>
        </w:tc>
      </w:tr>
      <w:tr w:rsidR="00D33EA9" w:rsidRPr="00D33EA9" w:rsidTr="00FC4074">
        <w:trPr>
          <w:trHeight w:val="540"/>
        </w:trPr>
        <w:tc>
          <w:tcPr>
            <w:tcW w:w="1211" w:type="pct"/>
            <w:tcBorders>
              <w:top w:val="single" w:sz="4" w:space="0" w:color="auto"/>
              <w:left w:val="single" w:sz="4" w:space="0" w:color="auto"/>
              <w:bottom w:val="single" w:sz="4" w:space="0" w:color="auto"/>
              <w:right w:val="single" w:sz="4" w:space="0" w:color="auto"/>
            </w:tcBorders>
            <w:hideMark/>
          </w:tcPr>
          <w:p w:rsidR="00D33EA9" w:rsidRPr="00D33EA9" w:rsidRDefault="00D33EA9" w:rsidP="00D33EA9">
            <w:pPr>
              <w:autoSpaceDN w:val="0"/>
              <w:spacing w:after="0" w:line="240" w:lineRule="auto"/>
              <w:rPr>
                <w:rFonts w:cs="Arial"/>
                <w:b/>
                <w:lang w:eastAsia="en-GB"/>
              </w:rPr>
            </w:pPr>
            <w:r w:rsidRPr="00D33EA9">
              <w:rPr>
                <w:rFonts w:cs="Arial"/>
                <w:b/>
                <w:lang w:eastAsia="en-GB"/>
              </w:rPr>
              <w:t>North West</w:t>
            </w:r>
          </w:p>
        </w:tc>
        <w:tc>
          <w:tcPr>
            <w:tcW w:w="1004"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lang w:eastAsia="en-GB"/>
              </w:rPr>
            </w:pPr>
            <w:r w:rsidRPr="00D33EA9">
              <w:rPr>
                <w:rFonts w:cs="Arial"/>
                <w:lang w:eastAsia="en-GB"/>
              </w:rPr>
              <w:t>Manchester</w:t>
            </w:r>
          </w:p>
        </w:tc>
        <w:tc>
          <w:tcPr>
            <w:tcW w:w="1713"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lang w:eastAsia="en-GB"/>
              </w:rPr>
            </w:pPr>
            <w:r w:rsidRPr="00D33EA9">
              <w:rPr>
                <w:rFonts w:cs="Arial"/>
                <w:lang w:eastAsia="en-GB"/>
              </w:rPr>
              <w:t>Simon Woods</w:t>
            </w:r>
          </w:p>
        </w:tc>
        <w:tc>
          <w:tcPr>
            <w:tcW w:w="1072" w:type="pct"/>
            <w:tcBorders>
              <w:top w:val="single" w:sz="4" w:space="0" w:color="auto"/>
              <w:left w:val="single" w:sz="4" w:space="0" w:color="auto"/>
              <w:bottom w:val="single" w:sz="4" w:space="0" w:color="auto"/>
              <w:right w:val="single" w:sz="4" w:space="0" w:color="auto"/>
            </w:tcBorders>
          </w:tcPr>
          <w:p w:rsidR="00D33EA9" w:rsidRPr="00D33EA9" w:rsidRDefault="00D33EA9" w:rsidP="00D33EA9">
            <w:pPr>
              <w:autoSpaceDN w:val="0"/>
              <w:spacing w:after="0" w:line="240" w:lineRule="auto"/>
              <w:rPr>
                <w:rFonts w:cs="Arial"/>
                <w:lang w:eastAsia="en-GB"/>
              </w:rPr>
            </w:pPr>
            <w:r w:rsidRPr="00D33EA9">
              <w:rPr>
                <w:rFonts w:cs="Arial"/>
                <w:lang w:eastAsia="en-GB"/>
              </w:rPr>
              <w:t>19/05/2014</w:t>
            </w:r>
          </w:p>
          <w:p w:rsidR="00D33EA9" w:rsidRPr="00D33EA9" w:rsidRDefault="00D33EA9" w:rsidP="00D33EA9">
            <w:pPr>
              <w:autoSpaceDN w:val="0"/>
              <w:spacing w:after="0" w:line="240" w:lineRule="auto"/>
              <w:rPr>
                <w:rFonts w:cs="Arial"/>
                <w:lang w:eastAsia="en-GB"/>
              </w:rPr>
            </w:pPr>
            <w:r w:rsidRPr="00D33EA9">
              <w:rPr>
                <w:rFonts w:cs="Arial"/>
                <w:lang w:eastAsia="en-GB"/>
              </w:rPr>
              <w:t>10/11/2014</w:t>
            </w:r>
          </w:p>
        </w:tc>
      </w:tr>
      <w:tr w:rsidR="00D33EA9" w:rsidRPr="00D33EA9" w:rsidTr="00FC4074">
        <w:trPr>
          <w:trHeight w:val="540"/>
        </w:trPr>
        <w:tc>
          <w:tcPr>
            <w:tcW w:w="1211" w:type="pct"/>
            <w:tcBorders>
              <w:top w:val="single" w:sz="4" w:space="0" w:color="auto"/>
              <w:left w:val="single" w:sz="4" w:space="0" w:color="auto"/>
              <w:bottom w:val="single" w:sz="4" w:space="0" w:color="auto"/>
              <w:right w:val="single" w:sz="4" w:space="0" w:color="auto"/>
            </w:tcBorders>
            <w:hideMark/>
          </w:tcPr>
          <w:p w:rsidR="00D33EA9" w:rsidRPr="00D33EA9" w:rsidRDefault="00D33EA9" w:rsidP="00D33EA9">
            <w:pPr>
              <w:autoSpaceDN w:val="0"/>
              <w:spacing w:after="0" w:line="240" w:lineRule="auto"/>
              <w:rPr>
                <w:rFonts w:cs="Arial"/>
                <w:b/>
                <w:lang w:eastAsia="en-GB"/>
              </w:rPr>
            </w:pPr>
            <w:r w:rsidRPr="00D33EA9">
              <w:rPr>
                <w:rFonts w:cs="Arial"/>
                <w:b/>
                <w:lang w:eastAsia="en-GB"/>
              </w:rPr>
              <w:t>South Central</w:t>
            </w:r>
          </w:p>
        </w:tc>
        <w:tc>
          <w:tcPr>
            <w:tcW w:w="1004"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lang w:eastAsia="en-GB"/>
              </w:rPr>
            </w:pPr>
            <w:r w:rsidRPr="00D33EA9">
              <w:rPr>
                <w:rFonts w:cs="Arial"/>
                <w:lang w:eastAsia="en-GB"/>
              </w:rPr>
              <w:t>Reading</w:t>
            </w:r>
          </w:p>
        </w:tc>
        <w:tc>
          <w:tcPr>
            <w:tcW w:w="1713"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lang w:eastAsia="en-GB"/>
              </w:rPr>
            </w:pPr>
            <w:r w:rsidRPr="00D33EA9">
              <w:rPr>
                <w:rFonts w:cs="Arial"/>
                <w:lang w:eastAsia="en-GB"/>
              </w:rPr>
              <w:t>Mark Sheehan</w:t>
            </w:r>
          </w:p>
        </w:tc>
        <w:tc>
          <w:tcPr>
            <w:tcW w:w="1072" w:type="pct"/>
            <w:tcBorders>
              <w:top w:val="single" w:sz="4" w:space="0" w:color="auto"/>
              <w:left w:val="single" w:sz="4" w:space="0" w:color="auto"/>
              <w:bottom w:val="single" w:sz="4" w:space="0" w:color="auto"/>
              <w:right w:val="single" w:sz="4" w:space="0" w:color="auto"/>
            </w:tcBorders>
          </w:tcPr>
          <w:p w:rsidR="00D33EA9" w:rsidRPr="00D33EA9" w:rsidRDefault="00D33EA9" w:rsidP="00D33EA9">
            <w:pPr>
              <w:autoSpaceDN w:val="0"/>
              <w:spacing w:after="0" w:line="240" w:lineRule="auto"/>
              <w:rPr>
                <w:rFonts w:cs="Arial"/>
                <w:lang w:eastAsia="en-GB"/>
              </w:rPr>
            </w:pPr>
            <w:r w:rsidRPr="00D33EA9">
              <w:rPr>
                <w:rFonts w:cs="Arial"/>
                <w:lang w:eastAsia="en-GB"/>
              </w:rPr>
              <w:t>14/05/2014</w:t>
            </w:r>
          </w:p>
          <w:p w:rsidR="00D33EA9" w:rsidRPr="00D33EA9" w:rsidRDefault="00D33EA9" w:rsidP="00D33EA9">
            <w:pPr>
              <w:autoSpaceDN w:val="0"/>
              <w:spacing w:after="0" w:line="240" w:lineRule="auto"/>
              <w:rPr>
                <w:rFonts w:cs="Arial"/>
                <w:lang w:eastAsia="en-GB"/>
              </w:rPr>
            </w:pPr>
            <w:r w:rsidRPr="00D33EA9">
              <w:rPr>
                <w:rFonts w:cs="Arial"/>
                <w:lang w:eastAsia="en-GB"/>
              </w:rPr>
              <w:t>19/11/2014</w:t>
            </w:r>
          </w:p>
        </w:tc>
      </w:tr>
      <w:tr w:rsidR="00D33EA9" w:rsidRPr="00D33EA9" w:rsidTr="00FC4074">
        <w:trPr>
          <w:trHeight w:val="540"/>
        </w:trPr>
        <w:tc>
          <w:tcPr>
            <w:tcW w:w="1211" w:type="pct"/>
            <w:tcBorders>
              <w:top w:val="single" w:sz="4" w:space="0" w:color="auto"/>
              <w:left w:val="single" w:sz="4" w:space="0" w:color="auto"/>
              <w:bottom w:val="single" w:sz="4" w:space="0" w:color="auto"/>
              <w:right w:val="single" w:sz="4" w:space="0" w:color="auto"/>
            </w:tcBorders>
            <w:hideMark/>
          </w:tcPr>
          <w:p w:rsidR="00D33EA9" w:rsidRPr="00D33EA9" w:rsidRDefault="00D33EA9" w:rsidP="00D33EA9">
            <w:pPr>
              <w:autoSpaceDN w:val="0"/>
              <w:spacing w:after="0" w:line="240" w:lineRule="auto"/>
              <w:rPr>
                <w:rFonts w:cs="Arial"/>
                <w:b/>
                <w:lang w:eastAsia="en-GB"/>
              </w:rPr>
            </w:pPr>
            <w:r w:rsidRPr="00D33EA9">
              <w:rPr>
                <w:rFonts w:cs="Arial"/>
                <w:b/>
                <w:lang w:eastAsia="en-GB"/>
              </w:rPr>
              <w:t>South West</w:t>
            </w:r>
          </w:p>
        </w:tc>
        <w:tc>
          <w:tcPr>
            <w:tcW w:w="1004"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lang w:eastAsia="en-GB"/>
              </w:rPr>
            </w:pPr>
            <w:r w:rsidRPr="00D33EA9">
              <w:rPr>
                <w:rFonts w:cs="Arial"/>
                <w:lang w:eastAsia="en-GB"/>
              </w:rPr>
              <w:t>Bristol</w:t>
            </w:r>
          </w:p>
        </w:tc>
        <w:tc>
          <w:tcPr>
            <w:tcW w:w="1713"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lang w:eastAsia="en-GB"/>
              </w:rPr>
            </w:pPr>
            <w:r w:rsidRPr="00D33EA9">
              <w:rPr>
                <w:rFonts w:cs="Arial"/>
                <w:lang w:eastAsia="en-GB"/>
              </w:rPr>
              <w:t>Hugh Davies</w:t>
            </w:r>
          </w:p>
        </w:tc>
        <w:tc>
          <w:tcPr>
            <w:tcW w:w="1072" w:type="pct"/>
            <w:tcBorders>
              <w:top w:val="single" w:sz="4" w:space="0" w:color="auto"/>
              <w:left w:val="single" w:sz="4" w:space="0" w:color="auto"/>
              <w:bottom w:val="single" w:sz="4" w:space="0" w:color="auto"/>
              <w:right w:val="single" w:sz="4" w:space="0" w:color="auto"/>
            </w:tcBorders>
          </w:tcPr>
          <w:p w:rsidR="00D33EA9" w:rsidRPr="00D33EA9" w:rsidRDefault="00D33EA9" w:rsidP="00D33EA9">
            <w:pPr>
              <w:autoSpaceDN w:val="0"/>
              <w:spacing w:after="0" w:line="240" w:lineRule="auto"/>
              <w:rPr>
                <w:rFonts w:cs="Arial"/>
                <w:lang w:eastAsia="en-GB"/>
              </w:rPr>
            </w:pPr>
            <w:r w:rsidRPr="00D33EA9">
              <w:rPr>
                <w:rFonts w:cs="Arial"/>
                <w:lang w:eastAsia="en-GB"/>
              </w:rPr>
              <w:t>29/05/2014</w:t>
            </w:r>
          </w:p>
          <w:p w:rsidR="00D33EA9" w:rsidRPr="00D33EA9" w:rsidRDefault="00D33EA9" w:rsidP="00D33EA9">
            <w:pPr>
              <w:autoSpaceDN w:val="0"/>
              <w:spacing w:after="0" w:line="240" w:lineRule="auto"/>
              <w:rPr>
                <w:rFonts w:cs="Arial"/>
                <w:lang w:eastAsia="en-GB"/>
              </w:rPr>
            </w:pPr>
            <w:r w:rsidRPr="00D33EA9">
              <w:rPr>
                <w:rFonts w:cs="Arial"/>
                <w:lang w:eastAsia="en-GB"/>
              </w:rPr>
              <w:t>20/11/2014</w:t>
            </w:r>
          </w:p>
        </w:tc>
      </w:tr>
      <w:tr w:rsidR="00D33EA9" w:rsidRPr="00D33EA9" w:rsidTr="00FC4074">
        <w:trPr>
          <w:trHeight w:val="540"/>
        </w:trPr>
        <w:tc>
          <w:tcPr>
            <w:tcW w:w="1211" w:type="pct"/>
            <w:tcBorders>
              <w:top w:val="single" w:sz="4" w:space="0" w:color="auto"/>
              <w:left w:val="single" w:sz="4" w:space="0" w:color="auto"/>
              <w:bottom w:val="single" w:sz="4" w:space="0" w:color="auto"/>
              <w:right w:val="single" w:sz="4" w:space="0" w:color="auto"/>
            </w:tcBorders>
            <w:hideMark/>
          </w:tcPr>
          <w:p w:rsidR="00D33EA9" w:rsidRPr="00D33EA9" w:rsidRDefault="00D33EA9" w:rsidP="00D33EA9">
            <w:pPr>
              <w:autoSpaceDN w:val="0"/>
              <w:spacing w:after="0" w:line="240" w:lineRule="auto"/>
              <w:rPr>
                <w:rFonts w:cs="Arial"/>
                <w:b/>
                <w:lang w:eastAsia="en-GB"/>
              </w:rPr>
            </w:pPr>
            <w:r w:rsidRPr="00D33EA9">
              <w:rPr>
                <w:rFonts w:cs="Arial"/>
                <w:b/>
                <w:lang w:eastAsia="en-GB"/>
              </w:rPr>
              <w:t>East of England</w:t>
            </w:r>
          </w:p>
        </w:tc>
        <w:tc>
          <w:tcPr>
            <w:tcW w:w="1004"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lang w:eastAsia="en-GB"/>
              </w:rPr>
            </w:pPr>
            <w:r w:rsidRPr="00D33EA9">
              <w:rPr>
                <w:rFonts w:cs="Arial"/>
                <w:lang w:eastAsia="en-GB"/>
              </w:rPr>
              <w:t>Cambridge</w:t>
            </w:r>
          </w:p>
        </w:tc>
        <w:tc>
          <w:tcPr>
            <w:tcW w:w="1713" w:type="pct"/>
            <w:tcBorders>
              <w:top w:val="single" w:sz="4" w:space="0" w:color="auto"/>
              <w:left w:val="single" w:sz="4" w:space="0" w:color="auto"/>
              <w:bottom w:val="single" w:sz="4" w:space="0" w:color="auto"/>
              <w:right w:val="single" w:sz="4" w:space="0" w:color="auto"/>
            </w:tcBorders>
            <w:noWrap/>
            <w:hideMark/>
          </w:tcPr>
          <w:p w:rsidR="00D33EA9" w:rsidRPr="00D33EA9" w:rsidRDefault="00D33EA9" w:rsidP="00D33EA9">
            <w:pPr>
              <w:autoSpaceDN w:val="0"/>
              <w:spacing w:after="0" w:line="240" w:lineRule="auto"/>
              <w:rPr>
                <w:rFonts w:cs="Arial"/>
                <w:lang w:eastAsia="en-GB"/>
              </w:rPr>
            </w:pPr>
            <w:r w:rsidRPr="00D33EA9">
              <w:rPr>
                <w:rFonts w:cs="Arial"/>
                <w:lang w:eastAsia="en-GB"/>
              </w:rPr>
              <w:t>John Keen</w:t>
            </w:r>
          </w:p>
        </w:tc>
        <w:tc>
          <w:tcPr>
            <w:tcW w:w="1072" w:type="pct"/>
            <w:tcBorders>
              <w:top w:val="single" w:sz="4" w:space="0" w:color="auto"/>
              <w:left w:val="single" w:sz="4" w:space="0" w:color="auto"/>
              <w:bottom w:val="single" w:sz="4" w:space="0" w:color="auto"/>
              <w:right w:val="single" w:sz="4" w:space="0" w:color="auto"/>
            </w:tcBorders>
          </w:tcPr>
          <w:p w:rsidR="00D33EA9" w:rsidRPr="00D33EA9" w:rsidRDefault="00D33EA9" w:rsidP="00D33EA9">
            <w:pPr>
              <w:autoSpaceDN w:val="0"/>
              <w:spacing w:after="0" w:line="240" w:lineRule="auto"/>
              <w:rPr>
                <w:rFonts w:cs="Arial"/>
                <w:lang w:eastAsia="en-GB"/>
              </w:rPr>
            </w:pPr>
            <w:r w:rsidRPr="00D33EA9">
              <w:rPr>
                <w:rFonts w:cs="Arial"/>
                <w:lang w:eastAsia="en-GB"/>
              </w:rPr>
              <w:t>10/06/2014</w:t>
            </w:r>
          </w:p>
          <w:p w:rsidR="00D33EA9" w:rsidRPr="00D33EA9" w:rsidRDefault="00D33EA9" w:rsidP="00D33EA9">
            <w:pPr>
              <w:autoSpaceDN w:val="0"/>
              <w:spacing w:after="0" w:line="240" w:lineRule="auto"/>
              <w:rPr>
                <w:rFonts w:cs="Arial"/>
                <w:lang w:eastAsia="en-GB"/>
              </w:rPr>
            </w:pPr>
            <w:r w:rsidRPr="00D33EA9">
              <w:rPr>
                <w:rFonts w:cs="Arial"/>
                <w:lang w:eastAsia="en-GB"/>
              </w:rPr>
              <w:t>09/12/2014</w:t>
            </w:r>
          </w:p>
        </w:tc>
      </w:tr>
    </w:tbl>
    <w:p w:rsidR="004E1E59" w:rsidRDefault="004E1E59">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57586B" w:rsidRDefault="0057586B">
      <w:pPr>
        <w:pStyle w:val="NormalWeb"/>
        <w:rPr>
          <w:rFonts w:ascii="Arial" w:hAnsi="Arial" w:cs="Arial"/>
          <w:bCs/>
          <w:color w:val="000000"/>
          <w:sz w:val="22"/>
          <w:szCs w:val="22"/>
        </w:rPr>
      </w:pPr>
    </w:p>
    <w:p w:rsidR="0057586B" w:rsidRDefault="0057586B">
      <w:pPr>
        <w:pStyle w:val="NormalWeb"/>
        <w:rPr>
          <w:rFonts w:ascii="Arial" w:hAnsi="Arial" w:cs="Arial"/>
          <w:bCs/>
          <w:color w:val="000000"/>
          <w:sz w:val="22"/>
          <w:szCs w:val="22"/>
        </w:rPr>
      </w:pPr>
    </w:p>
    <w:p w:rsidR="00CF342D" w:rsidRDefault="00CF342D">
      <w:pPr>
        <w:pStyle w:val="NormalWeb"/>
        <w:rPr>
          <w:rFonts w:ascii="Arial" w:hAnsi="Arial" w:cs="Arial"/>
          <w:bCs/>
          <w:color w:val="000000"/>
          <w:sz w:val="22"/>
          <w:szCs w:val="22"/>
        </w:rPr>
      </w:pPr>
    </w:p>
    <w:p w:rsidR="00C668E6" w:rsidRPr="00C668E6" w:rsidRDefault="00C668E6" w:rsidP="00AF225E">
      <w:pPr>
        <w:rPr>
          <w:rFonts w:cs="Arial"/>
          <w:b/>
          <w:color w:val="000000"/>
          <w:sz w:val="20"/>
          <w:szCs w:val="20"/>
        </w:rPr>
      </w:pPr>
      <w:bookmarkStart w:id="13" w:name="Annex4"/>
      <w:r>
        <w:rPr>
          <w:rFonts w:cs="Arial"/>
          <w:b/>
          <w:color w:val="000000"/>
          <w:sz w:val="28"/>
          <w:szCs w:val="28"/>
        </w:rPr>
        <w:lastRenderedPageBreak/>
        <w:t>Annex 4</w:t>
      </w:r>
    </w:p>
    <w:bookmarkEnd w:id="13"/>
    <w:p w:rsidR="00AF225E" w:rsidRPr="00C668E6" w:rsidRDefault="007775CE" w:rsidP="00AF225E">
      <w:pPr>
        <w:rPr>
          <w:rFonts w:cs="Arial"/>
          <w:b/>
          <w:color w:val="000000"/>
          <w:sz w:val="20"/>
          <w:szCs w:val="20"/>
        </w:rPr>
      </w:pPr>
      <w:proofErr w:type="gramStart"/>
      <w:r w:rsidRPr="00C668E6">
        <w:rPr>
          <w:rFonts w:cs="Arial"/>
          <w:bCs/>
          <w:color w:val="000000"/>
          <w:sz w:val="20"/>
          <w:szCs w:val="20"/>
          <w:lang w:eastAsia="en-GB"/>
        </w:rPr>
        <w:t>(</w:t>
      </w:r>
      <w:r w:rsidR="00CF342D" w:rsidRPr="00C668E6">
        <w:rPr>
          <w:rFonts w:cs="Arial"/>
          <w:bCs/>
          <w:color w:val="000000"/>
          <w:sz w:val="20"/>
          <w:szCs w:val="20"/>
          <w:lang w:eastAsia="en-GB"/>
        </w:rPr>
        <w:t>N.B.</w:t>
      </w:r>
      <w:proofErr w:type="gramEnd"/>
      <w:r w:rsidR="00CF342D" w:rsidRPr="00C668E6">
        <w:rPr>
          <w:rFonts w:cs="Arial"/>
          <w:bCs/>
          <w:color w:val="000000"/>
          <w:sz w:val="20"/>
          <w:szCs w:val="20"/>
          <w:lang w:eastAsia="en-GB"/>
        </w:rPr>
        <w:t xml:space="preserve"> </w:t>
      </w:r>
      <w:r w:rsidR="00F357B5" w:rsidRPr="00C668E6">
        <w:rPr>
          <w:rFonts w:cs="Arial"/>
          <w:bCs/>
          <w:color w:val="000000"/>
          <w:sz w:val="20"/>
          <w:szCs w:val="20"/>
          <w:lang w:eastAsia="en-GB"/>
        </w:rPr>
        <w:t xml:space="preserve">These Terms of Reference will need to be </w:t>
      </w:r>
      <w:r w:rsidR="00AF225E" w:rsidRPr="00C668E6">
        <w:rPr>
          <w:rFonts w:cs="Arial"/>
          <w:bCs/>
          <w:color w:val="000000"/>
          <w:sz w:val="20"/>
          <w:szCs w:val="20"/>
          <w:lang w:eastAsia="en-GB"/>
        </w:rPr>
        <w:t xml:space="preserve">revised </w:t>
      </w:r>
      <w:r w:rsidR="00F357B5" w:rsidRPr="00C668E6">
        <w:rPr>
          <w:rFonts w:cs="Arial"/>
          <w:bCs/>
          <w:color w:val="000000"/>
          <w:sz w:val="20"/>
          <w:szCs w:val="20"/>
          <w:lang w:eastAsia="en-GB"/>
        </w:rPr>
        <w:t xml:space="preserve">next year </w:t>
      </w:r>
      <w:r w:rsidR="00A12758" w:rsidRPr="00C668E6">
        <w:rPr>
          <w:rFonts w:cs="Arial"/>
          <w:bCs/>
          <w:color w:val="000000"/>
          <w:sz w:val="20"/>
          <w:szCs w:val="20"/>
          <w:lang w:eastAsia="en-GB"/>
        </w:rPr>
        <w:t xml:space="preserve">following consideration of social care aspect, </w:t>
      </w:r>
      <w:r w:rsidR="00F357B5" w:rsidRPr="00C668E6">
        <w:rPr>
          <w:rFonts w:cs="Arial"/>
          <w:bCs/>
          <w:color w:val="000000"/>
          <w:sz w:val="20"/>
          <w:szCs w:val="20"/>
          <w:lang w:eastAsia="en-GB"/>
        </w:rPr>
        <w:t xml:space="preserve">NREAP </w:t>
      </w:r>
      <w:r w:rsidR="00A12758" w:rsidRPr="00C668E6">
        <w:rPr>
          <w:rFonts w:cs="Arial"/>
          <w:bCs/>
          <w:color w:val="000000"/>
          <w:sz w:val="20"/>
          <w:szCs w:val="20"/>
          <w:lang w:eastAsia="en-GB"/>
        </w:rPr>
        <w:t xml:space="preserve">role etc. The revised </w:t>
      </w:r>
      <w:proofErr w:type="spellStart"/>
      <w:r w:rsidR="00AF225E" w:rsidRPr="00C668E6">
        <w:rPr>
          <w:rFonts w:cs="Arial"/>
          <w:bCs/>
          <w:color w:val="000000"/>
          <w:sz w:val="20"/>
          <w:szCs w:val="20"/>
          <w:lang w:eastAsia="en-GB"/>
        </w:rPr>
        <w:t>ToR</w:t>
      </w:r>
      <w:proofErr w:type="spellEnd"/>
      <w:r w:rsidR="00AF225E" w:rsidRPr="00C668E6">
        <w:rPr>
          <w:rFonts w:cs="Arial"/>
          <w:bCs/>
          <w:color w:val="000000"/>
          <w:sz w:val="20"/>
          <w:szCs w:val="20"/>
          <w:lang w:eastAsia="en-GB"/>
        </w:rPr>
        <w:t xml:space="preserve"> will be sent to </w:t>
      </w:r>
      <w:r w:rsidR="00A12758" w:rsidRPr="00C668E6">
        <w:rPr>
          <w:rFonts w:cs="Arial"/>
          <w:bCs/>
          <w:color w:val="000000"/>
          <w:sz w:val="20"/>
          <w:szCs w:val="20"/>
          <w:lang w:eastAsia="en-GB"/>
        </w:rPr>
        <w:t xml:space="preserve">a future Board </w:t>
      </w:r>
      <w:r w:rsidR="00AF225E" w:rsidRPr="00C668E6">
        <w:rPr>
          <w:rFonts w:cs="Arial"/>
          <w:bCs/>
          <w:color w:val="000000"/>
          <w:sz w:val="20"/>
          <w:szCs w:val="20"/>
          <w:lang w:eastAsia="en-GB"/>
        </w:rPr>
        <w:t>meeting</w:t>
      </w:r>
      <w:r w:rsidR="00A12758" w:rsidRPr="00C668E6">
        <w:rPr>
          <w:rFonts w:cs="Arial"/>
          <w:bCs/>
          <w:color w:val="000000"/>
          <w:sz w:val="20"/>
          <w:szCs w:val="20"/>
          <w:lang w:eastAsia="en-GB"/>
        </w:rPr>
        <w:t xml:space="preserve"> for approval</w:t>
      </w:r>
      <w:r w:rsidR="00AF225E" w:rsidRPr="00C668E6">
        <w:rPr>
          <w:rFonts w:cs="Arial"/>
          <w:bCs/>
          <w:color w:val="000000"/>
          <w:sz w:val="20"/>
          <w:szCs w:val="20"/>
          <w:lang w:eastAsia="en-GB"/>
        </w:rPr>
        <w:t>)</w:t>
      </w:r>
    </w:p>
    <w:p w:rsidR="00F357B5" w:rsidRPr="00F357B5" w:rsidRDefault="00F357B5" w:rsidP="00F357B5">
      <w:pPr>
        <w:keepNext/>
        <w:shd w:val="pct12" w:color="auto" w:fill="auto"/>
        <w:suppressAutoHyphens/>
        <w:spacing w:after="0" w:line="240" w:lineRule="auto"/>
        <w:jc w:val="both"/>
        <w:outlineLvl w:val="2"/>
        <w:rPr>
          <w:rFonts w:eastAsia="Calibri" w:cs="Arial"/>
          <w:b/>
          <w:snapToGrid w:val="0"/>
          <w:color w:val="000000"/>
          <w:sz w:val="32"/>
          <w:szCs w:val="32"/>
          <w:lang w:eastAsia="en-GB"/>
        </w:rPr>
      </w:pPr>
      <w:r w:rsidRPr="00F357B5">
        <w:rPr>
          <w:rFonts w:eastAsia="Calibri" w:cs="Arial"/>
          <w:b/>
          <w:snapToGrid w:val="0"/>
          <w:color w:val="000000"/>
          <w:sz w:val="32"/>
          <w:szCs w:val="32"/>
          <w:lang w:eastAsia="en-GB"/>
        </w:rPr>
        <w:t xml:space="preserve">National Research Ethics Advisors’ Panel (NREAP) </w:t>
      </w:r>
    </w:p>
    <w:p w:rsidR="00F357B5" w:rsidRPr="00F357B5" w:rsidRDefault="00F357B5" w:rsidP="00F357B5">
      <w:pPr>
        <w:keepNext/>
        <w:shd w:val="pct12" w:color="auto" w:fill="auto"/>
        <w:suppressAutoHyphens/>
        <w:spacing w:after="0" w:line="240" w:lineRule="auto"/>
        <w:jc w:val="both"/>
        <w:outlineLvl w:val="2"/>
        <w:rPr>
          <w:rFonts w:eastAsia="Calibri" w:cs="Arial"/>
          <w:b/>
          <w:snapToGrid w:val="0"/>
          <w:color w:val="000000"/>
          <w:lang w:eastAsia="en-GB"/>
        </w:rPr>
      </w:pPr>
    </w:p>
    <w:p w:rsidR="00F357B5" w:rsidRPr="00F357B5" w:rsidRDefault="00F357B5" w:rsidP="00F97A2B">
      <w:pPr>
        <w:keepNext/>
        <w:shd w:val="clear" w:color="auto" w:fill="D9D9D9" w:themeFill="background1" w:themeFillShade="D9"/>
        <w:suppressAutoHyphens/>
        <w:spacing w:after="0" w:line="240" w:lineRule="auto"/>
        <w:jc w:val="both"/>
        <w:outlineLvl w:val="2"/>
        <w:rPr>
          <w:rFonts w:eastAsia="Calibri" w:cs="Arial"/>
          <w:b/>
          <w:snapToGrid w:val="0"/>
          <w:color w:val="000000"/>
          <w:sz w:val="28"/>
          <w:szCs w:val="28"/>
          <w:lang w:eastAsia="en-GB"/>
        </w:rPr>
      </w:pPr>
      <w:r w:rsidRPr="00F357B5">
        <w:rPr>
          <w:rFonts w:eastAsia="Calibri" w:cs="Arial"/>
          <w:b/>
          <w:snapToGrid w:val="0"/>
          <w:color w:val="000000"/>
          <w:sz w:val="28"/>
          <w:szCs w:val="28"/>
          <w:lang w:eastAsia="en-GB"/>
        </w:rPr>
        <w:t xml:space="preserve">Terms of Reference                                                                                           </w:t>
      </w:r>
    </w:p>
    <w:p w:rsidR="00F357B5" w:rsidRPr="00F357B5" w:rsidRDefault="00F357B5" w:rsidP="00C668E6">
      <w:pPr>
        <w:shd w:val="clear" w:color="auto" w:fill="FFFFFF"/>
        <w:spacing w:after="0" w:line="240" w:lineRule="auto"/>
        <w:rPr>
          <w:rFonts w:cs="Arial"/>
          <w:color w:val="000000"/>
          <w:lang w:eastAsia="en-GB"/>
        </w:rPr>
      </w:pPr>
    </w:p>
    <w:p w:rsidR="00F357B5" w:rsidRPr="00F357B5" w:rsidRDefault="00F357B5" w:rsidP="00F357B5">
      <w:pPr>
        <w:numPr>
          <w:ilvl w:val="1"/>
          <w:numId w:val="31"/>
        </w:numPr>
        <w:shd w:val="clear" w:color="auto" w:fill="FFFFFF"/>
        <w:spacing w:after="0" w:line="240" w:lineRule="auto"/>
        <w:ind w:left="567" w:hanging="567"/>
        <w:rPr>
          <w:rFonts w:cs="Arial"/>
          <w:color w:val="000000"/>
          <w:lang w:eastAsia="en-GB"/>
        </w:rPr>
      </w:pPr>
      <w:r w:rsidRPr="00F357B5">
        <w:rPr>
          <w:rFonts w:cs="Arial"/>
          <w:color w:val="000000"/>
          <w:lang w:eastAsia="en-GB"/>
        </w:rPr>
        <w:t>The panel is independent but hosted within HRA and is a resource available to all RECs, funded by the UK Health Departments, within England and the devolved nations</w:t>
      </w:r>
      <w:r w:rsidRPr="00F357B5">
        <w:rPr>
          <w:rFonts w:cs="Arial"/>
          <w:color w:val="000000"/>
          <w:vertAlign w:val="superscript"/>
          <w:lang w:eastAsia="en-GB"/>
        </w:rPr>
        <w:footnoteReference w:id="1"/>
      </w:r>
      <w:r w:rsidRPr="00F357B5">
        <w:rPr>
          <w:rFonts w:cs="Arial"/>
          <w:color w:val="000000"/>
          <w:lang w:eastAsia="en-GB"/>
        </w:rPr>
        <w:t>.</w:t>
      </w:r>
    </w:p>
    <w:p w:rsidR="00F357B5" w:rsidRPr="00F357B5" w:rsidRDefault="00F357B5" w:rsidP="00F357B5">
      <w:pPr>
        <w:shd w:val="clear" w:color="auto" w:fill="FFFFFF"/>
        <w:spacing w:after="0" w:line="240" w:lineRule="auto"/>
        <w:rPr>
          <w:rFonts w:cs="Arial"/>
          <w:color w:val="000000"/>
          <w:lang w:eastAsia="en-GB"/>
        </w:rPr>
      </w:pPr>
    </w:p>
    <w:p w:rsidR="00F357B5" w:rsidRPr="00F357B5" w:rsidRDefault="00F357B5" w:rsidP="00F357B5">
      <w:pPr>
        <w:keepNext/>
        <w:numPr>
          <w:ilvl w:val="0"/>
          <w:numId w:val="31"/>
        </w:numPr>
        <w:shd w:val="pct12" w:color="auto" w:fill="auto"/>
        <w:suppressAutoHyphens/>
        <w:spacing w:after="0" w:line="240" w:lineRule="auto"/>
        <w:jc w:val="both"/>
        <w:outlineLvl w:val="2"/>
        <w:rPr>
          <w:rFonts w:eastAsia="Calibri" w:cs="Arial"/>
          <w:b/>
          <w:snapToGrid w:val="0"/>
          <w:color w:val="000000"/>
          <w:lang w:eastAsia="en-GB"/>
        </w:rPr>
      </w:pPr>
      <w:r w:rsidRPr="00F357B5">
        <w:rPr>
          <w:rFonts w:eastAsia="Calibri" w:cs="Arial"/>
          <w:b/>
          <w:snapToGrid w:val="0"/>
          <w:color w:val="000000"/>
          <w:lang w:eastAsia="en-GB"/>
        </w:rPr>
        <w:t>Terms of Reference of the National Research Ethics Advisors' Panel </w:t>
      </w:r>
    </w:p>
    <w:p w:rsidR="00F357B5" w:rsidRPr="00F357B5" w:rsidRDefault="00F357B5" w:rsidP="00F357B5">
      <w:pPr>
        <w:shd w:val="clear" w:color="auto" w:fill="FFFFFF"/>
        <w:spacing w:after="0" w:line="240" w:lineRule="auto"/>
        <w:ind w:left="360"/>
        <w:rPr>
          <w:rFonts w:cs="Arial"/>
          <w:color w:val="000000"/>
          <w:lang w:eastAsia="en-GB"/>
        </w:rPr>
      </w:pPr>
    </w:p>
    <w:p w:rsidR="00F357B5" w:rsidRPr="00F357B5" w:rsidRDefault="00F357B5" w:rsidP="00F357B5">
      <w:pPr>
        <w:numPr>
          <w:ilvl w:val="1"/>
          <w:numId w:val="31"/>
        </w:numPr>
        <w:shd w:val="clear" w:color="auto" w:fill="FFFFFF"/>
        <w:spacing w:after="0" w:line="240" w:lineRule="auto"/>
        <w:ind w:left="567" w:hanging="567"/>
        <w:rPr>
          <w:rFonts w:eastAsia="Calibri" w:cs="Arial"/>
          <w:lang w:eastAsia="en-GB"/>
        </w:rPr>
      </w:pPr>
      <w:r w:rsidRPr="00F357B5">
        <w:rPr>
          <w:rFonts w:eastAsia="Calibri" w:cs="Arial"/>
          <w:lang w:eastAsia="en-GB"/>
        </w:rPr>
        <w:t xml:space="preserve">The </w:t>
      </w:r>
      <w:r w:rsidRPr="00F357B5">
        <w:rPr>
          <w:rFonts w:cs="Arial"/>
          <w:color w:val="000000"/>
          <w:lang w:eastAsia="en-GB"/>
        </w:rPr>
        <w:t>overall</w:t>
      </w:r>
      <w:r w:rsidRPr="00F357B5">
        <w:rPr>
          <w:rFonts w:eastAsia="Calibri" w:cs="Arial"/>
          <w:lang w:eastAsia="en-GB"/>
        </w:rPr>
        <w:t xml:space="preserve"> objective of the panel is to help RECs deliver robust, consistent and fair decisions through:</w:t>
      </w:r>
    </w:p>
    <w:p w:rsidR="00F357B5" w:rsidRPr="00F357B5" w:rsidRDefault="00F357B5" w:rsidP="00F357B5">
      <w:pPr>
        <w:spacing w:after="0" w:line="240" w:lineRule="auto"/>
        <w:ind w:left="720"/>
        <w:rPr>
          <w:rFonts w:eastAsia="Calibri" w:cs="Arial"/>
          <w:lang w:eastAsia="en-GB"/>
        </w:rPr>
      </w:pP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 xml:space="preserve">Facilitation of </w:t>
      </w:r>
      <w:proofErr w:type="spellStart"/>
      <w:r w:rsidRPr="00F357B5">
        <w:rPr>
          <w:rFonts w:cs="Arial"/>
          <w:color w:val="000000"/>
          <w:lang w:eastAsia="en-GB"/>
        </w:rPr>
        <w:t>RECs’</w:t>
      </w:r>
      <w:proofErr w:type="spellEnd"/>
      <w:r w:rsidRPr="00F357B5">
        <w:rPr>
          <w:rFonts w:cs="Arial"/>
          <w:color w:val="000000"/>
          <w:lang w:eastAsia="en-GB"/>
        </w:rPr>
        <w:t xml:space="preserve"> knowledge and use of currently available guidance and the development of new guidance where it is identified that appropriate guidance is not available;</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Consultation with REC members and other stakeholders to inform and develop guidance. Each NREA will be expected to consult with appropriate stakeholders as required.</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Facilitation and provision of ethics training to RECs;</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Seeking and inviting appropriate expertise, as necessary, to advise the panel and contribute to guidance;</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NREAP hosted Chairs’ Network Meetings;</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Support for the HRA in dealing with disagreements arising from appeals and/or challenges to REC decisions;</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Oversight of the ‘shared ethical debate’ external quality assessment programme for RECs;</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Advice to the HRA or RECs regarding alleged fraud or misconduct in research;</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Support for HRA  with relationships with other regulators and stakeholders including research funders, universities, patient groups, professional bodies and industry including AREC;</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Support for the HRA with patient and public involvement in research;</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Support for the HRA with media enquiries and response to news items or journal articles about HRA;</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Representing the HRA at events conferences and meetings;</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Facilitating the HRA events;</w:t>
      </w:r>
    </w:p>
    <w:p w:rsidR="00F357B5" w:rsidRPr="00F357B5" w:rsidRDefault="00F357B5" w:rsidP="00F357B5">
      <w:pPr>
        <w:numPr>
          <w:ilvl w:val="0"/>
          <w:numId w:val="28"/>
        </w:numPr>
        <w:shd w:val="clear" w:color="auto" w:fill="FFFFFF"/>
        <w:spacing w:after="0" w:line="240" w:lineRule="auto"/>
        <w:rPr>
          <w:rFonts w:cs="Arial"/>
          <w:color w:val="000000"/>
          <w:lang w:eastAsia="en-GB"/>
        </w:rPr>
      </w:pPr>
      <w:r w:rsidRPr="00F357B5">
        <w:rPr>
          <w:rFonts w:cs="Arial"/>
          <w:color w:val="000000"/>
          <w:lang w:eastAsia="en-GB"/>
        </w:rPr>
        <w:t>Chairing ad hoc advisory groups and working parties as appropriate.</w:t>
      </w:r>
    </w:p>
    <w:p w:rsidR="00F357B5" w:rsidRPr="00F357B5" w:rsidRDefault="00F357B5" w:rsidP="00F357B5">
      <w:pPr>
        <w:shd w:val="clear" w:color="auto" w:fill="FFFFFF"/>
        <w:spacing w:after="0" w:line="240" w:lineRule="auto"/>
        <w:rPr>
          <w:rFonts w:cs="Arial"/>
          <w:color w:val="000000"/>
          <w:lang w:eastAsia="en-GB"/>
        </w:rPr>
      </w:pPr>
    </w:p>
    <w:p w:rsidR="00F357B5" w:rsidRPr="00F357B5" w:rsidRDefault="00F357B5" w:rsidP="00F357B5">
      <w:pPr>
        <w:keepNext/>
        <w:numPr>
          <w:ilvl w:val="0"/>
          <w:numId w:val="31"/>
        </w:numPr>
        <w:shd w:val="pct12" w:color="auto" w:fill="auto"/>
        <w:suppressAutoHyphens/>
        <w:spacing w:after="0" w:line="240" w:lineRule="auto"/>
        <w:jc w:val="both"/>
        <w:outlineLvl w:val="2"/>
        <w:rPr>
          <w:rFonts w:eastAsia="Calibri" w:cs="Arial"/>
          <w:b/>
          <w:snapToGrid w:val="0"/>
          <w:color w:val="000000"/>
          <w:lang w:eastAsia="en-GB"/>
        </w:rPr>
      </w:pPr>
      <w:r w:rsidRPr="00F357B5">
        <w:rPr>
          <w:rFonts w:eastAsia="Calibri" w:cs="Arial"/>
          <w:b/>
          <w:snapToGrid w:val="0"/>
          <w:color w:val="000000"/>
          <w:lang w:eastAsia="en-GB"/>
        </w:rPr>
        <w:t>Membership</w:t>
      </w:r>
    </w:p>
    <w:p w:rsidR="00F357B5" w:rsidRPr="00F357B5" w:rsidRDefault="00F357B5" w:rsidP="00F357B5">
      <w:pPr>
        <w:spacing w:after="0" w:line="240" w:lineRule="auto"/>
        <w:rPr>
          <w:rFonts w:eastAsia="Calibri" w:cs="Arial"/>
          <w:lang w:eastAsia="en-GB"/>
        </w:rPr>
      </w:pPr>
    </w:p>
    <w:p w:rsidR="00F357B5" w:rsidRPr="00F357B5" w:rsidRDefault="00F357B5" w:rsidP="00F357B5">
      <w:pPr>
        <w:numPr>
          <w:ilvl w:val="1"/>
          <w:numId w:val="31"/>
        </w:numPr>
        <w:spacing w:after="0" w:line="240" w:lineRule="auto"/>
        <w:ind w:left="567" w:hanging="567"/>
        <w:rPr>
          <w:rFonts w:eastAsia="Calibri" w:cs="Arial"/>
          <w:lang w:eastAsia="en-GB"/>
        </w:rPr>
      </w:pPr>
      <w:r w:rsidRPr="00F357B5">
        <w:rPr>
          <w:rFonts w:eastAsia="Calibri" w:cs="Arial"/>
          <w:lang w:eastAsia="en-GB"/>
        </w:rPr>
        <w:t>The membership of the panel should include:</w:t>
      </w:r>
    </w:p>
    <w:p w:rsidR="00F357B5" w:rsidRPr="00F357B5" w:rsidRDefault="00F357B5" w:rsidP="00F357B5">
      <w:pPr>
        <w:numPr>
          <w:ilvl w:val="0"/>
          <w:numId w:val="29"/>
        </w:numPr>
        <w:spacing w:after="0" w:line="240" w:lineRule="auto"/>
        <w:rPr>
          <w:rFonts w:eastAsia="Calibri" w:cs="Arial"/>
          <w:lang w:eastAsia="en-GB"/>
        </w:rPr>
      </w:pPr>
      <w:r w:rsidRPr="00F357B5">
        <w:rPr>
          <w:rFonts w:eastAsia="Calibri" w:cs="Arial"/>
          <w:lang w:eastAsia="en-GB"/>
        </w:rPr>
        <w:t>Chair</w:t>
      </w:r>
    </w:p>
    <w:p w:rsidR="00F357B5" w:rsidRPr="00F357B5" w:rsidRDefault="00F357B5" w:rsidP="00F357B5">
      <w:pPr>
        <w:numPr>
          <w:ilvl w:val="0"/>
          <w:numId w:val="29"/>
        </w:numPr>
        <w:spacing w:after="0" w:line="240" w:lineRule="auto"/>
        <w:rPr>
          <w:rFonts w:eastAsia="Calibri" w:cs="Arial"/>
          <w:lang w:eastAsia="en-GB"/>
        </w:rPr>
      </w:pPr>
      <w:r w:rsidRPr="00F357B5">
        <w:rPr>
          <w:rFonts w:eastAsia="Calibri" w:cs="Arial"/>
          <w:lang w:eastAsia="en-GB"/>
        </w:rPr>
        <w:t>Legal expert</w:t>
      </w:r>
    </w:p>
    <w:p w:rsidR="00F357B5" w:rsidRPr="00F357B5" w:rsidRDefault="00F357B5" w:rsidP="00F357B5">
      <w:pPr>
        <w:numPr>
          <w:ilvl w:val="0"/>
          <w:numId w:val="29"/>
        </w:numPr>
        <w:spacing w:after="0" w:line="240" w:lineRule="auto"/>
        <w:rPr>
          <w:rFonts w:eastAsia="Calibri" w:cs="Arial"/>
          <w:lang w:eastAsia="en-GB"/>
        </w:rPr>
      </w:pPr>
      <w:r w:rsidRPr="00F357B5">
        <w:rPr>
          <w:rFonts w:eastAsia="Calibri" w:cs="Arial"/>
          <w:lang w:eastAsia="en-GB"/>
        </w:rPr>
        <w:t>Experienced REC Chair</w:t>
      </w:r>
    </w:p>
    <w:p w:rsidR="00F357B5" w:rsidRPr="00F357B5" w:rsidRDefault="00F357B5" w:rsidP="00F357B5">
      <w:pPr>
        <w:numPr>
          <w:ilvl w:val="0"/>
          <w:numId w:val="29"/>
        </w:numPr>
        <w:spacing w:after="0" w:line="240" w:lineRule="auto"/>
        <w:rPr>
          <w:rFonts w:eastAsia="Calibri" w:cs="Arial"/>
          <w:lang w:eastAsia="en-GB"/>
        </w:rPr>
      </w:pPr>
      <w:r w:rsidRPr="00F357B5">
        <w:rPr>
          <w:rFonts w:eastAsia="Calibri" w:cs="Arial"/>
          <w:lang w:eastAsia="en-GB"/>
        </w:rPr>
        <w:t>Experienced academic clinical researcher</w:t>
      </w:r>
    </w:p>
    <w:p w:rsidR="00F357B5" w:rsidRPr="00F357B5" w:rsidRDefault="00F357B5" w:rsidP="00F357B5">
      <w:pPr>
        <w:numPr>
          <w:ilvl w:val="0"/>
          <w:numId w:val="29"/>
        </w:numPr>
        <w:spacing w:after="0" w:line="240" w:lineRule="auto"/>
        <w:rPr>
          <w:rFonts w:eastAsia="Calibri" w:cs="Arial"/>
          <w:lang w:eastAsia="en-GB"/>
        </w:rPr>
      </w:pPr>
      <w:r w:rsidRPr="00F357B5">
        <w:rPr>
          <w:rFonts w:eastAsia="Calibri" w:cs="Arial"/>
          <w:lang w:eastAsia="en-GB"/>
        </w:rPr>
        <w:lastRenderedPageBreak/>
        <w:t>Individual with senior pharmaceutical industry experience</w:t>
      </w:r>
    </w:p>
    <w:p w:rsidR="00F357B5" w:rsidRPr="00F357B5" w:rsidRDefault="00F357B5" w:rsidP="00F357B5">
      <w:pPr>
        <w:numPr>
          <w:ilvl w:val="0"/>
          <w:numId w:val="29"/>
        </w:numPr>
        <w:spacing w:after="0" w:line="240" w:lineRule="auto"/>
        <w:rPr>
          <w:rFonts w:eastAsia="Calibri" w:cs="Arial"/>
          <w:lang w:eastAsia="en-GB"/>
        </w:rPr>
      </w:pPr>
      <w:r w:rsidRPr="00F357B5">
        <w:rPr>
          <w:rFonts w:eastAsia="Calibri" w:cs="Arial"/>
          <w:lang w:eastAsia="en-GB"/>
        </w:rPr>
        <w:t>Individual with Patient and Public Involvement (PPI)/NHS experience</w:t>
      </w:r>
    </w:p>
    <w:p w:rsidR="00F357B5" w:rsidRPr="00F357B5" w:rsidRDefault="00F357B5" w:rsidP="00F357B5">
      <w:pPr>
        <w:numPr>
          <w:ilvl w:val="0"/>
          <w:numId w:val="29"/>
        </w:numPr>
        <w:spacing w:after="0" w:line="240" w:lineRule="auto"/>
        <w:rPr>
          <w:rFonts w:eastAsia="Calibri" w:cs="Arial"/>
          <w:lang w:eastAsia="en-GB"/>
        </w:rPr>
      </w:pPr>
      <w:r w:rsidRPr="00F357B5">
        <w:rPr>
          <w:rFonts w:eastAsia="Calibri" w:cs="Arial"/>
          <w:lang w:eastAsia="en-GB"/>
        </w:rPr>
        <w:t>Individual with academic expertise in the ethics of research</w:t>
      </w:r>
    </w:p>
    <w:p w:rsidR="00F357B5" w:rsidRPr="00F357B5" w:rsidRDefault="00F357B5" w:rsidP="00F357B5">
      <w:pPr>
        <w:spacing w:after="0" w:line="240" w:lineRule="auto"/>
        <w:rPr>
          <w:rFonts w:eastAsia="Calibri" w:cs="Arial"/>
          <w:lang w:eastAsia="en-GB"/>
        </w:rPr>
      </w:pPr>
    </w:p>
    <w:p w:rsidR="00F357B5" w:rsidRPr="00F357B5" w:rsidRDefault="00F357B5" w:rsidP="00F357B5">
      <w:pPr>
        <w:numPr>
          <w:ilvl w:val="1"/>
          <w:numId w:val="31"/>
        </w:numPr>
        <w:spacing w:after="0" w:line="240" w:lineRule="auto"/>
        <w:ind w:left="567" w:hanging="567"/>
        <w:rPr>
          <w:rFonts w:eastAsia="Calibri" w:cs="Arial"/>
          <w:lang w:eastAsia="en-GB"/>
        </w:rPr>
      </w:pPr>
      <w:r w:rsidRPr="00F357B5">
        <w:rPr>
          <w:rFonts w:eastAsia="Calibri" w:cs="Arial"/>
          <w:lang w:eastAsia="en-GB"/>
        </w:rPr>
        <w:t xml:space="preserve">The HRA Chief Executive (or their nominated representative) may attend meetings by invitation of the panel. </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The Chair is appointed by the HRA, on behalf of the Department of Health and the devolved nations. It is expected that the Chair will fulfil at least one of the membership categories listed above (other than “Chair”) however; this is not a mandatory requirement for appointment to the position.</w:t>
      </w:r>
    </w:p>
    <w:p w:rsidR="00F357B5" w:rsidRPr="00F357B5" w:rsidRDefault="00F357B5" w:rsidP="00F357B5">
      <w:pPr>
        <w:numPr>
          <w:ilvl w:val="1"/>
          <w:numId w:val="31"/>
        </w:numPr>
        <w:spacing w:after="0" w:line="240" w:lineRule="auto"/>
        <w:ind w:left="567" w:hanging="567"/>
        <w:rPr>
          <w:rFonts w:eastAsia="Calibri" w:cs="Arial"/>
          <w:lang w:eastAsia="en-GB"/>
        </w:rPr>
      </w:pPr>
      <w:r w:rsidRPr="00F357B5">
        <w:rPr>
          <w:rFonts w:eastAsia="Calibri" w:cs="Arial"/>
          <w:lang w:eastAsia="en-GB"/>
        </w:rPr>
        <w:t>The Deputy chair is appointed from among the panel members.</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All NREAs are appointed by the HRA, on behalf of the Department of Health and the devolved nations on a yearly reviewed basis up to a maximum period of five years initially. Appointments may be renewable at the end of the first period of office; however, NREAs should not normally serve more than two consecutive terms of five years.</w:t>
      </w:r>
    </w:p>
    <w:p w:rsidR="00F357B5" w:rsidRPr="00F357B5" w:rsidRDefault="00F357B5" w:rsidP="00F357B5">
      <w:pPr>
        <w:numPr>
          <w:ilvl w:val="1"/>
          <w:numId w:val="31"/>
        </w:numPr>
        <w:spacing w:after="0" w:line="240" w:lineRule="auto"/>
        <w:ind w:left="567" w:hanging="567"/>
        <w:rPr>
          <w:rFonts w:eastAsia="Calibri" w:cs="Arial"/>
          <w:lang w:eastAsia="en-GB"/>
        </w:rPr>
      </w:pPr>
      <w:r w:rsidRPr="00F357B5">
        <w:rPr>
          <w:rFonts w:eastAsia="Calibri" w:cs="Arial"/>
          <w:lang w:eastAsia="en-GB"/>
        </w:rPr>
        <w:t xml:space="preserve">Members may resign from the panel at any time by giving three </w:t>
      </w:r>
      <w:proofErr w:type="spellStart"/>
      <w:r w:rsidRPr="00F357B5">
        <w:rPr>
          <w:rFonts w:eastAsia="Calibri" w:cs="Arial"/>
          <w:lang w:eastAsia="en-GB"/>
        </w:rPr>
        <w:t>months notice</w:t>
      </w:r>
      <w:proofErr w:type="spellEnd"/>
      <w:r w:rsidRPr="00F357B5">
        <w:rPr>
          <w:rFonts w:eastAsia="Calibri" w:cs="Arial"/>
          <w:lang w:eastAsia="en-GB"/>
        </w:rPr>
        <w:t xml:space="preserve"> in writing to the Chair and Chief Executive of HRA.</w:t>
      </w:r>
    </w:p>
    <w:p w:rsidR="00F357B5" w:rsidRPr="00F357B5" w:rsidRDefault="00F357B5" w:rsidP="00F357B5">
      <w:pPr>
        <w:spacing w:after="0" w:line="240" w:lineRule="auto"/>
        <w:rPr>
          <w:rFonts w:eastAsia="Calibri" w:cs="Arial"/>
          <w:lang w:eastAsia="en-GB"/>
        </w:rPr>
      </w:pPr>
    </w:p>
    <w:p w:rsidR="00F357B5" w:rsidRPr="00F357B5" w:rsidRDefault="00F357B5" w:rsidP="00F357B5">
      <w:pPr>
        <w:keepNext/>
        <w:numPr>
          <w:ilvl w:val="0"/>
          <w:numId w:val="31"/>
        </w:numPr>
        <w:shd w:val="pct12" w:color="auto" w:fill="auto"/>
        <w:suppressAutoHyphens/>
        <w:spacing w:after="0" w:line="240" w:lineRule="auto"/>
        <w:jc w:val="both"/>
        <w:outlineLvl w:val="2"/>
        <w:rPr>
          <w:rFonts w:eastAsia="Calibri" w:cs="Arial"/>
          <w:b/>
          <w:lang w:eastAsia="en-GB"/>
        </w:rPr>
      </w:pPr>
      <w:r w:rsidRPr="00F357B5">
        <w:rPr>
          <w:rFonts w:eastAsia="Calibri" w:cs="Arial"/>
          <w:b/>
          <w:snapToGrid w:val="0"/>
          <w:color w:val="000000"/>
          <w:lang w:eastAsia="en-GB"/>
        </w:rPr>
        <w:t>Secretariat</w:t>
      </w:r>
    </w:p>
    <w:p w:rsidR="00F357B5" w:rsidRPr="00F357B5" w:rsidRDefault="00F357B5" w:rsidP="00F357B5">
      <w:pPr>
        <w:spacing w:after="0" w:line="240" w:lineRule="auto"/>
        <w:rPr>
          <w:rFonts w:eastAsia="Calibri" w:cs="Arial"/>
          <w:lang w:eastAsia="en-GB"/>
        </w:rPr>
      </w:pPr>
    </w:p>
    <w:p w:rsidR="00F357B5" w:rsidRPr="00F357B5" w:rsidRDefault="00F357B5" w:rsidP="00F357B5">
      <w:pPr>
        <w:numPr>
          <w:ilvl w:val="1"/>
          <w:numId w:val="31"/>
        </w:numPr>
        <w:spacing w:after="0" w:line="240" w:lineRule="auto"/>
        <w:ind w:left="567" w:hanging="567"/>
        <w:rPr>
          <w:rFonts w:eastAsia="Calibri" w:cs="Arial"/>
          <w:lang w:eastAsia="en-GB"/>
        </w:rPr>
      </w:pPr>
      <w:r w:rsidRPr="00F357B5">
        <w:rPr>
          <w:rFonts w:eastAsia="Calibri" w:cs="Arial"/>
          <w:lang w:eastAsia="en-GB"/>
        </w:rPr>
        <w:t>The secretariat will be provided by the HRA Ethics Guidance &amp; Strategy Manager.</w:t>
      </w:r>
    </w:p>
    <w:p w:rsidR="00F357B5" w:rsidRPr="00F357B5" w:rsidRDefault="00F357B5" w:rsidP="00F357B5">
      <w:pPr>
        <w:numPr>
          <w:ilvl w:val="1"/>
          <w:numId w:val="31"/>
        </w:numPr>
        <w:spacing w:after="0" w:line="240" w:lineRule="auto"/>
        <w:ind w:left="567" w:hanging="567"/>
        <w:rPr>
          <w:rFonts w:eastAsia="Calibri" w:cs="Arial"/>
          <w:lang w:eastAsia="en-GB"/>
        </w:rPr>
      </w:pPr>
      <w:r w:rsidRPr="00F357B5">
        <w:rPr>
          <w:rFonts w:eastAsia="Calibri" w:cs="Arial"/>
          <w:lang w:eastAsia="en-GB"/>
        </w:rPr>
        <w:t>The HRA Ethics Guidance &amp; Strategy Manager will facilitate use of guidance by RECs and support REC training.  They will also attend REC and HRA centre meetings (including NREAP hosted Chairs’ Network Meetings), as necessary, to present guidance and other panel documents and to seek feedback from RECs on existing guidance and suggestions for items to be the subject of future consultation and guidance.</w:t>
      </w:r>
    </w:p>
    <w:p w:rsidR="00F357B5" w:rsidRPr="00F357B5" w:rsidRDefault="00F357B5" w:rsidP="00F357B5">
      <w:pPr>
        <w:spacing w:after="0" w:line="240" w:lineRule="auto"/>
        <w:rPr>
          <w:rFonts w:eastAsia="Calibri" w:cs="Arial"/>
          <w:lang w:eastAsia="en-GB"/>
        </w:rPr>
      </w:pPr>
    </w:p>
    <w:p w:rsidR="00F357B5" w:rsidRPr="00F357B5" w:rsidRDefault="00F357B5" w:rsidP="00F357B5">
      <w:pPr>
        <w:keepNext/>
        <w:numPr>
          <w:ilvl w:val="0"/>
          <w:numId w:val="31"/>
        </w:numPr>
        <w:shd w:val="pct12" w:color="auto" w:fill="auto"/>
        <w:suppressAutoHyphens/>
        <w:spacing w:after="0" w:line="240" w:lineRule="auto"/>
        <w:jc w:val="both"/>
        <w:outlineLvl w:val="2"/>
        <w:rPr>
          <w:rFonts w:eastAsia="Calibri" w:cs="Arial"/>
          <w:b/>
          <w:snapToGrid w:val="0"/>
          <w:color w:val="000000"/>
          <w:lang w:eastAsia="en-GB"/>
        </w:rPr>
      </w:pPr>
      <w:r w:rsidRPr="00F357B5">
        <w:rPr>
          <w:rFonts w:eastAsia="Calibri" w:cs="Arial"/>
          <w:b/>
          <w:snapToGrid w:val="0"/>
          <w:color w:val="000000"/>
          <w:lang w:eastAsia="en-GB"/>
        </w:rPr>
        <w:t>Meetings</w:t>
      </w:r>
    </w:p>
    <w:p w:rsidR="00F357B5" w:rsidRPr="00F357B5" w:rsidRDefault="00F357B5" w:rsidP="00F357B5">
      <w:pPr>
        <w:shd w:val="clear" w:color="auto" w:fill="FFFFFF"/>
        <w:spacing w:after="0" w:line="240" w:lineRule="auto"/>
        <w:rPr>
          <w:rFonts w:cs="Arial"/>
          <w:color w:val="000000"/>
          <w:lang w:eastAsia="en-GB"/>
        </w:rPr>
      </w:pP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 xml:space="preserve">Meetings will normally be held quarterly (every 3 months). </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 xml:space="preserve">Ad-hoc meetings may be held by agreement of the Chair as and when required. </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 xml:space="preserve">Meetings may, exceptionally, be cancelled by agreement of the Chair. </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Meetings will normally be held in London but may be held elsewhere in the UK as appropriate</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 xml:space="preserve">Meeting dates will be set and communicated to all panel members prior to the beginning of each calendar year.  </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eastAsia="Calibri" w:cs="Arial"/>
          <w:lang w:eastAsia="en-GB"/>
        </w:rPr>
        <w:t xml:space="preserve">Panel members are required to attend in full at least three quarters of all scheduled NREAP meetings in each year. </w:t>
      </w:r>
    </w:p>
    <w:p w:rsidR="00F357B5" w:rsidRPr="00F357B5" w:rsidRDefault="00F357B5" w:rsidP="00F357B5">
      <w:pPr>
        <w:numPr>
          <w:ilvl w:val="1"/>
          <w:numId w:val="31"/>
        </w:numPr>
        <w:spacing w:after="0" w:line="240" w:lineRule="auto"/>
        <w:ind w:left="567" w:hanging="567"/>
        <w:rPr>
          <w:rFonts w:eastAsia="Calibri" w:cs="Arial"/>
          <w:lang w:eastAsia="en-GB"/>
        </w:rPr>
      </w:pPr>
      <w:r w:rsidRPr="00F357B5">
        <w:rPr>
          <w:rFonts w:eastAsia="Calibri" w:cs="Arial"/>
          <w:lang w:eastAsia="en-GB"/>
        </w:rPr>
        <w:t xml:space="preserve">Members are required to notify the HRA Ethics Guidance &amp; Strategy Manager in advance wherever possible if they are unable to attend any scheduled meeting. </w:t>
      </w:r>
    </w:p>
    <w:p w:rsidR="00F357B5" w:rsidRPr="00F357B5" w:rsidRDefault="00F357B5" w:rsidP="00F357B5">
      <w:pPr>
        <w:numPr>
          <w:ilvl w:val="1"/>
          <w:numId w:val="31"/>
        </w:numPr>
        <w:spacing w:after="0" w:line="240" w:lineRule="auto"/>
        <w:ind w:left="567" w:hanging="567"/>
        <w:rPr>
          <w:rFonts w:eastAsia="Calibri" w:cs="Arial"/>
          <w:lang w:eastAsia="en-GB"/>
        </w:rPr>
      </w:pPr>
      <w:r w:rsidRPr="00F357B5">
        <w:rPr>
          <w:rFonts w:eastAsia="Calibri" w:cs="Arial"/>
          <w:lang w:eastAsia="en-GB"/>
        </w:rPr>
        <w:t>In the event that any member fails to attend two scheduled meetings in a row, without a reasonable excuse, their appointment will be terminated by the HRA.</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eastAsia="Calibri" w:cs="Arial"/>
          <w:lang w:eastAsia="en-GB"/>
        </w:rPr>
        <w:t>Where appropriate stakeholders, and other individuals, may be invited to panel meetings to present to the NREAs and take part in discussions.</w:t>
      </w:r>
      <w:r w:rsidRPr="00F357B5">
        <w:rPr>
          <w:rFonts w:cs="Arial"/>
          <w:color w:val="000000"/>
          <w:lang w:eastAsia="en-GB"/>
        </w:rPr>
        <w:t xml:space="preserve"> </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The agenda will be distributed electronically to members at least two weeks in advance of the meeting date.</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The Minutes of each meeting will be approved by the Chair/Deputy Chair and ratified by the panel at the next available meeting. The minutes will be published on the HRA website and distributed to all HRA staff, HRA Executive Management Team and the HRA Board.</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The HRA will not in any event record the meeting and any member of the group may only record the meeting with the explicit consent of all present and this must then be noted in the minutes.</w:t>
      </w:r>
    </w:p>
    <w:p w:rsidR="00F357B5" w:rsidRPr="00F357B5" w:rsidRDefault="00F357B5" w:rsidP="00F357B5">
      <w:pPr>
        <w:spacing w:after="0" w:line="240" w:lineRule="auto"/>
        <w:rPr>
          <w:rFonts w:eastAsia="Calibri" w:cs="Arial"/>
          <w:lang w:eastAsia="en-GB"/>
        </w:rPr>
      </w:pPr>
    </w:p>
    <w:p w:rsidR="00F357B5" w:rsidRPr="00F357B5" w:rsidRDefault="00F357B5" w:rsidP="00F357B5">
      <w:pPr>
        <w:keepNext/>
        <w:numPr>
          <w:ilvl w:val="0"/>
          <w:numId w:val="31"/>
        </w:numPr>
        <w:shd w:val="pct12" w:color="auto" w:fill="auto"/>
        <w:suppressAutoHyphens/>
        <w:spacing w:after="0" w:line="240" w:lineRule="auto"/>
        <w:jc w:val="both"/>
        <w:outlineLvl w:val="2"/>
        <w:rPr>
          <w:rFonts w:eastAsia="Calibri" w:cs="Arial"/>
          <w:b/>
          <w:snapToGrid w:val="0"/>
          <w:color w:val="000000"/>
          <w:lang w:eastAsia="en-GB"/>
        </w:rPr>
      </w:pPr>
      <w:r w:rsidRPr="00F357B5">
        <w:rPr>
          <w:rFonts w:eastAsia="Calibri" w:cs="Arial"/>
          <w:b/>
          <w:snapToGrid w:val="0"/>
          <w:color w:val="000000"/>
          <w:lang w:eastAsia="en-GB"/>
        </w:rPr>
        <w:lastRenderedPageBreak/>
        <w:t>Quorum</w:t>
      </w:r>
    </w:p>
    <w:p w:rsidR="00F357B5" w:rsidRPr="00F357B5" w:rsidRDefault="00F357B5" w:rsidP="00F357B5">
      <w:pPr>
        <w:spacing w:after="0" w:line="240" w:lineRule="auto"/>
        <w:rPr>
          <w:rFonts w:eastAsia="Calibri" w:cs="Arial"/>
          <w:lang w:eastAsia="en-GB"/>
        </w:rPr>
      </w:pP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There is no formal quorum for panel meetings, however where the panel is asked to arbitrate on ethical debates and disagreements arising from appeals by applicants and from within RECs the quorum should be regarded as a majority of the current panel membership. Where the panel has an even number of members, a majority means 50% of the members plus one.</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 xml:space="preserve">A member who is unable to be present at the meeting may participate by telephone or send written comments when the member has received a copy of the documents that are to be reviewed at the meeting. In such cases they will be considered to contribute to the quorum. </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For items other than arbitration on ethical debates and disagreements, the quorum may be decided by the Chair, taking into account the importance of the items under consideration, the presence of appropriate stakeholders, and the advisability of taking decisions if few NREAs are present.</w:t>
      </w:r>
    </w:p>
    <w:p w:rsidR="00F357B5" w:rsidRPr="00F357B5" w:rsidRDefault="00F357B5" w:rsidP="00F357B5">
      <w:pPr>
        <w:spacing w:after="0" w:line="240" w:lineRule="auto"/>
        <w:rPr>
          <w:rFonts w:cs="Arial"/>
          <w:color w:val="000000"/>
          <w:lang w:eastAsia="en-GB"/>
        </w:rPr>
      </w:pPr>
      <w:r w:rsidRPr="00F357B5">
        <w:rPr>
          <w:rFonts w:cs="Arial"/>
          <w:color w:val="000000"/>
          <w:lang w:eastAsia="en-GB"/>
        </w:rPr>
        <w:t> </w:t>
      </w:r>
    </w:p>
    <w:p w:rsidR="00F357B5" w:rsidRPr="00F357B5" w:rsidRDefault="00F357B5" w:rsidP="00F357B5">
      <w:pPr>
        <w:keepNext/>
        <w:numPr>
          <w:ilvl w:val="0"/>
          <w:numId w:val="31"/>
        </w:numPr>
        <w:shd w:val="pct12" w:color="auto" w:fill="auto"/>
        <w:suppressAutoHyphens/>
        <w:spacing w:after="0" w:line="240" w:lineRule="auto"/>
        <w:jc w:val="both"/>
        <w:outlineLvl w:val="2"/>
        <w:rPr>
          <w:rFonts w:eastAsia="Calibri" w:cs="Arial"/>
          <w:b/>
          <w:snapToGrid w:val="0"/>
          <w:color w:val="000000"/>
          <w:lang w:eastAsia="en-GB"/>
        </w:rPr>
      </w:pPr>
      <w:r w:rsidRPr="00F357B5">
        <w:rPr>
          <w:rFonts w:eastAsia="Calibri" w:cs="Arial"/>
          <w:b/>
          <w:snapToGrid w:val="0"/>
          <w:color w:val="000000"/>
          <w:lang w:eastAsia="en-GB"/>
        </w:rPr>
        <w:t xml:space="preserve">Declarations of Interest </w:t>
      </w:r>
    </w:p>
    <w:p w:rsidR="00F357B5" w:rsidRPr="00F357B5" w:rsidRDefault="00F357B5" w:rsidP="00F357B5">
      <w:pPr>
        <w:spacing w:after="0" w:line="240" w:lineRule="auto"/>
        <w:rPr>
          <w:rFonts w:cs="Arial"/>
          <w:color w:val="000000"/>
          <w:lang w:eastAsia="en-GB"/>
        </w:rPr>
      </w:pP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 xml:space="preserve">Members should declare to the panel any material interests they may have in relation to any item under consideration at that meeting. Such a declaration may be made orally at the meeting, prior to the matter being </w:t>
      </w:r>
      <w:proofErr w:type="gramStart"/>
      <w:r w:rsidRPr="00F357B5">
        <w:rPr>
          <w:rFonts w:cs="Arial"/>
          <w:color w:val="000000"/>
          <w:lang w:eastAsia="en-GB"/>
        </w:rPr>
        <w:t>considered,</w:t>
      </w:r>
      <w:proofErr w:type="gramEnd"/>
      <w:r w:rsidRPr="00F357B5">
        <w:rPr>
          <w:rFonts w:cs="Arial"/>
          <w:color w:val="000000"/>
          <w:lang w:eastAsia="en-GB"/>
        </w:rPr>
        <w:t xml:space="preserve"> or in writing to the Chair and HRA Ethics Guidance &amp; Strategy Manager prior to the meeting. A material interest is any personal or business interest that may, or may be perceived to, unduly influence the member’s or the panel’s judgement about the matter concerned. If in doubt about whether there is an interest to be declared, members should err on the side of caution and declare anything that may be perceived to be relevant</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 xml:space="preserve">In the case of any declared interest, the Chair (unless it is the Chair who has the potential interest), following consultation with the panel, should consider whether it is a material interest and, if so, whether it is appropriate for the member concerned to take any part in discussion of the item. Account should be taken of the closeness of the member’s interest to the item and the potential for a conflict of interest. In some cases, the declaration of the interest may in itself be sufficient to ensure that the deliberation of the panel is not unduly influenced. </w:t>
      </w:r>
    </w:p>
    <w:p w:rsidR="00F357B5" w:rsidRP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 xml:space="preserve">The Chair has the following options: </w:t>
      </w:r>
    </w:p>
    <w:p w:rsidR="00F357B5" w:rsidRPr="00F357B5" w:rsidRDefault="00F357B5" w:rsidP="00F357B5">
      <w:pPr>
        <w:spacing w:after="0" w:line="240" w:lineRule="auto"/>
        <w:ind w:left="720"/>
        <w:rPr>
          <w:rFonts w:cs="Arial"/>
          <w:color w:val="000000"/>
          <w:lang w:eastAsia="en-GB"/>
        </w:rPr>
      </w:pPr>
    </w:p>
    <w:p w:rsidR="00F357B5" w:rsidRPr="00F357B5" w:rsidRDefault="00F357B5" w:rsidP="00F357B5">
      <w:pPr>
        <w:numPr>
          <w:ilvl w:val="2"/>
          <w:numId w:val="31"/>
        </w:numPr>
        <w:spacing w:after="0" w:line="240" w:lineRule="auto"/>
        <w:rPr>
          <w:rFonts w:cs="Arial"/>
          <w:color w:val="000000"/>
          <w:lang w:eastAsia="en-GB"/>
        </w:rPr>
      </w:pPr>
      <w:r w:rsidRPr="00F357B5">
        <w:rPr>
          <w:rFonts w:cs="Arial"/>
          <w:color w:val="000000"/>
          <w:lang w:eastAsia="en-GB"/>
        </w:rPr>
        <w:t xml:space="preserve">The member should leave the meeting room and take no part in the discussion or any vote on the item. </w:t>
      </w:r>
    </w:p>
    <w:p w:rsidR="00F357B5" w:rsidRPr="00F357B5" w:rsidRDefault="00F357B5" w:rsidP="00F357B5">
      <w:pPr>
        <w:numPr>
          <w:ilvl w:val="2"/>
          <w:numId w:val="31"/>
        </w:numPr>
        <w:spacing w:after="0" w:line="240" w:lineRule="auto"/>
        <w:rPr>
          <w:rFonts w:cs="Arial"/>
          <w:color w:val="000000"/>
          <w:lang w:eastAsia="en-GB"/>
        </w:rPr>
      </w:pPr>
      <w:r w:rsidRPr="00F357B5">
        <w:rPr>
          <w:rFonts w:cs="Arial"/>
          <w:color w:val="000000"/>
          <w:lang w:eastAsia="en-GB"/>
        </w:rPr>
        <w:t>The member may remain in the meeting room in order to provide any relevant information requested by other members, but may not vote.</w:t>
      </w:r>
    </w:p>
    <w:p w:rsidR="00F357B5" w:rsidRDefault="00F357B5" w:rsidP="00F357B5">
      <w:pPr>
        <w:numPr>
          <w:ilvl w:val="2"/>
          <w:numId w:val="31"/>
        </w:numPr>
        <w:spacing w:after="0" w:line="240" w:lineRule="auto"/>
        <w:rPr>
          <w:rFonts w:cs="Arial"/>
          <w:color w:val="000000"/>
          <w:lang w:eastAsia="en-GB"/>
        </w:rPr>
      </w:pPr>
      <w:r w:rsidRPr="00F357B5">
        <w:rPr>
          <w:rFonts w:cs="Arial"/>
          <w:color w:val="000000"/>
          <w:lang w:eastAsia="en-GB"/>
        </w:rPr>
        <w:t xml:space="preserve">The member may remain in the meeting room and take a full part in the discussion. </w:t>
      </w:r>
    </w:p>
    <w:p w:rsidR="00C668E6" w:rsidRPr="00F357B5" w:rsidRDefault="00C668E6" w:rsidP="00C668E6">
      <w:pPr>
        <w:spacing w:after="0" w:line="240" w:lineRule="auto"/>
        <w:ind w:left="2160"/>
        <w:rPr>
          <w:rFonts w:cs="Arial"/>
          <w:color w:val="000000"/>
          <w:lang w:eastAsia="en-GB"/>
        </w:rPr>
      </w:pPr>
    </w:p>
    <w:p w:rsidR="00F357B5" w:rsidRDefault="00F357B5" w:rsidP="00F357B5">
      <w:pPr>
        <w:numPr>
          <w:ilvl w:val="1"/>
          <w:numId w:val="31"/>
        </w:numPr>
        <w:spacing w:after="0" w:line="240" w:lineRule="auto"/>
        <w:ind w:left="567" w:hanging="567"/>
        <w:rPr>
          <w:rFonts w:cs="Arial"/>
          <w:color w:val="000000"/>
          <w:lang w:eastAsia="en-GB"/>
        </w:rPr>
      </w:pPr>
      <w:r w:rsidRPr="00F357B5">
        <w:rPr>
          <w:rFonts w:cs="Arial"/>
          <w:color w:val="000000"/>
          <w:lang w:eastAsia="en-GB"/>
        </w:rPr>
        <w:t>The minutes should record any declaration of interest the Chair considers to be material, and the decision on the procedure to be followed. If the Chair is in any doubt, it is recommended that the member should leave the meeting room as in paragraph 7.3.1 above.</w:t>
      </w:r>
    </w:p>
    <w:p w:rsidR="00C668E6" w:rsidRPr="00F357B5" w:rsidRDefault="00C668E6" w:rsidP="00C668E6">
      <w:pPr>
        <w:spacing w:after="0" w:line="240" w:lineRule="auto"/>
        <w:ind w:left="567"/>
        <w:rPr>
          <w:rFonts w:cs="Arial"/>
          <w:color w:val="000000"/>
          <w:lang w:eastAsia="en-GB"/>
        </w:rPr>
      </w:pPr>
    </w:p>
    <w:p w:rsidR="00F357B5" w:rsidRPr="00F357B5" w:rsidRDefault="00F357B5" w:rsidP="00F357B5">
      <w:pPr>
        <w:keepNext/>
        <w:numPr>
          <w:ilvl w:val="0"/>
          <w:numId w:val="31"/>
        </w:numPr>
        <w:shd w:val="pct12" w:color="auto" w:fill="auto"/>
        <w:suppressAutoHyphens/>
        <w:spacing w:after="0" w:line="240" w:lineRule="auto"/>
        <w:jc w:val="both"/>
        <w:outlineLvl w:val="2"/>
        <w:rPr>
          <w:rFonts w:eastAsia="Calibri" w:cs="Arial"/>
          <w:b/>
          <w:lang w:eastAsia="en-GB"/>
        </w:rPr>
      </w:pPr>
      <w:r w:rsidRPr="00F357B5">
        <w:rPr>
          <w:rFonts w:eastAsia="Calibri" w:cs="Arial"/>
          <w:b/>
          <w:lang w:eastAsia="en-GB"/>
        </w:rPr>
        <w:t xml:space="preserve">Payment of Expenses </w:t>
      </w:r>
    </w:p>
    <w:p w:rsidR="00F357B5" w:rsidRPr="00F357B5" w:rsidRDefault="00F357B5" w:rsidP="00F357B5">
      <w:pPr>
        <w:autoSpaceDE w:val="0"/>
        <w:autoSpaceDN w:val="0"/>
        <w:adjustRightInd w:val="0"/>
        <w:spacing w:after="0" w:line="240" w:lineRule="auto"/>
        <w:rPr>
          <w:rFonts w:eastAsia="Calibri" w:cs="Arial"/>
          <w:color w:val="000000"/>
          <w:lang w:eastAsia="en-GB"/>
        </w:rPr>
      </w:pPr>
    </w:p>
    <w:p w:rsidR="00F357B5" w:rsidRPr="00F357B5" w:rsidRDefault="00F357B5" w:rsidP="00F357B5">
      <w:pPr>
        <w:numPr>
          <w:ilvl w:val="1"/>
          <w:numId w:val="31"/>
        </w:numPr>
        <w:spacing w:after="0" w:line="240" w:lineRule="auto"/>
        <w:ind w:left="567" w:hanging="567"/>
        <w:rPr>
          <w:rFonts w:eastAsia="Calibri" w:cs="Arial"/>
          <w:lang w:eastAsia="en-GB"/>
        </w:rPr>
      </w:pPr>
      <w:r w:rsidRPr="00F357B5">
        <w:rPr>
          <w:rFonts w:eastAsia="Calibri" w:cs="Arial"/>
          <w:lang w:eastAsia="en-GB"/>
        </w:rPr>
        <w:t>All panel members will have their expenses reimbursed in accordance with the current version of the “Reimbursement of HRA Committee Members Expenses” policy.</w:t>
      </w:r>
    </w:p>
    <w:p w:rsidR="00F357B5" w:rsidRPr="00F357B5" w:rsidRDefault="00F357B5" w:rsidP="00F357B5">
      <w:pPr>
        <w:spacing w:after="0" w:line="240" w:lineRule="auto"/>
        <w:ind w:left="567"/>
        <w:rPr>
          <w:rFonts w:eastAsia="Calibri" w:cs="Arial"/>
          <w:lang w:eastAsia="en-GB"/>
        </w:rPr>
      </w:pPr>
    </w:p>
    <w:p w:rsidR="00F357B5" w:rsidRPr="00F357B5" w:rsidRDefault="00F357B5" w:rsidP="00F357B5">
      <w:pPr>
        <w:keepNext/>
        <w:numPr>
          <w:ilvl w:val="0"/>
          <w:numId w:val="31"/>
        </w:numPr>
        <w:shd w:val="pct12" w:color="auto" w:fill="auto"/>
        <w:suppressAutoHyphens/>
        <w:spacing w:after="0" w:line="240" w:lineRule="auto"/>
        <w:jc w:val="both"/>
        <w:outlineLvl w:val="2"/>
        <w:rPr>
          <w:rFonts w:eastAsia="Calibri" w:cs="Arial"/>
          <w:b/>
          <w:lang w:eastAsia="en-GB"/>
        </w:rPr>
      </w:pPr>
      <w:r w:rsidRPr="00F357B5">
        <w:rPr>
          <w:rFonts w:eastAsia="Calibri" w:cs="Arial"/>
          <w:b/>
          <w:lang w:eastAsia="en-GB"/>
        </w:rPr>
        <w:t>Review</w:t>
      </w:r>
    </w:p>
    <w:p w:rsidR="00F357B5" w:rsidRPr="00F357B5" w:rsidRDefault="00F357B5" w:rsidP="00F357B5">
      <w:pPr>
        <w:spacing w:after="0" w:line="240" w:lineRule="auto"/>
        <w:rPr>
          <w:rFonts w:cs="Arial"/>
          <w:color w:val="000000"/>
          <w:lang w:eastAsia="en-GB"/>
        </w:rPr>
      </w:pPr>
    </w:p>
    <w:p w:rsidR="00AF225E" w:rsidRPr="00F357B5" w:rsidRDefault="00F357B5" w:rsidP="00AF225E">
      <w:pPr>
        <w:numPr>
          <w:ilvl w:val="1"/>
          <w:numId w:val="31"/>
        </w:numPr>
        <w:spacing w:after="0" w:line="240" w:lineRule="auto"/>
        <w:ind w:left="567" w:hanging="567"/>
        <w:rPr>
          <w:rFonts w:cs="Arial"/>
          <w:color w:val="000000"/>
          <w:lang w:eastAsia="en-GB"/>
        </w:rPr>
      </w:pPr>
      <w:r w:rsidRPr="00F357B5">
        <w:rPr>
          <w:rFonts w:cs="Arial"/>
          <w:color w:val="000000"/>
          <w:lang w:eastAsia="en-GB"/>
        </w:rPr>
        <w:t>These Terms of Reference should be reviewed at least annually.</w:t>
      </w:r>
    </w:p>
    <w:sectPr w:rsidR="00AF225E" w:rsidRPr="00F357B5" w:rsidSect="00EF44F9">
      <w:headerReference w:type="default" r:id="rId34"/>
      <w:footerReference w:type="default" r:id="rId35"/>
      <w:headerReference w:type="first" r:id="rId36"/>
      <w:footerReference w:type="first" r:id="rId37"/>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2D" w:rsidRDefault="00CF342D" w:rsidP="00BA2334">
      <w:pPr>
        <w:spacing w:after="0" w:line="240" w:lineRule="auto"/>
      </w:pPr>
      <w:r>
        <w:separator/>
      </w:r>
    </w:p>
  </w:endnote>
  <w:endnote w:type="continuationSeparator" w:id="0">
    <w:p w:rsidR="00CF342D" w:rsidRDefault="00CF342D" w:rsidP="00BA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08735766"/>
      <w:docPartObj>
        <w:docPartGallery w:val="Page Numbers (Bottom of Page)"/>
        <w:docPartUnique/>
      </w:docPartObj>
    </w:sdtPr>
    <w:sdtEndPr/>
    <w:sdtContent>
      <w:p w:rsidR="00CF342D" w:rsidRPr="00A218AE" w:rsidRDefault="00CF342D" w:rsidP="00A218AE">
        <w:pPr>
          <w:pStyle w:val="Footer"/>
          <w:jc w:val="right"/>
          <w:rPr>
            <w:sz w:val="18"/>
            <w:szCs w:val="18"/>
          </w:rPr>
        </w:pPr>
        <w:r>
          <w:rPr>
            <w:sz w:val="18"/>
            <w:szCs w:val="18"/>
          </w:rPr>
          <w:t>NREAP: HRA Board Update 2014/15</w:t>
        </w:r>
        <w:r w:rsidRPr="00A218AE">
          <w:rPr>
            <w:sz w:val="18"/>
            <w:szCs w:val="18"/>
          </w:rPr>
          <w:t xml:space="preserve"> v1.0 </w:t>
        </w:r>
        <w:r>
          <w:rPr>
            <w:sz w:val="18"/>
            <w:szCs w:val="18"/>
          </w:rPr>
          <w:t>July 2015</w:t>
        </w:r>
        <w:r w:rsidRPr="00A218AE">
          <w:rPr>
            <w:sz w:val="18"/>
            <w:szCs w:val="18"/>
          </w:rPr>
          <w:t xml:space="preserve">                                                                           </w:t>
        </w:r>
        <w:r>
          <w:rPr>
            <w:sz w:val="18"/>
            <w:szCs w:val="18"/>
          </w:rPr>
          <w:t xml:space="preserve">              </w:t>
        </w:r>
        <w:r w:rsidRPr="00A218AE">
          <w:rPr>
            <w:sz w:val="18"/>
            <w:szCs w:val="18"/>
          </w:rPr>
          <w:fldChar w:fldCharType="begin"/>
        </w:r>
        <w:r w:rsidRPr="00A218AE">
          <w:rPr>
            <w:sz w:val="18"/>
            <w:szCs w:val="18"/>
          </w:rPr>
          <w:instrText xml:space="preserve"> PAGE   \* MERGEFORMAT </w:instrText>
        </w:r>
        <w:r w:rsidRPr="00A218AE">
          <w:rPr>
            <w:sz w:val="18"/>
            <w:szCs w:val="18"/>
          </w:rPr>
          <w:fldChar w:fldCharType="separate"/>
        </w:r>
        <w:r w:rsidR="00ED1F6A">
          <w:rPr>
            <w:noProof/>
            <w:sz w:val="18"/>
            <w:szCs w:val="18"/>
          </w:rPr>
          <w:t>15</w:t>
        </w:r>
        <w:r w:rsidRPr="00A218AE">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651353"/>
      <w:docPartObj>
        <w:docPartGallery w:val="Page Numbers (Bottom of Page)"/>
        <w:docPartUnique/>
      </w:docPartObj>
    </w:sdtPr>
    <w:sdtEndPr>
      <w:rPr>
        <w:noProof/>
      </w:rPr>
    </w:sdtEndPr>
    <w:sdtContent>
      <w:p w:rsidR="00CF342D" w:rsidRDefault="00CF342D" w:rsidP="00AC3CAD">
        <w:pPr>
          <w:pStyle w:val="Footer"/>
          <w:jc w:val="right"/>
        </w:pPr>
        <w:r>
          <w:rPr>
            <w:sz w:val="18"/>
            <w:szCs w:val="18"/>
          </w:rPr>
          <w:t>NREAP: HRA Board Update 2014/15 v1.0 March 2015</w:t>
        </w:r>
        <w:r w:rsidRPr="00BE605D">
          <w:rPr>
            <w:sz w:val="18"/>
            <w:szCs w:val="18"/>
          </w:rPr>
          <w:t xml:space="preserve">     </w:t>
        </w:r>
        <w:r>
          <w:rPr>
            <w:sz w:val="18"/>
            <w:szCs w:val="18"/>
          </w:rPr>
          <w:t xml:space="preserve">                                                      </w:t>
        </w:r>
        <w:r w:rsidRPr="00BE605D">
          <w:rPr>
            <w:sz w:val="18"/>
            <w:szCs w:val="18"/>
          </w:rPr>
          <w:t xml:space="preserve">         </w:t>
        </w:r>
        <w:r>
          <w:rPr>
            <w:sz w:val="18"/>
            <w:szCs w:val="18"/>
          </w:rPr>
          <w:t xml:space="preserve">       </w:t>
        </w:r>
        <w:r w:rsidRPr="00BE605D">
          <w:rPr>
            <w:sz w:val="18"/>
            <w:szCs w:val="18"/>
          </w:rPr>
          <w:t xml:space="preserve">                </w:t>
        </w:r>
        <w:r w:rsidRPr="00BE605D">
          <w:rPr>
            <w:sz w:val="18"/>
            <w:szCs w:val="18"/>
          </w:rPr>
          <w:fldChar w:fldCharType="begin"/>
        </w:r>
        <w:r w:rsidRPr="00BE605D">
          <w:rPr>
            <w:sz w:val="18"/>
            <w:szCs w:val="18"/>
          </w:rPr>
          <w:instrText xml:space="preserve"> PAGE   \* MERGEFORMAT </w:instrText>
        </w:r>
        <w:r w:rsidRPr="00BE605D">
          <w:rPr>
            <w:sz w:val="18"/>
            <w:szCs w:val="18"/>
          </w:rPr>
          <w:fldChar w:fldCharType="separate"/>
        </w:r>
        <w:r w:rsidR="00ED1F6A">
          <w:rPr>
            <w:noProof/>
            <w:sz w:val="18"/>
            <w:szCs w:val="18"/>
          </w:rPr>
          <w:t>1</w:t>
        </w:r>
        <w:r w:rsidRPr="00BE605D">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2D" w:rsidRDefault="00CF342D" w:rsidP="00BA2334">
      <w:pPr>
        <w:spacing w:after="0" w:line="240" w:lineRule="auto"/>
      </w:pPr>
      <w:r>
        <w:separator/>
      </w:r>
    </w:p>
  </w:footnote>
  <w:footnote w:type="continuationSeparator" w:id="0">
    <w:p w:rsidR="00CF342D" w:rsidRDefault="00CF342D" w:rsidP="00BA2334">
      <w:pPr>
        <w:spacing w:after="0" w:line="240" w:lineRule="auto"/>
      </w:pPr>
      <w:r>
        <w:continuationSeparator/>
      </w:r>
    </w:p>
  </w:footnote>
  <w:footnote w:id="1">
    <w:p w:rsidR="00F357B5" w:rsidRPr="0086070C" w:rsidRDefault="00F357B5" w:rsidP="00F357B5">
      <w:pPr>
        <w:pStyle w:val="FootnoteText"/>
        <w:rPr>
          <w:rFonts w:cs="Arial"/>
        </w:rPr>
      </w:pPr>
      <w:r w:rsidRPr="0086070C">
        <w:rPr>
          <w:rStyle w:val="FootnoteReference"/>
          <w:rFonts w:cs="Arial"/>
        </w:rPr>
        <w:footnoteRef/>
      </w:r>
      <w:r w:rsidRPr="0086070C">
        <w:rPr>
          <w:rFonts w:cs="Arial"/>
        </w:rPr>
        <w:t xml:space="preserve"> N.B. Whilst the Health Research Authority Directions 2011 apply only in England (by virtue of section 271 of the National Health Service Act 2006) NREAP, appointed by UKECA, will continue to be a resource available to all RECs funded by the UK Health Departments within England, Wales, Scotland and Northern Ireland.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2D" w:rsidRDefault="00CF342D" w:rsidP="004A1ED1">
    <w:pPr>
      <w:pStyle w:val="Header"/>
      <w:jc w:val="right"/>
    </w:pPr>
  </w:p>
  <w:p w:rsidR="00CF342D" w:rsidRDefault="00CF342D" w:rsidP="004A1ED1">
    <w:pPr>
      <w:pStyle w:val="Header"/>
      <w:jc w:val="right"/>
    </w:pPr>
  </w:p>
  <w:p w:rsidR="00CF342D" w:rsidRDefault="00CF342D" w:rsidP="004A1ED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2D" w:rsidRDefault="00CF342D" w:rsidP="00A94E52">
    <w:pPr>
      <w:pStyle w:val="Header"/>
      <w:jc w:val="right"/>
    </w:pPr>
    <w:r>
      <w:rPr>
        <w:rFonts w:ascii="Times New Roman" w:hAnsi="Times New Roman"/>
        <w:b/>
        <w:noProof/>
        <w:sz w:val="24"/>
        <w:szCs w:val="24"/>
        <w:lang w:eastAsia="en-GB"/>
      </w:rPr>
      <w:drawing>
        <wp:inline distT="0" distB="0" distL="0" distR="0" wp14:anchorId="203D6215" wp14:editId="6DE8708E">
          <wp:extent cx="2743200" cy="542925"/>
          <wp:effectExtent l="0" t="0" r="0" b="9525"/>
          <wp:docPr id="1" name="Picture 1" descr="Description: 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lth Research Authority Nat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42925"/>
                  </a:xfrm>
                  <a:prstGeom prst="rect">
                    <a:avLst/>
                  </a:prstGeom>
                  <a:noFill/>
                  <a:ln>
                    <a:noFill/>
                  </a:ln>
                </pic:spPr>
              </pic:pic>
            </a:graphicData>
          </a:graphic>
        </wp:inline>
      </w:drawing>
    </w:r>
  </w:p>
  <w:p w:rsidR="00CF342D" w:rsidRDefault="00CF342D" w:rsidP="00A94E52">
    <w:pPr>
      <w:pStyle w:val="Header"/>
      <w:jc w:val="right"/>
    </w:pPr>
  </w:p>
  <w:p w:rsidR="00CF342D" w:rsidRDefault="00CF342D" w:rsidP="00A94E5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25244DD"/>
    <w:multiLevelType w:val="hybridMultilevel"/>
    <w:tmpl w:val="3AF06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C2613C"/>
    <w:multiLevelType w:val="hybridMultilevel"/>
    <w:tmpl w:val="6B8AEC5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070E04"/>
    <w:multiLevelType w:val="hybridMultilevel"/>
    <w:tmpl w:val="6116D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E1744"/>
    <w:multiLevelType w:val="hybridMultilevel"/>
    <w:tmpl w:val="929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30737"/>
    <w:multiLevelType w:val="multilevel"/>
    <w:tmpl w:val="4976BF3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C2010B"/>
    <w:multiLevelType w:val="hybridMultilevel"/>
    <w:tmpl w:val="56F4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B4FCA"/>
    <w:multiLevelType w:val="hybridMultilevel"/>
    <w:tmpl w:val="5A9A419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16B67191"/>
    <w:multiLevelType w:val="hybridMultilevel"/>
    <w:tmpl w:val="890C3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AE7D9D"/>
    <w:multiLevelType w:val="hybridMultilevel"/>
    <w:tmpl w:val="96A0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EC4A15"/>
    <w:multiLevelType w:val="hybridMultilevel"/>
    <w:tmpl w:val="7434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C5D4F"/>
    <w:multiLevelType w:val="hybridMultilevel"/>
    <w:tmpl w:val="B5EE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6D2A65"/>
    <w:multiLevelType w:val="hybridMultilevel"/>
    <w:tmpl w:val="4E14AA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EE2082"/>
    <w:multiLevelType w:val="hybridMultilevel"/>
    <w:tmpl w:val="9306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B4F1E"/>
    <w:multiLevelType w:val="hybridMultilevel"/>
    <w:tmpl w:val="D5FE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7A3956"/>
    <w:multiLevelType w:val="hybridMultilevel"/>
    <w:tmpl w:val="C25CB51A"/>
    <w:lvl w:ilvl="0" w:tplc="0809000F">
      <w:start w:val="1"/>
      <w:numFmt w:val="decimal"/>
      <w:lvlText w:val="%1."/>
      <w:lvlJc w:val="left"/>
      <w:pPr>
        <w:ind w:left="2880" w:hanging="360"/>
      </w:pPr>
      <w:rPr>
        <w:rFont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43210411"/>
    <w:multiLevelType w:val="hybridMultilevel"/>
    <w:tmpl w:val="5B24E72C"/>
    <w:lvl w:ilvl="0" w:tplc="7BEA5606">
      <w:start w:val="1"/>
      <w:numFmt w:val="decimal"/>
      <w:lvlText w:val="%1."/>
      <w:lvlJc w:val="left"/>
      <w:pPr>
        <w:tabs>
          <w:tab w:val="num" w:pos="360"/>
        </w:tabs>
        <w:ind w:left="360" w:hanging="360"/>
      </w:pPr>
      <w:rPr>
        <w:rFonts w:cs="Times New Roman" w:hint="default"/>
        <w:b w:val="0"/>
        <w:i w:val="0"/>
      </w:rPr>
    </w:lvl>
    <w:lvl w:ilvl="1" w:tplc="04090001">
      <w:start w:val="1"/>
      <w:numFmt w:val="bullet"/>
      <w:lvlText w:val=""/>
      <w:lvlJc w:val="left"/>
      <w:pPr>
        <w:tabs>
          <w:tab w:val="num" w:pos="1220"/>
        </w:tabs>
        <w:ind w:left="1220" w:hanging="360"/>
      </w:pPr>
      <w:rPr>
        <w:rFonts w:ascii="Symbol" w:hAnsi="Symbol" w:hint="default"/>
        <w:b w:val="0"/>
        <w:i w:val="0"/>
      </w:rPr>
    </w:lvl>
    <w:lvl w:ilvl="2" w:tplc="0809001B">
      <w:start w:val="1"/>
      <w:numFmt w:val="lowerRoman"/>
      <w:lvlText w:val="%3."/>
      <w:lvlJc w:val="right"/>
      <w:pPr>
        <w:tabs>
          <w:tab w:val="num" w:pos="1940"/>
        </w:tabs>
        <w:ind w:left="1940" w:hanging="180"/>
      </w:pPr>
      <w:rPr>
        <w:rFonts w:cs="Times New Roman"/>
      </w:rPr>
    </w:lvl>
    <w:lvl w:ilvl="3" w:tplc="0809000F">
      <w:start w:val="1"/>
      <w:numFmt w:val="decimal"/>
      <w:lvlText w:val="%4."/>
      <w:lvlJc w:val="left"/>
      <w:pPr>
        <w:tabs>
          <w:tab w:val="num" w:pos="2660"/>
        </w:tabs>
        <w:ind w:left="2660" w:hanging="360"/>
      </w:pPr>
      <w:rPr>
        <w:rFonts w:cs="Times New Roman"/>
      </w:rPr>
    </w:lvl>
    <w:lvl w:ilvl="4" w:tplc="08090019">
      <w:start w:val="1"/>
      <w:numFmt w:val="lowerLetter"/>
      <w:lvlText w:val="%5."/>
      <w:lvlJc w:val="left"/>
      <w:pPr>
        <w:tabs>
          <w:tab w:val="num" w:pos="3380"/>
        </w:tabs>
        <w:ind w:left="3380" w:hanging="360"/>
      </w:pPr>
      <w:rPr>
        <w:rFonts w:cs="Times New Roman"/>
      </w:rPr>
    </w:lvl>
    <w:lvl w:ilvl="5" w:tplc="0809001B">
      <w:start w:val="1"/>
      <w:numFmt w:val="lowerRoman"/>
      <w:lvlText w:val="%6."/>
      <w:lvlJc w:val="right"/>
      <w:pPr>
        <w:tabs>
          <w:tab w:val="num" w:pos="4100"/>
        </w:tabs>
        <w:ind w:left="4100" w:hanging="180"/>
      </w:pPr>
      <w:rPr>
        <w:rFonts w:cs="Times New Roman"/>
      </w:rPr>
    </w:lvl>
    <w:lvl w:ilvl="6" w:tplc="0809000F">
      <w:start w:val="1"/>
      <w:numFmt w:val="decimal"/>
      <w:lvlText w:val="%7."/>
      <w:lvlJc w:val="left"/>
      <w:pPr>
        <w:tabs>
          <w:tab w:val="num" w:pos="4820"/>
        </w:tabs>
        <w:ind w:left="4820" w:hanging="360"/>
      </w:pPr>
      <w:rPr>
        <w:rFonts w:cs="Times New Roman"/>
      </w:rPr>
    </w:lvl>
    <w:lvl w:ilvl="7" w:tplc="08090019">
      <w:start w:val="1"/>
      <w:numFmt w:val="lowerLetter"/>
      <w:lvlText w:val="%8."/>
      <w:lvlJc w:val="left"/>
      <w:pPr>
        <w:tabs>
          <w:tab w:val="num" w:pos="5540"/>
        </w:tabs>
        <w:ind w:left="5540" w:hanging="360"/>
      </w:pPr>
      <w:rPr>
        <w:rFonts w:cs="Times New Roman"/>
      </w:rPr>
    </w:lvl>
    <w:lvl w:ilvl="8" w:tplc="0809001B">
      <w:start w:val="1"/>
      <w:numFmt w:val="lowerRoman"/>
      <w:lvlText w:val="%9."/>
      <w:lvlJc w:val="right"/>
      <w:pPr>
        <w:tabs>
          <w:tab w:val="num" w:pos="6260"/>
        </w:tabs>
        <w:ind w:left="6260" w:hanging="180"/>
      </w:pPr>
      <w:rPr>
        <w:rFonts w:cs="Times New Roman"/>
      </w:rPr>
    </w:lvl>
  </w:abstractNum>
  <w:abstractNum w:abstractNumId="16">
    <w:nsid w:val="457C6A14"/>
    <w:multiLevelType w:val="hybridMultilevel"/>
    <w:tmpl w:val="3B8A7724"/>
    <w:lvl w:ilvl="0" w:tplc="3E1882E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B16071"/>
    <w:multiLevelType w:val="hybridMultilevel"/>
    <w:tmpl w:val="34A2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B61A1B"/>
    <w:multiLevelType w:val="hybridMultilevel"/>
    <w:tmpl w:val="188A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F47751"/>
    <w:multiLevelType w:val="hybridMultilevel"/>
    <w:tmpl w:val="7098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C831A1"/>
    <w:multiLevelType w:val="hybridMultilevel"/>
    <w:tmpl w:val="72B0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C791A"/>
    <w:multiLevelType w:val="hybridMultilevel"/>
    <w:tmpl w:val="518A8C0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nsid w:val="54D40BEF"/>
    <w:multiLevelType w:val="hybridMultilevel"/>
    <w:tmpl w:val="FED28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3F13DC"/>
    <w:multiLevelType w:val="hybridMultilevel"/>
    <w:tmpl w:val="3D705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9473A3D"/>
    <w:multiLevelType w:val="hybridMultilevel"/>
    <w:tmpl w:val="EFCC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5B340B"/>
    <w:multiLevelType w:val="hybridMultilevel"/>
    <w:tmpl w:val="AD70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221080"/>
    <w:multiLevelType w:val="hybridMultilevel"/>
    <w:tmpl w:val="742C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6A21F5"/>
    <w:multiLevelType w:val="hybridMultilevel"/>
    <w:tmpl w:val="EE4A4D62"/>
    <w:lvl w:ilvl="0" w:tplc="760656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1D575E3"/>
    <w:multiLevelType w:val="hybridMultilevel"/>
    <w:tmpl w:val="B33CB694"/>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6A37136D"/>
    <w:multiLevelType w:val="hybridMultilevel"/>
    <w:tmpl w:val="D4F4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D245FC"/>
    <w:multiLevelType w:val="hybridMultilevel"/>
    <w:tmpl w:val="2D580DE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1">
    <w:nsid w:val="6F8B01F6"/>
    <w:multiLevelType w:val="hybridMultilevel"/>
    <w:tmpl w:val="F30A60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nsid w:val="72F16167"/>
    <w:multiLevelType w:val="multilevel"/>
    <w:tmpl w:val="D25218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45E78E8"/>
    <w:multiLevelType w:val="hybridMultilevel"/>
    <w:tmpl w:val="C6566468"/>
    <w:lvl w:ilvl="0" w:tplc="537E66D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5"/>
  </w:num>
  <w:num w:numId="5">
    <w:abstractNumId w:val="9"/>
  </w:num>
  <w:num w:numId="6">
    <w:abstractNumId w:val="20"/>
  </w:num>
  <w:num w:numId="7">
    <w:abstractNumId w:val="3"/>
  </w:num>
  <w:num w:numId="8">
    <w:abstractNumId w:val="7"/>
  </w:num>
  <w:num w:numId="9">
    <w:abstractNumId w:val="1"/>
  </w:num>
  <w:num w:numId="10">
    <w:abstractNumId w:val="27"/>
  </w:num>
  <w:num w:numId="11">
    <w:abstractNumId w:val="4"/>
  </w:num>
  <w:num w:numId="12">
    <w:abstractNumId w:val="24"/>
  </w:num>
  <w:num w:numId="13">
    <w:abstractNumId w:val="19"/>
  </w:num>
  <w:num w:numId="14">
    <w:abstractNumId w:val="5"/>
  </w:num>
  <w:num w:numId="15">
    <w:abstractNumId w:val="21"/>
  </w:num>
  <w:num w:numId="16">
    <w:abstractNumId w:val="2"/>
  </w:num>
  <w:num w:numId="17">
    <w:abstractNumId w:val="14"/>
  </w:num>
  <w:num w:numId="18">
    <w:abstractNumId w:val="6"/>
  </w:num>
  <w:num w:numId="19">
    <w:abstractNumId w:val="12"/>
  </w:num>
  <w:num w:numId="20">
    <w:abstractNumId w:val="10"/>
  </w:num>
  <w:num w:numId="21">
    <w:abstractNumId w:val="29"/>
  </w:num>
  <w:num w:numId="22">
    <w:abstractNumId w:val="31"/>
  </w:num>
  <w:num w:numId="23">
    <w:abstractNumId w:val="18"/>
  </w:num>
  <w:num w:numId="24">
    <w:abstractNumId w:val="8"/>
  </w:num>
  <w:num w:numId="25">
    <w:abstractNumId w:val="26"/>
  </w:num>
  <w:num w:numId="26">
    <w:abstractNumId w:val="25"/>
  </w:num>
  <w:num w:numId="27">
    <w:abstractNumId w:val="17"/>
  </w:num>
  <w:num w:numId="28">
    <w:abstractNumId w:val="30"/>
  </w:num>
  <w:num w:numId="29">
    <w:abstractNumId w:val="13"/>
  </w:num>
  <w:num w:numId="30">
    <w:abstractNumId w:val="28"/>
  </w:num>
  <w:num w:numId="31">
    <w:abstractNumId w:val="32"/>
  </w:num>
  <w:num w:numId="32">
    <w:abstractNumId w:val="22"/>
  </w:num>
  <w:num w:numId="33">
    <w:abstractNumId w:val="33"/>
  </w:num>
  <w:num w:numId="34">
    <w:abstractNumId w:val="33"/>
  </w:num>
  <w:num w:numId="35">
    <w:abstractNumId w:val="33"/>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33"/>
    <w:rsid w:val="00000DF3"/>
    <w:rsid w:val="00002778"/>
    <w:rsid w:val="0000676D"/>
    <w:rsid w:val="00007B39"/>
    <w:rsid w:val="0002275F"/>
    <w:rsid w:val="00025CE6"/>
    <w:rsid w:val="00052D27"/>
    <w:rsid w:val="000550FA"/>
    <w:rsid w:val="00085ED1"/>
    <w:rsid w:val="000918B9"/>
    <w:rsid w:val="000920F7"/>
    <w:rsid w:val="000A035E"/>
    <w:rsid w:val="000A47FD"/>
    <w:rsid w:val="000A5DAC"/>
    <w:rsid w:val="000C16E2"/>
    <w:rsid w:val="000C30A6"/>
    <w:rsid w:val="000D2F9C"/>
    <w:rsid w:val="000D2FA1"/>
    <w:rsid w:val="000D71B9"/>
    <w:rsid w:val="000F257C"/>
    <w:rsid w:val="000F2C1E"/>
    <w:rsid w:val="00113F23"/>
    <w:rsid w:val="00115B74"/>
    <w:rsid w:val="00124F8B"/>
    <w:rsid w:val="001331DF"/>
    <w:rsid w:val="00133DA2"/>
    <w:rsid w:val="0014464B"/>
    <w:rsid w:val="0014605F"/>
    <w:rsid w:val="00161856"/>
    <w:rsid w:val="00163F6C"/>
    <w:rsid w:val="001674FA"/>
    <w:rsid w:val="00176351"/>
    <w:rsid w:val="001820B4"/>
    <w:rsid w:val="001851B3"/>
    <w:rsid w:val="00191480"/>
    <w:rsid w:val="0019273F"/>
    <w:rsid w:val="00192F08"/>
    <w:rsid w:val="00193256"/>
    <w:rsid w:val="00193D9D"/>
    <w:rsid w:val="00194260"/>
    <w:rsid w:val="001A1E4A"/>
    <w:rsid w:val="001B4B71"/>
    <w:rsid w:val="001C1C43"/>
    <w:rsid w:val="001C571A"/>
    <w:rsid w:val="001E54B9"/>
    <w:rsid w:val="001E6435"/>
    <w:rsid w:val="001F150B"/>
    <w:rsid w:val="00207646"/>
    <w:rsid w:val="0021264B"/>
    <w:rsid w:val="0021496E"/>
    <w:rsid w:val="0021535F"/>
    <w:rsid w:val="00217B46"/>
    <w:rsid w:val="00220345"/>
    <w:rsid w:val="002512ED"/>
    <w:rsid w:val="00252102"/>
    <w:rsid w:val="002565E2"/>
    <w:rsid w:val="00263371"/>
    <w:rsid w:val="00264BD0"/>
    <w:rsid w:val="00272DEA"/>
    <w:rsid w:val="00283977"/>
    <w:rsid w:val="00292008"/>
    <w:rsid w:val="002920FF"/>
    <w:rsid w:val="00294036"/>
    <w:rsid w:val="002A0BEC"/>
    <w:rsid w:val="002A2DB1"/>
    <w:rsid w:val="002A573B"/>
    <w:rsid w:val="002B2C8C"/>
    <w:rsid w:val="002D73B8"/>
    <w:rsid w:val="002D7DEC"/>
    <w:rsid w:val="002F5403"/>
    <w:rsid w:val="0032314B"/>
    <w:rsid w:val="00323AD7"/>
    <w:rsid w:val="0032790E"/>
    <w:rsid w:val="00337622"/>
    <w:rsid w:val="003426B1"/>
    <w:rsid w:val="00364991"/>
    <w:rsid w:val="00366C07"/>
    <w:rsid w:val="00377EB2"/>
    <w:rsid w:val="00377F3B"/>
    <w:rsid w:val="0038056B"/>
    <w:rsid w:val="0038736D"/>
    <w:rsid w:val="0039069B"/>
    <w:rsid w:val="003973CE"/>
    <w:rsid w:val="003A0908"/>
    <w:rsid w:val="003B2B52"/>
    <w:rsid w:val="003B3086"/>
    <w:rsid w:val="003B5232"/>
    <w:rsid w:val="003C648F"/>
    <w:rsid w:val="00406DDB"/>
    <w:rsid w:val="004138EB"/>
    <w:rsid w:val="00416B13"/>
    <w:rsid w:val="00421214"/>
    <w:rsid w:val="00431CB8"/>
    <w:rsid w:val="004368F0"/>
    <w:rsid w:val="0044601C"/>
    <w:rsid w:val="004575F5"/>
    <w:rsid w:val="00465D61"/>
    <w:rsid w:val="00466098"/>
    <w:rsid w:val="00480BF1"/>
    <w:rsid w:val="004823CC"/>
    <w:rsid w:val="0048410B"/>
    <w:rsid w:val="0048497C"/>
    <w:rsid w:val="004904AE"/>
    <w:rsid w:val="004A1ED1"/>
    <w:rsid w:val="004A2F2E"/>
    <w:rsid w:val="004A4714"/>
    <w:rsid w:val="004A6313"/>
    <w:rsid w:val="004B1858"/>
    <w:rsid w:val="004B74B4"/>
    <w:rsid w:val="004C0A0A"/>
    <w:rsid w:val="004C175E"/>
    <w:rsid w:val="004C2124"/>
    <w:rsid w:val="004D147D"/>
    <w:rsid w:val="004D4698"/>
    <w:rsid w:val="004D7F87"/>
    <w:rsid w:val="004E1E59"/>
    <w:rsid w:val="004E5B2B"/>
    <w:rsid w:val="004E7925"/>
    <w:rsid w:val="004F7EBF"/>
    <w:rsid w:val="00505B24"/>
    <w:rsid w:val="005108A1"/>
    <w:rsid w:val="005236E8"/>
    <w:rsid w:val="00527A5F"/>
    <w:rsid w:val="00541D95"/>
    <w:rsid w:val="00551F78"/>
    <w:rsid w:val="00561CA9"/>
    <w:rsid w:val="00562B7C"/>
    <w:rsid w:val="00562FBC"/>
    <w:rsid w:val="00573B27"/>
    <w:rsid w:val="00574EF9"/>
    <w:rsid w:val="0057586B"/>
    <w:rsid w:val="00585B42"/>
    <w:rsid w:val="005A6345"/>
    <w:rsid w:val="005B0170"/>
    <w:rsid w:val="005C4528"/>
    <w:rsid w:val="005D1F84"/>
    <w:rsid w:val="005D6734"/>
    <w:rsid w:val="00611598"/>
    <w:rsid w:val="006116AD"/>
    <w:rsid w:val="00612325"/>
    <w:rsid w:val="00614F15"/>
    <w:rsid w:val="00617023"/>
    <w:rsid w:val="006222D3"/>
    <w:rsid w:val="006260F9"/>
    <w:rsid w:val="00630B91"/>
    <w:rsid w:val="00634F92"/>
    <w:rsid w:val="006439C7"/>
    <w:rsid w:val="00645669"/>
    <w:rsid w:val="00650C8C"/>
    <w:rsid w:val="00653C10"/>
    <w:rsid w:val="00672D32"/>
    <w:rsid w:val="00674476"/>
    <w:rsid w:val="00675B1D"/>
    <w:rsid w:val="0067779D"/>
    <w:rsid w:val="006832C6"/>
    <w:rsid w:val="0068385A"/>
    <w:rsid w:val="00684B20"/>
    <w:rsid w:val="006877AE"/>
    <w:rsid w:val="00691994"/>
    <w:rsid w:val="006928B7"/>
    <w:rsid w:val="00697285"/>
    <w:rsid w:val="006B1E16"/>
    <w:rsid w:val="006B2E73"/>
    <w:rsid w:val="006B60EB"/>
    <w:rsid w:val="006D7B19"/>
    <w:rsid w:val="006E0DAD"/>
    <w:rsid w:val="006E5B07"/>
    <w:rsid w:val="006E5DD6"/>
    <w:rsid w:val="006F4E4D"/>
    <w:rsid w:val="006F5170"/>
    <w:rsid w:val="006F5768"/>
    <w:rsid w:val="007015B9"/>
    <w:rsid w:val="00704A9F"/>
    <w:rsid w:val="00705037"/>
    <w:rsid w:val="00717589"/>
    <w:rsid w:val="007234D0"/>
    <w:rsid w:val="00733470"/>
    <w:rsid w:val="00750C50"/>
    <w:rsid w:val="00751FF9"/>
    <w:rsid w:val="00760A23"/>
    <w:rsid w:val="007662EC"/>
    <w:rsid w:val="00775777"/>
    <w:rsid w:val="007775CE"/>
    <w:rsid w:val="00785DD0"/>
    <w:rsid w:val="00790B39"/>
    <w:rsid w:val="007916A3"/>
    <w:rsid w:val="007935F6"/>
    <w:rsid w:val="00795CC2"/>
    <w:rsid w:val="00795DF7"/>
    <w:rsid w:val="007966AF"/>
    <w:rsid w:val="007A472B"/>
    <w:rsid w:val="007B1E8E"/>
    <w:rsid w:val="007B658F"/>
    <w:rsid w:val="007C0C18"/>
    <w:rsid w:val="007C3D92"/>
    <w:rsid w:val="007C4A2D"/>
    <w:rsid w:val="007D4DCB"/>
    <w:rsid w:val="007E603D"/>
    <w:rsid w:val="007F63D3"/>
    <w:rsid w:val="007F7707"/>
    <w:rsid w:val="008019AB"/>
    <w:rsid w:val="008019CC"/>
    <w:rsid w:val="00823886"/>
    <w:rsid w:val="008249AA"/>
    <w:rsid w:val="00827D94"/>
    <w:rsid w:val="00832B5E"/>
    <w:rsid w:val="008443C6"/>
    <w:rsid w:val="00845E17"/>
    <w:rsid w:val="008550C3"/>
    <w:rsid w:val="008651C9"/>
    <w:rsid w:val="008655AE"/>
    <w:rsid w:val="008658AC"/>
    <w:rsid w:val="00875B01"/>
    <w:rsid w:val="00883CEC"/>
    <w:rsid w:val="00891596"/>
    <w:rsid w:val="00893D3B"/>
    <w:rsid w:val="00897BFF"/>
    <w:rsid w:val="008A555E"/>
    <w:rsid w:val="008C1A2F"/>
    <w:rsid w:val="008C2004"/>
    <w:rsid w:val="008C22C2"/>
    <w:rsid w:val="008C3151"/>
    <w:rsid w:val="008C5223"/>
    <w:rsid w:val="008E2025"/>
    <w:rsid w:val="008F5072"/>
    <w:rsid w:val="008F6249"/>
    <w:rsid w:val="008F65DF"/>
    <w:rsid w:val="009041AC"/>
    <w:rsid w:val="009073E8"/>
    <w:rsid w:val="00907AA5"/>
    <w:rsid w:val="00911953"/>
    <w:rsid w:val="00915133"/>
    <w:rsid w:val="009341E3"/>
    <w:rsid w:val="00942076"/>
    <w:rsid w:val="009444B9"/>
    <w:rsid w:val="00947708"/>
    <w:rsid w:val="0096264B"/>
    <w:rsid w:val="00963A9A"/>
    <w:rsid w:val="00963E7D"/>
    <w:rsid w:val="009863CA"/>
    <w:rsid w:val="00994BA7"/>
    <w:rsid w:val="009A10F1"/>
    <w:rsid w:val="009A2CD7"/>
    <w:rsid w:val="009A3A82"/>
    <w:rsid w:val="009B3381"/>
    <w:rsid w:val="009B35EB"/>
    <w:rsid w:val="009B74ED"/>
    <w:rsid w:val="009B7634"/>
    <w:rsid w:val="009C0E31"/>
    <w:rsid w:val="009C1A98"/>
    <w:rsid w:val="009C2185"/>
    <w:rsid w:val="009C5C83"/>
    <w:rsid w:val="009D0409"/>
    <w:rsid w:val="009D06C7"/>
    <w:rsid w:val="009E24A9"/>
    <w:rsid w:val="009E7704"/>
    <w:rsid w:val="009F2ADA"/>
    <w:rsid w:val="009F4289"/>
    <w:rsid w:val="00A059C2"/>
    <w:rsid w:val="00A0632B"/>
    <w:rsid w:val="00A12758"/>
    <w:rsid w:val="00A1432D"/>
    <w:rsid w:val="00A218AE"/>
    <w:rsid w:val="00A23220"/>
    <w:rsid w:val="00A35CF8"/>
    <w:rsid w:val="00A3603A"/>
    <w:rsid w:val="00A406E9"/>
    <w:rsid w:val="00A453D5"/>
    <w:rsid w:val="00A53C67"/>
    <w:rsid w:val="00A55A9C"/>
    <w:rsid w:val="00A72E63"/>
    <w:rsid w:val="00A73F82"/>
    <w:rsid w:val="00A74458"/>
    <w:rsid w:val="00A82151"/>
    <w:rsid w:val="00A84217"/>
    <w:rsid w:val="00A84A30"/>
    <w:rsid w:val="00A91210"/>
    <w:rsid w:val="00A91EBA"/>
    <w:rsid w:val="00A94E52"/>
    <w:rsid w:val="00AA1EAB"/>
    <w:rsid w:val="00AA20F2"/>
    <w:rsid w:val="00AC2C9A"/>
    <w:rsid w:val="00AC3CAD"/>
    <w:rsid w:val="00AC7E2C"/>
    <w:rsid w:val="00AD48B0"/>
    <w:rsid w:val="00AE1F68"/>
    <w:rsid w:val="00AE2B79"/>
    <w:rsid w:val="00AE2E31"/>
    <w:rsid w:val="00AF0215"/>
    <w:rsid w:val="00AF1375"/>
    <w:rsid w:val="00AF225E"/>
    <w:rsid w:val="00AF2A56"/>
    <w:rsid w:val="00AF4701"/>
    <w:rsid w:val="00AF4DFE"/>
    <w:rsid w:val="00B00832"/>
    <w:rsid w:val="00B00A22"/>
    <w:rsid w:val="00B0536E"/>
    <w:rsid w:val="00B115B1"/>
    <w:rsid w:val="00B17DEE"/>
    <w:rsid w:val="00B265DB"/>
    <w:rsid w:val="00B30AB3"/>
    <w:rsid w:val="00B375B0"/>
    <w:rsid w:val="00B429AA"/>
    <w:rsid w:val="00B44B78"/>
    <w:rsid w:val="00B4686C"/>
    <w:rsid w:val="00B530DF"/>
    <w:rsid w:val="00B6389C"/>
    <w:rsid w:val="00B823D0"/>
    <w:rsid w:val="00B8460A"/>
    <w:rsid w:val="00B90504"/>
    <w:rsid w:val="00B9316E"/>
    <w:rsid w:val="00BA0F6E"/>
    <w:rsid w:val="00BA151F"/>
    <w:rsid w:val="00BA2334"/>
    <w:rsid w:val="00BB241F"/>
    <w:rsid w:val="00BC57C7"/>
    <w:rsid w:val="00BD6EA6"/>
    <w:rsid w:val="00BE094E"/>
    <w:rsid w:val="00BE605D"/>
    <w:rsid w:val="00BF3BC5"/>
    <w:rsid w:val="00BF680C"/>
    <w:rsid w:val="00BF755A"/>
    <w:rsid w:val="00C00529"/>
    <w:rsid w:val="00C021E3"/>
    <w:rsid w:val="00C02A55"/>
    <w:rsid w:val="00C04EEB"/>
    <w:rsid w:val="00C11521"/>
    <w:rsid w:val="00C122E4"/>
    <w:rsid w:val="00C15D37"/>
    <w:rsid w:val="00C20761"/>
    <w:rsid w:val="00C30557"/>
    <w:rsid w:val="00C34D53"/>
    <w:rsid w:val="00C41533"/>
    <w:rsid w:val="00C43A76"/>
    <w:rsid w:val="00C47DDC"/>
    <w:rsid w:val="00C55FF2"/>
    <w:rsid w:val="00C62014"/>
    <w:rsid w:val="00C63AF1"/>
    <w:rsid w:val="00C668E6"/>
    <w:rsid w:val="00C72ED5"/>
    <w:rsid w:val="00C77839"/>
    <w:rsid w:val="00C80919"/>
    <w:rsid w:val="00C81AC8"/>
    <w:rsid w:val="00C820E0"/>
    <w:rsid w:val="00C87298"/>
    <w:rsid w:val="00C9053A"/>
    <w:rsid w:val="00C90EE1"/>
    <w:rsid w:val="00C95DFE"/>
    <w:rsid w:val="00CB2135"/>
    <w:rsid w:val="00CC579E"/>
    <w:rsid w:val="00CE0699"/>
    <w:rsid w:val="00CF29A5"/>
    <w:rsid w:val="00CF342D"/>
    <w:rsid w:val="00CF651A"/>
    <w:rsid w:val="00D05E67"/>
    <w:rsid w:val="00D064BD"/>
    <w:rsid w:val="00D2428B"/>
    <w:rsid w:val="00D30681"/>
    <w:rsid w:val="00D3079D"/>
    <w:rsid w:val="00D33EA9"/>
    <w:rsid w:val="00D34B87"/>
    <w:rsid w:val="00D37629"/>
    <w:rsid w:val="00D40259"/>
    <w:rsid w:val="00D41791"/>
    <w:rsid w:val="00D45FA2"/>
    <w:rsid w:val="00D46DA7"/>
    <w:rsid w:val="00D5148E"/>
    <w:rsid w:val="00D61870"/>
    <w:rsid w:val="00D81379"/>
    <w:rsid w:val="00D83FC5"/>
    <w:rsid w:val="00D94C2A"/>
    <w:rsid w:val="00DA08A3"/>
    <w:rsid w:val="00DC4B6C"/>
    <w:rsid w:val="00DC5450"/>
    <w:rsid w:val="00DC7CC5"/>
    <w:rsid w:val="00DD0B84"/>
    <w:rsid w:val="00DD1E58"/>
    <w:rsid w:val="00DD3698"/>
    <w:rsid w:val="00DD531D"/>
    <w:rsid w:val="00DE3C22"/>
    <w:rsid w:val="00DE7A68"/>
    <w:rsid w:val="00DF11F1"/>
    <w:rsid w:val="00E0215F"/>
    <w:rsid w:val="00E02742"/>
    <w:rsid w:val="00E1175E"/>
    <w:rsid w:val="00E15FF8"/>
    <w:rsid w:val="00E16459"/>
    <w:rsid w:val="00E209A8"/>
    <w:rsid w:val="00E27508"/>
    <w:rsid w:val="00E3047C"/>
    <w:rsid w:val="00E32A7B"/>
    <w:rsid w:val="00E44795"/>
    <w:rsid w:val="00E4739A"/>
    <w:rsid w:val="00E51577"/>
    <w:rsid w:val="00E62161"/>
    <w:rsid w:val="00E664B9"/>
    <w:rsid w:val="00E66A5F"/>
    <w:rsid w:val="00E66C65"/>
    <w:rsid w:val="00E673C3"/>
    <w:rsid w:val="00E94C8C"/>
    <w:rsid w:val="00E95BC3"/>
    <w:rsid w:val="00EA021C"/>
    <w:rsid w:val="00EA6303"/>
    <w:rsid w:val="00EA659F"/>
    <w:rsid w:val="00EA796A"/>
    <w:rsid w:val="00EB20C2"/>
    <w:rsid w:val="00EB555B"/>
    <w:rsid w:val="00EB6E1D"/>
    <w:rsid w:val="00EC449F"/>
    <w:rsid w:val="00EC6AD6"/>
    <w:rsid w:val="00EC7262"/>
    <w:rsid w:val="00ED1F6A"/>
    <w:rsid w:val="00ED5435"/>
    <w:rsid w:val="00ED5FEB"/>
    <w:rsid w:val="00EE22C3"/>
    <w:rsid w:val="00EF44F9"/>
    <w:rsid w:val="00EF4BFF"/>
    <w:rsid w:val="00F058EF"/>
    <w:rsid w:val="00F148EC"/>
    <w:rsid w:val="00F16BBE"/>
    <w:rsid w:val="00F2206B"/>
    <w:rsid w:val="00F241C9"/>
    <w:rsid w:val="00F32158"/>
    <w:rsid w:val="00F357B5"/>
    <w:rsid w:val="00F36954"/>
    <w:rsid w:val="00F406C6"/>
    <w:rsid w:val="00F45201"/>
    <w:rsid w:val="00F70033"/>
    <w:rsid w:val="00F758D1"/>
    <w:rsid w:val="00F82279"/>
    <w:rsid w:val="00F83921"/>
    <w:rsid w:val="00F902E5"/>
    <w:rsid w:val="00F931A4"/>
    <w:rsid w:val="00F97A2B"/>
    <w:rsid w:val="00FA47A1"/>
    <w:rsid w:val="00FA5864"/>
    <w:rsid w:val="00FB22E5"/>
    <w:rsid w:val="00FC09E4"/>
    <w:rsid w:val="00FC1989"/>
    <w:rsid w:val="00FC4074"/>
    <w:rsid w:val="00FC5547"/>
    <w:rsid w:val="00FE1C66"/>
    <w:rsid w:val="00FF0BBF"/>
    <w:rsid w:val="00FF4C62"/>
    <w:rsid w:val="00FF5123"/>
    <w:rsid w:val="00FF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7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41533"/>
    <w:rPr>
      <w:b/>
      <w:bCs/>
    </w:rPr>
  </w:style>
  <w:style w:type="paragraph" w:styleId="NormalWeb">
    <w:name w:val="Normal (Web)"/>
    <w:basedOn w:val="Normal"/>
    <w:rsid w:val="00C41533"/>
    <w:pPr>
      <w:spacing w:after="0" w:line="240" w:lineRule="auto"/>
    </w:pPr>
    <w:rPr>
      <w:rFonts w:ascii="Times New Roman" w:hAnsi="Times New Roman"/>
      <w:sz w:val="24"/>
      <w:szCs w:val="24"/>
      <w:lang w:eastAsia="en-GB"/>
    </w:rPr>
  </w:style>
  <w:style w:type="paragraph" w:styleId="ListParagraph">
    <w:name w:val="List Paragraph"/>
    <w:basedOn w:val="Normal"/>
    <w:autoRedefine/>
    <w:uiPriority w:val="34"/>
    <w:qFormat/>
    <w:rsid w:val="006F5170"/>
    <w:pPr>
      <w:numPr>
        <w:numId w:val="33"/>
      </w:numPr>
      <w:shd w:val="clear" w:color="auto" w:fill="D9D9D9" w:themeFill="background1" w:themeFillShade="D9"/>
      <w:spacing w:before="120" w:after="0" w:line="240" w:lineRule="auto"/>
      <w:ind w:left="426" w:hanging="426"/>
    </w:pPr>
    <w:rPr>
      <w:rFonts w:cs="Arial"/>
      <w:b/>
      <w:bCs/>
      <w:sz w:val="28"/>
      <w:szCs w:val="28"/>
    </w:rPr>
  </w:style>
  <w:style w:type="paragraph" w:styleId="FootnoteText">
    <w:name w:val="footnote text"/>
    <w:basedOn w:val="Normal"/>
    <w:link w:val="FootnoteTextChar"/>
    <w:uiPriority w:val="99"/>
    <w:semiHidden/>
    <w:unhideWhenUsed/>
    <w:rsid w:val="00BA2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334"/>
    <w:rPr>
      <w:rFonts w:ascii="Arial" w:eastAsia="Times New Roman" w:hAnsi="Arial" w:cs="Times New Roman"/>
      <w:sz w:val="20"/>
      <w:szCs w:val="20"/>
    </w:rPr>
  </w:style>
  <w:style w:type="character" w:styleId="FootnoteReference">
    <w:name w:val="footnote reference"/>
    <w:rsid w:val="00BA2334"/>
    <w:rPr>
      <w:rFonts w:cs="Times New Roman"/>
      <w:vertAlign w:val="superscript"/>
    </w:rPr>
  </w:style>
  <w:style w:type="character" w:styleId="Hyperlink">
    <w:name w:val="Hyperlink"/>
    <w:rsid w:val="00BA2334"/>
    <w:rPr>
      <w:rFonts w:cs="Times New Roman"/>
      <w:color w:val="0000FF"/>
      <w:u w:val="single"/>
    </w:rPr>
  </w:style>
  <w:style w:type="paragraph" w:styleId="Header">
    <w:name w:val="header"/>
    <w:basedOn w:val="Normal"/>
    <w:link w:val="HeaderChar"/>
    <w:uiPriority w:val="99"/>
    <w:unhideWhenUsed/>
    <w:rsid w:val="004A1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ED1"/>
    <w:rPr>
      <w:rFonts w:ascii="Arial" w:eastAsia="Times New Roman" w:hAnsi="Arial" w:cs="Times New Roman"/>
    </w:rPr>
  </w:style>
  <w:style w:type="paragraph" w:styleId="Footer">
    <w:name w:val="footer"/>
    <w:basedOn w:val="Normal"/>
    <w:link w:val="FooterChar"/>
    <w:uiPriority w:val="99"/>
    <w:unhideWhenUsed/>
    <w:rsid w:val="004A1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ED1"/>
    <w:rPr>
      <w:rFonts w:ascii="Arial" w:eastAsia="Times New Roman" w:hAnsi="Arial" w:cs="Times New Roman"/>
    </w:rPr>
  </w:style>
  <w:style w:type="paragraph" w:styleId="BalloonText">
    <w:name w:val="Balloon Text"/>
    <w:basedOn w:val="Normal"/>
    <w:link w:val="BalloonTextChar"/>
    <w:uiPriority w:val="99"/>
    <w:semiHidden/>
    <w:unhideWhenUsed/>
    <w:rsid w:val="004A1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D1"/>
    <w:rPr>
      <w:rFonts w:ascii="Tahoma" w:eastAsia="Times New Roman" w:hAnsi="Tahoma" w:cs="Tahoma"/>
      <w:sz w:val="16"/>
      <w:szCs w:val="16"/>
    </w:rPr>
  </w:style>
  <w:style w:type="table" w:styleId="TableGrid">
    <w:name w:val="Table Grid"/>
    <w:basedOn w:val="TableNormal"/>
    <w:uiPriority w:val="59"/>
    <w:rsid w:val="003A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2F2E"/>
    <w:rPr>
      <w:color w:val="800080" w:themeColor="followedHyperlink"/>
      <w:u w:val="single"/>
    </w:rPr>
  </w:style>
  <w:style w:type="paragraph" w:styleId="NoSpacing">
    <w:name w:val="No Spacing"/>
    <w:uiPriority w:val="99"/>
    <w:qFormat/>
    <w:rsid w:val="00AF4701"/>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7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41533"/>
    <w:rPr>
      <w:b/>
      <w:bCs/>
    </w:rPr>
  </w:style>
  <w:style w:type="paragraph" w:styleId="NormalWeb">
    <w:name w:val="Normal (Web)"/>
    <w:basedOn w:val="Normal"/>
    <w:rsid w:val="00C41533"/>
    <w:pPr>
      <w:spacing w:after="0" w:line="240" w:lineRule="auto"/>
    </w:pPr>
    <w:rPr>
      <w:rFonts w:ascii="Times New Roman" w:hAnsi="Times New Roman"/>
      <w:sz w:val="24"/>
      <w:szCs w:val="24"/>
      <w:lang w:eastAsia="en-GB"/>
    </w:rPr>
  </w:style>
  <w:style w:type="paragraph" w:styleId="ListParagraph">
    <w:name w:val="List Paragraph"/>
    <w:basedOn w:val="Normal"/>
    <w:autoRedefine/>
    <w:uiPriority w:val="34"/>
    <w:qFormat/>
    <w:rsid w:val="006F5170"/>
    <w:pPr>
      <w:numPr>
        <w:numId w:val="33"/>
      </w:numPr>
      <w:shd w:val="clear" w:color="auto" w:fill="D9D9D9" w:themeFill="background1" w:themeFillShade="D9"/>
      <w:spacing w:before="120" w:after="0" w:line="240" w:lineRule="auto"/>
      <w:ind w:left="426" w:hanging="426"/>
    </w:pPr>
    <w:rPr>
      <w:rFonts w:cs="Arial"/>
      <w:b/>
      <w:bCs/>
      <w:sz w:val="28"/>
      <w:szCs w:val="28"/>
    </w:rPr>
  </w:style>
  <w:style w:type="paragraph" w:styleId="FootnoteText">
    <w:name w:val="footnote text"/>
    <w:basedOn w:val="Normal"/>
    <w:link w:val="FootnoteTextChar"/>
    <w:uiPriority w:val="99"/>
    <w:semiHidden/>
    <w:unhideWhenUsed/>
    <w:rsid w:val="00BA2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334"/>
    <w:rPr>
      <w:rFonts w:ascii="Arial" w:eastAsia="Times New Roman" w:hAnsi="Arial" w:cs="Times New Roman"/>
      <w:sz w:val="20"/>
      <w:szCs w:val="20"/>
    </w:rPr>
  </w:style>
  <w:style w:type="character" w:styleId="FootnoteReference">
    <w:name w:val="footnote reference"/>
    <w:rsid w:val="00BA2334"/>
    <w:rPr>
      <w:rFonts w:cs="Times New Roman"/>
      <w:vertAlign w:val="superscript"/>
    </w:rPr>
  </w:style>
  <w:style w:type="character" w:styleId="Hyperlink">
    <w:name w:val="Hyperlink"/>
    <w:rsid w:val="00BA2334"/>
    <w:rPr>
      <w:rFonts w:cs="Times New Roman"/>
      <w:color w:val="0000FF"/>
      <w:u w:val="single"/>
    </w:rPr>
  </w:style>
  <w:style w:type="paragraph" w:styleId="Header">
    <w:name w:val="header"/>
    <w:basedOn w:val="Normal"/>
    <w:link w:val="HeaderChar"/>
    <w:uiPriority w:val="99"/>
    <w:unhideWhenUsed/>
    <w:rsid w:val="004A1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ED1"/>
    <w:rPr>
      <w:rFonts w:ascii="Arial" w:eastAsia="Times New Roman" w:hAnsi="Arial" w:cs="Times New Roman"/>
    </w:rPr>
  </w:style>
  <w:style w:type="paragraph" w:styleId="Footer">
    <w:name w:val="footer"/>
    <w:basedOn w:val="Normal"/>
    <w:link w:val="FooterChar"/>
    <w:uiPriority w:val="99"/>
    <w:unhideWhenUsed/>
    <w:rsid w:val="004A1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ED1"/>
    <w:rPr>
      <w:rFonts w:ascii="Arial" w:eastAsia="Times New Roman" w:hAnsi="Arial" w:cs="Times New Roman"/>
    </w:rPr>
  </w:style>
  <w:style w:type="paragraph" w:styleId="BalloonText">
    <w:name w:val="Balloon Text"/>
    <w:basedOn w:val="Normal"/>
    <w:link w:val="BalloonTextChar"/>
    <w:uiPriority w:val="99"/>
    <w:semiHidden/>
    <w:unhideWhenUsed/>
    <w:rsid w:val="004A1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D1"/>
    <w:rPr>
      <w:rFonts w:ascii="Tahoma" w:eastAsia="Times New Roman" w:hAnsi="Tahoma" w:cs="Tahoma"/>
      <w:sz w:val="16"/>
      <w:szCs w:val="16"/>
    </w:rPr>
  </w:style>
  <w:style w:type="table" w:styleId="TableGrid">
    <w:name w:val="Table Grid"/>
    <w:basedOn w:val="TableNormal"/>
    <w:uiPriority w:val="59"/>
    <w:rsid w:val="003A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2F2E"/>
    <w:rPr>
      <w:color w:val="800080" w:themeColor="followedHyperlink"/>
      <w:u w:val="single"/>
    </w:rPr>
  </w:style>
  <w:style w:type="paragraph" w:styleId="NoSpacing">
    <w:name w:val="No Spacing"/>
    <w:uiPriority w:val="99"/>
    <w:qFormat/>
    <w:rsid w:val="00AF4701"/>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58430">
      <w:bodyDiv w:val="1"/>
      <w:marLeft w:val="0"/>
      <w:marRight w:val="0"/>
      <w:marTop w:val="0"/>
      <w:marBottom w:val="0"/>
      <w:divBdr>
        <w:top w:val="none" w:sz="0" w:space="0" w:color="auto"/>
        <w:left w:val="none" w:sz="0" w:space="0" w:color="auto"/>
        <w:bottom w:val="none" w:sz="0" w:space="0" w:color="auto"/>
        <w:right w:val="none" w:sz="0" w:space="0" w:color="auto"/>
      </w:divBdr>
    </w:div>
    <w:div w:id="1414744950">
      <w:bodyDiv w:val="1"/>
      <w:marLeft w:val="0"/>
      <w:marRight w:val="0"/>
      <w:marTop w:val="0"/>
      <w:marBottom w:val="0"/>
      <w:divBdr>
        <w:top w:val="none" w:sz="0" w:space="0" w:color="auto"/>
        <w:left w:val="none" w:sz="0" w:space="0" w:color="auto"/>
        <w:bottom w:val="none" w:sz="0" w:space="0" w:color="auto"/>
        <w:right w:val="none" w:sz="0" w:space="0" w:color="auto"/>
      </w:divBdr>
      <w:divsChild>
        <w:div w:id="570820801">
          <w:marLeft w:val="-300"/>
          <w:marRight w:val="0"/>
          <w:marTop w:val="0"/>
          <w:marBottom w:val="0"/>
          <w:divBdr>
            <w:top w:val="none" w:sz="0" w:space="0" w:color="auto"/>
            <w:left w:val="none" w:sz="0" w:space="0" w:color="auto"/>
            <w:bottom w:val="none" w:sz="0" w:space="0" w:color="auto"/>
            <w:right w:val="none" w:sz="0" w:space="0" w:color="auto"/>
          </w:divBdr>
          <w:divsChild>
            <w:div w:id="829062797">
              <w:marLeft w:val="0"/>
              <w:marRight w:val="0"/>
              <w:marTop w:val="0"/>
              <w:marBottom w:val="0"/>
              <w:divBdr>
                <w:top w:val="none" w:sz="0" w:space="0" w:color="auto"/>
                <w:left w:val="none" w:sz="0" w:space="0" w:color="auto"/>
                <w:bottom w:val="none" w:sz="0" w:space="0" w:color="auto"/>
                <w:right w:val="none" w:sz="0" w:space="0" w:color="auto"/>
              </w:divBdr>
              <w:divsChild>
                <w:div w:id="11833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3474">
      <w:bodyDiv w:val="1"/>
      <w:marLeft w:val="0"/>
      <w:marRight w:val="0"/>
      <w:marTop w:val="0"/>
      <w:marBottom w:val="0"/>
      <w:divBdr>
        <w:top w:val="none" w:sz="0" w:space="0" w:color="auto"/>
        <w:left w:val="none" w:sz="0" w:space="0" w:color="auto"/>
        <w:bottom w:val="none" w:sz="0" w:space="0" w:color="auto"/>
        <w:right w:val="none" w:sz="0" w:space="0" w:color="auto"/>
      </w:divBdr>
      <w:divsChild>
        <w:div w:id="540091985">
          <w:marLeft w:val="0"/>
          <w:marRight w:val="0"/>
          <w:marTop w:val="0"/>
          <w:marBottom w:val="0"/>
          <w:divBdr>
            <w:top w:val="none" w:sz="0" w:space="0" w:color="auto"/>
            <w:left w:val="none" w:sz="0" w:space="0" w:color="auto"/>
            <w:bottom w:val="none" w:sz="0" w:space="0" w:color="auto"/>
            <w:right w:val="none" w:sz="0" w:space="0" w:color="auto"/>
          </w:divBdr>
          <w:divsChild>
            <w:div w:id="654332417">
              <w:marLeft w:val="0"/>
              <w:marRight w:val="0"/>
              <w:marTop w:val="0"/>
              <w:marBottom w:val="0"/>
              <w:divBdr>
                <w:top w:val="none" w:sz="0" w:space="0" w:color="auto"/>
                <w:left w:val="none" w:sz="0" w:space="0" w:color="auto"/>
                <w:bottom w:val="none" w:sz="0" w:space="0" w:color="auto"/>
                <w:right w:val="none" w:sz="0" w:space="0" w:color="auto"/>
              </w:divBdr>
              <w:divsChild>
                <w:div w:id="805854155">
                  <w:marLeft w:val="0"/>
                  <w:marRight w:val="0"/>
                  <w:marTop w:val="0"/>
                  <w:marBottom w:val="0"/>
                  <w:divBdr>
                    <w:top w:val="none" w:sz="0" w:space="0" w:color="auto"/>
                    <w:left w:val="none" w:sz="0" w:space="0" w:color="auto"/>
                    <w:bottom w:val="none" w:sz="0" w:space="0" w:color="auto"/>
                    <w:right w:val="none" w:sz="0" w:space="0" w:color="auto"/>
                  </w:divBdr>
                  <w:divsChild>
                    <w:div w:id="1929537591">
                      <w:marLeft w:val="0"/>
                      <w:marRight w:val="0"/>
                      <w:marTop w:val="0"/>
                      <w:marBottom w:val="0"/>
                      <w:divBdr>
                        <w:top w:val="none" w:sz="0" w:space="0" w:color="auto"/>
                        <w:left w:val="none" w:sz="0" w:space="0" w:color="auto"/>
                        <w:bottom w:val="none" w:sz="0" w:space="0" w:color="auto"/>
                        <w:right w:val="none" w:sz="0" w:space="0" w:color="auto"/>
                      </w:divBdr>
                      <w:divsChild>
                        <w:div w:id="1909336730">
                          <w:marLeft w:val="150"/>
                          <w:marRight w:val="0"/>
                          <w:marTop w:val="150"/>
                          <w:marBottom w:val="150"/>
                          <w:divBdr>
                            <w:top w:val="none" w:sz="0" w:space="0" w:color="auto"/>
                            <w:left w:val="none" w:sz="0" w:space="0" w:color="auto"/>
                            <w:bottom w:val="none" w:sz="0" w:space="0" w:color="auto"/>
                            <w:right w:val="none" w:sz="0" w:space="0" w:color="auto"/>
                          </w:divBdr>
                          <w:divsChild>
                            <w:div w:id="473647275">
                              <w:marLeft w:val="0"/>
                              <w:marRight w:val="0"/>
                              <w:marTop w:val="168"/>
                              <w:marBottom w:val="150"/>
                              <w:divBdr>
                                <w:top w:val="single" w:sz="6" w:space="12" w:color="D0D0D0"/>
                                <w:left w:val="single" w:sz="6" w:space="3" w:color="D0D0D0"/>
                                <w:bottom w:val="dotted" w:sz="6" w:space="12" w:color="CCCCCC"/>
                                <w:right w:val="single" w:sz="6" w:space="3" w:color="D0D0D0"/>
                              </w:divBdr>
                              <w:divsChild>
                                <w:div w:id="1973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a.nhs.uk/documents/2014/05/hra-guidance-payments-incentives-research-v1-0-final-2014-05-21.pdf" TargetMode="External"/><Relationship Id="rId18" Type="http://schemas.openxmlformats.org/officeDocument/2006/relationships/hyperlink" Target="http://www.hra.nhs.uk/wp-content/uploads/2013/07/P-Heasman-photo.jpg" TargetMode="External"/><Relationship Id="rId26" Type="http://schemas.openxmlformats.org/officeDocument/2006/relationships/hyperlink" Target="http://www.hra.nhs.uk/wp-content/uploads/2013/07/mark-sheehan.jp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ra.nhs.uk/about-the-hra/consultations-calls/consent-simple-trials/"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ra.nhs.uk/wp-content/uploads/2013/07/Andrew-George-photo.jpg" TargetMode="External"/><Relationship Id="rId20" Type="http://schemas.openxmlformats.org/officeDocument/2006/relationships/hyperlink" Target="http://www.hra.nhs.uk/wp-content/uploads/2013/07/soren_holm.jpg"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a.nhs.uk/documents/2014/10/consistency-rec-review-2-may-2014.pdf" TargetMode="External"/><Relationship Id="rId24" Type="http://schemas.openxmlformats.org/officeDocument/2006/relationships/hyperlink" Target="http://www.hra.nhs.uk/wp-content/uploads/2013/07/ros-levenson.jpg" TargetMode="External"/><Relationship Id="rId32" Type="http://schemas.openxmlformats.org/officeDocument/2006/relationships/hyperlink" Target="http://www.hra.nhs.uk/wp-content/uploads/2013/07/mr-mephisto.jpg"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ystems.hscic.gov.uk/infogov/codes/cop" TargetMode="External"/><Relationship Id="rId23" Type="http://schemas.openxmlformats.org/officeDocument/2006/relationships/image" Target="media/image4.jpeg"/><Relationship Id="rId28" Type="http://schemas.openxmlformats.org/officeDocument/2006/relationships/hyperlink" Target="http://www.hra.nhs.uk/wp-content/uploads/2013/07/S-Woods-photo.jpg" TargetMode="External"/><Relationship Id="rId36" Type="http://schemas.openxmlformats.org/officeDocument/2006/relationships/header" Target="header2.xml"/><Relationship Id="rId10" Type="http://schemas.openxmlformats.org/officeDocument/2006/relationships/hyperlink" Target="http://medhealth.leeds.ac.uk/profile/600/239/jeremy_wyatt" TargetMode="External"/><Relationship Id="rId19" Type="http://schemas.openxmlformats.org/officeDocument/2006/relationships/image" Target="media/image2.jpeg"/><Relationship Id="rId31"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www.hra.nhs.uk/about-the-hra/our-committees/panels-and-advisory-groups/nreap-meetings/" TargetMode="External"/><Relationship Id="rId14" Type="http://schemas.openxmlformats.org/officeDocument/2006/relationships/hyperlink" Target="https://www.gov.uk/government/consultations/protecting-personal-health-and-care-data" TargetMode="External"/><Relationship Id="rId22" Type="http://schemas.openxmlformats.org/officeDocument/2006/relationships/hyperlink" Target="http://www.hra.nhs.uk/wp-content/uploads/2013/07/john-keen.jpg" TargetMode="External"/><Relationship Id="rId27" Type="http://schemas.openxmlformats.org/officeDocument/2006/relationships/image" Target="media/image6.jpeg"/><Relationship Id="rId30" Type="http://schemas.openxmlformats.org/officeDocument/2006/relationships/hyperlink" Target="http://www.hra.nhs.uk/wp-content/uploads/2014/01/Photo_MalcolmBoyce-e1389190102201.jpg"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ACE6-DCC1-45D5-9027-2FAEADF1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15</Pages>
  <Words>4687</Words>
  <Characters>26718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Collett</dc:creator>
  <cp:lastModifiedBy>Steve Tebbutt</cp:lastModifiedBy>
  <cp:revision>74</cp:revision>
  <cp:lastPrinted>2014-03-26T11:30:00Z</cp:lastPrinted>
  <dcterms:created xsi:type="dcterms:W3CDTF">2015-07-09T12:13:00Z</dcterms:created>
  <dcterms:modified xsi:type="dcterms:W3CDTF">2015-07-15T16:40:00Z</dcterms:modified>
</cp:coreProperties>
</file>