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0B5923" w:rsidRDefault="000B5923" w:rsidP="000B5923">
      <w:pPr>
        <w:ind w:right="-188"/>
        <w:jc w:val="center"/>
        <w:rPr>
          <w:rFonts w:cs="Arial"/>
          <w:b/>
          <w:sz w:val="24"/>
          <w:szCs w:val="24"/>
        </w:rPr>
      </w:pPr>
      <w:r>
        <w:rPr>
          <w:rFonts w:cs="Arial"/>
          <w:b/>
          <w:sz w:val="24"/>
          <w:szCs w:val="24"/>
        </w:rPr>
        <w:t>Part 1 – Public session</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DA217B">
        <w:rPr>
          <w:rFonts w:cs="Arial"/>
          <w:b/>
          <w:sz w:val="24"/>
          <w:szCs w:val="24"/>
        </w:rPr>
        <w:t>22</w:t>
      </w:r>
      <w:r w:rsidR="009D4F60">
        <w:rPr>
          <w:rFonts w:cs="Arial"/>
          <w:b/>
          <w:sz w:val="24"/>
          <w:szCs w:val="24"/>
        </w:rPr>
        <w:t xml:space="preserve"> </w:t>
      </w:r>
      <w:r w:rsidR="00DA217B">
        <w:rPr>
          <w:rFonts w:cs="Arial"/>
          <w:b/>
          <w:sz w:val="24"/>
          <w:szCs w:val="24"/>
        </w:rPr>
        <w:t>July</w:t>
      </w:r>
      <w:r w:rsidR="00664A6C">
        <w:rPr>
          <w:rFonts w:cs="Arial"/>
          <w:b/>
          <w:sz w:val="24"/>
          <w:szCs w:val="24"/>
        </w:rPr>
        <w:t xml:space="preserve"> 2015</w:t>
      </w:r>
      <w:r w:rsidRPr="00C9722B">
        <w:rPr>
          <w:rFonts w:cs="Arial"/>
          <w:b/>
          <w:sz w:val="24"/>
          <w:szCs w:val="24"/>
        </w:rPr>
        <w:t xml:space="preserve"> from </w:t>
      </w:r>
      <w:r w:rsidR="00664A6C">
        <w:rPr>
          <w:rFonts w:cs="Arial"/>
          <w:b/>
          <w:sz w:val="24"/>
          <w:szCs w:val="24"/>
        </w:rPr>
        <w:t>1.</w:t>
      </w:r>
      <w:r w:rsidR="00D21365">
        <w:rPr>
          <w:rFonts w:cs="Arial"/>
          <w:b/>
          <w:sz w:val="24"/>
          <w:szCs w:val="24"/>
        </w:rPr>
        <w:t>0</w:t>
      </w:r>
      <w:r w:rsidR="00664A6C">
        <w:rPr>
          <w:rFonts w:cs="Arial"/>
          <w:b/>
          <w:sz w:val="24"/>
          <w:szCs w:val="24"/>
        </w:rPr>
        <w:t>0pm</w:t>
      </w:r>
      <w:r w:rsidR="00876A26" w:rsidRPr="00C9722B">
        <w:rPr>
          <w:rFonts w:asciiTheme="minorHAnsi" w:hAnsiTheme="minorHAnsi" w:cstheme="minorHAnsi"/>
          <w:b/>
          <w:sz w:val="24"/>
          <w:szCs w:val="24"/>
        </w:rPr>
        <w:t xml:space="preserve"> – </w:t>
      </w:r>
      <w:r w:rsidR="00664A6C">
        <w:rPr>
          <w:rFonts w:asciiTheme="minorHAnsi" w:hAnsiTheme="minorHAnsi" w:cstheme="minorHAnsi"/>
          <w:b/>
          <w:sz w:val="24"/>
          <w:szCs w:val="24"/>
        </w:rPr>
        <w:t>4.00pm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 xml:space="preserve">at </w:t>
      </w:r>
      <w:r w:rsidR="009D4F60">
        <w:rPr>
          <w:rFonts w:asciiTheme="minorHAnsi" w:hAnsiTheme="minorHAnsi" w:cstheme="minorHAnsi"/>
          <w:b/>
          <w:sz w:val="24"/>
          <w:szCs w:val="24"/>
        </w:rPr>
        <w:t>HRA 1, Skipton House</w:t>
      </w:r>
    </w:p>
    <w:p w:rsidR="000B5923" w:rsidRDefault="000B5923" w:rsidP="000B5923">
      <w:pPr>
        <w:ind w:right="-188"/>
        <w:jc w:val="cente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710"/>
        <w:gridCol w:w="6780"/>
        <w:gridCol w:w="943"/>
        <w:gridCol w:w="1305"/>
      </w:tblGrid>
      <w:tr w:rsidR="00AF19D5" w:rsidTr="00E8101A">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986603" w:rsidTr="00E8101A">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Default="00986603" w:rsidP="00664A6C">
            <w:pPr>
              <w:rPr>
                <w:rFonts w:cs="Arial"/>
                <w:b/>
              </w:rPr>
            </w:pPr>
            <w:r>
              <w:rPr>
                <w:rFonts w:cs="Arial"/>
                <w:b/>
              </w:rPr>
              <w:t>Apologies</w:t>
            </w:r>
          </w:p>
          <w:p w:rsidR="00F775F1" w:rsidRDefault="00F775F1" w:rsidP="009D4F60">
            <w:pPr>
              <w:rPr>
                <w:rFonts w:cs="Arial"/>
                <w:b/>
              </w:rPr>
            </w:pPr>
          </w:p>
          <w:p w:rsidR="00E8101A" w:rsidRPr="00E8101A" w:rsidRDefault="00E8101A" w:rsidP="009D4F60">
            <w:pPr>
              <w:rPr>
                <w:rFonts w:cs="Arial"/>
              </w:rPr>
            </w:pPr>
            <w:r w:rsidRPr="00E8101A">
              <w:rPr>
                <w:rFonts w:cs="Arial"/>
              </w:rPr>
              <w:t>Allison Jeynes-Ellis</w:t>
            </w:r>
          </w:p>
          <w:p w:rsidR="00E8101A" w:rsidRPr="00EE0650" w:rsidRDefault="00E8101A" w:rsidP="009D4F60">
            <w:pPr>
              <w:rPr>
                <w:rFonts w:cs="Arial"/>
                <w:b/>
              </w:rPr>
            </w:pPr>
          </w:p>
        </w:tc>
        <w:tc>
          <w:tcPr>
            <w:tcW w:w="943" w:type="dxa"/>
            <w:vMerge w:val="restart"/>
            <w:vAlign w:val="center"/>
          </w:tcPr>
          <w:p w:rsidR="00986603" w:rsidRDefault="00A639BF" w:rsidP="00D71ACC">
            <w:pPr>
              <w:jc w:val="center"/>
              <w:rPr>
                <w:rFonts w:cs="Arial"/>
              </w:rPr>
            </w:pPr>
            <w:r>
              <w:rPr>
                <w:rFonts w:cs="Arial"/>
              </w:rPr>
              <w:t>10</w:t>
            </w:r>
          </w:p>
        </w:tc>
        <w:tc>
          <w:tcPr>
            <w:tcW w:w="1305" w:type="dxa"/>
          </w:tcPr>
          <w:p w:rsidR="00471E7D" w:rsidRDefault="00471E7D" w:rsidP="00AF19D5">
            <w:pPr>
              <w:jc w:val="center"/>
              <w:rPr>
                <w:rFonts w:cs="Arial"/>
              </w:rPr>
            </w:pPr>
          </w:p>
          <w:p w:rsidR="00986603" w:rsidRDefault="00121247" w:rsidP="00AF19D5">
            <w:pPr>
              <w:jc w:val="center"/>
              <w:rPr>
                <w:rFonts w:cs="Arial"/>
              </w:rPr>
            </w:pPr>
            <w:r>
              <w:rPr>
                <w:rFonts w:cs="Arial"/>
              </w:rPr>
              <w:t>Verbal</w:t>
            </w:r>
          </w:p>
        </w:tc>
      </w:tr>
      <w:tr w:rsidR="00986603" w:rsidTr="00E8101A">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C1AF7" w:rsidRDefault="00986603" w:rsidP="00EC1AF7">
            <w:pPr>
              <w:rPr>
                <w:rFonts w:cs="Arial"/>
                <w:b/>
              </w:rPr>
            </w:pPr>
            <w:r w:rsidRPr="00EE0650">
              <w:rPr>
                <w:rFonts w:cs="Arial"/>
                <w:b/>
              </w:rPr>
              <w:t>Conflicts of interest</w:t>
            </w:r>
          </w:p>
        </w:tc>
        <w:tc>
          <w:tcPr>
            <w:tcW w:w="943" w:type="dxa"/>
            <w:vMerge/>
          </w:tcPr>
          <w:p w:rsidR="00986603" w:rsidRDefault="00986603" w:rsidP="00D71ACC">
            <w:pPr>
              <w:jc w:val="center"/>
              <w:rPr>
                <w:rFonts w:cs="Arial"/>
              </w:rPr>
            </w:pPr>
          </w:p>
        </w:tc>
        <w:tc>
          <w:tcPr>
            <w:tcW w:w="1305" w:type="dxa"/>
          </w:tcPr>
          <w:p w:rsidR="00986603" w:rsidRDefault="00121247" w:rsidP="00AF19D5">
            <w:pPr>
              <w:jc w:val="center"/>
              <w:rPr>
                <w:rFonts w:cs="Arial"/>
              </w:rPr>
            </w:pPr>
            <w:r>
              <w:rPr>
                <w:rFonts w:cs="Arial"/>
              </w:rPr>
              <w:t>Verbal</w:t>
            </w:r>
          </w:p>
          <w:p w:rsidR="00E8101A" w:rsidRPr="00D71ACC" w:rsidRDefault="00E8101A" w:rsidP="00AF19D5">
            <w:pPr>
              <w:jc w:val="center"/>
              <w:rPr>
                <w:rFonts w:cs="Arial"/>
                <w:b/>
              </w:rPr>
            </w:pPr>
          </w:p>
        </w:tc>
      </w:tr>
      <w:tr w:rsidR="00986603" w:rsidTr="00E8101A">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Minutes of last meeting</w:t>
            </w:r>
          </w:p>
          <w:p w:rsidR="00986603" w:rsidRPr="00EE0650" w:rsidRDefault="00986603" w:rsidP="006B3203">
            <w:pPr>
              <w:rPr>
                <w:rFonts w:cs="Arial"/>
                <w:b/>
              </w:rPr>
            </w:pPr>
          </w:p>
        </w:tc>
        <w:tc>
          <w:tcPr>
            <w:tcW w:w="943" w:type="dxa"/>
            <w:vMerge/>
            <w:vAlign w:val="center"/>
          </w:tcPr>
          <w:p w:rsidR="00986603" w:rsidRDefault="00986603" w:rsidP="00D71ACC">
            <w:pPr>
              <w:jc w:val="center"/>
              <w:rPr>
                <w:rFonts w:cs="Arial"/>
              </w:rPr>
            </w:pPr>
          </w:p>
        </w:tc>
        <w:tc>
          <w:tcPr>
            <w:tcW w:w="1305" w:type="dxa"/>
          </w:tcPr>
          <w:p w:rsidR="00986603" w:rsidRPr="00AF19D5" w:rsidRDefault="0030307B" w:rsidP="00AF19D5">
            <w:pPr>
              <w:jc w:val="center"/>
              <w:rPr>
                <w:rFonts w:cs="Arial"/>
                <w:b/>
              </w:rPr>
            </w:pPr>
            <w:r>
              <w:rPr>
                <w:rFonts w:cs="Arial"/>
                <w:b/>
              </w:rPr>
              <w:t>A</w:t>
            </w:r>
          </w:p>
        </w:tc>
      </w:tr>
      <w:tr w:rsidR="00986603" w:rsidTr="00E8101A">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Matters arising</w:t>
            </w:r>
          </w:p>
          <w:p w:rsidR="00986603" w:rsidRPr="00EE0650" w:rsidRDefault="00986603" w:rsidP="006B3203">
            <w:pPr>
              <w:rPr>
                <w:rFonts w:cs="Arial"/>
                <w:b/>
              </w:rPr>
            </w:pPr>
          </w:p>
        </w:tc>
        <w:tc>
          <w:tcPr>
            <w:tcW w:w="943" w:type="dxa"/>
            <w:vMerge/>
          </w:tcPr>
          <w:p w:rsidR="00986603" w:rsidRDefault="00986603" w:rsidP="00AF19D5">
            <w:pPr>
              <w:jc w:val="center"/>
              <w:rPr>
                <w:rFonts w:cs="Arial"/>
              </w:rPr>
            </w:pPr>
          </w:p>
        </w:tc>
        <w:tc>
          <w:tcPr>
            <w:tcW w:w="1305" w:type="dxa"/>
          </w:tcPr>
          <w:p w:rsidR="00986603" w:rsidRDefault="00986603" w:rsidP="00AF19D5">
            <w:pPr>
              <w:jc w:val="center"/>
              <w:rPr>
                <w:rFonts w:cs="Arial"/>
              </w:rPr>
            </w:pPr>
            <w:r>
              <w:rPr>
                <w:rFonts w:cs="Arial"/>
              </w:rPr>
              <w:t>Verbal</w:t>
            </w:r>
          </w:p>
        </w:tc>
      </w:tr>
      <w:tr w:rsidR="00AF19D5" w:rsidTr="00E8101A">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EC1AF7" w:rsidP="006B3203">
            <w:pPr>
              <w:rPr>
                <w:rFonts w:cs="Arial"/>
                <w:b/>
              </w:rPr>
            </w:pPr>
            <w:r>
              <w:rPr>
                <w:rFonts w:cs="Arial"/>
                <w:b/>
              </w:rPr>
              <w:t>U</w:t>
            </w:r>
            <w:r w:rsidR="00AF19D5">
              <w:rPr>
                <w:rFonts w:cs="Arial"/>
                <w:b/>
              </w:rPr>
              <w:t>pdate from Chair</w:t>
            </w:r>
          </w:p>
          <w:p w:rsidR="00AF19D5" w:rsidRPr="00EE0650" w:rsidRDefault="00AF19D5" w:rsidP="006B3203">
            <w:pPr>
              <w:rPr>
                <w:rFonts w:cs="Arial"/>
                <w:b/>
              </w:rPr>
            </w:pPr>
          </w:p>
        </w:tc>
        <w:tc>
          <w:tcPr>
            <w:tcW w:w="943" w:type="dxa"/>
          </w:tcPr>
          <w:p w:rsidR="00AF19D5" w:rsidRDefault="009F42C6"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E8101A">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EC1AF7" w:rsidP="006E6D03">
            <w:pPr>
              <w:rPr>
                <w:rFonts w:cs="Arial"/>
                <w:b/>
              </w:rPr>
            </w:pPr>
            <w:r>
              <w:rPr>
                <w:rFonts w:cs="Arial"/>
                <w:b/>
              </w:rPr>
              <w:t>U</w:t>
            </w:r>
            <w:r w:rsidR="00C251FB">
              <w:rPr>
                <w:rFonts w:cs="Arial"/>
                <w:b/>
              </w:rPr>
              <w:t>pdate from Chief Executive</w:t>
            </w:r>
          </w:p>
          <w:p w:rsidR="00C251FB" w:rsidRPr="00EE0650" w:rsidRDefault="00C251FB" w:rsidP="006E6D03">
            <w:pPr>
              <w:rPr>
                <w:rFonts w:cs="Arial"/>
                <w:b/>
              </w:rPr>
            </w:pPr>
          </w:p>
        </w:tc>
        <w:tc>
          <w:tcPr>
            <w:tcW w:w="943" w:type="dxa"/>
          </w:tcPr>
          <w:p w:rsidR="00C251FB" w:rsidRDefault="009F42C6"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E8101A" w:rsidTr="00E8101A">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6E6D03">
            <w:pPr>
              <w:rPr>
                <w:rFonts w:cs="Arial"/>
                <w:b/>
              </w:rPr>
            </w:pPr>
            <w:r>
              <w:rPr>
                <w:rFonts w:cs="Arial"/>
                <w:b/>
              </w:rPr>
              <w:t>Update from the National Research Ethics Advisors’ Panel</w:t>
            </w:r>
          </w:p>
          <w:p w:rsidR="00E8101A" w:rsidRDefault="00E8101A" w:rsidP="006E6D03">
            <w:pPr>
              <w:rPr>
                <w:rFonts w:cs="Arial"/>
                <w:b/>
              </w:rPr>
            </w:pPr>
          </w:p>
        </w:tc>
        <w:tc>
          <w:tcPr>
            <w:tcW w:w="943" w:type="dxa"/>
          </w:tcPr>
          <w:p w:rsidR="00E8101A" w:rsidRDefault="00E8101A" w:rsidP="006E6D03">
            <w:pPr>
              <w:jc w:val="center"/>
              <w:rPr>
                <w:rFonts w:cs="Arial"/>
              </w:rPr>
            </w:pPr>
            <w:r>
              <w:rPr>
                <w:rFonts w:cs="Arial"/>
              </w:rPr>
              <w:t>25</w:t>
            </w:r>
          </w:p>
        </w:tc>
        <w:tc>
          <w:tcPr>
            <w:tcW w:w="1305" w:type="dxa"/>
          </w:tcPr>
          <w:p w:rsidR="00E8101A" w:rsidRDefault="00E8101A" w:rsidP="00AF19D5">
            <w:pPr>
              <w:jc w:val="center"/>
              <w:rPr>
                <w:rFonts w:cs="Arial"/>
              </w:rPr>
            </w:pPr>
            <w:bookmarkStart w:id="0" w:name="_GoBack"/>
            <w:bookmarkEnd w:id="0"/>
            <w:r w:rsidRPr="00E432F9">
              <w:rPr>
                <w:rFonts w:cs="Arial"/>
                <w:b/>
              </w:rPr>
              <w:t>B</w:t>
            </w:r>
          </w:p>
        </w:tc>
      </w:tr>
      <w:tr w:rsidR="00E8101A" w:rsidTr="00E8101A">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9D4F60">
            <w:pPr>
              <w:rPr>
                <w:rFonts w:cs="Arial"/>
                <w:b/>
              </w:rPr>
            </w:pPr>
            <w:r>
              <w:rPr>
                <w:rFonts w:cs="Arial"/>
                <w:b/>
              </w:rPr>
              <w:t>HRA Annual Report and Accounts 2014/15</w:t>
            </w:r>
          </w:p>
          <w:p w:rsidR="00E8101A" w:rsidRPr="0028784C" w:rsidRDefault="00E8101A" w:rsidP="009D4F60">
            <w:pPr>
              <w:rPr>
                <w:rFonts w:cs="Arial"/>
              </w:rPr>
            </w:pPr>
          </w:p>
        </w:tc>
        <w:tc>
          <w:tcPr>
            <w:tcW w:w="943" w:type="dxa"/>
          </w:tcPr>
          <w:p w:rsidR="00E8101A" w:rsidRDefault="00DA0500" w:rsidP="00AA41A0">
            <w:pPr>
              <w:jc w:val="center"/>
              <w:rPr>
                <w:rFonts w:cs="Arial"/>
              </w:rPr>
            </w:pPr>
            <w:r>
              <w:rPr>
                <w:rFonts w:cs="Arial"/>
              </w:rPr>
              <w:t>5</w:t>
            </w:r>
          </w:p>
        </w:tc>
        <w:tc>
          <w:tcPr>
            <w:tcW w:w="1305" w:type="dxa"/>
          </w:tcPr>
          <w:p w:rsidR="00E8101A" w:rsidRPr="00121247" w:rsidRDefault="00662781" w:rsidP="009D4F60">
            <w:pPr>
              <w:jc w:val="center"/>
              <w:rPr>
                <w:rFonts w:cs="Arial"/>
                <w:b/>
              </w:rPr>
            </w:pPr>
            <w:r>
              <w:rPr>
                <w:rFonts w:cs="Arial"/>
                <w:b/>
              </w:rPr>
              <w:t>C</w:t>
            </w:r>
          </w:p>
        </w:tc>
      </w:tr>
      <w:tr w:rsidR="00E8101A" w:rsidTr="00E8101A">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9D4F60">
            <w:pPr>
              <w:rPr>
                <w:rFonts w:cs="Arial"/>
                <w:b/>
              </w:rPr>
            </w:pPr>
            <w:r>
              <w:rPr>
                <w:rFonts w:cs="Arial"/>
                <w:b/>
              </w:rPr>
              <w:t>HRA Year in Review 2014/15</w:t>
            </w:r>
          </w:p>
          <w:p w:rsidR="001C0A64" w:rsidRDefault="001C0A64" w:rsidP="009D4F60">
            <w:pPr>
              <w:rPr>
                <w:rFonts w:cs="Arial"/>
                <w:b/>
              </w:rPr>
            </w:pPr>
          </w:p>
          <w:p w:rsidR="001C0A64" w:rsidRPr="001C0A64" w:rsidRDefault="001C0A64" w:rsidP="001C0A64">
            <w:pPr>
              <w:pStyle w:val="ListParagraph"/>
              <w:numPr>
                <w:ilvl w:val="0"/>
                <w:numId w:val="25"/>
              </w:numPr>
              <w:rPr>
                <w:rFonts w:cs="Arial"/>
              </w:rPr>
            </w:pPr>
            <w:r>
              <w:rPr>
                <w:rFonts w:cs="Arial"/>
              </w:rPr>
              <w:t>To be tabled at meeting</w:t>
            </w:r>
          </w:p>
          <w:p w:rsidR="00E8101A" w:rsidRDefault="00E8101A" w:rsidP="009D4F60">
            <w:pPr>
              <w:rPr>
                <w:rFonts w:cs="Arial"/>
                <w:b/>
              </w:rPr>
            </w:pPr>
          </w:p>
        </w:tc>
        <w:tc>
          <w:tcPr>
            <w:tcW w:w="943" w:type="dxa"/>
          </w:tcPr>
          <w:p w:rsidR="00E8101A" w:rsidRDefault="00E8101A" w:rsidP="00AA41A0">
            <w:pPr>
              <w:jc w:val="center"/>
              <w:rPr>
                <w:rFonts w:cs="Arial"/>
              </w:rPr>
            </w:pPr>
            <w:r>
              <w:rPr>
                <w:rFonts w:cs="Arial"/>
              </w:rPr>
              <w:t>10</w:t>
            </w:r>
          </w:p>
        </w:tc>
        <w:tc>
          <w:tcPr>
            <w:tcW w:w="1305" w:type="dxa"/>
          </w:tcPr>
          <w:p w:rsidR="00E8101A" w:rsidRPr="001C0A64" w:rsidRDefault="001C0A64" w:rsidP="009D4F60">
            <w:pPr>
              <w:jc w:val="center"/>
              <w:rPr>
                <w:rFonts w:cs="Arial"/>
              </w:rPr>
            </w:pPr>
            <w:r w:rsidRPr="001C0A64">
              <w:rPr>
                <w:rFonts w:cs="Arial"/>
              </w:rPr>
              <w:t>To follow</w:t>
            </w:r>
          </w:p>
        </w:tc>
      </w:tr>
      <w:tr w:rsidR="00E8101A" w:rsidTr="00E8101A">
        <w:trPr>
          <w:trHeight w:val="468"/>
        </w:trPr>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D53C74">
            <w:pPr>
              <w:rPr>
                <w:rFonts w:cstheme="minorHAnsi"/>
                <w:b/>
              </w:rPr>
            </w:pPr>
            <w:r>
              <w:rPr>
                <w:rFonts w:cstheme="minorHAnsi"/>
                <w:b/>
              </w:rPr>
              <w:t>HRA Code of Conduct</w:t>
            </w:r>
          </w:p>
          <w:p w:rsidR="00DA0500" w:rsidRPr="00E8101A" w:rsidRDefault="00DA0500" w:rsidP="00D53C74">
            <w:pPr>
              <w:rPr>
                <w:rFonts w:cstheme="minorHAnsi"/>
                <w:b/>
              </w:rPr>
            </w:pPr>
          </w:p>
        </w:tc>
        <w:tc>
          <w:tcPr>
            <w:tcW w:w="943" w:type="dxa"/>
          </w:tcPr>
          <w:p w:rsidR="00E8101A" w:rsidRDefault="00E8101A" w:rsidP="00D14F0B">
            <w:pPr>
              <w:jc w:val="center"/>
              <w:rPr>
                <w:rFonts w:cs="Arial"/>
              </w:rPr>
            </w:pPr>
            <w:r>
              <w:rPr>
                <w:rFonts w:cs="Arial"/>
              </w:rPr>
              <w:t>1</w:t>
            </w:r>
            <w:r w:rsidR="00D14F0B">
              <w:rPr>
                <w:rFonts w:cs="Arial"/>
              </w:rPr>
              <w:t>0</w:t>
            </w:r>
          </w:p>
        </w:tc>
        <w:tc>
          <w:tcPr>
            <w:tcW w:w="1305" w:type="dxa"/>
          </w:tcPr>
          <w:p w:rsidR="00E8101A" w:rsidRPr="00DA0500" w:rsidRDefault="001C0A64" w:rsidP="00AF19D5">
            <w:pPr>
              <w:jc w:val="center"/>
              <w:rPr>
                <w:rFonts w:cs="Arial"/>
                <w:b/>
                <w:highlight w:val="yellow"/>
              </w:rPr>
            </w:pPr>
            <w:r w:rsidRPr="00D14F0B">
              <w:rPr>
                <w:rFonts w:cs="Arial"/>
                <w:b/>
              </w:rPr>
              <w:t>D</w:t>
            </w:r>
          </w:p>
        </w:tc>
      </w:tr>
      <w:tr w:rsidR="00E8101A" w:rsidTr="00E8101A">
        <w:trPr>
          <w:trHeight w:val="468"/>
        </w:trPr>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Pr="00D53C74" w:rsidRDefault="00E8101A" w:rsidP="00E8101A">
            <w:pPr>
              <w:rPr>
                <w:b/>
              </w:rPr>
            </w:pPr>
            <w:r w:rsidRPr="00D53C74">
              <w:rPr>
                <w:b/>
              </w:rPr>
              <w:t>Freedom to Speak up – Francis report on ‘whistle blowing’ – HRA response</w:t>
            </w:r>
          </w:p>
          <w:p w:rsidR="00E8101A" w:rsidRDefault="00E8101A" w:rsidP="00D53C74">
            <w:pPr>
              <w:rPr>
                <w:rFonts w:cstheme="minorHAnsi"/>
                <w:b/>
              </w:rPr>
            </w:pPr>
          </w:p>
        </w:tc>
        <w:tc>
          <w:tcPr>
            <w:tcW w:w="943" w:type="dxa"/>
          </w:tcPr>
          <w:p w:rsidR="00E8101A" w:rsidRDefault="00E8101A" w:rsidP="00AA41A0">
            <w:pPr>
              <w:jc w:val="center"/>
              <w:rPr>
                <w:rFonts w:cs="Arial"/>
              </w:rPr>
            </w:pPr>
            <w:r>
              <w:rPr>
                <w:rFonts w:cs="Arial"/>
              </w:rPr>
              <w:t>15</w:t>
            </w:r>
          </w:p>
        </w:tc>
        <w:tc>
          <w:tcPr>
            <w:tcW w:w="1305" w:type="dxa"/>
          </w:tcPr>
          <w:p w:rsidR="00E8101A" w:rsidRPr="00DA0500" w:rsidRDefault="001C0A64" w:rsidP="00AF19D5">
            <w:pPr>
              <w:jc w:val="center"/>
              <w:rPr>
                <w:rFonts w:cs="Arial"/>
                <w:b/>
                <w:highlight w:val="yellow"/>
              </w:rPr>
            </w:pPr>
            <w:r w:rsidRPr="00081775">
              <w:rPr>
                <w:rFonts w:cs="Arial"/>
                <w:b/>
              </w:rPr>
              <w:t>E</w:t>
            </w:r>
          </w:p>
        </w:tc>
      </w:tr>
      <w:tr w:rsidR="00E8101A" w:rsidTr="00E8101A">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D53C74">
            <w:pPr>
              <w:rPr>
                <w:rFonts w:cstheme="minorHAnsi"/>
                <w:b/>
              </w:rPr>
            </w:pPr>
            <w:r>
              <w:rPr>
                <w:rFonts w:cstheme="minorHAnsi"/>
                <w:b/>
              </w:rPr>
              <w:t>Finance Report</w:t>
            </w:r>
          </w:p>
          <w:p w:rsidR="00E8101A" w:rsidRDefault="00E8101A" w:rsidP="00D53C74">
            <w:pPr>
              <w:rPr>
                <w:rFonts w:cstheme="minorHAnsi"/>
                <w:b/>
              </w:rPr>
            </w:pPr>
          </w:p>
          <w:p w:rsidR="00E8101A" w:rsidRPr="000D5BA2" w:rsidRDefault="00E8101A" w:rsidP="000D5BA2">
            <w:pPr>
              <w:pStyle w:val="ListParagraph"/>
              <w:numPr>
                <w:ilvl w:val="0"/>
                <w:numId w:val="24"/>
              </w:numPr>
              <w:rPr>
                <w:rFonts w:cstheme="minorHAnsi"/>
                <w:b/>
              </w:rPr>
            </w:pPr>
            <w:r w:rsidRPr="000D5BA2">
              <w:rPr>
                <w:rFonts w:cstheme="minorHAnsi"/>
              </w:rPr>
              <w:t>June 2015</w:t>
            </w:r>
          </w:p>
          <w:p w:rsidR="00E8101A" w:rsidRPr="000D5BA2" w:rsidRDefault="00E8101A" w:rsidP="000D5BA2">
            <w:pPr>
              <w:pStyle w:val="ListParagraph"/>
              <w:rPr>
                <w:rFonts w:cstheme="minorHAnsi"/>
                <w:b/>
              </w:rPr>
            </w:pPr>
          </w:p>
        </w:tc>
        <w:tc>
          <w:tcPr>
            <w:tcW w:w="943" w:type="dxa"/>
          </w:tcPr>
          <w:p w:rsidR="00E8101A" w:rsidRDefault="00E8101A" w:rsidP="00AA41A0">
            <w:pPr>
              <w:jc w:val="center"/>
              <w:rPr>
                <w:rFonts w:cs="Arial"/>
              </w:rPr>
            </w:pPr>
          </w:p>
          <w:p w:rsidR="00E8101A" w:rsidRDefault="00E8101A" w:rsidP="00AA41A0">
            <w:pPr>
              <w:jc w:val="center"/>
              <w:rPr>
                <w:rFonts w:cs="Arial"/>
              </w:rPr>
            </w:pPr>
          </w:p>
          <w:p w:rsidR="00E8101A" w:rsidRDefault="00E8101A" w:rsidP="00AA41A0">
            <w:pPr>
              <w:jc w:val="center"/>
              <w:rPr>
                <w:rFonts w:cs="Arial"/>
              </w:rPr>
            </w:pPr>
            <w:r>
              <w:rPr>
                <w:rFonts w:cs="Arial"/>
              </w:rPr>
              <w:t>15</w:t>
            </w:r>
          </w:p>
        </w:tc>
        <w:tc>
          <w:tcPr>
            <w:tcW w:w="1305" w:type="dxa"/>
          </w:tcPr>
          <w:p w:rsidR="00E8101A" w:rsidRDefault="00E8101A" w:rsidP="00AF19D5">
            <w:pPr>
              <w:jc w:val="center"/>
              <w:rPr>
                <w:rFonts w:cs="Arial"/>
                <w:b/>
              </w:rPr>
            </w:pPr>
          </w:p>
          <w:p w:rsidR="00E8101A" w:rsidRDefault="00E8101A" w:rsidP="00AF19D5">
            <w:pPr>
              <w:jc w:val="center"/>
              <w:rPr>
                <w:rFonts w:cs="Arial"/>
                <w:b/>
              </w:rPr>
            </w:pPr>
          </w:p>
          <w:p w:rsidR="00E8101A" w:rsidRDefault="001C0A64" w:rsidP="00AF19D5">
            <w:pPr>
              <w:jc w:val="center"/>
              <w:rPr>
                <w:rFonts w:cs="Arial"/>
                <w:b/>
              </w:rPr>
            </w:pPr>
            <w:r>
              <w:rPr>
                <w:rFonts w:cs="Arial"/>
                <w:b/>
              </w:rPr>
              <w:t>F</w:t>
            </w:r>
          </w:p>
        </w:tc>
      </w:tr>
      <w:tr w:rsidR="00E8101A" w:rsidTr="00E8101A">
        <w:tc>
          <w:tcPr>
            <w:tcW w:w="9738" w:type="dxa"/>
            <w:gridSpan w:val="4"/>
            <w:shd w:val="clear" w:color="auto" w:fill="D9D9D9" w:themeFill="background1" w:themeFillShade="D9"/>
          </w:tcPr>
          <w:p w:rsidR="00E8101A" w:rsidRPr="00B218A0" w:rsidRDefault="00E8101A" w:rsidP="00DF635D">
            <w:pPr>
              <w:rPr>
                <w:rFonts w:cs="Arial"/>
                <w:i/>
              </w:rPr>
            </w:pPr>
            <w:r w:rsidRPr="00F47D2D">
              <w:rPr>
                <w:rFonts w:cs="Arial"/>
                <w:i/>
              </w:rPr>
              <w:t xml:space="preserve">Items </w:t>
            </w:r>
            <w:r>
              <w:rPr>
                <w:rFonts w:cs="Arial"/>
                <w:i/>
              </w:rPr>
              <w:t>for information</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E8101A">
            <w:pPr>
              <w:rPr>
                <w:rFonts w:cs="Arial"/>
                <w:b/>
              </w:rPr>
            </w:pPr>
            <w:r>
              <w:rPr>
                <w:rFonts w:cs="Arial"/>
                <w:b/>
              </w:rPr>
              <w:t>Quality Assurance update</w:t>
            </w:r>
          </w:p>
          <w:p w:rsidR="00E8101A" w:rsidRPr="00D53C74" w:rsidRDefault="00E8101A" w:rsidP="00E8101A">
            <w:pPr>
              <w:rPr>
                <w:rFonts w:cs="Arial"/>
                <w:b/>
              </w:rPr>
            </w:pPr>
          </w:p>
        </w:tc>
        <w:tc>
          <w:tcPr>
            <w:tcW w:w="943" w:type="dxa"/>
          </w:tcPr>
          <w:p w:rsidR="00E8101A" w:rsidRDefault="00DA0500" w:rsidP="00907C37">
            <w:pPr>
              <w:jc w:val="center"/>
              <w:rPr>
                <w:rFonts w:cs="Arial"/>
              </w:rPr>
            </w:pPr>
            <w:r>
              <w:rPr>
                <w:rFonts w:cs="Arial"/>
              </w:rPr>
              <w:t>10</w:t>
            </w:r>
          </w:p>
        </w:tc>
        <w:tc>
          <w:tcPr>
            <w:tcW w:w="1305" w:type="dxa"/>
          </w:tcPr>
          <w:p w:rsidR="00E8101A" w:rsidRPr="00A639BF" w:rsidRDefault="001C0A64" w:rsidP="00075ED0">
            <w:pPr>
              <w:jc w:val="center"/>
              <w:rPr>
                <w:rFonts w:cs="Arial"/>
                <w:b/>
              </w:rPr>
            </w:pPr>
            <w:r>
              <w:rPr>
                <w:rFonts w:cs="Arial"/>
                <w:b/>
              </w:rPr>
              <w:t>G</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D53C74">
            <w:pPr>
              <w:rPr>
                <w:rFonts w:cs="Arial"/>
                <w:b/>
              </w:rPr>
            </w:pPr>
            <w:r>
              <w:rPr>
                <w:rFonts w:cs="Arial"/>
                <w:b/>
              </w:rPr>
              <w:t>HRA Audit and Risk Committee Annual Report 2014/15</w:t>
            </w:r>
          </w:p>
          <w:p w:rsidR="00E8101A" w:rsidRDefault="00E8101A" w:rsidP="00D53C74">
            <w:pPr>
              <w:rPr>
                <w:rFonts w:cs="Arial"/>
                <w:b/>
              </w:rPr>
            </w:pPr>
          </w:p>
        </w:tc>
        <w:tc>
          <w:tcPr>
            <w:tcW w:w="943" w:type="dxa"/>
          </w:tcPr>
          <w:p w:rsidR="00E8101A" w:rsidRDefault="00E8101A" w:rsidP="00907C37">
            <w:pPr>
              <w:jc w:val="center"/>
              <w:rPr>
                <w:rFonts w:cs="Arial"/>
              </w:rPr>
            </w:pPr>
            <w:r>
              <w:rPr>
                <w:rFonts w:cs="Arial"/>
              </w:rPr>
              <w:t>10</w:t>
            </w:r>
          </w:p>
        </w:tc>
        <w:tc>
          <w:tcPr>
            <w:tcW w:w="1305" w:type="dxa"/>
          </w:tcPr>
          <w:p w:rsidR="00E8101A" w:rsidRPr="000F32A6" w:rsidRDefault="001C0A64" w:rsidP="00075ED0">
            <w:pPr>
              <w:jc w:val="center"/>
              <w:rPr>
                <w:rFonts w:cs="Arial"/>
                <w:b/>
              </w:rPr>
            </w:pPr>
            <w:r>
              <w:rPr>
                <w:rFonts w:cs="Arial"/>
                <w:b/>
              </w:rPr>
              <w:t>H</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D53C74">
            <w:pPr>
              <w:rPr>
                <w:rFonts w:cs="Arial"/>
                <w:b/>
              </w:rPr>
            </w:pPr>
            <w:r>
              <w:rPr>
                <w:rFonts w:cs="Arial"/>
                <w:b/>
              </w:rPr>
              <w:t>HRA Audit and Risk Committee Meeting Minutes 21/04/2015</w:t>
            </w:r>
          </w:p>
          <w:p w:rsidR="00E8101A" w:rsidRPr="00D53C74" w:rsidRDefault="00E8101A" w:rsidP="00D53C74">
            <w:pPr>
              <w:rPr>
                <w:caps/>
              </w:rPr>
            </w:pPr>
          </w:p>
        </w:tc>
        <w:tc>
          <w:tcPr>
            <w:tcW w:w="943" w:type="dxa"/>
          </w:tcPr>
          <w:p w:rsidR="00E8101A" w:rsidRDefault="00E8101A" w:rsidP="00D70B2D">
            <w:pPr>
              <w:jc w:val="center"/>
              <w:rPr>
                <w:rFonts w:cs="Arial"/>
              </w:rPr>
            </w:pPr>
            <w:r>
              <w:rPr>
                <w:rFonts w:cs="Arial"/>
              </w:rPr>
              <w:t>5</w:t>
            </w:r>
          </w:p>
        </w:tc>
        <w:tc>
          <w:tcPr>
            <w:tcW w:w="1305" w:type="dxa"/>
          </w:tcPr>
          <w:p w:rsidR="00E8101A" w:rsidRDefault="001C0A64" w:rsidP="00075ED0">
            <w:pPr>
              <w:jc w:val="center"/>
              <w:rPr>
                <w:rFonts w:cs="Arial"/>
                <w:b/>
              </w:rPr>
            </w:pPr>
            <w:r>
              <w:rPr>
                <w:rFonts w:cs="Arial"/>
                <w:b/>
              </w:rPr>
              <w:t>I</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777B88">
            <w:pPr>
              <w:rPr>
                <w:rFonts w:cstheme="minorHAnsi"/>
                <w:b/>
              </w:rPr>
            </w:pPr>
            <w:r>
              <w:rPr>
                <w:rFonts w:cstheme="minorHAnsi"/>
                <w:b/>
              </w:rPr>
              <w:t>Summary of Freedom of Information requests received by HRA 2014/15</w:t>
            </w:r>
          </w:p>
          <w:p w:rsidR="00E8101A" w:rsidRPr="00D21365" w:rsidRDefault="00E8101A" w:rsidP="00777B88">
            <w:pPr>
              <w:rPr>
                <w:rFonts w:cstheme="minorHAnsi"/>
                <w:b/>
              </w:rPr>
            </w:pPr>
          </w:p>
        </w:tc>
        <w:tc>
          <w:tcPr>
            <w:tcW w:w="943" w:type="dxa"/>
          </w:tcPr>
          <w:p w:rsidR="00E8101A" w:rsidRDefault="00E8101A" w:rsidP="00907C37">
            <w:pPr>
              <w:jc w:val="center"/>
              <w:rPr>
                <w:rFonts w:cs="Arial"/>
              </w:rPr>
            </w:pPr>
            <w:r>
              <w:rPr>
                <w:rFonts w:cs="Arial"/>
              </w:rPr>
              <w:lastRenderedPageBreak/>
              <w:t>10</w:t>
            </w:r>
          </w:p>
        </w:tc>
        <w:tc>
          <w:tcPr>
            <w:tcW w:w="1305" w:type="dxa"/>
          </w:tcPr>
          <w:p w:rsidR="00E8101A" w:rsidRPr="000F32A6" w:rsidRDefault="001C0A64" w:rsidP="00907C37">
            <w:pPr>
              <w:jc w:val="center"/>
              <w:rPr>
                <w:rFonts w:cs="Arial"/>
                <w:b/>
              </w:rPr>
            </w:pPr>
            <w:r>
              <w:rPr>
                <w:rFonts w:cs="Arial"/>
                <w:b/>
              </w:rPr>
              <w:t>J</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777B88">
            <w:pPr>
              <w:rPr>
                <w:rFonts w:cstheme="minorHAnsi"/>
                <w:b/>
              </w:rPr>
            </w:pPr>
            <w:r>
              <w:rPr>
                <w:rFonts w:cstheme="minorHAnsi"/>
                <w:b/>
              </w:rPr>
              <w:t>Summary of Complaints received by HRA 2014/15</w:t>
            </w:r>
          </w:p>
          <w:p w:rsidR="00E8101A" w:rsidRPr="00D21365" w:rsidRDefault="00E8101A" w:rsidP="00777B88">
            <w:pPr>
              <w:rPr>
                <w:rFonts w:cstheme="minorHAnsi"/>
                <w:b/>
              </w:rPr>
            </w:pPr>
          </w:p>
        </w:tc>
        <w:tc>
          <w:tcPr>
            <w:tcW w:w="943" w:type="dxa"/>
          </w:tcPr>
          <w:p w:rsidR="00E8101A" w:rsidRDefault="00E8101A" w:rsidP="00907C37">
            <w:pPr>
              <w:jc w:val="center"/>
              <w:rPr>
                <w:rFonts w:cs="Arial"/>
              </w:rPr>
            </w:pPr>
            <w:r>
              <w:rPr>
                <w:rFonts w:cs="Arial"/>
              </w:rPr>
              <w:t>10</w:t>
            </w:r>
          </w:p>
        </w:tc>
        <w:tc>
          <w:tcPr>
            <w:tcW w:w="1305" w:type="dxa"/>
          </w:tcPr>
          <w:p w:rsidR="00E8101A" w:rsidRPr="000F32A6" w:rsidRDefault="001C0A64" w:rsidP="00907C37">
            <w:pPr>
              <w:jc w:val="center"/>
              <w:rPr>
                <w:rFonts w:cs="Arial"/>
                <w:b/>
              </w:rPr>
            </w:pPr>
            <w:r w:rsidRPr="006B7529">
              <w:rPr>
                <w:rFonts w:cs="Arial"/>
                <w:b/>
              </w:rPr>
              <w:t>K</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777B88">
            <w:pPr>
              <w:rPr>
                <w:rFonts w:cstheme="minorHAnsi"/>
                <w:b/>
              </w:rPr>
            </w:pPr>
            <w:r>
              <w:rPr>
                <w:rFonts w:cstheme="minorHAnsi"/>
                <w:b/>
              </w:rPr>
              <w:t>Summary of Appeals against REC opinion received by HRA 2014/15</w:t>
            </w:r>
          </w:p>
          <w:p w:rsidR="00E8101A" w:rsidRDefault="00E8101A" w:rsidP="00777B88">
            <w:pPr>
              <w:rPr>
                <w:rFonts w:cstheme="minorHAnsi"/>
                <w:b/>
              </w:rPr>
            </w:pPr>
          </w:p>
        </w:tc>
        <w:tc>
          <w:tcPr>
            <w:tcW w:w="943" w:type="dxa"/>
          </w:tcPr>
          <w:p w:rsidR="00E8101A" w:rsidRDefault="00E8101A" w:rsidP="00907C37">
            <w:pPr>
              <w:jc w:val="center"/>
              <w:rPr>
                <w:rFonts w:cs="Arial"/>
              </w:rPr>
            </w:pPr>
            <w:r>
              <w:rPr>
                <w:rFonts w:cs="Arial"/>
              </w:rPr>
              <w:t>10</w:t>
            </w:r>
          </w:p>
        </w:tc>
        <w:tc>
          <w:tcPr>
            <w:tcW w:w="1305" w:type="dxa"/>
          </w:tcPr>
          <w:p w:rsidR="00E8101A" w:rsidRPr="00BA55FD" w:rsidRDefault="00BA55FD" w:rsidP="006E6D03">
            <w:pPr>
              <w:jc w:val="center"/>
              <w:rPr>
                <w:rFonts w:cs="Arial"/>
                <w:b/>
              </w:rPr>
            </w:pPr>
            <w:r w:rsidRPr="00BA55FD">
              <w:rPr>
                <w:rFonts w:cs="Arial"/>
                <w:b/>
              </w:rPr>
              <w:t>L</w:t>
            </w:r>
          </w:p>
        </w:tc>
      </w:tr>
      <w:tr w:rsidR="00E8101A" w:rsidTr="00E8101A">
        <w:tc>
          <w:tcPr>
            <w:tcW w:w="710" w:type="dxa"/>
          </w:tcPr>
          <w:p w:rsidR="00E8101A" w:rsidRPr="00415B4C" w:rsidRDefault="00E8101A" w:rsidP="00907C37">
            <w:pPr>
              <w:pStyle w:val="ListParagraph"/>
              <w:numPr>
                <w:ilvl w:val="0"/>
                <w:numId w:val="3"/>
              </w:numPr>
              <w:tabs>
                <w:tab w:val="left" w:pos="360"/>
              </w:tabs>
              <w:ind w:left="0" w:firstLine="0"/>
              <w:jc w:val="center"/>
              <w:rPr>
                <w:rFonts w:cs="Arial"/>
                <w:b/>
              </w:rPr>
            </w:pPr>
          </w:p>
        </w:tc>
        <w:tc>
          <w:tcPr>
            <w:tcW w:w="6780" w:type="dxa"/>
          </w:tcPr>
          <w:p w:rsidR="00E8101A" w:rsidRDefault="00E8101A" w:rsidP="009D4F60">
            <w:pPr>
              <w:rPr>
                <w:rFonts w:cs="Arial"/>
                <w:b/>
              </w:rPr>
            </w:pPr>
            <w:r>
              <w:rPr>
                <w:rFonts w:cs="Arial"/>
                <w:b/>
              </w:rPr>
              <w:t>Any other business</w:t>
            </w:r>
          </w:p>
          <w:p w:rsidR="00E8101A" w:rsidRPr="007902D5" w:rsidRDefault="00E8101A" w:rsidP="009D4F60">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E8101A" w:rsidRDefault="00E8101A" w:rsidP="00907C37">
            <w:pPr>
              <w:rPr>
                <w:rFonts w:cs="Arial"/>
                <w:b/>
              </w:rPr>
            </w:pPr>
          </w:p>
        </w:tc>
        <w:tc>
          <w:tcPr>
            <w:tcW w:w="943" w:type="dxa"/>
          </w:tcPr>
          <w:p w:rsidR="00E8101A" w:rsidRDefault="00E8101A" w:rsidP="00907C37">
            <w:pPr>
              <w:jc w:val="center"/>
              <w:rPr>
                <w:rFonts w:cs="Arial"/>
              </w:rPr>
            </w:pPr>
            <w:r>
              <w:rPr>
                <w:rFonts w:cs="Arial"/>
              </w:rPr>
              <w:t>5</w:t>
            </w:r>
          </w:p>
        </w:tc>
        <w:tc>
          <w:tcPr>
            <w:tcW w:w="1305" w:type="dxa"/>
          </w:tcPr>
          <w:p w:rsidR="00E8101A" w:rsidRPr="006E73FF" w:rsidRDefault="00E8101A" w:rsidP="00954287">
            <w:pPr>
              <w:jc w:val="center"/>
              <w:rPr>
                <w:rFonts w:cs="Arial"/>
              </w:rPr>
            </w:pPr>
            <w:r w:rsidRPr="006E73FF">
              <w:rPr>
                <w:rFonts w:cs="Arial"/>
              </w:rPr>
              <w:t>Verbal</w:t>
            </w:r>
          </w:p>
          <w:p w:rsidR="00E8101A" w:rsidRPr="000F32A6" w:rsidRDefault="00E8101A" w:rsidP="00954287">
            <w:pPr>
              <w:jc w:val="center"/>
              <w:rPr>
                <w:rFonts w:cs="Arial"/>
                <w:b/>
              </w:rPr>
            </w:pPr>
          </w:p>
        </w:tc>
      </w:tr>
      <w:tr w:rsidR="00E8101A" w:rsidTr="00E8101A">
        <w:tc>
          <w:tcPr>
            <w:tcW w:w="710" w:type="dxa"/>
          </w:tcPr>
          <w:p w:rsidR="00E8101A" w:rsidRPr="006E73FF" w:rsidRDefault="00E8101A" w:rsidP="006E6D03">
            <w:pPr>
              <w:pStyle w:val="ListParagraph"/>
              <w:numPr>
                <w:ilvl w:val="0"/>
                <w:numId w:val="3"/>
              </w:numPr>
              <w:tabs>
                <w:tab w:val="left" w:pos="360"/>
              </w:tabs>
              <w:ind w:left="0" w:firstLine="0"/>
              <w:jc w:val="center"/>
              <w:rPr>
                <w:rFonts w:cs="Arial"/>
                <w:b/>
              </w:rPr>
            </w:pPr>
          </w:p>
        </w:tc>
        <w:tc>
          <w:tcPr>
            <w:tcW w:w="6780" w:type="dxa"/>
          </w:tcPr>
          <w:p w:rsidR="00E8101A" w:rsidRPr="006E73FF" w:rsidRDefault="00E8101A" w:rsidP="006E6D03">
            <w:pPr>
              <w:rPr>
                <w:rFonts w:cs="Arial"/>
                <w:b/>
              </w:rPr>
            </w:pPr>
            <w:r w:rsidRPr="006E73FF">
              <w:rPr>
                <w:rFonts w:cs="Arial"/>
                <w:b/>
              </w:rPr>
              <w:t>Questions from the public</w:t>
            </w:r>
          </w:p>
          <w:p w:rsidR="00E8101A" w:rsidRPr="006E73FF" w:rsidRDefault="00E8101A" w:rsidP="006E6D03">
            <w:pPr>
              <w:rPr>
                <w:rFonts w:cs="Arial"/>
                <w:b/>
              </w:rPr>
            </w:pPr>
          </w:p>
        </w:tc>
        <w:tc>
          <w:tcPr>
            <w:tcW w:w="943" w:type="dxa"/>
          </w:tcPr>
          <w:p w:rsidR="00E8101A" w:rsidRPr="006E73FF" w:rsidRDefault="00E8101A" w:rsidP="006E6D03">
            <w:pPr>
              <w:jc w:val="center"/>
              <w:rPr>
                <w:rFonts w:cs="Arial"/>
              </w:rPr>
            </w:pPr>
            <w:r>
              <w:rPr>
                <w:rFonts w:cs="Arial"/>
              </w:rPr>
              <w:t>5</w:t>
            </w:r>
          </w:p>
        </w:tc>
        <w:tc>
          <w:tcPr>
            <w:tcW w:w="1305" w:type="dxa"/>
          </w:tcPr>
          <w:p w:rsidR="00E8101A" w:rsidRPr="000F32A6" w:rsidRDefault="00E8101A" w:rsidP="00954287">
            <w:pPr>
              <w:jc w:val="center"/>
              <w:rPr>
                <w:rFonts w:cs="Arial"/>
                <w:b/>
              </w:rPr>
            </w:pPr>
          </w:p>
        </w:tc>
      </w:tr>
      <w:tr w:rsidR="00E8101A" w:rsidTr="00E8101A">
        <w:tc>
          <w:tcPr>
            <w:tcW w:w="710" w:type="dxa"/>
          </w:tcPr>
          <w:p w:rsidR="00E8101A" w:rsidRPr="00415B4C" w:rsidRDefault="00E8101A" w:rsidP="00AF19D5">
            <w:pPr>
              <w:pStyle w:val="ListParagraph"/>
              <w:numPr>
                <w:ilvl w:val="0"/>
                <w:numId w:val="3"/>
              </w:numPr>
              <w:tabs>
                <w:tab w:val="left" w:pos="360"/>
              </w:tabs>
              <w:ind w:left="0" w:firstLine="0"/>
              <w:jc w:val="center"/>
              <w:rPr>
                <w:rFonts w:cs="Arial"/>
                <w:b/>
              </w:rPr>
            </w:pPr>
          </w:p>
        </w:tc>
        <w:tc>
          <w:tcPr>
            <w:tcW w:w="6780" w:type="dxa"/>
          </w:tcPr>
          <w:p w:rsidR="00E8101A" w:rsidRDefault="00E8101A" w:rsidP="004D68EA">
            <w:pPr>
              <w:rPr>
                <w:rFonts w:cs="Arial"/>
                <w:b/>
              </w:rPr>
            </w:pPr>
            <w:r>
              <w:rPr>
                <w:rFonts w:cs="Arial"/>
                <w:b/>
              </w:rPr>
              <w:t>Date of next meeting</w:t>
            </w:r>
          </w:p>
          <w:p w:rsidR="00E8101A" w:rsidRDefault="00E8101A" w:rsidP="004D68EA">
            <w:pPr>
              <w:rPr>
                <w:rFonts w:cs="Arial"/>
                <w:b/>
              </w:rPr>
            </w:pPr>
          </w:p>
          <w:p w:rsidR="00E8101A" w:rsidRPr="00664A6C" w:rsidRDefault="00E8101A" w:rsidP="00664A6C">
            <w:pPr>
              <w:rPr>
                <w:rFonts w:cs="Arial"/>
              </w:rPr>
            </w:pPr>
            <w:r>
              <w:rPr>
                <w:rFonts w:cs="Arial"/>
              </w:rPr>
              <w:t>16 September 2015</w:t>
            </w:r>
          </w:p>
          <w:p w:rsidR="00E8101A" w:rsidRDefault="00E8101A" w:rsidP="00664A6C">
            <w:pPr>
              <w:rPr>
                <w:rFonts w:cs="Arial"/>
                <w:b/>
              </w:rPr>
            </w:pPr>
          </w:p>
        </w:tc>
        <w:tc>
          <w:tcPr>
            <w:tcW w:w="943" w:type="dxa"/>
          </w:tcPr>
          <w:p w:rsidR="00E8101A" w:rsidRDefault="00E8101A" w:rsidP="00F95E26">
            <w:pPr>
              <w:jc w:val="center"/>
              <w:rPr>
                <w:rFonts w:cs="Arial"/>
              </w:rPr>
            </w:pPr>
          </w:p>
        </w:tc>
        <w:tc>
          <w:tcPr>
            <w:tcW w:w="1305" w:type="dxa"/>
          </w:tcPr>
          <w:p w:rsidR="00E8101A" w:rsidRDefault="00E8101A" w:rsidP="00AF19D5">
            <w:pPr>
              <w:jc w:val="center"/>
              <w:rPr>
                <w:rFonts w:cs="Arial"/>
              </w:rPr>
            </w:pPr>
          </w:p>
        </w:tc>
      </w:tr>
      <w:tr w:rsidR="00E8101A" w:rsidTr="00E8101A">
        <w:tc>
          <w:tcPr>
            <w:tcW w:w="710" w:type="dxa"/>
          </w:tcPr>
          <w:p w:rsidR="00E8101A" w:rsidRPr="006E73FF" w:rsidRDefault="00E8101A" w:rsidP="00EC6C70">
            <w:pPr>
              <w:pStyle w:val="ListParagraph"/>
              <w:numPr>
                <w:ilvl w:val="0"/>
                <w:numId w:val="3"/>
              </w:numPr>
              <w:tabs>
                <w:tab w:val="left" w:pos="360"/>
              </w:tabs>
              <w:ind w:left="0" w:firstLine="0"/>
              <w:jc w:val="center"/>
              <w:rPr>
                <w:rFonts w:cs="Arial"/>
                <w:b/>
              </w:rPr>
            </w:pPr>
          </w:p>
        </w:tc>
        <w:tc>
          <w:tcPr>
            <w:tcW w:w="6780" w:type="dxa"/>
          </w:tcPr>
          <w:p w:rsidR="00E8101A" w:rsidRPr="006E73FF" w:rsidRDefault="00E8101A" w:rsidP="00EC6C70">
            <w:pPr>
              <w:rPr>
                <w:rFonts w:cs="Arial"/>
                <w:b/>
              </w:rPr>
            </w:pPr>
            <w:r w:rsidRPr="006E73FF">
              <w:rPr>
                <w:rFonts w:cs="Arial"/>
                <w:b/>
              </w:rPr>
              <w:t>Resolution to exclude members of the public</w:t>
            </w:r>
          </w:p>
          <w:p w:rsidR="00E8101A" w:rsidRPr="006E73FF" w:rsidRDefault="00E8101A" w:rsidP="00EC6C70">
            <w:pPr>
              <w:rPr>
                <w:rFonts w:cs="Arial"/>
              </w:rPr>
            </w:pPr>
          </w:p>
          <w:p w:rsidR="00E8101A" w:rsidRPr="006E73FF" w:rsidRDefault="00E8101A"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E8101A" w:rsidRPr="006E73FF" w:rsidRDefault="00E8101A" w:rsidP="00EC6C70">
            <w:pPr>
              <w:rPr>
                <w:rFonts w:cs="Arial"/>
                <w:i/>
              </w:rPr>
            </w:pPr>
          </w:p>
        </w:tc>
        <w:tc>
          <w:tcPr>
            <w:tcW w:w="943" w:type="dxa"/>
          </w:tcPr>
          <w:p w:rsidR="00E8101A" w:rsidRPr="006E73FF" w:rsidRDefault="00E8101A" w:rsidP="00EC6C70">
            <w:pPr>
              <w:jc w:val="center"/>
              <w:rPr>
                <w:rFonts w:cs="Arial"/>
              </w:rPr>
            </w:pPr>
          </w:p>
        </w:tc>
        <w:tc>
          <w:tcPr>
            <w:tcW w:w="1305" w:type="dxa"/>
          </w:tcPr>
          <w:p w:rsidR="00E8101A" w:rsidRPr="006E73FF" w:rsidRDefault="00E8101A"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Default="000452D5" w:rsidP="000452D5">
      <w:pPr>
        <w:tabs>
          <w:tab w:val="left" w:pos="3000"/>
        </w:tabs>
        <w:rPr>
          <w:sz w:val="24"/>
          <w:szCs w:val="24"/>
        </w:rPr>
      </w:pPr>
      <w:r>
        <w:rPr>
          <w:sz w:val="24"/>
          <w:szCs w:val="24"/>
        </w:rPr>
        <w:tab/>
      </w: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Default="006A1721" w:rsidP="006A1721">
      <w:pPr>
        <w:rPr>
          <w:sz w:val="24"/>
          <w:szCs w:val="24"/>
        </w:rPr>
      </w:pP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432F9">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432F9">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121247">
              <w:rPr>
                <w:sz w:val="18"/>
                <w:szCs w:val="18"/>
              </w:rPr>
              <w:t>0</w:t>
            </w:r>
            <w:r w:rsidR="00DA217B">
              <w:rPr>
                <w:sz w:val="18"/>
                <w:szCs w:val="18"/>
              </w:rPr>
              <w:t>7.22</w:t>
            </w:r>
            <w:r w:rsidR="009D4F60">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432F9">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432F9">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8F5213">
          <w:rPr>
            <w:sz w:val="18"/>
            <w:szCs w:val="18"/>
          </w:rPr>
          <w:t>0</w:t>
        </w:r>
        <w:r w:rsidR="00DA217B">
          <w:rPr>
            <w:sz w:val="18"/>
            <w:szCs w:val="18"/>
          </w:rPr>
          <w:t>7</w:t>
        </w:r>
        <w:r w:rsidR="00121247">
          <w:rPr>
            <w:sz w:val="18"/>
            <w:szCs w:val="18"/>
          </w:rPr>
          <w:t>.</w:t>
        </w:r>
        <w:r w:rsidR="009D4F60">
          <w:rPr>
            <w:sz w:val="18"/>
            <w:szCs w:val="18"/>
          </w:rPr>
          <w:t>2</w:t>
        </w:r>
        <w:r w:rsidR="00DA217B">
          <w:rPr>
            <w:sz w:val="18"/>
            <w:szCs w:val="18"/>
          </w:rPr>
          <w:t>2</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B6D00"/>
    <w:multiLevelType w:val="hybridMultilevel"/>
    <w:tmpl w:val="2EEEAB7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12"/>
  </w:num>
  <w:num w:numId="5">
    <w:abstractNumId w:val="8"/>
  </w:num>
  <w:num w:numId="6">
    <w:abstractNumId w:val="0"/>
  </w:num>
  <w:num w:numId="7">
    <w:abstractNumId w:val="14"/>
  </w:num>
  <w:num w:numId="8">
    <w:abstractNumId w:val="11"/>
  </w:num>
  <w:num w:numId="9">
    <w:abstractNumId w:val="2"/>
  </w:num>
  <w:num w:numId="10">
    <w:abstractNumId w:val="7"/>
  </w:num>
  <w:num w:numId="11">
    <w:abstractNumId w:val="22"/>
  </w:num>
  <w:num w:numId="12">
    <w:abstractNumId w:val="10"/>
  </w:num>
  <w:num w:numId="13">
    <w:abstractNumId w:val="24"/>
  </w:num>
  <w:num w:numId="14">
    <w:abstractNumId w:val="15"/>
  </w:num>
  <w:num w:numId="15">
    <w:abstractNumId w:val="4"/>
  </w:num>
  <w:num w:numId="16">
    <w:abstractNumId w:val="17"/>
  </w:num>
  <w:num w:numId="17">
    <w:abstractNumId w:val="5"/>
  </w:num>
  <w:num w:numId="18">
    <w:abstractNumId w:val="21"/>
  </w:num>
  <w:num w:numId="19">
    <w:abstractNumId w:val="3"/>
  </w:num>
  <w:num w:numId="20">
    <w:abstractNumId w:val="6"/>
  </w:num>
  <w:num w:numId="21">
    <w:abstractNumId w:val="16"/>
  </w:num>
  <w:num w:numId="22">
    <w:abstractNumId w:val="13"/>
  </w:num>
  <w:num w:numId="23">
    <w:abstractNumId w:val="18"/>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4BD3"/>
    <w:rsid w:val="000804CD"/>
    <w:rsid w:val="00081775"/>
    <w:rsid w:val="000B15C8"/>
    <w:rsid w:val="000B2532"/>
    <w:rsid w:val="000B5923"/>
    <w:rsid w:val="000C270F"/>
    <w:rsid w:val="000C7FA6"/>
    <w:rsid w:val="000D0492"/>
    <w:rsid w:val="000D2DCF"/>
    <w:rsid w:val="000D5BA2"/>
    <w:rsid w:val="000E5BF9"/>
    <w:rsid w:val="000F32A6"/>
    <w:rsid w:val="000F4214"/>
    <w:rsid w:val="000F42F4"/>
    <w:rsid w:val="00120252"/>
    <w:rsid w:val="00121247"/>
    <w:rsid w:val="00121504"/>
    <w:rsid w:val="00121E87"/>
    <w:rsid w:val="00130ED3"/>
    <w:rsid w:val="00136FB3"/>
    <w:rsid w:val="00137843"/>
    <w:rsid w:val="001442D6"/>
    <w:rsid w:val="001470E2"/>
    <w:rsid w:val="00153612"/>
    <w:rsid w:val="00167178"/>
    <w:rsid w:val="00175116"/>
    <w:rsid w:val="0017565C"/>
    <w:rsid w:val="001A4130"/>
    <w:rsid w:val="001B153D"/>
    <w:rsid w:val="001B41DD"/>
    <w:rsid w:val="001C0A64"/>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85A4D"/>
    <w:rsid w:val="0028784C"/>
    <w:rsid w:val="00295537"/>
    <w:rsid w:val="002A047A"/>
    <w:rsid w:val="002C3366"/>
    <w:rsid w:val="002C3ABB"/>
    <w:rsid w:val="002D178C"/>
    <w:rsid w:val="002D7186"/>
    <w:rsid w:val="002E479D"/>
    <w:rsid w:val="002E77B7"/>
    <w:rsid w:val="002F0375"/>
    <w:rsid w:val="002F0D44"/>
    <w:rsid w:val="002F51E5"/>
    <w:rsid w:val="002F5FD4"/>
    <w:rsid w:val="0030307B"/>
    <w:rsid w:val="0031271D"/>
    <w:rsid w:val="0032081B"/>
    <w:rsid w:val="00320889"/>
    <w:rsid w:val="00326982"/>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B01B9"/>
    <w:rsid w:val="004B0304"/>
    <w:rsid w:val="004B11BA"/>
    <w:rsid w:val="004D5808"/>
    <w:rsid w:val="004D6435"/>
    <w:rsid w:val="004D68EA"/>
    <w:rsid w:val="004F1049"/>
    <w:rsid w:val="00504D4E"/>
    <w:rsid w:val="005060C9"/>
    <w:rsid w:val="00531EDB"/>
    <w:rsid w:val="00541A0C"/>
    <w:rsid w:val="00546B5B"/>
    <w:rsid w:val="00546E59"/>
    <w:rsid w:val="00592583"/>
    <w:rsid w:val="005A3DB2"/>
    <w:rsid w:val="005A56B1"/>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81EDE"/>
    <w:rsid w:val="00785F63"/>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253E"/>
    <w:rsid w:val="00844085"/>
    <w:rsid w:val="0085029B"/>
    <w:rsid w:val="008510F4"/>
    <w:rsid w:val="00854CB9"/>
    <w:rsid w:val="008647AF"/>
    <w:rsid w:val="00865C82"/>
    <w:rsid w:val="0087304C"/>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4F60"/>
    <w:rsid w:val="009D620E"/>
    <w:rsid w:val="009D630B"/>
    <w:rsid w:val="009E5B49"/>
    <w:rsid w:val="009F42C6"/>
    <w:rsid w:val="00A05DCC"/>
    <w:rsid w:val="00A0755C"/>
    <w:rsid w:val="00A07BFB"/>
    <w:rsid w:val="00A11711"/>
    <w:rsid w:val="00A13562"/>
    <w:rsid w:val="00A17A3F"/>
    <w:rsid w:val="00A20222"/>
    <w:rsid w:val="00A349D7"/>
    <w:rsid w:val="00A639BF"/>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8A0"/>
    <w:rsid w:val="00B25C4C"/>
    <w:rsid w:val="00B31C86"/>
    <w:rsid w:val="00B335D2"/>
    <w:rsid w:val="00B34641"/>
    <w:rsid w:val="00B41E51"/>
    <w:rsid w:val="00B51250"/>
    <w:rsid w:val="00B52FE2"/>
    <w:rsid w:val="00B60B81"/>
    <w:rsid w:val="00B61BEC"/>
    <w:rsid w:val="00B660AB"/>
    <w:rsid w:val="00B70FE8"/>
    <w:rsid w:val="00B72E55"/>
    <w:rsid w:val="00B745F3"/>
    <w:rsid w:val="00B77B47"/>
    <w:rsid w:val="00B86922"/>
    <w:rsid w:val="00B869CC"/>
    <w:rsid w:val="00B87D4F"/>
    <w:rsid w:val="00B90344"/>
    <w:rsid w:val="00B93139"/>
    <w:rsid w:val="00BA55FD"/>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B2D9A"/>
    <w:rsid w:val="00CD336E"/>
    <w:rsid w:val="00CD3855"/>
    <w:rsid w:val="00CD437C"/>
    <w:rsid w:val="00CE059A"/>
    <w:rsid w:val="00CF0223"/>
    <w:rsid w:val="00CF0A97"/>
    <w:rsid w:val="00CF1872"/>
    <w:rsid w:val="00D07416"/>
    <w:rsid w:val="00D079AC"/>
    <w:rsid w:val="00D13FA0"/>
    <w:rsid w:val="00D14F0B"/>
    <w:rsid w:val="00D1669A"/>
    <w:rsid w:val="00D21365"/>
    <w:rsid w:val="00D33996"/>
    <w:rsid w:val="00D36B29"/>
    <w:rsid w:val="00D42585"/>
    <w:rsid w:val="00D4295C"/>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30CF7"/>
    <w:rsid w:val="00E432F9"/>
    <w:rsid w:val="00E53D13"/>
    <w:rsid w:val="00E701E8"/>
    <w:rsid w:val="00E70959"/>
    <w:rsid w:val="00E70CAE"/>
    <w:rsid w:val="00E8101A"/>
    <w:rsid w:val="00E83E27"/>
    <w:rsid w:val="00E876E2"/>
    <w:rsid w:val="00E97468"/>
    <w:rsid w:val="00EA0DE4"/>
    <w:rsid w:val="00EC1AF7"/>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57</cp:revision>
  <cp:lastPrinted>2015-07-10T08:46:00Z</cp:lastPrinted>
  <dcterms:created xsi:type="dcterms:W3CDTF">2014-10-02T09:48:00Z</dcterms:created>
  <dcterms:modified xsi:type="dcterms:W3CDTF">2015-07-15T18:45:00Z</dcterms:modified>
</cp:coreProperties>
</file>