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49" w:rsidRDefault="00535149" w:rsidP="00535149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535149" w:rsidRPr="00FF7CBA" w:rsidRDefault="00535149" w:rsidP="00535149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535149" w:rsidTr="00386EC7">
        <w:tc>
          <w:tcPr>
            <w:tcW w:w="3420" w:type="dxa"/>
          </w:tcPr>
          <w:p w:rsidR="00535149" w:rsidRPr="001B0E16" w:rsidRDefault="00535149" w:rsidP="00386EC7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535149" w:rsidRPr="001B0E16" w:rsidRDefault="002B6DDD" w:rsidP="00386E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11</w:t>
            </w:r>
          </w:p>
        </w:tc>
      </w:tr>
      <w:tr w:rsidR="00535149" w:rsidTr="00386EC7">
        <w:tc>
          <w:tcPr>
            <w:tcW w:w="3420" w:type="dxa"/>
          </w:tcPr>
          <w:p w:rsidR="00535149" w:rsidRPr="001B0E16" w:rsidRDefault="00535149" w:rsidP="00386EC7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535149" w:rsidRPr="001B0E16" w:rsidRDefault="002B6DDD" w:rsidP="00386E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G</w:t>
            </w:r>
            <w:bookmarkStart w:id="0" w:name="_GoBack"/>
            <w:bookmarkEnd w:id="0"/>
          </w:p>
        </w:tc>
      </w:tr>
    </w:tbl>
    <w:p w:rsidR="00535149" w:rsidRPr="0000688A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Default="00535149" w:rsidP="00535149">
      <w:pPr>
        <w:jc w:val="center"/>
        <w:rPr>
          <w:rFonts w:cstheme="minorHAnsi"/>
          <w:b/>
          <w:sz w:val="40"/>
          <w:szCs w:val="40"/>
        </w:rPr>
      </w:pPr>
    </w:p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jc w:val="center"/>
        <w:rPr>
          <w:rFonts w:cstheme="minorHAnsi"/>
          <w:b/>
          <w:sz w:val="44"/>
          <w:szCs w:val="44"/>
        </w:rPr>
      </w:pPr>
      <w:r w:rsidRPr="00151DBF">
        <w:rPr>
          <w:rFonts w:cstheme="minorHAnsi"/>
          <w:b/>
          <w:sz w:val="44"/>
          <w:szCs w:val="44"/>
        </w:rPr>
        <w:t xml:space="preserve">HRA </w:t>
      </w:r>
      <w:r w:rsidR="002B6DDD">
        <w:rPr>
          <w:rFonts w:cstheme="minorHAnsi"/>
          <w:b/>
          <w:sz w:val="44"/>
          <w:szCs w:val="44"/>
        </w:rPr>
        <w:t>BOARD</w:t>
      </w:r>
      <w:r w:rsidRPr="00151DBF">
        <w:rPr>
          <w:rFonts w:cstheme="minorHAnsi"/>
          <w:b/>
          <w:sz w:val="44"/>
          <w:szCs w:val="44"/>
        </w:rPr>
        <w:t xml:space="preserve"> COVER SHEET</w:t>
      </w:r>
    </w:p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074740" w:rsidRDefault="00074740" w:rsidP="00535149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Date of Meeting: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Default="002B6DDD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3C2F70">
              <w:rPr>
                <w:rFonts w:cstheme="minorHAnsi"/>
              </w:rPr>
              <w:t xml:space="preserve"> May</w:t>
            </w:r>
            <w:r w:rsidR="00074740">
              <w:rPr>
                <w:rFonts w:cstheme="minorHAnsi"/>
              </w:rPr>
              <w:t xml:space="preserve"> 2015</w:t>
            </w:r>
          </w:p>
          <w:p w:rsidR="00074740" w:rsidRDefault="00074740" w:rsidP="00F64FA3">
            <w:pPr>
              <w:rPr>
                <w:rFonts w:cstheme="minorHAnsi"/>
              </w:rPr>
            </w:pPr>
          </w:p>
          <w:p w:rsidR="00074740" w:rsidRPr="00C90060" w:rsidRDefault="00074740" w:rsidP="00F64FA3">
            <w:pPr>
              <w:rPr>
                <w:rFonts w:cstheme="minorHAnsi"/>
              </w:rPr>
            </w:pPr>
          </w:p>
        </w:tc>
      </w:tr>
    </w:tbl>
    <w:p w:rsidR="00074740" w:rsidRPr="00C90060" w:rsidRDefault="00074740" w:rsidP="00074740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74740" w:rsidRPr="00C90060" w:rsidTr="00F64FA3">
        <w:tc>
          <w:tcPr>
            <w:tcW w:w="2628" w:type="dxa"/>
          </w:tcPr>
          <w:p w:rsidR="0007474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Title of Paper:</w:t>
            </w:r>
          </w:p>
          <w:p w:rsidR="0007474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3C2F70" w:rsidP="003625C0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Appointing Authority Update </w:t>
            </w:r>
            <w:r w:rsidR="003625C0">
              <w:rPr>
                <w:rFonts w:ascii="Calibri" w:hAnsi="Calibri" w:cs="Calibri"/>
              </w:rPr>
              <w:t>April</w:t>
            </w:r>
            <w:r w:rsidR="00074740">
              <w:rPr>
                <w:rFonts w:ascii="Calibri" w:hAnsi="Calibri" w:cs="Calibri"/>
              </w:rPr>
              <w:t xml:space="preserve"> 2015</w:t>
            </w:r>
          </w:p>
        </w:tc>
      </w:tr>
      <w:tr w:rsidR="00074740" w:rsidRPr="00C90060" w:rsidTr="00F64FA3">
        <w:tc>
          <w:tcPr>
            <w:tcW w:w="2628" w:type="dxa"/>
          </w:tcPr>
          <w:p w:rsidR="0007474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Purpose of Paper: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3625C0">
            <w:pPr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To update the Board regarding th</w:t>
            </w:r>
            <w:r w:rsidR="003625C0">
              <w:rPr>
                <w:rFonts w:cstheme="minorHAnsi"/>
                <w:szCs w:val="24"/>
              </w:rPr>
              <w:t>e appointing authority business w</w:t>
            </w:r>
            <w:r>
              <w:rPr>
                <w:rFonts w:cstheme="minorHAnsi"/>
                <w:szCs w:val="24"/>
              </w:rPr>
              <w:t xml:space="preserve">hich has occurred </w:t>
            </w:r>
            <w:r w:rsidR="003625C0">
              <w:rPr>
                <w:rFonts w:cstheme="minorHAnsi"/>
                <w:szCs w:val="24"/>
              </w:rPr>
              <w:t>between February and April</w:t>
            </w:r>
            <w:r w:rsidR="003C2F70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2015.</w:t>
            </w:r>
          </w:p>
        </w:tc>
      </w:tr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Reason for Submission: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For information</w:t>
            </w:r>
          </w:p>
        </w:tc>
      </w:tr>
      <w:tr w:rsidR="00074740" w:rsidRPr="00C90060" w:rsidTr="00F64FA3">
        <w:tc>
          <w:tcPr>
            <w:tcW w:w="2628" w:type="dxa"/>
          </w:tcPr>
          <w:p w:rsidR="0007474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Details:</w:t>
            </w:r>
          </w:p>
          <w:p w:rsidR="0007474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3C2F70" w:rsidRDefault="003C2F70" w:rsidP="003C2F7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The HRA is the appointing authority for all Research Ethics Committees in England and for the Confidentiality Advisory Group. </w:t>
            </w:r>
          </w:p>
          <w:p w:rsidR="003C2F70" w:rsidRDefault="003C2F70" w:rsidP="00074740">
            <w:pPr>
              <w:rPr>
                <w:rFonts w:cstheme="minorHAnsi"/>
                <w:szCs w:val="24"/>
              </w:rPr>
            </w:pPr>
          </w:p>
          <w:p w:rsidR="00CD4E9F" w:rsidRDefault="00074740" w:rsidP="00074740">
            <w:pPr>
              <w:rPr>
                <w:rFonts w:cstheme="minorHAnsi"/>
                <w:szCs w:val="24"/>
              </w:rPr>
            </w:pPr>
            <w:r w:rsidRPr="001F6A9F">
              <w:rPr>
                <w:rFonts w:cstheme="minorHAnsi"/>
                <w:szCs w:val="24"/>
              </w:rPr>
              <w:t xml:space="preserve">There is nothing of note to flag to </w:t>
            </w:r>
            <w:r>
              <w:rPr>
                <w:rFonts w:cstheme="minorHAnsi"/>
                <w:szCs w:val="24"/>
              </w:rPr>
              <w:t>the Board.</w:t>
            </w:r>
          </w:p>
          <w:p w:rsidR="00074740" w:rsidRPr="00C90060" w:rsidRDefault="00074740" w:rsidP="003C2F70">
            <w:pPr>
              <w:rPr>
                <w:rFonts w:cstheme="minorHAnsi"/>
              </w:rPr>
            </w:pPr>
          </w:p>
        </w:tc>
      </w:tr>
      <w:tr w:rsidR="00074740" w:rsidRPr="00C90060" w:rsidTr="00F64FA3">
        <w:tc>
          <w:tcPr>
            <w:tcW w:w="2628" w:type="dxa"/>
          </w:tcPr>
          <w:p w:rsidR="00074740" w:rsidRDefault="00074740" w:rsidP="00F64F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 required for item:</w:t>
            </w:r>
          </w:p>
          <w:p w:rsidR="0007474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</w:tbl>
    <w:p w:rsidR="00074740" w:rsidRPr="00C90060" w:rsidRDefault="00074740" w:rsidP="00074740">
      <w:pPr>
        <w:rPr>
          <w:rFonts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074740" w:rsidRPr="00C90060" w:rsidTr="00F64FA3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Recommendation / Proposed Actions: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</w:tr>
      <w:tr w:rsidR="00074740" w:rsidRPr="00C90060" w:rsidTr="00F64FA3">
        <w:tc>
          <w:tcPr>
            <w:tcW w:w="2628" w:type="dxa"/>
            <w:vMerge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074740" w:rsidRPr="00C90060" w:rsidRDefault="003C2F70" w:rsidP="00F64F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</w:tr>
      <w:tr w:rsidR="00074740" w:rsidRPr="00C90060" w:rsidTr="00F64FA3">
        <w:tc>
          <w:tcPr>
            <w:tcW w:w="2628" w:type="dxa"/>
            <w:vMerge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</w:tr>
      <w:tr w:rsidR="00074740" w:rsidRPr="00C90060" w:rsidTr="00F64FA3">
        <w:tc>
          <w:tcPr>
            <w:tcW w:w="2628" w:type="dxa"/>
            <w:vMerge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</w:tr>
    </w:tbl>
    <w:p w:rsidR="00074740" w:rsidRPr="00C90060" w:rsidRDefault="00074740" w:rsidP="00074740">
      <w:pPr>
        <w:tabs>
          <w:tab w:val="left" w:pos="1980"/>
        </w:tabs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Name: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Stephen Tebbutt</w:t>
            </w:r>
          </w:p>
          <w:p w:rsidR="00074740" w:rsidRPr="00C90060" w:rsidRDefault="00074740" w:rsidP="00F64FA3">
            <w:pPr>
              <w:rPr>
                <w:rFonts w:cstheme="minorHAnsi"/>
              </w:rPr>
            </w:pPr>
          </w:p>
        </w:tc>
      </w:tr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Job Title: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Board Secretary and Chief Executive Business Manager</w:t>
            </w:r>
          </w:p>
          <w:p w:rsidR="00074740" w:rsidRPr="00C90060" w:rsidRDefault="00074740" w:rsidP="00F64FA3">
            <w:pPr>
              <w:rPr>
                <w:rFonts w:cstheme="minorHAnsi"/>
              </w:rPr>
            </w:pPr>
          </w:p>
        </w:tc>
      </w:tr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Date: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3C2F70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01/05/2015</w:t>
            </w:r>
          </w:p>
          <w:p w:rsidR="00074740" w:rsidRPr="00C90060" w:rsidRDefault="00074740" w:rsidP="00F64FA3">
            <w:pPr>
              <w:rPr>
                <w:rFonts w:cstheme="minorHAnsi"/>
              </w:rPr>
            </w:pPr>
          </w:p>
        </w:tc>
      </w:tr>
    </w:tbl>
    <w:p w:rsidR="00074740" w:rsidRPr="00C90060" w:rsidRDefault="00074740" w:rsidP="00074740">
      <w:pPr>
        <w:tabs>
          <w:tab w:val="left" w:pos="1980"/>
        </w:tabs>
        <w:rPr>
          <w:rFonts w:cstheme="minorHAnsi"/>
          <w:b/>
        </w:rPr>
      </w:pPr>
    </w:p>
    <w:p w:rsidR="00535149" w:rsidRDefault="00535149">
      <w:pPr>
        <w:rPr>
          <w:rFonts w:ascii="Arial" w:eastAsia="Times New Roman" w:hAnsi="Arial" w:cs="Arial"/>
          <w:b/>
          <w:noProof/>
          <w:lang w:eastAsia="en-GB"/>
        </w:rPr>
        <w:sectPr w:rsidR="00535149" w:rsidSect="0053514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40" w:bottom="1440" w:left="1440" w:header="709" w:footer="709" w:gutter="0"/>
          <w:cols w:space="708"/>
          <w:titlePg/>
          <w:docGrid w:linePitch="360"/>
        </w:sectPr>
      </w:pPr>
    </w:p>
    <w:p w:rsidR="00535149" w:rsidRDefault="00535149">
      <w:pPr>
        <w:rPr>
          <w:rFonts w:ascii="Arial" w:eastAsia="Times New Roman" w:hAnsi="Arial" w:cs="Arial"/>
          <w:b/>
          <w:noProof/>
          <w:lang w:eastAsia="en-GB"/>
        </w:rPr>
      </w:pPr>
    </w:p>
    <w:p w:rsidR="0008084D" w:rsidRDefault="0008084D" w:rsidP="0008084D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6D1051" w:rsidRDefault="0043503C" w:rsidP="004350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Appointing Authority update for HRA Board </w:t>
      </w:r>
      <w:r w:rsidR="006D1051">
        <w:rPr>
          <w:rFonts w:cs="Arial"/>
          <w:b/>
          <w:sz w:val="28"/>
          <w:szCs w:val="28"/>
        </w:rPr>
        <w:t>M</w:t>
      </w:r>
      <w:r>
        <w:rPr>
          <w:rFonts w:cs="Arial"/>
          <w:b/>
          <w:sz w:val="28"/>
          <w:szCs w:val="28"/>
        </w:rPr>
        <w:t xml:space="preserve">eeting </w:t>
      </w:r>
    </w:p>
    <w:p w:rsidR="005F10D0" w:rsidRDefault="003625C0" w:rsidP="005F10D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April</w:t>
      </w:r>
      <w:r w:rsidR="00074740">
        <w:rPr>
          <w:rFonts w:cs="Arial"/>
          <w:b/>
          <w:sz w:val="28"/>
          <w:szCs w:val="28"/>
        </w:rPr>
        <w:t xml:space="preserve"> 2015</w:t>
      </w:r>
    </w:p>
    <w:p w:rsidR="0043503C" w:rsidRPr="003555B3" w:rsidRDefault="0043503C" w:rsidP="0043503C">
      <w:pPr>
        <w:rPr>
          <w:rFonts w:cs="Arial"/>
          <w:b/>
        </w:rPr>
      </w:pPr>
    </w:p>
    <w:p w:rsidR="005E7AFD" w:rsidRPr="003555B3" w:rsidRDefault="005E7AFD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t xml:space="preserve">Accreditation </w:t>
      </w:r>
      <w:r w:rsidR="00DF1556" w:rsidRPr="003555B3">
        <w:rPr>
          <w:b/>
        </w:rPr>
        <w:t>update</w:t>
      </w:r>
    </w:p>
    <w:p w:rsidR="00752001" w:rsidRDefault="00752001" w:rsidP="0043503C">
      <w:pPr>
        <w:sectPr w:rsidR="00752001" w:rsidSect="00535149">
          <w:pgSz w:w="16838" w:h="11906" w:orient="landscape"/>
          <w:pgMar w:top="426" w:right="851" w:bottom="1440" w:left="1440" w:header="284" w:footer="709" w:gutter="0"/>
          <w:cols w:space="708"/>
          <w:titlePg/>
          <w:docGrid w:linePitch="360"/>
        </w:sectPr>
      </w:pPr>
    </w:p>
    <w:p w:rsidR="005E7AFD" w:rsidRPr="003555B3" w:rsidRDefault="005E7AFD" w:rsidP="0043503C"/>
    <w:p w:rsidR="00FD0328" w:rsidRPr="003555B3" w:rsidRDefault="00FD0328" w:rsidP="0043503C">
      <w:pPr>
        <w:rPr>
          <w:u w:val="single"/>
        </w:rPr>
        <w:sectPr w:rsidR="00FD0328" w:rsidRPr="003555B3" w:rsidSect="00752001">
          <w:type w:val="continuous"/>
          <w:pgSz w:w="16838" w:h="11906" w:orient="landscape"/>
          <w:pgMar w:top="426" w:right="851" w:bottom="1440" w:left="1440" w:header="284" w:footer="709" w:gutter="0"/>
          <w:cols w:space="708"/>
          <w:titlePg/>
          <w:docGrid w:linePitch="360"/>
        </w:sectPr>
      </w:pPr>
    </w:p>
    <w:p w:rsidR="006D1051" w:rsidRPr="003555B3" w:rsidRDefault="006D1051" w:rsidP="0043503C">
      <w:r w:rsidRPr="003555B3">
        <w:rPr>
          <w:u w:val="single"/>
        </w:rPr>
        <w:lastRenderedPageBreak/>
        <w:t>Full REC accreditation at first review</w:t>
      </w:r>
      <w:r w:rsidRPr="003555B3">
        <w:t xml:space="preserve"> </w:t>
      </w:r>
    </w:p>
    <w:p w:rsidR="00752001" w:rsidRDefault="00711C6C" w:rsidP="00D73845">
      <w:pPr>
        <w:rPr>
          <w:rFonts w:cstheme="minorHAnsi"/>
        </w:rPr>
      </w:pPr>
      <w:r w:rsidRPr="00711C6C">
        <w:rPr>
          <w:rFonts w:cstheme="minorHAnsi"/>
        </w:rPr>
        <w:t>East of England – Cambridgeshire and Hertfordshire</w:t>
      </w:r>
    </w:p>
    <w:p w:rsidR="00920414" w:rsidRDefault="00920414" w:rsidP="00D73845">
      <w:pPr>
        <w:rPr>
          <w:rFonts w:cstheme="minorHAnsi"/>
        </w:rPr>
      </w:pPr>
      <w:r>
        <w:rPr>
          <w:rFonts w:cstheme="minorHAnsi"/>
        </w:rPr>
        <w:t>North West – GM West</w:t>
      </w:r>
    </w:p>
    <w:p w:rsidR="00920414" w:rsidRPr="00711C6C" w:rsidRDefault="00920414" w:rsidP="00D73845">
      <w:pPr>
        <w:rPr>
          <w:rFonts w:cstheme="minorHAnsi"/>
        </w:rPr>
      </w:pPr>
      <w:r>
        <w:rPr>
          <w:rFonts w:cstheme="minorHAnsi"/>
        </w:rPr>
        <w:t>London – Bromley</w:t>
      </w:r>
      <w:r>
        <w:rPr>
          <w:rFonts w:cstheme="minorHAnsi"/>
        </w:rPr>
        <w:br/>
        <w:t>north East – Tyne and Wear South</w:t>
      </w:r>
    </w:p>
    <w:p w:rsidR="00711C6C" w:rsidRDefault="00711C6C" w:rsidP="00D73845">
      <w:pPr>
        <w:rPr>
          <w:rFonts w:cstheme="minorHAnsi"/>
          <w:u w:val="single"/>
        </w:rPr>
      </w:pPr>
    </w:p>
    <w:p w:rsidR="006D1051" w:rsidRPr="005F10D0" w:rsidRDefault="006D1051" w:rsidP="00D73845">
      <w:pPr>
        <w:rPr>
          <w:rFonts w:cstheme="minorHAnsi"/>
          <w:u w:val="single"/>
        </w:rPr>
      </w:pPr>
      <w:r w:rsidRPr="005F10D0">
        <w:rPr>
          <w:rFonts w:cstheme="minorHAnsi"/>
          <w:u w:val="single"/>
        </w:rPr>
        <w:t>Full REC accreditation after completion of action plan</w:t>
      </w:r>
    </w:p>
    <w:p w:rsidR="00711C6C" w:rsidRDefault="00711C6C" w:rsidP="00FE5339">
      <w:pPr>
        <w:rPr>
          <w:rFonts w:cstheme="minorHAnsi"/>
        </w:rPr>
      </w:pPr>
      <w:r>
        <w:rPr>
          <w:rFonts w:cstheme="minorHAnsi"/>
        </w:rPr>
        <w:t>London – Chelsea</w:t>
      </w:r>
    </w:p>
    <w:p w:rsidR="00711C6C" w:rsidRDefault="00711C6C" w:rsidP="00FE5339">
      <w:pPr>
        <w:rPr>
          <w:rFonts w:cstheme="minorHAnsi"/>
        </w:rPr>
      </w:pPr>
      <w:r>
        <w:rPr>
          <w:rFonts w:cstheme="minorHAnsi"/>
        </w:rPr>
        <w:t>London – Surrey Borders</w:t>
      </w:r>
    </w:p>
    <w:p w:rsidR="00920414" w:rsidRDefault="00920414" w:rsidP="00FE5339">
      <w:pPr>
        <w:rPr>
          <w:rFonts w:cstheme="minorHAnsi"/>
        </w:rPr>
      </w:pPr>
      <w:r>
        <w:rPr>
          <w:rFonts w:cstheme="minorHAnsi"/>
        </w:rPr>
        <w:t xml:space="preserve">South West – Exeter </w:t>
      </w:r>
    </w:p>
    <w:p w:rsidR="00920414" w:rsidRDefault="00920414" w:rsidP="00FE5339">
      <w:pPr>
        <w:rPr>
          <w:rFonts w:cstheme="minorHAnsi"/>
        </w:rPr>
      </w:pPr>
      <w:r>
        <w:rPr>
          <w:rFonts w:cstheme="minorHAnsi"/>
        </w:rPr>
        <w:t xml:space="preserve">London – Central </w:t>
      </w:r>
    </w:p>
    <w:p w:rsidR="00920414" w:rsidRDefault="00920414" w:rsidP="00FE5339">
      <w:pPr>
        <w:rPr>
          <w:rFonts w:cstheme="minorHAnsi"/>
        </w:rPr>
      </w:pPr>
      <w:r>
        <w:rPr>
          <w:rFonts w:cstheme="minorHAnsi"/>
        </w:rPr>
        <w:lastRenderedPageBreak/>
        <w:t xml:space="preserve">East Midlands – Leicester </w:t>
      </w:r>
    </w:p>
    <w:p w:rsidR="00920414" w:rsidRDefault="00920414" w:rsidP="00FE5339">
      <w:pPr>
        <w:rPr>
          <w:rFonts w:cstheme="minorHAnsi"/>
        </w:rPr>
      </w:pPr>
      <w:r>
        <w:rPr>
          <w:rFonts w:cstheme="minorHAnsi"/>
        </w:rPr>
        <w:t>East Midlands - Derby</w:t>
      </w:r>
    </w:p>
    <w:p w:rsidR="00752001" w:rsidRDefault="00752001" w:rsidP="00FE5339">
      <w:pPr>
        <w:rPr>
          <w:rFonts w:cstheme="minorHAnsi"/>
        </w:rPr>
      </w:pPr>
    </w:p>
    <w:p w:rsidR="00140FD5" w:rsidRPr="005F10D0" w:rsidRDefault="00140FD5" w:rsidP="00FE5339">
      <w:pPr>
        <w:rPr>
          <w:rFonts w:cstheme="minorHAnsi"/>
          <w:u w:val="single"/>
        </w:rPr>
      </w:pPr>
      <w:r w:rsidRPr="005F10D0">
        <w:rPr>
          <w:rFonts w:cstheme="minorHAnsi"/>
          <w:u w:val="single"/>
        </w:rPr>
        <w:t>Accreditation with conditions</w:t>
      </w:r>
    </w:p>
    <w:p w:rsidR="007861C9" w:rsidRDefault="007861C9" w:rsidP="00FE5339">
      <w:pPr>
        <w:rPr>
          <w:rFonts w:cstheme="minorHAnsi"/>
        </w:rPr>
      </w:pPr>
      <w:r>
        <w:rPr>
          <w:rFonts w:cstheme="minorHAnsi"/>
        </w:rPr>
        <w:t>North West – GM East</w:t>
      </w:r>
    </w:p>
    <w:p w:rsidR="00920414" w:rsidRDefault="00920414" w:rsidP="00920414">
      <w:pPr>
        <w:rPr>
          <w:rFonts w:cstheme="minorHAnsi"/>
        </w:rPr>
      </w:pPr>
      <w:r>
        <w:rPr>
          <w:rFonts w:cstheme="minorHAnsi"/>
        </w:rPr>
        <w:t>North West – Liverpool East</w:t>
      </w:r>
    </w:p>
    <w:p w:rsidR="00711C6C" w:rsidRDefault="00711C6C" w:rsidP="00FE5339">
      <w:pPr>
        <w:rPr>
          <w:rFonts w:cstheme="minorHAnsi"/>
        </w:rPr>
      </w:pPr>
      <w:r>
        <w:rPr>
          <w:rFonts w:cstheme="minorHAnsi"/>
        </w:rPr>
        <w:t>London – Queen Square</w:t>
      </w:r>
    </w:p>
    <w:p w:rsidR="00920414" w:rsidRDefault="00920414" w:rsidP="00FE5339">
      <w:pPr>
        <w:rPr>
          <w:rFonts w:cstheme="minorHAnsi"/>
        </w:rPr>
      </w:pPr>
      <w:r>
        <w:rPr>
          <w:rFonts w:cstheme="minorHAnsi"/>
        </w:rPr>
        <w:t>West Midlands – South Birmingham</w:t>
      </w:r>
    </w:p>
    <w:p w:rsidR="00752001" w:rsidRDefault="00752001" w:rsidP="00FE5339">
      <w:pPr>
        <w:rPr>
          <w:rFonts w:cstheme="minorHAnsi"/>
        </w:rPr>
      </w:pPr>
    </w:p>
    <w:p w:rsidR="00FE5339" w:rsidRDefault="00FE5339" w:rsidP="00FE5339">
      <w:pPr>
        <w:rPr>
          <w:rFonts w:cstheme="minorHAnsi"/>
          <w:u w:val="single"/>
        </w:rPr>
      </w:pPr>
      <w:r w:rsidRPr="005F10D0">
        <w:rPr>
          <w:rFonts w:cstheme="minorHAnsi"/>
          <w:u w:val="single"/>
        </w:rPr>
        <w:t>Provisional accreditation</w:t>
      </w:r>
    </w:p>
    <w:p w:rsidR="00920414" w:rsidRPr="00920414" w:rsidRDefault="00920414" w:rsidP="00FE5339">
      <w:pPr>
        <w:rPr>
          <w:rFonts w:cstheme="minorHAnsi"/>
        </w:rPr>
        <w:sectPr w:rsidR="00920414" w:rsidRPr="00920414" w:rsidSect="00752001">
          <w:type w:val="continuous"/>
          <w:pgSz w:w="16838" w:h="11906" w:orient="landscape"/>
          <w:pgMar w:top="1134" w:right="851" w:bottom="1134" w:left="1440" w:header="284" w:footer="709" w:gutter="0"/>
          <w:cols w:num="2" w:space="708"/>
          <w:titlePg/>
          <w:docGrid w:linePitch="360"/>
        </w:sectPr>
      </w:pPr>
      <w:r w:rsidRPr="00920414">
        <w:rPr>
          <w:rFonts w:cstheme="minorHAnsi"/>
        </w:rPr>
        <w:t xml:space="preserve">London </w:t>
      </w:r>
      <w:r>
        <w:rPr>
          <w:rFonts w:cstheme="minorHAnsi"/>
        </w:rPr>
        <w:t>–</w:t>
      </w:r>
      <w:r w:rsidRPr="00920414">
        <w:rPr>
          <w:rFonts w:cstheme="minorHAnsi"/>
        </w:rPr>
        <w:t xml:space="preserve"> Stanmore</w:t>
      </w:r>
      <w:r>
        <w:rPr>
          <w:rFonts w:cstheme="minorHAnsi"/>
        </w:rPr>
        <w:t xml:space="preserve"> </w:t>
      </w:r>
    </w:p>
    <w:p w:rsidR="00752001" w:rsidRDefault="00752001" w:rsidP="00FE5339">
      <w:pPr>
        <w:rPr>
          <w:rFonts w:cstheme="minorHAnsi"/>
        </w:rPr>
      </w:pPr>
    </w:p>
    <w:p w:rsidR="00EC1717" w:rsidRDefault="00EC1717" w:rsidP="00FE5339">
      <w:pPr>
        <w:rPr>
          <w:rFonts w:cstheme="minorHAnsi"/>
        </w:rPr>
        <w:sectPr w:rsidR="00EC1717" w:rsidSect="00752001">
          <w:type w:val="continuous"/>
          <w:pgSz w:w="16838" w:h="11906" w:orient="landscape"/>
          <w:pgMar w:top="1134" w:right="851" w:bottom="1134" w:left="1440" w:header="284" w:footer="709" w:gutter="0"/>
          <w:cols w:space="708"/>
          <w:titlePg/>
          <w:docGrid w:linePitch="360"/>
        </w:sectPr>
      </w:pPr>
    </w:p>
    <w:p w:rsidR="00C00A98" w:rsidRDefault="00C00A98" w:rsidP="00FE5339">
      <w:pPr>
        <w:rPr>
          <w:rFonts w:cstheme="minorHAnsi"/>
        </w:rPr>
      </w:pPr>
    </w:p>
    <w:p w:rsidR="00C00A98" w:rsidRDefault="00C00A98" w:rsidP="00FE5339">
      <w:pPr>
        <w:rPr>
          <w:rFonts w:cstheme="minorHAnsi"/>
        </w:rPr>
        <w:sectPr w:rsidR="00C00A98" w:rsidSect="00EC1717">
          <w:type w:val="continuous"/>
          <w:pgSz w:w="16838" w:h="11906" w:orient="landscape"/>
          <w:pgMar w:top="1134" w:right="851" w:bottom="1134" w:left="1440" w:header="284" w:footer="709" w:gutter="0"/>
          <w:cols w:space="708"/>
          <w:titlePg/>
          <w:docGrid w:linePitch="360"/>
        </w:sectPr>
      </w:pPr>
    </w:p>
    <w:p w:rsidR="00714B7C" w:rsidRPr="003555B3" w:rsidRDefault="00714B7C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lastRenderedPageBreak/>
        <w:t>Officer appointments</w:t>
      </w:r>
      <w:r w:rsidR="00666A47" w:rsidRPr="003555B3">
        <w:rPr>
          <w:b/>
        </w:rPr>
        <w:t xml:space="preserve">, </w:t>
      </w:r>
      <w:r w:rsidR="00FD0328" w:rsidRPr="003555B3">
        <w:rPr>
          <w:b/>
        </w:rPr>
        <w:t>extensions</w:t>
      </w:r>
      <w:r w:rsidR="00666A47" w:rsidRPr="003555B3">
        <w:rPr>
          <w:b/>
        </w:rPr>
        <w:t xml:space="preserve"> and resignations</w:t>
      </w:r>
    </w:p>
    <w:p w:rsidR="00AB3449" w:rsidRPr="003555B3" w:rsidRDefault="00AB3449" w:rsidP="00FD0328">
      <w:pPr>
        <w:rPr>
          <w:b/>
        </w:rPr>
      </w:pPr>
    </w:p>
    <w:p w:rsidR="00CD4E9F" w:rsidRPr="003555B3" w:rsidRDefault="00CD4E9F" w:rsidP="00CD4E9F">
      <w:pPr>
        <w:rPr>
          <w:b/>
        </w:rPr>
      </w:pPr>
      <w:r w:rsidRPr="003555B3">
        <w:rPr>
          <w:b/>
        </w:rPr>
        <w:t>Appointments</w:t>
      </w:r>
    </w:p>
    <w:p w:rsidR="00CD4E9F" w:rsidRDefault="00CD4E9F" w:rsidP="00CD4E9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3691"/>
        <w:gridCol w:w="3691"/>
        <w:gridCol w:w="3691"/>
      </w:tblGrid>
      <w:tr w:rsidR="00CD4E9F" w:rsidRPr="003555B3" w:rsidTr="00F64FA3">
        <w:tc>
          <w:tcPr>
            <w:tcW w:w="3690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</w:tr>
      <w:tr w:rsidR="007861C9" w:rsidRPr="003555B3" w:rsidTr="00F64FA3">
        <w:tc>
          <w:tcPr>
            <w:tcW w:w="3690" w:type="dxa"/>
          </w:tcPr>
          <w:p w:rsidR="007861C9" w:rsidRPr="007861C9" w:rsidRDefault="007861C9" w:rsidP="00F64FA3">
            <w:r w:rsidRPr="007861C9">
              <w:t>North East</w:t>
            </w:r>
          </w:p>
        </w:tc>
        <w:tc>
          <w:tcPr>
            <w:tcW w:w="3691" w:type="dxa"/>
          </w:tcPr>
          <w:p w:rsidR="007861C9" w:rsidRPr="007861C9" w:rsidRDefault="007861C9" w:rsidP="00F64FA3">
            <w:r>
              <w:t>Newcastle &amp; North Tyneside 2</w:t>
            </w:r>
          </w:p>
        </w:tc>
        <w:tc>
          <w:tcPr>
            <w:tcW w:w="3691" w:type="dxa"/>
          </w:tcPr>
          <w:p w:rsidR="007861C9" w:rsidRPr="007861C9" w:rsidRDefault="007861C9" w:rsidP="00E80431">
            <w:r>
              <w:t>Vice Chair from 1</w:t>
            </w:r>
            <w:r w:rsidRPr="007861C9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691" w:type="dxa"/>
          </w:tcPr>
          <w:p w:rsidR="007861C9" w:rsidRPr="007861C9" w:rsidRDefault="007861C9" w:rsidP="00E80431">
            <w:r>
              <w:t>Sarah Bartlett</w:t>
            </w:r>
          </w:p>
        </w:tc>
      </w:tr>
      <w:tr w:rsidR="00826E5C" w:rsidRPr="003555B3" w:rsidTr="00F64FA3">
        <w:tc>
          <w:tcPr>
            <w:tcW w:w="3690" w:type="dxa"/>
          </w:tcPr>
          <w:p w:rsidR="00826E5C" w:rsidRPr="007861C9" w:rsidRDefault="00826E5C" w:rsidP="00F64FA3">
            <w:r>
              <w:t>East Midlands</w:t>
            </w:r>
          </w:p>
        </w:tc>
        <w:tc>
          <w:tcPr>
            <w:tcW w:w="3691" w:type="dxa"/>
          </w:tcPr>
          <w:p w:rsidR="00826E5C" w:rsidRDefault="00826E5C" w:rsidP="00F64FA3">
            <w:r>
              <w:t>Derby</w:t>
            </w:r>
          </w:p>
        </w:tc>
        <w:tc>
          <w:tcPr>
            <w:tcW w:w="3691" w:type="dxa"/>
          </w:tcPr>
          <w:p w:rsidR="00826E5C" w:rsidRDefault="00826E5C" w:rsidP="00E80431">
            <w:r>
              <w:t>Vice Chair from 1</w:t>
            </w:r>
            <w:r w:rsidRPr="00826E5C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691" w:type="dxa"/>
          </w:tcPr>
          <w:p w:rsidR="00826E5C" w:rsidRDefault="00826E5C" w:rsidP="00E80431">
            <w:r>
              <w:t xml:space="preserve">John </w:t>
            </w:r>
            <w:proofErr w:type="spellStart"/>
            <w:r>
              <w:t>Fenlon</w:t>
            </w:r>
            <w:proofErr w:type="spellEnd"/>
          </w:p>
        </w:tc>
      </w:tr>
      <w:tr w:rsidR="00826E5C" w:rsidRPr="003555B3" w:rsidTr="00F64FA3">
        <w:tc>
          <w:tcPr>
            <w:tcW w:w="3690" w:type="dxa"/>
          </w:tcPr>
          <w:p w:rsidR="00826E5C" w:rsidRDefault="00826E5C" w:rsidP="00F64FA3">
            <w:r>
              <w:t>East Midlands</w:t>
            </w:r>
          </w:p>
        </w:tc>
        <w:tc>
          <w:tcPr>
            <w:tcW w:w="3691" w:type="dxa"/>
          </w:tcPr>
          <w:p w:rsidR="00826E5C" w:rsidRDefault="00826E5C" w:rsidP="00F64FA3">
            <w:r>
              <w:t>Northampton</w:t>
            </w:r>
          </w:p>
        </w:tc>
        <w:tc>
          <w:tcPr>
            <w:tcW w:w="3691" w:type="dxa"/>
          </w:tcPr>
          <w:p w:rsidR="00826E5C" w:rsidRDefault="00826E5C" w:rsidP="00E80431">
            <w:r>
              <w:t>Vice Chair (March 15 – July 16)</w:t>
            </w:r>
          </w:p>
        </w:tc>
        <w:tc>
          <w:tcPr>
            <w:tcW w:w="3691" w:type="dxa"/>
          </w:tcPr>
          <w:p w:rsidR="00826E5C" w:rsidRDefault="00826E5C" w:rsidP="00E80431">
            <w:r>
              <w:t>Elizabeth Gibbons</w:t>
            </w:r>
          </w:p>
        </w:tc>
      </w:tr>
      <w:tr w:rsidR="007D368F" w:rsidRPr="003555B3" w:rsidTr="00F64FA3">
        <w:tc>
          <w:tcPr>
            <w:tcW w:w="3690" w:type="dxa"/>
          </w:tcPr>
          <w:p w:rsidR="007D368F" w:rsidRDefault="007D368F" w:rsidP="00F64FA3">
            <w:r>
              <w:t>London</w:t>
            </w:r>
          </w:p>
        </w:tc>
        <w:tc>
          <w:tcPr>
            <w:tcW w:w="3691" w:type="dxa"/>
          </w:tcPr>
          <w:p w:rsidR="007D368F" w:rsidRDefault="007D368F" w:rsidP="00F64FA3">
            <w:r>
              <w:t>Fulham</w:t>
            </w:r>
          </w:p>
        </w:tc>
        <w:tc>
          <w:tcPr>
            <w:tcW w:w="3691" w:type="dxa"/>
          </w:tcPr>
          <w:p w:rsidR="007D368F" w:rsidRDefault="007D368F" w:rsidP="00E80431">
            <w:r>
              <w:t>Vice Chair</w:t>
            </w:r>
          </w:p>
        </w:tc>
        <w:tc>
          <w:tcPr>
            <w:tcW w:w="3691" w:type="dxa"/>
          </w:tcPr>
          <w:p w:rsidR="007D368F" w:rsidRDefault="007D368F" w:rsidP="00E80431">
            <w:r>
              <w:t>Nigel Griffin</w:t>
            </w:r>
          </w:p>
        </w:tc>
      </w:tr>
      <w:tr w:rsidR="007D368F" w:rsidRPr="003555B3" w:rsidTr="00F64FA3">
        <w:tc>
          <w:tcPr>
            <w:tcW w:w="3690" w:type="dxa"/>
          </w:tcPr>
          <w:p w:rsidR="007D368F" w:rsidRDefault="007D368F" w:rsidP="00F64FA3">
            <w:r>
              <w:t>London</w:t>
            </w:r>
          </w:p>
        </w:tc>
        <w:tc>
          <w:tcPr>
            <w:tcW w:w="3691" w:type="dxa"/>
          </w:tcPr>
          <w:p w:rsidR="007D368F" w:rsidRDefault="007D368F" w:rsidP="00F64FA3">
            <w:r>
              <w:t>Queen Square</w:t>
            </w:r>
          </w:p>
        </w:tc>
        <w:tc>
          <w:tcPr>
            <w:tcW w:w="3691" w:type="dxa"/>
          </w:tcPr>
          <w:p w:rsidR="007D368F" w:rsidRDefault="007D368F" w:rsidP="00E80431">
            <w:r>
              <w:t>Vice Chair</w:t>
            </w:r>
          </w:p>
        </w:tc>
        <w:tc>
          <w:tcPr>
            <w:tcW w:w="3691" w:type="dxa"/>
          </w:tcPr>
          <w:p w:rsidR="007D368F" w:rsidRDefault="007D368F" w:rsidP="00E80431">
            <w:proofErr w:type="spellStart"/>
            <w:r>
              <w:t>Eamonn</w:t>
            </w:r>
            <w:proofErr w:type="spellEnd"/>
            <w:r>
              <w:t xml:space="preserve"> Walsh</w:t>
            </w:r>
          </w:p>
        </w:tc>
      </w:tr>
      <w:tr w:rsidR="007D368F" w:rsidRPr="003555B3" w:rsidTr="00F64FA3">
        <w:tc>
          <w:tcPr>
            <w:tcW w:w="3690" w:type="dxa"/>
          </w:tcPr>
          <w:p w:rsidR="007D368F" w:rsidRDefault="007D368F" w:rsidP="00F64FA3">
            <w:r>
              <w:t>London</w:t>
            </w:r>
          </w:p>
        </w:tc>
        <w:tc>
          <w:tcPr>
            <w:tcW w:w="3691" w:type="dxa"/>
          </w:tcPr>
          <w:p w:rsidR="007D368F" w:rsidRDefault="007D368F" w:rsidP="00F64FA3">
            <w:r>
              <w:t>Stanmore</w:t>
            </w:r>
          </w:p>
        </w:tc>
        <w:tc>
          <w:tcPr>
            <w:tcW w:w="3691" w:type="dxa"/>
          </w:tcPr>
          <w:p w:rsidR="007D368F" w:rsidRDefault="007D368F" w:rsidP="00E80431">
            <w:r>
              <w:t>Vice Chair</w:t>
            </w:r>
          </w:p>
        </w:tc>
        <w:tc>
          <w:tcPr>
            <w:tcW w:w="3691" w:type="dxa"/>
          </w:tcPr>
          <w:p w:rsidR="007D368F" w:rsidRDefault="007D368F" w:rsidP="00E80431">
            <w:r>
              <w:t>Anthony Gilbert</w:t>
            </w:r>
          </w:p>
        </w:tc>
      </w:tr>
      <w:tr w:rsidR="007D368F" w:rsidRPr="003555B3" w:rsidTr="00F64FA3">
        <w:tc>
          <w:tcPr>
            <w:tcW w:w="3690" w:type="dxa"/>
          </w:tcPr>
          <w:p w:rsidR="007D368F" w:rsidRDefault="00D20EC6" w:rsidP="00F64FA3">
            <w:r>
              <w:t>South Central</w:t>
            </w:r>
          </w:p>
        </w:tc>
        <w:tc>
          <w:tcPr>
            <w:tcW w:w="3691" w:type="dxa"/>
          </w:tcPr>
          <w:p w:rsidR="007D368F" w:rsidRDefault="00D20EC6" w:rsidP="00F64FA3">
            <w:r>
              <w:t>Oxford A</w:t>
            </w:r>
          </w:p>
        </w:tc>
        <w:tc>
          <w:tcPr>
            <w:tcW w:w="3691" w:type="dxa"/>
          </w:tcPr>
          <w:p w:rsidR="007D368F" w:rsidRDefault="00D20EC6" w:rsidP="00E80431">
            <w:r>
              <w:t>Chair</w:t>
            </w:r>
          </w:p>
        </w:tc>
        <w:tc>
          <w:tcPr>
            <w:tcW w:w="3691" w:type="dxa"/>
          </w:tcPr>
          <w:p w:rsidR="007D368F" w:rsidRDefault="00D20EC6" w:rsidP="00E80431">
            <w:r>
              <w:t>Hugh Davies</w:t>
            </w:r>
          </w:p>
        </w:tc>
      </w:tr>
      <w:tr w:rsidR="00D20EC6" w:rsidRPr="003555B3" w:rsidTr="00F64FA3">
        <w:tc>
          <w:tcPr>
            <w:tcW w:w="3690" w:type="dxa"/>
          </w:tcPr>
          <w:p w:rsidR="00D20EC6" w:rsidRDefault="00D20EC6" w:rsidP="00F64FA3">
            <w:r>
              <w:t>South East Coast</w:t>
            </w:r>
          </w:p>
        </w:tc>
        <w:tc>
          <w:tcPr>
            <w:tcW w:w="3691" w:type="dxa"/>
          </w:tcPr>
          <w:p w:rsidR="00D20EC6" w:rsidRDefault="00D20EC6" w:rsidP="00F64FA3">
            <w:r>
              <w:t>Surrey</w:t>
            </w:r>
          </w:p>
        </w:tc>
        <w:tc>
          <w:tcPr>
            <w:tcW w:w="3691" w:type="dxa"/>
          </w:tcPr>
          <w:p w:rsidR="00D20EC6" w:rsidRDefault="00D20EC6" w:rsidP="00E80431">
            <w:r>
              <w:t>Vice Chair</w:t>
            </w:r>
          </w:p>
        </w:tc>
        <w:tc>
          <w:tcPr>
            <w:tcW w:w="3691" w:type="dxa"/>
          </w:tcPr>
          <w:p w:rsidR="00D20EC6" w:rsidRDefault="00D20EC6" w:rsidP="00E80431">
            <w:r>
              <w:t>Chrissie Lawson</w:t>
            </w:r>
          </w:p>
        </w:tc>
      </w:tr>
    </w:tbl>
    <w:p w:rsidR="00D20EC6" w:rsidRDefault="00D20EC6" w:rsidP="00460FEA">
      <w:pPr>
        <w:rPr>
          <w:b/>
        </w:rPr>
      </w:pPr>
    </w:p>
    <w:p w:rsidR="00CD4E9F" w:rsidRDefault="00CD4E9F" w:rsidP="00460FEA">
      <w:pPr>
        <w:rPr>
          <w:b/>
        </w:rPr>
      </w:pPr>
      <w:r>
        <w:rPr>
          <w:b/>
        </w:rPr>
        <w:lastRenderedPageBreak/>
        <w:t>Resignations</w:t>
      </w:r>
    </w:p>
    <w:p w:rsidR="00CD4E9F" w:rsidRDefault="00CD4E9F" w:rsidP="00460FEA">
      <w:pPr>
        <w:rPr>
          <w:b/>
        </w:rPr>
      </w:pPr>
    </w:p>
    <w:p w:rsidR="00CD4E9F" w:rsidRDefault="00D20EC6" w:rsidP="00D20EC6">
      <w:r w:rsidRPr="00D20EC6">
        <w:t>None to note</w:t>
      </w:r>
    </w:p>
    <w:p w:rsidR="00D20EC6" w:rsidRDefault="00D20EC6" w:rsidP="00D20EC6">
      <w:pPr>
        <w:rPr>
          <w:b/>
        </w:rPr>
      </w:pPr>
    </w:p>
    <w:p w:rsidR="00711C6C" w:rsidRDefault="00711C6C" w:rsidP="00460FEA">
      <w:pPr>
        <w:rPr>
          <w:b/>
        </w:rPr>
      </w:pPr>
      <w:r>
        <w:rPr>
          <w:b/>
        </w:rPr>
        <w:t>Extensions</w:t>
      </w:r>
    </w:p>
    <w:p w:rsidR="00711C6C" w:rsidRDefault="00711C6C" w:rsidP="00460FEA">
      <w:pPr>
        <w:rPr>
          <w:b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690"/>
        <w:gridCol w:w="2514"/>
        <w:gridCol w:w="2126"/>
        <w:gridCol w:w="2693"/>
        <w:gridCol w:w="3686"/>
      </w:tblGrid>
      <w:tr w:rsidR="007861C9" w:rsidRPr="003555B3" w:rsidTr="007861C9">
        <w:tc>
          <w:tcPr>
            <w:tcW w:w="3690" w:type="dxa"/>
          </w:tcPr>
          <w:p w:rsidR="007861C9" w:rsidRPr="003555B3" w:rsidRDefault="007861C9" w:rsidP="00E22B66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2514" w:type="dxa"/>
          </w:tcPr>
          <w:p w:rsidR="007861C9" w:rsidRPr="003555B3" w:rsidRDefault="007861C9" w:rsidP="00E22B66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2126" w:type="dxa"/>
          </w:tcPr>
          <w:p w:rsidR="007861C9" w:rsidRPr="003555B3" w:rsidRDefault="007861C9" w:rsidP="00E22B66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2693" w:type="dxa"/>
          </w:tcPr>
          <w:p w:rsidR="007861C9" w:rsidRPr="003555B3" w:rsidRDefault="007861C9" w:rsidP="00E22B66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  <w:tc>
          <w:tcPr>
            <w:tcW w:w="3686" w:type="dxa"/>
          </w:tcPr>
          <w:p w:rsidR="007861C9" w:rsidRPr="003555B3" w:rsidRDefault="007861C9" w:rsidP="00E22B66">
            <w:pPr>
              <w:rPr>
                <w:b/>
              </w:rPr>
            </w:pPr>
            <w:r>
              <w:rPr>
                <w:b/>
              </w:rPr>
              <w:t>Extension period</w:t>
            </w:r>
          </w:p>
        </w:tc>
      </w:tr>
      <w:tr w:rsidR="007861C9" w:rsidRPr="003625C0" w:rsidTr="007861C9">
        <w:tc>
          <w:tcPr>
            <w:tcW w:w="3690" w:type="dxa"/>
          </w:tcPr>
          <w:p w:rsidR="007861C9" w:rsidRPr="007861C9" w:rsidRDefault="007861C9" w:rsidP="00E22B66">
            <w:r w:rsidRPr="007861C9">
              <w:t>London</w:t>
            </w:r>
          </w:p>
        </w:tc>
        <w:tc>
          <w:tcPr>
            <w:tcW w:w="2514" w:type="dxa"/>
          </w:tcPr>
          <w:p w:rsidR="007861C9" w:rsidRPr="007861C9" w:rsidRDefault="007861C9" w:rsidP="00E22B66">
            <w:r w:rsidRPr="007861C9">
              <w:t>Fulham</w:t>
            </w:r>
          </w:p>
        </w:tc>
        <w:tc>
          <w:tcPr>
            <w:tcW w:w="2126" w:type="dxa"/>
          </w:tcPr>
          <w:p w:rsidR="007861C9" w:rsidRPr="003625C0" w:rsidRDefault="007861C9" w:rsidP="00E22B66">
            <w:pPr>
              <w:rPr>
                <w:highlight w:val="yellow"/>
              </w:rPr>
            </w:pPr>
            <w:r w:rsidRPr="007861C9">
              <w:t>Chair</w:t>
            </w:r>
          </w:p>
        </w:tc>
        <w:tc>
          <w:tcPr>
            <w:tcW w:w="2693" w:type="dxa"/>
          </w:tcPr>
          <w:p w:rsidR="007861C9" w:rsidRPr="003625C0" w:rsidRDefault="007861C9" w:rsidP="00E22B66">
            <w:pPr>
              <w:rPr>
                <w:highlight w:val="yellow"/>
              </w:rPr>
            </w:pPr>
            <w:r w:rsidRPr="007861C9">
              <w:t>Charles Mackworth-Young</w:t>
            </w:r>
          </w:p>
        </w:tc>
        <w:tc>
          <w:tcPr>
            <w:tcW w:w="3686" w:type="dxa"/>
          </w:tcPr>
          <w:p w:rsidR="007861C9" w:rsidRPr="007861C9" w:rsidRDefault="007861C9" w:rsidP="00711C6C">
            <w:r>
              <w:t xml:space="preserve">12 months </w:t>
            </w:r>
            <w:r w:rsidR="00711C6C">
              <w:t>until</w:t>
            </w:r>
            <w:r>
              <w:t xml:space="preserve"> March 2016 for continuity and to support the new Vice Chair</w:t>
            </w:r>
          </w:p>
        </w:tc>
      </w:tr>
      <w:tr w:rsidR="00711C6C" w:rsidRPr="003625C0" w:rsidTr="007861C9">
        <w:tc>
          <w:tcPr>
            <w:tcW w:w="3690" w:type="dxa"/>
          </w:tcPr>
          <w:p w:rsidR="00711C6C" w:rsidRPr="007861C9" w:rsidRDefault="00711C6C" w:rsidP="00E22B66">
            <w:r>
              <w:t>London</w:t>
            </w:r>
          </w:p>
        </w:tc>
        <w:tc>
          <w:tcPr>
            <w:tcW w:w="2514" w:type="dxa"/>
          </w:tcPr>
          <w:p w:rsidR="00711C6C" w:rsidRPr="007861C9" w:rsidRDefault="00711C6C" w:rsidP="00E22B66">
            <w:r>
              <w:t>Fulham</w:t>
            </w:r>
          </w:p>
        </w:tc>
        <w:tc>
          <w:tcPr>
            <w:tcW w:w="2126" w:type="dxa"/>
          </w:tcPr>
          <w:p w:rsidR="00711C6C" w:rsidRPr="007861C9" w:rsidRDefault="00711C6C" w:rsidP="00E22B66">
            <w:r>
              <w:t>Pharmacist</w:t>
            </w:r>
          </w:p>
        </w:tc>
        <w:tc>
          <w:tcPr>
            <w:tcW w:w="2693" w:type="dxa"/>
          </w:tcPr>
          <w:p w:rsidR="00711C6C" w:rsidRPr="007861C9" w:rsidRDefault="00711C6C" w:rsidP="00E22B66">
            <w:r>
              <w:t>David Leonard</w:t>
            </w:r>
          </w:p>
        </w:tc>
        <w:tc>
          <w:tcPr>
            <w:tcW w:w="3686" w:type="dxa"/>
          </w:tcPr>
          <w:p w:rsidR="00711C6C" w:rsidRDefault="00711C6C" w:rsidP="00E22B66">
            <w:r>
              <w:t>6 month extension until October 2015 to cover maternity leave of replacement</w:t>
            </w:r>
          </w:p>
        </w:tc>
      </w:tr>
      <w:tr w:rsidR="00711C6C" w:rsidRPr="003625C0" w:rsidTr="007861C9">
        <w:tc>
          <w:tcPr>
            <w:tcW w:w="3690" w:type="dxa"/>
          </w:tcPr>
          <w:p w:rsidR="00711C6C" w:rsidRDefault="00711C6C" w:rsidP="00E22B66">
            <w:r>
              <w:t>North East</w:t>
            </w:r>
          </w:p>
          <w:p w:rsidR="00D20EC6" w:rsidRDefault="00D20EC6" w:rsidP="00E22B66"/>
        </w:tc>
        <w:tc>
          <w:tcPr>
            <w:tcW w:w="2514" w:type="dxa"/>
          </w:tcPr>
          <w:p w:rsidR="00711C6C" w:rsidRDefault="00711C6C" w:rsidP="00E22B66">
            <w:r>
              <w:t>Tyne and Wear South</w:t>
            </w:r>
          </w:p>
        </w:tc>
        <w:tc>
          <w:tcPr>
            <w:tcW w:w="2126" w:type="dxa"/>
          </w:tcPr>
          <w:p w:rsidR="00711C6C" w:rsidRDefault="00711C6C" w:rsidP="00E22B66">
            <w:r>
              <w:t>Chair</w:t>
            </w:r>
          </w:p>
        </w:tc>
        <w:tc>
          <w:tcPr>
            <w:tcW w:w="2693" w:type="dxa"/>
          </w:tcPr>
          <w:p w:rsidR="00711C6C" w:rsidRDefault="00711C6C" w:rsidP="00E22B66">
            <w:r>
              <w:t>Paddy Stevenson</w:t>
            </w:r>
          </w:p>
        </w:tc>
        <w:tc>
          <w:tcPr>
            <w:tcW w:w="3686" w:type="dxa"/>
          </w:tcPr>
          <w:p w:rsidR="00711C6C" w:rsidRDefault="00711C6C" w:rsidP="00711C6C">
            <w:r>
              <w:t xml:space="preserve">12 months until February 2016 </w:t>
            </w:r>
          </w:p>
        </w:tc>
      </w:tr>
    </w:tbl>
    <w:p w:rsidR="000D2B96" w:rsidRDefault="000D2B96" w:rsidP="00460FEA">
      <w:pPr>
        <w:rPr>
          <w:b/>
        </w:rPr>
      </w:pPr>
    </w:p>
    <w:p w:rsidR="00826E5C" w:rsidRDefault="00826E5C" w:rsidP="00460FEA">
      <w:pPr>
        <w:rPr>
          <w:b/>
        </w:rPr>
      </w:pPr>
      <w:r>
        <w:rPr>
          <w:b/>
        </w:rPr>
        <w:t>Appointments to Social Care REC</w:t>
      </w:r>
    </w:p>
    <w:p w:rsidR="00826E5C" w:rsidRPr="00826E5C" w:rsidRDefault="00826E5C" w:rsidP="00460FEA">
      <w:pPr>
        <w:rPr>
          <w:rFonts w:cstheme="minorHAnsi"/>
          <w:b/>
        </w:rPr>
      </w:pPr>
    </w:p>
    <w:p w:rsidR="00826E5C" w:rsidRPr="00826E5C" w:rsidRDefault="00826E5C" w:rsidP="00460FEA">
      <w:pPr>
        <w:rPr>
          <w:rFonts w:cstheme="minorHAnsi"/>
          <w:lang w:val="en-US"/>
        </w:rPr>
      </w:pPr>
      <w:r w:rsidRPr="00826E5C">
        <w:rPr>
          <w:rFonts w:cstheme="minorHAnsi"/>
          <w:lang w:val="en-US"/>
        </w:rPr>
        <w:t xml:space="preserve">When the HRA became a Non Departmental Public Body on 1 January 2015 the HRA took formal responsibility for research in adult social care and from 1 April 2015 the Social Care REC and its secretariat transferred to the HRA. </w:t>
      </w:r>
    </w:p>
    <w:p w:rsidR="00826E5C" w:rsidRDefault="00826E5C" w:rsidP="00460FEA">
      <w:pPr>
        <w:rPr>
          <w:rFonts w:cstheme="minorHAnsi"/>
          <w:color w:val="33333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3691"/>
        <w:gridCol w:w="3691"/>
      </w:tblGrid>
      <w:tr w:rsidR="00826E5C" w:rsidRPr="003555B3" w:rsidTr="00E22B66">
        <w:tc>
          <w:tcPr>
            <w:tcW w:w="3691" w:type="dxa"/>
          </w:tcPr>
          <w:p w:rsidR="00826E5C" w:rsidRPr="003555B3" w:rsidRDefault="00826E5C" w:rsidP="00E22B66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3691" w:type="dxa"/>
          </w:tcPr>
          <w:p w:rsidR="00826E5C" w:rsidRPr="003555B3" w:rsidRDefault="00826E5C" w:rsidP="00E22B66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3691" w:type="dxa"/>
          </w:tcPr>
          <w:p w:rsidR="00826E5C" w:rsidRPr="003555B3" w:rsidRDefault="00826E5C" w:rsidP="00E22B66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</w:tr>
      <w:tr w:rsidR="00826E5C" w:rsidRPr="003625C0" w:rsidTr="00E22B66">
        <w:tc>
          <w:tcPr>
            <w:tcW w:w="3691" w:type="dxa"/>
          </w:tcPr>
          <w:p w:rsidR="00826E5C" w:rsidRPr="00826E5C" w:rsidRDefault="00826E5C" w:rsidP="00E22B66">
            <w:r w:rsidRPr="00826E5C">
              <w:t>Social Care REC</w:t>
            </w:r>
          </w:p>
        </w:tc>
        <w:tc>
          <w:tcPr>
            <w:tcW w:w="3691" w:type="dxa"/>
          </w:tcPr>
          <w:p w:rsidR="00826E5C" w:rsidRPr="00826E5C" w:rsidRDefault="00826E5C" w:rsidP="00E22B66">
            <w:r w:rsidRPr="00826E5C">
              <w:t>Chair</w:t>
            </w:r>
          </w:p>
        </w:tc>
        <w:tc>
          <w:tcPr>
            <w:tcW w:w="3691" w:type="dxa"/>
          </w:tcPr>
          <w:p w:rsidR="00826E5C" w:rsidRPr="00826E5C" w:rsidRDefault="00826E5C" w:rsidP="00E22B66">
            <w:r w:rsidRPr="00826E5C">
              <w:t>Martin Stevens</w:t>
            </w:r>
          </w:p>
        </w:tc>
      </w:tr>
      <w:tr w:rsidR="00826E5C" w:rsidRPr="003625C0" w:rsidTr="00826E5C">
        <w:trPr>
          <w:trHeight w:val="70"/>
        </w:trPr>
        <w:tc>
          <w:tcPr>
            <w:tcW w:w="3691" w:type="dxa"/>
          </w:tcPr>
          <w:p w:rsidR="00826E5C" w:rsidRPr="00826E5C" w:rsidRDefault="00826E5C" w:rsidP="00E22B66">
            <w:r w:rsidRPr="00826E5C">
              <w:t>Social Care REC</w:t>
            </w:r>
          </w:p>
        </w:tc>
        <w:tc>
          <w:tcPr>
            <w:tcW w:w="3691" w:type="dxa"/>
          </w:tcPr>
          <w:p w:rsidR="00826E5C" w:rsidRPr="00826E5C" w:rsidRDefault="00826E5C" w:rsidP="00E22B66">
            <w:r w:rsidRPr="00826E5C">
              <w:t>Vice Chair</w:t>
            </w:r>
          </w:p>
        </w:tc>
        <w:tc>
          <w:tcPr>
            <w:tcW w:w="3691" w:type="dxa"/>
          </w:tcPr>
          <w:p w:rsidR="00826E5C" w:rsidRPr="00826E5C" w:rsidRDefault="00826E5C" w:rsidP="00E22B66">
            <w:r w:rsidRPr="00826E5C">
              <w:t>Susan Harrison</w:t>
            </w:r>
          </w:p>
        </w:tc>
      </w:tr>
    </w:tbl>
    <w:p w:rsidR="00826E5C" w:rsidRPr="00826E5C" w:rsidRDefault="00826E5C" w:rsidP="00460FEA">
      <w:pPr>
        <w:rPr>
          <w:rFonts w:cstheme="minorHAnsi"/>
          <w:b/>
        </w:rPr>
      </w:pPr>
    </w:p>
    <w:p w:rsidR="007861C9" w:rsidRDefault="007861C9" w:rsidP="00460FEA">
      <w:pPr>
        <w:rPr>
          <w:b/>
        </w:rPr>
      </w:pPr>
    </w:p>
    <w:p w:rsidR="000D2B96" w:rsidRDefault="000D2B96" w:rsidP="000D2B96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t>Closure, merger or suspension of REC</w:t>
      </w:r>
    </w:p>
    <w:p w:rsidR="000D2B96" w:rsidRDefault="000D2B96" w:rsidP="00460FEA">
      <w:pPr>
        <w:rPr>
          <w:b/>
        </w:rPr>
      </w:pPr>
    </w:p>
    <w:p w:rsidR="000D2B96" w:rsidRDefault="000D2B96" w:rsidP="00460FEA">
      <w:r w:rsidRPr="000D2B96">
        <w:t>None to note</w:t>
      </w:r>
    </w:p>
    <w:p w:rsidR="000D2B96" w:rsidRDefault="000D2B96" w:rsidP="00460FEA"/>
    <w:p w:rsidR="000D2B96" w:rsidRDefault="000D2B96" w:rsidP="00460FEA"/>
    <w:p w:rsidR="000D2B96" w:rsidRDefault="000D2B96" w:rsidP="000D2B96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Change to REC status</w:t>
      </w:r>
    </w:p>
    <w:p w:rsidR="000D2B96" w:rsidRDefault="000D2B96" w:rsidP="00460FEA"/>
    <w:p w:rsidR="00C074E6" w:rsidRDefault="000D2B96" w:rsidP="00460FEA">
      <w:r>
        <w:t>None to note</w:t>
      </w:r>
    </w:p>
    <w:sectPr w:rsidR="00C074E6" w:rsidSect="00535149">
      <w:type w:val="continuous"/>
      <w:pgSz w:w="16838" w:h="11906" w:orient="landscape"/>
      <w:pgMar w:top="1134" w:right="851" w:bottom="1134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93" w:rsidRDefault="00996993" w:rsidP="00714B7C">
      <w:r>
        <w:separator/>
      </w:r>
    </w:p>
  </w:endnote>
  <w:endnote w:type="continuationSeparator" w:id="0">
    <w:p w:rsidR="00996993" w:rsidRDefault="00996993" w:rsidP="0071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297187"/>
      <w:docPartObj>
        <w:docPartGallery w:val="Page Numbers (Bottom of Page)"/>
        <w:docPartUnique/>
      </w:docPartObj>
    </w:sdtPr>
    <w:sdtEndPr/>
    <w:sdtContent>
      <w:sdt>
        <w:sdtPr>
          <w:id w:val="360631408"/>
          <w:docPartObj>
            <w:docPartGallery w:val="Page Numbers (Top of Page)"/>
            <w:docPartUnique/>
          </w:docPartObj>
        </w:sdtPr>
        <w:sdtEndPr/>
        <w:sdtContent>
          <w:p w:rsidR="00996993" w:rsidRDefault="00996993">
            <w:pPr>
              <w:pStyle w:val="Footer"/>
              <w:jc w:val="right"/>
              <w:rPr>
                <w:b/>
                <w:sz w:val="24"/>
                <w:szCs w:val="24"/>
              </w:rPr>
            </w:pPr>
            <w:r w:rsidRPr="00714B7C">
              <w:rPr>
                <w:sz w:val="18"/>
                <w:szCs w:val="18"/>
              </w:rPr>
              <w:t xml:space="preserve">Page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PAGE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2B6DDD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  <w:r w:rsidRPr="00714B7C">
              <w:rPr>
                <w:sz w:val="18"/>
                <w:szCs w:val="18"/>
              </w:rPr>
              <w:t xml:space="preserve"> of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NUMPAGES 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2B6DDD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</w:p>
          <w:p w:rsidR="00996993" w:rsidRPr="00714B7C" w:rsidRDefault="00996993" w:rsidP="00714B7C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Appointing authority update for HRA Board (</w:t>
            </w:r>
            <w:r w:rsidR="00D20EC6">
              <w:rPr>
                <w:sz w:val="18"/>
                <w:szCs w:val="18"/>
              </w:rPr>
              <w:t>April</w:t>
            </w:r>
            <w:r w:rsidR="00EC1717">
              <w:rPr>
                <w:sz w:val="18"/>
                <w:szCs w:val="18"/>
              </w:rPr>
              <w:t xml:space="preserve"> 2015</w:t>
            </w:r>
            <w:r>
              <w:rPr>
                <w:sz w:val="18"/>
                <w:szCs w:val="18"/>
              </w:rPr>
              <w:t>)</w:t>
            </w:r>
          </w:p>
        </w:sdtContent>
      </w:sdt>
    </w:sdtContent>
  </w:sdt>
  <w:p w:rsidR="00996993" w:rsidRPr="00714B7C" w:rsidRDefault="00996993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05217"/>
      <w:docPartObj>
        <w:docPartGallery w:val="Page Numbers (Bottom of Page)"/>
        <w:docPartUnique/>
      </w:docPartObj>
    </w:sdtPr>
    <w:sdtEndPr/>
    <w:sdtContent>
      <w:sdt>
        <w:sdtPr>
          <w:id w:val="-1093394614"/>
          <w:docPartObj>
            <w:docPartGallery w:val="Page Numbers (Top of Page)"/>
            <w:docPartUnique/>
          </w:docPartObj>
        </w:sdtPr>
        <w:sdtEndPr/>
        <w:sdtContent>
          <w:p w:rsidR="00996993" w:rsidRDefault="00996993" w:rsidP="00922E7C">
            <w:pPr>
              <w:pStyle w:val="Footer"/>
              <w:jc w:val="right"/>
              <w:rPr>
                <w:b/>
                <w:sz w:val="24"/>
                <w:szCs w:val="24"/>
              </w:rPr>
            </w:pPr>
            <w:r w:rsidRPr="00714B7C">
              <w:rPr>
                <w:sz w:val="18"/>
                <w:szCs w:val="18"/>
              </w:rPr>
              <w:t xml:space="preserve">Page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PAGE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2B6DDD">
              <w:rPr>
                <w:b/>
                <w:noProof/>
                <w:sz w:val="18"/>
                <w:szCs w:val="18"/>
              </w:rPr>
              <w:t>2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  <w:r w:rsidRPr="00714B7C">
              <w:rPr>
                <w:sz w:val="18"/>
                <w:szCs w:val="18"/>
              </w:rPr>
              <w:t xml:space="preserve"> of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NUMPAGES 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2B6DDD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</w:p>
          <w:p w:rsidR="00996993" w:rsidRPr="00714B7C" w:rsidRDefault="00996993" w:rsidP="00922E7C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Appointing authority update for HRA Board (</w:t>
            </w:r>
            <w:r w:rsidR="003625C0">
              <w:rPr>
                <w:sz w:val="18"/>
                <w:szCs w:val="18"/>
              </w:rPr>
              <w:t>April</w:t>
            </w:r>
            <w:r w:rsidR="005F10D0">
              <w:rPr>
                <w:sz w:val="18"/>
                <w:szCs w:val="18"/>
              </w:rPr>
              <w:t xml:space="preserve"> 201</w:t>
            </w:r>
            <w:r w:rsidR="00074740">
              <w:rPr>
                <w:sz w:val="18"/>
                <w:szCs w:val="18"/>
              </w:rPr>
              <w:t>5</w:t>
            </w:r>
            <w:r w:rsidR="005F10D0">
              <w:rPr>
                <w:sz w:val="18"/>
                <w:szCs w:val="18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93" w:rsidRDefault="00996993" w:rsidP="00714B7C">
      <w:r>
        <w:separator/>
      </w:r>
    </w:p>
  </w:footnote>
  <w:footnote w:type="continuationSeparator" w:id="0">
    <w:p w:rsidR="00996993" w:rsidRDefault="00996993" w:rsidP="0071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3" w:rsidRDefault="00996993" w:rsidP="001E006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3" w:rsidRDefault="00996993" w:rsidP="001E006E">
    <w:pPr>
      <w:pStyle w:val="Header"/>
      <w:jc w:val="right"/>
    </w:pPr>
    <w:r w:rsidRPr="001E006E">
      <w:rPr>
        <w:noProof/>
        <w:lang w:eastAsia="en-GB"/>
      </w:rPr>
      <w:drawing>
        <wp:inline distT="0" distB="0" distL="0" distR="0" wp14:anchorId="34B11090" wp14:editId="07D5261A">
          <wp:extent cx="1866900" cy="3714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C51"/>
    <w:multiLevelType w:val="hybridMultilevel"/>
    <w:tmpl w:val="84D4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6FC"/>
    <w:multiLevelType w:val="hybridMultilevel"/>
    <w:tmpl w:val="DAD6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12FD"/>
    <w:multiLevelType w:val="hybridMultilevel"/>
    <w:tmpl w:val="5EFA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0E90"/>
    <w:multiLevelType w:val="hybridMultilevel"/>
    <w:tmpl w:val="D6065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A6734"/>
    <w:multiLevelType w:val="hybridMultilevel"/>
    <w:tmpl w:val="0CF6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F0F"/>
    <w:multiLevelType w:val="hybridMultilevel"/>
    <w:tmpl w:val="7E58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C1D73"/>
    <w:multiLevelType w:val="hybridMultilevel"/>
    <w:tmpl w:val="9B7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C6E5C"/>
    <w:multiLevelType w:val="hybridMultilevel"/>
    <w:tmpl w:val="1CCA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610"/>
    <w:multiLevelType w:val="hybridMultilevel"/>
    <w:tmpl w:val="AA40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1684E"/>
    <w:multiLevelType w:val="hybridMultilevel"/>
    <w:tmpl w:val="A358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0995"/>
    <w:multiLevelType w:val="hybridMultilevel"/>
    <w:tmpl w:val="9F7AB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65C3F"/>
    <w:multiLevelType w:val="hybridMultilevel"/>
    <w:tmpl w:val="7008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47211"/>
    <w:multiLevelType w:val="hybridMultilevel"/>
    <w:tmpl w:val="1B7C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818C3"/>
    <w:multiLevelType w:val="hybridMultilevel"/>
    <w:tmpl w:val="676E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C1452"/>
    <w:multiLevelType w:val="hybridMultilevel"/>
    <w:tmpl w:val="823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94DD3"/>
    <w:multiLevelType w:val="hybridMultilevel"/>
    <w:tmpl w:val="9CAC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53712"/>
    <w:multiLevelType w:val="hybridMultilevel"/>
    <w:tmpl w:val="92F2BB62"/>
    <w:lvl w:ilvl="0" w:tplc="438C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62C58"/>
    <w:multiLevelType w:val="hybridMultilevel"/>
    <w:tmpl w:val="C896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D3BA4"/>
    <w:multiLevelType w:val="hybridMultilevel"/>
    <w:tmpl w:val="7502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4131A"/>
    <w:multiLevelType w:val="hybridMultilevel"/>
    <w:tmpl w:val="7ADA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937C6"/>
    <w:multiLevelType w:val="hybridMultilevel"/>
    <w:tmpl w:val="0FE4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D5B4E"/>
    <w:multiLevelType w:val="hybridMultilevel"/>
    <w:tmpl w:val="3A3A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33A82"/>
    <w:multiLevelType w:val="hybridMultilevel"/>
    <w:tmpl w:val="76AE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00628"/>
    <w:multiLevelType w:val="hybridMultilevel"/>
    <w:tmpl w:val="CBA8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641E3"/>
    <w:multiLevelType w:val="hybridMultilevel"/>
    <w:tmpl w:val="DDC6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01A06"/>
    <w:multiLevelType w:val="hybridMultilevel"/>
    <w:tmpl w:val="5F44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609E5"/>
    <w:multiLevelType w:val="hybridMultilevel"/>
    <w:tmpl w:val="79BE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A2CD3"/>
    <w:multiLevelType w:val="hybridMultilevel"/>
    <w:tmpl w:val="6E9E166C"/>
    <w:lvl w:ilvl="0" w:tplc="8A4E5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A1078"/>
    <w:multiLevelType w:val="hybridMultilevel"/>
    <w:tmpl w:val="5132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26AB"/>
    <w:multiLevelType w:val="hybridMultilevel"/>
    <w:tmpl w:val="56E6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8"/>
  </w:num>
  <w:num w:numId="5">
    <w:abstractNumId w:val="14"/>
  </w:num>
  <w:num w:numId="6">
    <w:abstractNumId w:val="24"/>
  </w:num>
  <w:num w:numId="7">
    <w:abstractNumId w:val="26"/>
  </w:num>
  <w:num w:numId="8">
    <w:abstractNumId w:val="1"/>
  </w:num>
  <w:num w:numId="9">
    <w:abstractNumId w:val="2"/>
  </w:num>
  <w:num w:numId="10">
    <w:abstractNumId w:val="20"/>
  </w:num>
  <w:num w:numId="11">
    <w:abstractNumId w:val="15"/>
  </w:num>
  <w:num w:numId="12">
    <w:abstractNumId w:val="6"/>
  </w:num>
  <w:num w:numId="13">
    <w:abstractNumId w:val="16"/>
  </w:num>
  <w:num w:numId="14">
    <w:abstractNumId w:val="13"/>
  </w:num>
  <w:num w:numId="15">
    <w:abstractNumId w:val="18"/>
  </w:num>
  <w:num w:numId="16">
    <w:abstractNumId w:val="5"/>
  </w:num>
  <w:num w:numId="17">
    <w:abstractNumId w:val="0"/>
  </w:num>
  <w:num w:numId="18">
    <w:abstractNumId w:val="11"/>
  </w:num>
  <w:num w:numId="19">
    <w:abstractNumId w:val="21"/>
  </w:num>
  <w:num w:numId="20">
    <w:abstractNumId w:val="28"/>
  </w:num>
  <w:num w:numId="21">
    <w:abstractNumId w:val="4"/>
  </w:num>
  <w:num w:numId="22">
    <w:abstractNumId w:val="9"/>
  </w:num>
  <w:num w:numId="23">
    <w:abstractNumId w:val="12"/>
  </w:num>
  <w:num w:numId="24">
    <w:abstractNumId w:val="3"/>
  </w:num>
  <w:num w:numId="25">
    <w:abstractNumId w:val="22"/>
  </w:num>
  <w:num w:numId="26">
    <w:abstractNumId w:val="10"/>
  </w:num>
  <w:num w:numId="27">
    <w:abstractNumId w:val="7"/>
  </w:num>
  <w:num w:numId="28">
    <w:abstractNumId w:val="17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3C"/>
    <w:rsid w:val="00001C3D"/>
    <w:rsid w:val="00014FCE"/>
    <w:rsid w:val="0002555C"/>
    <w:rsid w:val="0003354C"/>
    <w:rsid w:val="00043D38"/>
    <w:rsid w:val="00052BE3"/>
    <w:rsid w:val="00074108"/>
    <w:rsid w:val="00074740"/>
    <w:rsid w:val="0008084D"/>
    <w:rsid w:val="00087FF3"/>
    <w:rsid w:val="000A4195"/>
    <w:rsid w:val="000C0465"/>
    <w:rsid w:val="000C395B"/>
    <w:rsid w:val="000D2B96"/>
    <w:rsid w:val="000D36A7"/>
    <w:rsid w:val="000D3C44"/>
    <w:rsid w:val="000D5DC6"/>
    <w:rsid w:val="000E520C"/>
    <w:rsid w:val="000F7C2D"/>
    <w:rsid w:val="0010003E"/>
    <w:rsid w:val="00125B88"/>
    <w:rsid w:val="0012741D"/>
    <w:rsid w:val="001356F1"/>
    <w:rsid w:val="00140FD5"/>
    <w:rsid w:val="001458A2"/>
    <w:rsid w:val="001B0D44"/>
    <w:rsid w:val="001B7DB0"/>
    <w:rsid w:val="001E006E"/>
    <w:rsid w:val="001F6A9F"/>
    <w:rsid w:val="0020371D"/>
    <w:rsid w:val="00204E27"/>
    <w:rsid w:val="002876BD"/>
    <w:rsid w:val="002943DE"/>
    <w:rsid w:val="002B6DDD"/>
    <w:rsid w:val="002C35F1"/>
    <w:rsid w:val="002D43E2"/>
    <w:rsid w:val="002E58DA"/>
    <w:rsid w:val="002E673B"/>
    <w:rsid w:val="002F5F73"/>
    <w:rsid w:val="002F743E"/>
    <w:rsid w:val="00302180"/>
    <w:rsid w:val="00320889"/>
    <w:rsid w:val="00321DEC"/>
    <w:rsid w:val="00323FF6"/>
    <w:rsid w:val="003315F7"/>
    <w:rsid w:val="00343461"/>
    <w:rsid w:val="003555B3"/>
    <w:rsid w:val="003625C0"/>
    <w:rsid w:val="0036564D"/>
    <w:rsid w:val="0037631D"/>
    <w:rsid w:val="00397FE4"/>
    <w:rsid w:val="003B2149"/>
    <w:rsid w:val="003B3B5E"/>
    <w:rsid w:val="003B65B8"/>
    <w:rsid w:val="003C2F70"/>
    <w:rsid w:val="003F1F56"/>
    <w:rsid w:val="004061F2"/>
    <w:rsid w:val="00413B2B"/>
    <w:rsid w:val="004220CB"/>
    <w:rsid w:val="00426F43"/>
    <w:rsid w:val="0043503C"/>
    <w:rsid w:val="00436BD8"/>
    <w:rsid w:val="00446156"/>
    <w:rsid w:val="00451BB1"/>
    <w:rsid w:val="004551CD"/>
    <w:rsid w:val="00460FEA"/>
    <w:rsid w:val="00461E54"/>
    <w:rsid w:val="00470516"/>
    <w:rsid w:val="00490B13"/>
    <w:rsid w:val="004A50AD"/>
    <w:rsid w:val="004C263F"/>
    <w:rsid w:val="004C33BC"/>
    <w:rsid w:val="004D0618"/>
    <w:rsid w:val="004D1782"/>
    <w:rsid w:val="004D58BA"/>
    <w:rsid w:val="004E4E8A"/>
    <w:rsid w:val="00504C22"/>
    <w:rsid w:val="00511F90"/>
    <w:rsid w:val="00525A9A"/>
    <w:rsid w:val="00535149"/>
    <w:rsid w:val="00547716"/>
    <w:rsid w:val="00554617"/>
    <w:rsid w:val="00581365"/>
    <w:rsid w:val="00585FDF"/>
    <w:rsid w:val="0059685F"/>
    <w:rsid w:val="005E7AFD"/>
    <w:rsid w:val="005E7D45"/>
    <w:rsid w:val="005F10D0"/>
    <w:rsid w:val="005F1B17"/>
    <w:rsid w:val="00605B4F"/>
    <w:rsid w:val="006114E2"/>
    <w:rsid w:val="00644B1D"/>
    <w:rsid w:val="00655616"/>
    <w:rsid w:val="00666A47"/>
    <w:rsid w:val="00666C59"/>
    <w:rsid w:val="006941E0"/>
    <w:rsid w:val="006971FB"/>
    <w:rsid w:val="006A52F1"/>
    <w:rsid w:val="006B0829"/>
    <w:rsid w:val="006C7FA2"/>
    <w:rsid w:val="006D1051"/>
    <w:rsid w:val="0070255D"/>
    <w:rsid w:val="00711C6C"/>
    <w:rsid w:val="007141A1"/>
    <w:rsid w:val="00714B7C"/>
    <w:rsid w:val="00723CA7"/>
    <w:rsid w:val="00752001"/>
    <w:rsid w:val="007636E1"/>
    <w:rsid w:val="00775A94"/>
    <w:rsid w:val="007861C9"/>
    <w:rsid w:val="007A3EE6"/>
    <w:rsid w:val="007B4983"/>
    <w:rsid w:val="007D368F"/>
    <w:rsid w:val="007E380E"/>
    <w:rsid w:val="00826E5C"/>
    <w:rsid w:val="008442E4"/>
    <w:rsid w:val="00855866"/>
    <w:rsid w:val="00857041"/>
    <w:rsid w:val="008720FA"/>
    <w:rsid w:val="0087713A"/>
    <w:rsid w:val="00891D9E"/>
    <w:rsid w:val="0089668B"/>
    <w:rsid w:val="008A1D56"/>
    <w:rsid w:val="008B27BC"/>
    <w:rsid w:val="008B4D64"/>
    <w:rsid w:val="008D19BD"/>
    <w:rsid w:val="008D3383"/>
    <w:rsid w:val="008D7189"/>
    <w:rsid w:val="008E32DF"/>
    <w:rsid w:val="008E7CD0"/>
    <w:rsid w:val="008F4D64"/>
    <w:rsid w:val="00904579"/>
    <w:rsid w:val="00920414"/>
    <w:rsid w:val="00922461"/>
    <w:rsid w:val="00922E7C"/>
    <w:rsid w:val="009616C5"/>
    <w:rsid w:val="00965156"/>
    <w:rsid w:val="00975D61"/>
    <w:rsid w:val="00996993"/>
    <w:rsid w:val="009B227A"/>
    <w:rsid w:val="009D35F3"/>
    <w:rsid w:val="009E53D5"/>
    <w:rsid w:val="009E5B49"/>
    <w:rsid w:val="009E6E70"/>
    <w:rsid w:val="009F62DE"/>
    <w:rsid w:val="009F676E"/>
    <w:rsid w:val="00A024F1"/>
    <w:rsid w:val="00A06B6D"/>
    <w:rsid w:val="00A17D11"/>
    <w:rsid w:val="00A268E8"/>
    <w:rsid w:val="00A426B5"/>
    <w:rsid w:val="00A84897"/>
    <w:rsid w:val="00AB3449"/>
    <w:rsid w:val="00B02364"/>
    <w:rsid w:val="00B21BF7"/>
    <w:rsid w:val="00B31A27"/>
    <w:rsid w:val="00B33E0C"/>
    <w:rsid w:val="00B44420"/>
    <w:rsid w:val="00BC3BA5"/>
    <w:rsid w:val="00BC4A2A"/>
    <w:rsid w:val="00BC5D24"/>
    <w:rsid w:val="00BD0280"/>
    <w:rsid w:val="00BF3648"/>
    <w:rsid w:val="00BF5310"/>
    <w:rsid w:val="00C009E4"/>
    <w:rsid w:val="00C00A98"/>
    <w:rsid w:val="00C074E6"/>
    <w:rsid w:val="00C540CE"/>
    <w:rsid w:val="00C665BC"/>
    <w:rsid w:val="00C671AF"/>
    <w:rsid w:val="00C76F73"/>
    <w:rsid w:val="00CA1D13"/>
    <w:rsid w:val="00CA741C"/>
    <w:rsid w:val="00CC7A9E"/>
    <w:rsid w:val="00CD055D"/>
    <w:rsid w:val="00CD3970"/>
    <w:rsid w:val="00CD4E9F"/>
    <w:rsid w:val="00CD76E4"/>
    <w:rsid w:val="00CE07EA"/>
    <w:rsid w:val="00CE3006"/>
    <w:rsid w:val="00CF22A4"/>
    <w:rsid w:val="00CF2CEA"/>
    <w:rsid w:val="00D20EC6"/>
    <w:rsid w:val="00D3290A"/>
    <w:rsid w:val="00D4774D"/>
    <w:rsid w:val="00D50604"/>
    <w:rsid w:val="00D56F1A"/>
    <w:rsid w:val="00D73845"/>
    <w:rsid w:val="00D8713B"/>
    <w:rsid w:val="00DA7AAC"/>
    <w:rsid w:val="00DD53B0"/>
    <w:rsid w:val="00DF1556"/>
    <w:rsid w:val="00E04409"/>
    <w:rsid w:val="00E051F1"/>
    <w:rsid w:val="00E061C7"/>
    <w:rsid w:val="00E32A03"/>
    <w:rsid w:val="00E3478C"/>
    <w:rsid w:val="00E35814"/>
    <w:rsid w:val="00E63D91"/>
    <w:rsid w:val="00E77969"/>
    <w:rsid w:val="00EA5681"/>
    <w:rsid w:val="00EB2189"/>
    <w:rsid w:val="00EC1717"/>
    <w:rsid w:val="00EC6800"/>
    <w:rsid w:val="00ED7B72"/>
    <w:rsid w:val="00EE0633"/>
    <w:rsid w:val="00EE50BF"/>
    <w:rsid w:val="00EF399B"/>
    <w:rsid w:val="00F03DD8"/>
    <w:rsid w:val="00F167CC"/>
    <w:rsid w:val="00F5271C"/>
    <w:rsid w:val="00F5382F"/>
    <w:rsid w:val="00F837DB"/>
    <w:rsid w:val="00F860E4"/>
    <w:rsid w:val="00FD0328"/>
    <w:rsid w:val="00FE533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B7C"/>
  </w:style>
  <w:style w:type="paragraph" w:styleId="Footer">
    <w:name w:val="footer"/>
    <w:basedOn w:val="Normal"/>
    <w:link w:val="Foot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B7C"/>
  </w:style>
  <w:style w:type="table" w:styleId="TableGrid">
    <w:name w:val="Table Grid"/>
    <w:basedOn w:val="TableNormal"/>
    <w:uiPriority w:val="59"/>
    <w:rsid w:val="0058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locked/>
    <w:rsid w:val="004E4E8A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4E4E8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E4E8A"/>
    <w:rPr>
      <w:rFonts w:ascii="Consolas" w:hAnsi="Consolas"/>
      <w:sz w:val="21"/>
      <w:szCs w:val="21"/>
    </w:rPr>
  </w:style>
  <w:style w:type="paragraph" w:customStyle="1" w:styleId="Default">
    <w:name w:val="Default"/>
    <w:rsid w:val="009F6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08084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B7C"/>
  </w:style>
  <w:style w:type="paragraph" w:styleId="Footer">
    <w:name w:val="footer"/>
    <w:basedOn w:val="Normal"/>
    <w:link w:val="Foot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B7C"/>
  </w:style>
  <w:style w:type="table" w:styleId="TableGrid">
    <w:name w:val="Table Grid"/>
    <w:basedOn w:val="TableNormal"/>
    <w:uiPriority w:val="59"/>
    <w:rsid w:val="0058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locked/>
    <w:rsid w:val="004E4E8A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4E4E8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E4E8A"/>
    <w:rPr>
      <w:rFonts w:ascii="Consolas" w:hAnsi="Consolas"/>
      <w:sz w:val="21"/>
      <w:szCs w:val="21"/>
    </w:rPr>
  </w:style>
  <w:style w:type="paragraph" w:customStyle="1" w:styleId="Default">
    <w:name w:val="Default"/>
    <w:rsid w:val="009F6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08084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9D9912-6FA3-4F43-BDE5-C85432B8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Patient Safety Agency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Tebbutt</dc:creator>
  <cp:lastModifiedBy>Steve Tebbutt</cp:lastModifiedBy>
  <cp:revision>9</cp:revision>
  <cp:lastPrinted>2012-07-27T11:19:00Z</cp:lastPrinted>
  <dcterms:created xsi:type="dcterms:W3CDTF">2015-05-01T09:34:00Z</dcterms:created>
  <dcterms:modified xsi:type="dcterms:W3CDTF">2015-05-13T09:51:00Z</dcterms:modified>
</cp:coreProperties>
</file>