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6B1E0FE4" wp14:editId="7B549722">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3643DB"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9</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3643DB" w:rsidRDefault="003643DB" w:rsidP="00DF3EE3">
            <w:pPr>
              <w:jc w:val="center"/>
              <w:rPr>
                <w:rFonts w:asciiTheme="minorHAnsi" w:hAnsiTheme="minorHAnsi" w:cstheme="minorHAnsi"/>
                <w:b/>
                <w:sz w:val="44"/>
                <w:szCs w:val="44"/>
                <w:lang w:eastAsia="en-US"/>
              </w:rPr>
            </w:pPr>
            <w:r w:rsidRPr="003643DB">
              <w:rPr>
                <w:rFonts w:asciiTheme="minorHAnsi" w:hAnsiTheme="minorHAnsi" w:cstheme="minorHAnsi"/>
                <w:b/>
                <w:sz w:val="44"/>
                <w:szCs w:val="44"/>
                <w:lang w:eastAsia="en-US"/>
              </w:rPr>
              <w:t>D</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D427CB">
        <w:rPr>
          <w:rFonts w:asciiTheme="minorHAnsi" w:eastAsiaTheme="minorHAnsi" w:hAnsiTheme="minorHAnsi" w:cstheme="minorHAnsi"/>
          <w:b/>
          <w:sz w:val="44"/>
          <w:szCs w:val="44"/>
          <w:lang w:eastAsia="en-US"/>
        </w:rPr>
        <w:t>BOARD</w:t>
      </w:r>
      <w:r w:rsidRPr="00DF3EE3">
        <w:rPr>
          <w:rFonts w:asciiTheme="minorHAnsi" w:eastAsiaTheme="minorHAnsi" w:hAnsiTheme="minorHAnsi" w:cstheme="minorHAnsi"/>
          <w:b/>
          <w:sz w:val="44"/>
          <w:szCs w:val="44"/>
          <w:lang w:eastAsia="en-US"/>
        </w:rPr>
        <w:t xml:space="preserve">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EB22E9">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tcPr>
          <w:p w:rsidR="007948D4" w:rsidRPr="00DF3EE3" w:rsidRDefault="003643DB" w:rsidP="00D363E9">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20</w:t>
            </w:r>
            <w:bookmarkStart w:id="0" w:name="_GoBack"/>
            <w:bookmarkEnd w:id="0"/>
            <w:r w:rsidR="00066196">
              <w:rPr>
                <w:rFonts w:asciiTheme="minorHAnsi" w:eastAsiaTheme="minorHAnsi" w:hAnsiTheme="minorHAnsi" w:cstheme="minorHAnsi"/>
                <w:lang w:eastAsia="en-US"/>
              </w:rPr>
              <w:t xml:space="preserve"> May</w:t>
            </w:r>
            <w:r w:rsidR="00A64613">
              <w:rPr>
                <w:rFonts w:asciiTheme="minorHAnsi" w:eastAsiaTheme="minorHAnsi" w:hAnsiTheme="minorHAnsi" w:cstheme="minorHAnsi"/>
                <w:lang w:eastAsia="en-US"/>
              </w:rPr>
              <w:t xml:space="preserve"> 2015</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B06BAE">
            <w:pPr>
              <w:spacing w:after="200" w:line="276" w:lineRule="auto"/>
              <w:rPr>
                <w:rFonts w:asciiTheme="minorHAnsi" w:hAnsiTheme="minorHAnsi" w:cstheme="minorHAnsi"/>
              </w:rPr>
            </w:pPr>
            <w:r w:rsidRPr="00DF3EE3">
              <w:rPr>
                <w:rFonts w:asciiTheme="minorHAnsi" w:hAnsiTheme="minorHAnsi" w:cstheme="minorHAnsi"/>
              </w:rPr>
              <w:t xml:space="preserve">Financial </w:t>
            </w:r>
            <w:r w:rsidR="00AD76CF">
              <w:rPr>
                <w:rFonts w:asciiTheme="minorHAnsi" w:hAnsiTheme="minorHAnsi" w:cstheme="minorHAnsi"/>
              </w:rPr>
              <w:t xml:space="preserve">report </w:t>
            </w:r>
            <w:r w:rsidR="00066196">
              <w:rPr>
                <w:rFonts w:asciiTheme="minorHAnsi" w:hAnsiTheme="minorHAnsi" w:cstheme="minorHAnsi"/>
              </w:rPr>
              <w:t>as at 31</w:t>
            </w:r>
            <w:r w:rsidR="00066196" w:rsidRPr="00066196">
              <w:rPr>
                <w:rFonts w:asciiTheme="minorHAnsi" w:hAnsiTheme="minorHAnsi" w:cstheme="minorHAnsi"/>
                <w:vertAlign w:val="superscript"/>
              </w:rPr>
              <w:t>st</w:t>
            </w:r>
            <w:r w:rsidR="00066196">
              <w:rPr>
                <w:rFonts w:asciiTheme="minorHAnsi" w:hAnsiTheme="minorHAnsi" w:cstheme="minorHAnsi"/>
              </w:rPr>
              <w:t xml:space="preserve"> March </w:t>
            </w:r>
            <w:r w:rsidR="00A64613">
              <w:rPr>
                <w:rFonts w:asciiTheme="minorHAnsi" w:hAnsiTheme="minorHAnsi" w:cstheme="minorHAnsi"/>
              </w:rPr>
              <w:t>2015</w:t>
            </w:r>
            <w:r w:rsidR="00E21205">
              <w:rPr>
                <w:rFonts w:asciiTheme="minorHAnsi" w:hAnsiTheme="minorHAnsi" w:cstheme="minorHAnsi"/>
              </w:rPr>
              <w:t xml:space="preserve"> </w:t>
            </w:r>
            <w:r w:rsidR="008506B4">
              <w:rPr>
                <w:rFonts w:asciiTheme="minorHAnsi" w:hAnsiTheme="minorHAnsi" w:cstheme="minorHAnsi"/>
              </w:rPr>
              <w:t>for financial year 2014/15</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25092F" w:rsidRPr="00DF3EE3" w:rsidRDefault="00DF3EE3" w:rsidP="001C6A8A">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report on the financial position of the Authority for the </w:t>
            </w:r>
            <w:r w:rsidR="001C6A8A">
              <w:rPr>
                <w:rFonts w:asciiTheme="minorHAnsi" w:eastAsiaTheme="minorHAnsi" w:hAnsiTheme="minorHAnsi" w:cstheme="minorHAnsi"/>
                <w:lang w:eastAsia="en-US"/>
              </w:rPr>
              <w:t>year</w:t>
            </w:r>
            <w:r w:rsidR="00844B51">
              <w:rPr>
                <w:rFonts w:asciiTheme="minorHAnsi" w:eastAsiaTheme="minorHAnsi" w:hAnsiTheme="minorHAnsi" w:cstheme="minorHAnsi"/>
                <w:lang w:eastAsia="en-US"/>
              </w:rPr>
              <w:t xml:space="preserve"> ended </w:t>
            </w:r>
            <w:r w:rsidR="00066196">
              <w:rPr>
                <w:rFonts w:asciiTheme="minorHAnsi" w:eastAsiaTheme="minorHAnsi" w:hAnsiTheme="minorHAnsi" w:cstheme="minorHAnsi"/>
                <w:lang w:eastAsia="en-US"/>
              </w:rPr>
              <w:t>March</w:t>
            </w:r>
            <w:r w:rsidR="00A64613">
              <w:rPr>
                <w:rFonts w:asciiTheme="minorHAnsi" w:eastAsiaTheme="minorHAnsi" w:hAnsiTheme="minorHAnsi" w:cstheme="minorHAnsi"/>
                <w:lang w:eastAsia="en-US"/>
              </w:rPr>
              <w:t xml:space="preserve"> 2015</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613941" w:rsidRPr="00DF3EE3" w:rsidRDefault="00DF3EE3" w:rsidP="00D750FE">
            <w:pPr>
              <w:spacing w:after="200" w:line="276" w:lineRule="auto"/>
              <w:rPr>
                <w:rFonts w:asciiTheme="minorHAnsi" w:eastAsiaTheme="minorHAnsi" w:hAnsiTheme="minorHAnsi" w:cstheme="minorHAnsi"/>
                <w:lang w:eastAsia="en-US"/>
              </w:rPr>
            </w:pPr>
            <w:r w:rsidRPr="00DF3EE3">
              <w:rPr>
                <w:rFonts w:asciiTheme="minorHAnsi" w:eastAsiaTheme="minorHAnsi" w:hAnsiTheme="minorHAnsi" w:cstheme="minorHAnsi"/>
                <w:lang w:eastAsia="en-US"/>
              </w:rPr>
              <w:t xml:space="preserve">To ensure the </w:t>
            </w:r>
            <w:r>
              <w:rPr>
                <w:rFonts w:asciiTheme="minorHAnsi" w:eastAsiaTheme="minorHAnsi" w:hAnsiTheme="minorHAnsi" w:cstheme="minorHAnsi"/>
                <w:lang w:eastAsia="en-US"/>
              </w:rPr>
              <w:t>EMT</w:t>
            </w:r>
            <w:r w:rsidRPr="00DF3EE3">
              <w:rPr>
                <w:rFonts w:asciiTheme="minorHAnsi" w:eastAsiaTheme="minorHAnsi" w:hAnsiTheme="minorHAnsi" w:cstheme="minorHAnsi"/>
                <w:lang w:eastAsia="en-US"/>
              </w:rPr>
              <w:t xml:space="preserve"> </w:t>
            </w:r>
            <w:r w:rsidR="00AD76CF">
              <w:rPr>
                <w:rFonts w:asciiTheme="minorHAnsi" w:eastAsiaTheme="minorHAnsi" w:hAnsiTheme="minorHAnsi" w:cstheme="minorHAnsi"/>
                <w:lang w:eastAsia="en-US"/>
              </w:rPr>
              <w:t xml:space="preserve">and the Board in due course, </w:t>
            </w:r>
            <w:r w:rsidRPr="00DF3EE3">
              <w:rPr>
                <w:rFonts w:asciiTheme="minorHAnsi" w:eastAsiaTheme="minorHAnsi" w:hAnsiTheme="minorHAnsi" w:cstheme="minorHAnsi"/>
                <w:lang w:eastAsia="en-US"/>
              </w:rPr>
              <w:t xml:space="preserve">are aware of the </w:t>
            </w:r>
            <w:r w:rsidR="00D363E9">
              <w:rPr>
                <w:rFonts w:asciiTheme="minorHAnsi" w:eastAsiaTheme="minorHAnsi" w:hAnsiTheme="minorHAnsi" w:cstheme="minorHAnsi"/>
                <w:lang w:eastAsia="en-US"/>
              </w:rPr>
              <w:t xml:space="preserve">end of year </w:t>
            </w:r>
            <w:r w:rsidRPr="00DF3EE3">
              <w:rPr>
                <w:rFonts w:asciiTheme="minorHAnsi" w:eastAsiaTheme="minorHAnsi" w:hAnsiTheme="minorHAnsi" w:cstheme="minorHAnsi"/>
                <w:lang w:eastAsia="en-US"/>
              </w:rPr>
              <w:t>financial position of the HRA</w:t>
            </w:r>
            <w:r w:rsidR="00D750FE">
              <w:rPr>
                <w:rFonts w:asciiTheme="minorHAnsi" w:eastAsiaTheme="minorHAnsi" w:hAnsiTheme="minorHAnsi" w:cstheme="minorHAnsi"/>
                <w:lang w:eastAsia="en-US"/>
              </w:rPr>
              <w:t>.</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EB22E9" w:rsidP="00835AD1">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Tom Smith, Director of Quality, </w:t>
            </w:r>
            <w:r w:rsidR="00835AD1">
              <w:rPr>
                <w:rFonts w:asciiTheme="minorHAnsi" w:eastAsiaTheme="minorHAnsi" w:hAnsiTheme="minorHAnsi" w:cstheme="minorHAnsi"/>
                <w:lang w:eastAsia="en-US"/>
              </w:rPr>
              <w:t>Standards &amp; Information</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DF3EE3" w:rsidRDefault="00AD76CF"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This paper present</w:t>
            </w:r>
            <w:r w:rsidR="003179D5">
              <w:rPr>
                <w:rFonts w:asciiTheme="minorHAnsi" w:eastAsiaTheme="minorHAnsi" w:hAnsiTheme="minorHAnsi" w:cstheme="minorHAnsi"/>
                <w:lang w:eastAsia="en-US"/>
              </w:rPr>
              <w:t>s the financi</w:t>
            </w:r>
            <w:r w:rsidR="001516FA">
              <w:rPr>
                <w:rFonts w:asciiTheme="minorHAnsi" w:eastAsiaTheme="minorHAnsi" w:hAnsiTheme="minorHAnsi" w:cstheme="minorHAnsi"/>
                <w:lang w:eastAsia="en-US"/>
              </w:rPr>
              <w:t>a</w:t>
            </w:r>
            <w:r w:rsidR="00E6420E">
              <w:rPr>
                <w:rFonts w:asciiTheme="minorHAnsi" w:eastAsiaTheme="minorHAnsi" w:hAnsiTheme="minorHAnsi" w:cstheme="minorHAnsi"/>
                <w:lang w:eastAsia="en-US"/>
              </w:rPr>
              <w:t xml:space="preserve">l </w:t>
            </w:r>
            <w:r w:rsidR="00646BC4">
              <w:rPr>
                <w:rFonts w:asciiTheme="minorHAnsi" w:eastAsiaTheme="minorHAnsi" w:hAnsiTheme="minorHAnsi" w:cstheme="minorHAnsi"/>
                <w:lang w:eastAsia="en-US"/>
              </w:rPr>
              <w:t>pos</w:t>
            </w:r>
            <w:r w:rsidR="008B70B1">
              <w:rPr>
                <w:rFonts w:asciiTheme="minorHAnsi" w:eastAsiaTheme="minorHAnsi" w:hAnsiTheme="minorHAnsi" w:cstheme="minorHAnsi"/>
                <w:lang w:eastAsia="en-US"/>
              </w:rPr>
              <w:t xml:space="preserve">ition as at the end of </w:t>
            </w:r>
            <w:r w:rsidR="00066196">
              <w:rPr>
                <w:rFonts w:asciiTheme="minorHAnsi" w:eastAsiaTheme="minorHAnsi" w:hAnsiTheme="minorHAnsi" w:cstheme="minorHAnsi"/>
                <w:lang w:eastAsia="en-US"/>
              </w:rPr>
              <w:t>March</w:t>
            </w:r>
            <w:r w:rsidR="00826265">
              <w:rPr>
                <w:rFonts w:asciiTheme="minorHAnsi" w:eastAsiaTheme="minorHAnsi" w:hAnsiTheme="minorHAnsi" w:cstheme="minorHAnsi"/>
                <w:lang w:eastAsia="en-US"/>
              </w:rPr>
              <w:t xml:space="preserve"> </w:t>
            </w:r>
            <w:r w:rsidR="00A64613">
              <w:rPr>
                <w:rFonts w:asciiTheme="minorHAnsi" w:eastAsiaTheme="minorHAnsi" w:hAnsiTheme="minorHAnsi" w:cstheme="minorHAnsi"/>
                <w:lang w:eastAsia="en-US"/>
              </w:rPr>
              <w:t>2015</w:t>
            </w:r>
            <w:r w:rsidR="003449ED" w:rsidRPr="00850AB1">
              <w:rPr>
                <w:rFonts w:asciiTheme="minorHAnsi" w:eastAsiaTheme="minorHAnsi" w:hAnsiTheme="minorHAnsi" w:cstheme="minorHAnsi"/>
                <w:lang w:eastAsia="en-US"/>
              </w:rPr>
              <w:t xml:space="preserve">. </w:t>
            </w:r>
            <w:r w:rsidR="006B421B" w:rsidRPr="00850AB1">
              <w:rPr>
                <w:rFonts w:asciiTheme="minorHAnsi" w:eastAsiaTheme="minorHAnsi" w:hAnsiTheme="minorHAnsi" w:cstheme="minorHAnsi"/>
                <w:lang w:eastAsia="en-US"/>
              </w:rPr>
              <w:t xml:space="preserve">  </w:t>
            </w:r>
          </w:p>
          <w:p w:rsidR="00D363E9" w:rsidRDefault="00EA4491" w:rsidP="008506B4">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In summary</w:t>
            </w:r>
            <w:proofErr w:type="gramStart"/>
            <w:r>
              <w:rPr>
                <w:rFonts w:asciiTheme="minorHAnsi" w:eastAsiaTheme="minorHAnsi" w:hAnsiTheme="minorHAnsi" w:cstheme="minorHAnsi"/>
                <w:lang w:eastAsia="en-US"/>
              </w:rPr>
              <w:t xml:space="preserve">,  </w:t>
            </w:r>
            <w:r w:rsidR="00D363E9">
              <w:rPr>
                <w:rFonts w:asciiTheme="minorHAnsi" w:eastAsiaTheme="minorHAnsi" w:hAnsiTheme="minorHAnsi" w:cstheme="minorHAnsi"/>
                <w:lang w:eastAsia="en-US"/>
              </w:rPr>
              <w:t>the</w:t>
            </w:r>
            <w:proofErr w:type="gramEnd"/>
            <w:r w:rsidR="00D363E9">
              <w:rPr>
                <w:rFonts w:asciiTheme="minorHAnsi" w:eastAsiaTheme="minorHAnsi" w:hAnsiTheme="minorHAnsi" w:cstheme="minorHAnsi"/>
                <w:lang w:eastAsia="en-US"/>
              </w:rPr>
              <w:t xml:space="preserve"> HRA completed the year with an expected</w:t>
            </w:r>
            <w:r w:rsidR="00252EDF">
              <w:rPr>
                <w:rFonts w:asciiTheme="minorHAnsi" w:eastAsiaTheme="minorHAnsi" w:hAnsiTheme="minorHAnsi" w:cstheme="minorHAnsi"/>
                <w:lang w:eastAsia="en-US"/>
              </w:rPr>
              <w:t xml:space="preserve"> expenditure</w:t>
            </w:r>
            <w:r w:rsidR="00D363E9">
              <w:rPr>
                <w:rFonts w:asciiTheme="minorHAnsi" w:eastAsiaTheme="minorHAnsi" w:hAnsiTheme="minorHAnsi" w:cstheme="minorHAnsi"/>
                <w:lang w:eastAsia="en-US"/>
              </w:rPr>
              <w:t xml:space="preserve"> under spend of £3.</w:t>
            </w:r>
            <w:r w:rsidR="00262B57">
              <w:rPr>
                <w:rFonts w:asciiTheme="minorHAnsi" w:eastAsiaTheme="minorHAnsi" w:hAnsiTheme="minorHAnsi" w:cstheme="minorHAnsi"/>
                <w:lang w:eastAsia="en-US"/>
              </w:rPr>
              <w:t>09</w:t>
            </w:r>
            <w:r w:rsidR="00D363E9">
              <w:rPr>
                <w:rFonts w:asciiTheme="minorHAnsi" w:eastAsiaTheme="minorHAnsi" w:hAnsiTheme="minorHAnsi" w:cstheme="minorHAnsi"/>
                <w:lang w:eastAsia="en-US"/>
              </w:rPr>
              <w:t>million.   An un</w:t>
            </w:r>
            <w:r>
              <w:rPr>
                <w:rFonts w:asciiTheme="minorHAnsi" w:eastAsiaTheme="minorHAnsi" w:hAnsiTheme="minorHAnsi" w:cstheme="minorHAnsi"/>
                <w:lang w:eastAsia="en-US"/>
              </w:rPr>
              <w:t xml:space="preserve">der spend </w:t>
            </w:r>
            <w:r w:rsidR="00D363E9">
              <w:rPr>
                <w:rFonts w:asciiTheme="minorHAnsi" w:eastAsiaTheme="minorHAnsi" w:hAnsiTheme="minorHAnsi" w:cstheme="minorHAnsi"/>
                <w:lang w:eastAsia="en-US"/>
              </w:rPr>
              <w:t xml:space="preserve">range </w:t>
            </w:r>
            <w:r>
              <w:rPr>
                <w:rFonts w:asciiTheme="minorHAnsi" w:eastAsiaTheme="minorHAnsi" w:hAnsiTheme="minorHAnsi" w:cstheme="minorHAnsi"/>
                <w:lang w:eastAsia="en-US"/>
              </w:rPr>
              <w:t>ha</w:t>
            </w:r>
            <w:r w:rsidR="001C6A8A">
              <w:rPr>
                <w:rFonts w:asciiTheme="minorHAnsi" w:eastAsiaTheme="minorHAnsi" w:hAnsiTheme="minorHAnsi" w:cstheme="minorHAnsi"/>
                <w:lang w:eastAsia="en-US"/>
              </w:rPr>
              <w:t>d</w:t>
            </w:r>
            <w:r>
              <w:rPr>
                <w:rFonts w:asciiTheme="minorHAnsi" w:eastAsiaTheme="minorHAnsi" w:hAnsiTheme="minorHAnsi" w:cstheme="minorHAnsi"/>
                <w:lang w:eastAsia="en-US"/>
              </w:rPr>
              <w:t xml:space="preserve"> been forecast from </w:t>
            </w:r>
            <w:r w:rsidR="00D363E9">
              <w:rPr>
                <w:rFonts w:asciiTheme="minorHAnsi" w:eastAsiaTheme="minorHAnsi" w:hAnsiTheme="minorHAnsi" w:cstheme="minorHAnsi"/>
                <w:lang w:eastAsia="en-US"/>
              </w:rPr>
              <w:t>May 2014</w:t>
            </w:r>
            <w:r>
              <w:rPr>
                <w:rFonts w:asciiTheme="minorHAnsi" w:eastAsiaTheme="minorHAnsi" w:hAnsiTheme="minorHAnsi" w:cstheme="minorHAnsi"/>
                <w:lang w:eastAsia="en-US"/>
              </w:rPr>
              <w:t xml:space="preserve">.  </w:t>
            </w:r>
            <w:r w:rsidR="00D363E9">
              <w:rPr>
                <w:rFonts w:asciiTheme="minorHAnsi" w:eastAsiaTheme="minorHAnsi" w:hAnsiTheme="minorHAnsi" w:cstheme="minorHAnsi"/>
                <w:lang w:eastAsia="en-US"/>
              </w:rPr>
              <w:t xml:space="preserve">The position has been regularly reported to the EMT, Board, Sponsor and DH Finance colleagues with the upper end of the forecast range being advised as the likely position.  </w:t>
            </w:r>
          </w:p>
          <w:p w:rsidR="00D363E9" w:rsidRDefault="00EA4491" w:rsidP="008506B4">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extent of t</w:t>
            </w:r>
            <w:r w:rsidR="00613941">
              <w:rPr>
                <w:rFonts w:asciiTheme="minorHAnsi" w:eastAsiaTheme="minorHAnsi" w:hAnsiTheme="minorHAnsi" w:cstheme="minorHAnsi"/>
                <w:lang w:eastAsia="en-US"/>
              </w:rPr>
              <w:t>he</w:t>
            </w:r>
            <w:r w:rsidR="009E101F">
              <w:rPr>
                <w:rFonts w:asciiTheme="minorHAnsi" w:eastAsiaTheme="minorHAnsi" w:hAnsiTheme="minorHAnsi" w:cstheme="minorHAnsi"/>
                <w:lang w:eastAsia="en-US"/>
              </w:rPr>
              <w:t xml:space="preserve"> forecast underspend </w:t>
            </w:r>
            <w:r w:rsidR="00826265">
              <w:rPr>
                <w:rFonts w:asciiTheme="minorHAnsi" w:eastAsiaTheme="minorHAnsi" w:hAnsiTheme="minorHAnsi" w:cstheme="minorHAnsi"/>
                <w:lang w:eastAsia="en-US"/>
              </w:rPr>
              <w:t xml:space="preserve">has </w:t>
            </w:r>
            <w:r>
              <w:rPr>
                <w:rFonts w:asciiTheme="minorHAnsi" w:eastAsiaTheme="minorHAnsi" w:hAnsiTheme="minorHAnsi" w:cstheme="minorHAnsi"/>
                <w:lang w:eastAsia="en-US"/>
              </w:rPr>
              <w:t xml:space="preserve">grown during the year for the reasons </w:t>
            </w:r>
            <w:r w:rsidR="00A71600">
              <w:rPr>
                <w:rFonts w:asciiTheme="minorHAnsi" w:eastAsiaTheme="minorHAnsi" w:hAnsiTheme="minorHAnsi" w:cstheme="minorHAnsi"/>
                <w:lang w:eastAsia="en-US"/>
              </w:rPr>
              <w:t xml:space="preserve">previously </w:t>
            </w:r>
            <w:r>
              <w:rPr>
                <w:rFonts w:asciiTheme="minorHAnsi" w:eastAsiaTheme="minorHAnsi" w:hAnsiTheme="minorHAnsi" w:cstheme="minorHAnsi"/>
                <w:lang w:eastAsia="en-US"/>
              </w:rPr>
              <w:t xml:space="preserve">reported.  </w:t>
            </w:r>
          </w:p>
          <w:p w:rsidR="00F64C33" w:rsidRDefault="00EA4491" w:rsidP="008506B4">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There has been a further </w:t>
            </w:r>
            <w:r w:rsidR="00826265">
              <w:rPr>
                <w:rFonts w:asciiTheme="minorHAnsi" w:eastAsiaTheme="minorHAnsi" w:hAnsiTheme="minorHAnsi" w:cstheme="minorHAnsi"/>
                <w:lang w:eastAsia="en-US"/>
              </w:rPr>
              <w:t>slight</w:t>
            </w:r>
            <w:r w:rsidR="00F408D6">
              <w:rPr>
                <w:rFonts w:asciiTheme="minorHAnsi" w:eastAsiaTheme="minorHAnsi" w:hAnsiTheme="minorHAnsi" w:cstheme="minorHAnsi"/>
                <w:lang w:eastAsia="en-US"/>
              </w:rPr>
              <w:t xml:space="preserve"> increase in the outturn</w:t>
            </w:r>
            <w:r>
              <w:rPr>
                <w:rFonts w:asciiTheme="minorHAnsi" w:eastAsiaTheme="minorHAnsi" w:hAnsiTheme="minorHAnsi" w:cstheme="minorHAnsi"/>
                <w:lang w:eastAsia="en-US"/>
              </w:rPr>
              <w:t xml:space="preserve"> under spend </w:t>
            </w:r>
            <w:r w:rsidR="00F408D6">
              <w:rPr>
                <w:rFonts w:asciiTheme="minorHAnsi" w:eastAsiaTheme="minorHAnsi" w:hAnsiTheme="minorHAnsi" w:cstheme="minorHAnsi"/>
                <w:lang w:eastAsia="en-US"/>
              </w:rPr>
              <w:t>in March</w:t>
            </w:r>
            <w:r w:rsidR="00D363E9">
              <w:rPr>
                <w:rFonts w:asciiTheme="minorHAnsi" w:eastAsiaTheme="minorHAnsi" w:hAnsiTheme="minorHAnsi" w:cstheme="minorHAnsi"/>
                <w:lang w:eastAsia="en-US"/>
              </w:rPr>
              <w:t>.</w:t>
            </w:r>
            <w:r w:rsidR="00A71600">
              <w:rPr>
                <w:rFonts w:asciiTheme="minorHAnsi" w:eastAsiaTheme="minorHAnsi" w:hAnsiTheme="minorHAnsi" w:cstheme="minorHAnsi"/>
                <w:lang w:eastAsia="en-US"/>
              </w:rPr>
              <w:t xml:space="preserve"> </w:t>
            </w:r>
            <w:r w:rsidR="00D363E9">
              <w:rPr>
                <w:rFonts w:asciiTheme="minorHAnsi" w:eastAsiaTheme="minorHAnsi" w:hAnsiTheme="minorHAnsi" w:cstheme="minorHAnsi"/>
                <w:lang w:eastAsia="en-US"/>
              </w:rPr>
              <w:t xml:space="preserve">  </w:t>
            </w:r>
            <w:r w:rsidR="00AD76CF">
              <w:rPr>
                <w:rFonts w:asciiTheme="minorHAnsi" w:eastAsiaTheme="minorHAnsi" w:hAnsiTheme="minorHAnsi" w:cstheme="minorHAnsi"/>
                <w:lang w:eastAsia="en-US"/>
              </w:rPr>
              <w:t xml:space="preserve">EMT </w:t>
            </w:r>
            <w:r w:rsidR="00D427CB">
              <w:rPr>
                <w:rFonts w:asciiTheme="minorHAnsi" w:eastAsiaTheme="minorHAnsi" w:hAnsiTheme="minorHAnsi" w:cstheme="minorHAnsi"/>
                <w:lang w:eastAsia="en-US"/>
              </w:rPr>
              <w:t xml:space="preserve">has </w:t>
            </w:r>
            <w:r w:rsidR="00AD76CF">
              <w:rPr>
                <w:rFonts w:asciiTheme="minorHAnsi" w:eastAsiaTheme="minorHAnsi" w:hAnsiTheme="minorHAnsi" w:cstheme="minorHAnsi"/>
                <w:lang w:eastAsia="en-US"/>
              </w:rPr>
              <w:t>approve</w:t>
            </w:r>
            <w:r w:rsidR="00D427CB">
              <w:rPr>
                <w:rFonts w:asciiTheme="minorHAnsi" w:eastAsiaTheme="minorHAnsi" w:hAnsiTheme="minorHAnsi" w:cstheme="minorHAnsi"/>
                <w:lang w:eastAsia="en-US"/>
              </w:rPr>
              <w:t>d</w:t>
            </w:r>
            <w:r w:rsidR="00AD76CF">
              <w:rPr>
                <w:rFonts w:asciiTheme="minorHAnsi" w:eastAsiaTheme="minorHAnsi" w:hAnsiTheme="minorHAnsi" w:cstheme="minorHAnsi"/>
                <w:lang w:eastAsia="en-US"/>
              </w:rPr>
              <w:t xml:space="preserve"> the report</w:t>
            </w:r>
            <w:r w:rsidR="00B75EB4">
              <w:rPr>
                <w:rFonts w:asciiTheme="minorHAnsi" w:eastAsiaTheme="minorHAnsi" w:hAnsiTheme="minorHAnsi" w:cstheme="minorHAnsi"/>
                <w:lang w:eastAsia="en-US"/>
              </w:rPr>
              <w:t>.</w:t>
            </w:r>
          </w:p>
          <w:p w:rsidR="00D01165" w:rsidRDefault="00D01165" w:rsidP="008506B4">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Main points to note</w:t>
            </w:r>
          </w:p>
          <w:p w:rsidR="00D363E9" w:rsidRDefault="00D363E9" w:rsidP="00D01165">
            <w:pPr>
              <w:pStyle w:val="ListParagraph"/>
              <w:numPr>
                <w:ilvl w:val="0"/>
                <w:numId w:val="23"/>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Final </w:t>
            </w:r>
            <w:r w:rsidR="00A65E0D">
              <w:rPr>
                <w:rFonts w:asciiTheme="minorHAnsi" w:eastAsiaTheme="minorHAnsi" w:hAnsiTheme="minorHAnsi" w:cstheme="minorHAnsi"/>
                <w:lang w:eastAsia="en-US"/>
              </w:rPr>
              <w:t>under spend of £3.</w:t>
            </w:r>
            <w:r w:rsidR="00262B57">
              <w:rPr>
                <w:rFonts w:asciiTheme="minorHAnsi" w:eastAsiaTheme="minorHAnsi" w:hAnsiTheme="minorHAnsi" w:cstheme="minorHAnsi"/>
                <w:lang w:eastAsia="en-US"/>
              </w:rPr>
              <w:t>09</w:t>
            </w:r>
            <w:r w:rsidR="00A65E0D">
              <w:rPr>
                <w:rFonts w:asciiTheme="minorHAnsi" w:eastAsiaTheme="minorHAnsi" w:hAnsiTheme="minorHAnsi" w:cstheme="minorHAnsi"/>
                <w:lang w:eastAsia="en-US"/>
              </w:rPr>
              <w:t>m</w:t>
            </w:r>
            <w:r w:rsidR="00E72B98">
              <w:rPr>
                <w:rFonts w:asciiTheme="minorHAnsi" w:eastAsiaTheme="minorHAnsi" w:hAnsiTheme="minorHAnsi" w:cstheme="minorHAnsi"/>
                <w:lang w:eastAsia="en-US"/>
              </w:rPr>
              <w:t xml:space="preserve"> </w:t>
            </w:r>
            <w:r w:rsidR="00A65E0D">
              <w:rPr>
                <w:rFonts w:asciiTheme="minorHAnsi" w:eastAsiaTheme="minorHAnsi" w:hAnsiTheme="minorHAnsi" w:cstheme="minorHAnsi"/>
                <w:lang w:eastAsia="en-US"/>
              </w:rPr>
              <w:t>(£457k in February</w:t>
            </w:r>
            <w:r>
              <w:rPr>
                <w:rFonts w:asciiTheme="minorHAnsi" w:eastAsiaTheme="minorHAnsi" w:hAnsiTheme="minorHAnsi" w:cstheme="minorHAnsi"/>
                <w:lang w:eastAsia="en-US"/>
              </w:rPr>
              <w:t>, a</w:t>
            </w:r>
            <w:r w:rsidR="00DF44EE">
              <w:rPr>
                <w:rFonts w:asciiTheme="minorHAnsi" w:eastAsiaTheme="minorHAnsi" w:hAnsiTheme="minorHAnsi" w:cstheme="minorHAnsi"/>
                <w:lang w:eastAsia="en-US"/>
              </w:rPr>
              <w:t xml:space="preserve"> swing of £</w:t>
            </w:r>
            <w:r w:rsidR="00A65E0D">
              <w:rPr>
                <w:rFonts w:asciiTheme="minorHAnsi" w:eastAsiaTheme="minorHAnsi" w:hAnsiTheme="minorHAnsi" w:cstheme="minorHAnsi"/>
                <w:lang w:eastAsia="en-US"/>
              </w:rPr>
              <w:t>2,644</w:t>
            </w:r>
            <w:r w:rsidR="00E72B98" w:rsidRPr="003B2F87">
              <w:rPr>
                <w:rFonts w:asciiTheme="minorHAnsi" w:eastAsiaTheme="minorHAnsi" w:hAnsiTheme="minorHAnsi" w:cstheme="minorHAnsi"/>
                <w:lang w:eastAsia="en-US"/>
              </w:rPr>
              <w:t>k)</w:t>
            </w:r>
            <w:r w:rsidR="00A71600">
              <w:rPr>
                <w:rFonts w:asciiTheme="minorHAnsi" w:eastAsiaTheme="minorHAnsi" w:hAnsiTheme="minorHAnsi" w:cstheme="minorHAnsi"/>
                <w:lang w:eastAsia="en-US"/>
              </w:rPr>
              <w:t xml:space="preserve">. </w:t>
            </w:r>
            <w:r w:rsidR="00EA4491">
              <w:rPr>
                <w:rFonts w:asciiTheme="minorHAnsi" w:eastAsiaTheme="minorHAnsi" w:hAnsiTheme="minorHAnsi" w:cstheme="minorHAnsi"/>
                <w:lang w:eastAsia="en-US"/>
              </w:rPr>
              <w:t xml:space="preserve">Main reasons </w:t>
            </w:r>
            <w:r w:rsidR="00A71600">
              <w:rPr>
                <w:rFonts w:asciiTheme="minorHAnsi" w:eastAsiaTheme="minorHAnsi" w:hAnsiTheme="minorHAnsi" w:cstheme="minorHAnsi"/>
                <w:lang w:eastAsia="en-US"/>
              </w:rPr>
              <w:t xml:space="preserve">for </w:t>
            </w:r>
            <w:r>
              <w:rPr>
                <w:rFonts w:asciiTheme="minorHAnsi" w:eastAsiaTheme="minorHAnsi" w:hAnsiTheme="minorHAnsi" w:cstheme="minorHAnsi"/>
                <w:lang w:eastAsia="en-US"/>
              </w:rPr>
              <w:t xml:space="preserve">the expected </w:t>
            </w:r>
            <w:r w:rsidR="00A71600">
              <w:rPr>
                <w:rFonts w:asciiTheme="minorHAnsi" w:eastAsiaTheme="minorHAnsi" w:hAnsiTheme="minorHAnsi" w:cstheme="minorHAnsi"/>
                <w:lang w:eastAsia="en-US"/>
              </w:rPr>
              <w:t xml:space="preserve">in month swing </w:t>
            </w:r>
            <w:r>
              <w:rPr>
                <w:rFonts w:asciiTheme="minorHAnsi" w:eastAsiaTheme="minorHAnsi" w:hAnsiTheme="minorHAnsi" w:cstheme="minorHAnsi"/>
                <w:lang w:eastAsia="en-US"/>
              </w:rPr>
              <w:t xml:space="preserve">is </w:t>
            </w:r>
            <w:r w:rsidR="00A65E0D">
              <w:rPr>
                <w:rFonts w:asciiTheme="minorHAnsi" w:eastAsiaTheme="minorHAnsi" w:hAnsiTheme="minorHAnsi" w:cstheme="minorHAnsi"/>
                <w:lang w:eastAsia="en-US"/>
              </w:rPr>
              <w:t xml:space="preserve">the </w:t>
            </w:r>
            <w:proofErr w:type="spellStart"/>
            <w:r>
              <w:rPr>
                <w:rFonts w:asciiTheme="minorHAnsi" w:eastAsiaTheme="minorHAnsi" w:hAnsiTheme="minorHAnsi" w:cstheme="minorHAnsi"/>
                <w:lang w:eastAsia="en-US"/>
              </w:rPr>
              <w:t xml:space="preserve">non </w:t>
            </w:r>
            <w:r w:rsidR="00A65E0D">
              <w:rPr>
                <w:rFonts w:asciiTheme="minorHAnsi" w:eastAsiaTheme="minorHAnsi" w:hAnsiTheme="minorHAnsi" w:cstheme="minorHAnsi"/>
                <w:lang w:eastAsia="en-US"/>
              </w:rPr>
              <w:t>release</w:t>
            </w:r>
            <w:proofErr w:type="spellEnd"/>
            <w:r>
              <w:rPr>
                <w:rFonts w:asciiTheme="minorHAnsi" w:eastAsiaTheme="minorHAnsi" w:hAnsiTheme="minorHAnsi" w:cstheme="minorHAnsi"/>
                <w:lang w:eastAsia="en-US"/>
              </w:rPr>
              <w:t xml:space="preserve"> or deployment</w:t>
            </w:r>
            <w:r w:rsidR="00A65E0D">
              <w:rPr>
                <w:rFonts w:asciiTheme="minorHAnsi" w:eastAsiaTheme="minorHAnsi" w:hAnsiTheme="minorHAnsi" w:cstheme="minorHAnsi"/>
                <w:lang w:eastAsia="en-US"/>
              </w:rPr>
              <w:t xml:space="preserve"> of reserves.</w:t>
            </w:r>
            <w:r w:rsidR="00EA4491">
              <w:rPr>
                <w:rFonts w:asciiTheme="minorHAnsi" w:eastAsiaTheme="minorHAnsi" w:hAnsiTheme="minorHAnsi" w:cstheme="minorHAnsi"/>
                <w:lang w:eastAsia="en-US"/>
              </w:rPr>
              <w:t xml:space="preserve">  </w:t>
            </w:r>
          </w:p>
          <w:p w:rsidR="00D363E9" w:rsidRDefault="00D363E9" w:rsidP="00D363E9">
            <w:pPr>
              <w:pStyle w:val="ListParagraph"/>
              <w:numPr>
                <w:ilvl w:val="0"/>
                <w:numId w:val="23"/>
              </w:numPr>
              <w:spacing w:after="200" w:line="276" w:lineRule="auto"/>
              <w:rPr>
                <w:rFonts w:asciiTheme="minorHAnsi" w:eastAsiaTheme="minorHAnsi" w:hAnsiTheme="minorHAnsi" w:cstheme="minorHAnsi"/>
                <w:lang w:eastAsia="en-US"/>
              </w:rPr>
            </w:pPr>
            <w:r w:rsidRPr="00D363E9">
              <w:rPr>
                <w:rFonts w:asciiTheme="minorHAnsi" w:eastAsiaTheme="minorHAnsi" w:hAnsiTheme="minorHAnsi" w:cstheme="minorHAnsi"/>
                <w:lang w:eastAsia="en-US"/>
              </w:rPr>
              <w:t xml:space="preserve">The </w:t>
            </w:r>
            <w:r w:rsidR="00252EDF">
              <w:rPr>
                <w:rFonts w:asciiTheme="minorHAnsi" w:eastAsiaTheme="minorHAnsi" w:hAnsiTheme="minorHAnsi" w:cstheme="minorHAnsi"/>
                <w:lang w:eastAsia="en-US"/>
              </w:rPr>
              <w:t xml:space="preserve">outturn is broadly in line with the upper range </w:t>
            </w:r>
            <w:r w:rsidRPr="00D363E9">
              <w:rPr>
                <w:rFonts w:asciiTheme="minorHAnsi" w:eastAsiaTheme="minorHAnsi" w:hAnsiTheme="minorHAnsi" w:cstheme="minorHAnsi"/>
                <w:lang w:eastAsia="en-US"/>
              </w:rPr>
              <w:lastRenderedPageBreak/>
              <w:t xml:space="preserve">forecast under spend </w:t>
            </w:r>
            <w:r>
              <w:rPr>
                <w:rFonts w:asciiTheme="minorHAnsi" w:eastAsiaTheme="minorHAnsi" w:hAnsiTheme="minorHAnsi" w:cstheme="minorHAnsi"/>
                <w:lang w:eastAsia="en-US"/>
              </w:rPr>
              <w:t xml:space="preserve">reported </w:t>
            </w:r>
            <w:r w:rsidRPr="00D363E9">
              <w:rPr>
                <w:rFonts w:asciiTheme="minorHAnsi" w:eastAsiaTheme="minorHAnsi" w:hAnsiTheme="minorHAnsi" w:cstheme="minorHAnsi"/>
                <w:lang w:eastAsia="en-US"/>
              </w:rPr>
              <w:t xml:space="preserve">at the end of February </w:t>
            </w:r>
            <w:r>
              <w:rPr>
                <w:rFonts w:asciiTheme="minorHAnsi" w:eastAsiaTheme="minorHAnsi" w:hAnsiTheme="minorHAnsi" w:cstheme="minorHAnsi"/>
                <w:lang w:eastAsia="en-US"/>
              </w:rPr>
              <w:t>(</w:t>
            </w:r>
            <w:r w:rsidRPr="00D363E9">
              <w:rPr>
                <w:rFonts w:asciiTheme="minorHAnsi" w:eastAsiaTheme="minorHAnsi" w:hAnsiTheme="minorHAnsi" w:cstheme="minorHAnsi"/>
                <w:lang w:eastAsia="en-US"/>
              </w:rPr>
              <w:t>£2.35million to £3.01million</w:t>
            </w:r>
            <w:r>
              <w:rPr>
                <w:rFonts w:asciiTheme="minorHAnsi" w:eastAsiaTheme="minorHAnsi" w:hAnsiTheme="minorHAnsi" w:cstheme="minorHAnsi"/>
                <w:lang w:eastAsia="en-US"/>
              </w:rPr>
              <w:t>)</w:t>
            </w:r>
            <w:r w:rsidRPr="00D363E9">
              <w:rPr>
                <w:rFonts w:asciiTheme="minorHAnsi" w:eastAsiaTheme="minorHAnsi" w:hAnsiTheme="minorHAnsi" w:cstheme="minorHAnsi"/>
                <w:lang w:eastAsia="en-US"/>
              </w:rPr>
              <w:t xml:space="preserve"> increased slightly to that reported in January </w:t>
            </w:r>
            <w:r>
              <w:rPr>
                <w:rFonts w:asciiTheme="minorHAnsi" w:eastAsiaTheme="minorHAnsi" w:hAnsiTheme="minorHAnsi" w:cstheme="minorHAnsi"/>
                <w:lang w:eastAsia="en-US"/>
              </w:rPr>
              <w:t>(</w:t>
            </w:r>
            <w:r w:rsidRPr="00D363E9">
              <w:rPr>
                <w:rFonts w:asciiTheme="minorHAnsi" w:eastAsiaTheme="minorHAnsi" w:hAnsiTheme="minorHAnsi" w:cstheme="minorHAnsi"/>
                <w:lang w:eastAsia="en-US"/>
              </w:rPr>
              <w:t>£2.17million to £2.98 million</w:t>
            </w:r>
            <w:r>
              <w:rPr>
                <w:rFonts w:asciiTheme="minorHAnsi" w:eastAsiaTheme="minorHAnsi" w:hAnsiTheme="minorHAnsi" w:cstheme="minorHAnsi"/>
                <w:lang w:eastAsia="en-US"/>
              </w:rPr>
              <w:t>).</w:t>
            </w:r>
            <w:r w:rsidRPr="00D363E9">
              <w:rPr>
                <w:rFonts w:asciiTheme="minorHAnsi" w:eastAsiaTheme="minorHAnsi" w:hAnsiTheme="minorHAnsi" w:cstheme="minorHAnsi"/>
                <w:lang w:eastAsia="en-US"/>
              </w:rPr>
              <w:t xml:space="preserve"> </w:t>
            </w:r>
          </w:p>
          <w:p w:rsidR="00D01165" w:rsidRDefault="009E101F" w:rsidP="00E825C5">
            <w:pPr>
              <w:pStyle w:val="ListParagraph"/>
              <w:numPr>
                <w:ilvl w:val="0"/>
                <w:numId w:val="23"/>
              </w:numPr>
              <w:spacing w:after="200" w:line="276" w:lineRule="auto"/>
              <w:rPr>
                <w:rFonts w:asciiTheme="minorHAnsi" w:eastAsiaTheme="minorHAnsi" w:hAnsiTheme="minorHAnsi" w:cstheme="minorHAnsi"/>
                <w:lang w:eastAsia="en-US"/>
              </w:rPr>
            </w:pPr>
            <w:r w:rsidRPr="007913AA">
              <w:rPr>
                <w:rFonts w:asciiTheme="minorHAnsi" w:eastAsiaTheme="minorHAnsi" w:hAnsiTheme="minorHAnsi" w:cstheme="minorHAnsi"/>
                <w:lang w:eastAsia="en-US"/>
              </w:rPr>
              <w:t xml:space="preserve">Main reason for the </w:t>
            </w:r>
            <w:r w:rsidR="0086656B">
              <w:rPr>
                <w:rFonts w:asciiTheme="minorHAnsi" w:eastAsiaTheme="minorHAnsi" w:hAnsiTheme="minorHAnsi" w:cstheme="minorHAnsi"/>
                <w:lang w:eastAsia="en-US"/>
              </w:rPr>
              <w:t xml:space="preserve">under spend </w:t>
            </w:r>
            <w:r w:rsidR="001F7421">
              <w:rPr>
                <w:rFonts w:asciiTheme="minorHAnsi" w:eastAsiaTheme="minorHAnsi" w:hAnsiTheme="minorHAnsi" w:cstheme="minorHAnsi"/>
                <w:lang w:eastAsia="en-US"/>
              </w:rPr>
              <w:t xml:space="preserve">(reported previously) </w:t>
            </w:r>
            <w:r w:rsidRPr="007913AA">
              <w:rPr>
                <w:rFonts w:asciiTheme="minorHAnsi" w:eastAsiaTheme="minorHAnsi" w:hAnsiTheme="minorHAnsi" w:cstheme="minorHAnsi"/>
                <w:lang w:eastAsia="en-US"/>
              </w:rPr>
              <w:t xml:space="preserve">is </w:t>
            </w:r>
            <w:r w:rsidR="006C20DB" w:rsidRPr="007913AA">
              <w:rPr>
                <w:rFonts w:asciiTheme="minorHAnsi" w:eastAsiaTheme="minorHAnsi" w:hAnsiTheme="minorHAnsi" w:cstheme="minorHAnsi"/>
                <w:lang w:eastAsia="en-US"/>
              </w:rPr>
              <w:t xml:space="preserve">the time it </w:t>
            </w:r>
            <w:r w:rsidR="00BD6CA6" w:rsidRPr="007913AA">
              <w:rPr>
                <w:rFonts w:asciiTheme="minorHAnsi" w:eastAsiaTheme="minorHAnsi" w:hAnsiTheme="minorHAnsi" w:cstheme="minorHAnsi"/>
                <w:lang w:eastAsia="en-US"/>
              </w:rPr>
              <w:t xml:space="preserve">has taken </w:t>
            </w:r>
            <w:r w:rsidR="006C20DB" w:rsidRPr="007913AA">
              <w:rPr>
                <w:rFonts w:asciiTheme="minorHAnsi" w:eastAsiaTheme="minorHAnsi" w:hAnsiTheme="minorHAnsi" w:cstheme="minorHAnsi"/>
                <w:lang w:eastAsia="en-US"/>
              </w:rPr>
              <w:t>to recruit</w:t>
            </w:r>
            <w:r w:rsidRPr="007913AA">
              <w:rPr>
                <w:rFonts w:asciiTheme="minorHAnsi" w:eastAsiaTheme="minorHAnsi" w:hAnsiTheme="minorHAnsi" w:cstheme="minorHAnsi"/>
                <w:lang w:eastAsia="en-US"/>
              </w:rPr>
              <w:t xml:space="preserve"> successful candidates to </w:t>
            </w:r>
            <w:r w:rsidR="00E72B98" w:rsidRPr="007913AA">
              <w:rPr>
                <w:rFonts w:asciiTheme="minorHAnsi" w:eastAsiaTheme="minorHAnsi" w:hAnsiTheme="minorHAnsi" w:cstheme="minorHAnsi"/>
                <w:lang w:eastAsia="en-US"/>
              </w:rPr>
              <w:t xml:space="preserve">HRA Approval </w:t>
            </w:r>
            <w:r w:rsidRPr="007913AA">
              <w:rPr>
                <w:rFonts w:asciiTheme="minorHAnsi" w:eastAsiaTheme="minorHAnsi" w:hAnsiTheme="minorHAnsi" w:cstheme="minorHAnsi"/>
                <w:lang w:eastAsia="en-US"/>
              </w:rPr>
              <w:t>posts</w:t>
            </w:r>
            <w:r w:rsidR="00CC7BEE" w:rsidRPr="00CD439E">
              <w:rPr>
                <w:rFonts w:asciiTheme="minorHAnsi" w:eastAsiaTheme="minorHAnsi" w:hAnsiTheme="minorHAnsi" w:cstheme="minorHAnsi"/>
                <w:lang w:eastAsia="en-US"/>
              </w:rPr>
              <w:t>.</w:t>
            </w:r>
            <w:r w:rsidR="00F408D6">
              <w:rPr>
                <w:rFonts w:asciiTheme="minorHAnsi" w:eastAsiaTheme="minorHAnsi" w:hAnsiTheme="minorHAnsi" w:cstheme="minorHAnsi"/>
                <w:lang w:eastAsia="en-US"/>
              </w:rPr>
              <w:t xml:space="preserve">  38.3</w:t>
            </w:r>
            <w:r w:rsidR="00CC7BEE" w:rsidRPr="00CD439E">
              <w:rPr>
                <w:rFonts w:asciiTheme="minorHAnsi" w:eastAsiaTheme="minorHAnsi" w:hAnsiTheme="minorHAnsi" w:cstheme="minorHAnsi"/>
                <w:lang w:eastAsia="en-US"/>
              </w:rPr>
              <w:t>% (rather than 61%)</w:t>
            </w:r>
            <w:r w:rsidR="00F408D6">
              <w:rPr>
                <w:rFonts w:asciiTheme="minorHAnsi" w:eastAsiaTheme="minorHAnsi" w:hAnsiTheme="minorHAnsi" w:cstheme="minorHAnsi"/>
                <w:lang w:eastAsia="en-US"/>
              </w:rPr>
              <w:t xml:space="preserve"> of the 82.74</w:t>
            </w:r>
            <w:r w:rsidR="00CC7BEE" w:rsidRPr="00CD439E">
              <w:rPr>
                <w:rFonts w:asciiTheme="minorHAnsi" w:eastAsiaTheme="minorHAnsi" w:hAnsiTheme="minorHAnsi" w:cstheme="minorHAnsi"/>
                <w:lang w:eastAsia="en-US"/>
              </w:rPr>
              <w:t xml:space="preserve"> WTE have been fully recruited to by March. </w:t>
            </w:r>
            <w:r w:rsidR="00135C17" w:rsidRPr="00CD439E">
              <w:rPr>
                <w:rFonts w:asciiTheme="minorHAnsi" w:eastAsiaTheme="minorHAnsi" w:hAnsiTheme="minorHAnsi" w:cstheme="minorHAnsi"/>
                <w:lang w:eastAsia="en-US"/>
              </w:rPr>
              <w:t xml:space="preserve"> </w:t>
            </w:r>
            <w:r w:rsidR="00BD6CA6" w:rsidRPr="00CD439E">
              <w:rPr>
                <w:rFonts w:asciiTheme="minorHAnsi" w:eastAsiaTheme="minorHAnsi" w:hAnsiTheme="minorHAnsi" w:cstheme="minorHAnsi"/>
                <w:lang w:eastAsia="en-US"/>
              </w:rPr>
              <w:t>This alongside t</w:t>
            </w:r>
            <w:r w:rsidR="00E72B98" w:rsidRPr="00CD439E">
              <w:rPr>
                <w:rFonts w:asciiTheme="minorHAnsi" w:eastAsiaTheme="minorHAnsi" w:hAnsiTheme="minorHAnsi" w:cstheme="minorHAnsi"/>
                <w:lang w:eastAsia="en-US"/>
              </w:rPr>
              <w:t>he significant</w:t>
            </w:r>
            <w:r w:rsidR="00E72B98" w:rsidRPr="007913AA">
              <w:rPr>
                <w:rFonts w:asciiTheme="minorHAnsi" w:eastAsiaTheme="minorHAnsi" w:hAnsiTheme="minorHAnsi" w:cstheme="minorHAnsi"/>
                <w:lang w:eastAsia="en-US"/>
              </w:rPr>
              <w:t xml:space="preserve"> reduction in linked pay and </w:t>
            </w:r>
            <w:proofErr w:type="spellStart"/>
            <w:r w:rsidR="00E72B98" w:rsidRPr="007913AA">
              <w:rPr>
                <w:rFonts w:asciiTheme="minorHAnsi" w:eastAsiaTheme="minorHAnsi" w:hAnsiTheme="minorHAnsi" w:cstheme="minorHAnsi"/>
                <w:lang w:eastAsia="en-US"/>
              </w:rPr>
              <w:t>non pay</w:t>
            </w:r>
            <w:proofErr w:type="spellEnd"/>
            <w:r w:rsidR="00E72B98" w:rsidRPr="007913AA">
              <w:rPr>
                <w:rFonts w:asciiTheme="minorHAnsi" w:eastAsiaTheme="minorHAnsi" w:hAnsiTheme="minorHAnsi" w:cstheme="minorHAnsi"/>
                <w:lang w:eastAsia="en-US"/>
              </w:rPr>
              <w:t xml:space="preserve"> related costs is the main reason </w:t>
            </w:r>
            <w:r w:rsidR="001F7421">
              <w:rPr>
                <w:rFonts w:asciiTheme="minorHAnsi" w:eastAsiaTheme="minorHAnsi" w:hAnsiTheme="minorHAnsi" w:cstheme="minorHAnsi"/>
                <w:lang w:eastAsia="en-US"/>
              </w:rPr>
              <w:t xml:space="preserve">for the </w:t>
            </w:r>
            <w:r w:rsidR="00E72B98" w:rsidRPr="007913AA">
              <w:rPr>
                <w:rFonts w:asciiTheme="minorHAnsi" w:eastAsiaTheme="minorHAnsi" w:hAnsiTheme="minorHAnsi" w:cstheme="minorHAnsi"/>
                <w:lang w:eastAsia="en-US"/>
              </w:rPr>
              <w:t>under spend</w:t>
            </w:r>
            <w:r w:rsidR="00BD6CA6" w:rsidRPr="007913AA">
              <w:rPr>
                <w:rFonts w:asciiTheme="minorHAnsi" w:eastAsiaTheme="minorHAnsi" w:hAnsiTheme="minorHAnsi" w:cstheme="minorHAnsi"/>
                <w:lang w:eastAsia="en-US"/>
              </w:rPr>
              <w:t xml:space="preserve">, together with </w:t>
            </w:r>
            <w:r w:rsidR="00135C17" w:rsidRPr="007913AA">
              <w:rPr>
                <w:rFonts w:asciiTheme="minorHAnsi" w:eastAsiaTheme="minorHAnsi" w:hAnsiTheme="minorHAnsi" w:cstheme="minorHAnsi"/>
                <w:lang w:eastAsia="en-US"/>
              </w:rPr>
              <w:t xml:space="preserve"> </w:t>
            </w:r>
            <w:r w:rsidR="003930D4" w:rsidRPr="007913AA">
              <w:rPr>
                <w:rFonts w:asciiTheme="minorHAnsi" w:eastAsiaTheme="minorHAnsi" w:hAnsiTheme="minorHAnsi" w:cstheme="minorHAnsi"/>
                <w:lang w:eastAsia="en-US"/>
              </w:rPr>
              <w:t>changes to plans for desired early transfer of posts to support HRA Approval and systems transition</w:t>
            </w:r>
            <w:r w:rsidR="00E72B98" w:rsidRPr="007913AA">
              <w:rPr>
                <w:rFonts w:asciiTheme="minorHAnsi" w:eastAsiaTheme="minorHAnsi" w:hAnsiTheme="minorHAnsi" w:cstheme="minorHAnsi"/>
                <w:lang w:eastAsia="en-US"/>
              </w:rPr>
              <w:t xml:space="preserve"> and the </w:t>
            </w:r>
            <w:proofErr w:type="spellStart"/>
            <w:r w:rsidR="00E72B98" w:rsidRPr="007913AA">
              <w:rPr>
                <w:rFonts w:asciiTheme="minorHAnsi" w:eastAsiaTheme="minorHAnsi" w:hAnsiTheme="minorHAnsi" w:cstheme="minorHAnsi"/>
                <w:lang w:eastAsia="en-US"/>
              </w:rPr>
              <w:t>n</w:t>
            </w:r>
            <w:r w:rsidR="003930D4" w:rsidRPr="007913AA">
              <w:rPr>
                <w:rFonts w:asciiTheme="minorHAnsi" w:eastAsiaTheme="minorHAnsi" w:hAnsiTheme="minorHAnsi" w:cstheme="minorHAnsi"/>
                <w:lang w:eastAsia="en-US"/>
              </w:rPr>
              <w:t>on deployment</w:t>
            </w:r>
            <w:proofErr w:type="spellEnd"/>
            <w:r w:rsidR="003930D4" w:rsidRPr="007913AA">
              <w:rPr>
                <w:rFonts w:asciiTheme="minorHAnsi" w:eastAsiaTheme="minorHAnsi" w:hAnsiTheme="minorHAnsi" w:cstheme="minorHAnsi"/>
                <w:lang w:eastAsia="en-US"/>
              </w:rPr>
              <w:t xml:space="preserve"> of c</w:t>
            </w:r>
            <w:r w:rsidR="00215D81" w:rsidRPr="007913AA">
              <w:rPr>
                <w:rFonts w:asciiTheme="minorHAnsi" w:eastAsiaTheme="minorHAnsi" w:hAnsiTheme="minorHAnsi" w:cstheme="minorHAnsi"/>
                <w:lang w:eastAsia="en-US"/>
              </w:rPr>
              <w:t>ontingencies</w:t>
            </w:r>
            <w:r w:rsidR="00E72B98" w:rsidRPr="007913AA">
              <w:rPr>
                <w:rFonts w:asciiTheme="minorHAnsi" w:eastAsiaTheme="minorHAnsi" w:hAnsiTheme="minorHAnsi" w:cstheme="minorHAnsi"/>
                <w:lang w:eastAsia="en-US"/>
              </w:rPr>
              <w:t>.</w:t>
            </w:r>
          </w:p>
          <w:p w:rsidR="00461A11" w:rsidRDefault="00D84750" w:rsidP="00D01165">
            <w:pPr>
              <w:pStyle w:val="ListParagraph"/>
              <w:numPr>
                <w:ilvl w:val="0"/>
                <w:numId w:val="23"/>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 final cash position of £3.741m held in the bank.  This is slightly higher than forecast </w:t>
            </w:r>
            <w:r w:rsidR="009D1B59">
              <w:rPr>
                <w:rFonts w:asciiTheme="minorHAnsi" w:eastAsiaTheme="minorHAnsi" w:hAnsiTheme="minorHAnsi" w:cstheme="minorHAnsi"/>
                <w:lang w:eastAsia="en-US"/>
              </w:rPr>
              <w:t>linked to the</w:t>
            </w:r>
            <w:r w:rsidR="00431F96">
              <w:rPr>
                <w:rFonts w:asciiTheme="minorHAnsi" w:eastAsiaTheme="minorHAnsi" w:hAnsiTheme="minorHAnsi" w:cstheme="minorHAnsi"/>
                <w:lang w:eastAsia="en-US"/>
              </w:rPr>
              <w:t xml:space="preserve"> final </w:t>
            </w:r>
            <w:proofErr w:type="gramStart"/>
            <w:r w:rsidR="00431F96">
              <w:rPr>
                <w:rFonts w:asciiTheme="minorHAnsi" w:eastAsiaTheme="minorHAnsi" w:hAnsiTheme="minorHAnsi" w:cstheme="minorHAnsi"/>
                <w:lang w:eastAsia="en-US"/>
              </w:rPr>
              <w:t>underspend</w:t>
            </w:r>
            <w:proofErr w:type="gramEnd"/>
            <w:r w:rsidR="00431F96">
              <w:rPr>
                <w:rFonts w:asciiTheme="minorHAnsi" w:eastAsiaTheme="minorHAnsi" w:hAnsiTheme="minorHAnsi" w:cstheme="minorHAnsi"/>
                <w:lang w:eastAsia="en-US"/>
              </w:rPr>
              <w:t xml:space="preserve"> position.</w:t>
            </w:r>
          </w:p>
          <w:p w:rsidR="00781179" w:rsidRPr="00D01165" w:rsidRDefault="00D84750" w:rsidP="00D84750">
            <w:pPr>
              <w:pStyle w:val="ListParagraph"/>
              <w:numPr>
                <w:ilvl w:val="0"/>
                <w:numId w:val="23"/>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A reported</w:t>
            </w:r>
            <w:r w:rsidR="00781179">
              <w:rPr>
                <w:rFonts w:asciiTheme="minorHAnsi" w:eastAsiaTheme="minorHAnsi" w:hAnsiTheme="minorHAnsi" w:cstheme="minorHAnsi"/>
                <w:lang w:eastAsia="en-US"/>
              </w:rPr>
              <w:t xml:space="preserve"> underspend on capital</w:t>
            </w:r>
            <w:r w:rsidR="0018609F">
              <w:rPr>
                <w:rFonts w:asciiTheme="minorHAnsi" w:eastAsiaTheme="minorHAnsi" w:hAnsiTheme="minorHAnsi" w:cstheme="minorHAnsi"/>
                <w:lang w:eastAsia="en-US"/>
              </w:rPr>
              <w:t xml:space="preserve"> expenditure </w:t>
            </w:r>
            <w:r>
              <w:rPr>
                <w:rFonts w:asciiTheme="minorHAnsi" w:eastAsiaTheme="minorHAnsi" w:hAnsiTheme="minorHAnsi" w:cstheme="minorHAnsi"/>
                <w:lang w:eastAsia="en-US"/>
              </w:rPr>
              <w:t>of £207k</w:t>
            </w:r>
            <w:r w:rsidR="0018609F">
              <w:rPr>
                <w:rFonts w:asciiTheme="minorHAnsi" w:eastAsiaTheme="minorHAnsi" w:hAnsiTheme="minorHAnsi" w:cstheme="minorHAnsi"/>
                <w:lang w:eastAsia="en-US"/>
              </w:rPr>
              <w:t xml:space="preserve"> following assessment of wo</w:t>
            </w:r>
            <w:r w:rsidR="00872522">
              <w:rPr>
                <w:rFonts w:asciiTheme="minorHAnsi" w:eastAsiaTheme="minorHAnsi" w:hAnsiTheme="minorHAnsi" w:cstheme="minorHAnsi"/>
                <w:lang w:eastAsia="en-US"/>
              </w:rPr>
              <w:t>rk being</w:t>
            </w:r>
            <w:r>
              <w:rPr>
                <w:rFonts w:asciiTheme="minorHAnsi" w:eastAsiaTheme="minorHAnsi" w:hAnsiTheme="minorHAnsi" w:cstheme="minorHAnsi"/>
                <w:lang w:eastAsia="en-US"/>
              </w:rPr>
              <w:t xml:space="preserve"> undertaken by curr</w:t>
            </w:r>
            <w:r w:rsidR="00431F96">
              <w:rPr>
                <w:rFonts w:asciiTheme="minorHAnsi" w:eastAsiaTheme="minorHAnsi" w:hAnsiTheme="minorHAnsi" w:cstheme="minorHAnsi"/>
                <w:lang w:eastAsia="en-US"/>
              </w:rPr>
              <w:t>ent IS posts and maintenance elements of expenditure being transferred back to revenue.</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7948D4" w:rsidP="00AF00BB">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After approval.</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E72B98">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E72B98">
              <w:rPr>
                <w:rFonts w:asciiTheme="minorHAnsi" w:eastAsiaTheme="minorHAnsi" w:hAnsiTheme="minorHAnsi" w:cstheme="minorHAnsi"/>
                <w:b/>
                <w:lang w:eastAsia="en-US"/>
              </w:rPr>
              <w:t>5</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DF3EE3" w:rsidRPr="00DF3EE3" w:rsidRDefault="00DF3EE3" w:rsidP="00DF3EE3">
      <w:pPr>
        <w:tabs>
          <w:tab w:val="left" w:pos="1980"/>
        </w:tabs>
        <w:rPr>
          <w:rFonts w:asciiTheme="minorHAnsi" w:eastAsiaTheme="minorHAnsi" w:hAnsiTheme="minorHAnsi" w:cstheme="minorHAnsi"/>
          <w:b/>
          <w:lang w:eastAsia="en-US"/>
        </w:rPr>
      </w:pPr>
    </w:p>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Debbie Corrigan</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w:t>
            </w:r>
          </w:p>
        </w:tc>
        <w:tc>
          <w:tcPr>
            <w:tcW w:w="6320" w:type="dxa"/>
          </w:tcPr>
          <w:p w:rsidR="00DF3EE3" w:rsidRPr="00AF37DF" w:rsidRDefault="00066196" w:rsidP="00BD6CA6">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27</w:t>
            </w:r>
            <w:r w:rsidRPr="00066196">
              <w:rPr>
                <w:rFonts w:asciiTheme="minorHAnsi" w:eastAsiaTheme="minorHAnsi" w:hAnsiTheme="minorHAnsi" w:cstheme="minorHAnsi"/>
                <w:vertAlign w:val="superscript"/>
                <w:lang w:eastAsia="en-US"/>
              </w:rPr>
              <w:t>th</w:t>
            </w:r>
            <w:r>
              <w:rPr>
                <w:rFonts w:asciiTheme="minorHAnsi" w:eastAsiaTheme="minorHAnsi" w:hAnsiTheme="minorHAnsi" w:cstheme="minorHAnsi"/>
                <w:lang w:eastAsia="en-US"/>
              </w:rPr>
              <w:t xml:space="preserve"> April 2015</w:t>
            </w:r>
          </w:p>
        </w:tc>
      </w:tr>
    </w:tbl>
    <w:p w:rsidR="004D2387" w:rsidRDefault="004D2387" w:rsidP="00AD76CF">
      <w:pPr>
        <w:rPr>
          <w:rFonts w:ascii="Arial" w:hAnsi="Arial" w:cs="Arial"/>
          <w:b/>
          <w:sz w:val="22"/>
          <w:szCs w:val="22"/>
        </w:rPr>
      </w:pPr>
    </w:p>
    <w:p w:rsidR="00DB51E0" w:rsidRDefault="00DB51E0" w:rsidP="00AD76CF">
      <w:pPr>
        <w:rPr>
          <w:rFonts w:ascii="Arial" w:hAnsi="Arial" w:cs="Arial"/>
          <w:b/>
          <w:sz w:val="22"/>
          <w:szCs w:val="22"/>
        </w:rPr>
      </w:pPr>
    </w:p>
    <w:p w:rsidR="00DB51E0" w:rsidRDefault="00DB51E0" w:rsidP="00AD76CF">
      <w:pPr>
        <w:rPr>
          <w:rFonts w:ascii="Arial" w:hAnsi="Arial" w:cs="Arial"/>
          <w:b/>
          <w:sz w:val="22"/>
          <w:szCs w:val="22"/>
        </w:rPr>
      </w:pPr>
    </w:p>
    <w:p w:rsidR="00DB51E0" w:rsidRDefault="00DB51E0" w:rsidP="00AD76CF">
      <w:pPr>
        <w:rPr>
          <w:rFonts w:ascii="Arial" w:hAnsi="Arial" w:cs="Arial"/>
          <w:b/>
          <w:sz w:val="22"/>
          <w:szCs w:val="22"/>
        </w:rPr>
      </w:pPr>
    </w:p>
    <w:p w:rsidR="00DB51E0" w:rsidRDefault="00DB51E0" w:rsidP="00AD76CF">
      <w:pPr>
        <w:rPr>
          <w:rFonts w:ascii="Arial" w:hAnsi="Arial" w:cs="Arial"/>
          <w:b/>
          <w:sz w:val="22"/>
          <w:szCs w:val="22"/>
        </w:rPr>
      </w:pPr>
    </w:p>
    <w:p w:rsidR="00AD76CF" w:rsidRDefault="00E72B98" w:rsidP="00AD76CF">
      <w:pPr>
        <w:rPr>
          <w:rFonts w:ascii="Arial" w:hAnsi="Arial" w:cs="Arial"/>
          <w:b/>
          <w:sz w:val="22"/>
          <w:szCs w:val="22"/>
          <w:lang w:val="en-US"/>
        </w:rPr>
      </w:pPr>
      <w:r>
        <w:rPr>
          <w:rFonts w:ascii="Arial" w:hAnsi="Arial" w:cs="Arial"/>
          <w:b/>
          <w:sz w:val="22"/>
          <w:szCs w:val="22"/>
        </w:rPr>
        <w:lastRenderedPageBreak/>
        <w:t>F</w:t>
      </w:r>
      <w:r w:rsidR="00AD76CF" w:rsidRPr="00AD76CF">
        <w:rPr>
          <w:rFonts w:ascii="Arial" w:hAnsi="Arial" w:cs="Arial"/>
          <w:b/>
          <w:sz w:val="22"/>
          <w:szCs w:val="22"/>
        </w:rPr>
        <w:t xml:space="preserve">inance Report - </w:t>
      </w:r>
      <w:r w:rsidR="00AD76CF" w:rsidRPr="00AD76CF">
        <w:rPr>
          <w:rFonts w:ascii="Arial" w:hAnsi="Arial" w:cs="Arial"/>
          <w:b/>
          <w:sz w:val="22"/>
          <w:szCs w:val="22"/>
          <w:lang w:val="en-US"/>
        </w:rPr>
        <w:t>Financial Year 201</w:t>
      </w:r>
      <w:r w:rsidR="008506B4">
        <w:rPr>
          <w:rFonts w:ascii="Arial" w:hAnsi="Arial" w:cs="Arial"/>
          <w:b/>
          <w:sz w:val="22"/>
          <w:szCs w:val="22"/>
          <w:lang w:val="en-US"/>
        </w:rPr>
        <w:t>4</w:t>
      </w:r>
      <w:r w:rsidR="00AD76CF" w:rsidRPr="00AD76CF">
        <w:rPr>
          <w:rFonts w:ascii="Arial" w:hAnsi="Arial" w:cs="Arial"/>
          <w:b/>
          <w:sz w:val="22"/>
          <w:szCs w:val="22"/>
          <w:lang w:val="en-US"/>
        </w:rPr>
        <w:t>/1</w:t>
      </w:r>
      <w:r w:rsidR="008506B4">
        <w:rPr>
          <w:rFonts w:ascii="Arial" w:hAnsi="Arial" w:cs="Arial"/>
          <w:b/>
          <w:sz w:val="22"/>
          <w:szCs w:val="22"/>
          <w:lang w:val="en-US"/>
        </w:rPr>
        <w:t>5</w:t>
      </w:r>
    </w:p>
    <w:p w:rsidR="00AD76CF" w:rsidRDefault="00AD76CF" w:rsidP="00AD76CF">
      <w:pPr>
        <w:rPr>
          <w:rFonts w:ascii="Arial" w:hAnsi="Arial" w:cs="Arial"/>
          <w:b/>
          <w:sz w:val="22"/>
          <w:szCs w:val="22"/>
          <w:lang w:val="en-US"/>
        </w:rPr>
      </w:pPr>
      <w:r>
        <w:rPr>
          <w:rFonts w:ascii="Arial" w:hAnsi="Arial" w:cs="Arial"/>
          <w:b/>
          <w:sz w:val="22"/>
          <w:szCs w:val="22"/>
          <w:lang w:val="en-US"/>
        </w:rPr>
        <w:t xml:space="preserve">Health </w:t>
      </w:r>
      <w:r w:rsidR="00646BC4">
        <w:rPr>
          <w:rFonts w:ascii="Arial" w:hAnsi="Arial" w:cs="Arial"/>
          <w:b/>
          <w:sz w:val="22"/>
          <w:szCs w:val="22"/>
          <w:lang w:val="en-US"/>
        </w:rPr>
        <w:t>Resea</w:t>
      </w:r>
      <w:r w:rsidR="005B62D4">
        <w:rPr>
          <w:rFonts w:ascii="Arial" w:hAnsi="Arial" w:cs="Arial"/>
          <w:b/>
          <w:sz w:val="22"/>
          <w:szCs w:val="22"/>
          <w:lang w:val="en-US"/>
        </w:rPr>
        <w:t>rch</w:t>
      </w:r>
      <w:r w:rsidR="00643128">
        <w:rPr>
          <w:rFonts w:ascii="Arial" w:hAnsi="Arial" w:cs="Arial"/>
          <w:b/>
          <w:sz w:val="22"/>
          <w:szCs w:val="22"/>
          <w:lang w:val="en-US"/>
        </w:rPr>
        <w:t xml:space="preserve"> Authority as at </w:t>
      </w:r>
      <w:r w:rsidR="00066196">
        <w:rPr>
          <w:rFonts w:ascii="Arial" w:hAnsi="Arial" w:cs="Arial"/>
          <w:b/>
          <w:sz w:val="22"/>
          <w:szCs w:val="22"/>
          <w:lang w:val="en-US"/>
        </w:rPr>
        <w:t>31 March</w:t>
      </w:r>
      <w:r w:rsidR="00A64613">
        <w:rPr>
          <w:rFonts w:ascii="Arial" w:hAnsi="Arial" w:cs="Arial"/>
          <w:b/>
          <w:sz w:val="22"/>
          <w:szCs w:val="22"/>
          <w:lang w:val="en-US"/>
        </w:rPr>
        <w:t xml:space="preserve"> 2015</w:t>
      </w:r>
    </w:p>
    <w:p w:rsidR="001F7421" w:rsidRDefault="001F7421" w:rsidP="00AD76CF">
      <w:pPr>
        <w:rPr>
          <w:rFonts w:ascii="Arial" w:hAnsi="Arial" w:cs="Arial"/>
          <w:b/>
          <w:sz w:val="22"/>
          <w:szCs w:val="22"/>
          <w:lang w:val="en-US"/>
        </w:rPr>
      </w:pPr>
    </w:p>
    <w:p w:rsidR="001F7421" w:rsidRPr="00AD76CF" w:rsidRDefault="001F7421" w:rsidP="00AD76CF">
      <w:pPr>
        <w:rPr>
          <w:rFonts w:ascii="Arial" w:hAnsi="Arial" w:cs="Arial"/>
          <w:b/>
          <w:sz w:val="22"/>
          <w:szCs w:val="22"/>
        </w:rPr>
      </w:pPr>
    </w:p>
    <w:p w:rsidR="00AD76CF" w:rsidRPr="00AD76CF" w:rsidRDefault="00AD76CF" w:rsidP="00AD76CF">
      <w:pPr>
        <w:jc w:val="center"/>
        <w:rPr>
          <w:rFonts w:ascii="Arial" w:hAnsi="Arial" w:cs="Arial"/>
          <w:b/>
          <w:sz w:val="22"/>
          <w:szCs w:val="22"/>
        </w:rPr>
      </w:pPr>
    </w:p>
    <w:p w:rsidR="00AC4AAD" w:rsidRPr="001F7421" w:rsidRDefault="00AD76CF" w:rsidP="001F7421">
      <w:pPr>
        <w:numPr>
          <w:ilvl w:val="0"/>
          <w:numId w:val="3"/>
        </w:numPr>
        <w:jc w:val="both"/>
        <w:rPr>
          <w:rFonts w:ascii="Arial" w:hAnsi="Arial" w:cs="Arial"/>
          <w:b/>
          <w:sz w:val="22"/>
          <w:szCs w:val="22"/>
        </w:rPr>
      </w:pPr>
      <w:r w:rsidRPr="001F7421">
        <w:rPr>
          <w:rFonts w:ascii="Arial" w:hAnsi="Arial" w:cs="Arial"/>
          <w:b/>
          <w:sz w:val="22"/>
          <w:szCs w:val="22"/>
        </w:rPr>
        <w:t>Introduction</w:t>
      </w:r>
    </w:p>
    <w:p w:rsidR="00AD76CF" w:rsidRDefault="00AD76CF" w:rsidP="00AD76CF">
      <w:pPr>
        <w:jc w:val="both"/>
        <w:rPr>
          <w:rFonts w:ascii="Arial" w:hAnsi="Arial" w:cs="Arial"/>
          <w:sz w:val="22"/>
          <w:szCs w:val="22"/>
        </w:rPr>
      </w:pPr>
      <w:r w:rsidRPr="00AD76CF">
        <w:rPr>
          <w:rFonts w:ascii="Arial" w:hAnsi="Arial" w:cs="Arial"/>
          <w:sz w:val="22"/>
          <w:szCs w:val="22"/>
        </w:rPr>
        <w:t xml:space="preserve">This report outlines the financial position of the Authority in respect of revenue and capital expenditure for the </w:t>
      </w:r>
      <w:r w:rsidR="00643128">
        <w:rPr>
          <w:rFonts w:ascii="Arial" w:hAnsi="Arial" w:cs="Arial"/>
          <w:sz w:val="22"/>
          <w:szCs w:val="22"/>
        </w:rPr>
        <w:t xml:space="preserve">month ended </w:t>
      </w:r>
      <w:r w:rsidR="00066196">
        <w:rPr>
          <w:rFonts w:ascii="Arial" w:hAnsi="Arial" w:cs="Arial"/>
          <w:sz w:val="22"/>
          <w:szCs w:val="22"/>
        </w:rPr>
        <w:t>31 March</w:t>
      </w:r>
      <w:r w:rsidR="00232B6B">
        <w:rPr>
          <w:rFonts w:ascii="Arial" w:hAnsi="Arial" w:cs="Arial"/>
          <w:sz w:val="22"/>
          <w:szCs w:val="22"/>
        </w:rPr>
        <w:t xml:space="preserve"> </w:t>
      </w:r>
      <w:r w:rsidR="00A64613">
        <w:rPr>
          <w:rFonts w:ascii="Arial" w:hAnsi="Arial" w:cs="Arial"/>
          <w:sz w:val="22"/>
          <w:szCs w:val="22"/>
        </w:rPr>
        <w:t>2015</w:t>
      </w:r>
      <w:r w:rsidR="008506B4">
        <w:rPr>
          <w:rFonts w:ascii="Arial" w:hAnsi="Arial" w:cs="Arial"/>
          <w:sz w:val="22"/>
          <w:szCs w:val="22"/>
        </w:rPr>
        <w:t xml:space="preserve"> and the </w:t>
      </w:r>
      <w:r w:rsidR="00AE298D">
        <w:rPr>
          <w:rFonts w:ascii="Arial" w:hAnsi="Arial" w:cs="Arial"/>
          <w:sz w:val="22"/>
          <w:szCs w:val="22"/>
        </w:rPr>
        <w:t xml:space="preserve">expected </w:t>
      </w:r>
      <w:r w:rsidR="008506B4">
        <w:rPr>
          <w:rFonts w:ascii="Arial" w:hAnsi="Arial" w:cs="Arial"/>
          <w:sz w:val="22"/>
          <w:szCs w:val="22"/>
        </w:rPr>
        <w:t>full year 2014/15</w:t>
      </w:r>
      <w:r w:rsidR="003179D5">
        <w:rPr>
          <w:rFonts w:ascii="Arial" w:hAnsi="Arial" w:cs="Arial"/>
          <w:sz w:val="22"/>
          <w:szCs w:val="22"/>
        </w:rPr>
        <w:t xml:space="preserve">. </w:t>
      </w:r>
      <w:r w:rsidRPr="00AD76CF">
        <w:rPr>
          <w:rFonts w:ascii="Arial" w:hAnsi="Arial" w:cs="Arial"/>
          <w:sz w:val="22"/>
          <w:szCs w:val="22"/>
        </w:rPr>
        <w:t xml:space="preserve">  </w:t>
      </w:r>
    </w:p>
    <w:p w:rsidR="001F7421" w:rsidRPr="00AD76CF" w:rsidRDefault="001F7421" w:rsidP="00AD76CF">
      <w:pPr>
        <w:jc w:val="both"/>
        <w:rPr>
          <w:rFonts w:ascii="Arial" w:hAnsi="Arial" w:cs="Arial"/>
          <w:sz w:val="22"/>
          <w:szCs w:val="22"/>
        </w:rPr>
      </w:pPr>
    </w:p>
    <w:p w:rsidR="00AD76CF" w:rsidRPr="00AD76CF" w:rsidRDefault="00AD76CF" w:rsidP="00AD76CF">
      <w:pPr>
        <w:jc w:val="both"/>
        <w:rPr>
          <w:rFonts w:ascii="Arial" w:hAnsi="Arial" w:cs="Arial"/>
          <w:sz w:val="22"/>
          <w:szCs w:val="22"/>
        </w:rPr>
      </w:pPr>
    </w:p>
    <w:p w:rsidR="00AD76CF" w:rsidRPr="00AC4AAD" w:rsidRDefault="00AD76CF" w:rsidP="00AD76CF">
      <w:pPr>
        <w:jc w:val="both"/>
        <w:rPr>
          <w:rFonts w:ascii="Arial" w:hAnsi="Arial" w:cs="Arial"/>
          <w:b/>
          <w:sz w:val="22"/>
          <w:szCs w:val="22"/>
        </w:rPr>
      </w:pPr>
      <w:r w:rsidRPr="00AD76CF">
        <w:rPr>
          <w:rFonts w:ascii="Arial" w:hAnsi="Arial" w:cs="Arial"/>
          <w:b/>
          <w:sz w:val="22"/>
          <w:szCs w:val="22"/>
        </w:rPr>
        <w:t xml:space="preserve">2. </w:t>
      </w:r>
      <w:r w:rsidR="00AC4AAD">
        <w:rPr>
          <w:rFonts w:ascii="Arial" w:hAnsi="Arial" w:cs="Arial"/>
          <w:b/>
          <w:sz w:val="22"/>
          <w:szCs w:val="22"/>
        </w:rPr>
        <w:t>Revenue Resource Limit</w:t>
      </w:r>
    </w:p>
    <w:p w:rsidR="00262B57" w:rsidRDefault="00B2011F" w:rsidP="00AD76CF">
      <w:pPr>
        <w:jc w:val="both"/>
        <w:rPr>
          <w:rFonts w:ascii="Arial" w:hAnsi="Arial" w:cs="Arial"/>
          <w:sz w:val="22"/>
          <w:szCs w:val="22"/>
        </w:rPr>
      </w:pPr>
      <w:r w:rsidRPr="004B5C87">
        <w:rPr>
          <w:rFonts w:ascii="Arial" w:hAnsi="Arial" w:cs="Arial"/>
          <w:sz w:val="22"/>
          <w:szCs w:val="22"/>
        </w:rPr>
        <w:t xml:space="preserve">The HRA </w:t>
      </w:r>
      <w:r w:rsidR="00FB56CC" w:rsidRPr="004B5C87">
        <w:rPr>
          <w:rFonts w:ascii="Arial" w:hAnsi="Arial" w:cs="Arial"/>
          <w:sz w:val="22"/>
          <w:szCs w:val="22"/>
        </w:rPr>
        <w:t xml:space="preserve">indicative </w:t>
      </w:r>
      <w:r w:rsidR="003179D5" w:rsidRPr="004B5C87">
        <w:rPr>
          <w:rFonts w:ascii="Arial" w:hAnsi="Arial" w:cs="Arial"/>
          <w:sz w:val="22"/>
          <w:szCs w:val="22"/>
        </w:rPr>
        <w:t xml:space="preserve">grant in aid/ </w:t>
      </w:r>
      <w:r w:rsidRPr="004B5C87">
        <w:rPr>
          <w:rFonts w:ascii="Arial" w:hAnsi="Arial" w:cs="Arial"/>
          <w:sz w:val="22"/>
          <w:szCs w:val="22"/>
        </w:rPr>
        <w:t xml:space="preserve">opening revenue resource limit </w:t>
      </w:r>
      <w:r w:rsidR="00641123" w:rsidRPr="004B5C87">
        <w:rPr>
          <w:rFonts w:ascii="Arial" w:hAnsi="Arial" w:cs="Arial"/>
          <w:sz w:val="22"/>
          <w:szCs w:val="22"/>
        </w:rPr>
        <w:t xml:space="preserve">for 2014/15 </w:t>
      </w:r>
      <w:r w:rsidRPr="004B5C87">
        <w:rPr>
          <w:rFonts w:ascii="Arial" w:hAnsi="Arial" w:cs="Arial"/>
          <w:sz w:val="22"/>
          <w:szCs w:val="22"/>
        </w:rPr>
        <w:t xml:space="preserve">was </w:t>
      </w:r>
      <w:r w:rsidR="00FB56CC" w:rsidRPr="004B5C87">
        <w:rPr>
          <w:rFonts w:ascii="Arial" w:hAnsi="Arial" w:cs="Arial"/>
          <w:sz w:val="22"/>
          <w:szCs w:val="22"/>
        </w:rPr>
        <w:t xml:space="preserve">agreed </w:t>
      </w:r>
      <w:r w:rsidRPr="004B5C87">
        <w:rPr>
          <w:rFonts w:ascii="Arial" w:hAnsi="Arial" w:cs="Arial"/>
          <w:sz w:val="22"/>
          <w:szCs w:val="22"/>
        </w:rPr>
        <w:t>at £</w:t>
      </w:r>
      <w:r w:rsidR="00FB56CC" w:rsidRPr="004B5C87">
        <w:rPr>
          <w:rFonts w:ascii="Arial" w:hAnsi="Arial" w:cs="Arial"/>
          <w:sz w:val="22"/>
          <w:szCs w:val="22"/>
        </w:rPr>
        <w:t>13.444</w:t>
      </w:r>
      <w:r w:rsidR="00613941" w:rsidRPr="004B5C87">
        <w:rPr>
          <w:rFonts w:ascii="Arial" w:hAnsi="Arial" w:cs="Arial"/>
          <w:sz w:val="22"/>
          <w:szCs w:val="22"/>
        </w:rPr>
        <w:t>m</w:t>
      </w:r>
      <w:r w:rsidR="00641123" w:rsidRPr="004B5C87">
        <w:rPr>
          <w:rFonts w:ascii="Arial" w:hAnsi="Arial" w:cs="Arial"/>
          <w:sz w:val="22"/>
          <w:szCs w:val="22"/>
        </w:rPr>
        <w:t>.</w:t>
      </w:r>
      <w:r w:rsidR="003179D5" w:rsidRPr="004B5C87">
        <w:rPr>
          <w:rFonts w:ascii="Arial" w:hAnsi="Arial" w:cs="Arial"/>
          <w:sz w:val="22"/>
          <w:szCs w:val="22"/>
        </w:rPr>
        <w:t xml:space="preserve">  The whole of this sum </w:t>
      </w:r>
      <w:r w:rsidR="002C390E">
        <w:rPr>
          <w:rFonts w:ascii="Arial" w:hAnsi="Arial" w:cs="Arial"/>
          <w:sz w:val="22"/>
          <w:szCs w:val="22"/>
        </w:rPr>
        <w:t xml:space="preserve">is </w:t>
      </w:r>
      <w:r w:rsidR="003179D5" w:rsidRPr="004B5C87">
        <w:rPr>
          <w:rFonts w:ascii="Arial" w:hAnsi="Arial" w:cs="Arial"/>
          <w:sz w:val="22"/>
          <w:szCs w:val="22"/>
        </w:rPr>
        <w:t xml:space="preserve">classified as administration funding under HM Treasury definitions and this sum represents </w:t>
      </w:r>
      <w:r w:rsidR="00D750FE">
        <w:rPr>
          <w:rFonts w:ascii="Arial" w:hAnsi="Arial" w:cs="Arial"/>
          <w:sz w:val="22"/>
          <w:szCs w:val="22"/>
        </w:rPr>
        <w:t>H</w:t>
      </w:r>
      <w:r w:rsidR="003179D5" w:rsidRPr="004B5C87">
        <w:rPr>
          <w:rFonts w:ascii="Arial" w:hAnsi="Arial" w:cs="Arial"/>
          <w:sz w:val="22"/>
          <w:szCs w:val="22"/>
        </w:rPr>
        <w:t>RA annual statutory funding from the Department of Health</w:t>
      </w:r>
      <w:r w:rsidR="008C6ADC" w:rsidRPr="004B5C87">
        <w:rPr>
          <w:rFonts w:ascii="Arial" w:hAnsi="Arial" w:cs="Arial"/>
          <w:sz w:val="22"/>
          <w:szCs w:val="22"/>
        </w:rPr>
        <w:t xml:space="preserve"> (DH)</w:t>
      </w:r>
      <w:r w:rsidR="007948D4" w:rsidRPr="004B5C87">
        <w:rPr>
          <w:rFonts w:ascii="Arial" w:hAnsi="Arial" w:cs="Arial"/>
          <w:sz w:val="22"/>
          <w:szCs w:val="22"/>
        </w:rPr>
        <w:t xml:space="preserve"> for the year.</w:t>
      </w:r>
      <w:r w:rsidR="003179D5" w:rsidRPr="004B5C87">
        <w:rPr>
          <w:rFonts w:ascii="Arial" w:hAnsi="Arial" w:cs="Arial"/>
          <w:sz w:val="22"/>
          <w:szCs w:val="22"/>
        </w:rPr>
        <w:t xml:space="preserve"> This sum excludes income from other government departments or income from the devolved administrations, the planning assumptions for which amount to a sum of £2</w:t>
      </w:r>
      <w:r w:rsidR="00641123" w:rsidRPr="004B5C87">
        <w:rPr>
          <w:rFonts w:ascii="Arial" w:hAnsi="Arial" w:cs="Arial"/>
          <w:sz w:val="22"/>
          <w:szCs w:val="22"/>
        </w:rPr>
        <w:t>4</w:t>
      </w:r>
      <w:r w:rsidR="003179D5" w:rsidRPr="004B5C87">
        <w:rPr>
          <w:rFonts w:ascii="Arial" w:hAnsi="Arial" w:cs="Arial"/>
          <w:sz w:val="22"/>
          <w:szCs w:val="22"/>
        </w:rPr>
        <w:t xml:space="preserve">0k. </w:t>
      </w:r>
      <w:r w:rsidR="002C390E">
        <w:rPr>
          <w:rFonts w:ascii="Arial" w:hAnsi="Arial" w:cs="Arial"/>
          <w:sz w:val="22"/>
          <w:szCs w:val="22"/>
        </w:rPr>
        <w:t xml:space="preserve">  </w:t>
      </w:r>
    </w:p>
    <w:p w:rsidR="00262B57" w:rsidRDefault="00AD76CF" w:rsidP="00AC4AAD">
      <w:pPr>
        <w:ind w:left="-360"/>
        <w:rPr>
          <w:rFonts w:ascii="Arial" w:hAnsi="Arial" w:cs="Arial"/>
          <w:b/>
          <w:sz w:val="22"/>
          <w:szCs w:val="22"/>
        </w:rPr>
      </w:pPr>
      <w:r w:rsidRPr="00AD76CF">
        <w:rPr>
          <w:rFonts w:ascii="Arial" w:hAnsi="Arial" w:cs="Arial"/>
          <w:b/>
          <w:sz w:val="22"/>
          <w:szCs w:val="22"/>
        </w:rPr>
        <w:t xml:space="preserve">   </w:t>
      </w:r>
    </w:p>
    <w:p w:rsidR="00262B57" w:rsidRDefault="00262B57" w:rsidP="00AC4AAD">
      <w:pPr>
        <w:ind w:left="-360"/>
        <w:rPr>
          <w:rFonts w:ascii="Arial" w:hAnsi="Arial" w:cs="Arial"/>
          <w:b/>
          <w:sz w:val="22"/>
          <w:szCs w:val="22"/>
        </w:rPr>
      </w:pPr>
    </w:p>
    <w:p w:rsidR="00AD76CF" w:rsidRPr="00AD76CF" w:rsidRDefault="00AD76CF" w:rsidP="00262B57">
      <w:pPr>
        <w:ind w:left="-360" w:firstLine="360"/>
        <w:rPr>
          <w:rFonts w:ascii="Arial" w:hAnsi="Arial" w:cs="Arial"/>
          <w:b/>
          <w:sz w:val="22"/>
          <w:szCs w:val="22"/>
        </w:rPr>
      </w:pPr>
      <w:r w:rsidRPr="00AD76CF">
        <w:rPr>
          <w:rFonts w:ascii="Arial" w:hAnsi="Arial" w:cs="Arial"/>
          <w:b/>
          <w:sz w:val="22"/>
          <w:szCs w:val="22"/>
        </w:rPr>
        <w:t>3</w:t>
      </w:r>
      <w:r w:rsidR="001516FA">
        <w:rPr>
          <w:rFonts w:ascii="Arial" w:hAnsi="Arial" w:cs="Arial"/>
          <w:b/>
          <w:sz w:val="22"/>
          <w:szCs w:val="22"/>
        </w:rPr>
        <w:t xml:space="preserve">. Revenue </w:t>
      </w:r>
      <w:r w:rsidR="00262B57">
        <w:rPr>
          <w:rFonts w:ascii="Arial" w:hAnsi="Arial" w:cs="Arial"/>
          <w:b/>
          <w:sz w:val="22"/>
          <w:szCs w:val="22"/>
        </w:rPr>
        <w:t>expenditure p</w:t>
      </w:r>
      <w:r w:rsidR="001516FA">
        <w:rPr>
          <w:rFonts w:ascii="Arial" w:hAnsi="Arial" w:cs="Arial"/>
          <w:b/>
          <w:sz w:val="22"/>
          <w:szCs w:val="22"/>
        </w:rPr>
        <w:t xml:space="preserve">osition </w:t>
      </w:r>
      <w:r w:rsidR="00E6420E">
        <w:rPr>
          <w:rFonts w:ascii="Arial" w:hAnsi="Arial" w:cs="Arial"/>
          <w:b/>
          <w:sz w:val="22"/>
          <w:szCs w:val="22"/>
        </w:rPr>
        <w:t xml:space="preserve">at </w:t>
      </w:r>
      <w:r w:rsidR="00066196">
        <w:rPr>
          <w:rFonts w:ascii="Arial" w:hAnsi="Arial" w:cs="Arial"/>
          <w:b/>
          <w:sz w:val="22"/>
          <w:szCs w:val="22"/>
        </w:rPr>
        <w:t>31 March</w:t>
      </w:r>
      <w:r w:rsidR="00A64613">
        <w:rPr>
          <w:rFonts w:ascii="Arial" w:hAnsi="Arial" w:cs="Arial"/>
          <w:b/>
          <w:sz w:val="22"/>
          <w:szCs w:val="22"/>
        </w:rPr>
        <w:t xml:space="preserve"> 2015</w:t>
      </w:r>
    </w:p>
    <w:p w:rsidR="00A30B13" w:rsidRDefault="00AD76CF" w:rsidP="00BA4988">
      <w:pPr>
        <w:jc w:val="both"/>
        <w:rPr>
          <w:rFonts w:ascii="Arial" w:hAnsi="Arial" w:cs="Arial"/>
          <w:sz w:val="22"/>
          <w:szCs w:val="22"/>
        </w:rPr>
      </w:pPr>
      <w:r w:rsidRPr="00AD76CF">
        <w:rPr>
          <w:rFonts w:ascii="Arial" w:hAnsi="Arial" w:cs="Arial"/>
          <w:sz w:val="22"/>
          <w:szCs w:val="22"/>
        </w:rPr>
        <w:t xml:space="preserve">The revenue position of the </w:t>
      </w:r>
      <w:r w:rsidR="00877858">
        <w:rPr>
          <w:rFonts w:ascii="Arial" w:hAnsi="Arial" w:cs="Arial"/>
          <w:sz w:val="22"/>
          <w:szCs w:val="22"/>
        </w:rPr>
        <w:t xml:space="preserve">Authority </w:t>
      </w:r>
      <w:r w:rsidRPr="00AD76CF">
        <w:rPr>
          <w:rFonts w:ascii="Arial" w:hAnsi="Arial" w:cs="Arial"/>
          <w:sz w:val="22"/>
          <w:szCs w:val="22"/>
        </w:rPr>
        <w:t xml:space="preserve">is </w:t>
      </w:r>
      <w:r w:rsidR="00877858">
        <w:rPr>
          <w:rFonts w:ascii="Arial" w:hAnsi="Arial" w:cs="Arial"/>
          <w:sz w:val="22"/>
          <w:szCs w:val="22"/>
        </w:rPr>
        <w:t xml:space="preserve">summarised </w:t>
      </w:r>
      <w:r w:rsidR="006E46EB">
        <w:rPr>
          <w:rFonts w:ascii="Arial" w:hAnsi="Arial" w:cs="Arial"/>
          <w:sz w:val="22"/>
          <w:szCs w:val="22"/>
        </w:rPr>
        <w:t xml:space="preserve">in the table </w:t>
      </w:r>
      <w:r w:rsidR="00440BCB">
        <w:rPr>
          <w:rFonts w:ascii="Arial" w:hAnsi="Arial" w:cs="Arial"/>
          <w:sz w:val="22"/>
          <w:szCs w:val="22"/>
        </w:rPr>
        <w:t>on the next page</w:t>
      </w:r>
      <w:r w:rsidR="00877858">
        <w:rPr>
          <w:rFonts w:ascii="Arial" w:hAnsi="Arial" w:cs="Arial"/>
          <w:sz w:val="22"/>
          <w:szCs w:val="22"/>
        </w:rPr>
        <w:t xml:space="preserve"> with further performance </w:t>
      </w:r>
      <w:r w:rsidRPr="00AD76CF">
        <w:rPr>
          <w:rFonts w:ascii="Arial" w:hAnsi="Arial" w:cs="Arial"/>
          <w:sz w:val="22"/>
          <w:szCs w:val="22"/>
        </w:rPr>
        <w:t xml:space="preserve">detail </w:t>
      </w:r>
      <w:r w:rsidR="00877858">
        <w:rPr>
          <w:rFonts w:ascii="Arial" w:hAnsi="Arial" w:cs="Arial"/>
          <w:sz w:val="22"/>
          <w:szCs w:val="22"/>
        </w:rPr>
        <w:t xml:space="preserve">in </w:t>
      </w:r>
      <w:r w:rsidRPr="00AD76CF">
        <w:rPr>
          <w:rFonts w:ascii="Arial" w:hAnsi="Arial" w:cs="Arial"/>
          <w:sz w:val="22"/>
          <w:szCs w:val="22"/>
        </w:rPr>
        <w:t xml:space="preserve">Appendix </w:t>
      </w:r>
      <w:r w:rsidR="00015D1D">
        <w:rPr>
          <w:rFonts w:ascii="Arial" w:hAnsi="Arial" w:cs="Arial"/>
          <w:sz w:val="22"/>
          <w:szCs w:val="22"/>
        </w:rPr>
        <w:t>A</w:t>
      </w:r>
      <w:r w:rsidRPr="00AD76CF">
        <w:rPr>
          <w:rFonts w:ascii="Arial" w:hAnsi="Arial" w:cs="Arial"/>
          <w:sz w:val="22"/>
          <w:szCs w:val="22"/>
        </w:rPr>
        <w:t xml:space="preserve">. </w:t>
      </w:r>
      <w:r w:rsidR="00841ADE">
        <w:rPr>
          <w:rFonts w:ascii="Arial" w:hAnsi="Arial" w:cs="Arial"/>
          <w:sz w:val="22"/>
          <w:szCs w:val="22"/>
        </w:rPr>
        <w:t xml:space="preserve"> </w:t>
      </w:r>
    </w:p>
    <w:p w:rsidR="00A30B13" w:rsidRDefault="00A30B13" w:rsidP="00AD76CF">
      <w:pPr>
        <w:jc w:val="both"/>
        <w:rPr>
          <w:rFonts w:ascii="Arial" w:hAnsi="Arial" w:cs="Arial"/>
          <w:sz w:val="22"/>
          <w:szCs w:val="22"/>
        </w:rPr>
      </w:pPr>
    </w:p>
    <w:p w:rsidR="00262B57" w:rsidRDefault="00B06AFA" w:rsidP="00AD76CF">
      <w:pPr>
        <w:jc w:val="both"/>
        <w:rPr>
          <w:rFonts w:ascii="Arial" w:hAnsi="Arial" w:cs="Arial"/>
          <w:sz w:val="22"/>
          <w:szCs w:val="22"/>
        </w:rPr>
      </w:pPr>
      <w:r>
        <w:rPr>
          <w:rFonts w:ascii="Arial" w:hAnsi="Arial" w:cs="Arial"/>
          <w:sz w:val="22"/>
          <w:szCs w:val="22"/>
        </w:rPr>
        <w:t xml:space="preserve">The Authority has </w:t>
      </w:r>
      <w:r w:rsidRPr="00393BEC">
        <w:rPr>
          <w:rFonts w:ascii="Arial" w:hAnsi="Arial" w:cs="Arial"/>
          <w:sz w:val="22"/>
          <w:szCs w:val="22"/>
        </w:rPr>
        <w:t xml:space="preserve">spent </w:t>
      </w:r>
      <w:r w:rsidRPr="009B4C8D">
        <w:rPr>
          <w:rFonts w:ascii="Arial" w:hAnsi="Arial" w:cs="Arial"/>
          <w:sz w:val="22"/>
          <w:szCs w:val="22"/>
        </w:rPr>
        <w:t>£</w:t>
      </w:r>
      <w:r w:rsidR="00A65E0D">
        <w:rPr>
          <w:rFonts w:ascii="Arial" w:hAnsi="Arial" w:cs="Arial"/>
          <w:sz w:val="22"/>
          <w:szCs w:val="22"/>
        </w:rPr>
        <w:t>10.67</w:t>
      </w:r>
      <w:r w:rsidR="00E82F54" w:rsidRPr="009B4C8D">
        <w:rPr>
          <w:rFonts w:ascii="Arial" w:hAnsi="Arial" w:cs="Arial"/>
          <w:sz w:val="22"/>
          <w:szCs w:val="22"/>
        </w:rPr>
        <w:t xml:space="preserve">million </w:t>
      </w:r>
      <w:r w:rsidRPr="009B4C8D">
        <w:rPr>
          <w:rFonts w:ascii="Arial" w:hAnsi="Arial" w:cs="Arial"/>
          <w:sz w:val="22"/>
          <w:szCs w:val="22"/>
        </w:rPr>
        <w:t>(£</w:t>
      </w:r>
      <w:r w:rsidR="00A65E0D">
        <w:rPr>
          <w:rFonts w:ascii="Arial" w:hAnsi="Arial" w:cs="Arial"/>
          <w:sz w:val="22"/>
          <w:szCs w:val="22"/>
        </w:rPr>
        <w:t>9.17m end February</w:t>
      </w:r>
      <w:r w:rsidRPr="009B4C8D">
        <w:rPr>
          <w:rFonts w:ascii="Arial" w:hAnsi="Arial" w:cs="Arial"/>
          <w:sz w:val="22"/>
          <w:szCs w:val="22"/>
        </w:rPr>
        <w:t>)</w:t>
      </w:r>
      <w:r w:rsidR="00936A58" w:rsidRPr="009B4C8D">
        <w:rPr>
          <w:rFonts w:ascii="Arial" w:hAnsi="Arial" w:cs="Arial"/>
          <w:sz w:val="22"/>
          <w:szCs w:val="22"/>
        </w:rPr>
        <w:t xml:space="preserve"> </w:t>
      </w:r>
      <w:r w:rsidR="00E82F54" w:rsidRPr="009B4C8D">
        <w:rPr>
          <w:rFonts w:ascii="Arial" w:hAnsi="Arial" w:cs="Arial"/>
          <w:sz w:val="22"/>
          <w:szCs w:val="22"/>
        </w:rPr>
        <w:t>year to date</w:t>
      </w:r>
      <w:r w:rsidR="00262B57">
        <w:rPr>
          <w:rFonts w:ascii="Arial" w:hAnsi="Arial" w:cs="Arial"/>
          <w:sz w:val="22"/>
          <w:szCs w:val="22"/>
        </w:rPr>
        <w:t>.  This represents a £3.09 million under spend against expenditure budgets and a £3.101 million underspend against grant in aid.  The difference is largely due to an over achievement of income budgets as a result of the secondment to an NHS Trust of a member of staff.</w:t>
      </w:r>
    </w:p>
    <w:p w:rsidR="00262B57" w:rsidRDefault="00262B57" w:rsidP="00AD76CF">
      <w:pPr>
        <w:jc w:val="both"/>
        <w:rPr>
          <w:rFonts w:ascii="Arial" w:hAnsi="Arial" w:cs="Arial"/>
          <w:sz w:val="22"/>
          <w:szCs w:val="22"/>
        </w:rPr>
      </w:pPr>
    </w:p>
    <w:p w:rsidR="007913AA" w:rsidRDefault="00262B57" w:rsidP="00AD76CF">
      <w:pPr>
        <w:jc w:val="both"/>
        <w:rPr>
          <w:rFonts w:ascii="Arial" w:hAnsi="Arial" w:cs="Arial"/>
          <w:sz w:val="22"/>
          <w:szCs w:val="22"/>
        </w:rPr>
      </w:pPr>
      <w:r>
        <w:rPr>
          <w:rFonts w:ascii="Arial" w:hAnsi="Arial" w:cs="Arial"/>
          <w:sz w:val="22"/>
          <w:szCs w:val="22"/>
        </w:rPr>
        <w:t>T</w:t>
      </w:r>
      <w:r w:rsidR="007913AA">
        <w:rPr>
          <w:rFonts w:ascii="Arial" w:hAnsi="Arial" w:cs="Arial"/>
          <w:sz w:val="22"/>
          <w:szCs w:val="22"/>
        </w:rPr>
        <w:t xml:space="preserve">he </w:t>
      </w:r>
      <w:proofErr w:type="gramStart"/>
      <w:r w:rsidR="007913AA">
        <w:rPr>
          <w:rFonts w:ascii="Arial" w:hAnsi="Arial" w:cs="Arial"/>
          <w:sz w:val="22"/>
          <w:szCs w:val="22"/>
        </w:rPr>
        <w:t>rate of monthly spend</w:t>
      </w:r>
      <w:proofErr w:type="gramEnd"/>
      <w:r w:rsidR="007913AA">
        <w:rPr>
          <w:rFonts w:ascii="Arial" w:hAnsi="Arial" w:cs="Arial"/>
          <w:sz w:val="22"/>
          <w:szCs w:val="22"/>
        </w:rPr>
        <w:t xml:space="preserve"> and overall </w:t>
      </w:r>
      <w:r>
        <w:rPr>
          <w:rFonts w:ascii="Arial" w:hAnsi="Arial" w:cs="Arial"/>
          <w:sz w:val="22"/>
          <w:szCs w:val="22"/>
        </w:rPr>
        <w:t xml:space="preserve">upward </w:t>
      </w:r>
      <w:r w:rsidR="007913AA">
        <w:rPr>
          <w:rFonts w:ascii="Arial" w:hAnsi="Arial" w:cs="Arial"/>
          <w:sz w:val="22"/>
          <w:szCs w:val="22"/>
        </w:rPr>
        <w:t>trend is shown in the graph below.</w:t>
      </w:r>
    </w:p>
    <w:p w:rsidR="001F7421" w:rsidRDefault="001F7421" w:rsidP="00AD76CF">
      <w:pPr>
        <w:jc w:val="both"/>
        <w:rPr>
          <w:rFonts w:ascii="Arial" w:hAnsi="Arial" w:cs="Arial"/>
          <w:sz w:val="22"/>
          <w:szCs w:val="22"/>
        </w:rPr>
      </w:pPr>
    </w:p>
    <w:p w:rsidR="007913AA" w:rsidRDefault="007913AA" w:rsidP="00AD76CF">
      <w:pPr>
        <w:jc w:val="both"/>
        <w:rPr>
          <w:rFonts w:ascii="Arial" w:hAnsi="Arial" w:cs="Arial"/>
          <w:sz w:val="22"/>
          <w:szCs w:val="22"/>
        </w:rPr>
      </w:pPr>
    </w:p>
    <w:p w:rsidR="007913AA" w:rsidRDefault="00A65E0D" w:rsidP="00A65E0D">
      <w:pPr>
        <w:ind w:left="-426"/>
        <w:jc w:val="both"/>
        <w:rPr>
          <w:rFonts w:ascii="Arial" w:hAnsi="Arial" w:cs="Arial"/>
          <w:sz w:val="22"/>
          <w:szCs w:val="22"/>
        </w:rPr>
      </w:pPr>
      <w:r>
        <w:rPr>
          <w:rFonts w:ascii="Arial" w:hAnsi="Arial" w:cs="Arial"/>
          <w:noProof/>
          <w:sz w:val="22"/>
          <w:szCs w:val="22"/>
        </w:rPr>
        <w:drawing>
          <wp:inline distT="0" distB="0" distL="0" distR="0" wp14:anchorId="725AED56" wp14:editId="25500118">
            <wp:extent cx="6108916" cy="23050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961" cy="2307708"/>
                    </a:xfrm>
                    <a:prstGeom prst="rect">
                      <a:avLst/>
                    </a:prstGeom>
                    <a:noFill/>
                  </pic:spPr>
                </pic:pic>
              </a:graphicData>
            </a:graphic>
          </wp:inline>
        </w:drawing>
      </w:r>
    </w:p>
    <w:p w:rsidR="004B5C87" w:rsidRDefault="004B5C87" w:rsidP="00AD76CF">
      <w:pPr>
        <w:jc w:val="both"/>
        <w:rPr>
          <w:rFonts w:ascii="Arial" w:hAnsi="Arial" w:cs="Arial"/>
          <w:sz w:val="22"/>
          <w:szCs w:val="22"/>
        </w:rPr>
      </w:pPr>
    </w:p>
    <w:p w:rsidR="00262B57" w:rsidRDefault="00262B57" w:rsidP="006E46EB">
      <w:pPr>
        <w:jc w:val="both"/>
        <w:rPr>
          <w:rFonts w:ascii="Arial" w:hAnsi="Arial" w:cs="Arial"/>
          <w:sz w:val="22"/>
          <w:szCs w:val="22"/>
        </w:rPr>
      </w:pPr>
    </w:p>
    <w:p w:rsidR="00262B57" w:rsidRDefault="00262B57" w:rsidP="006E46EB">
      <w:pPr>
        <w:jc w:val="both"/>
        <w:rPr>
          <w:rFonts w:ascii="Arial" w:hAnsi="Arial" w:cs="Arial"/>
          <w:sz w:val="22"/>
          <w:szCs w:val="22"/>
        </w:rPr>
      </w:pPr>
    </w:p>
    <w:p w:rsidR="005F2504" w:rsidRDefault="005F2504" w:rsidP="006E46EB">
      <w:pPr>
        <w:jc w:val="both"/>
        <w:rPr>
          <w:rFonts w:ascii="Arial" w:hAnsi="Arial" w:cs="Arial"/>
          <w:sz w:val="22"/>
          <w:szCs w:val="22"/>
        </w:rPr>
      </w:pPr>
      <w:r>
        <w:rPr>
          <w:rFonts w:ascii="Arial" w:hAnsi="Arial" w:cs="Arial"/>
          <w:sz w:val="22"/>
          <w:szCs w:val="22"/>
        </w:rPr>
        <w:t xml:space="preserve">A summary of the </w:t>
      </w:r>
      <w:r w:rsidR="00262B57">
        <w:rPr>
          <w:rFonts w:ascii="Arial" w:hAnsi="Arial" w:cs="Arial"/>
          <w:sz w:val="22"/>
          <w:szCs w:val="22"/>
        </w:rPr>
        <w:t xml:space="preserve">overall </w:t>
      </w:r>
      <w:r>
        <w:rPr>
          <w:rFonts w:ascii="Arial" w:hAnsi="Arial" w:cs="Arial"/>
          <w:sz w:val="22"/>
          <w:szCs w:val="22"/>
        </w:rPr>
        <w:t xml:space="preserve">position is presented </w:t>
      </w:r>
      <w:r w:rsidR="001F7421">
        <w:rPr>
          <w:rFonts w:ascii="Arial" w:hAnsi="Arial" w:cs="Arial"/>
          <w:sz w:val="22"/>
          <w:szCs w:val="22"/>
        </w:rPr>
        <w:t>overleaf</w:t>
      </w:r>
      <w:r>
        <w:rPr>
          <w:rFonts w:ascii="Arial" w:hAnsi="Arial" w:cs="Arial"/>
          <w:sz w:val="22"/>
          <w:szCs w:val="22"/>
        </w:rPr>
        <w:t>.</w:t>
      </w:r>
    </w:p>
    <w:p w:rsidR="005F2504" w:rsidRDefault="005F2504" w:rsidP="006E46EB">
      <w:pPr>
        <w:jc w:val="both"/>
        <w:rPr>
          <w:rFonts w:ascii="Arial" w:hAnsi="Arial" w:cs="Arial"/>
          <w:sz w:val="22"/>
          <w:szCs w:val="22"/>
        </w:rPr>
      </w:pPr>
    </w:p>
    <w:tbl>
      <w:tblPr>
        <w:tblW w:w="9179" w:type="dxa"/>
        <w:tblInd w:w="108" w:type="dxa"/>
        <w:tblLook w:val="04A0" w:firstRow="1" w:lastRow="0" w:firstColumn="1" w:lastColumn="0" w:noHBand="0" w:noVBand="1"/>
      </w:tblPr>
      <w:tblGrid>
        <w:gridCol w:w="265"/>
        <w:gridCol w:w="4041"/>
        <w:gridCol w:w="1085"/>
        <w:gridCol w:w="1263"/>
        <w:gridCol w:w="1480"/>
        <w:gridCol w:w="1045"/>
      </w:tblGrid>
      <w:tr w:rsidR="00A65E0D" w:rsidRPr="00A65E0D" w:rsidTr="00262B57">
        <w:trPr>
          <w:trHeight w:val="300"/>
        </w:trPr>
        <w:tc>
          <w:tcPr>
            <w:tcW w:w="4306" w:type="dxa"/>
            <w:gridSpan w:val="2"/>
            <w:tcBorders>
              <w:top w:val="nil"/>
              <w:left w:val="nil"/>
              <w:bottom w:val="nil"/>
              <w:right w:val="nil"/>
            </w:tcBorders>
            <w:shd w:val="clear" w:color="auto" w:fill="auto"/>
            <w:noWrap/>
            <w:vAlign w:val="bottom"/>
            <w:hideMark/>
          </w:tcPr>
          <w:p w:rsidR="001F7421" w:rsidRDefault="001F7421" w:rsidP="00A65E0D">
            <w:pPr>
              <w:ind w:right="-197"/>
              <w:rPr>
                <w:rFonts w:ascii="Calibri" w:hAnsi="Calibri" w:cs="Calibri"/>
                <w:b/>
                <w:bCs/>
                <w:color w:val="000000"/>
                <w:sz w:val="22"/>
                <w:szCs w:val="22"/>
              </w:rPr>
            </w:pPr>
          </w:p>
          <w:p w:rsidR="001F7421" w:rsidRDefault="001F7421" w:rsidP="00A65E0D">
            <w:pPr>
              <w:ind w:right="-197"/>
              <w:rPr>
                <w:rFonts w:ascii="Calibri" w:hAnsi="Calibri" w:cs="Calibri"/>
                <w:b/>
                <w:bCs/>
                <w:color w:val="000000"/>
                <w:sz w:val="22"/>
                <w:szCs w:val="22"/>
              </w:rPr>
            </w:pPr>
          </w:p>
          <w:p w:rsidR="001F7421" w:rsidRDefault="001F7421" w:rsidP="00A65E0D">
            <w:pPr>
              <w:ind w:right="-197"/>
              <w:rPr>
                <w:rFonts w:ascii="Calibri" w:hAnsi="Calibri" w:cs="Calibri"/>
                <w:b/>
                <w:bCs/>
                <w:color w:val="000000"/>
                <w:sz w:val="22"/>
                <w:szCs w:val="22"/>
              </w:rPr>
            </w:pPr>
          </w:p>
          <w:p w:rsidR="001F7421" w:rsidRDefault="001F7421" w:rsidP="00A65E0D">
            <w:pPr>
              <w:ind w:right="-197"/>
              <w:rPr>
                <w:rFonts w:ascii="Calibri" w:hAnsi="Calibri" w:cs="Calibri"/>
                <w:b/>
                <w:bCs/>
                <w:color w:val="000000"/>
                <w:sz w:val="22"/>
                <w:szCs w:val="22"/>
              </w:rPr>
            </w:pPr>
          </w:p>
          <w:p w:rsidR="001F7421" w:rsidRDefault="001F7421" w:rsidP="00A65E0D">
            <w:pPr>
              <w:ind w:right="-197"/>
              <w:rPr>
                <w:rFonts w:ascii="Calibri" w:hAnsi="Calibri" w:cs="Calibri"/>
                <w:b/>
                <w:bCs/>
                <w:color w:val="000000"/>
                <w:sz w:val="22"/>
                <w:szCs w:val="22"/>
              </w:rPr>
            </w:pPr>
          </w:p>
          <w:p w:rsidR="001F7421" w:rsidRDefault="001F7421" w:rsidP="00A65E0D">
            <w:pPr>
              <w:ind w:right="-197"/>
              <w:rPr>
                <w:rFonts w:ascii="Calibri" w:hAnsi="Calibri" w:cs="Calibri"/>
                <w:b/>
                <w:bCs/>
                <w:color w:val="000000"/>
                <w:sz w:val="22"/>
                <w:szCs w:val="22"/>
              </w:rPr>
            </w:pPr>
          </w:p>
          <w:p w:rsidR="001F7421" w:rsidRDefault="001F7421" w:rsidP="00A65E0D">
            <w:pPr>
              <w:ind w:right="-197"/>
              <w:rPr>
                <w:rFonts w:ascii="Calibri" w:hAnsi="Calibri" w:cs="Calibri"/>
                <w:b/>
                <w:bCs/>
                <w:color w:val="000000"/>
                <w:sz w:val="22"/>
                <w:szCs w:val="22"/>
              </w:rPr>
            </w:pPr>
          </w:p>
          <w:p w:rsidR="001F7421" w:rsidRDefault="001F7421" w:rsidP="00A65E0D">
            <w:pPr>
              <w:ind w:right="-197"/>
              <w:rPr>
                <w:rFonts w:ascii="Calibri" w:hAnsi="Calibri" w:cs="Calibri"/>
                <w:b/>
                <w:bCs/>
                <w:color w:val="000000"/>
                <w:sz w:val="22"/>
                <w:szCs w:val="22"/>
              </w:rPr>
            </w:pPr>
          </w:p>
          <w:p w:rsidR="001F7421" w:rsidRDefault="001F7421" w:rsidP="00A65E0D">
            <w:pPr>
              <w:ind w:right="-197"/>
              <w:rPr>
                <w:rFonts w:ascii="Calibri" w:hAnsi="Calibri" w:cs="Calibri"/>
                <w:b/>
                <w:bCs/>
                <w:color w:val="000000"/>
                <w:sz w:val="22"/>
                <w:szCs w:val="22"/>
              </w:rPr>
            </w:pPr>
          </w:p>
          <w:p w:rsidR="001F7421" w:rsidRDefault="001F7421" w:rsidP="00A65E0D">
            <w:pPr>
              <w:ind w:right="-197"/>
              <w:rPr>
                <w:rFonts w:ascii="Calibri" w:hAnsi="Calibri" w:cs="Calibri"/>
                <w:b/>
                <w:bCs/>
                <w:color w:val="000000"/>
                <w:sz w:val="22"/>
                <w:szCs w:val="22"/>
              </w:rPr>
            </w:pPr>
          </w:p>
          <w:p w:rsidR="00A65E0D" w:rsidRPr="00A65E0D" w:rsidRDefault="00A65E0D" w:rsidP="00A65E0D">
            <w:pPr>
              <w:ind w:right="-197"/>
              <w:rPr>
                <w:rFonts w:ascii="Calibri" w:hAnsi="Calibri" w:cs="Calibri"/>
                <w:b/>
                <w:bCs/>
                <w:color w:val="000000"/>
                <w:sz w:val="22"/>
                <w:szCs w:val="22"/>
              </w:rPr>
            </w:pPr>
            <w:r w:rsidRPr="00A65E0D">
              <w:rPr>
                <w:rFonts w:ascii="Calibri" w:hAnsi="Calibri" w:cs="Calibri"/>
                <w:b/>
                <w:bCs/>
                <w:color w:val="000000"/>
                <w:sz w:val="22"/>
                <w:szCs w:val="22"/>
              </w:rPr>
              <w:t xml:space="preserve">Summary of financial outturn 31 March </w:t>
            </w:r>
            <w:r>
              <w:rPr>
                <w:rFonts w:ascii="Calibri" w:hAnsi="Calibri" w:cs="Calibri"/>
                <w:b/>
                <w:bCs/>
                <w:color w:val="000000"/>
                <w:sz w:val="22"/>
                <w:szCs w:val="22"/>
              </w:rPr>
              <w:t>2</w:t>
            </w:r>
            <w:r w:rsidRPr="00A65E0D">
              <w:rPr>
                <w:rFonts w:ascii="Calibri" w:hAnsi="Calibri" w:cs="Calibri"/>
                <w:b/>
                <w:bCs/>
                <w:color w:val="000000"/>
                <w:sz w:val="22"/>
                <w:szCs w:val="22"/>
              </w:rPr>
              <w:t>015</w:t>
            </w:r>
          </w:p>
        </w:tc>
        <w:tc>
          <w:tcPr>
            <w:tcW w:w="1085" w:type="dxa"/>
            <w:tcBorders>
              <w:top w:val="nil"/>
              <w:left w:val="nil"/>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p>
        </w:tc>
      </w:tr>
      <w:tr w:rsidR="00A65E0D" w:rsidRPr="00A65E0D" w:rsidTr="00262B57">
        <w:trPr>
          <w:trHeight w:val="360"/>
        </w:trPr>
        <w:tc>
          <w:tcPr>
            <w:tcW w:w="265" w:type="dxa"/>
            <w:tcBorders>
              <w:top w:val="nil"/>
              <w:left w:val="nil"/>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p>
        </w:tc>
        <w:tc>
          <w:tcPr>
            <w:tcW w:w="4041" w:type="dxa"/>
            <w:tcBorders>
              <w:top w:val="nil"/>
              <w:left w:val="nil"/>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p>
        </w:tc>
      </w:tr>
      <w:tr w:rsidR="00A65E0D" w:rsidRPr="00A65E0D" w:rsidTr="00262B57">
        <w:trPr>
          <w:trHeight w:val="1065"/>
        </w:trPr>
        <w:tc>
          <w:tcPr>
            <w:tcW w:w="265" w:type="dxa"/>
            <w:tcBorders>
              <w:top w:val="single" w:sz="4" w:space="0" w:color="auto"/>
              <w:left w:val="single" w:sz="4" w:space="0" w:color="auto"/>
              <w:bottom w:val="nil"/>
              <w:right w:val="nil"/>
            </w:tcBorders>
            <w:shd w:val="clear" w:color="000000" w:fill="56008C"/>
            <w:noWrap/>
            <w:vAlign w:val="bottom"/>
            <w:hideMark/>
          </w:tcPr>
          <w:p w:rsidR="00A65E0D" w:rsidRPr="00A65E0D" w:rsidRDefault="00A65E0D" w:rsidP="00A65E0D">
            <w:pPr>
              <w:rPr>
                <w:rFonts w:ascii="Calibri" w:hAnsi="Calibri" w:cs="Calibri"/>
                <w:color w:val="FFFFFF"/>
                <w:sz w:val="22"/>
                <w:szCs w:val="22"/>
              </w:rPr>
            </w:pPr>
            <w:r w:rsidRPr="00A65E0D">
              <w:rPr>
                <w:rFonts w:ascii="Calibri" w:hAnsi="Calibri" w:cs="Calibri"/>
                <w:color w:val="FFFFFF"/>
                <w:sz w:val="22"/>
                <w:szCs w:val="22"/>
              </w:rPr>
              <w:t> </w:t>
            </w:r>
          </w:p>
        </w:tc>
        <w:tc>
          <w:tcPr>
            <w:tcW w:w="4041" w:type="dxa"/>
            <w:vMerge w:val="restart"/>
            <w:tcBorders>
              <w:top w:val="single" w:sz="4" w:space="0" w:color="auto"/>
              <w:left w:val="nil"/>
              <w:bottom w:val="nil"/>
              <w:right w:val="nil"/>
            </w:tcBorders>
            <w:shd w:val="clear" w:color="000000" w:fill="56008C"/>
            <w:noWrap/>
            <w:vAlign w:val="bottom"/>
            <w:hideMark/>
          </w:tcPr>
          <w:p w:rsidR="00A65E0D" w:rsidRPr="00A65E0D" w:rsidRDefault="00A65E0D" w:rsidP="00A65E0D">
            <w:pPr>
              <w:rPr>
                <w:rFonts w:ascii="Calibri" w:hAnsi="Calibri" w:cs="Calibri"/>
                <w:b/>
                <w:bCs/>
                <w:color w:val="FFFFFF"/>
                <w:sz w:val="22"/>
                <w:szCs w:val="22"/>
              </w:rPr>
            </w:pPr>
            <w:r w:rsidRPr="00A65E0D">
              <w:rPr>
                <w:rFonts w:ascii="Calibri" w:hAnsi="Calibri" w:cs="Calibri"/>
                <w:b/>
                <w:bCs/>
                <w:color w:val="FFFFFF"/>
                <w:sz w:val="22"/>
                <w:szCs w:val="22"/>
              </w:rPr>
              <w:t>Description</w:t>
            </w:r>
          </w:p>
        </w:tc>
        <w:tc>
          <w:tcPr>
            <w:tcW w:w="1085" w:type="dxa"/>
            <w:vMerge w:val="restart"/>
            <w:tcBorders>
              <w:top w:val="single" w:sz="4" w:space="0" w:color="auto"/>
              <w:left w:val="nil"/>
              <w:bottom w:val="nil"/>
              <w:right w:val="nil"/>
            </w:tcBorders>
            <w:shd w:val="clear" w:color="000000" w:fill="56008C"/>
            <w:vAlign w:val="bottom"/>
            <w:hideMark/>
          </w:tcPr>
          <w:p w:rsidR="00A65E0D" w:rsidRPr="00A65E0D" w:rsidRDefault="00A65E0D" w:rsidP="00A65E0D">
            <w:pPr>
              <w:jc w:val="center"/>
              <w:rPr>
                <w:rFonts w:ascii="Calibri" w:hAnsi="Calibri" w:cs="Calibri"/>
                <w:b/>
                <w:bCs/>
                <w:color w:val="FFFFFF"/>
                <w:sz w:val="22"/>
                <w:szCs w:val="22"/>
              </w:rPr>
            </w:pPr>
            <w:r w:rsidRPr="00A65E0D">
              <w:rPr>
                <w:rFonts w:ascii="Calibri" w:hAnsi="Calibri" w:cs="Calibri"/>
                <w:b/>
                <w:bCs/>
                <w:color w:val="FFFFFF"/>
                <w:sz w:val="22"/>
                <w:szCs w:val="22"/>
              </w:rPr>
              <w:t>Initial Annual Budget</w:t>
            </w:r>
          </w:p>
        </w:tc>
        <w:tc>
          <w:tcPr>
            <w:tcW w:w="1263" w:type="dxa"/>
            <w:tcBorders>
              <w:top w:val="single" w:sz="4" w:space="0" w:color="auto"/>
              <w:left w:val="nil"/>
              <w:bottom w:val="nil"/>
              <w:right w:val="nil"/>
            </w:tcBorders>
            <w:shd w:val="clear" w:color="000000" w:fill="56008C"/>
            <w:vAlign w:val="bottom"/>
            <w:hideMark/>
          </w:tcPr>
          <w:p w:rsidR="00A65E0D" w:rsidRPr="00A65E0D" w:rsidRDefault="00A65E0D" w:rsidP="00A65E0D">
            <w:pPr>
              <w:jc w:val="center"/>
              <w:rPr>
                <w:rFonts w:ascii="Calibri" w:hAnsi="Calibri" w:cs="Calibri"/>
                <w:b/>
                <w:bCs/>
                <w:color w:val="FFFFFF"/>
                <w:sz w:val="22"/>
                <w:szCs w:val="22"/>
              </w:rPr>
            </w:pPr>
            <w:r w:rsidRPr="00A65E0D">
              <w:rPr>
                <w:rFonts w:ascii="Calibri" w:hAnsi="Calibri" w:cs="Calibri"/>
                <w:b/>
                <w:bCs/>
                <w:color w:val="FFFFFF"/>
                <w:sz w:val="22"/>
                <w:szCs w:val="22"/>
              </w:rPr>
              <w:t>Budget for period to</w:t>
            </w:r>
          </w:p>
        </w:tc>
        <w:tc>
          <w:tcPr>
            <w:tcW w:w="1480" w:type="dxa"/>
            <w:tcBorders>
              <w:top w:val="single" w:sz="4" w:space="0" w:color="auto"/>
              <w:left w:val="nil"/>
              <w:bottom w:val="nil"/>
              <w:right w:val="nil"/>
            </w:tcBorders>
            <w:shd w:val="clear" w:color="000000" w:fill="56008C"/>
            <w:vAlign w:val="bottom"/>
            <w:hideMark/>
          </w:tcPr>
          <w:p w:rsidR="00A65E0D" w:rsidRPr="00A65E0D" w:rsidRDefault="00A65E0D" w:rsidP="00A65E0D">
            <w:pPr>
              <w:jc w:val="center"/>
              <w:rPr>
                <w:rFonts w:ascii="Calibri" w:hAnsi="Calibri" w:cs="Calibri"/>
                <w:b/>
                <w:bCs/>
                <w:color w:val="FFFFFF"/>
                <w:sz w:val="22"/>
                <w:szCs w:val="22"/>
              </w:rPr>
            </w:pPr>
            <w:r w:rsidRPr="00A65E0D">
              <w:rPr>
                <w:rFonts w:ascii="Calibri" w:hAnsi="Calibri" w:cs="Calibri"/>
                <w:b/>
                <w:bCs/>
                <w:color w:val="FFFFFF"/>
                <w:sz w:val="22"/>
                <w:szCs w:val="22"/>
              </w:rPr>
              <w:t xml:space="preserve">Outturn as at </w:t>
            </w:r>
          </w:p>
        </w:tc>
        <w:tc>
          <w:tcPr>
            <w:tcW w:w="1045" w:type="dxa"/>
            <w:vMerge w:val="restart"/>
            <w:tcBorders>
              <w:top w:val="single" w:sz="4" w:space="0" w:color="auto"/>
              <w:left w:val="nil"/>
              <w:bottom w:val="nil"/>
              <w:right w:val="single" w:sz="4" w:space="0" w:color="auto"/>
            </w:tcBorders>
            <w:shd w:val="clear" w:color="000000" w:fill="56008C"/>
            <w:vAlign w:val="bottom"/>
            <w:hideMark/>
          </w:tcPr>
          <w:p w:rsidR="00A65E0D" w:rsidRPr="00A65E0D" w:rsidRDefault="00A65E0D" w:rsidP="00A65E0D">
            <w:pPr>
              <w:jc w:val="center"/>
              <w:rPr>
                <w:rFonts w:ascii="Calibri" w:hAnsi="Calibri" w:cs="Calibri"/>
                <w:b/>
                <w:bCs/>
                <w:color w:val="FFFFFF"/>
                <w:sz w:val="22"/>
                <w:szCs w:val="22"/>
              </w:rPr>
            </w:pPr>
            <w:r w:rsidRPr="00A65E0D">
              <w:rPr>
                <w:rFonts w:ascii="Calibri" w:hAnsi="Calibri" w:cs="Calibri"/>
                <w:b/>
                <w:bCs/>
                <w:color w:val="FFFFFF"/>
                <w:sz w:val="22"/>
                <w:szCs w:val="22"/>
              </w:rPr>
              <w:t>Variance</w:t>
            </w:r>
          </w:p>
        </w:tc>
      </w:tr>
      <w:tr w:rsidR="00A65E0D" w:rsidRPr="00A65E0D" w:rsidTr="00262B57">
        <w:trPr>
          <w:trHeight w:val="510"/>
        </w:trPr>
        <w:tc>
          <w:tcPr>
            <w:tcW w:w="265" w:type="dxa"/>
            <w:tcBorders>
              <w:top w:val="nil"/>
              <w:left w:val="single" w:sz="4" w:space="0" w:color="auto"/>
              <w:bottom w:val="nil"/>
              <w:right w:val="nil"/>
            </w:tcBorders>
            <w:shd w:val="clear" w:color="000000" w:fill="56008C"/>
            <w:noWrap/>
            <w:vAlign w:val="bottom"/>
            <w:hideMark/>
          </w:tcPr>
          <w:p w:rsidR="00A65E0D" w:rsidRPr="00A65E0D" w:rsidRDefault="00A65E0D" w:rsidP="00A65E0D">
            <w:pPr>
              <w:rPr>
                <w:rFonts w:ascii="Calibri" w:hAnsi="Calibri" w:cs="Calibri"/>
                <w:color w:val="FFFFFF"/>
                <w:sz w:val="22"/>
                <w:szCs w:val="22"/>
              </w:rPr>
            </w:pPr>
            <w:r w:rsidRPr="00A65E0D">
              <w:rPr>
                <w:rFonts w:ascii="Calibri" w:hAnsi="Calibri" w:cs="Calibri"/>
                <w:color w:val="FFFFFF"/>
                <w:sz w:val="22"/>
                <w:szCs w:val="22"/>
              </w:rPr>
              <w:t> </w:t>
            </w:r>
          </w:p>
        </w:tc>
        <w:tc>
          <w:tcPr>
            <w:tcW w:w="4041" w:type="dxa"/>
            <w:vMerge/>
            <w:tcBorders>
              <w:top w:val="single" w:sz="4" w:space="0" w:color="auto"/>
              <w:left w:val="nil"/>
              <w:bottom w:val="nil"/>
              <w:right w:val="nil"/>
            </w:tcBorders>
            <w:vAlign w:val="center"/>
            <w:hideMark/>
          </w:tcPr>
          <w:p w:rsidR="00A65E0D" w:rsidRPr="00A65E0D" w:rsidRDefault="00A65E0D" w:rsidP="00A65E0D">
            <w:pPr>
              <w:rPr>
                <w:rFonts w:ascii="Calibri" w:hAnsi="Calibri" w:cs="Calibri"/>
                <w:b/>
                <w:bCs/>
                <w:color w:val="FFFFFF"/>
                <w:sz w:val="22"/>
                <w:szCs w:val="22"/>
              </w:rPr>
            </w:pPr>
          </w:p>
        </w:tc>
        <w:tc>
          <w:tcPr>
            <w:tcW w:w="1085" w:type="dxa"/>
            <w:vMerge/>
            <w:tcBorders>
              <w:top w:val="single" w:sz="4" w:space="0" w:color="auto"/>
              <w:left w:val="nil"/>
              <w:bottom w:val="nil"/>
              <w:right w:val="nil"/>
            </w:tcBorders>
            <w:vAlign w:val="center"/>
            <w:hideMark/>
          </w:tcPr>
          <w:p w:rsidR="00A65E0D" w:rsidRPr="00A65E0D" w:rsidRDefault="00A65E0D" w:rsidP="00A65E0D">
            <w:pPr>
              <w:rPr>
                <w:rFonts w:ascii="Calibri" w:hAnsi="Calibri" w:cs="Calibri"/>
                <w:b/>
                <w:bCs/>
                <w:color w:val="FFFFFF"/>
                <w:sz w:val="22"/>
                <w:szCs w:val="22"/>
              </w:rPr>
            </w:pPr>
          </w:p>
        </w:tc>
        <w:tc>
          <w:tcPr>
            <w:tcW w:w="1263" w:type="dxa"/>
            <w:tcBorders>
              <w:top w:val="nil"/>
              <w:left w:val="nil"/>
              <w:bottom w:val="nil"/>
              <w:right w:val="nil"/>
            </w:tcBorders>
            <w:shd w:val="clear" w:color="000000" w:fill="56008C"/>
            <w:vAlign w:val="bottom"/>
            <w:hideMark/>
          </w:tcPr>
          <w:p w:rsidR="00A65E0D" w:rsidRPr="00A65E0D" w:rsidRDefault="00A65E0D" w:rsidP="00A65E0D">
            <w:pPr>
              <w:jc w:val="center"/>
              <w:rPr>
                <w:rFonts w:ascii="Calibri" w:hAnsi="Calibri" w:cs="Calibri"/>
                <w:b/>
                <w:bCs/>
                <w:color w:val="FFFFFF"/>
                <w:sz w:val="22"/>
                <w:szCs w:val="22"/>
              </w:rPr>
            </w:pPr>
            <w:r w:rsidRPr="00A65E0D">
              <w:rPr>
                <w:rFonts w:ascii="Calibri" w:hAnsi="Calibri" w:cs="Calibri"/>
                <w:b/>
                <w:bCs/>
                <w:color w:val="FFFFFF"/>
                <w:sz w:val="22"/>
                <w:szCs w:val="22"/>
              </w:rPr>
              <w:t>31 March 2015</w:t>
            </w:r>
          </w:p>
        </w:tc>
        <w:tc>
          <w:tcPr>
            <w:tcW w:w="1480" w:type="dxa"/>
            <w:tcBorders>
              <w:top w:val="nil"/>
              <w:left w:val="nil"/>
              <w:bottom w:val="nil"/>
              <w:right w:val="nil"/>
            </w:tcBorders>
            <w:shd w:val="clear" w:color="000000" w:fill="56008C"/>
            <w:vAlign w:val="bottom"/>
            <w:hideMark/>
          </w:tcPr>
          <w:p w:rsidR="00A65E0D" w:rsidRPr="00A65E0D" w:rsidRDefault="00A65E0D" w:rsidP="00A65E0D">
            <w:pPr>
              <w:jc w:val="center"/>
              <w:rPr>
                <w:rFonts w:ascii="Calibri" w:hAnsi="Calibri" w:cs="Calibri"/>
                <w:b/>
                <w:bCs/>
                <w:color w:val="FFFFFF"/>
                <w:sz w:val="22"/>
                <w:szCs w:val="22"/>
              </w:rPr>
            </w:pPr>
            <w:r w:rsidRPr="00A65E0D">
              <w:rPr>
                <w:rFonts w:ascii="Calibri" w:hAnsi="Calibri" w:cs="Calibri"/>
                <w:b/>
                <w:bCs/>
                <w:color w:val="FFFFFF"/>
                <w:sz w:val="22"/>
                <w:szCs w:val="22"/>
              </w:rPr>
              <w:t>31 March 2015</w:t>
            </w:r>
          </w:p>
        </w:tc>
        <w:tc>
          <w:tcPr>
            <w:tcW w:w="1045" w:type="dxa"/>
            <w:vMerge/>
            <w:tcBorders>
              <w:top w:val="single" w:sz="4" w:space="0" w:color="auto"/>
              <w:left w:val="nil"/>
              <w:bottom w:val="nil"/>
              <w:right w:val="single" w:sz="4" w:space="0" w:color="auto"/>
            </w:tcBorders>
            <w:vAlign w:val="center"/>
            <w:hideMark/>
          </w:tcPr>
          <w:p w:rsidR="00A65E0D" w:rsidRPr="00A65E0D" w:rsidRDefault="00A65E0D" w:rsidP="00A65E0D">
            <w:pPr>
              <w:rPr>
                <w:rFonts w:ascii="Calibri" w:hAnsi="Calibri" w:cs="Calibri"/>
                <w:b/>
                <w:bCs/>
                <w:color w:val="FFFFFF"/>
                <w:sz w:val="22"/>
                <w:szCs w:val="22"/>
              </w:rPr>
            </w:pPr>
          </w:p>
        </w:tc>
      </w:tr>
      <w:tr w:rsidR="00A65E0D" w:rsidRPr="00A65E0D" w:rsidTr="00262B57">
        <w:trPr>
          <w:trHeight w:val="300"/>
        </w:trPr>
        <w:tc>
          <w:tcPr>
            <w:tcW w:w="265" w:type="dxa"/>
            <w:tcBorders>
              <w:top w:val="nil"/>
              <w:left w:val="single" w:sz="4" w:space="0" w:color="auto"/>
              <w:bottom w:val="nil"/>
              <w:right w:val="nil"/>
            </w:tcBorders>
            <w:shd w:val="clear" w:color="000000" w:fill="56008C"/>
            <w:noWrap/>
            <w:vAlign w:val="bottom"/>
            <w:hideMark/>
          </w:tcPr>
          <w:p w:rsidR="00A65E0D" w:rsidRPr="00A65E0D" w:rsidRDefault="00A65E0D" w:rsidP="00A65E0D">
            <w:pPr>
              <w:rPr>
                <w:rFonts w:ascii="Calibri" w:hAnsi="Calibri" w:cs="Calibri"/>
                <w:color w:val="FFFFFF"/>
                <w:sz w:val="22"/>
                <w:szCs w:val="22"/>
              </w:rPr>
            </w:pPr>
            <w:r w:rsidRPr="00A65E0D">
              <w:rPr>
                <w:rFonts w:ascii="Calibri" w:hAnsi="Calibri" w:cs="Calibri"/>
                <w:color w:val="FFFFFF"/>
                <w:sz w:val="22"/>
                <w:szCs w:val="22"/>
              </w:rPr>
              <w:t> </w:t>
            </w:r>
          </w:p>
        </w:tc>
        <w:tc>
          <w:tcPr>
            <w:tcW w:w="4041" w:type="dxa"/>
            <w:tcBorders>
              <w:top w:val="nil"/>
              <w:left w:val="nil"/>
              <w:bottom w:val="nil"/>
              <w:right w:val="nil"/>
            </w:tcBorders>
            <w:shd w:val="clear" w:color="000000" w:fill="56008C"/>
            <w:noWrap/>
            <w:vAlign w:val="bottom"/>
            <w:hideMark/>
          </w:tcPr>
          <w:p w:rsidR="00A65E0D" w:rsidRPr="00A65E0D" w:rsidRDefault="00A65E0D" w:rsidP="00A65E0D">
            <w:pPr>
              <w:rPr>
                <w:rFonts w:ascii="Calibri" w:hAnsi="Calibri" w:cs="Calibri"/>
                <w:b/>
                <w:bCs/>
                <w:color w:val="FFFFFF"/>
                <w:sz w:val="22"/>
                <w:szCs w:val="22"/>
              </w:rPr>
            </w:pPr>
            <w:r w:rsidRPr="00A65E0D">
              <w:rPr>
                <w:rFonts w:ascii="Calibri" w:hAnsi="Calibri" w:cs="Calibri"/>
                <w:b/>
                <w:bCs/>
                <w:color w:val="FFFFFF"/>
                <w:sz w:val="22"/>
                <w:szCs w:val="22"/>
              </w:rPr>
              <w:t> </w:t>
            </w:r>
          </w:p>
        </w:tc>
        <w:tc>
          <w:tcPr>
            <w:tcW w:w="1085" w:type="dxa"/>
            <w:tcBorders>
              <w:top w:val="nil"/>
              <w:left w:val="nil"/>
              <w:bottom w:val="nil"/>
              <w:right w:val="nil"/>
            </w:tcBorders>
            <w:shd w:val="clear" w:color="000000" w:fill="56008C"/>
            <w:noWrap/>
            <w:vAlign w:val="bottom"/>
            <w:hideMark/>
          </w:tcPr>
          <w:p w:rsidR="00A65E0D" w:rsidRPr="00A65E0D" w:rsidRDefault="00A65E0D" w:rsidP="00A65E0D">
            <w:pPr>
              <w:jc w:val="center"/>
              <w:rPr>
                <w:rFonts w:ascii="Calibri" w:hAnsi="Calibri" w:cs="Calibri"/>
                <w:b/>
                <w:bCs/>
                <w:color w:val="FFFFFF"/>
                <w:sz w:val="22"/>
                <w:szCs w:val="22"/>
              </w:rPr>
            </w:pPr>
            <w:r w:rsidRPr="00A65E0D">
              <w:rPr>
                <w:rFonts w:ascii="Calibri" w:hAnsi="Calibri" w:cs="Calibri"/>
                <w:b/>
                <w:bCs/>
                <w:color w:val="FFFFFF"/>
                <w:sz w:val="22"/>
                <w:szCs w:val="22"/>
              </w:rPr>
              <w:t>(£'000)</w:t>
            </w:r>
          </w:p>
        </w:tc>
        <w:tc>
          <w:tcPr>
            <w:tcW w:w="1263" w:type="dxa"/>
            <w:tcBorders>
              <w:top w:val="nil"/>
              <w:left w:val="nil"/>
              <w:bottom w:val="nil"/>
              <w:right w:val="nil"/>
            </w:tcBorders>
            <w:shd w:val="clear" w:color="000000" w:fill="56008C"/>
            <w:noWrap/>
            <w:vAlign w:val="bottom"/>
            <w:hideMark/>
          </w:tcPr>
          <w:p w:rsidR="00A65E0D" w:rsidRPr="00A65E0D" w:rsidRDefault="00A65E0D" w:rsidP="00A65E0D">
            <w:pPr>
              <w:jc w:val="center"/>
              <w:rPr>
                <w:rFonts w:ascii="Calibri" w:hAnsi="Calibri" w:cs="Calibri"/>
                <w:b/>
                <w:bCs/>
                <w:color w:val="FFFFFF"/>
                <w:sz w:val="22"/>
                <w:szCs w:val="22"/>
              </w:rPr>
            </w:pPr>
            <w:r w:rsidRPr="00A65E0D">
              <w:rPr>
                <w:rFonts w:ascii="Calibri" w:hAnsi="Calibri" w:cs="Calibri"/>
                <w:b/>
                <w:bCs/>
                <w:color w:val="FFFFFF"/>
                <w:sz w:val="22"/>
                <w:szCs w:val="22"/>
              </w:rPr>
              <w:t>(£'000)</w:t>
            </w:r>
          </w:p>
        </w:tc>
        <w:tc>
          <w:tcPr>
            <w:tcW w:w="1480" w:type="dxa"/>
            <w:tcBorders>
              <w:top w:val="nil"/>
              <w:left w:val="nil"/>
              <w:bottom w:val="nil"/>
              <w:right w:val="nil"/>
            </w:tcBorders>
            <w:shd w:val="clear" w:color="000000" w:fill="56008C"/>
            <w:noWrap/>
            <w:vAlign w:val="bottom"/>
            <w:hideMark/>
          </w:tcPr>
          <w:p w:rsidR="00A65E0D" w:rsidRPr="00A65E0D" w:rsidRDefault="00A65E0D" w:rsidP="00A65E0D">
            <w:pPr>
              <w:jc w:val="center"/>
              <w:rPr>
                <w:rFonts w:ascii="Calibri" w:hAnsi="Calibri" w:cs="Calibri"/>
                <w:b/>
                <w:bCs/>
                <w:color w:val="FFFFFF"/>
                <w:sz w:val="22"/>
                <w:szCs w:val="22"/>
              </w:rPr>
            </w:pPr>
            <w:r w:rsidRPr="00A65E0D">
              <w:rPr>
                <w:rFonts w:ascii="Calibri" w:hAnsi="Calibri" w:cs="Calibri"/>
                <w:b/>
                <w:bCs/>
                <w:color w:val="FFFFFF"/>
                <w:sz w:val="22"/>
                <w:szCs w:val="22"/>
              </w:rPr>
              <w:t>(£'000)</w:t>
            </w:r>
          </w:p>
        </w:tc>
        <w:tc>
          <w:tcPr>
            <w:tcW w:w="1045" w:type="dxa"/>
            <w:tcBorders>
              <w:top w:val="nil"/>
              <w:left w:val="nil"/>
              <w:bottom w:val="nil"/>
              <w:right w:val="single" w:sz="4" w:space="0" w:color="auto"/>
            </w:tcBorders>
            <w:shd w:val="clear" w:color="000000" w:fill="56008C"/>
            <w:noWrap/>
            <w:vAlign w:val="bottom"/>
            <w:hideMark/>
          </w:tcPr>
          <w:p w:rsidR="00A65E0D" w:rsidRPr="00A65E0D" w:rsidRDefault="00A65E0D" w:rsidP="00A65E0D">
            <w:pPr>
              <w:jc w:val="center"/>
              <w:rPr>
                <w:rFonts w:ascii="Calibri" w:hAnsi="Calibri" w:cs="Calibri"/>
                <w:b/>
                <w:bCs/>
                <w:color w:val="FFFFFF"/>
                <w:sz w:val="22"/>
                <w:szCs w:val="22"/>
              </w:rPr>
            </w:pPr>
            <w:r w:rsidRPr="00A65E0D">
              <w:rPr>
                <w:rFonts w:ascii="Calibri" w:hAnsi="Calibri" w:cs="Calibri"/>
                <w:b/>
                <w:bCs/>
                <w:color w:val="FFFFFF"/>
                <w:sz w:val="22"/>
                <w:szCs w:val="22"/>
              </w:rPr>
              <w:t>(£'000)</w:t>
            </w:r>
          </w:p>
        </w:tc>
      </w:tr>
      <w:tr w:rsidR="00A65E0D" w:rsidRPr="00A65E0D" w:rsidTr="00262B57">
        <w:trPr>
          <w:trHeight w:val="300"/>
        </w:trPr>
        <w:tc>
          <w:tcPr>
            <w:tcW w:w="4306" w:type="dxa"/>
            <w:gridSpan w:val="2"/>
            <w:tcBorders>
              <w:top w:val="nil"/>
              <w:left w:val="single" w:sz="4" w:space="0" w:color="auto"/>
              <w:bottom w:val="nil"/>
              <w:right w:val="nil"/>
            </w:tcBorders>
            <w:shd w:val="clear" w:color="auto" w:fill="auto"/>
            <w:noWrap/>
            <w:vAlign w:val="bottom"/>
            <w:hideMark/>
          </w:tcPr>
          <w:p w:rsidR="00A65E0D" w:rsidRPr="00A65E0D" w:rsidRDefault="00A65E0D" w:rsidP="00A65E0D">
            <w:pPr>
              <w:rPr>
                <w:rFonts w:ascii="Calibri" w:hAnsi="Calibri" w:cs="Calibri"/>
                <w:b/>
                <w:bCs/>
                <w:color w:val="000000"/>
                <w:sz w:val="22"/>
                <w:szCs w:val="22"/>
              </w:rPr>
            </w:pPr>
            <w:r w:rsidRPr="00A65E0D">
              <w:rPr>
                <w:rFonts w:ascii="Calibri" w:hAnsi="Calibri" w:cs="Calibri"/>
                <w:b/>
                <w:bCs/>
                <w:color w:val="000000"/>
                <w:sz w:val="22"/>
                <w:szCs w:val="22"/>
              </w:rPr>
              <w:t>Income</w:t>
            </w:r>
          </w:p>
        </w:tc>
        <w:tc>
          <w:tcPr>
            <w:tcW w:w="1085" w:type="dxa"/>
            <w:tcBorders>
              <w:top w:val="nil"/>
              <w:left w:val="nil"/>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p>
        </w:tc>
        <w:tc>
          <w:tcPr>
            <w:tcW w:w="1045" w:type="dxa"/>
            <w:tcBorders>
              <w:top w:val="nil"/>
              <w:left w:val="nil"/>
              <w:bottom w:val="nil"/>
              <w:right w:val="single" w:sz="4" w:space="0" w:color="auto"/>
            </w:tcBorders>
            <w:shd w:val="clear" w:color="auto" w:fill="auto"/>
            <w:noWrap/>
            <w:vAlign w:val="bottom"/>
            <w:hideMark/>
          </w:tcPr>
          <w:p w:rsidR="00A65E0D" w:rsidRPr="00A65E0D" w:rsidRDefault="00A65E0D" w:rsidP="00A65E0D">
            <w:pPr>
              <w:rPr>
                <w:rFonts w:ascii="Calibri" w:hAnsi="Calibri" w:cs="Calibri"/>
                <w:color w:val="000000"/>
                <w:sz w:val="22"/>
                <w:szCs w:val="22"/>
              </w:rPr>
            </w:pPr>
            <w:r w:rsidRPr="00A65E0D">
              <w:rPr>
                <w:rFonts w:ascii="Calibri" w:hAnsi="Calibri" w:cs="Calibri"/>
                <w:color w:val="000000"/>
                <w:sz w:val="22"/>
                <w:szCs w:val="22"/>
              </w:rPr>
              <w:t> </w:t>
            </w:r>
          </w:p>
        </w:tc>
      </w:tr>
      <w:tr w:rsidR="00A65E0D" w:rsidRPr="00A65E0D" w:rsidTr="00262B57">
        <w:trPr>
          <w:trHeight w:val="300"/>
        </w:trPr>
        <w:tc>
          <w:tcPr>
            <w:tcW w:w="265" w:type="dxa"/>
            <w:tcBorders>
              <w:top w:val="nil"/>
              <w:left w:val="single" w:sz="4" w:space="0" w:color="auto"/>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r w:rsidRPr="00A65E0D">
              <w:rPr>
                <w:rFonts w:ascii="Calibri" w:hAnsi="Calibri" w:cs="Calibri"/>
                <w:color w:val="000000"/>
                <w:sz w:val="22"/>
                <w:szCs w:val="22"/>
              </w:rPr>
              <w:t> </w:t>
            </w:r>
          </w:p>
        </w:tc>
        <w:tc>
          <w:tcPr>
            <w:tcW w:w="4041" w:type="dxa"/>
            <w:tcBorders>
              <w:top w:val="nil"/>
              <w:left w:val="nil"/>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r w:rsidRPr="00A65E0D">
              <w:rPr>
                <w:rFonts w:ascii="Calibri" w:hAnsi="Calibri" w:cs="Calibri"/>
                <w:color w:val="000000"/>
                <w:sz w:val="22"/>
                <w:szCs w:val="22"/>
              </w:rPr>
              <w:t>HRA income</w:t>
            </w:r>
          </w:p>
        </w:tc>
        <w:tc>
          <w:tcPr>
            <w:tcW w:w="1085"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240</w:t>
            </w:r>
          </w:p>
        </w:tc>
        <w:tc>
          <w:tcPr>
            <w:tcW w:w="1263"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313</w:t>
            </w:r>
          </w:p>
        </w:tc>
        <w:tc>
          <w:tcPr>
            <w:tcW w:w="1480"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327</w:t>
            </w:r>
          </w:p>
        </w:tc>
        <w:tc>
          <w:tcPr>
            <w:tcW w:w="1045" w:type="dxa"/>
            <w:tcBorders>
              <w:top w:val="nil"/>
              <w:left w:val="nil"/>
              <w:bottom w:val="nil"/>
              <w:right w:val="single" w:sz="4" w:space="0" w:color="auto"/>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14</w:t>
            </w:r>
          </w:p>
        </w:tc>
      </w:tr>
      <w:tr w:rsidR="00A65E0D" w:rsidRPr="00A65E0D" w:rsidTr="00262B57">
        <w:trPr>
          <w:trHeight w:val="300"/>
        </w:trPr>
        <w:tc>
          <w:tcPr>
            <w:tcW w:w="265" w:type="dxa"/>
            <w:tcBorders>
              <w:top w:val="nil"/>
              <w:left w:val="single" w:sz="4" w:space="0" w:color="auto"/>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r w:rsidRPr="00A65E0D">
              <w:rPr>
                <w:rFonts w:ascii="Calibri" w:hAnsi="Calibri" w:cs="Calibri"/>
                <w:color w:val="000000"/>
                <w:sz w:val="22"/>
                <w:szCs w:val="22"/>
              </w:rPr>
              <w:t> </w:t>
            </w:r>
          </w:p>
        </w:tc>
        <w:tc>
          <w:tcPr>
            <w:tcW w:w="4041" w:type="dxa"/>
            <w:tcBorders>
              <w:top w:val="nil"/>
              <w:left w:val="nil"/>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r w:rsidRPr="00A65E0D">
              <w:rPr>
                <w:rFonts w:ascii="Calibri" w:hAnsi="Calibri" w:cs="Calibri"/>
                <w:color w:val="000000"/>
                <w:sz w:val="22"/>
                <w:szCs w:val="22"/>
              </w:rPr>
              <w:t>Grant in aid</w:t>
            </w:r>
          </w:p>
        </w:tc>
        <w:tc>
          <w:tcPr>
            <w:tcW w:w="1085"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13444</w:t>
            </w:r>
          </w:p>
        </w:tc>
        <w:tc>
          <w:tcPr>
            <w:tcW w:w="1263"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13444</w:t>
            </w:r>
          </w:p>
        </w:tc>
        <w:tc>
          <w:tcPr>
            <w:tcW w:w="1480"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10343</w:t>
            </w:r>
          </w:p>
        </w:tc>
        <w:tc>
          <w:tcPr>
            <w:tcW w:w="1045" w:type="dxa"/>
            <w:tcBorders>
              <w:top w:val="nil"/>
              <w:left w:val="nil"/>
              <w:bottom w:val="nil"/>
              <w:right w:val="single" w:sz="4" w:space="0" w:color="auto"/>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-3101</w:t>
            </w:r>
          </w:p>
        </w:tc>
      </w:tr>
      <w:tr w:rsidR="00A65E0D" w:rsidRPr="00A65E0D" w:rsidTr="00262B57">
        <w:trPr>
          <w:trHeight w:val="300"/>
        </w:trPr>
        <w:tc>
          <w:tcPr>
            <w:tcW w:w="265" w:type="dxa"/>
            <w:tcBorders>
              <w:top w:val="nil"/>
              <w:left w:val="single" w:sz="4" w:space="0" w:color="auto"/>
              <w:bottom w:val="nil"/>
              <w:right w:val="nil"/>
            </w:tcBorders>
            <w:shd w:val="clear" w:color="auto" w:fill="auto"/>
            <w:noWrap/>
            <w:vAlign w:val="bottom"/>
            <w:hideMark/>
          </w:tcPr>
          <w:p w:rsidR="00A65E0D" w:rsidRPr="00A65E0D" w:rsidRDefault="00A65E0D" w:rsidP="00A65E0D">
            <w:pPr>
              <w:rPr>
                <w:rFonts w:ascii="Calibri" w:hAnsi="Calibri" w:cs="Calibri"/>
                <w:b/>
                <w:bCs/>
                <w:color w:val="000000"/>
                <w:sz w:val="22"/>
                <w:szCs w:val="22"/>
              </w:rPr>
            </w:pPr>
            <w:r w:rsidRPr="00A65E0D">
              <w:rPr>
                <w:rFonts w:ascii="Calibri" w:hAnsi="Calibri" w:cs="Calibri"/>
                <w:b/>
                <w:bCs/>
                <w:color w:val="000000"/>
                <w:sz w:val="22"/>
                <w:szCs w:val="22"/>
              </w:rPr>
              <w:t> </w:t>
            </w:r>
          </w:p>
        </w:tc>
        <w:tc>
          <w:tcPr>
            <w:tcW w:w="4041" w:type="dxa"/>
            <w:tcBorders>
              <w:top w:val="nil"/>
              <w:left w:val="nil"/>
              <w:bottom w:val="nil"/>
              <w:right w:val="nil"/>
            </w:tcBorders>
            <w:shd w:val="clear" w:color="auto" w:fill="auto"/>
            <w:noWrap/>
            <w:vAlign w:val="bottom"/>
            <w:hideMark/>
          </w:tcPr>
          <w:p w:rsidR="00A65E0D" w:rsidRPr="00A65E0D" w:rsidRDefault="00A65E0D" w:rsidP="00A65E0D">
            <w:pPr>
              <w:rPr>
                <w:rFonts w:ascii="Calibri" w:hAnsi="Calibri" w:cs="Calibri"/>
                <w:b/>
                <w:bCs/>
                <w:color w:val="000000"/>
                <w:sz w:val="22"/>
                <w:szCs w:val="22"/>
              </w:rPr>
            </w:pPr>
            <w:r w:rsidRPr="00A65E0D">
              <w:rPr>
                <w:rFonts w:ascii="Calibri" w:hAnsi="Calibri" w:cs="Calibri"/>
                <w:b/>
                <w:bCs/>
                <w:color w:val="000000"/>
                <w:sz w:val="22"/>
                <w:szCs w:val="22"/>
              </w:rPr>
              <w:t>Total</w:t>
            </w:r>
          </w:p>
        </w:tc>
        <w:tc>
          <w:tcPr>
            <w:tcW w:w="1085"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b/>
                <w:bCs/>
                <w:color w:val="000000"/>
                <w:sz w:val="22"/>
                <w:szCs w:val="22"/>
              </w:rPr>
            </w:pPr>
            <w:r w:rsidRPr="00A65E0D">
              <w:rPr>
                <w:rFonts w:ascii="Calibri" w:hAnsi="Calibri" w:cs="Calibri"/>
                <w:b/>
                <w:bCs/>
                <w:color w:val="000000"/>
                <w:sz w:val="22"/>
                <w:szCs w:val="22"/>
              </w:rPr>
              <w:t>13684</w:t>
            </w:r>
          </w:p>
        </w:tc>
        <w:tc>
          <w:tcPr>
            <w:tcW w:w="1263"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b/>
                <w:bCs/>
                <w:color w:val="000000"/>
                <w:sz w:val="22"/>
                <w:szCs w:val="22"/>
              </w:rPr>
            </w:pPr>
            <w:r w:rsidRPr="00A65E0D">
              <w:rPr>
                <w:rFonts w:ascii="Calibri" w:hAnsi="Calibri" w:cs="Calibri"/>
                <w:b/>
                <w:bCs/>
                <w:color w:val="000000"/>
                <w:sz w:val="22"/>
                <w:szCs w:val="22"/>
              </w:rPr>
              <w:t>13757</w:t>
            </w:r>
          </w:p>
        </w:tc>
        <w:tc>
          <w:tcPr>
            <w:tcW w:w="1480"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b/>
                <w:bCs/>
                <w:color w:val="000000"/>
                <w:sz w:val="22"/>
                <w:szCs w:val="22"/>
              </w:rPr>
            </w:pPr>
            <w:r w:rsidRPr="00A65E0D">
              <w:rPr>
                <w:rFonts w:ascii="Calibri" w:hAnsi="Calibri" w:cs="Calibri"/>
                <w:b/>
                <w:bCs/>
                <w:color w:val="000000"/>
                <w:sz w:val="22"/>
                <w:szCs w:val="22"/>
              </w:rPr>
              <w:t>10670</w:t>
            </w:r>
          </w:p>
        </w:tc>
        <w:tc>
          <w:tcPr>
            <w:tcW w:w="1045" w:type="dxa"/>
            <w:tcBorders>
              <w:top w:val="nil"/>
              <w:left w:val="nil"/>
              <w:bottom w:val="nil"/>
              <w:right w:val="single" w:sz="4" w:space="0" w:color="auto"/>
            </w:tcBorders>
            <w:shd w:val="clear" w:color="auto" w:fill="auto"/>
            <w:noWrap/>
            <w:vAlign w:val="bottom"/>
            <w:hideMark/>
          </w:tcPr>
          <w:p w:rsidR="00A65E0D" w:rsidRPr="00A65E0D" w:rsidRDefault="00A65E0D" w:rsidP="00A65E0D">
            <w:pPr>
              <w:jc w:val="right"/>
              <w:rPr>
                <w:rFonts w:ascii="Calibri" w:hAnsi="Calibri" w:cs="Calibri"/>
                <w:b/>
                <w:bCs/>
                <w:color w:val="000000"/>
                <w:sz w:val="22"/>
                <w:szCs w:val="22"/>
              </w:rPr>
            </w:pPr>
            <w:r w:rsidRPr="00A65E0D">
              <w:rPr>
                <w:rFonts w:ascii="Calibri" w:hAnsi="Calibri" w:cs="Calibri"/>
                <w:b/>
                <w:bCs/>
                <w:color w:val="000000"/>
                <w:sz w:val="22"/>
                <w:szCs w:val="22"/>
              </w:rPr>
              <w:t>-3087</w:t>
            </w:r>
          </w:p>
        </w:tc>
      </w:tr>
      <w:tr w:rsidR="00A65E0D" w:rsidRPr="00A65E0D" w:rsidTr="00262B57">
        <w:trPr>
          <w:trHeight w:val="300"/>
        </w:trPr>
        <w:tc>
          <w:tcPr>
            <w:tcW w:w="4306" w:type="dxa"/>
            <w:gridSpan w:val="2"/>
            <w:tcBorders>
              <w:top w:val="nil"/>
              <w:left w:val="single" w:sz="4" w:space="0" w:color="auto"/>
              <w:bottom w:val="nil"/>
              <w:right w:val="nil"/>
            </w:tcBorders>
            <w:shd w:val="clear" w:color="auto" w:fill="auto"/>
            <w:noWrap/>
            <w:vAlign w:val="bottom"/>
            <w:hideMark/>
          </w:tcPr>
          <w:p w:rsidR="00A65E0D" w:rsidRPr="00A65E0D" w:rsidRDefault="00A65E0D" w:rsidP="00A65E0D">
            <w:pPr>
              <w:rPr>
                <w:rFonts w:ascii="Calibri" w:hAnsi="Calibri" w:cs="Calibri"/>
                <w:b/>
                <w:bCs/>
                <w:color w:val="000000"/>
                <w:sz w:val="22"/>
                <w:szCs w:val="22"/>
              </w:rPr>
            </w:pPr>
            <w:r w:rsidRPr="00A65E0D">
              <w:rPr>
                <w:rFonts w:ascii="Calibri" w:hAnsi="Calibri" w:cs="Calibri"/>
                <w:b/>
                <w:bCs/>
                <w:color w:val="000000"/>
                <w:sz w:val="22"/>
                <w:szCs w:val="22"/>
              </w:rPr>
              <w:t>Expenditure</w:t>
            </w:r>
          </w:p>
        </w:tc>
        <w:tc>
          <w:tcPr>
            <w:tcW w:w="1085" w:type="dxa"/>
            <w:tcBorders>
              <w:top w:val="nil"/>
              <w:left w:val="nil"/>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p>
        </w:tc>
        <w:tc>
          <w:tcPr>
            <w:tcW w:w="1045" w:type="dxa"/>
            <w:tcBorders>
              <w:top w:val="nil"/>
              <w:left w:val="nil"/>
              <w:bottom w:val="nil"/>
              <w:right w:val="single" w:sz="4" w:space="0" w:color="auto"/>
            </w:tcBorders>
            <w:shd w:val="clear" w:color="auto" w:fill="auto"/>
            <w:noWrap/>
            <w:vAlign w:val="bottom"/>
            <w:hideMark/>
          </w:tcPr>
          <w:p w:rsidR="00A65E0D" w:rsidRPr="00A65E0D" w:rsidRDefault="00A65E0D" w:rsidP="00A65E0D">
            <w:pPr>
              <w:rPr>
                <w:rFonts w:ascii="Calibri" w:hAnsi="Calibri" w:cs="Calibri"/>
                <w:color w:val="000000"/>
                <w:sz w:val="22"/>
                <w:szCs w:val="22"/>
              </w:rPr>
            </w:pPr>
            <w:r w:rsidRPr="00A65E0D">
              <w:rPr>
                <w:rFonts w:ascii="Calibri" w:hAnsi="Calibri" w:cs="Calibri"/>
                <w:color w:val="000000"/>
                <w:sz w:val="22"/>
                <w:szCs w:val="22"/>
              </w:rPr>
              <w:t> </w:t>
            </w:r>
          </w:p>
        </w:tc>
      </w:tr>
      <w:tr w:rsidR="00A65E0D" w:rsidRPr="00A65E0D" w:rsidTr="00262B57">
        <w:trPr>
          <w:trHeight w:val="300"/>
        </w:trPr>
        <w:tc>
          <w:tcPr>
            <w:tcW w:w="265" w:type="dxa"/>
            <w:tcBorders>
              <w:top w:val="nil"/>
              <w:left w:val="single" w:sz="4" w:space="0" w:color="auto"/>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r w:rsidRPr="00A65E0D">
              <w:rPr>
                <w:rFonts w:ascii="Calibri" w:hAnsi="Calibri" w:cs="Calibri"/>
                <w:color w:val="000000"/>
                <w:sz w:val="22"/>
                <w:szCs w:val="22"/>
              </w:rPr>
              <w:t> </w:t>
            </w:r>
          </w:p>
        </w:tc>
        <w:tc>
          <w:tcPr>
            <w:tcW w:w="4041" w:type="dxa"/>
            <w:tcBorders>
              <w:top w:val="nil"/>
              <w:left w:val="nil"/>
              <w:bottom w:val="nil"/>
              <w:right w:val="nil"/>
            </w:tcBorders>
            <w:shd w:val="clear" w:color="auto" w:fill="auto"/>
            <w:vAlign w:val="bottom"/>
            <w:hideMark/>
          </w:tcPr>
          <w:p w:rsidR="00A65E0D" w:rsidRPr="00A65E0D" w:rsidRDefault="00A65E0D" w:rsidP="00A65E0D">
            <w:pPr>
              <w:rPr>
                <w:rFonts w:ascii="Calibri" w:hAnsi="Calibri" w:cs="Calibri"/>
                <w:color w:val="000000"/>
                <w:sz w:val="22"/>
                <w:szCs w:val="22"/>
              </w:rPr>
            </w:pPr>
            <w:r w:rsidRPr="00A65E0D">
              <w:rPr>
                <w:rFonts w:ascii="Calibri" w:hAnsi="Calibri" w:cs="Calibri"/>
                <w:color w:val="000000"/>
                <w:sz w:val="22"/>
                <w:szCs w:val="22"/>
              </w:rPr>
              <w:t>Operations and Approval</w:t>
            </w:r>
          </w:p>
        </w:tc>
        <w:tc>
          <w:tcPr>
            <w:tcW w:w="1085"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4,527</w:t>
            </w:r>
          </w:p>
        </w:tc>
        <w:tc>
          <w:tcPr>
            <w:tcW w:w="1263"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4,625</w:t>
            </w:r>
          </w:p>
        </w:tc>
        <w:tc>
          <w:tcPr>
            <w:tcW w:w="1480"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4,429</w:t>
            </w:r>
          </w:p>
        </w:tc>
        <w:tc>
          <w:tcPr>
            <w:tcW w:w="1045" w:type="dxa"/>
            <w:tcBorders>
              <w:top w:val="nil"/>
              <w:left w:val="nil"/>
              <w:bottom w:val="nil"/>
              <w:right w:val="single" w:sz="4" w:space="0" w:color="auto"/>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-196</w:t>
            </w:r>
          </w:p>
        </w:tc>
      </w:tr>
      <w:tr w:rsidR="00A65E0D" w:rsidRPr="00A65E0D" w:rsidTr="00262B57">
        <w:trPr>
          <w:trHeight w:val="600"/>
        </w:trPr>
        <w:tc>
          <w:tcPr>
            <w:tcW w:w="265" w:type="dxa"/>
            <w:tcBorders>
              <w:top w:val="nil"/>
              <w:left w:val="single" w:sz="4" w:space="0" w:color="auto"/>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r w:rsidRPr="00A65E0D">
              <w:rPr>
                <w:rFonts w:ascii="Calibri" w:hAnsi="Calibri" w:cs="Calibri"/>
                <w:color w:val="000000"/>
                <w:sz w:val="22"/>
                <w:szCs w:val="22"/>
              </w:rPr>
              <w:t> </w:t>
            </w:r>
          </w:p>
        </w:tc>
        <w:tc>
          <w:tcPr>
            <w:tcW w:w="4041" w:type="dxa"/>
            <w:tcBorders>
              <w:top w:val="nil"/>
              <w:left w:val="nil"/>
              <w:bottom w:val="nil"/>
              <w:right w:val="nil"/>
            </w:tcBorders>
            <w:shd w:val="clear" w:color="auto" w:fill="auto"/>
            <w:vAlign w:val="bottom"/>
            <w:hideMark/>
          </w:tcPr>
          <w:p w:rsidR="00A65E0D" w:rsidRPr="00A65E0D" w:rsidRDefault="00A65E0D" w:rsidP="00A65E0D">
            <w:pPr>
              <w:rPr>
                <w:rFonts w:ascii="Calibri" w:hAnsi="Calibri" w:cs="Calibri"/>
                <w:color w:val="000000"/>
                <w:sz w:val="22"/>
                <w:szCs w:val="22"/>
              </w:rPr>
            </w:pPr>
            <w:r w:rsidRPr="00A65E0D">
              <w:rPr>
                <w:rFonts w:ascii="Calibri" w:hAnsi="Calibri" w:cs="Calibri"/>
                <w:color w:val="000000"/>
                <w:sz w:val="22"/>
                <w:szCs w:val="22"/>
              </w:rPr>
              <w:t>Chief Exec - Team, Board and Corporate Secretary</w:t>
            </w:r>
          </w:p>
        </w:tc>
        <w:tc>
          <w:tcPr>
            <w:tcW w:w="1085"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1,650</w:t>
            </w:r>
          </w:p>
        </w:tc>
        <w:tc>
          <w:tcPr>
            <w:tcW w:w="1263"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1,724</w:t>
            </w:r>
          </w:p>
        </w:tc>
        <w:tc>
          <w:tcPr>
            <w:tcW w:w="1480"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1,768</w:t>
            </w:r>
          </w:p>
        </w:tc>
        <w:tc>
          <w:tcPr>
            <w:tcW w:w="1045" w:type="dxa"/>
            <w:tcBorders>
              <w:top w:val="nil"/>
              <w:left w:val="nil"/>
              <w:bottom w:val="nil"/>
              <w:right w:val="single" w:sz="4" w:space="0" w:color="auto"/>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44</w:t>
            </w:r>
          </w:p>
        </w:tc>
      </w:tr>
      <w:tr w:rsidR="00A65E0D" w:rsidRPr="00A65E0D" w:rsidTr="00262B57">
        <w:trPr>
          <w:trHeight w:val="300"/>
        </w:trPr>
        <w:tc>
          <w:tcPr>
            <w:tcW w:w="265" w:type="dxa"/>
            <w:tcBorders>
              <w:top w:val="nil"/>
              <w:left w:val="single" w:sz="4" w:space="0" w:color="auto"/>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r w:rsidRPr="00A65E0D">
              <w:rPr>
                <w:rFonts w:ascii="Calibri" w:hAnsi="Calibri" w:cs="Calibri"/>
                <w:color w:val="000000"/>
                <w:sz w:val="22"/>
                <w:szCs w:val="22"/>
              </w:rPr>
              <w:t> </w:t>
            </w:r>
          </w:p>
        </w:tc>
        <w:tc>
          <w:tcPr>
            <w:tcW w:w="4041" w:type="dxa"/>
            <w:tcBorders>
              <w:top w:val="nil"/>
              <w:left w:val="nil"/>
              <w:bottom w:val="nil"/>
              <w:right w:val="nil"/>
            </w:tcBorders>
            <w:shd w:val="clear" w:color="auto" w:fill="auto"/>
            <w:vAlign w:val="bottom"/>
            <w:hideMark/>
          </w:tcPr>
          <w:p w:rsidR="00A65E0D" w:rsidRPr="00A65E0D" w:rsidRDefault="00A65E0D" w:rsidP="00A65E0D">
            <w:pPr>
              <w:rPr>
                <w:rFonts w:ascii="Calibri" w:hAnsi="Calibri" w:cs="Calibri"/>
                <w:color w:val="000000"/>
                <w:sz w:val="22"/>
                <w:szCs w:val="22"/>
              </w:rPr>
            </w:pPr>
            <w:r w:rsidRPr="00A65E0D">
              <w:rPr>
                <w:rFonts w:ascii="Calibri" w:hAnsi="Calibri" w:cs="Calibri"/>
                <w:color w:val="000000"/>
                <w:sz w:val="22"/>
                <w:szCs w:val="22"/>
              </w:rPr>
              <w:t xml:space="preserve">Corporate Services </w:t>
            </w:r>
          </w:p>
        </w:tc>
        <w:tc>
          <w:tcPr>
            <w:tcW w:w="1085"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1,986</w:t>
            </w:r>
          </w:p>
        </w:tc>
        <w:tc>
          <w:tcPr>
            <w:tcW w:w="1263"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1,951</w:t>
            </w:r>
          </w:p>
        </w:tc>
        <w:tc>
          <w:tcPr>
            <w:tcW w:w="1480"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1,984</w:t>
            </w:r>
          </w:p>
        </w:tc>
        <w:tc>
          <w:tcPr>
            <w:tcW w:w="1045" w:type="dxa"/>
            <w:tcBorders>
              <w:top w:val="nil"/>
              <w:left w:val="nil"/>
              <w:bottom w:val="nil"/>
              <w:right w:val="single" w:sz="4" w:space="0" w:color="auto"/>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33</w:t>
            </w:r>
          </w:p>
        </w:tc>
      </w:tr>
      <w:tr w:rsidR="00A65E0D" w:rsidRPr="00A65E0D" w:rsidTr="00262B57">
        <w:trPr>
          <w:trHeight w:val="600"/>
        </w:trPr>
        <w:tc>
          <w:tcPr>
            <w:tcW w:w="265" w:type="dxa"/>
            <w:tcBorders>
              <w:top w:val="nil"/>
              <w:left w:val="single" w:sz="4" w:space="0" w:color="auto"/>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r w:rsidRPr="00A65E0D">
              <w:rPr>
                <w:rFonts w:ascii="Calibri" w:hAnsi="Calibri" w:cs="Calibri"/>
                <w:color w:val="000000"/>
                <w:sz w:val="22"/>
                <w:szCs w:val="22"/>
              </w:rPr>
              <w:t> </w:t>
            </w:r>
          </w:p>
        </w:tc>
        <w:tc>
          <w:tcPr>
            <w:tcW w:w="4041" w:type="dxa"/>
            <w:tcBorders>
              <w:top w:val="nil"/>
              <w:left w:val="nil"/>
              <w:bottom w:val="nil"/>
              <w:right w:val="nil"/>
            </w:tcBorders>
            <w:shd w:val="clear" w:color="auto" w:fill="auto"/>
            <w:vAlign w:val="bottom"/>
            <w:hideMark/>
          </w:tcPr>
          <w:p w:rsidR="00A65E0D" w:rsidRPr="00A65E0D" w:rsidRDefault="00A65E0D" w:rsidP="00A65E0D">
            <w:pPr>
              <w:rPr>
                <w:rFonts w:ascii="Calibri" w:hAnsi="Calibri" w:cs="Calibri"/>
                <w:color w:val="000000"/>
                <w:sz w:val="22"/>
                <w:szCs w:val="22"/>
              </w:rPr>
            </w:pPr>
            <w:r w:rsidRPr="00A65E0D">
              <w:rPr>
                <w:rFonts w:ascii="Calibri" w:hAnsi="Calibri" w:cs="Calibri"/>
                <w:color w:val="000000"/>
                <w:sz w:val="22"/>
                <w:szCs w:val="22"/>
              </w:rPr>
              <w:t>Finance Estates and Procurement (</w:t>
            </w:r>
            <w:proofErr w:type="spellStart"/>
            <w:r w:rsidRPr="00A65E0D">
              <w:rPr>
                <w:rFonts w:ascii="Calibri" w:hAnsi="Calibri" w:cs="Calibri"/>
                <w:color w:val="000000"/>
                <w:sz w:val="22"/>
                <w:szCs w:val="22"/>
              </w:rPr>
              <w:t>incl</w:t>
            </w:r>
            <w:proofErr w:type="spellEnd"/>
            <w:r w:rsidRPr="00A65E0D">
              <w:rPr>
                <w:rFonts w:ascii="Calibri" w:hAnsi="Calibri" w:cs="Calibri"/>
                <w:color w:val="000000"/>
                <w:sz w:val="22"/>
                <w:szCs w:val="22"/>
              </w:rPr>
              <w:t xml:space="preserve"> Reserves)</w:t>
            </w:r>
          </w:p>
        </w:tc>
        <w:tc>
          <w:tcPr>
            <w:tcW w:w="1085"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5,172</w:t>
            </w:r>
          </w:p>
        </w:tc>
        <w:tc>
          <w:tcPr>
            <w:tcW w:w="1263"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3,564</w:t>
            </w:r>
          </w:p>
        </w:tc>
        <w:tc>
          <w:tcPr>
            <w:tcW w:w="1480"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639</w:t>
            </w:r>
          </w:p>
        </w:tc>
        <w:tc>
          <w:tcPr>
            <w:tcW w:w="1045" w:type="dxa"/>
            <w:tcBorders>
              <w:top w:val="nil"/>
              <w:left w:val="nil"/>
              <w:bottom w:val="nil"/>
              <w:right w:val="single" w:sz="4" w:space="0" w:color="auto"/>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-2925</w:t>
            </w:r>
          </w:p>
        </w:tc>
      </w:tr>
      <w:tr w:rsidR="00A65E0D" w:rsidRPr="00A65E0D" w:rsidTr="00262B57">
        <w:trPr>
          <w:trHeight w:val="300"/>
        </w:trPr>
        <w:tc>
          <w:tcPr>
            <w:tcW w:w="265" w:type="dxa"/>
            <w:tcBorders>
              <w:top w:val="nil"/>
              <w:left w:val="single" w:sz="4" w:space="0" w:color="auto"/>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r w:rsidRPr="00A65E0D">
              <w:rPr>
                <w:rFonts w:ascii="Calibri" w:hAnsi="Calibri" w:cs="Calibri"/>
                <w:color w:val="000000"/>
                <w:sz w:val="22"/>
                <w:szCs w:val="22"/>
              </w:rPr>
              <w:t> </w:t>
            </w:r>
          </w:p>
        </w:tc>
        <w:tc>
          <w:tcPr>
            <w:tcW w:w="4041" w:type="dxa"/>
            <w:tcBorders>
              <w:top w:val="nil"/>
              <w:left w:val="nil"/>
              <w:bottom w:val="nil"/>
              <w:right w:val="nil"/>
            </w:tcBorders>
            <w:shd w:val="clear" w:color="auto" w:fill="auto"/>
            <w:vAlign w:val="bottom"/>
            <w:hideMark/>
          </w:tcPr>
          <w:p w:rsidR="00A65E0D" w:rsidRPr="00A65E0D" w:rsidRDefault="00A65E0D" w:rsidP="00A65E0D">
            <w:pPr>
              <w:rPr>
                <w:rFonts w:ascii="Calibri" w:hAnsi="Calibri" w:cs="Calibri"/>
                <w:color w:val="000000"/>
                <w:sz w:val="22"/>
                <w:szCs w:val="22"/>
              </w:rPr>
            </w:pPr>
            <w:r w:rsidRPr="00A65E0D">
              <w:rPr>
                <w:rFonts w:ascii="Calibri" w:hAnsi="Calibri" w:cs="Calibri"/>
                <w:color w:val="000000"/>
                <w:sz w:val="22"/>
                <w:szCs w:val="22"/>
              </w:rPr>
              <w:t>Systems and Development</w:t>
            </w:r>
          </w:p>
        </w:tc>
        <w:tc>
          <w:tcPr>
            <w:tcW w:w="1085"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0</w:t>
            </w:r>
          </w:p>
        </w:tc>
        <w:tc>
          <w:tcPr>
            <w:tcW w:w="1263"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1,893</w:t>
            </w:r>
          </w:p>
        </w:tc>
        <w:tc>
          <w:tcPr>
            <w:tcW w:w="1480"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1,850</w:t>
            </w:r>
          </w:p>
        </w:tc>
        <w:tc>
          <w:tcPr>
            <w:tcW w:w="1045" w:type="dxa"/>
            <w:tcBorders>
              <w:top w:val="nil"/>
              <w:left w:val="nil"/>
              <w:bottom w:val="nil"/>
              <w:right w:val="single" w:sz="4" w:space="0" w:color="auto"/>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-43</w:t>
            </w:r>
          </w:p>
        </w:tc>
      </w:tr>
      <w:tr w:rsidR="00A65E0D" w:rsidRPr="00A65E0D" w:rsidTr="00262B57">
        <w:trPr>
          <w:trHeight w:val="300"/>
        </w:trPr>
        <w:tc>
          <w:tcPr>
            <w:tcW w:w="265" w:type="dxa"/>
            <w:tcBorders>
              <w:top w:val="nil"/>
              <w:left w:val="single" w:sz="4" w:space="0" w:color="auto"/>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r w:rsidRPr="00A65E0D">
              <w:rPr>
                <w:rFonts w:ascii="Calibri" w:hAnsi="Calibri" w:cs="Calibri"/>
                <w:color w:val="000000"/>
                <w:sz w:val="22"/>
                <w:szCs w:val="22"/>
              </w:rPr>
              <w:t> </w:t>
            </w:r>
          </w:p>
        </w:tc>
        <w:tc>
          <w:tcPr>
            <w:tcW w:w="4041" w:type="dxa"/>
            <w:tcBorders>
              <w:top w:val="nil"/>
              <w:left w:val="nil"/>
              <w:bottom w:val="nil"/>
              <w:right w:val="nil"/>
            </w:tcBorders>
            <w:shd w:val="clear" w:color="auto" w:fill="auto"/>
            <w:vAlign w:val="bottom"/>
            <w:hideMark/>
          </w:tcPr>
          <w:p w:rsidR="00A65E0D" w:rsidRPr="00A65E0D" w:rsidRDefault="00A65E0D" w:rsidP="00A65E0D">
            <w:pPr>
              <w:rPr>
                <w:rFonts w:ascii="Calibri" w:hAnsi="Calibri" w:cs="Calibri"/>
                <w:color w:val="000000"/>
                <w:sz w:val="22"/>
                <w:szCs w:val="22"/>
              </w:rPr>
            </w:pPr>
            <w:r w:rsidRPr="00A65E0D">
              <w:rPr>
                <w:rFonts w:ascii="Calibri" w:hAnsi="Calibri" w:cs="Calibri"/>
                <w:color w:val="000000"/>
                <w:sz w:val="22"/>
                <w:szCs w:val="22"/>
              </w:rPr>
              <w:t>Communications</w:t>
            </w:r>
          </w:p>
        </w:tc>
        <w:tc>
          <w:tcPr>
            <w:tcW w:w="1085"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349</w:t>
            </w:r>
          </w:p>
        </w:tc>
        <w:tc>
          <w:tcPr>
            <w:tcW w:w="1263"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0</w:t>
            </w:r>
          </w:p>
        </w:tc>
        <w:tc>
          <w:tcPr>
            <w:tcW w:w="1480"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0</w:t>
            </w:r>
          </w:p>
        </w:tc>
        <w:tc>
          <w:tcPr>
            <w:tcW w:w="1045" w:type="dxa"/>
            <w:tcBorders>
              <w:top w:val="nil"/>
              <w:left w:val="nil"/>
              <w:bottom w:val="nil"/>
              <w:right w:val="single" w:sz="4" w:space="0" w:color="auto"/>
            </w:tcBorders>
            <w:shd w:val="clear" w:color="auto" w:fill="auto"/>
            <w:noWrap/>
            <w:vAlign w:val="bottom"/>
            <w:hideMark/>
          </w:tcPr>
          <w:p w:rsidR="00A65E0D" w:rsidRPr="00A65E0D" w:rsidRDefault="00A65E0D" w:rsidP="00A65E0D">
            <w:pPr>
              <w:jc w:val="right"/>
              <w:rPr>
                <w:rFonts w:ascii="Calibri" w:hAnsi="Calibri" w:cs="Calibri"/>
                <w:color w:val="000000"/>
                <w:sz w:val="22"/>
                <w:szCs w:val="22"/>
              </w:rPr>
            </w:pPr>
            <w:r w:rsidRPr="00A65E0D">
              <w:rPr>
                <w:rFonts w:ascii="Calibri" w:hAnsi="Calibri" w:cs="Calibri"/>
                <w:color w:val="000000"/>
                <w:sz w:val="22"/>
                <w:szCs w:val="22"/>
              </w:rPr>
              <w:t>0</w:t>
            </w:r>
          </w:p>
        </w:tc>
      </w:tr>
      <w:tr w:rsidR="00A65E0D" w:rsidRPr="00A65E0D" w:rsidTr="00262B57">
        <w:trPr>
          <w:trHeight w:val="300"/>
        </w:trPr>
        <w:tc>
          <w:tcPr>
            <w:tcW w:w="265" w:type="dxa"/>
            <w:tcBorders>
              <w:top w:val="nil"/>
              <w:left w:val="single" w:sz="4" w:space="0" w:color="auto"/>
              <w:bottom w:val="nil"/>
              <w:right w:val="nil"/>
            </w:tcBorders>
            <w:shd w:val="clear" w:color="auto" w:fill="auto"/>
            <w:noWrap/>
            <w:vAlign w:val="bottom"/>
            <w:hideMark/>
          </w:tcPr>
          <w:p w:rsidR="00A65E0D" w:rsidRPr="00A65E0D" w:rsidRDefault="00A65E0D" w:rsidP="00A65E0D">
            <w:pPr>
              <w:rPr>
                <w:rFonts w:ascii="Calibri" w:hAnsi="Calibri" w:cs="Calibri"/>
                <w:b/>
                <w:bCs/>
                <w:color w:val="000000"/>
                <w:sz w:val="22"/>
                <w:szCs w:val="22"/>
              </w:rPr>
            </w:pPr>
            <w:r w:rsidRPr="00A65E0D">
              <w:rPr>
                <w:rFonts w:ascii="Calibri" w:hAnsi="Calibri" w:cs="Calibri"/>
                <w:b/>
                <w:bCs/>
                <w:color w:val="000000"/>
                <w:sz w:val="22"/>
                <w:szCs w:val="22"/>
              </w:rPr>
              <w:t> </w:t>
            </w:r>
          </w:p>
        </w:tc>
        <w:tc>
          <w:tcPr>
            <w:tcW w:w="4041" w:type="dxa"/>
            <w:tcBorders>
              <w:top w:val="nil"/>
              <w:left w:val="nil"/>
              <w:bottom w:val="nil"/>
              <w:right w:val="nil"/>
            </w:tcBorders>
            <w:shd w:val="clear" w:color="auto" w:fill="auto"/>
            <w:noWrap/>
            <w:vAlign w:val="bottom"/>
            <w:hideMark/>
          </w:tcPr>
          <w:p w:rsidR="00A65E0D" w:rsidRPr="00A65E0D" w:rsidRDefault="00A65E0D" w:rsidP="00A65E0D">
            <w:pPr>
              <w:rPr>
                <w:rFonts w:ascii="Calibri" w:hAnsi="Calibri" w:cs="Calibri"/>
                <w:b/>
                <w:bCs/>
                <w:color w:val="000000"/>
                <w:sz w:val="22"/>
                <w:szCs w:val="22"/>
              </w:rPr>
            </w:pPr>
            <w:r w:rsidRPr="00A65E0D">
              <w:rPr>
                <w:rFonts w:ascii="Calibri" w:hAnsi="Calibri" w:cs="Calibri"/>
                <w:b/>
                <w:bCs/>
                <w:color w:val="000000"/>
                <w:sz w:val="22"/>
                <w:szCs w:val="22"/>
              </w:rPr>
              <w:t>Total</w:t>
            </w:r>
          </w:p>
        </w:tc>
        <w:tc>
          <w:tcPr>
            <w:tcW w:w="1085"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b/>
                <w:bCs/>
                <w:color w:val="000000"/>
                <w:sz w:val="22"/>
                <w:szCs w:val="22"/>
              </w:rPr>
            </w:pPr>
            <w:r w:rsidRPr="00A65E0D">
              <w:rPr>
                <w:rFonts w:ascii="Calibri" w:hAnsi="Calibri" w:cs="Calibri"/>
                <w:b/>
                <w:bCs/>
                <w:color w:val="000000"/>
                <w:sz w:val="22"/>
                <w:szCs w:val="22"/>
              </w:rPr>
              <w:t>13,684</w:t>
            </w:r>
          </w:p>
        </w:tc>
        <w:tc>
          <w:tcPr>
            <w:tcW w:w="1263"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b/>
                <w:bCs/>
                <w:color w:val="000000"/>
                <w:sz w:val="22"/>
                <w:szCs w:val="22"/>
              </w:rPr>
            </w:pPr>
            <w:r w:rsidRPr="00A65E0D">
              <w:rPr>
                <w:rFonts w:ascii="Calibri" w:hAnsi="Calibri" w:cs="Calibri"/>
                <w:b/>
                <w:bCs/>
                <w:color w:val="000000"/>
                <w:sz w:val="22"/>
                <w:szCs w:val="22"/>
              </w:rPr>
              <w:t>13,757</w:t>
            </w:r>
          </w:p>
        </w:tc>
        <w:tc>
          <w:tcPr>
            <w:tcW w:w="1480" w:type="dxa"/>
            <w:tcBorders>
              <w:top w:val="nil"/>
              <w:left w:val="nil"/>
              <w:bottom w:val="nil"/>
              <w:right w:val="nil"/>
            </w:tcBorders>
            <w:shd w:val="clear" w:color="auto" w:fill="auto"/>
            <w:noWrap/>
            <w:vAlign w:val="bottom"/>
            <w:hideMark/>
          </w:tcPr>
          <w:p w:rsidR="00A65E0D" w:rsidRPr="00A65E0D" w:rsidRDefault="00A65E0D" w:rsidP="00A65E0D">
            <w:pPr>
              <w:jc w:val="right"/>
              <w:rPr>
                <w:rFonts w:ascii="Calibri" w:hAnsi="Calibri" w:cs="Calibri"/>
                <w:b/>
                <w:bCs/>
                <w:color w:val="000000"/>
                <w:sz w:val="22"/>
                <w:szCs w:val="22"/>
              </w:rPr>
            </w:pPr>
            <w:r w:rsidRPr="00A65E0D">
              <w:rPr>
                <w:rFonts w:ascii="Calibri" w:hAnsi="Calibri" w:cs="Calibri"/>
                <w:b/>
                <w:bCs/>
                <w:color w:val="000000"/>
                <w:sz w:val="22"/>
                <w:szCs w:val="22"/>
              </w:rPr>
              <w:t>10,670</w:t>
            </w:r>
          </w:p>
        </w:tc>
        <w:tc>
          <w:tcPr>
            <w:tcW w:w="1045" w:type="dxa"/>
            <w:tcBorders>
              <w:top w:val="nil"/>
              <w:left w:val="nil"/>
              <w:bottom w:val="nil"/>
              <w:right w:val="single" w:sz="4" w:space="0" w:color="auto"/>
            </w:tcBorders>
            <w:shd w:val="clear" w:color="auto" w:fill="auto"/>
            <w:noWrap/>
            <w:vAlign w:val="bottom"/>
            <w:hideMark/>
          </w:tcPr>
          <w:p w:rsidR="00A65E0D" w:rsidRPr="00A65E0D" w:rsidRDefault="00A65E0D" w:rsidP="00A65E0D">
            <w:pPr>
              <w:jc w:val="right"/>
              <w:rPr>
                <w:rFonts w:ascii="Calibri" w:hAnsi="Calibri" w:cs="Calibri"/>
                <w:b/>
                <w:bCs/>
                <w:color w:val="000000"/>
                <w:sz w:val="22"/>
                <w:szCs w:val="22"/>
              </w:rPr>
            </w:pPr>
            <w:r w:rsidRPr="00A65E0D">
              <w:rPr>
                <w:rFonts w:ascii="Calibri" w:hAnsi="Calibri" w:cs="Calibri"/>
                <w:b/>
                <w:bCs/>
                <w:color w:val="000000"/>
                <w:sz w:val="22"/>
                <w:szCs w:val="22"/>
              </w:rPr>
              <w:t>-3,087</w:t>
            </w:r>
          </w:p>
        </w:tc>
      </w:tr>
      <w:tr w:rsidR="00A65E0D" w:rsidRPr="00A65E0D" w:rsidTr="00262B57">
        <w:trPr>
          <w:trHeight w:val="300"/>
        </w:trPr>
        <w:tc>
          <w:tcPr>
            <w:tcW w:w="265" w:type="dxa"/>
            <w:tcBorders>
              <w:top w:val="nil"/>
              <w:left w:val="single" w:sz="4" w:space="0" w:color="auto"/>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r w:rsidRPr="00A65E0D">
              <w:rPr>
                <w:rFonts w:ascii="Calibri" w:hAnsi="Calibri" w:cs="Calibri"/>
                <w:color w:val="000000"/>
                <w:sz w:val="22"/>
                <w:szCs w:val="22"/>
              </w:rPr>
              <w:t> </w:t>
            </w:r>
          </w:p>
        </w:tc>
        <w:tc>
          <w:tcPr>
            <w:tcW w:w="4041" w:type="dxa"/>
            <w:tcBorders>
              <w:top w:val="nil"/>
              <w:left w:val="nil"/>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A65E0D" w:rsidRPr="00A65E0D" w:rsidRDefault="00A65E0D" w:rsidP="00A65E0D">
            <w:pPr>
              <w:rPr>
                <w:rFonts w:ascii="Calibri" w:hAnsi="Calibri" w:cs="Calibri"/>
                <w:color w:val="000000"/>
                <w:sz w:val="22"/>
                <w:szCs w:val="22"/>
              </w:rPr>
            </w:pPr>
          </w:p>
        </w:tc>
        <w:tc>
          <w:tcPr>
            <w:tcW w:w="1045" w:type="dxa"/>
            <w:tcBorders>
              <w:top w:val="nil"/>
              <w:left w:val="nil"/>
              <w:bottom w:val="nil"/>
              <w:right w:val="single" w:sz="4" w:space="0" w:color="auto"/>
            </w:tcBorders>
            <w:shd w:val="clear" w:color="auto" w:fill="auto"/>
            <w:noWrap/>
            <w:vAlign w:val="bottom"/>
            <w:hideMark/>
          </w:tcPr>
          <w:p w:rsidR="00A65E0D" w:rsidRPr="00A65E0D" w:rsidRDefault="00A65E0D" w:rsidP="00A65E0D">
            <w:pPr>
              <w:rPr>
                <w:rFonts w:ascii="Calibri" w:hAnsi="Calibri" w:cs="Calibri"/>
                <w:color w:val="000000"/>
                <w:sz w:val="22"/>
                <w:szCs w:val="22"/>
              </w:rPr>
            </w:pPr>
            <w:r w:rsidRPr="00A65E0D">
              <w:rPr>
                <w:rFonts w:ascii="Calibri" w:hAnsi="Calibri" w:cs="Calibri"/>
                <w:color w:val="000000"/>
                <w:sz w:val="22"/>
                <w:szCs w:val="22"/>
              </w:rPr>
              <w:t> </w:t>
            </w:r>
          </w:p>
        </w:tc>
      </w:tr>
      <w:tr w:rsidR="00A65E0D" w:rsidRPr="00A65E0D" w:rsidTr="00262B57">
        <w:trPr>
          <w:trHeight w:val="300"/>
        </w:trPr>
        <w:tc>
          <w:tcPr>
            <w:tcW w:w="4306" w:type="dxa"/>
            <w:gridSpan w:val="2"/>
            <w:tcBorders>
              <w:top w:val="nil"/>
              <w:left w:val="single" w:sz="4" w:space="0" w:color="auto"/>
              <w:bottom w:val="single" w:sz="4" w:space="0" w:color="auto"/>
              <w:right w:val="nil"/>
            </w:tcBorders>
            <w:shd w:val="clear" w:color="auto" w:fill="auto"/>
            <w:noWrap/>
            <w:vAlign w:val="bottom"/>
            <w:hideMark/>
          </w:tcPr>
          <w:p w:rsidR="00A65E0D" w:rsidRPr="00A65E0D" w:rsidRDefault="00A65E0D" w:rsidP="00A65E0D">
            <w:pPr>
              <w:rPr>
                <w:rFonts w:ascii="Calibri" w:hAnsi="Calibri" w:cs="Calibri"/>
                <w:b/>
                <w:bCs/>
                <w:color w:val="000000"/>
                <w:sz w:val="22"/>
                <w:szCs w:val="22"/>
              </w:rPr>
            </w:pPr>
            <w:r w:rsidRPr="00A65E0D">
              <w:rPr>
                <w:rFonts w:ascii="Calibri" w:hAnsi="Calibri" w:cs="Calibri"/>
                <w:b/>
                <w:bCs/>
                <w:color w:val="000000"/>
                <w:sz w:val="22"/>
                <w:szCs w:val="22"/>
              </w:rPr>
              <w:t>Surplus/Deficit</w:t>
            </w:r>
          </w:p>
        </w:tc>
        <w:tc>
          <w:tcPr>
            <w:tcW w:w="1085" w:type="dxa"/>
            <w:tcBorders>
              <w:top w:val="nil"/>
              <w:left w:val="nil"/>
              <w:bottom w:val="single" w:sz="4" w:space="0" w:color="auto"/>
              <w:right w:val="nil"/>
            </w:tcBorders>
            <w:shd w:val="clear" w:color="auto" w:fill="auto"/>
            <w:noWrap/>
            <w:vAlign w:val="bottom"/>
            <w:hideMark/>
          </w:tcPr>
          <w:p w:rsidR="00A65E0D" w:rsidRPr="00A65E0D" w:rsidRDefault="00A65E0D" w:rsidP="00A65E0D">
            <w:pPr>
              <w:jc w:val="right"/>
              <w:rPr>
                <w:rFonts w:ascii="Calibri" w:hAnsi="Calibri" w:cs="Calibri"/>
                <w:b/>
                <w:bCs/>
                <w:color w:val="000000"/>
                <w:sz w:val="22"/>
                <w:szCs w:val="22"/>
              </w:rPr>
            </w:pPr>
            <w:r w:rsidRPr="00A65E0D">
              <w:rPr>
                <w:rFonts w:ascii="Calibri" w:hAnsi="Calibri" w:cs="Calibri"/>
                <w:b/>
                <w:bCs/>
                <w:color w:val="000000"/>
                <w:sz w:val="22"/>
                <w:szCs w:val="22"/>
              </w:rPr>
              <w:t>0</w:t>
            </w:r>
          </w:p>
        </w:tc>
        <w:tc>
          <w:tcPr>
            <w:tcW w:w="1263" w:type="dxa"/>
            <w:tcBorders>
              <w:top w:val="nil"/>
              <w:left w:val="nil"/>
              <w:bottom w:val="single" w:sz="4" w:space="0" w:color="auto"/>
              <w:right w:val="nil"/>
            </w:tcBorders>
            <w:shd w:val="clear" w:color="auto" w:fill="auto"/>
            <w:noWrap/>
            <w:vAlign w:val="bottom"/>
            <w:hideMark/>
          </w:tcPr>
          <w:p w:rsidR="00A65E0D" w:rsidRPr="00A65E0D" w:rsidRDefault="00A65E0D" w:rsidP="00A65E0D">
            <w:pPr>
              <w:jc w:val="right"/>
              <w:rPr>
                <w:rFonts w:ascii="Calibri" w:hAnsi="Calibri" w:cs="Calibri"/>
                <w:b/>
                <w:bCs/>
                <w:color w:val="000000"/>
                <w:sz w:val="22"/>
                <w:szCs w:val="22"/>
              </w:rPr>
            </w:pPr>
            <w:r w:rsidRPr="00A65E0D">
              <w:rPr>
                <w:rFonts w:ascii="Calibri" w:hAnsi="Calibri" w:cs="Calibri"/>
                <w:b/>
                <w:bCs/>
                <w:color w:val="000000"/>
                <w:sz w:val="22"/>
                <w:szCs w:val="22"/>
              </w:rPr>
              <w:t>0</w:t>
            </w:r>
          </w:p>
        </w:tc>
        <w:tc>
          <w:tcPr>
            <w:tcW w:w="1480" w:type="dxa"/>
            <w:tcBorders>
              <w:top w:val="nil"/>
              <w:left w:val="nil"/>
              <w:bottom w:val="single" w:sz="4" w:space="0" w:color="auto"/>
              <w:right w:val="nil"/>
            </w:tcBorders>
            <w:shd w:val="clear" w:color="auto" w:fill="auto"/>
            <w:noWrap/>
            <w:vAlign w:val="bottom"/>
            <w:hideMark/>
          </w:tcPr>
          <w:p w:rsidR="00A65E0D" w:rsidRPr="00A65E0D" w:rsidRDefault="00A65E0D" w:rsidP="00A65E0D">
            <w:pPr>
              <w:jc w:val="right"/>
              <w:rPr>
                <w:rFonts w:ascii="Calibri" w:hAnsi="Calibri" w:cs="Calibri"/>
                <w:b/>
                <w:bCs/>
                <w:color w:val="000000"/>
                <w:sz w:val="22"/>
                <w:szCs w:val="22"/>
              </w:rPr>
            </w:pPr>
            <w:r w:rsidRPr="00A65E0D">
              <w:rPr>
                <w:rFonts w:ascii="Calibri" w:hAnsi="Calibri" w:cs="Calibri"/>
                <w:b/>
                <w:bCs/>
                <w:color w:val="000000"/>
                <w:sz w:val="22"/>
                <w:szCs w:val="22"/>
              </w:rPr>
              <w:t>0</w:t>
            </w:r>
          </w:p>
        </w:tc>
        <w:tc>
          <w:tcPr>
            <w:tcW w:w="1045" w:type="dxa"/>
            <w:tcBorders>
              <w:top w:val="nil"/>
              <w:left w:val="nil"/>
              <w:bottom w:val="single" w:sz="4" w:space="0" w:color="auto"/>
              <w:right w:val="single" w:sz="4" w:space="0" w:color="auto"/>
            </w:tcBorders>
            <w:shd w:val="clear" w:color="auto" w:fill="auto"/>
            <w:noWrap/>
            <w:vAlign w:val="bottom"/>
            <w:hideMark/>
          </w:tcPr>
          <w:p w:rsidR="00A65E0D" w:rsidRPr="00A65E0D" w:rsidRDefault="00A65E0D" w:rsidP="00A65E0D">
            <w:pPr>
              <w:jc w:val="right"/>
              <w:rPr>
                <w:rFonts w:ascii="Calibri" w:hAnsi="Calibri" w:cs="Calibri"/>
                <w:b/>
                <w:bCs/>
                <w:color w:val="000000"/>
                <w:sz w:val="22"/>
                <w:szCs w:val="22"/>
              </w:rPr>
            </w:pPr>
            <w:r w:rsidRPr="00A65E0D">
              <w:rPr>
                <w:rFonts w:ascii="Calibri" w:hAnsi="Calibri" w:cs="Calibri"/>
                <w:b/>
                <w:bCs/>
                <w:color w:val="000000"/>
                <w:sz w:val="22"/>
                <w:szCs w:val="22"/>
              </w:rPr>
              <w:t>0</w:t>
            </w:r>
          </w:p>
        </w:tc>
      </w:tr>
    </w:tbl>
    <w:p w:rsidR="00A65E0D" w:rsidRDefault="00A65E0D" w:rsidP="006E46EB">
      <w:pPr>
        <w:jc w:val="both"/>
        <w:rPr>
          <w:rFonts w:ascii="Arial" w:hAnsi="Arial" w:cs="Arial"/>
          <w:sz w:val="22"/>
          <w:szCs w:val="22"/>
        </w:rPr>
      </w:pPr>
    </w:p>
    <w:p w:rsidR="006E46EB" w:rsidRDefault="006E46EB" w:rsidP="006E46EB">
      <w:pPr>
        <w:jc w:val="both"/>
        <w:rPr>
          <w:rFonts w:ascii="Arial" w:hAnsi="Arial" w:cs="Arial"/>
          <w:sz w:val="22"/>
          <w:szCs w:val="22"/>
        </w:rPr>
      </w:pPr>
      <w:r w:rsidRPr="006E46EB">
        <w:rPr>
          <w:rFonts w:ascii="Arial" w:hAnsi="Arial" w:cs="Arial"/>
          <w:sz w:val="22"/>
          <w:szCs w:val="22"/>
        </w:rPr>
        <w:t>The main points to note in the outturn expenditure position as</w:t>
      </w:r>
      <w:r w:rsidR="00DC096C">
        <w:rPr>
          <w:rFonts w:ascii="Arial" w:hAnsi="Arial" w:cs="Arial"/>
          <w:sz w:val="22"/>
          <w:szCs w:val="22"/>
        </w:rPr>
        <w:t xml:space="preserve"> at 31 March</w:t>
      </w:r>
      <w:r w:rsidR="00A64613">
        <w:rPr>
          <w:rFonts w:ascii="Arial" w:hAnsi="Arial" w:cs="Arial"/>
          <w:sz w:val="22"/>
          <w:szCs w:val="22"/>
        </w:rPr>
        <w:t xml:space="preserve"> 2015</w:t>
      </w:r>
      <w:r w:rsidR="00936A58">
        <w:rPr>
          <w:rFonts w:ascii="Arial" w:hAnsi="Arial" w:cs="Arial"/>
          <w:sz w:val="22"/>
          <w:szCs w:val="22"/>
        </w:rPr>
        <w:t xml:space="preserve"> of </w:t>
      </w:r>
      <w:r w:rsidR="00936A58" w:rsidRPr="009B4C8D">
        <w:rPr>
          <w:rFonts w:ascii="Arial" w:hAnsi="Arial" w:cs="Arial"/>
          <w:sz w:val="22"/>
          <w:szCs w:val="22"/>
        </w:rPr>
        <w:t>£</w:t>
      </w:r>
      <w:r w:rsidR="00DC096C">
        <w:rPr>
          <w:rFonts w:ascii="Arial" w:hAnsi="Arial" w:cs="Arial"/>
          <w:sz w:val="22"/>
          <w:szCs w:val="22"/>
        </w:rPr>
        <w:t>10.67</w:t>
      </w:r>
      <w:r w:rsidRPr="009B4C8D">
        <w:rPr>
          <w:rFonts w:ascii="Arial" w:hAnsi="Arial" w:cs="Arial"/>
          <w:sz w:val="22"/>
          <w:szCs w:val="22"/>
        </w:rPr>
        <w:t>m</w:t>
      </w:r>
      <w:r w:rsidR="00DD2D40">
        <w:rPr>
          <w:rFonts w:ascii="Arial" w:hAnsi="Arial" w:cs="Arial"/>
          <w:sz w:val="22"/>
          <w:szCs w:val="22"/>
        </w:rPr>
        <w:t xml:space="preserve"> are:</w:t>
      </w:r>
    </w:p>
    <w:p w:rsidR="00DD2D40" w:rsidRDefault="00DD2D40" w:rsidP="006E46EB">
      <w:pPr>
        <w:jc w:val="both"/>
        <w:rPr>
          <w:rFonts w:ascii="Arial" w:hAnsi="Arial" w:cs="Arial"/>
          <w:sz w:val="22"/>
          <w:szCs w:val="22"/>
        </w:rPr>
      </w:pPr>
    </w:p>
    <w:p w:rsidR="00863125" w:rsidRPr="001F7421" w:rsidRDefault="002B67AD" w:rsidP="001F7421">
      <w:pPr>
        <w:pStyle w:val="ListParagraph"/>
        <w:numPr>
          <w:ilvl w:val="0"/>
          <w:numId w:val="17"/>
        </w:numPr>
        <w:jc w:val="both"/>
        <w:rPr>
          <w:rFonts w:ascii="Arial" w:hAnsi="Arial" w:cs="Arial"/>
          <w:sz w:val="22"/>
          <w:szCs w:val="22"/>
        </w:rPr>
      </w:pPr>
      <w:r w:rsidRPr="001F7421">
        <w:rPr>
          <w:rFonts w:ascii="Arial" w:hAnsi="Arial" w:cs="Arial"/>
          <w:sz w:val="22"/>
          <w:szCs w:val="22"/>
        </w:rPr>
        <w:t>Total pa</w:t>
      </w:r>
      <w:r w:rsidR="000C5914" w:rsidRPr="001F7421">
        <w:rPr>
          <w:rFonts w:ascii="Arial" w:hAnsi="Arial" w:cs="Arial"/>
          <w:sz w:val="22"/>
          <w:szCs w:val="22"/>
        </w:rPr>
        <w:t xml:space="preserve">y </w:t>
      </w:r>
      <w:r w:rsidR="00DC096C" w:rsidRPr="001F7421">
        <w:rPr>
          <w:rFonts w:ascii="Arial" w:hAnsi="Arial" w:cs="Arial"/>
          <w:sz w:val="22"/>
          <w:szCs w:val="22"/>
        </w:rPr>
        <w:t>costs incurred to date are £6.55</w:t>
      </w:r>
      <w:r w:rsidR="004B5C87" w:rsidRPr="001F7421">
        <w:rPr>
          <w:rFonts w:ascii="Arial" w:hAnsi="Arial" w:cs="Arial"/>
          <w:sz w:val="22"/>
          <w:szCs w:val="22"/>
        </w:rPr>
        <w:t>m</w:t>
      </w:r>
      <w:r w:rsidR="00EF27D7" w:rsidRPr="001F7421">
        <w:rPr>
          <w:rFonts w:ascii="Arial" w:hAnsi="Arial" w:cs="Arial"/>
          <w:sz w:val="22"/>
          <w:szCs w:val="22"/>
        </w:rPr>
        <w:t xml:space="preserve"> (61%) of total expenditure costs.</w:t>
      </w:r>
      <w:r w:rsidR="000C5914" w:rsidRPr="001F7421">
        <w:rPr>
          <w:rFonts w:ascii="Arial" w:hAnsi="Arial" w:cs="Arial"/>
          <w:sz w:val="22"/>
          <w:szCs w:val="22"/>
        </w:rPr>
        <w:t xml:space="preserve"> </w:t>
      </w:r>
      <w:r w:rsidR="00850AB1" w:rsidRPr="001F7421">
        <w:rPr>
          <w:rFonts w:ascii="Arial" w:hAnsi="Arial" w:cs="Arial"/>
          <w:sz w:val="22"/>
          <w:szCs w:val="22"/>
        </w:rPr>
        <w:t>(</w:t>
      </w:r>
      <w:r w:rsidR="0033373F" w:rsidRPr="001F7421">
        <w:rPr>
          <w:rFonts w:ascii="Arial" w:hAnsi="Arial" w:cs="Arial"/>
          <w:sz w:val="22"/>
          <w:szCs w:val="22"/>
        </w:rPr>
        <w:t>£</w:t>
      </w:r>
      <w:r w:rsidR="00DC096C" w:rsidRPr="001F7421">
        <w:rPr>
          <w:rFonts w:ascii="Arial" w:hAnsi="Arial" w:cs="Arial"/>
          <w:sz w:val="22"/>
          <w:szCs w:val="22"/>
        </w:rPr>
        <w:t>6.52</w:t>
      </w:r>
      <w:r w:rsidR="00CD5D5C" w:rsidRPr="001F7421">
        <w:rPr>
          <w:rFonts w:ascii="Arial" w:hAnsi="Arial" w:cs="Arial"/>
          <w:sz w:val="22"/>
          <w:szCs w:val="22"/>
        </w:rPr>
        <w:t xml:space="preserve">m net of </w:t>
      </w:r>
      <w:r w:rsidR="004B5C87" w:rsidRPr="001F7421">
        <w:rPr>
          <w:rFonts w:ascii="Arial" w:hAnsi="Arial" w:cs="Arial"/>
          <w:sz w:val="22"/>
          <w:szCs w:val="22"/>
        </w:rPr>
        <w:t xml:space="preserve">income from </w:t>
      </w:r>
      <w:r w:rsidR="000C5914" w:rsidRPr="001F7421">
        <w:rPr>
          <w:rFonts w:ascii="Arial" w:hAnsi="Arial" w:cs="Arial"/>
          <w:sz w:val="22"/>
          <w:szCs w:val="22"/>
        </w:rPr>
        <w:t>a secondment recharge of £11k</w:t>
      </w:r>
      <w:r w:rsidR="0053026B" w:rsidRPr="001F7421">
        <w:rPr>
          <w:rFonts w:ascii="Arial" w:hAnsi="Arial" w:cs="Arial"/>
          <w:sz w:val="22"/>
          <w:szCs w:val="22"/>
        </w:rPr>
        <w:t xml:space="preserve"> </w:t>
      </w:r>
      <w:r w:rsidR="00CD5D5C" w:rsidRPr="001F7421">
        <w:rPr>
          <w:rFonts w:ascii="Arial" w:hAnsi="Arial" w:cs="Arial"/>
          <w:sz w:val="22"/>
          <w:szCs w:val="22"/>
        </w:rPr>
        <w:t xml:space="preserve">and </w:t>
      </w:r>
      <w:r w:rsidR="0053026B" w:rsidRPr="001F7421">
        <w:rPr>
          <w:rFonts w:ascii="Arial" w:hAnsi="Arial" w:cs="Arial"/>
          <w:sz w:val="22"/>
          <w:szCs w:val="22"/>
        </w:rPr>
        <w:t>the annual leave accru</w:t>
      </w:r>
      <w:r w:rsidR="00DC096C" w:rsidRPr="001F7421">
        <w:rPr>
          <w:rFonts w:ascii="Arial" w:hAnsi="Arial" w:cs="Arial"/>
          <w:sz w:val="22"/>
          <w:szCs w:val="22"/>
        </w:rPr>
        <w:t>al adjustment at end of March of (£14</w:t>
      </w:r>
      <w:r w:rsidR="00BD6CA6" w:rsidRPr="001F7421">
        <w:rPr>
          <w:rFonts w:ascii="Arial" w:hAnsi="Arial" w:cs="Arial"/>
          <w:sz w:val="22"/>
          <w:szCs w:val="22"/>
        </w:rPr>
        <w:t>k</w:t>
      </w:r>
      <w:r w:rsidR="0053026B" w:rsidRPr="001F7421">
        <w:rPr>
          <w:rFonts w:ascii="Arial" w:hAnsi="Arial" w:cs="Arial"/>
          <w:sz w:val="22"/>
          <w:szCs w:val="22"/>
        </w:rPr>
        <w:t>)</w:t>
      </w:r>
      <w:r w:rsidR="00850AB1" w:rsidRPr="001F7421">
        <w:rPr>
          <w:rFonts w:ascii="Arial" w:hAnsi="Arial" w:cs="Arial"/>
          <w:sz w:val="22"/>
          <w:szCs w:val="22"/>
        </w:rPr>
        <w:t>)</w:t>
      </w:r>
      <w:r w:rsidR="000C5914" w:rsidRPr="001F7421">
        <w:rPr>
          <w:rFonts w:ascii="Arial" w:hAnsi="Arial" w:cs="Arial"/>
          <w:sz w:val="22"/>
          <w:szCs w:val="22"/>
        </w:rPr>
        <w:t>.</w:t>
      </w:r>
      <w:r w:rsidR="008F0991" w:rsidRPr="001F7421">
        <w:rPr>
          <w:rFonts w:ascii="Arial" w:hAnsi="Arial" w:cs="Arial"/>
          <w:sz w:val="22"/>
          <w:szCs w:val="22"/>
        </w:rPr>
        <w:t xml:space="preserve">  </w:t>
      </w:r>
    </w:p>
    <w:p w:rsidR="005B0FDB" w:rsidRPr="005B0FDB" w:rsidRDefault="005B0FDB" w:rsidP="005B0FDB">
      <w:pPr>
        <w:pStyle w:val="ListParagraph"/>
        <w:numPr>
          <w:ilvl w:val="0"/>
          <w:numId w:val="17"/>
        </w:numPr>
        <w:jc w:val="both"/>
        <w:rPr>
          <w:rFonts w:ascii="Arial" w:hAnsi="Arial" w:cs="Arial"/>
          <w:sz w:val="22"/>
          <w:szCs w:val="22"/>
        </w:rPr>
      </w:pPr>
      <w:r>
        <w:rPr>
          <w:rFonts w:ascii="Arial" w:hAnsi="Arial" w:cs="Arial"/>
          <w:sz w:val="22"/>
          <w:szCs w:val="22"/>
        </w:rPr>
        <w:t xml:space="preserve">The largest element of underspend relates to </w:t>
      </w:r>
      <w:r w:rsidRPr="00271847">
        <w:rPr>
          <w:rFonts w:ascii="Arial" w:hAnsi="Arial" w:cs="Arial"/>
          <w:b/>
          <w:sz w:val="22"/>
          <w:szCs w:val="22"/>
          <w:u w:val="single"/>
        </w:rPr>
        <w:t>reserves</w:t>
      </w:r>
      <w:r>
        <w:rPr>
          <w:rFonts w:ascii="Arial" w:hAnsi="Arial" w:cs="Arial"/>
          <w:sz w:val="22"/>
          <w:szCs w:val="22"/>
        </w:rPr>
        <w:t xml:space="preserve"> not deployed and reported within finance at £2.925million under spend.  Reserves are retained in two distinct pots, one representing the HRA Approval Programme funding </w:t>
      </w:r>
      <w:r w:rsidR="00AA70A4">
        <w:rPr>
          <w:rFonts w:ascii="Arial" w:hAnsi="Arial" w:cs="Arial"/>
          <w:sz w:val="22"/>
          <w:szCs w:val="22"/>
        </w:rPr>
        <w:t xml:space="preserve">(£2.5million retained as at the end March) </w:t>
      </w:r>
      <w:r>
        <w:rPr>
          <w:rFonts w:ascii="Arial" w:hAnsi="Arial" w:cs="Arial"/>
          <w:sz w:val="22"/>
          <w:szCs w:val="22"/>
        </w:rPr>
        <w:t xml:space="preserve">and the other for </w:t>
      </w:r>
      <w:proofErr w:type="spellStart"/>
      <w:r>
        <w:rPr>
          <w:rFonts w:ascii="Arial" w:hAnsi="Arial" w:cs="Arial"/>
          <w:sz w:val="22"/>
          <w:szCs w:val="22"/>
        </w:rPr>
        <w:t>non programme</w:t>
      </w:r>
      <w:proofErr w:type="spellEnd"/>
      <w:r>
        <w:rPr>
          <w:rFonts w:ascii="Arial" w:hAnsi="Arial" w:cs="Arial"/>
          <w:sz w:val="22"/>
          <w:szCs w:val="22"/>
        </w:rPr>
        <w:t xml:space="preserve"> related functions.</w:t>
      </w:r>
      <w:r w:rsidR="00AA70A4">
        <w:rPr>
          <w:rFonts w:ascii="Arial" w:hAnsi="Arial" w:cs="Arial"/>
          <w:sz w:val="22"/>
          <w:szCs w:val="22"/>
        </w:rPr>
        <w:t xml:space="preserve"> (£389k retained as at the end of March).</w:t>
      </w:r>
    </w:p>
    <w:p w:rsidR="00AA70A4" w:rsidRPr="00AA70A4" w:rsidRDefault="00CC7BEE" w:rsidP="00AA70A4">
      <w:pPr>
        <w:pStyle w:val="ListParagraph"/>
        <w:numPr>
          <w:ilvl w:val="0"/>
          <w:numId w:val="17"/>
        </w:numPr>
        <w:rPr>
          <w:rFonts w:ascii="Arial" w:hAnsi="Arial" w:cs="Arial"/>
          <w:sz w:val="22"/>
          <w:szCs w:val="22"/>
        </w:rPr>
      </w:pPr>
      <w:r w:rsidRPr="00AA70A4">
        <w:rPr>
          <w:rFonts w:ascii="Arial" w:hAnsi="Arial" w:cs="Arial"/>
          <w:sz w:val="22"/>
          <w:szCs w:val="22"/>
        </w:rPr>
        <w:t xml:space="preserve">Considerable work has been deployed </w:t>
      </w:r>
      <w:r w:rsidR="00AA70A4" w:rsidRPr="00AA70A4">
        <w:rPr>
          <w:rFonts w:ascii="Arial" w:hAnsi="Arial" w:cs="Arial"/>
          <w:sz w:val="22"/>
          <w:szCs w:val="22"/>
        </w:rPr>
        <w:t xml:space="preserve">during the year </w:t>
      </w:r>
      <w:r w:rsidRPr="00AA70A4">
        <w:rPr>
          <w:rFonts w:ascii="Arial" w:hAnsi="Arial" w:cs="Arial"/>
          <w:sz w:val="22"/>
          <w:szCs w:val="22"/>
        </w:rPr>
        <w:t xml:space="preserve">into the recruitment phases supporting </w:t>
      </w:r>
      <w:r w:rsidR="001B0CA4" w:rsidRPr="00AA70A4">
        <w:rPr>
          <w:rFonts w:ascii="Arial" w:hAnsi="Arial" w:cs="Arial"/>
          <w:sz w:val="22"/>
          <w:szCs w:val="22"/>
        </w:rPr>
        <w:t xml:space="preserve">the </w:t>
      </w:r>
      <w:r w:rsidRPr="00AA70A4">
        <w:rPr>
          <w:rFonts w:ascii="Arial" w:hAnsi="Arial" w:cs="Arial"/>
          <w:sz w:val="22"/>
          <w:szCs w:val="22"/>
        </w:rPr>
        <w:t>HRA Approval</w:t>
      </w:r>
      <w:r w:rsidR="001B0CA4" w:rsidRPr="00AA70A4">
        <w:rPr>
          <w:rFonts w:ascii="Arial" w:hAnsi="Arial" w:cs="Arial"/>
          <w:sz w:val="22"/>
          <w:szCs w:val="22"/>
        </w:rPr>
        <w:t xml:space="preserve"> programme</w:t>
      </w:r>
      <w:r w:rsidRPr="00AA70A4">
        <w:rPr>
          <w:rFonts w:ascii="Arial" w:hAnsi="Arial" w:cs="Arial"/>
          <w:sz w:val="22"/>
          <w:szCs w:val="22"/>
        </w:rPr>
        <w:t xml:space="preserve">.  </w:t>
      </w:r>
      <w:r w:rsidR="002B67AD" w:rsidRPr="00AA70A4">
        <w:rPr>
          <w:rFonts w:ascii="Arial" w:hAnsi="Arial" w:cs="Arial"/>
          <w:sz w:val="22"/>
          <w:szCs w:val="22"/>
        </w:rPr>
        <w:t xml:space="preserve">Phase </w:t>
      </w:r>
      <w:r w:rsidR="001B0CA4" w:rsidRPr="00AA70A4">
        <w:rPr>
          <w:rFonts w:ascii="Arial" w:hAnsi="Arial" w:cs="Arial"/>
          <w:sz w:val="22"/>
          <w:szCs w:val="22"/>
        </w:rPr>
        <w:t xml:space="preserve">1, </w:t>
      </w:r>
      <w:r w:rsidR="002B67AD" w:rsidRPr="00AA70A4">
        <w:rPr>
          <w:rFonts w:ascii="Arial" w:hAnsi="Arial" w:cs="Arial"/>
          <w:sz w:val="22"/>
          <w:szCs w:val="22"/>
        </w:rPr>
        <w:t>2</w:t>
      </w:r>
      <w:r w:rsidR="0053026B" w:rsidRPr="00AA70A4">
        <w:rPr>
          <w:rFonts w:ascii="Arial" w:hAnsi="Arial" w:cs="Arial"/>
          <w:sz w:val="22"/>
          <w:szCs w:val="22"/>
        </w:rPr>
        <w:t xml:space="preserve"> and phase</w:t>
      </w:r>
      <w:r w:rsidR="00CE6394" w:rsidRPr="00AA70A4">
        <w:rPr>
          <w:rFonts w:ascii="Arial" w:hAnsi="Arial" w:cs="Arial"/>
          <w:sz w:val="22"/>
          <w:szCs w:val="22"/>
        </w:rPr>
        <w:t xml:space="preserve"> </w:t>
      </w:r>
      <w:r w:rsidR="0053026B" w:rsidRPr="00AA70A4">
        <w:rPr>
          <w:rFonts w:ascii="Arial" w:hAnsi="Arial" w:cs="Arial"/>
          <w:sz w:val="22"/>
          <w:szCs w:val="22"/>
        </w:rPr>
        <w:t>3</w:t>
      </w:r>
      <w:r w:rsidR="00CE6394" w:rsidRPr="00AA70A4">
        <w:rPr>
          <w:rFonts w:ascii="Arial" w:hAnsi="Arial" w:cs="Arial"/>
          <w:sz w:val="22"/>
          <w:szCs w:val="22"/>
        </w:rPr>
        <w:t xml:space="preserve"> </w:t>
      </w:r>
      <w:r w:rsidR="002B67AD" w:rsidRPr="00AA70A4">
        <w:rPr>
          <w:rFonts w:ascii="Arial" w:hAnsi="Arial" w:cs="Arial"/>
          <w:sz w:val="22"/>
          <w:szCs w:val="22"/>
        </w:rPr>
        <w:t xml:space="preserve">recruitment has completed and the profile of starters is set out </w:t>
      </w:r>
      <w:r w:rsidR="00AA70A4" w:rsidRPr="00AA70A4">
        <w:rPr>
          <w:rFonts w:ascii="Arial" w:hAnsi="Arial" w:cs="Arial"/>
          <w:sz w:val="22"/>
          <w:szCs w:val="22"/>
        </w:rPr>
        <w:t xml:space="preserve">in the following table </w:t>
      </w:r>
      <w:r w:rsidR="002B67AD" w:rsidRPr="00AA70A4">
        <w:rPr>
          <w:rFonts w:ascii="Arial" w:hAnsi="Arial" w:cs="Arial"/>
          <w:sz w:val="22"/>
          <w:szCs w:val="22"/>
        </w:rPr>
        <w:t>along with high level plans for phase</w:t>
      </w:r>
      <w:r w:rsidR="00AE298D" w:rsidRPr="00AA70A4">
        <w:rPr>
          <w:rFonts w:ascii="Arial" w:hAnsi="Arial" w:cs="Arial"/>
          <w:sz w:val="22"/>
          <w:szCs w:val="22"/>
        </w:rPr>
        <w:t>s</w:t>
      </w:r>
      <w:r w:rsidR="0053026B" w:rsidRPr="00AA70A4">
        <w:rPr>
          <w:rFonts w:ascii="Arial" w:hAnsi="Arial" w:cs="Arial"/>
          <w:sz w:val="22"/>
          <w:szCs w:val="22"/>
        </w:rPr>
        <w:t xml:space="preserve"> 4</w:t>
      </w:r>
      <w:r w:rsidR="00AB60D0" w:rsidRPr="00AA70A4">
        <w:rPr>
          <w:rFonts w:ascii="Arial" w:hAnsi="Arial" w:cs="Arial"/>
          <w:sz w:val="22"/>
          <w:szCs w:val="22"/>
        </w:rPr>
        <w:t xml:space="preserve"> to 6.</w:t>
      </w:r>
      <w:r w:rsidRPr="00AA70A4">
        <w:rPr>
          <w:rFonts w:ascii="Arial" w:hAnsi="Arial" w:cs="Arial"/>
          <w:sz w:val="22"/>
          <w:szCs w:val="22"/>
        </w:rPr>
        <w:t xml:space="preserve">  </w:t>
      </w:r>
      <w:r w:rsidR="0039756E" w:rsidRPr="00AA70A4">
        <w:rPr>
          <w:rFonts w:ascii="Arial" w:hAnsi="Arial" w:cs="Arial"/>
          <w:sz w:val="22"/>
          <w:szCs w:val="22"/>
        </w:rPr>
        <w:t xml:space="preserve">Reserves </w:t>
      </w:r>
      <w:r w:rsidR="001B0CA4" w:rsidRPr="00AA70A4">
        <w:rPr>
          <w:rFonts w:ascii="Arial" w:hAnsi="Arial" w:cs="Arial"/>
          <w:sz w:val="22"/>
          <w:szCs w:val="22"/>
        </w:rPr>
        <w:t>are not</w:t>
      </w:r>
      <w:r w:rsidR="0039756E" w:rsidRPr="00AA70A4">
        <w:rPr>
          <w:rFonts w:ascii="Arial" w:hAnsi="Arial" w:cs="Arial"/>
          <w:sz w:val="22"/>
          <w:szCs w:val="22"/>
        </w:rPr>
        <w:t xml:space="preserve"> released for posts until approvals for </w:t>
      </w:r>
      <w:proofErr w:type="spellStart"/>
      <w:r w:rsidR="0039756E" w:rsidRPr="00AA70A4">
        <w:rPr>
          <w:rFonts w:ascii="Arial" w:hAnsi="Arial" w:cs="Arial"/>
          <w:sz w:val="22"/>
          <w:szCs w:val="22"/>
        </w:rPr>
        <w:t>gradings</w:t>
      </w:r>
      <w:proofErr w:type="spellEnd"/>
      <w:r w:rsidR="0039756E" w:rsidRPr="00AA70A4">
        <w:rPr>
          <w:rFonts w:ascii="Arial" w:hAnsi="Arial" w:cs="Arial"/>
          <w:sz w:val="22"/>
          <w:szCs w:val="22"/>
        </w:rPr>
        <w:t xml:space="preserve">, recruitment and timing </w:t>
      </w:r>
      <w:r w:rsidR="001B0CA4" w:rsidRPr="00AA70A4">
        <w:rPr>
          <w:rFonts w:ascii="Arial" w:hAnsi="Arial" w:cs="Arial"/>
          <w:sz w:val="22"/>
          <w:szCs w:val="22"/>
        </w:rPr>
        <w:t xml:space="preserve">are </w:t>
      </w:r>
      <w:r w:rsidR="00AA70A4" w:rsidRPr="00AA70A4">
        <w:rPr>
          <w:rFonts w:ascii="Arial" w:hAnsi="Arial" w:cs="Arial"/>
          <w:sz w:val="22"/>
          <w:szCs w:val="22"/>
        </w:rPr>
        <w:t xml:space="preserve">clear and </w:t>
      </w:r>
      <w:r w:rsidR="001B0CA4" w:rsidRPr="00AA70A4">
        <w:rPr>
          <w:rFonts w:ascii="Arial" w:hAnsi="Arial" w:cs="Arial"/>
          <w:sz w:val="22"/>
          <w:szCs w:val="22"/>
        </w:rPr>
        <w:t>in place</w:t>
      </w:r>
      <w:r w:rsidR="0039756E" w:rsidRPr="00AA70A4">
        <w:rPr>
          <w:rFonts w:ascii="Arial" w:hAnsi="Arial" w:cs="Arial"/>
          <w:sz w:val="22"/>
          <w:szCs w:val="22"/>
        </w:rPr>
        <w:t xml:space="preserve">.  </w:t>
      </w:r>
      <w:r w:rsidR="00EF27D7" w:rsidRPr="00AA70A4">
        <w:rPr>
          <w:rFonts w:ascii="Arial" w:hAnsi="Arial" w:cs="Arial"/>
          <w:sz w:val="22"/>
          <w:szCs w:val="22"/>
        </w:rPr>
        <w:t>The understandable time it has taken to recruit to posts following the welcome news at the end of March 2014 on funding has led to a £1.97million underspend on pay costs alone against expected HRA Approval programme funding</w:t>
      </w:r>
      <w:r w:rsidR="0039756E" w:rsidRPr="00AA70A4">
        <w:rPr>
          <w:rFonts w:ascii="Arial" w:hAnsi="Arial" w:cs="Arial"/>
          <w:sz w:val="22"/>
          <w:szCs w:val="22"/>
        </w:rPr>
        <w:t xml:space="preserve"> retained within reserves.  </w:t>
      </w:r>
      <w:r w:rsidR="001B3CD0" w:rsidRPr="00AA70A4">
        <w:rPr>
          <w:rFonts w:ascii="Arial" w:hAnsi="Arial" w:cs="Arial"/>
          <w:sz w:val="22"/>
          <w:szCs w:val="22"/>
        </w:rPr>
        <w:t xml:space="preserve">The pay related non pay costs </w:t>
      </w:r>
      <w:r w:rsidR="005B0FDB" w:rsidRPr="00AA70A4">
        <w:rPr>
          <w:rFonts w:ascii="Arial" w:hAnsi="Arial" w:cs="Arial"/>
          <w:sz w:val="22"/>
          <w:szCs w:val="22"/>
        </w:rPr>
        <w:t xml:space="preserve">and contingencies for liabilities related to recruitment of £300k </w:t>
      </w:r>
      <w:r w:rsidR="001B3CD0" w:rsidRPr="00AA70A4">
        <w:rPr>
          <w:rFonts w:ascii="Arial" w:hAnsi="Arial" w:cs="Arial"/>
          <w:sz w:val="22"/>
          <w:szCs w:val="22"/>
        </w:rPr>
        <w:t xml:space="preserve">increase this underspend </w:t>
      </w:r>
      <w:r w:rsidR="00AA70A4" w:rsidRPr="00AA70A4">
        <w:rPr>
          <w:rFonts w:ascii="Arial" w:hAnsi="Arial" w:cs="Arial"/>
          <w:sz w:val="22"/>
          <w:szCs w:val="22"/>
        </w:rPr>
        <w:t xml:space="preserve">or </w:t>
      </w:r>
      <w:proofErr w:type="spellStart"/>
      <w:r w:rsidR="00AA70A4" w:rsidRPr="00AA70A4">
        <w:rPr>
          <w:rFonts w:ascii="Arial" w:hAnsi="Arial" w:cs="Arial"/>
          <w:sz w:val="22"/>
          <w:szCs w:val="22"/>
        </w:rPr>
        <w:t>non deployment</w:t>
      </w:r>
      <w:proofErr w:type="spellEnd"/>
      <w:r w:rsidR="00AA70A4" w:rsidRPr="00AA70A4">
        <w:rPr>
          <w:rFonts w:ascii="Arial" w:hAnsi="Arial" w:cs="Arial"/>
          <w:sz w:val="22"/>
          <w:szCs w:val="22"/>
        </w:rPr>
        <w:t xml:space="preserve"> from reserves </w:t>
      </w:r>
      <w:r w:rsidR="001B3CD0" w:rsidRPr="00AA70A4">
        <w:rPr>
          <w:rFonts w:ascii="Arial" w:hAnsi="Arial" w:cs="Arial"/>
          <w:sz w:val="22"/>
          <w:szCs w:val="22"/>
        </w:rPr>
        <w:t>to £2.5million.</w:t>
      </w:r>
      <w:r w:rsidR="00AA70A4" w:rsidRPr="00AA70A4">
        <w:rPr>
          <w:rFonts w:ascii="Arial" w:hAnsi="Arial" w:cs="Arial"/>
          <w:sz w:val="22"/>
          <w:szCs w:val="22"/>
        </w:rPr>
        <w:t xml:space="preserve"> (Forecasts of the full year effect costs of successful </w:t>
      </w:r>
      <w:r w:rsidR="001C6A8A">
        <w:rPr>
          <w:rFonts w:ascii="Arial" w:hAnsi="Arial" w:cs="Arial"/>
          <w:sz w:val="22"/>
          <w:szCs w:val="22"/>
        </w:rPr>
        <w:t xml:space="preserve">HRA Approval programme </w:t>
      </w:r>
      <w:r w:rsidR="00AA70A4" w:rsidRPr="00AA70A4">
        <w:rPr>
          <w:rFonts w:ascii="Arial" w:hAnsi="Arial" w:cs="Arial"/>
          <w:sz w:val="22"/>
          <w:szCs w:val="22"/>
        </w:rPr>
        <w:t>recruitment during 2014/15</w:t>
      </w:r>
      <w:r w:rsidR="001C6A8A">
        <w:rPr>
          <w:rFonts w:ascii="Arial" w:hAnsi="Arial" w:cs="Arial"/>
          <w:sz w:val="22"/>
          <w:szCs w:val="22"/>
        </w:rPr>
        <w:t>,</w:t>
      </w:r>
      <w:r w:rsidR="00AA70A4" w:rsidRPr="00AA70A4">
        <w:rPr>
          <w:rFonts w:ascii="Arial" w:hAnsi="Arial" w:cs="Arial"/>
          <w:sz w:val="22"/>
          <w:szCs w:val="22"/>
        </w:rPr>
        <w:t xml:space="preserve"> point to a tight position on </w:t>
      </w:r>
      <w:r w:rsidR="001C6A8A">
        <w:rPr>
          <w:rFonts w:ascii="Arial" w:hAnsi="Arial" w:cs="Arial"/>
          <w:sz w:val="22"/>
          <w:szCs w:val="22"/>
        </w:rPr>
        <w:t xml:space="preserve">programme related </w:t>
      </w:r>
      <w:r w:rsidR="00AA70A4" w:rsidRPr="00AA70A4">
        <w:rPr>
          <w:rFonts w:ascii="Arial" w:hAnsi="Arial" w:cs="Arial"/>
          <w:sz w:val="22"/>
          <w:szCs w:val="22"/>
        </w:rPr>
        <w:t xml:space="preserve">pay into 2015/16 with just </w:t>
      </w:r>
      <w:r w:rsidR="001C6A8A">
        <w:rPr>
          <w:rFonts w:ascii="Arial" w:hAnsi="Arial" w:cs="Arial"/>
          <w:sz w:val="22"/>
          <w:szCs w:val="22"/>
        </w:rPr>
        <w:t xml:space="preserve">a </w:t>
      </w:r>
      <w:r w:rsidR="00AA70A4" w:rsidRPr="00AA70A4">
        <w:rPr>
          <w:rFonts w:ascii="Arial" w:hAnsi="Arial" w:cs="Arial"/>
          <w:sz w:val="22"/>
          <w:szCs w:val="22"/>
        </w:rPr>
        <w:t>£48k underspend expected.</w:t>
      </w:r>
      <w:r w:rsidR="00AA70A4">
        <w:rPr>
          <w:rFonts w:ascii="Arial" w:hAnsi="Arial" w:cs="Arial"/>
          <w:sz w:val="22"/>
          <w:szCs w:val="22"/>
        </w:rPr>
        <w:t>)</w:t>
      </w:r>
    </w:p>
    <w:p w:rsidR="00CC7BEE" w:rsidRPr="00AA70A4" w:rsidRDefault="00CC7BEE" w:rsidP="00AA70A4">
      <w:pPr>
        <w:ind w:left="360"/>
        <w:jc w:val="both"/>
        <w:rPr>
          <w:rFonts w:ascii="Arial" w:hAnsi="Arial" w:cs="Arial"/>
          <w:sz w:val="22"/>
          <w:szCs w:val="22"/>
        </w:rPr>
      </w:pPr>
    </w:p>
    <w:p w:rsidR="00AA70A4" w:rsidRDefault="00AA70A4" w:rsidP="00AA70A4">
      <w:pPr>
        <w:jc w:val="both"/>
        <w:rPr>
          <w:rFonts w:ascii="Arial" w:hAnsi="Arial" w:cs="Arial"/>
          <w:sz w:val="22"/>
          <w:szCs w:val="22"/>
        </w:rPr>
      </w:pPr>
    </w:p>
    <w:p w:rsidR="00AA70A4" w:rsidRDefault="00AA70A4" w:rsidP="00AA70A4">
      <w:pPr>
        <w:jc w:val="both"/>
        <w:rPr>
          <w:rFonts w:ascii="Arial" w:hAnsi="Arial" w:cs="Arial"/>
          <w:sz w:val="22"/>
          <w:szCs w:val="22"/>
        </w:rPr>
      </w:pPr>
    </w:p>
    <w:p w:rsidR="00AA70A4" w:rsidRDefault="00AA70A4" w:rsidP="00AA70A4">
      <w:pPr>
        <w:jc w:val="both"/>
        <w:rPr>
          <w:rFonts w:ascii="Arial" w:hAnsi="Arial" w:cs="Arial"/>
          <w:sz w:val="22"/>
          <w:szCs w:val="22"/>
        </w:rPr>
      </w:pPr>
    </w:p>
    <w:p w:rsidR="00AA70A4" w:rsidRPr="00AA70A4" w:rsidRDefault="00AA70A4" w:rsidP="00AA70A4">
      <w:pPr>
        <w:jc w:val="both"/>
        <w:rPr>
          <w:rFonts w:ascii="Arial" w:hAnsi="Arial" w:cs="Arial"/>
          <w:sz w:val="22"/>
          <w:szCs w:val="22"/>
        </w:rPr>
      </w:pPr>
    </w:p>
    <w:p w:rsidR="00CD5D5C" w:rsidRPr="000A5374" w:rsidRDefault="00CD5D5C" w:rsidP="00CD5D5C">
      <w:pPr>
        <w:pStyle w:val="ListParagraph"/>
        <w:ind w:left="1080"/>
        <w:jc w:val="both"/>
        <w:rPr>
          <w:rFonts w:ascii="Arial" w:hAnsi="Arial" w:cs="Arial"/>
          <w:sz w:val="22"/>
          <w:szCs w:val="22"/>
        </w:rPr>
      </w:pPr>
    </w:p>
    <w:tbl>
      <w:tblPr>
        <w:tblW w:w="9366" w:type="dxa"/>
        <w:tblInd w:w="98" w:type="dxa"/>
        <w:tblLayout w:type="fixed"/>
        <w:tblLook w:val="04A0" w:firstRow="1" w:lastRow="0" w:firstColumn="1" w:lastColumn="0" w:noHBand="0" w:noVBand="1"/>
      </w:tblPr>
      <w:tblGrid>
        <w:gridCol w:w="1286"/>
        <w:gridCol w:w="1515"/>
        <w:gridCol w:w="1039"/>
        <w:gridCol w:w="1505"/>
        <w:gridCol w:w="1312"/>
        <w:gridCol w:w="1121"/>
        <w:gridCol w:w="812"/>
        <w:gridCol w:w="776"/>
      </w:tblGrid>
      <w:tr w:rsidR="00CC7BEE" w:rsidRPr="00CC7BEE" w:rsidTr="00CC7BEE">
        <w:trPr>
          <w:trHeight w:val="540"/>
        </w:trPr>
        <w:tc>
          <w:tcPr>
            <w:tcW w:w="1286" w:type="dxa"/>
            <w:tcBorders>
              <w:top w:val="single" w:sz="8" w:space="0" w:color="auto"/>
              <w:left w:val="single" w:sz="8" w:space="0" w:color="auto"/>
              <w:bottom w:val="single" w:sz="4" w:space="0" w:color="auto"/>
              <w:right w:val="single" w:sz="4" w:space="0" w:color="auto"/>
            </w:tcBorders>
            <w:shd w:val="clear" w:color="000000" w:fill="56008C"/>
            <w:noWrap/>
            <w:vAlign w:val="bottom"/>
            <w:hideMark/>
          </w:tcPr>
          <w:p w:rsidR="00CC7BEE" w:rsidRPr="00CC7BEE" w:rsidRDefault="00CC7BEE" w:rsidP="00CC7BEE">
            <w:pPr>
              <w:jc w:val="center"/>
              <w:rPr>
                <w:rFonts w:ascii="Calibri" w:hAnsi="Calibri" w:cs="Calibri"/>
                <w:color w:val="FFFFFF"/>
                <w:sz w:val="22"/>
                <w:szCs w:val="22"/>
              </w:rPr>
            </w:pPr>
            <w:r w:rsidRPr="00CC7BEE">
              <w:rPr>
                <w:rFonts w:ascii="Calibri" w:hAnsi="Calibri" w:cs="Calibri"/>
                <w:color w:val="FFFFFF"/>
                <w:sz w:val="22"/>
                <w:szCs w:val="22"/>
              </w:rPr>
              <w:t> </w:t>
            </w:r>
          </w:p>
        </w:tc>
        <w:tc>
          <w:tcPr>
            <w:tcW w:w="1515" w:type="dxa"/>
            <w:tcBorders>
              <w:top w:val="single" w:sz="8" w:space="0" w:color="auto"/>
              <w:left w:val="nil"/>
              <w:bottom w:val="single" w:sz="4" w:space="0" w:color="auto"/>
              <w:right w:val="single" w:sz="4" w:space="0" w:color="auto"/>
            </w:tcBorders>
            <w:shd w:val="clear" w:color="000000" w:fill="56008C"/>
            <w:noWrap/>
            <w:vAlign w:val="bottom"/>
            <w:hideMark/>
          </w:tcPr>
          <w:p w:rsidR="00CC7BEE" w:rsidRPr="00CC7BEE" w:rsidRDefault="00CC7BEE" w:rsidP="00CC7BEE">
            <w:pPr>
              <w:jc w:val="center"/>
              <w:rPr>
                <w:rFonts w:ascii="Calibri" w:hAnsi="Calibri" w:cs="Calibri"/>
                <w:b/>
                <w:bCs/>
                <w:color w:val="FFFFFF"/>
                <w:sz w:val="22"/>
                <w:szCs w:val="22"/>
              </w:rPr>
            </w:pPr>
            <w:r w:rsidRPr="00CC7BEE">
              <w:rPr>
                <w:rFonts w:ascii="Calibri" w:hAnsi="Calibri" w:cs="Calibri"/>
                <w:b/>
                <w:bCs/>
                <w:color w:val="FFFFFF"/>
                <w:sz w:val="22"/>
                <w:szCs w:val="22"/>
              </w:rPr>
              <w:t>Phase 1</w:t>
            </w:r>
          </w:p>
        </w:tc>
        <w:tc>
          <w:tcPr>
            <w:tcW w:w="1039" w:type="dxa"/>
            <w:tcBorders>
              <w:top w:val="single" w:sz="8" w:space="0" w:color="auto"/>
              <w:left w:val="nil"/>
              <w:bottom w:val="single" w:sz="4" w:space="0" w:color="auto"/>
              <w:right w:val="single" w:sz="4" w:space="0" w:color="auto"/>
            </w:tcBorders>
            <w:shd w:val="clear" w:color="000000" w:fill="56008C"/>
            <w:noWrap/>
            <w:vAlign w:val="bottom"/>
            <w:hideMark/>
          </w:tcPr>
          <w:p w:rsidR="00CC7BEE" w:rsidRPr="00CC7BEE" w:rsidRDefault="00CC7BEE" w:rsidP="00CC7BEE">
            <w:pPr>
              <w:jc w:val="center"/>
              <w:rPr>
                <w:rFonts w:ascii="Calibri" w:hAnsi="Calibri" w:cs="Calibri"/>
                <w:b/>
                <w:bCs/>
                <w:color w:val="FFFFFF"/>
                <w:sz w:val="22"/>
                <w:szCs w:val="22"/>
              </w:rPr>
            </w:pPr>
            <w:r w:rsidRPr="00CC7BEE">
              <w:rPr>
                <w:rFonts w:ascii="Calibri" w:hAnsi="Calibri" w:cs="Calibri"/>
                <w:b/>
                <w:bCs/>
                <w:color w:val="FFFFFF"/>
                <w:sz w:val="22"/>
                <w:szCs w:val="22"/>
              </w:rPr>
              <w:t>Phase 2</w:t>
            </w:r>
          </w:p>
        </w:tc>
        <w:tc>
          <w:tcPr>
            <w:tcW w:w="1505" w:type="dxa"/>
            <w:tcBorders>
              <w:top w:val="single" w:sz="8" w:space="0" w:color="auto"/>
              <w:left w:val="nil"/>
              <w:bottom w:val="single" w:sz="4" w:space="0" w:color="auto"/>
              <w:right w:val="single" w:sz="4" w:space="0" w:color="auto"/>
            </w:tcBorders>
            <w:shd w:val="clear" w:color="000000" w:fill="56008C"/>
            <w:noWrap/>
            <w:vAlign w:val="bottom"/>
            <w:hideMark/>
          </w:tcPr>
          <w:p w:rsidR="00CC7BEE" w:rsidRPr="00CC7BEE" w:rsidRDefault="00CC7BEE" w:rsidP="00CC7BEE">
            <w:pPr>
              <w:jc w:val="center"/>
              <w:rPr>
                <w:rFonts w:ascii="Calibri" w:hAnsi="Calibri" w:cs="Calibri"/>
                <w:b/>
                <w:bCs/>
                <w:color w:val="FFFFFF"/>
                <w:sz w:val="22"/>
                <w:szCs w:val="22"/>
              </w:rPr>
            </w:pPr>
            <w:r w:rsidRPr="00CC7BEE">
              <w:rPr>
                <w:rFonts w:ascii="Calibri" w:hAnsi="Calibri" w:cs="Calibri"/>
                <w:b/>
                <w:bCs/>
                <w:color w:val="FFFFFF"/>
                <w:sz w:val="22"/>
                <w:szCs w:val="22"/>
              </w:rPr>
              <w:t>Phase 3</w:t>
            </w:r>
          </w:p>
        </w:tc>
        <w:tc>
          <w:tcPr>
            <w:tcW w:w="1312" w:type="dxa"/>
            <w:tcBorders>
              <w:top w:val="single" w:sz="8" w:space="0" w:color="auto"/>
              <w:left w:val="nil"/>
              <w:bottom w:val="single" w:sz="4" w:space="0" w:color="auto"/>
              <w:right w:val="single" w:sz="4" w:space="0" w:color="auto"/>
            </w:tcBorders>
            <w:shd w:val="clear" w:color="000000" w:fill="56008C"/>
            <w:noWrap/>
            <w:vAlign w:val="bottom"/>
            <w:hideMark/>
          </w:tcPr>
          <w:p w:rsidR="00CC7BEE" w:rsidRPr="00CC7BEE" w:rsidRDefault="00CC7BEE" w:rsidP="00CC7BEE">
            <w:pPr>
              <w:jc w:val="center"/>
              <w:rPr>
                <w:rFonts w:ascii="Calibri" w:hAnsi="Calibri" w:cs="Calibri"/>
                <w:b/>
                <w:bCs/>
                <w:color w:val="FFFFFF"/>
                <w:sz w:val="22"/>
                <w:szCs w:val="22"/>
              </w:rPr>
            </w:pPr>
            <w:r w:rsidRPr="00CC7BEE">
              <w:rPr>
                <w:rFonts w:ascii="Calibri" w:hAnsi="Calibri" w:cs="Calibri"/>
                <w:b/>
                <w:bCs/>
                <w:color w:val="FFFFFF"/>
                <w:sz w:val="22"/>
                <w:szCs w:val="22"/>
              </w:rPr>
              <w:t>Phase 4</w:t>
            </w:r>
          </w:p>
        </w:tc>
        <w:tc>
          <w:tcPr>
            <w:tcW w:w="1121" w:type="dxa"/>
            <w:tcBorders>
              <w:top w:val="single" w:sz="8" w:space="0" w:color="auto"/>
              <w:left w:val="nil"/>
              <w:bottom w:val="single" w:sz="4" w:space="0" w:color="auto"/>
              <w:right w:val="single" w:sz="4" w:space="0" w:color="auto"/>
            </w:tcBorders>
            <w:shd w:val="clear" w:color="000000" w:fill="56008C"/>
            <w:noWrap/>
            <w:vAlign w:val="bottom"/>
            <w:hideMark/>
          </w:tcPr>
          <w:p w:rsidR="00CC7BEE" w:rsidRPr="00CC7BEE" w:rsidRDefault="00CC7BEE" w:rsidP="00CC7BEE">
            <w:pPr>
              <w:jc w:val="center"/>
              <w:rPr>
                <w:rFonts w:ascii="Calibri" w:hAnsi="Calibri" w:cs="Calibri"/>
                <w:b/>
                <w:bCs/>
                <w:color w:val="FFFFFF"/>
                <w:sz w:val="22"/>
                <w:szCs w:val="22"/>
              </w:rPr>
            </w:pPr>
            <w:r w:rsidRPr="00CC7BEE">
              <w:rPr>
                <w:rFonts w:ascii="Calibri" w:hAnsi="Calibri" w:cs="Calibri"/>
                <w:b/>
                <w:bCs/>
                <w:color w:val="FFFFFF"/>
                <w:sz w:val="22"/>
                <w:szCs w:val="22"/>
              </w:rPr>
              <w:t>Phase 4 &amp; 5</w:t>
            </w:r>
          </w:p>
        </w:tc>
        <w:tc>
          <w:tcPr>
            <w:tcW w:w="812" w:type="dxa"/>
            <w:tcBorders>
              <w:top w:val="single" w:sz="8" w:space="0" w:color="auto"/>
              <w:left w:val="nil"/>
              <w:bottom w:val="single" w:sz="4" w:space="0" w:color="auto"/>
              <w:right w:val="nil"/>
            </w:tcBorders>
            <w:shd w:val="clear" w:color="000000" w:fill="56008C"/>
            <w:noWrap/>
            <w:vAlign w:val="bottom"/>
            <w:hideMark/>
          </w:tcPr>
          <w:p w:rsidR="00CC7BEE" w:rsidRPr="00CC7BEE" w:rsidRDefault="00CC7BEE" w:rsidP="00CC7BEE">
            <w:pPr>
              <w:jc w:val="center"/>
              <w:rPr>
                <w:rFonts w:ascii="Calibri" w:hAnsi="Calibri" w:cs="Calibri"/>
                <w:b/>
                <w:bCs/>
                <w:color w:val="FFFFFF"/>
                <w:sz w:val="22"/>
                <w:szCs w:val="22"/>
              </w:rPr>
            </w:pPr>
            <w:r w:rsidRPr="00CC7BEE">
              <w:rPr>
                <w:rFonts w:ascii="Calibri" w:hAnsi="Calibri" w:cs="Calibri"/>
                <w:b/>
                <w:bCs/>
                <w:color w:val="FFFFFF"/>
                <w:sz w:val="22"/>
                <w:szCs w:val="22"/>
              </w:rPr>
              <w:t>Phase 6</w:t>
            </w:r>
          </w:p>
        </w:tc>
        <w:tc>
          <w:tcPr>
            <w:tcW w:w="776" w:type="dxa"/>
            <w:tcBorders>
              <w:top w:val="single" w:sz="8" w:space="0" w:color="auto"/>
              <w:left w:val="single" w:sz="4" w:space="0" w:color="auto"/>
              <w:bottom w:val="single" w:sz="4" w:space="0" w:color="auto"/>
              <w:right w:val="single" w:sz="8" w:space="0" w:color="auto"/>
            </w:tcBorders>
            <w:shd w:val="clear" w:color="000000" w:fill="56008C"/>
            <w:noWrap/>
            <w:vAlign w:val="bottom"/>
            <w:hideMark/>
          </w:tcPr>
          <w:p w:rsidR="00CC7BEE" w:rsidRPr="00CC7BEE" w:rsidRDefault="00CC7BEE" w:rsidP="00CC7BEE">
            <w:pPr>
              <w:jc w:val="center"/>
              <w:rPr>
                <w:rFonts w:ascii="Calibri" w:hAnsi="Calibri" w:cs="Calibri"/>
                <w:color w:val="FFFFFF"/>
                <w:sz w:val="22"/>
                <w:szCs w:val="22"/>
              </w:rPr>
            </w:pPr>
            <w:r w:rsidRPr="00CC7BEE">
              <w:rPr>
                <w:rFonts w:ascii="Calibri" w:hAnsi="Calibri" w:cs="Calibri"/>
                <w:color w:val="FFFFFF"/>
                <w:sz w:val="22"/>
                <w:szCs w:val="22"/>
              </w:rPr>
              <w:t>Total</w:t>
            </w:r>
          </w:p>
        </w:tc>
      </w:tr>
      <w:tr w:rsidR="00CC7BEE" w:rsidRPr="00CC7BEE" w:rsidTr="00CC7BEE">
        <w:trPr>
          <w:trHeight w:val="315"/>
        </w:trPr>
        <w:tc>
          <w:tcPr>
            <w:tcW w:w="1286" w:type="dxa"/>
            <w:tcBorders>
              <w:top w:val="nil"/>
              <w:left w:val="single" w:sz="8" w:space="0" w:color="auto"/>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 </w:t>
            </w:r>
          </w:p>
        </w:tc>
        <w:tc>
          <w:tcPr>
            <w:tcW w:w="1515"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In Post July-Sept</w:t>
            </w:r>
          </w:p>
        </w:tc>
        <w:tc>
          <w:tcPr>
            <w:tcW w:w="1039"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In Post Oct</w:t>
            </w:r>
          </w:p>
        </w:tc>
        <w:tc>
          <w:tcPr>
            <w:tcW w:w="1505"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In post Nov - Dec</w:t>
            </w:r>
          </w:p>
        </w:tc>
        <w:tc>
          <w:tcPr>
            <w:tcW w:w="1312"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In Post by Mar</w:t>
            </w:r>
          </w:p>
        </w:tc>
        <w:tc>
          <w:tcPr>
            <w:tcW w:w="1121" w:type="dxa"/>
            <w:tcBorders>
              <w:top w:val="nil"/>
              <w:left w:val="nil"/>
              <w:bottom w:val="single" w:sz="4" w:space="0" w:color="auto"/>
              <w:right w:val="single" w:sz="4" w:space="0" w:color="auto"/>
            </w:tcBorders>
            <w:shd w:val="clear" w:color="auto" w:fill="auto"/>
            <w:noWrap/>
            <w:vAlign w:val="bottom"/>
            <w:hideMark/>
          </w:tcPr>
          <w:p w:rsidR="00CC7BEE" w:rsidRPr="00CC7BEE" w:rsidRDefault="000A5374" w:rsidP="00CC7BEE">
            <w:pPr>
              <w:jc w:val="center"/>
              <w:rPr>
                <w:rFonts w:ascii="Calibri" w:hAnsi="Calibri" w:cs="Calibri"/>
                <w:color w:val="000000"/>
                <w:sz w:val="22"/>
                <w:szCs w:val="22"/>
              </w:rPr>
            </w:pPr>
            <w:r>
              <w:rPr>
                <w:rFonts w:ascii="Calibri" w:hAnsi="Calibri" w:cs="Calibri"/>
                <w:color w:val="000000"/>
                <w:sz w:val="22"/>
                <w:szCs w:val="22"/>
              </w:rPr>
              <w:t>Early 2015/16</w:t>
            </w:r>
          </w:p>
        </w:tc>
        <w:tc>
          <w:tcPr>
            <w:tcW w:w="812" w:type="dxa"/>
            <w:tcBorders>
              <w:top w:val="nil"/>
              <w:left w:val="nil"/>
              <w:bottom w:val="single" w:sz="4" w:space="0" w:color="auto"/>
              <w:right w:val="nil"/>
            </w:tcBorders>
            <w:shd w:val="clear" w:color="auto" w:fill="auto"/>
            <w:noWrap/>
            <w:vAlign w:val="bottom"/>
            <w:hideMark/>
          </w:tcPr>
          <w:p w:rsidR="00CC7BEE" w:rsidRPr="00CC7BEE" w:rsidRDefault="000A5374" w:rsidP="000A5374">
            <w:pPr>
              <w:rPr>
                <w:rFonts w:ascii="Calibri" w:hAnsi="Calibri" w:cs="Calibri"/>
                <w:color w:val="000000"/>
                <w:sz w:val="22"/>
                <w:szCs w:val="22"/>
              </w:rPr>
            </w:pPr>
            <w:r>
              <w:rPr>
                <w:rFonts w:ascii="Calibri" w:hAnsi="Calibri" w:cs="Calibri"/>
                <w:color w:val="000000"/>
                <w:sz w:val="22"/>
                <w:szCs w:val="22"/>
              </w:rPr>
              <w:t>Mid 2015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 </w:t>
            </w:r>
          </w:p>
        </w:tc>
      </w:tr>
      <w:tr w:rsidR="00CC7BEE" w:rsidRPr="00CC7BEE" w:rsidTr="00CC7BEE">
        <w:trPr>
          <w:trHeight w:val="315"/>
        </w:trPr>
        <w:tc>
          <w:tcPr>
            <w:tcW w:w="1286" w:type="dxa"/>
            <w:tcBorders>
              <w:top w:val="nil"/>
              <w:left w:val="single" w:sz="8" w:space="0" w:color="auto"/>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b/>
                <w:bCs/>
                <w:color w:val="000000"/>
                <w:sz w:val="22"/>
                <w:szCs w:val="22"/>
              </w:rPr>
            </w:pPr>
            <w:r w:rsidRPr="00CC7BEE">
              <w:rPr>
                <w:rFonts w:ascii="Calibri" w:hAnsi="Calibri" w:cs="Calibri"/>
                <w:b/>
                <w:bCs/>
                <w:color w:val="000000"/>
                <w:sz w:val="22"/>
                <w:szCs w:val="22"/>
              </w:rPr>
              <w:t>Headcount</w:t>
            </w:r>
          </w:p>
        </w:tc>
        <w:tc>
          <w:tcPr>
            <w:tcW w:w="1515"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15</w:t>
            </w:r>
          </w:p>
        </w:tc>
        <w:tc>
          <w:tcPr>
            <w:tcW w:w="1039"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12</w:t>
            </w:r>
          </w:p>
        </w:tc>
        <w:tc>
          <w:tcPr>
            <w:tcW w:w="1505" w:type="dxa"/>
            <w:tcBorders>
              <w:top w:val="nil"/>
              <w:left w:val="nil"/>
              <w:bottom w:val="single" w:sz="4" w:space="0" w:color="auto"/>
              <w:right w:val="single" w:sz="4" w:space="0" w:color="auto"/>
            </w:tcBorders>
            <w:shd w:val="clear" w:color="auto" w:fill="auto"/>
            <w:noWrap/>
            <w:vAlign w:val="bottom"/>
            <w:hideMark/>
          </w:tcPr>
          <w:p w:rsidR="00CC7BEE" w:rsidRPr="00CC7BEE" w:rsidRDefault="00033FF1" w:rsidP="00CC7BEE">
            <w:pPr>
              <w:jc w:val="center"/>
              <w:rPr>
                <w:rFonts w:ascii="Calibri" w:hAnsi="Calibri" w:cs="Calibri"/>
                <w:color w:val="000000"/>
                <w:sz w:val="22"/>
                <w:szCs w:val="22"/>
              </w:rPr>
            </w:pPr>
            <w:r>
              <w:rPr>
                <w:rFonts w:ascii="Calibri" w:hAnsi="Calibri" w:cs="Calibri"/>
                <w:color w:val="000000"/>
                <w:sz w:val="22"/>
                <w:szCs w:val="22"/>
              </w:rPr>
              <w:t>12</w:t>
            </w:r>
          </w:p>
        </w:tc>
        <w:tc>
          <w:tcPr>
            <w:tcW w:w="1312" w:type="dxa"/>
            <w:tcBorders>
              <w:top w:val="nil"/>
              <w:left w:val="nil"/>
              <w:bottom w:val="single" w:sz="4" w:space="0" w:color="auto"/>
              <w:right w:val="single" w:sz="4" w:space="0" w:color="auto"/>
            </w:tcBorders>
            <w:shd w:val="clear" w:color="auto" w:fill="auto"/>
            <w:noWrap/>
            <w:vAlign w:val="bottom"/>
            <w:hideMark/>
          </w:tcPr>
          <w:p w:rsidR="00CC7BEE" w:rsidRPr="00CC7BEE" w:rsidRDefault="00755468" w:rsidP="00CC7BEE">
            <w:pPr>
              <w:jc w:val="center"/>
              <w:rPr>
                <w:rFonts w:ascii="Calibri" w:hAnsi="Calibri" w:cs="Calibri"/>
                <w:color w:val="000000"/>
                <w:sz w:val="22"/>
                <w:szCs w:val="22"/>
              </w:rPr>
            </w:pPr>
            <w:r>
              <w:rPr>
                <w:rFonts w:ascii="Calibri" w:hAnsi="Calibri" w:cs="Calibri"/>
                <w:color w:val="000000"/>
                <w:sz w:val="22"/>
                <w:szCs w:val="22"/>
              </w:rPr>
              <w:t>6</w:t>
            </w:r>
          </w:p>
        </w:tc>
        <w:tc>
          <w:tcPr>
            <w:tcW w:w="1121" w:type="dxa"/>
            <w:tcBorders>
              <w:top w:val="nil"/>
              <w:left w:val="nil"/>
              <w:bottom w:val="single" w:sz="4" w:space="0" w:color="auto"/>
              <w:right w:val="single" w:sz="4" w:space="0" w:color="auto"/>
            </w:tcBorders>
            <w:shd w:val="clear" w:color="auto" w:fill="auto"/>
            <w:noWrap/>
            <w:vAlign w:val="bottom"/>
            <w:hideMark/>
          </w:tcPr>
          <w:p w:rsidR="00CC7BEE" w:rsidRPr="00CC7BEE" w:rsidRDefault="00755468" w:rsidP="00CC7BEE">
            <w:pPr>
              <w:jc w:val="center"/>
              <w:rPr>
                <w:rFonts w:ascii="Calibri" w:hAnsi="Calibri" w:cs="Calibri"/>
                <w:color w:val="000000"/>
                <w:sz w:val="22"/>
                <w:szCs w:val="22"/>
              </w:rPr>
            </w:pPr>
            <w:r>
              <w:rPr>
                <w:rFonts w:ascii="Calibri" w:hAnsi="Calibri" w:cs="Calibri"/>
                <w:color w:val="000000"/>
                <w:sz w:val="22"/>
                <w:szCs w:val="22"/>
              </w:rPr>
              <w:t>36</w:t>
            </w:r>
          </w:p>
        </w:tc>
        <w:tc>
          <w:tcPr>
            <w:tcW w:w="812" w:type="dxa"/>
            <w:tcBorders>
              <w:top w:val="nil"/>
              <w:left w:val="nil"/>
              <w:bottom w:val="single" w:sz="4" w:space="0" w:color="auto"/>
              <w:right w:val="nil"/>
            </w:tcBorders>
            <w:shd w:val="clear" w:color="auto" w:fill="auto"/>
            <w:noWrap/>
            <w:vAlign w:val="bottom"/>
            <w:hideMark/>
          </w:tcPr>
          <w:p w:rsidR="00CC7BEE" w:rsidRPr="00CC7BEE" w:rsidRDefault="00755468" w:rsidP="00CC7BEE">
            <w:pPr>
              <w:jc w:val="center"/>
              <w:rPr>
                <w:rFonts w:ascii="Calibri" w:hAnsi="Calibri" w:cs="Calibri"/>
                <w:color w:val="000000"/>
                <w:sz w:val="22"/>
                <w:szCs w:val="22"/>
              </w:rPr>
            </w:pPr>
            <w:r>
              <w:rPr>
                <w:rFonts w:ascii="Calibri" w:hAnsi="Calibri" w:cs="Calibri"/>
                <w:color w:val="000000"/>
                <w:sz w:val="22"/>
                <w:szCs w:val="22"/>
              </w:rPr>
              <w:t>15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CC7BEE" w:rsidRPr="00CC7BEE" w:rsidRDefault="00755468" w:rsidP="00033FF1">
            <w:pPr>
              <w:rPr>
                <w:rFonts w:ascii="Calibri" w:hAnsi="Calibri" w:cs="Calibri"/>
                <w:color w:val="000000"/>
                <w:sz w:val="22"/>
                <w:szCs w:val="22"/>
              </w:rPr>
            </w:pPr>
            <w:r>
              <w:rPr>
                <w:rFonts w:ascii="Calibri" w:hAnsi="Calibri" w:cs="Calibri"/>
                <w:color w:val="000000"/>
                <w:sz w:val="22"/>
                <w:szCs w:val="22"/>
              </w:rPr>
              <w:t>96</w:t>
            </w:r>
          </w:p>
        </w:tc>
      </w:tr>
      <w:tr w:rsidR="00CC7BEE" w:rsidRPr="00CC7BEE" w:rsidTr="00CC7BEE">
        <w:trPr>
          <w:trHeight w:val="315"/>
        </w:trPr>
        <w:tc>
          <w:tcPr>
            <w:tcW w:w="1286" w:type="dxa"/>
            <w:tcBorders>
              <w:top w:val="nil"/>
              <w:left w:val="single" w:sz="8" w:space="0" w:color="auto"/>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b/>
                <w:bCs/>
                <w:color w:val="000000"/>
                <w:sz w:val="22"/>
                <w:szCs w:val="22"/>
              </w:rPr>
            </w:pPr>
            <w:r w:rsidRPr="00CC7BEE">
              <w:rPr>
                <w:rFonts w:ascii="Calibri" w:hAnsi="Calibri" w:cs="Calibri"/>
                <w:b/>
                <w:bCs/>
                <w:color w:val="000000"/>
                <w:sz w:val="22"/>
                <w:szCs w:val="22"/>
              </w:rPr>
              <w:t>WTE's</w:t>
            </w:r>
          </w:p>
        </w:tc>
        <w:tc>
          <w:tcPr>
            <w:tcW w:w="1515" w:type="dxa"/>
            <w:tcBorders>
              <w:top w:val="nil"/>
              <w:left w:val="nil"/>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13</w:t>
            </w:r>
          </w:p>
        </w:tc>
        <w:tc>
          <w:tcPr>
            <w:tcW w:w="1039" w:type="dxa"/>
            <w:tcBorders>
              <w:top w:val="nil"/>
              <w:left w:val="nil"/>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6.9</w:t>
            </w:r>
          </w:p>
        </w:tc>
        <w:tc>
          <w:tcPr>
            <w:tcW w:w="1505" w:type="dxa"/>
            <w:tcBorders>
              <w:top w:val="nil"/>
              <w:left w:val="nil"/>
              <w:bottom w:val="single" w:sz="8" w:space="0" w:color="auto"/>
              <w:right w:val="single" w:sz="4" w:space="0" w:color="auto"/>
            </w:tcBorders>
            <w:shd w:val="clear" w:color="auto" w:fill="auto"/>
            <w:noWrap/>
            <w:vAlign w:val="bottom"/>
            <w:hideMark/>
          </w:tcPr>
          <w:p w:rsidR="00CC7BEE" w:rsidRPr="00CC7BEE" w:rsidRDefault="00033FF1" w:rsidP="00CC7BEE">
            <w:pPr>
              <w:jc w:val="center"/>
              <w:rPr>
                <w:rFonts w:ascii="Calibri" w:hAnsi="Calibri" w:cs="Calibri"/>
                <w:color w:val="000000"/>
                <w:sz w:val="22"/>
                <w:szCs w:val="22"/>
              </w:rPr>
            </w:pPr>
            <w:r>
              <w:rPr>
                <w:rFonts w:ascii="Calibri" w:hAnsi="Calibri" w:cs="Calibri"/>
                <w:color w:val="000000"/>
                <w:sz w:val="22"/>
                <w:szCs w:val="22"/>
              </w:rPr>
              <w:t>9.8</w:t>
            </w:r>
          </w:p>
        </w:tc>
        <w:tc>
          <w:tcPr>
            <w:tcW w:w="1312" w:type="dxa"/>
            <w:tcBorders>
              <w:top w:val="nil"/>
              <w:left w:val="nil"/>
              <w:bottom w:val="single" w:sz="8" w:space="0" w:color="auto"/>
              <w:right w:val="single" w:sz="4" w:space="0" w:color="auto"/>
            </w:tcBorders>
            <w:shd w:val="clear" w:color="auto" w:fill="auto"/>
            <w:noWrap/>
            <w:vAlign w:val="bottom"/>
            <w:hideMark/>
          </w:tcPr>
          <w:p w:rsidR="00CC7BEE" w:rsidRPr="00CC7BEE" w:rsidRDefault="00755468" w:rsidP="00CC7BEE">
            <w:pPr>
              <w:jc w:val="center"/>
              <w:rPr>
                <w:rFonts w:ascii="Calibri" w:hAnsi="Calibri" w:cs="Calibri"/>
                <w:color w:val="000000"/>
                <w:sz w:val="22"/>
                <w:szCs w:val="22"/>
              </w:rPr>
            </w:pPr>
            <w:r>
              <w:rPr>
                <w:rFonts w:ascii="Calibri" w:hAnsi="Calibri" w:cs="Calibri"/>
                <w:color w:val="000000"/>
                <w:sz w:val="22"/>
                <w:szCs w:val="22"/>
              </w:rPr>
              <w:t>2.04</w:t>
            </w:r>
          </w:p>
        </w:tc>
        <w:tc>
          <w:tcPr>
            <w:tcW w:w="1121" w:type="dxa"/>
            <w:tcBorders>
              <w:top w:val="nil"/>
              <w:left w:val="nil"/>
              <w:bottom w:val="single" w:sz="8" w:space="0" w:color="auto"/>
              <w:right w:val="single" w:sz="4" w:space="0" w:color="auto"/>
            </w:tcBorders>
            <w:shd w:val="clear" w:color="auto" w:fill="auto"/>
            <w:noWrap/>
            <w:vAlign w:val="bottom"/>
            <w:hideMark/>
          </w:tcPr>
          <w:p w:rsidR="00CC7BEE" w:rsidRPr="00CC7BEE" w:rsidRDefault="000A5374" w:rsidP="00CC7BEE">
            <w:pPr>
              <w:jc w:val="center"/>
              <w:rPr>
                <w:rFonts w:ascii="Calibri" w:hAnsi="Calibri" w:cs="Calibri"/>
                <w:color w:val="000000"/>
                <w:sz w:val="22"/>
                <w:szCs w:val="22"/>
              </w:rPr>
            </w:pPr>
            <w:r>
              <w:rPr>
                <w:rFonts w:ascii="Calibri" w:hAnsi="Calibri" w:cs="Calibri"/>
                <w:color w:val="000000"/>
                <w:sz w:val="22"/>
                <w:szCs w:val="22"/>
              </w:rPr>
              <w:t>36</w:t>
            </w:r>
          </w:p>
        </w:tc>
        <w:tc>
          <w:tcPr>
            <w:tcW w:w="812" w:type="dxa"/>
            <w:tcBorders>
              <w:top w:val="nil"/>
              <w:left w:val="nil"/>
              <w:bottom w:val="single" w:sz="8" w:space="0" w:color="auto"/>
              <w:right w:val="nil"/>
            </w:tcBorders>
            <w:shd w:val="clear" w:color="auto" w:fill="auto"/>
            <w:noWrap/>
            <w:vAlign w:val="bottom"/>
            <w:hideMark/>
          </w:tcPr>
          <w:p w:rsidR="00CC7BEE" w:rsidRPr="00CC7BEE" w:rsidRDefault="00755468" w:rsidP="00CC7BEE">
            <w:pPr>
              <w:jc w:val="center"/>
              <w:rPr>
                <w:rFonts w:ascii="Calibri" w:hAnsi="Calibri" w:cs="Calibri"/>
                <w:color w:val="000000"/>
                <w:sz w:val="22"/>
                <w:szCs w:val="22"/>
              </w:rPr>
            </w:pPr>
            <w:r>
              <w:rPr>
                <w:rFonts w:ascii="Calibri" w:hAnsi="Calibri" w:cs="Calibri"/>
                <w:color w:val="000000"/>
                <w:sz w:val="22"/>
                <w:szCs w:val="22"/>
              </w:rPr>
              <w:t>15</w:t>
            </w:r>
          </w:p>
        </w:tc>
        <w:tc>
          <w:tcPr>
            <w:tcW w:w="776" w:type="dxa"/>
            <w:tcBorders>
              <w:top w:val="nil"/>
              <w:left w:val="single" w:sz="4" w:space="0" w:color="auto"/>
              <w:bottom w:val="single" w:sz="8" w:space="0" w:color="auto"/>
              <w:right w:val="single" w:sz="8" w:space="0" w:color="auto"/>
            </w:tcBorders>
            <w:shd w:val="clear" w:color="auto" w:fill="auto"/>
            <w:noWrap/>
            <w:vAlign w:val="bottom"/>
            <w:hideMark/>
          </w:tcPr>
          <w:p w:rsidR="00CC7BEE" w:rsidRPr="00CC7BEE" w:rsidRDefault="00755468" w:rsidP="00CC7BEE">
            <w:pPr>
              <w:jc w:val="center"/>
              <w:rPr>
                <w:rFonts w:ascii="Calibri" w:hAnsi="Calibri" w:cs="Calibri"/>
                <w:color w:val="000000"/>
                <w:sz w:val="22"/>
                <w:szCs w:val="22"/>
              </w:rPr>
            </w:pPr>
            <w:r>
              <w:rPr>
                <w:rFonts w:ascii="Calibri" w:hAnsi="Calibri" w:cs="Calibri"/>
                <w:color w:val="000000"/>
                <w:sz w:val="22"/>
                <w:szCs w:val="22"/>
              </w:rPr>
              <w:t>82.74</w:t>
            </w:r>
          </w:p>
        </w:tc>
      </w:tr>
      <w:tr w:rsidR="00CC7BEE" w:rsidRPr="00CC7BEE" w:rsidTr="00CC7BEE">
        <w:trPr>
          <w:trHeight w:val="315"/>
        </w:trPr>
        <w:tc>
          <w:tcPr>
            <w:tcW w:w="128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b/>
                <w:bCs/>
                <w:color w:val="000000"/>
                <w:sz w:val="22"/>
                <w:szCs w:val="22"/>
              </w:rPr>
            </w:pPr>
            <w:r w:rsidRPr="00CC7BEE">
              <w:rPr>
                <w:rFonts w:ascii="Calibri" w:hAnsi="Calibri" w:cs="Calibri"/>
                <w:b/>
                <w:bCs/>
                <w:color w:val="000000"/>
                <w:sz w:val="22"/>
                <w:szCs w:val="22"/>
              </w:rPr>
              <w:t xml:space="preserve">% WTEs </w:t>
            </w:r>
            <w:proofErr w:type="spellStart"/>
            <w:r w:rsidRPr="00CC7BEE">
              <w:rPr>
                <w:rFonts w:ascii="Calibri" w:hAnsi="Calibri" w:cs="Calibri"/>
                <w:b/>
                <w:bCs/>
                <w:color w:val="000000"/>
                <w:sz w:val="22"/>
                <w:szCs w:val="22"/>
              </w:rPr>
              <w:t>inpost</w:t>
            </w:r>
            <w:proofErr w:type="spellEnd"/>
          </w:p>
        </w:tc>
        <w:tc>
          <w:tcPr>
            <w:tcW w:w="1515" w:type="dxa"/>
            <w:tcBorders>
              <w:top w:val="single" w:sz="4" w:space="0" w:color="auto"/>
              <w:left w:val="nil"/>
              <w:bottom w:val="single" w:sz="8" w:space="0" w:color="auto"/>
              <w:right w:val="single" w:sz="4" w:space="0" w:color="auto"/>
            </w:tcBorders>
            <w:shd w:val="clear" w:color="auto" w:fill="auto"/>
            <w:noWrap/>
            <w:vAlign w:val="bottom"/>
            <w:hideMark/>
          </w:tcPr>
          <w:p w:rsidR="00CC7BEE" w:rsidRPr="00CC7BEE" w:rsidRDefault="000A5374" w:rsidP="00CC7BEE">
            <w:pPr>
              <w:jc w:val="center"/>
              <w:rPr>
                <w:rFonts w:ascii="Calibri" w:hAnsi="Calibri" w:cs="Calibri"/>
                <w:color w:val="000000"/>
                <w:sz w:val="22"/>
                <w:szCs w:val="22"/>
              </w:rPr>
            </w:pPr>
            <w:r>
              <w:rPr>
                <w:rFonts w:ascii="Calibri" w:hAnsi="Calibri" w:cs="Calibri"/>
                <w:color w:val="000000"/>
                <w:sz w:val="22"/>
                <w:szCs w:val="22"/>
              </w:rPr>
              <w:t>15</w:t>
            </w:r>
            <w:r w:rsidR="00755468">
              <w:rPr>
                <w:rFonts w:ascii="Calibri" w:hAnsi="Calibri" w:cs="Calibri"/>
                <w:color w:val="000000"/>
                <w:sz w:val="22"/>
                <w:szCs w:val="22"/>
              </w:rPr>
              <w:t>.7</w:t>
            </w:r>
            <w:r w:rsidR="00CC7BEE" w:rsidRPr="00CC7BEE">
              <w:rPr>
                <w:rFonts w:ascii="Calibri" w:hAnsi="Calibri" w:cs="Calibri"/>
                <w:color w:val="000000"/>
                <w:sz w:val="22"/>
                <w:szCs w:val="22"/>
              </w:rPr>
              <w:t>%</w:t>
            </w:r>
          </w:p>
        </w:tc>
        <w:tc>
          <w:tcPr>
            <w:tcW w:w="1039" w:type="dxa"/>
            <w:tcBorders>
              <w:top w:val="single" w:sz="4" w:space="0" w:color="auto"/>
              <w:left w:val="nil"/>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8</w:t>
            </w:r>
            <w:r w:rsidR="00755468">
              <w:rPr>
                <w:rFonts w:ascii="Calibri" w:hAnsi="Calibri" w:cs="Calibri"/>
                <w:color w:val="000000"/>
                <w:sz w:val="22"/>
                <w:szCs w:val="22"/>
              </w:rPr>
              <w:t>.3</w:t>
            </w:r>
            <w:r w:rsidRPr="00CC7BEE">
              <w:rPr>
                <w:rFonts w:ascii="Calibri" w:hAnsi="Calibri" w:cs="Calibri"/>
                <w:color w:val="000000"/>
                <w:sz w:val="22"/>
                <w:szCs w:val="22"/>
              </w:rPr>
              <w:t>%</w:t>
            </w:r>
          </w:p>
        </w:tc>
        <w:tc>
          <w:tcPr>
            <w:tcW w:w="1505" w:type="dxa"/>
            <w:tcBorders>
              <w:top w:val="single" w:sz="4" w:space="0" w:color="auto"/>
              <w:left w:val="nil"/>
              <w:bottom w:val="single" w:sz="8" w:space="0" w:color="auto"/>
              <w:right w:val="single" w:sz="4" w:space="0" w:color="auto"/>
            </w:tcBorders>
            <w:shd w:val="clear" w:color="auto" w:fill="auto"/>
            <w:noWrap/>
            <w:vAlign w:val="bottom"/>
            <w:hideMark/>
          </w:tcPr>
          <w:p w:rsidR="00CC7BEE" w:rsidRPr="00CC7BEE" w:rsidRDefault="000A5374" w:rsidP="00CC7BEE">
            <w:pPr>
              <w:jc w:val="center"/>
              <w:rPr>
                <w:rFonts w:ascii="Calibri" w:hAnsi="Calibri" w:cs="Calibri"/>
                <w:color w:val="000000"/>
                <w:sz w:val="22"/>
                <w:szCs w:val="22"/>
              </w:rPr>
            </w:pPr>
            <w:r>
              <w:rPr>
                <w:rFonts w:ascii="Calibri" w:hAnsi="Calibri" w:cs="Calibri"/>
                <w:color w:val="000000"/>
                <w:sz w:val="22"/>
                <w:szCs w:val="22"/>
              </w:rPr>
              <w:t>11</w:t>
            </w:r>
            <w:r w:rsidR="00755468">
              <w:rPr>
                <w:rFonts w:ascii="Calibri" w:hAnsi="Calibri" w:cs="Calibri"/>
                <w:color w:val="000000"/>
                <w:sz w:val="22"/>
                <w:szCs w:val="22"/>
              </w:rPr>
              <w:t>.8</w:t>
            </w:r>
            <w:r w:rsidR="00CC7BEE" w:rsidRPr="00CC7BEE">
              <w:rPr>
                <w:rFonts w:ascii="Calibri" w:hAnsi="Calibri" w:cs="Calibri"/>
                <w:color w:val="000000"/>
                <w:sz w:val="22"/>
                <w:szCs w:val="22"/>
              </w:rPr>
              <w:t>%</w:t>
            </w:r>
          </w:p>
        </w:tc>
        <w:tc>
          <w:tcPr>
            <w:tcW w:w="1312" w:type="dxa"/>
            <w:tcBorders>
              <w:top w:val="single" w:sz="4" w:space="0" w:color="auto"/>
              <w:left w:val="nil"/>
              <w:bottom w:val="single" w:sz="8" w:space="0" w:color="auto"/>
              <w:right w:val="single" w:sz="4" w:space="0" w:color="auto"/>
            </w:tcBorders>
            <w:shd w:val="clear" w:color="auto" w:fill="auto"/>
            <w:noWrap/>
            <w:vAlign w:val="bottom"/>
            <w:hideMark/>
          </w:tcPr>
          <w:p w:rsidR="00CC7BEE" w:rsidRPr="00CC7BEE" w:rsidRDefault="000A5374" w:rsidP="00CC7BEE">
            <w:pPr>
              <w:jc w:val="center"/>
              <w:rPr>
                <w:rFonts w:ascii="Calibri" w:hAnsi="Calibri" w:cs="Calibri"/>
                <w:color w:val="000000"/>
                <w:sz w:val="22"/>
                <w:szCs w:val="22"/>
              </w:rPr>
            </w:pPr>
            <w:r>
              <w:rPr>
                <w:rFonts w:ascii="Calibri" w:hAnsi="Calibri" w:cs="Calibri"/>
                <w:color w:val="000000"/>
                <w:sz w:val="22"/>
                <w:szCs w:val="22"/>
              </w:rPr>
              <w:t>2</w:t>
            </w:r>
            <w:r w:rsidR="00755468">
              <w:rPr>
                <w:rFonts w:ascii="Calibri" w:hAnsi="Calibri" w:cs="Calibri"/>
                <w:color w:val="000000"/>
                <w:sz w:val="22"/>
                <w:szCs w:val="22"/>
              </w:rPr>
              <w:t>.5</w:t>
            </w:r>
            <w:r w:rsidR="00CC7BEE" w:rsidRPr="00CC7BEE">
              <w:rPr>
                <w:rFonts w:ascii="Calibri" w:hAnsi="Calibri" w:cs="Calibri"/>
                <w:color w:val="000000"/>
                <w:sz w:val="22"/>
                <w:szCs w:val="22"/>
              </w:rPr>
              <w:t>%</w:t>
            </w:r>
          </w:p>
        </w:tc>
        <w:tc>
          <w:tcPr>
            <w:tcW w:w="1121" w:type="dxa"/>
            <w:tcBorders>
              <w:top w:val="single" w:sz="4" w:space="0" w:color="auto"/>
              <w:left w:val="nil"/>
              <w:bottom w:val="single" w:sz="8" w:space="0" w:color="auto"/>
              <w:right w:val="single" w:sz="4" w:space="0" w:color="auto"/>
            </w:tcBorders>
            <w:shd w:val="clear" w:color="auto" w:fill="auto"/>
            <w:noWrap/>
            <w:vAlign w:val="bottom"/>
            <w:hideMark/>
          </w:tcPr>
          <w:p w:rsidR="00CC7BEE" w:rsidRPr="00CC7BEE" w:rsidRDefault="00755468" w:rsidP="00CC7BEE">
            <w:pPr>
              <w:jc w:val="center"/>
              <w:rPr>
                <w:rFonts w:ascii="Calibri" w:hAnsi="Calibri" w:cs="Calibri"/>
                <w:color w:val="000000"/>
                <w:sz w:val="22"/>
                <w:szCs w:val="22"/>
              </w:rPr>
            </w:pPr>
            <w:r>
              <w:rPr>
                <w:rFonts w:ascii="Calibri" w:hAnsi="Calibri" w:cs="Calibri"/>
                <w:color w:val="000000"/>
                <w:sz w:val="22"/>
                <w:szCs w:val="22"/>
              </w:rPr>
              <w:t>43.5</w:t>
            </w:r>
            <w:r w:rsidR="00CC7BEE" w:rsidRPr="00CC7BEE">
              <w:rPr>
                <w:rFonts w:ascii="Calibri" w:hAnsi="Calibri" w:cs="Calibri"/>
                <w:color w:val="000000"/>
                <w:sz w:val="22"/>
                <w:szCs w:val="22"/>
              </w:rPr>
              <w:t>%</w:t>
            </w:r>
          </w:p>
        </w:tc>
        <w:tc>
          <w:tcPr>
            <w:tcW w:w="812" w:type="dxa"/>
            <w:tcBorders>
              <w:top w:val="single" w:sz="4" w:space="0" w:color="auto"/>
              <w:left w:val="nil"/>
              <w:bottom w:val="single" w:sz="8" w:space="0" w:color="auto"/>
              <w:right w:val="nil"/>
            </w:tcBorders>
            <w:shd w:val="clear" w:color="auto" w:fill="auto"/>
            <w:noWrap/>
            <w:vAlign w:val="bottom"/>
            <w:hideMark/>
          </w:tcPr>
          <w:p w:rsidR="00CC7BEE" w:rsidRPr="00CC7BEE" w:rsidRDefault="00755468" w:rsidP="00CC7BEE">
            <w:pPr>
              <w:jc w:val="center"/>
              <w:rPr>
                <w:rFonts w:ascii="Calibri" w:hAnsi="Calibri" w:cs="Calibri"/>
                <w:color w:val="000000"/>
                <w:sz w:val="22"/>
                <w:szCs w:val="22"/>
              </w:rPr>
            </w:pPr>
            <w:r>
              <w:rPr>
                <w:rFonts w:ascii="Calibri" w:hAnsi="Calibri" w:cs="Calibri"/>
                <w:color w:val="000000"/>
                <w:sz w:val="22"/>
                <w:szCs w:val="22"/>
              </w:rPr>
              <w:t>18.2</w:t>
            </w:r>
            <w:r w:rsidR="00CC7BEE" w:rsidRPr="00CC7BEE">
              <w:rPr>
                <w:rFonts w:ascii="Calibri" w:hAnsi="Calibri" w:cs="Calibri"/>
                <w:color w:val="000000"/>
                <w:sz w:val="22"/>
                <w:szCs w:val="22"/>
              </w:rPr>
              <w:t>%</w:t>
            </w:r>
          </w:p>
        </w:tc>
        <w:tc>
          <w:tcPr>
            <w:tcW w:w="776"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 </w:t>
            </w:r>
          </w:p>
        </w:tc>
      </w:tr>
    </w:tbl>
    <w:p w:rsidR="00CB5121" w:rsidRPr="00911928" w:rsidRDefault="00CB5121" w:rsidP="00CB5121">
      <w:pPr>
        <w:pStyle w:val="ListParagraph"/>
        <w:ind w:left="1080"/>
        <w:jc w:val="both"/>
        <w:rPr>
          <w:rFonts w:ascii="Arial" w:hAnsi="Arial" w:cs="Arial"/>
          <w:sz w:val="22"/>
          <w:szCs w:val="22"/>
        </w:rPr>
      </w:pPr>
    </w:p>
    <w:p w:rsidR="00E0146C" w:rsidRPr="005F2504" w:rsidRDefault="001E1F42" w:rsidP="005F2504">
      <w:pPr>
        <w:pStyle w:val="ListParagraph"/>
        <w:numPr>
          <w:ilvl w:val="0"/>
          <w:numId w:val="17"/>
        </w:numPr>
        <w:spacing w:after="200" w:line="276" w:lineRule="auto"/>
        <w:rPr>
          <w:rFonts w:ascii="Arial" w:hAnsi="Arial" w:cs="Arial"/>
          <w:sz w:val="22"/>
          <w:szCs w:val="22"/>
        </w:rPr>
      </w:pPr>
      <w:r>
        <w:rPr>
          <w:rFonts w:ascii="Arial" w:hAnsi="Arial" w:cs="Arial"/>
          <w:sz w:val="22"/>
          <w:szCs w:val="22"/>
        </w:rPr>
        <w:t>The general</w:t>
      </w:r>
      <w:r w:rsidR="00E17F22" w:rsidRPr="005F2504">
        <w:rPr>
          <w:rFonts w:ascii="Arial" w:hAnsi="Arial" w:cs="Arial"/>
          <w:sz w:val="22"/>
          <w:szCs w:val="22"/>
        </w:rPr>
        <w:t xml:space="preserve"> reser</w:t>
      </w:r>
      <w:r>
        <w:rPr>
          <w:rFonts w:ascii="Arial" w:hAnsi="Arial" w:cs="Arial"/>
          <w:sz w:val="22"/>
          <w:szCs w:val="22"/>
        </w:rPr>
        <w:t>ve ha</w:t>
      </w:r>
      <w:r w:rsidR="0024691C">
        <w:rPr>
          <w:rFonts w:ascii="Arial" w:hAnsi="Arial" w:cs="Arial"/>
          <w:sz w:val="22"/>
          <w:szCs w:val="22"/>
        </w:rPr>
        <w:t>d</w:t>
      </w:r>
      <w:r>
        <w:rPr>
          <w:rFonts w:ascii="Arial" w:hAnsi="Arial" w:cs="Arial"/>
          <w:sz w:val="22"/>
          <w:szCs w:val="22"/>
        </w:rPr>
        <w:t xml:space="preserve"> a balance of £389k </w:t>
      </w:r>
      <w:r w:rsidR="00AA70A4">
        <w:rPr>
          <w:rFonts w:ascii="Arial" w:hAnsi="Arial" w:cs="Arial"/>
          <w:sz w:val="22"/>
          <w:szCs w:val="22"/>
        </w:rPr>
        <w:t xml:space="preserve">not deployed </w:t>
      </w:r>
      <w:r>
        <w:rPr>
          <w:rFonts w:ascii="Arial" w:hAnsi="Arial" w:cs="Arial"/>
          <w:sz w:val="22"/>
          <w:szCs w:val="22"/>
        </w:rPr>
        <w:t>at the end of March</w:t>
      </w:r>
      <w:r w:rsidR="00E0146C" w:rsidRPr="005F2504">
        <w:rPr>
          <w:rFonts w:ascii="Arial" w:hAnsi="Arial" w:cs="Arial"/>
          <w:sz w:val="22"/>
          <w:szCs w:val="22"/>
        </w:rPr>
        <w:t>.</w:t>
      </w:r>
      <w:r w:rsidR="00EA4491">
        <w:rPr>
          <w:rFonts w:ascii="Arial" w:hAnsi="Arial" w:cs="Arial"/>
          <w:sz w:val="22"/>
          <w:szCs w:val="22"/>
        </w:rPr>
        <w:t xml:space="preserve">  </w:t>
      </w:r>
      <w:r w:rsidR="001B3CD0">
        <w:rPr>
          <w:rFonts w:ascii="Arial" w:hAnsi="Arial" w:cs="Arial"/>
          <w:sz w:val="22"/>
          <w:szCs w:val="22"/>
        </w:rPr>
        <w:t xml:space="preserve"> This is due to contingencies set aside during the year which were not required.  £130k potential VAT </w:t>
      </w:r>
      <w:r w:rsidR="005B0FDB">
        <w:rPr>
          <w:rFonts w:ascii="Arial" w:hAnsi="Arial" w:cs="Arial"/>
          <w:sz w:val="22"/>
          <w:szCs w:val="22"/>
        </w:rPr>
        <w:t xml:space="preserve">clawback </w:t>
      </w:r>
      <w:r w:rsidR="001B3CD0">
        <w:rPr>
          <w:rFonts w:ascii="Arial" w:hAnsi="Arial" w:cs="Arial"/>
          <w:sz w:val="22"/>
          <w:szCs w:val="22"/>
        </w:rPr>
        <w:t xml:space="preserve">liability </w:t>
      </w:r>
      <w:r w:rsidR="00AA70A4">
        <w:rPr>
          <w:rFonts w:ascii="Arial" w:hAnsi="Arial" w:cs="Arial"/>
          <w:sz w:val="22"/>
          <w:szCs w:val="22"/>
        </w:rPr>
        <w:t xml:space="preserve">set aside </w:t>
      </w:r>
      <w:r w:rsidR="001B3CD0">
        <w:rPr>
          <w:rFonts w:ascii="Arial" w:hAnsi="Arial" w:cs="Arial"/>
          <w:sz w:val="22"/>
          <w:szCs w:val="22"/>
        </w:rPr>
        <w:t>following the HMRC VAT inspection;</w:t>
      </w:r>
      <w:r w:rsidR="00AA70A4">
        <w:rPr>
          <w:rFonts w:ascii="Arial" w:hAnsi="Arial" w:cs="Arial"/>
          <w:sz w:val="22"/>
          <w:szCs w:val="22"/>
        </w:rPr>
        <w:t xml:space="preserve">  £30k planned estates related costs that could not be deployed due to the late but welcome decision on the Manchester office lease extension;  £</w:t>
      </w:r>
      <w:r w:rsidR="00C56469">
        <w:rPr>
          <w:rFonts w:ascii="Arial" w:hAnsi="Arial" w:cs="Arial"/>
          <w:sz w:val="22"/>
          <w:szCs w:val="22"/>
        </w:rPr>
        <w:t>57</w:t>
      </w:r>
      <w:r w:rsidR="00AA70A4">
        <w:rPr>
          <w:rFonts w:ascii="Arial" w:hAnsi="Arial" w:cs="Arial"/>
          <w:sz w:val="22"/>
          <w:szCs w:val="22"/>
        </w:rPr>
        <w:t xml:space="preserve">k costs not deployed to </w:t>
      </w:r>
      <w:r w:rsidR="00C56469">
        <w:rPr>
          <w:rFonts w:ascii="Arial" w:hAnsi="Arial" w:cs="Arial"/>
          <w:sz w:val="22"/>
          <w:szCs w:val="22"/>
        </w:rPr>
        <w:t xml:space="preserve">CAG </w:t>
      </w:r>
      <w:r w:rsidR="00AA70A4">
        <w:rPr>
          <w:rFonts w:ascii="Arial" w:hAnsi="Arial" w:cs="Arial"/>
          <w:sz w:val="22"/>
          <w:szCs w:val="22"/>
        </w:rPr>
        <w:t>post</w:t>
      </w:r>
      <w:r w:rsidR="00C56469">
        <w:rPr>
          <w:rFonts w:ascii="Arial" w:hAnsi="Arial" w:cs="Arial"/>
          <w:sz w:val="22"/>
          <w:szCs w:val="22"/>
        </w:rPr>
        <w:t>s</w:t>
      </w:r>
      <w:r w:rsidR="00AA70A4">
        <w:rPr>
          <w:rFonts w:ascii="Arial" w:hAnsi="Arial" w:cs="Arial"/>
          <w:sz w:val="22"/>
          <w:szCs w:val="22"/>
        </w:rPr>
        <w:t xml:space="preserve"> planned to support the expected impact of changes to  HSCIC related workload following delay</w:t>
      </w:r>
      <w:r w:rsidR="00C56469">
        <w:rPr>
          <w:rFonts w:ascii="Arial" w:hAnsi="Arial" w:cs="Arial"/>
          <w:sz w:val="22"/>
          <w:szCs w:val="22"/>
        </w:rPr>
        <w:t xml:space="preserve">s to the </w:t>
      </w:r>
      <w:r w:rsidR="00AA70A4">
        <w:rPr>
          <w:rFonts w:ascii="Arial" w:hAnsi="Arial" w:cs="Arial"/>
          <w:sz w:val="22"/>
          <w:szCs w:val="22"/>
        </w:rPr>
        <w:t xml:space="preserve">laying of the regulations;  </w:t>
      </w:r>
      <w:r w:rsidR="00C56469">
        <w:rPr>
          <w:rFonts w:ascii="Arial" w:hAnsi="Arial" w:cs="Arial"/>
          <w:sz w:val="22"/>
          <w:szCs w:val="22"/>
        </w:rPr>
        <w:t xml:space="preserve">£25k NDPB transition costs not required;  </w:t>
      </w:r>
      <w:r w:rsidR="00AA70A4">
        <w:rPr>
          <w:rFonts w:ascii="Arial" w:hAnsi="Arial" w:cs="Arial"/>
          <w:sz w:val="22"/>
          <w:szCs w:val="22"/>
        </w:rPr>
        <w:t>£15k set aside for the costs of NHS Mail which proved not to be required.</w:t>
      </w:r>
    </w:p>
    <w:p w:rsidR="00613941" w:rsidRDefault="001E1F42" w:rsidP="005D3876">
      <w:pPr>
        <w:pStyle w:val="ListParagraph"/>
        <w:numPr>
          <w:ilvl w:val="0"/>
          <w:numId w:val="17"/>
        </w:numPr>
        <w:spacing w:after="200" w:line="276" w:lineRule="auto"/>
        <w:rPr>
          <w:rFonts w:ascii="Arial" w:hAnsi="Arial" w:cs="Arial"/>
          <w:sz w:val="22"/>
          <w:szCs w:val="22"/>
        </w:rPr>
      </w:pPr>
      <w:r>
        <w:rPr>
          <w:rFonts w:ascii="Arial" w:hAnsi="Arial" w:cs="Arial"/>
          <w:sz w:val="22"/>
          <w:szCs w:val="22"/>
        </w:rPr>
        <w:t>After 12 months, a total of 77.5</w:t>
      </w:r>
      <w:r w:rsidR="00E0146C" w:rsidRPr="005D3876">
        <w:rPr>
          <w:rFonts w:ascii="Arial" w:hAnsi="Arial" w:cs="Arial"/>
          <w:sz w:val="22"/>
          <w:szCs w:val="22"/>
        </w:rPr>
        <w:t>% of the total expenditure budget</w:t>
      </w:r>
      <w:r w:rsidR="0024691C">
        <w:rPr>
          <w:rFonts w:ascii="Arial" w:hAnsi="Arial" w:cs="Arial"/>
          <w:sz w:val="22"/>
          <w:szCs w:val="22"/>
        </w:rPr>
        <w:t xml:space="preserve"> has been spent within the year</w:t>
      </w:r>
      <w:r w:rsidR="00E0146C" w:rsidRPr="005D3876">
        <w:rPr>
          <w:rFonts w:ascii="Arial" w:hAnsi="Arial" w:cs="Arial"/>
          <w:sz w:val="22"/>
          <w:szCs w:val="22"/>
        </w:rPr>
        <w:t xml:space="preserve">, with staff </w:t>
      </w:r>
      <w:r>
        <w:rPr>
          <w:rFonts w:ascii="Arial" w:hAnsi="Arial" w:cs="Arial"/>
          <w:sz w:val="22"/>
          <w:szCs w:val="22"/>
        </w:rPr>
        <w:t>costs amounting to £6.55</w:t>
      </w:r>
      <w:r w:rsidR="00E0146C" w:rsidRPr="00C041A3">
        <w:rPr>
          <w:rFonts w:ascii="Arial" w:hAnsi="Arial" w:cs="Arial"/>
          <w:sz w:val="22"/>
          <w:szCs w:val="22"/>
        </w:rPr>
        <w:t>m.</w:t>
      </w:r>
    </w:p>
    <w:p w:rsidR="00C041A3" w:rsidRPr="00C041A3" w:rsidRDefault="00B55417" w:rsidP="00C041A3">
      <w:pPr>
        <w:pStyle w:val="ListParagraph"/>
        <w:numPr>
          <w:ilvl w:val="0"/>
          <w:numId w:val="17"/>
        </w:numPr>
        <w:spacing w:after="200" w:line="276" w:lineRule="auto"/>
        <w:rPr>
          <w:rFonts w:ascii="Arial" w:hAnsi="Arial" w:cs="Arial"/>
          <w:sz w:val="22"/>
          <w:szCs w:val="22"/>
        </w:rPr>
      </w:pPr>
      <w:r w:rsidRPr="00C041A3">
        <w:rPr>
          <w:rFonts w:ascii="Arial" w:hAnsi="Arial" w:cs="Arial"/>
          <w:sz w:val="22"/>
          <w:szCs w:val="22"/>
        </w:rPr>
        <w:t xml:space="preserve">The </w:t>
      </w:r>
      <w:r w:rsidR="00271847">
        <w:rPr>
          <w:rFonts w:ascii="Arial" w:hAnsi="Arial" w:cs="Arial"/>
          <w:sz w:val="22"/>
          <w:szCs w:val="22"/>
        </w:rPr>
        <w:t xml:space="preserve">overall </w:t>
      </w:r>
      <w:r w:rsidRPr="00C041A3">
        <w:rPr>
          <w:rFonts w:ascii="Arial" w:hAnsi="Arial" w:cs="Arial"/>
          <w:sz w:val="22"/>
          <w:szCs w:val="22"/>
        </w:rPr>
        <w:t>underspend</w:t>
      </w:r>
      <w:r w:rsidR="00271847">
        <w:rPr>
          <w:rFonts w:ascii="Arial" w:hAnsi="Arial" w:cs="Arial"/>
          <w:sz w:val="22"/>
          <w:szCs w:val="22"/>
        </w:rPr>
        <w:t xml:space="preserve"> of £</w:t>
      </w:r>
      <w:r w:rsidR="00BF58DB">
        <w:rPr>
          <w:rFonts w:ascii="Arial" w:hAnsi="Arial" w:cs="Arial"/>
          <w:sz w:val="22"/>
          <w:szCs w:val="22"/>
        </w:rPr>
        <w:t>196k</w:t>
      </w:r>
      <w:r w:rsidRPr="00C041A3">
        <w:rPr>
          <w:rFonts w:ascii="Arial" w:hAnsi="Arial" w:cs="Arial"/>
          <w:sz w:val="22"/>
          <w:szCs w:val="22"/>
        </w:rPr>
        <w:t xml:space="preserve"> within </w:t>
      </w:r>
      <w:r w:rsidR="007A585B" w:rsidRPr="00271847">
        <w:rPr>
          <w:rFonts w:ascii="Arial" w:hAnsi="Arial" w:cs="Arial"/>
          <w:b/>
          <w:sz w:val="22"/>
          <w:szCs w:val="22"/>
          <w:u w:val="single"/>
        </w:rPr>
        <w:t>Operations and Approval</w:t>
      </w:r>
      <w:r w:rsidRPr="00C041A3">
        <w:rPr>
          <w:rFonts w:ascii="Arial" w:hAnsi="Arial" w:cs="Arial"/>
          <w:sz w:val="22"/>
          <w:szCs w:val="22"/>
        </w:rPr>
        <w:t xml:space="preserve"> largely relate</w:t>
      </w:r>
      <w:r w:rsidR="00BF58DB">
        <w:rPr>
          <w:rFonts w:ascii="Arial" w:hAnsi="Arial" w:cs="Arial"/>
          <w:sz w:val="22"/>
          <w:szCs w:val="22"/>
        </w:rPr>
        <w:t>s</w:t>
      </w:r>
      <w:r w:rsidRPr="00C041A3">
        <w:rPr>
          <w:rFonts w:ascii="Arial" w:hAnsi="Arial" w:cs="Arial"/>
          <w:sz w:val="22"/>
          <w:szCs w:val="22"/>
        </w:rPr>
        <w:t xml:space="preserve"> to underspen</w:t>
      </w:r>
      <w:r w:rsidR="00E10273" w:rsidRPr="00C041A3">
        <w:rPr>
          <w:rFonts w:ascii="Arial" w:hAnsi="Arial" w:cs="Arial"/>
          <w:sz w:val="22"/>
          <w:szCs w:val="22"/>
        </w:rPr>
        <w:t>ds</w:t>
      </w:r>
      <w:r w:rsidR="00994B77">
        <w:rPr>
          <w:rFonts w:ascii="Arial" w:hAnsi="Arial" w:cs="Arial"/>
          <w:sz w:val="22"/>
          <w:szCs w:val="22"/>
        </w:rPr>
        <w:t xml:space="preserve"> within HRA Office Jarrow (£14</w:t>
      </w:r>
      <w:r w:rsidR="00474415" w:rsidRPr="00C041A3">
        <w:rPr>
          <w:rFonts w:ascii="Arial" w:hAnsi="Arial" w:cs="Arial"/>
          <w:sz w:val="22"/>
          <w:szCs w:val="22"/>
        </w:rPr>
        <w:t>k</w:t>
      </w:r>
      <w:r w:rsidR="00C041A3" w:rsidRPr="00C041A3">
        <w:rPr>
          <w:rFonts w:ascii="Arial" w:hAnsi="Arial" w:cs="Arial"/>
          <w:sz w:val="22"/>
          <w:szCs w:val="22"/>
        </w:rPr>
        <w:t xml:space="preserve"> including income of £11k</w:t>
      </w:r>
      <w:r w:rsidR="00474415" w:rsidRPr="00C041A3">
        <w:rPr>
          <w:rFonts w:ascii="Arial" w:hAnsi="Arial" w:cs="Arial"/>
          <w:sz w:val="22"/>
          <w:szCs w:val="22"/>
        </w:rPr>
        <w:t>), HRA Office Manchester</w:t>
      </w:r>
      <w:r w:rsidR="00994B77">
        <w:rPr>
          <w:rFonts w:ascii="Arial" w:hAnsi="Arial" w:cs="Arial"/>
          <w:sz w:val="22"/>
          <w:szCs w:val="22"/>
        </w:rPr>
        <w:t xml:space="preserve"> (£106</w:t>
      </w:r>
      <w:r w:rsidRPr="00C041A3">
        <w:rPr>
          <w:rFonts w:ascii="Arial" w:hAnsi="Arial" w:cs="Arial"/>
          <w:sz w:val="22"/>
          <w:szCs w:val="22"/>
        </w:rPr>
        <w:t>k</w:t>
      </w:r>
      <w:r w:rsidR="00E10273" w:rsidRPr="00C041A3">
        <w:rPr>
          <w:rFonts w:ascii="Arial" w:hAnsi="Arial" w:cs="Arial"/>
          <w:sz w:val="22"/>
          <w:szCs w:val="22"/>
        </w:rPr>
        <w:t>)</w:t>
      </w:r>
      <w:r w:rsidR="00AB1230" w:rsidRPr="00C041A3">
        <w:rPr>
          <w:rFonts w:ascii="Arial" w:hAnsi="Arial" w:cs="Arial"/>
          <w:sz w:val="22"/>
          <w:szCs w:val="22"/>
        </w:rPr>
        <w:t xml:space="preserve">, </w:t>
      </w:r>
      <w:r w:rsidR="00F86186" w:rsidRPr="00C041A3">
        <w:rPr>
          <w:rFonts w:ascii="Arial" w:hAnsi="Arial" w:cs="Arial"/>
          <w:sz w:val="22"/>
          <w:szCs w:val="22"/>
        </w:rPr>
        <w:t>HRA O</w:t>
      </w:r>
      <w:r w:rsidR="00DA595A" w:rsidRPr="00C041A3">
        <w:rPr>
          <w:rFonts w:ascii="Arial" w:hAnsi="Arial" w:cs="Arial"/>
          <w:sz w:val="22"/>
          <w:szCs w:val="22"/>
        </w:rPr>
        <w:t xml:space="preserve">ffice </w:t>
      </w:r>
      <w:r w:rsidR="00994B77">
        <w:rPr>
          <w:rFonts w:ascii="Arial" w:hAnsi="Arial" w:cs="Arial"/>
          <w:sz w:val="22"/>
          <w:szCs w:val="22"/>
        </w:rPr>
        <w:t>Bristol (£32</w:t>
      </w:r>
      <w:r w:rsidR="00DD0225" w:rsidRPr="00C041A3">
        <w:rPr>
          <w:rFonts w:ascii="Arial" w:hAnsi="Arial" w:cs="Arial"/>
          <w:sz w:val="22"/>
          <w:szCs w:val="22"/>
        </w:rPr>
        <w:t>k)</w:t>
      </w:r>
      <w:r w:rsidRPr="00C041A3">
        <w:rPr>
          <w:rFonts w:ascii="Arial" w:hAnsi="Arial" w:cs="Arial"/>
          <w:sz w:val="22"/>
          <w:szCs w:val="22"/>
        </w:rPr>
        <w:t xml:space="preserve"> and the Regional</w:t>
      </w:r>
      <w:r w:rsidR="00E10273" w:rsidRPr="00C041A3">
        <w:rPr>
          <w:rFonts w:ascii="Arial" w:hAnsi="Arial" w:cs="Arial"/>
          <w:sz w:val="22"/>
          <w:szCs w:val="22"/>
        </w:rPr>
        <w:t xml:space="preserve"> Manager North</w:t>
      </w:r>
      <w:r w:rsidR="000F27AB" w:rsidRPr="00C041A3">
        <w:rPr>
          <w:rFonts w:ascii="Arial" w:hAnsi="Arial" w:cs="Arial"/>
          <w:sz w:val="22"/>
          <w:szCs w:val="22"/>
        </w:rPr>
        <w:t xml:space="preserve"> and </w:t>
      </w:r>
      <w:proofErr w:type="gramStart"/>
      <w:r w:rsidR="000F27AB" w:rsidRPr="00C041A3">
        <w:rPr>
          <w:rFonts w:ascii="Arial" w:hAnsi="Arial" w:cs="Arial"/>
          <w:sz w:val="22"/>
          <w:szCs w:val="22"/>
        </w:rPr>
        <w:t xml:space="preserve">South  </w:t>
      </w:r>
      <w:r w:rsidR="00994B77">
        <w:rPr>
          <w:rFonts w:ascii="Arial" w:hAnsi="Arial" w:cs="Arial"/>
          <w:sz w:val="22"/>
          <w:szCs w:val="22"/>
        </w:rPr>
        <w:t>(</w:t>
      </w:r>
      <w:proofErr w:type="gramEnd"/>
      <w:r w:rsidR="00994B77">
        <w:rPr>
          <w:rFonts w:ascii="Arial" w:hAnsi="Arial" w:cs="Arial"/>
          <w:sz w:val="22"/>
          <w:szCs w:val="22"/>
        </w:rPr>
        <w:t>£62</w:t>
      </w:r>
      <w:r w:rsidR="00C041A3" w:rsidRPr="00C041A3">
        <w:rPr>
          <w:rFonts w:ascii="Arial" w:hAnsi="Arial" w:cs="Arial"/>
          <w:sz w:val="22"/>
          <w:szCs w:val="22"/>
        </w:rPr>
        <w:t>k) a</w:t>
      </w:r>
      <w:r w:rsidR="00994B77">
        <w:rPr>
          <w:rFonts w:ascii="Arial" w:hAnsi="Arial" w:cs="Arial"/>
          <w:sz w:val="22"/>
          <w:szCs w:val="22"/>
        </w:rPr>
        <w:t>nd the HRA Office London of (£25</w:t>
      </w:r>
      <w:r w:rsidR="00C041A3" w:rsidRPr="00C041A3">
        <w:rPr>
          <w:rFonts w:ascii="Arial" w:hAnsi="Arial" w:cs="Arial"/>
          <w:sz w:val="22"/>
          <w:szCs w:val="22"/>
        </w:rPr>
        <w:t>k).</w:t>
      </w:r>
      <w:r w:rsidR="00CE6394">
        <w:rPr>
          <w:rFonts w:ascii="Arial" w:hAnsi="Arial" w:cs="Arial"/>
          <w:sz w:val="22"/>
          <w:szCs w:val="22"/>
        </w:rPr>
        <w:t xml:space="preserve"> These underspends are partially offset by an overspend within HRA Office </w:t>
      </w:r>
      <w:proofErr w:type="gramStart"/>
      <w:r w:rsidR="00CE6394">
        <w:rPr>
          <w:rFonts w:ascii="Arial" w:hAnsi="Arial" w:cs="Arial"/>
          <w:sz w:val="22"/>
          <w:szCs w:val="22"/>
        </w:rPr>
        <w:t>Nottingham</w:t>
      </w:r>
      <w:r w:rsidR="002C274E" w:rsidRPr="00C041A3">
        <w:rPr>
          <w:rFonts w:ascii="Arial" w:hAnsi="Arial" w:cs="Arial"/>
          <w:sz w:val="22"/>
          <w:szCs w:val="22"/>
        </w:rPr>
        <w:t xml:space="preserve">  </w:t>
      </w:r>
      <w:r w:rsidR="00994B77">
        <w:rPr>
          <w:rFonts w:ascii="Arial" w:hAnsi="Arial" w:cs="Arial"/>
          <w:sz w:val="22"/>
          <w:szCs w:val="22"/>
        </w:rPr>
        <w:t>of</w:t>
      </w:r>
      <w:proofErr w:type="gramEnd"/>
      <w:r w:rsidR="00994B77">
        <w:rPr>
          <w:rFonts w:ascii="Arial" w:hAnsi="Arial" w:cs="Arial"/>
          <w:sz w:val="22"/>
          <w:szCs w:val="22"/>
        </w:rPr>
        <w:t xml:space="preserve"> £31k.</w:t>
      </w:r>
    </w:p>
    <w:p w:rsidR="002C274E" w:rsidRPr="00C041A3" w:rsidRDefault="00DD0225" w:rsidP="00C041A3">
      <w:pPr>
        <w:pStyle w:val="ListParagraph"/>
        <w:spacing w:after="200" w:line="276" w:lineRule="auto"/>
        <w:ind w:left="1080"/>
        <w:rPr>
          <w:rFonts w:ascii="Arial" w:hAnsi="Arial" w:cs="Arial"/>
          <w:sz w:val="22"/>
          <w:szCs w:val="22"/>
        </w:rPr>
      </w:pPr>
      <w:r w:rsidRPr="00C041A3">
        <w:rPr>
          <w:rFonts w:ascii="Arial" w:hAnsi="Arial" w:cs="Arial"/>
          <w:sz w:val="22"/>
          <w:szCs w:val="22"/>
        </w:rPr>
        <w:t>During October the Operations establishment was re-organised to reflect the movement of REC’s from the beginning of the year.  This has moved the under</w:t>
      </w:r>
      <w:r w:rsidR="00CD5D5C" w:rsidRPr="00C041A3">
        <w:rPr>
          <w:rFonts w:ascii="Arial" w:hAnsi="Arial" w:cs="Arial"/>
          <w:sz w:val="22"/>
          <w:szCs w:val="22"/>
        </w:rPr>
        <w:t xml:space="preserve"> </w:t>
      </w:r>
      <w:r w:rsidRPr="00C041A3">
        <w:rPr>
          <w:rFonts w:ascii="Arial" w:hAnsi="Arial" w:cs="Arial"/>
          <w:sz w:val="22"/>
          <w:szCs w:val="22"/>
        </w:rPr>
        <w:t xml:space="preserve">spend from within the HRA Office London to the offices that took on additional REC’s.  </w:t>
      </w:r>
      <w:r w:rsidR="002C274E" w:rsidRPr="00C041A3">
        <w:rPr>
          <w:rFonts w:ascii="Arial" w:hAnsi="Arial" w:cs="Arial"/>
          <w:sz w:val="22"/>
          <w:szCs w:val="22"/>
        </w:rPr>
        <w:t xml:space="preserve">The </w:t>
      </w:r>
      <w:r w:rsidR="007A585B" w:rsidRPr="00C041A3">
        <w:rPr>
          <w:rFonts w:ascii="Arial" w:hAnsi="Arial" w:cs="Arial"/>
          <w:sz w:val="22"/>
          <w:szCs w:val="22"/>
        </w:rPr>
        <w:t xml:space="preserve">main causes of </w:t>
      </w:r>
      <w:proofErr w:type="gramStart"/>
      <w:r w:rsidR="007A585B" w:rsidRPr="00C041A3">
        <w:rPr>
          <w:rFonts w:ascii="Arial" w:hAnsi="Arial" w:cs="Arial"/>
          <w:sz w:val="22"/>
          <w:szCs w:val="22"/>
        </w:rPr>
        <w:t>the underspends</w:t>
      </w:r>
      <w:proofErr w:type="gramEnd"/>
      <w:r w:rsidR="007A585B" w:rsidRPr="00C041A3">
        <w:rPr>
          <w:rFonts w:ascii="Arial" w:hAnsi="Arial" w:cs="Arial"/>
          <w:sz w:val="22"/>
          <w:szCs w:val="22"/>
        </w:rPr>
        <w:t xml:space="preserve"> are:</w:t>
      </w:r>
    </w:p>
    <w:p w:rsidR="00AD0886" w:rsidRPr="001F7421" w:rsidRDefault="00AD0886" w:rsidP="001F7421">
      <w:pPr>
        <w:pStyle w:val="ListParagraph"/>
        <w:numPr>
          <w:ilvl w:val="1"/>
          <w:numId w:val="17"/>
        </w:numPr>
        <w:spacing w:after="200" w:line="276" w:lineRule="auto"/>
        <w:rPr>
          <w:rFonts w:ascii="Arial" w:hAnsi="Arial" w:cs="Arial"/>
          <w:sz w:val="22"/>
          <w:szCs w:val="22"/>
        </w:rPr>
      </w:pPr>
      <w:r w:rsidRPr="001F7421">
        <w:rPr>
          <w:rFonts w:ascii="Arial" w:hAnsi="Arial" w:cs="Arial"/>
          <w:sz w:val="22"/>
          <w:szCs w:val="22"/>
        </w:rPr>
        <w:t>Recurrent savings of high cost area allowance as a result of moving posts from London (this was highlighted on the KPI r</w:t>
      </w:r>
      <w:r w:rsidR="005D3876" w:rsidRPr="001F7421">
        <w:rPr>
          <w:rFonts w:ascii="Arial" w:hAnsi="Arial" w:cs="Arial"/>
          <w:sz w:val="22"/>
          <w:szCs w:val="22"/>
        </w:rPr>
        <w:t>eport for October – circa £23k)</w:t>
      </w:r>
      <w:r w:rsidRPr="001F7421">
        <w:rPr>
          <w:rFonts w:ascii="Arial" w:hAnsi="Arial" w:cs="Arial"/>
          <w:sz w:val="22"/>
          <w:szCs w:val="22"/>
        </w:rPr>
        <w:t xml:space="preserve"> </w:t>
      </w:r>
    </w:p>
    <w:p w:rsidR="00AD0886" w:rsidRPr="00C041A3" w:rsidRDefault="00AD0886" w:rsidP="00AD0886">
      <w:pPr>
        <w:pStyle w:val="ListParagraph"/>
        <w:numPr>
          <w:ilvl w:val="1"/>
          <w:numId w:val="17"/>
        </w:numPr>
        <w:spacing w:after="200" w:line="276" w:lineRule="auto"/>
        <w:rPr>
          <w:rFonts w:ascii="Arial" w:hAnsi="Arial" w:cs="Arial"/>
          <w:sz w:val="22"/>
          <w:szCs w:val="22"/>
        </w:rPr>
      </w:pPr>
      <w:r w:rsidRPr="00C041A3">
        <w:rPr>
          <w:rFonts w:ascii="Arial" w:hAnsi="Arial" w:cs="Arial"/>
          <w:sz w:val="22"/>
          <w:szCs w:val="22"/>
        </w:rPr>
        <w:t>Recurrent savings as a result of the full year effect of reducing the number of RECs by 1.  (circa £33k)  Both of these savings will help fund pay awards and pension cost increases in 2015/16.</w:t>
      </w:r>
    </w:p>
    <w:p w:rsidR="00AD0886" w:rsidRPr="00C041A3" w:rsidRDefault="00AD0886" w:rsidP="00AD0886">
      <w:pPr>
        <w:pStyle w:val="ListParagraph"/>
        <w:numPr>
          <w:ilvl w:val="1"/>
          <w:numId w:val="17"/>
        </w:numPr>
        <w:spacing w:after="200" w:line="276" w:lineRule="auto"/>
        <w:rPr>
          <w:rFonts w:ascii="Arial" w:hAnsi="Arial" w:cs="Arial"/>
          <w:sz w:val="22"/>
          <w:szCs w:val="22"/>
        </w:rPr>
      </w:pPr>
      <w:r w:rsidRPr="00C041A3">
        <w:rPr>
          <w:rFonts w:ascii="Arial" w:hAnsi="Arial" w:cs="Arial"/>
          <w:sz w:val="22"/>
          <w:szCs w:val="22"/>
        </w:rPr>
        <w:t xml:space="preserve">Non recurrent savings as a result of the decision to largely use internal cover rather than agency staff to cover vacant posts.  This decision was directly linked to the poor quality of staff offered through the agency staff contract.  Performance of the affected centres dipped slightly </w:t>
      </w:r>
      <w:r w:rsidR="00D427CB">
        <w:rPr>
          <w:rFonts w:ascii="Arial" w:hAnsi="Arial" w:cs="Arial"/>
          <w:sz w:val="22"/>
          <w:szCs w:val="22"/>
        </w:rPr>
        <w:t xml:space="preserve">in year </w:t>
      </w:r>
      <w:r w:rsidR="00740CAA">
        <w:rPr>
          <w:rFonts w:ascii="Arial" w:hAnsi="Arial" w:cs="Arial"/>
          <w:sz w:val="22"/>
          <w:szCs w:val="22"/>
        </w:rPr>
        <w:t xml:space="preserve">but recovered by the end of the year, </w:t>
      </w:r>
      <w:r w:rsidRPr="00C041A3">
        <w:rPr>
          <w:rFonts w:ascii="Arial" w:hAnsi="Arial" w:cs="Arial"/>
          <w:sz w:val="22"/>
          <w:szCs w:val="22"/>
        </w:rPr>
        <w:t xml:space="preserve">and remaining staff are working at full capacity.  </w:t>
      </w:r>
    </w:p>
    <w:p w:rsidR="00AD0886" w:rsidRPr="00C041A3" w:rsidRDefault="00AD0886" w:rsidP="00AD0886">
      <w:pPr>
        <w:pStyle w:val="ListParagraph"/>
        <w:numPr>
          <w:ilvl w:val="1"/>
          <w:numId w:val="17"/>
        </w:numPr>
        <w:spacing w:after="200" w:line="276" w:lineRule="auto"/>
        <w:rPr>
          <w:rFonts w:ascii="Arial" w:hAnsi="Arial" w:cs="Arial"/>
          <w:sz w:val="22"/>
          <w:szCs w:val="22"/>
        </w:rPr>
      </w:pPr>
      <w:r w:rsidRPr="00C041A3">
        <w:rPr>
          <w:rFonts w:ascii="Arial" w:hAnsi="Arial" w:cs="Arial"/>
          <w:sz w:val="22"/>
          <w:szCs w:val="22"/>
        </w:rPr>
        <w:t>Non recurrent saving as a result of carrying a senior vacant post.  Due to problems experienced in the past through the use of senior temps the decision was taken to cover internally to mitigate similar risks.  The under spend within the Regional Manager North relates to the acting up of a Regional Manager into the NRES Manager posts whose post has not been backfilled currently. The under</w:t>
      </w:r>
      <w:r w:rsidR="00AC3DE8" w:rsidRPr="00C041A3">
        <w:rPr>
          <w:rFonts w:ascii="Arial" w:hAnsi="Arial" w:cs="Arial"/>
          <w:sz w:val="22"/>
          <w:szCs w:val="22"/>
        </w:rPr>
        <w:t xml:space="preserve"> </w:t>
      </w:r>
      <w:r w:rsidRPr="00C041A3">
        <w:rPr>
          <w:rFonts w:ascii="Arial" w:hAnsi="Arial" w:cs="Arial"/>
          <w:sz w:val="22"/>
          <w:szCs w:val="22"/>
        </w:rPr>
        <w:t>spend within the Regional Manager South is as a result of the changed configu</w:t>
      </w:r>
      <w:r w:rsidR="00AC3DE8" w:rsidRPr="00C041A3">
        <w:rPr>
          <w:rFonts w:ascii="Arial" w:hAnsi="Arial" w:cs="Arial"/>
          <w:sz w:val="22"/>
          <w:szCs w:val="22"/>
        </w:rPr>
        <w:t xml:space="preserve">ration of the HRA Office London and cover arrangements.  </w:t>
      </w:r>
      <w:r w:rsidRPr="00C041A3">
        <w:rPr>
          <w:rFonts w:ascii="Arial" w:hAnsi="Arial" w:cs="Arial"/>
          <w:sz w:val="22"/>
          <w:szCs w:val="22"/>
        </w:rPr>
        <w:t xml:space="preserve"> Recruitment plans are now being progressed.</w:t>
      </w:r>
    </w:p>
    <w:p w:rsidR="00AD0886" w:rsidRPr="00C041A3" w:rsidRDefault="00AD0886" w:rsidP="00C041A3">
      <w:pPr>
        <w:pStyle w:val="ListParagraph"/>
        <w:spacing w:after="200" w:line="276" w:lineRule="auto"/>
        <w:ind w:left="1440"/>
        <w:rPr>
          <w:rFonts w:ascii="Arial" w:hAnsi="Arial" w:cs="Arial"/>
          <w:sz w:val="22"/>
          <w:szCs w:val="22"/>
        </w:rPr>
      </w:pPr>
      <w:r w:rsidRPr="00C041A3">
        <w:rPr>
          <w:rFonts w:ascii="Arial" w:hAnsi="Arial" w:cs="Arial"/>
          <w:sz w:val="22"/>
          <w:szCs w:val="22"/>
        </w:rPr>
        <w:t>Further explanations are offered below:</w:t>
      </w:r>
    </w:p>
    <w:p w:rsidR="00DA595A" w:rsidRPr="00C041A3" w:rsidRDefault="00C25D57" w:rsidP="00AD0886">
      <w:pPr>
        <w:pStyle w:val="ListParagraph"/>
        <w:numPr>
          <w:ilvl w:val="2"/>
          <w:numId w:val="15"/>
        </w:numPr>
        <w:spacing w:after="200" w:line="276" w:lineRule="auto"/>
        <w:rPr>
          <w:rFonts w:ascii="Arial" w:hAnsi="Arial" w:cs="Arial"/>
          <w:sz w:val="22"/>
          <w:szCs w:val="22"/>
        </w:rPr>
      </w:pPr>
      <w:r w:rsidRPr="00C041A3">
        <w:rPr>
          <w:rFonts w:ascii="Arial" w:hAnsi="Arial" w:cs="Arial"/>
          <w:sz w:val="22"/>
          <w:szCs w:val="22"/>
        </w:rPr>
        <w:t>The under</w:t>
      </w:r>
      <w:r w:rsidR="005743EE" w:rsidRPr="00C041A3">
        <w:rPr>
          <w:rFonts w:ascii="Arial" w:hAnsi="Arial" w:cs="Arial"/>
          <w:sz w:val="22"/>
          <w:szCs w:val="22"/>
        </w:rPr>
        <w:t xml:space="preserve"> </w:t>
      </w:r>
      <w:r w:rsidR="00DA595A" w:rsidRPr="00C041A3">
        <w:rPr>
          <w:rFonts w:ascii="Arial" w:hAnsi="Arial" w:cs="Arial"/>
          <w:sz w:val="22"/>
          <w:szCs w:val="22"/>
        </w:rPr>
        <w:t>spend within the HRA Office Jarrow</w:t>
      </w:r>
      <w:r w:rsidRPr="00C041A3">
        <w:rPr>
          <w:rFonts w:ascii="Arial" w:hAnsi="Arial" w:cs="Arial"/>
          <w:sz w:val="22"/>
          <w:szCs w:val="22"/>
        </w:rPr>
        <w:t xml:space="preserve"> relates mainly to staff </w:t>
      </w:r>
      <w:r w:rsidR="00DA595A" w:rsidRPr="00C041A3">
        <w:rPr>
          <w:rFonts w:ascii="Arial" w:hAnsi="Arial" w:cs="Arial"/>
          <w:sz w:val="22"/>
          <w:szCs w:val="22"/>
        </w:rPr>
        <w:t xml:space="preserve">recharge </w:t>
      </w:r>
      <w:r w:rsidR="00C62877">
        <w:rPr>
          <w:rFonts w:ascii="Arial" w:hAnsi="Arial" w:cs="Arial"/>
          <w:sz w:val="22"/>
          <w:szCs w:val="22"/>
        </w:rPr>
        <w:t>income (£7</w:t>
      </w:r>
      <w:r w:rsidRPr="00C041A3">
        <w:rPr>
          <w:rFonts w:ascii="Arial" w:hAnsi="Arial" w:cs="Arial"/>
          <w:sz w:val="22"/>
          <w:szCs w:val="22"/>
        </w:rPr>
        <w:t>k</w:t>
      </w:r>
      <w:r w:rsidR="00C62877">
        <w:rPr>
          <w:rFonts w:ascii="Arial" w:hAnsi="Arial" w:cs="Arial"/>
          <w:sz w:val="22"/>
          <w:szCs w:val="22"/>
        </w:rPr>
        <w:t xml:space="preserve"> net</w:t>
      </w:r>
      <w:r w:rsidRPr="00C041A3">
        <w:rPr>
          <w:rFonts w:ascii="Arial" w:hAnsi="Arial" w:cs="Arial"/>
          <w:sz w:val="22"/>
          <w:szCs w:val="22"/>
        </w:rPr>
        <w:t>)</w:t>
      </w:r>
      <w:r w:rsidR="00C62877">
        <w:rPr>
          <w:rFonts w:ascii="Arial" w:hAnsi="Arial" w:cs="Arial"/>
          <w:sz w:val="22"/>
          <w:szCs w:val="22"/>
        </w:rPr>
        <w:t xml:space="preserve"> and (£4</w:t>
      </w:r>
      <w:r w:rsidR="00DA595A" w:rsidRPr="00C041A3">
        <w:rPr>
          <w:rFonts w:ascii="Arial" w:hAnsi="Arial" w:cs="Arial"/>
          <w:sz w:val="22"/>
          <w:szCs w:val="22"/>
        </w:rPr>
        <w:t>k) on Stationery</w:t>
      </w:r>
      <w:r w:rsidR="00C041A3" w:rsidRPr="00C041A3">
        <w:rPr>
          <w:rFonts w:ascii="Arial" w:hAnsi="Arial" w:cs="Arial"/>
          <w:sz w:val="22"/>
          <w:szCs w:val="22"/>
        </w:rPr>
        <w:t xml:space="preserve"> and Storage</w:t>
      </w:r>
      <w:r w:rsidR="00DA595A" w:rsidRPr="00C041A3">
        <w:rPr>
          <w:rFonts w:ascii="Arial" w:hAnsi="Arial" w:cs="Arial"/>
          <w:sz w:val="22"/>
          <w:szCs w:val="22"/>
        </w:rPr>
        <w:t xml:space="preserve"> and (£3k) on Chairs allowances.</w:t>
      </w:r>
    </w:p>
    <w:p w:rsidR="003764E7" w:rsidRPr="00FB71AF" w:rsidRDefault="002C274E" w:rsidP="00AD0886">
      <w:pPr>
        <w:pStyle w:val="ListParagraph"/>
        <w:numPr>
          <w:ilvl w:val="2"/>
          <w:numId w:val="15"/>
        </w:numPr>
        <w:spacing w:after="200" w:line="276" w:lineRule="auto"/>
        <w:rPr>
          <w:rFonts w:ascii="Arial" w:hAnsi="Arial" w:cs="Arial"/>
          <w:sz w:val="22"/>
          <w:szCs w:val="22"/>
        </w:rPr>
      </w:pPr>
      <w:r w:rsidRPr="00FB71AF">
        <w:rPr>
          <w:rFonts w:ascii="Arial" w:hAnsi="Arial" w:cs="Arial"/>
          <w:sz w:val="22"/>
          <w:szCs w:val="22"/>
        </w:rPr>
        <w:t xml:space="preserve">The HRA </w:t>
      </w:r>
      <w:r w:rsidR="00C25D57" w:rsidRPr="00FB71AF">
        <w:rPr>
          <w:rFonts w:ascii="Arial" w:hAnsi="Arial" w:cs="Arial"/>
          <w:sz w:val="22"/>
          <w:szCs w:val="22"/>
        </w:rPr>
        <w:t>Off</w:t>
      </w:r>
      <w:r w:rsidR="00CF3EC2" w:rsidRPr="00FB71AF">
        <w:rPr>
          <w:rFonts w:ascii="Arial" w:hAnsi="Arial" w:cs="Arial"/>
          <w:sz w:val="22"/>
          <w:szCs w:val="22"/>
        </w:rPr>
        <w:t>ice Manchester underspend of £</w:t>
      </w:r>
      <w:r w:rsidR="00C62877">
        <w:rPr>
          <w:rFonts w:ascii="Arial" w:hAnsi="Arial" w:cs="Arial"/>
          <w:sz w:val="22"/>
          <w:szCs w:val="22"/>
        </w:rPr>
        <w:t>106</w:t>
      </w:r>
      <w:r w:rsidR="00C25D57" w:rsidRPr="00FB71AF">
        <w:rPr>
          <w:rFonts w:ascii="Arial" w:hAnsi="Arial" w:cs="Arial"/>
          <w:sz w:val="22"/>
          <w:szCs w:val="22"/>
        </w:rPr>
        <w:t>k i</w:t>
      </w:r>
      <w:r w:rsidR="00401265" w:rsidRPr="00FB71AF">
        <w:rPr>
          <w:rFonts w:ascii="Arial" w:hAnsi="Arial" w:cs="Arial"/>
          <w:sz w:val="22"/>
          <w:szCs w:val="22"/>
        </w:rPr>
        <w:t xml:space="preserve">s in relation to staff costs </w:t>
      </w:r>
      <w:r w:rsidR="00222E1A">
        <w:rPr>
          <w:rFonts w:ascii="Arial" w:hAnsi="Arial" w:cs="Arial"/>
          <w:sz w:val="22"/>
          <w:szCs w:val="22"/>
        </w:rPr>
        <w:t>£95</w:t>
      </w:r>
      <w:r w:rsidR="00401265" w:rsidRPr="00FB71AF">
        <w:rPr>
          <w:rFonts w:ascii="Arial" w:hAnsi="Arial" w:cs="Arial"/>
          <w:sz w:val="22"/>
          <w:szCs w:val="22"/>
        </w:rPr>
        <w:t>k</w:t>
      </w:r>
      <w:r w:rsidR="00C25D57" w:rsidRPr="00FB71AF">
        <w:rPr>
          <w:rFonts w:ascii="Arial" w:hAnsi="Arial" w:cs="Arial"/>
          <w:sz w:val="22"/>
          <w:szCs w:val="22"/>
        </w:rPr>
        <w:t xml:space="preserve"> – </w:t>
      </w:r>
      <w:r w:rsidR="00DD0225" w:rsidRPr="00FB71AF">
        <w:rPr>
          <w:rFonts w:ascii="Arial" w:hAnsi="Arial" w:cs="Arial"/>
          <w:sz w:val="22"/>
          <w:szCs w:val="22"/>
        </w:rPr>
        <w:t xml:space="preserve">this increase is largely due to the budget transferred from the HRA Office London for the pay for transferred REC’s.  The recruitment to HRA Office Manchester </w:t>
      </w:r>
      <w:r w:rsidR="00CB5121" w:rsidRPr="00FB71AF">
        <w:rPr>
          <w:rFonts w:ascii="Arial" w:hAnsi="Arial" w:cs="Arial"/>
          <w:sz w:val="22"/>
          <w:szCs w:val="22"/>
        </w:rPr>
        <w:t>continues to be</w:t>
      </w:r>
      <w:r w:rsidR="000F27AB" w:rsidRPr="00FB71AF">
        <w:rPr>
          <w:rFonts w:ascii="Arial" w:hAnsi="Arial" w:cs="Arial"/>
          <w:sz w:val="22"/>
          <w:szCs w:val="22"/>
        </w:rPr>
        <w:t xml:space="preserve"> undertaken.</w:t>
      </w:r>
      <w:r w:rsidR="00921CE5" w:rsidRPr="00FB71AF">
        <w:rPr>
          <w:rFonts w:ascii="Arial" w:hAnsi="Arial" w:cs="Arial"/>
          <w:sz w:val="22"/>
          <w:szCs w:val="22"/>
        </w:rPr>
        <w:t xml:space="preserve"> There is a plan for additional hours to be worked by some of the current staff in order to continue to meet set deadlines and these will be charged to the staff underspend.</w:t>
      </w:r>
      <w:r w:rsidR="00C42136" w:rsidRPr="00FB71AF">
        <w:rPr>
          <w:rFonts w:ascii="Arial" w:hAnsi="Arial" w:cs="Arial"/>
          <w:sz w:val="22"/>
          <w:szCs w:val="22"/>
        </w:rPr>
        <w:t xml:space="preserve">  There is </w:t>
      </w:r>
      <w:proofErr w:type="gramStart"/>
      <w:r w:rsidR="00C42136" w:rsidRPr="00FB71AF">
        <w:rPr>
          <w:rFonts w:ascii="Arial" w:hAnsi="Arial" w:cs="Arial"/>
          <w:sz w:val="22"/>
          <w:szCs w:val="22"/>
        </w:rPr>
        <w:t>an under</w:t>
      </w:r>
      <w:r w:rsidR="00F86186" w:rsidRPr="00FB71AF">
        <w:rPr>
          <w:rFonts w:ascii="Arial" w:hAnsi="Arial" w:cs="Arial"/>
          <w:sz w:val="22"/>
          <w:szCs w:val="22"/>
        </w:rPr>
        <w:t>spend</w:t>
      </w:r>
      <w:proofErr w:type="gramEnd"/>
      <w:r w:rsidR="00C42136" w:rsidRPr="00FB71AF">
        <w:rPr>
          <w:rFonts w:ascii="Arial" w:hAnsi="Arial" w:cs="Arial"/>
          <w:sz w:val="22"/>
          <w:szCs w:val="22"/>
        </w:rPr>
        <w:t xml:space="preserve"> within </w:t>
      </w:r>
      <w:r w:rsidR="00222E1A">
        <w:rPr>
          <w:rFonts w:ascii="Arial" w:hAnsi="Arial" w:cs="Arial"/>
          <w:sz w:val="22"/>
          <w:szCs w:val="22"/>
        </w:rPr>
        <w:t>stationery £14k, a £6</w:t>
      </w:r>
      <w:r w:rsidR="00CF3EC2" w:rsidRPr="00FB71AF">
        <w:rPr>
          <w:rFonts w:ascii="Arial" w:hAnsi="Arial" w:cs="Arial"/>
          <w:sz w:val="22"/>
          <w:szCs w:val="22"/>
        </w:rPr>
        <w:t>k underspend in postage</w:t>
      </w:r>
      <w:r w:rsidR="00921CE5" w:rsidRPr="00FB71AF">
        <w:rPr>
          <w:rFonts w:ascii="Arial" w:hAnsi="Arial" w:cs="Arial"/>
          <w:sz w:val="22"/>
          <w:szCs w:val="22"/>
        </w:rPr>
        <w:t xml:space="preserve"> </w:t>
      </w:r>
      <w:r w:rsidR="00C42136" w:rsidRPr="00FB71AF">
        <w:rPr>
          <w:rFonts w:ascii="Arial" w:hAnsi="Arial" w:cs="Arial"/>
          <w:sz w:val="22"/>
          <w:szCs w:val="22"/>
        </w:rPr>
        <w:t>and a</w:t>
      </w:r>
      <w:r w:rsidR="00921CE5" w:rsidRPr="00FB71AF">
        <w:rPr>
          <w:rFonts w:ascii="Arial" w:hAnsi="Arial" w:cs="Arial"/>
          <w:sz w:val="22"/>
          <w:szCs w:val="22"/>
        </w:rPr>
        <w:t>n underspe</w:t>
      </w:r>
      <w:r w:rsidR="00222E1A">
        <w:rPr>
          <w:rFonts w:ascii="Arial" w:hAnsi="Arial" w:cs="Arial"/>
          <w:sz w:val="22"/>
          <w:szCs w:val="22"/>
        </w:rPr>
        <w:t>nd within Contract photocopiers of £3</w:t>
      </w:r>
      <w:r w:rsidR="00921CE5" w:rsidRPr="00FB71AF">
        <w:rPr>
          <w:rFonts w:ascii="Arial" w:hAnsi="Arial" w:cs="Arial"/>
          <w:sz w:val="22"/>
          <w:szCs w:val="22"/>
        </w:rPr>
        <w:t>k</w:t>
      </w:r>
      <w:r w:rsidR="00DD0225" w:rsidRPr="00FB71AF">
        <w:rPr>
          <w:rFonts w:ascii="Arial" w:hAnsi="Arial" w:cs="Arial"/>
          <w:sz w:val="22"/>
          <w:szCs w:val="22"/>
        </w:rPr>
        <w:t xml:space="preserve"> and a small underspe</w:t>
      </w:r>
      <w:r w:rsidR="00DA595A" w:rsidRPr="00FB71AF">
        <w:rPr>
          <w:rFonts w:ascii="Arial" w:hAnsi="Arial" w:cs="Arial"/>
          <w:sz w:val="22"/>
          <w:szCs w:val="22"/>
        </w:rPr>
        <w:t>nd within Chairs Allowance of £3</w:t>
      </w:r>
      <w:r w:rsidR="00DD0225" w:rsidRPr="00FB71AF">
        <w:rPr>
          <w:rFonts w:ascii="Arial" w:hAnsi="Arial" w:cs="Arial"/>
          <w:sz w:val="22"/>
          <w:szCs w:val="22"/>
        </w:rPr>
        <w:t>k</w:t>
      </w:r>
      <w:r w:rsidR="00222E1A">
        <w:rPr>
          <w:rFonts w:ascii="Arial" w:hAnsi="Arial" w:cs="Arial"/>
          <w:sz w:val="22"/>
          <w:szCs w:val="22"/>
        </w:rPr>
        <w:t>. These underspends are slightly offset by overspends in</w:t>
      </w:r>
      <w:r w:rsidR="00FB71AF" w:rsidRPr="00FB71AF">
        <w:rPr>
          <w:rFonts w:ascii="Arial" w:hAnsi="Arial" w:cs="Arial"/>
          <w:sz w:val="22"/>
          <w:szCs w:val="22"/>
        </w:rPr>
        <w:t xml:space="preserve"> meeting expenses</w:t>
      </w:r>
      <w:r w:rsidR="00222E1A">
        <w:rPr>
          <w:rFonts w:ascii="Arial" w:hAnsi="Arial" w:cs="Arial"/>
          <w:sz w:val="22"/>
          <w:szCs w:val="22"/>
        </w:rPr>
        <w:t xml:space="preserve"> £4k and £14k service charge costs.</w:t>
      </w:r>
      <w:r w:rsidR="00921CE5" w:rsidRPr="00FB71AF">
        <w:rPr>
          <w:rFonts w:ascii="Arial" w:hAnsi="Arial" w:cs="Arial"/>
          <w:sz w:val="22"/>
          <w:szCs w:val="22"/>
        </w:rPr>
        <w:t xml:space="preserve">  </w:t>
      </w:r>
    </w:p>
    <w:p w:rsidR="00794745" w:rsidRDefault="00222E1A" w:rsidP="00AD0886">
      <w:pPr>
        <w:pStyle w:val="ListParagraph"/>
        <w:numPr>
          <w:ilvl w:val="2"/>
          <w:numId w:val="15"/>
        </w:numPr>
        <w:spacing w:after="200" w:line="276" w:lineRule="auto"/>
        <w:rPr>
          <w:rFonts w:ascii="Arial" w:hAnsi="Arial" w:cs="Arial"/>
          <w:sz w:val="22"/>
          <w:szCs w:val="22"/>
        </w:rPr>
      </w:pPr>
      <w:r>
        <w:rPr>
          <w:rFonts w:ascii="Arial" w:hAnsi="Arial" w:cs="Arial"/>
          <w:sz w:val="22"/>
          <w:szCs w:val="22"/>
        </w:rPr>
        <w:t>The underspend of £32</w:t>
      </w:r>
      <w:r w:rsidR="00794745" w:rsidRPr="00FB71AF">
        <w:rPr>
          <w:rFonts w:ascii="Arial" w:hAnsi="Arial" w:cs="Arial"/>
          <w:sz w:val="22"/>
          <w:szCs w:val="22"/>
        </w:rPr>
        <w:t>k within the HRA Office Bristol is mostly</w:t>
      </w:r>
      <w:r w:rsidR="00F86186" w:rsidRPr="00FB71AF">
        <w:rPr>
          <w:rFonts w:ascii="Arial" w:hAnsi="Arial" w:cs="Arial"/>
          <w:sz w:val="22"/>
          <w:szCs w:val="22"/>
        </w:rPr>
        <w:t xml:space="preserve"> in relation to staf</w:t>
      </w:r>
      <w:r>
        <w:rPr>
          <w:rFonts w:ascii="Arial" w:hAnsi="Arial" w:cs="Arial"/>
          <w:sz w:val="22"/>
          <w:szCs w:val="22"/>
        </w:rPr>
        <w:t>f costs £52</w:t>
      </w:r>
      <w:r w:rsidR="00CF3EC2" w:rsidRPr="00FB71AF">
        <w:rPr>
          <w:rFonts w:ascii="Arial" w:hAnsi="Arial" w:cs="Arial"/>
          <w:sz w:val="22"/>
          <w:szCs w:val="22"/>
        </w:rPr>
        <w:t>k</w:t>
      </w:r>
      <w:r w:rsidR="00FB71AF" w:rsidRPr="00FB71AF">
        <w:rPr>
          <w:rFonts w:ascii="Arial" w:hAnsi="Arial" w:cs="Arial"/>
          <w:sz w:val="22"/>
          <w:szCs w:val="22"/>
        </w:rPr>
        <w:t xml:space="preserve"> and these have arisen </w:t>
      </w:r>
      <w:r w:rsidR="00794745" w:rsidRPr="00FB71AF">
        <w:rPr>
          <w:rFonts w:ascii="Arial" w:hAnsi="Arial" w:cs="Arial"/>
          <w:sz w:val="22"/>
          <w:szCs w:val="22"/>
        </w:rPr>
        <w:t xml:space="preserve"> due to the pay budgets transferred to reflect the REC committees transferred to Bristol from </w:t>
      </w:r>
      <w:r>
        <w:rPr>
          <w:rFonts w:ascii="Arial" w:hAnsi="Arial" w:cs="Arial"/>
          <w:sz w:val="22"/>
          <w:szCs w:val="22"/>
        </w:rPr>
        <w:t>London.  There is an £12</w:t>
      </w:r>
      <w:r w:rsidR="00766455" w:rsidRPr="00FB71AF">
        <w:rPr>
          <w:rFonts w:ascii="Arial" w:hAnsi="Arial" w:cs="Arial"/>
          <w:sz w:val="22"/>
          <w:szCs w:val="22"/>
        </w:rPr>
        <w:t>k underspe</w:t>
      </w:r>
      <w:r w:rsidR="00794745" w:rsidRPr="00FB71AF">
        <w:rPr>
          <w:rFonts w:ascii="Arial" w:hAnsi="Arial" w:cs="Arial"/>
          <w:sz w:val="22"/>
          <w:szCs w:val="22"/>
        </w:rPr>
        <w:t>nd wit</w:t>
      </w:r>
      <w:r>
        <w:rPr>
          <w:rFonts w:ascii="Arial" w:hAnsi="Arial" w:cs="Arial"/>
          <w:sz w:val="22"/>
          <w:szCs w:val="22"/>
        </w:rPr>
        <w:t>hin the Chairs Allowance.</w:t>
      </w:r>
      <w:r w:rsidR="00F86186" w:rsidRPr="00FB71AF">
        <w:rPr>
          <w:rFonts w:ascii="Arial" w:hAnsi="Arial" w:cs="Arial"/>
          <w:sz w:val="22"/>
          <w:szCs w:val="22"/>
        </w:rPr>
        <w:t xml:space="preserve"> These underspends are offset by an over</w:t>
      </w:r>
      <w:r w:rsidR="00CD5D5C" w:rsidRPr="00FB71AF">
        <w:rPr>
          <w:rFonts w:ascii="Arial" w:hAnsi="Arial" w:cs="Arial"/>
          <w:sz w:val="22"/>
          <w:szCs w:val="22"/>
        </w:rPr>
        <w:t xml:space="preserve"> </w:t>
      </w:r>
      <w:r w:rsidR="00DA595A" w:rsidRPr="00FB71AF">
        <w:rPr>
          <w:rFonts w:ascii="Arial" w:hAnsi="Arial" w:cs="Arial"/>
          <w:sz w:val="22"/>
          <w:szCs w:val="22"/>
        </w:rPr>
        <w:t>spend in service charge of £6</w:t>
      </w:r>
      <w:r w:rsidR="00F86186" w:rsidRPr="00FB71AF">
        <w:rPr>
          <w:rFonts w:ascii="Arial" w:hAnsi="Arial" w:cs="Arial"/>
          <w:sz w:val="22"/>
          <w:szCs w:val="22"/>
        </w:rPr>
        <w:t>k relating to a late c</w:t>
      </w:r>
      <w:r>
        <w:rPr>
          <w:rFonts w:ascii="Arial" w:hAnsi="Arial" w:cs="Arial"/>
          <w:sz w:val="22"/>
          <w:szCs w:val="22"/>
        </w:rPr>
        <w:t xml:space="preserve">harge from former host and an £16k overspend within travel costs and </w:t>
      </w:r>
      <w:proofErr w:type="gramStart"/>
      <w:r>
        <w:rPr>
          <w:rFonts w:ascii="Arial" w:hAnsi="Arial" w:cs="Arial"/>
          <w:sz w:val="22"/>
          <w:szCs w:val="22"/>
        </w:rPr>
        <w:t>an overspend</w:t>
      </w:r>
      <w:proofErr w:type="gramEnd"/>
      <w:r>
        <w:rPr>
          <w:rFonts w:ascii="Arial" w:hAnsi="Arial" w:cs="Arial"/>
          <w:sz w:val="22"/>
          <w:szCs w:val="22"/>
        </w:rPr>
        <w:t xml:space="preserve"> in meeting room expenses of £4k.</w:t>
      </w:r>
      <w:r w:rsidR="00E07A37" w:rsidRPr="00FB71AF">
        <w:rPr>
          <w:rFonts w:ascii="Arial" w:hAnsi="Arial" w:cs="Arial"/>
          <w:sz w:val="22"/>
          <w:szCs w:val="22"/>
        </w:rPr>
        <w:t xml:space="preserve"> </w:t>
      </w:r>
    </w:p>
    <w:p w:rsidR="00FB71AF" w:rsidRDefault="00FB71AF" w:rsidP="00AD0886">
      <w:pPr>
        <w:pStyle w:val="ListParagraph"/>
        <w:numPr>
          <w:ilvl w:val="2"/>
          <w:numId w:val="15"/>
        </w:numPr>
        <w:spacing w:after="200" w:line="276" w:lineRule="auto"/>
        <w:rPr>
          <w:rFonts w:ascii="Arial" w:hAnsi="Arial" w:cs="Arial"/>
          <w:sz w:val="22"/>
          <w:szCs w:val="22"/>
        </w:rPr>
      </w:pPr>
      <w:proofErr w:type="gramStart"/>
      <w:r>
        <w:rPr>
          <w:rFonts w:ascii="Arial" w:hAnsi="Arial" w:cs="Arial"/>
          <w:sz w:val="22"/>
          <w:szCs w:val="22"/>
        </w:rPr>
        <w:t>The underspend</w:t>
      </w:r>
      <w:proofErr w:type="gramEnd"/>
      <w:r>
        <w:rPr>
          <w:rFonts w:ascii="Arial" w:hAnsi="Arial" w:cs="Arial"/>
          <w:sz w:val="22"/>
          <w:szCs w:val="22"/>
        </w:rPr>
        <w:t xml:space="preserve"> with the HRA O</w:t>
      </w:r>
      <w:r w:rsidR="00222E1A">
        <w:rPr>
          <w:rFonts w:ascii="Arial" w:hAnsi="Arial" w:cs="Arial"/>
          <w:sz w:val="22"/>
          <w:szCs w:val="22"/>
        </w:rPr>
        <w:t>ffice London of £25</w:t>
      </w:r>
      <w:r>
        <w:rPr>
          <w:rFonts w:ascii="Arial" w:hAnsi="Arial" w:cs="Arial"/>
          <w:sz w:val="22"/>
          <w:szCs w:val="22"/>
        </w:rPr>
        <w:t>k is mostly in rela</w:t>
      </w:r>
      <w:r w:rsidR="00222E1A">
        <w:rPr>
          <w:rFonts w:ascii="Arial" w:hAnsi="Arial" w:cs="Arial"/>
          <w:sz w:val="22"/>
          <w:szCs w:val="22"/>
        </w:rPr>
        <w:t>tion to staff underspends of £36</w:t>
      </w:r>
      <w:r>
        <w:rPr>
          <w:rFonts w:ascii="Arial" w:hAnsi="Arial" w:cs="Arial"/>
          <w:sz w:val="22"/>
          <w:szCs w:val="22"/>
        </w:rPr>
        <w:t>k, which are offset by overspends on removal expenses and a non-recurrent computer software charge.</w:t>
      </w:r>
    </w:p>
    <w:p w:rsidR="00222E1A" w:rsidRPr="00FB71AF" w:rsidRDefault="00222E1A" w:rsidP="00AD0886">
      <w:pPr>
        <w:pStyle w:val="ListParagraph"/>
        <w:numPr>
          <w:ilvl w:val="2"/>
          <w:numId w:val="15"/>
        </w:numPr>
        <w:spacing w:after="200" w:line="276" w:lineRule="auto"/>
        <w:rPr>
          <w:rFonts w:ascii="Arial" w:hAnsi="Arial" w:cs="Arial"/>
          <w:sz w:val="22"/>
          <w:szCs w:val="22"/>
        </w:rPr>
      </w:pPr>
      <w:proofErr w:type="gramStart"/>
      <w:r>
        <w:rPr>
          <w:rFonts w:ascii="Arial" w:hAnsi="Arial" w:cs="Arial"/>
          <w:sz w:val="22"/>
          <w:szCs w:val="22"/>
        </w:rPr>
        <w:t>The overspend</w:t>
      </w:r>
      <w:proofErr w:type="gramEnd"/>
      <w:r>
        <w:rPr>
          <w:rFonts w:ascii="Arial" w:hAnsi="Arial" w:cs="Arial"/>
          <w:sz w:val="22"/>
          <w:szCs w:val="22"/>
        </w:rPr>
        <w:t xml:space="preserve"> in the HRA Office Nottingham of £31k is in relation to £4k pay costs and £29k travel expenses.</w:t>
      </w:r>
    </w:p>
    <w:p w:rsidR="00E07A37" w:rsidRPr="00FB71AF" w:rsidRDefault="00E07A37" w:rsidP="00AD0886">
      <w:pPr>
        <w:pStyle w:val="ListParagraph"/>
        <w:numPr>
          <w:ilvl w:val="2"/>
          <w:numId w:val="15"/>
        </w:numPr>
        <w:spacing w:after="200" w:line="276" w:lineRule="auto"/>
        <w:rPr>
          <w:rFonts w:ascii="Arial" w:hAnsi="Arial" w:cs="Arial"/>
          <w:sz w:val="22"/>
          <w:szCs w:val="22"/>
        </w:rPr>
      </w:pPr>
      <w:r w:rsidRPr="00FB71AF">
        <w:rPr>
          <w:rFonts w:ascii="Arial" w:hAnsi="Arial" w:cs="Arial"/>
          <w:sz w:val="22"/>
          <w:szCs w:val="22"/>
        </w:rPr>
        <w:t>The Chairs under spends in the larger centres have been investigated and are due to the budget being based on Chairs Allowance plus on-costs – at a rate we would be recharged from an external host.  The majority of Chairs are now on payroll and the on-costs are significantly lower than budgeted.  For 2015/16 we will be budgeting based on actual process for each Chair so the under spend should be eliminated and produce a small saving back to reserves.</w:t>
      </w:r>
    </w:p>
    <w:p w:rsidR="004B6C9A" w:rsidRPr="006B44B5" w:rsidRDefault="004B6C9A" w:rsidP="004B6C9A">
      <w:pPr>
        <w:pStyle w:val="ListParagraph"/>
        <w:spacing w:after="200" w:line="276" w:lineRule="auto"/>
        <w:ind w:left="2160"/>
        <w:rPr>
          <w:rFonts w:ascii="Arial" w:hAnsi="Arial" w:cs="Arial"/>
          <w:sz w:val="22"/>
          <w:szCs w:val="22"/>
        </w:rPr>
      </w:pPr>
    </w:p>
    <w:p w:rsidR="008E77EB" w:rsidRPr="006B44B5" w:rsidRDefault="00BF58DB" w:rsidP="006B44B5">
      <w:pPr>
        <w:pStyle w:val="ListParagraph"/>
        <w:numPr>
          <w:ilvl w:val="0"/>
          <w:numId w:val="17"/>
        </w:numPr>
        <w:spacing w:after="200" w:line="276" w:lineRule="auto"/>
        <w:rPr>
          <w:rFonts w:ascii="Arial" w:hAnsi="Arial" w:cs="Arial"/>
          <w:sz w:val="22"/>
          <w:szCs w:val="22"/>
        </w:rPr>
      </w:pPr>
      <w:r>
        <w:rPr>
          <w:rFonts w:ascii="Arial" w:hAnsi="Arial" w:cs="Arial"/>
          <w:sz w:val="22"/>
          <w:szCs w:val="22"/>
        </w:rPr>
        <w:t xml:space="preserve">The </w:t>
      </w:r>
      <w:r w:rsidRPr="00AD69BC">
        <w:rPr>
          <w:rFonts w:ascii="Arial" w:hAnsi="Arial" w:cs="Arial"/>
          <w:b/>
          <w:sz w:val="22"/>
          <w:szCs w:val="22"/>
          <w:u w:val="single"/>
        </w:rPr>
        <w:t>Corporate Services</w:t>
      </w:r>
      <w:r>
        <w:rPr>
          <w:rFonts w:ascii="Arial" w:hAnsi="Arial" w:cs="Arial"/>
          <w:sz w:val="22"/>
          <w:szCs w:val="22"/>
        </w:rPr>
        <w:t xml:space="preserve"> directorate has over spent by £33k however within that position t</w:t>
      </w:r>
      <w:r w:rsidR="00D9051B" w:rsidRPr="006B44B5">
        <w:rPr>
          <w:rFonts w:ascii="Arial" w:hAnsi="Arial" w:cs="Arial"/>
          <w:sz w:val="22"/>
          <w:szCs w:val="22"/>
        </w:rPr>
        <w:t>raining for staf</w:t>
      </w:r>
      <w:r w:rsidR="00222E1A">
        <w:rPr>
          <w:rFonts w:ascii="Arial" w:hAnsi="Arial" w:cs="Arial"/>
          <w:sz w:val="22"/>
          <w:szCs w:val="22"/>
        </w:rPr>
        <w:t>f and members is underspent (£43</w:t>
      </w:r>
      <w:r w:rsidR="00D9051B" w:rsidRPr="006B44B5">
        <w:rPr>
          <w:rFonts w:ascii="Arial" w:hAnsi="Arial" w:cs="Arial"/>
          <w:sz w:val="22"/>
          <w:szCs w:val="22"/>
        </w:rPr>
        <w:t>k)</w:t>
      </w:r>
      <w:r>
        <w:rPr>
          <w:rFonts w:ascii="Arial" w:hAnsi="Arial" w:cs="Arial"/>
          <w:sz w:val="22"/>
          <w:szCs w:val="22"/>
        </w:rPr>
        <w:t xml:space="preserve"> although a break even had been predicted. </w:t>
      </w:r>
      <w:r w:rsidR="00AD69BC">
        <w:rPr>
          <w:rFonts w:ascii="Arial" w:hAnsi="Arial" w:cs="Arial"/>
          <w:sz w:val="22"/>
          <w:szCs w:val="22"/>
        </w:rPr>
        <w:t xml:space="preserve"> The initial contributing factor to this position appear to be linked to the accounting for training related travel costs a significant proportion of which are being charged to line managers rather than training.  Treatment will be clarified.    </w:t>
      </w:r>
      <w:proofErr w:type="gramStart"/>
      <w:r w:rsidR="002D34F7" w:rsidRPr="006B44B5">
        <w:rPr>
          <w:rFonts w:ascii="Arial" w:hAnsi="Arial" w:cs="Arial"/>
          <w:sz w:val="22"/>
          <w:szCs w:val="22"/>
        </w:rPr>
        <w:t xml:space="preserve">The </w:t>
      </w:r>
      <w:r w:rsidR="008E77EB" w:rsidRPr="006B44B5">
        <w:rPr>
          <w:rFonts w:ascii="Arial" w:hAnsi="Arial" w:cs="Arial"/>
          <w:sz w:val="22"/>
          <w:szCs w:val="22"/>
        </w:rPr>
        <w:t>overspends</w:t>
      </w:r>
      <w:proofErr w:type="gramEnd"/>
      <w:r w:rsidR="008E77EB" w:rsidRPr="006B44B5">
        <w:rPr>
          <w:rFonts w:ascii="Arial" w:hAnsi="Arial" w:cs="Arial"/>
          <w:sz w:val="22"/>
          <w:szCs w:val="22"/>
        </w:rPr>
        <w:t xml:space="preserve"> within Corporate Services relate</w:t>
      </w:r>
      <w:r w:rsidR="002D34F7" w:rsidRPr="006B44B5">
        <w:rPr>
          <w:rFonts w:ascii="Arial" w:hAnsi="Arial" w:cs="Arial"/>
          <w:sz w:val="22"/>
          <w:szCs w:val="22"/>
        </w:rPr>
        <w:t xml:space="preserve"> to </w:t>
      </w:r>
      <w:r w:rsidR="00222E1A">
        <w:rPr>
          <w:rFonts w:ascii="Arial" w:hAnsi="Arial" w:cs="Arial"/>
          <w:sz w:val="22"/>
          <w:szCs w:val="22"/>
        </w:rPr>
        <w:t>Business Partnerships</w:t>
      </w:r>
      <w:r w:rsidR="006B44B5" w:rsidRPr="006B44B5">
        <w:rPr>
          <w:rFonts w:ascii="Arial" w:hAnsi="Arial" w:cs="Arial"/>
          <w:sz w:val="22"/>
          <w:szCs w:val="22"/>
        </w:rPr>
        <w:t xml:space="preserve"> </w:t>
      </w:r>
      <w:r w:rsidR="002D34F7" w:rsidRPr="006B44B5">
        <w:rPr>
          <w:rFonts w:ascii="Arial" w:hAnsi="Arial" w:cs="Arial"/>
          <w:sz w:val="22"/>
          <w:szCs w:val="22"/>
        </w:rPr>
        <w:t>(£</w:t>
      </w:r>
      <w:r w:rsidR="00222E1A">
        <w:rPr>
          <w:rFonts w:ascii="Arial" w:hAnsi="Arial" w:cs="Arial"/>
          <w:sz w:val="22"/>
          <w:szCs w:val="22"/>
        </w:rPr>
        <w:t>45</w:t>
      </w:r>
      <w:r w:rsidR="002D34F7" w:rsidRPr="006B44B5">
        <w:rPr>
          <w:rFonts w:ascii="Arial" w:hAnsi="Arial" w:cs="Arial"/>
          <w:sz w:val="22"/>
          <w:szCs w:val="22"/>
        </w:rPr>
        <w:t>k</w:t>
      </w:r>
      <w:r w:rsidR="00794745" w:rsidRPr="006B44B5">
        <w:rPr>
          <w:rFonts w:ascii="Arial" w:hAnsi="Arial" w:cs="Arial"/>
          <w:sz w:val="22"/>
          <w:szCs w:val="22"/>
        </w:rPr>
        <w:t>)</w:t>
      </w:r>
      <w:r w:rsidR="000D7316" w:rsidRPr="006B44B5">
        <w:rPr>
          <w:rFonts w:ascii="Arial" w:hAnsi="Arial" w:cs="Arial"/>
          <w:sz w:val="22"/>
          <w:szCs w:val="22"/>
        </w:rPr>
        <w:t xml:space="preserve"> </w:t>
      </w:r>
      <w:r w:rsidR="00F14D16" w:rsidRPr="006B44B5">
        <w:rPr>
          <w:rFonts w:ascii="Arial" w:hAnsi="Arial" w:cs="Arial"/>
          <w:sz w:val="22"/>
          <w:szCs w:val="22"/>
        </w:rPr>
        <w:t xml:space="preserve">in </w:t>
      </w:r>
      <w:r w:rsidR="009911D1">
        <w:rPr>
          <w:rFonts w:ascii="Arial" w:hAnsi="Arial" w:cs="Arial"/>
          <w:sz w:val="22"/>
          <w:szCs w:val="22"/>
        </w:rPr>
        <w:t>relation to additional charges for the Atos contract and an overspend</w:t>
      </w:r>
      <w:r w:rsidR="00976B43">
        <w:rPr>
          <w:rFonts w:ascii="Arial" w:hAnsi="Arial" w:cs="Arial"/>
          <w:sz w:val="22"/>
          <w:szCs w:val="22"/>
        </w:rPr>
        <w:t xml:space="preserve"> </w:t>
      </w:r>
      <w:r w:rsidR="009911D1">
        <w:rPr>
          <w:rFonts w:ascii="Arial" w:hAnsi="Arial" w:cs="Arial"/>
          <w:sz w:val="22"/>
          <w:szCs w:val="22"/>
        </w:rPr>
        <w:t>relating</w:t>
      </w:r>
      <w:r w:rsidR="006B44B5" w:rsidRPr="006B44B5">
        <w:rPr>
          <w:rFonts w:ascii="Arial" w:hAnsi="Arial" w:cs="Arial"/>
          <w:sz w:val="22"/>
          <w:szCs w:val="22"/>
        </w:rPr>
        <w:t xml:space="preserve"> to t</w:t>
      </w:r>
      <w:r w:rsidR="009911D1">
        <w:rPr>
          <w:rFonts w:ascii="Arial" w:hAnsi="Arial" w:cs="Arial"/>
          <w:sz w:val="22"/>
          <w:szCs w:val="22"/>
        </w:rPr>
        <w:t xml:space="preserve">he </w:t>
      </w:r>
      <w:proofErr w:type="spellStart"/>
      <w:r w:rsidR="00AD69BC">
        <w:rPr>
          <w:rFonts w:ascii="Arial" w:hAnsi="Arial" w:cs="Arial"/>
          <w:sz w:val="22"/>
          <w:szCs w:val="22"/>
        </w:rPr>
        <w:t>non recurrent</w:t>
      </w:r>
      <w:proofErr w:type="spellEnd"/>
      <w:r w:rsidR="00AD69BC">
        <w:rPr>
          <w:rFonts w:ascii="Arial" w:hAnsi="Arial" w:cs="Arial"/>
          <w:sz w:val="22"/>
          <w:szCs w:val="22"/>
        </w:rPr>
        <w:t xml:space="preserve"> </w:t>
      </w:r>
      <w:r w:rsidR="009911D1">
        <w:rPr>
          <w:rFonts w:ascii="Arial" w:hAnsi="Arial" w:cs="Arial"/>
          <w:sz w:val="22"/>
          <w:szCs w:val="22"/>
        </w:rPr>
        <w:t>Nottingham Office Project £28</w:t>
      </w:r>
      <w:r w:rsidR="006B44B5" w:rsidRPr="006B44B5">
        <w:rPr>
          <w:rFonts w:ascii="Arial" w:hAnsi="Arial" w:cs="Arial"/>
          <w:sz w:val="22"/>
          <w:szCs w:val="22"/>
        </w:rPr>
        <w:t>k.</w:t>
      </w:r>
      <w:r w:rsidR="009911D1">
        <w:rPr>
          <w:rFonts w:ascii="Arial" w:hAnsi="Arial" w:cs="Arial"/>
          <w:sz w:val="22"/>
          <w:szCs w:val="22"/>
        </w:rPr>
        <w:t xml:space="preserve">  There is also an overspend within the area of Public Involvement of £11k with regards to Part</w:t>
      </w:r>
      <w:r w:rsidR="00AD69BC">
        <w:rPr>
          <w:rFonts w:ascii="Arial" w:hAnsi="Arial" w:cs="Arial"/>
          <w:sz w:val="22"/>
          <w:szCs w:val="22"/>
        </w:rPr>
        <w:t>icipation Fees and travel costs and budgets for 2015/16 have been increased.</w:t>
      </w:r>
    </w:p>
    <w:p w:rsidR="00D36331" w:rsidRDefault="006E5CB4" w:rsidP="006B44B5">
      <w:pPr>
        <w:pStyle w:val="ListParagraph"/>
        <w:numPr>
          <w:ilvl w:val="0"/>
          <w:numId w:val="17"/>
        </w:numPr>
        <w:spacing w:after="200" w:line="276" w:lineRule="auto"/>
        <w:rPr>
          <w:rFonts w:ascii="Arial" w:hAnsi="Arial" w:cs="Arial"/>
          <w:sz w:val="22"/>
          <w:szCs w:val="22"/>
        </w:rPr>
      </w:pPr>
      <w:r w:rsidRPr="006B44B5">
        <w:rPr>
          <w:rFonts w:ascii="Arial" w:hAnsi="Arial" w:cs="Arial"/>
          <w:sz w:val="22"/>
          <w:szCs w:val="22"/>
        </w:rPr>
        <w:t xml:space="preserve">Within the </w:t>
      </w:r>
      <w:r w:rsidRPr="00AD69BC">
        <w:rPr>
          <w:rFonts w:ascii="Arial" w:hAnsi="Arial" w:cs="Arial"/>
          <w:b/>
          <w:sz w:val="22"/>
          <w:szCs w:val="22"/>
          <w:u w:val="single"/>
        </w:rPr>
        <w:t>Systems and Development Director</w:t>
      </w:r>
      <w:r w:rsidR="000D7316" w:rsidRPr="00AD69BC">
        <w:rPr>
          <w:rFonts w:ascii="Arial" w:hAnsi="Arial" w:cs="Arial"/>
          <w:b/>
          <w:sz w:val="22"/>
          <w:szCs w:val="22"/>
          <w:u w:val="single"/>
        </w:rPr>
        <w:t>ate</w:t>
      </w:r>
      <w:r w:rsidR="000D7316" w:rsidRPr="006B44B5">
        <w:rPr>
          <w:rFonts w:ascii="Arial" w:hAnsi="Arial" w:cs="Arial"/>
          <w:sz w:val="22"/>
          <w:szCs w:val="22"/>
        </w:rPr>
        <w:t xml:space="preserve"> there is an under</w:t>
      </w:r>
      <w:r w:rsidR="00D809B7" w:rsidRPr="006B44B5">
        <w:rPr>
          <w:rFonts w:ascii="Arial" w:hAnsi="Arial" w:cs="Arial"/>
          <w:sz w:val="22"/>
          <w:szCs w:val="22"/>
        </w:rPr>
        <w:t xml:space="preserve"> </w:t>
      </w:r>
      <w:r w:rsidR="009911D1">
        <w:rPr>
          <w:rFonts w:ascii="Arial" w:hAnsi="Arial" w:cs="Arial"/>
          <w:sz w:val="22"/>
          <w:szCs w:val="22"/>
        </w:rPr>
        <w:t>spend of £43</w:t>
      </w:r>
      <w:r w:rsidR="000D7316" w:rsidRPr="006B44B5">
        <w:rPr>
          <w:rFonts w:ascii="Arial" w:hAnsi="Arial" w:cs="Arial"/>
          <w:sz w:val="22"/>
          <w:szCs w:val="22"/>
        </w:rPr>
        <w:t>k.  The underspend relates to Research Information systems requiring less penetration testing than originally budgeted and potentially reduced costs relating to new system platforms</w:t>
      </w:r>
      <w:r w:rsidR="009911D1">
        <w:rPr>
          <w:rFonts w:ascii="Arial" w:hAnsi="Arial" w:cs="Arial"/>
          <w:sz w:val="22"/>
          <w:szCs w:val="22"/>
        </w:rPr>
        <w:t xml:space="preserve"> (£42</w:t>
      </w:r>
      <w:r w:rsidR="000D7316" w:rsidRPr="006B44B5">
        <w:rPr>
          <w:rFonts w:ascii="Arial" w:hAnsi="Arial" w:cs="Arial"/>
          <w:sz w:val="22"/>
          <w:szCs w:val="22"/>
        </w:rPr>
        <w:t xml:space="preserve">k).  </w:t>
      </w:r>
    </w:p>
    <w:p w:rsidR="009911D1" w:rsidRPr="006B44B5" w:rsidRDefault="009911D1" w:rsidP="006B44B5">
      <w:pPr>
        <w:pStyle w:val="ListParagraph"/>
        <w:numPr>
          <w:ilvl w:val="0"/>
          <w:numId w:val="17"/>
        </w:numPr>
        <w:spacing w:after="200" w:line="276" w:lineRule="auto"/>
        <w:rPr>
          <w:rFonts w:ascii="Arial" w:hAnsi="Arial" w:cs="Arial"/>
          <w:sz w:val="22"/>
          <w:szCs w:val="22"/>
        </w:rPr>
      </w:pPr>
      <w:r>
        <w:rPr>
          <w:rFonts w:ascii="Arial" w:hAnsi="Arial" w:cs="Arial"/>
          <w:sz w:val="22"/>
          <w:szCs w:val="22"/>
        </w:rPr>
        <w:t xml:space="preserve">The overspend showing within the Chief Executive directorate relates to </w:t>
      </w:r>
      <w:proofErr w:type="spellStart"/>
      <w:r w:rsidR="0072331F">
        <w:rPr>
          <w:rFonts w:ascii="Arial" w:hAnsi="Arial" w:cs="Arial"/>
          <w:sz w:val="22"/>
          <w:szCs w:val="22"/>
        </w:rPr>
        <w:t>non recurrent</w:t>
      </w:r>
      <w:proofErr w:type="spellEnd"/>
      <w:r w:rsidR="0072331F">
        <w:rPr>
          <w:rFonts w:ascii="Arial" w:hAnsi="Arial" w:cs="Arial"/>
          <w:sz w:val="22"/>
          <w:szCs w:val="22"/>
        </w:rPr>
        <w:t xml:space="preserve">, </w:t>
      </w:r>
      <w:proofErr w:type="spellStart"/>
      <w:r w:rsidR="0072331F">
        <w:rPr>
          <w:rFonts w:ascii="Arial" w:hAnsi="Arial" w:cs="Arial"/>
          <w:sz w:val="22"/>
          <w:szCs w:val="22"/>
        </w:rPr>
        <w:t>non pay</w:t>
      </w:r>
      <w:proofErr w:type="spellEnd"/>
      <w:r w:rsidR="0072331F">
        <w:rPr>
          <w:rFonts w:ascii="Arial" w:hAnsi="Arial" w:cs="Arial"/>
          <w:sz w:val="22"/>
          <w:szCs w:val="22"/>
        </w:rPr>
        <w:t xml:space="preserve"> related investment to save costs on the E-Learning Project.</w:t>
      </w:r>
      <w:r>
        <w:rPr>
          <w:rFonts w:ascii="Arial" w:hAnsi="Arial" w:cs="Arial"/>
          <w:sz w:val="22"/>
          <w:szCs w:val="22"/>
        </w:rPr>
        <w:t xml:space="preserve"> </w:t>
      </w:r>
    </w:p>
    <w:p w:rsidR="0072331F" w:rsidRPr="0072331F" w:rsidRDefault="0072331F" w:rsidP="0072331F">
      <w:pPr>
        <w:pStyle w:val="ListParagraph"/>
        <w:numPr>
          <w:ilvl w:val="0"/>
          <w:numId w:val="17"/>
        </w:numPr>
        <w:spacing w:after="200" w:line="276" w:lineRule="auto"/>
        <w:rPr>
          <w:rFonts w:ascii="Arial" w:hAnsi="Arial" w:cs="Arial"/>
          <w:sz w:val="22"/>
          <w:szCs w:val="22"/>
        </w:rPr>
      </w:pPr>
      <w:r w:rsidRPr="0072331F">
        <w:rPr>
          <w:rFonts w:ascii="Arial" w:hAnsi="Arial" w:cs="Arial"/>
          <w:sz w:val="22"/>
          <w:szCs w:val="22"/>
        </w:rPr>
        <w:t>Overall e</w:t>
      </w:r>
      <w:r w:rsidR="00440BCB" w:rsidRPr="0072331F">
        <w:rPr>
          <w:rFonts w:ascii="Arial" w:hAnsi="Arial" w:cs="Arial"/>
          <w:sz w:val="22"/>
          <w:szCs w:val="22"/>
        </w:rPr>
        <w:t xml:space="preserve">xpenditure year to date is below that expected at the time the Financial Plan was presented.  A comparison of the expected profiled forecast against the actual year to date expenditure can be seen in the graph below. The main reasons are </w:t>
      </w:r>
      <w:r w:rsidR="00CB5121" w:rsidRPr="0072331F">
        <w:rPr>
          <w:rFonts w:ascii="Arial" w:hAnsi="Arial" w:cs="Arial"/>
          <w:sz w:val="22"/>
          <w:szCs w:val="22"/>
        </w:rPr>
        <w:t xml:space="preserve">the timing of recruitment to </w:t>
      </w:r>
      <w:r w:rsidR="00440BCB" w:rsidRPr="0072331F">
        <w:rPr>
          <w:rFonts w:ascii="Arial" w:hAnsi="Arial" w:cs="Arial"/>
          <w:sz w:val="22"/>
          <w:szCs w:val="22"/>
        </w:rPr>
        <w:t xml:space="preserve">vacancies and the phasing of new </w:t>
      </w:r>
      <w:r w:rsidR="00F24686" w:rsidRPr="0072331F">
        <w:rPr>
          <w:rFonts w:ascii="Arial" w:hAnsi="Arial" w:cs="Arial"/>
          <w:sz w:val="22"/>
          <w:szCs w:val="22"/>
        </w:rPr>
        <w:t xml:space="preserve">HRA Approval </w:t>
      </w:r>
      <w:r w:rsidR="00440BCB" w:rsidRPr="0072331F">
        <w:rPr>
          <w:rFonts w:ascii="Arial" w:hAnsi="Arial" w:cs="Arial"/>
          <w:sz w:val="22"/>
          <w:szCs w:val="22"/>
        </w:rPr>
        <w:t xml:space="preserve">starters being </w:t>
      </w:r>
      <w:r w:rsidR="000776EB" w:rsidRPr="0072331F">
        <w:rPr>
          <w:rFonts w:ascii="Arial" w:hAnsi="Arial" w:cs="Arial"/>
          <w:sz w:val="22"/>
          <w:szCs w:val="22"/>
        </w:rPr>
        <w:t xml:space="preserve">later than the original </w:t>
      </w:r>
      <w:r w:rsidR="00F24686" w:rsidRPr="0072331F">
        <w:rPr>
          <w:rFonts w:ascii="Arial" w:hAnsi="Arial" w:cs="Arial"/>
          <w:sz w:val="22"/>
          <w:szCs w:val="22"/>
        </w:rPr>
        <w:t>pla</w:t>
      </w:r>
      <w:r w:rsidR="00AF0718" w:rsidRPr="0072331F">
        <w:rPr>
          <w:rFonts w:ascii="Arial" w:hAnsi="Arial" w:cs="Arial"/>
          <w:sz w:val="22"/>
          <w:szCs w:val="22"/>
        </w:rPr>
        <w:t xml:space="preserve">n. This delay has also impacted on the profile of the </w:t>
      </w:r>
      <w:r w:rsidR="00055303" w:rsidRPr="0072331F">
        <w:rPr>
          <w:rFonts w:ascii="Arial" w:hAnsi="Arial" w:cs="Arial"/>
          <w:sz w:val="22"/>
          <w:szCs w:val="22"/>
        </w:rPr>
        <w:t xml:space="preserve">pay related </w:t>
      </w:r>
      <w:r w:rsidR="00AF0718" w:rsidRPr="0072331F">
        <w:rPr>
          <w:rFonts w:ascii="Arial" w:hAnsi="Arial" w:cs="Arial"/>
          <w:sz w:val="22"/>
          <w:szCs w:val="22"/>
        </w:rPr>
        <w:t xml:space="preserve">non-pay spend that was included in the Financial Plan in areas of Training, </w:t>
      </w:r>
      <w:r w:rsidR="003D5874" w:rsidRPr="0072331F">
        <w:rPr>
          <w:rFonts w:ascii="Arial" w:hAnsi="Arial" w:cs="Arial"/>
          <w:sz w:val="22"/>
          <w:szCs w:val="22"/>
        </w:rPr>
        <w:t>Shared service costs (payroll, IT, HR)</w:t>
      </w:r>
      <w:proofErr w:type="gramStart"/>
      <w:r w:rsidR="003D5874" w:rsidRPr="0072331F">
        <w:rPr>
          <w:rFonts w:ascii="Arial" w:hAnsi="Arial" w:cs="Arial"/>
          <w:sz w:val="22"/>
          <w:szCs w:val="22"/>
        </w:rPr>
        <w:t xml:space="preserve">, </w:t>
      </w:r>
      <w:r w:rsidR="00AF0718" w:rsidRPr="0072331F">
        <w:rPr>
          <w:rFonts w:ascii="Arial" w:hAnsi="Arial" w:cs="Arial"/>
          <w:sz w:val="22"/>
          <w:szCs w:val="22"/>
        </w:rPr>
        <w:t xml:space="preserve"> telephone</w:t>
      </w:r>
      <w:proofErr w:type="gramEnd"/>
      <w:r w:rsidR="00AF0718" w:rsidRPr="0072331F">
        <w:rPr>
          <w:rFonts w:ascii="Arial" w:hAnsi="Arial" w:cs="Arial"/>
          <w:sz w:val="22"/>
          <w:szCs w:val="22"/>
        </w:rPr>
        <w:t xml:space="preserve"> handsets, travel and mobile phone </w:t>
      </w:r>
      <w:proofErr w:type="spellStart"/>
      <w:r w:rsidR="00AF0718" w:rsidRPr="0072331F">
        <w:rPr>
          <w:rFonts w:ascii="Arial" w:hAnsi="Arial" w:cs="Arial"/>
          <w:sz w:val="22"/>
          <w:szCs w:val="22"/>
        </w:rPr>
        <w:t>costs,</w:t>
      </w:r>
      <w:r w:rsidR="003D5874" w:rsidRPr="0072331F">
        <w:rPr>
          <w:rFonts w:ascii="Arial" w:hAnsi="Arial" w:cs="Arial"/>
          <w:sz w:val="22"/>
          <w:szCs w:val="22"/>
        </w:rPr>
        <w:t>etc</w:t>
      </w:r>
      <w:proofErr w:type="spellEnd"/>
      <w:r w:rsidR="00AF0718" w:rsidRPr="0072331F">
        <w:rPr>
          <w:rFonts w:ascii="Arial" w:hAnsi="Arial" w:cs="Arial"/>
          <w:sz w:val="22"/>
          <w:szCs w:val="22"/>
        </w:rPr>
        <w:t xml:space="preserve">.  These areas are all sensitive to the numbers in the establishment.  </w:t>
      </w:r>
      <w:r>
        <w:rPr>
          <w:rFonts w:ascii="Arial" w:hAnsi="Arial" w:cs="Arial"/>
          <w:sz w:val="22"/>
          <w:szCs w:val="22"/>
        </w:rPr>
        <w:t xml:space="preserve">  </w:t>
      </w:r>
    </w:p>
    <w:p w:rsidR="001D5F0F" w:rsidRDefault="001E5DDC" w:rsidP="00AC4AAD">
      <w:pPr>
        <w:pStyle w:val="ListParagraph"/>
        <w:spacing w:line="276" w:lineRule="auto"/>
        <w:ind w:left="709" w:hanging="709"/>
        <w:rPr>
          <w:rFonts w:ascii="Arial" w:hAnsi="Arial" w:cs="Arial"/>
          <w:b/>
          <w:sz w:val="22"/>
          <w:szCs w:val="22"/>
        </w:rPr>
      </w:pPr>
      <w:r>
        <w:rPr>
          <w:rFonts w:ascii="Arial" w:hAnsi="Arial" w:cs="Arial"/>
          <w:b/>
          <w:noProof/>
          <w:sz w:val="22"/>
          <w:szCs w:val="22"/>
        </w:rPr>
        <w:drawing>
          <wp:inline distT="0" distB="0" distL="0" distR="0" wp14:anchorId="6E960F5F">
            <wp:extent cx="5487035" cy="35604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3560445"/>
                    </a:xfrm>
                    <a:prstGeom prst="rect">
                      <a:avLst/>
                    </a:prstGeom>
                    <a:noFill/>
                  </pic:spPr>
                </pic:pic>
              </a:graphicData>
            </a:graphic>
          </wp:inline>
        </w:drawing>
      </w:r>
    </w:p>
    <w:p w:rsidR="001F7421" w:rsidRDefault="001F7421" w:rsidP="00AC4AAD">
      <w:pPr>
        <w:pStyle w:val="ListParagraph"/>
        <w:spacing w:line="276" w:lineRule="auto"/>
        <w:ind w:left="709" w:hanging="709"/>
        <w:rPr>
          <w:rFonts w:ascii="Arial" w:hAnsi="Arial" w:cs="Arial"/>
          <w:b/>
          <w:sz w:val="22"/>
          <w:szCs w:val="22"/>
        </w:rPr>
      </w:pPr>
    </w:p>
    <w:p w:rsidR="004B1C3A" w:rsidRDefault="004B1C3A" w:rsidP="00AC4AAD">
      <w:pPr>
        <w:pStyle w:val="ListParagraph"/>
        <w:spacing w:line="276" w:lineRule="auto"/>
        <w:ind w:left="709" w:hanging="709"/>
        <w:rPr>
          <w:rFonts w:ascii="Arial" w:hAnsi="Arial" w:cs="Arial"/>
          <w:sz w:val="22"/>
          <w:szCs w:val="22"/>
        </w:rPr>
      </w:pPr>
      <w:r>
        <w:rPr>
          <w:rFonts w:ascii="Arial" w:hAnsi="Arial" w:cs="Arial"/>
          <w:b/>
          <w:sz w:val="22"/>
          <w:szCs w:val="22"/>
        </w:rPr>
        <w:t>4.  Forecast outturn 2014/15</w:t>
      </w:r>
    </w:p>
    <w:p w:rsidR="004B1C3A" w:rsidRDefault="004B1C3A" w:rsidP="004B1C3A">
      <w:pPr>
        <w:pStyle w:val="ListParagraph"/>
        <w:spacing w:line="276" w:lineRule="auto"/>
        <w:ind w:left="0"/>
        <w:rPr>
          <w:rFonts w:ascii="Arial" w:hAnsi="Arial" w:cs="Arial"/>
          <w:sz w:val="22"/>
          <w:szCs w:val="22"/>
        </w:rPr>
      </w:pPr>
      <w:r>
        <w:rPr>
          <w:rFonts w:ascii="Arial" w:hAnsi="Arial" w:cs="Arial"/>
          <w:sz w:val="22"/>
          <w:szCs w:val="22"/>
        </w:rPr>
        <w:t>Early forecasts were presented in the Financial Plan for 2014/15 and pointed to a</w:t>
      </w:r>
      <w:r w:rsidR="00A454CF">
        <w:rPr>
          <w:rFonts w:ascii="Arial" w:hAnsi="Arial" w:cs="Arial"/>
          <w:sz w:val="22"/>
          <w:szCs w:val="22"/>
        </w:rPr>
        <w:t>n underspend at a</w:t>
      </w:r>
      <w:r>
        <w:rPr>
          <w:rFonts w:ascii="Arial" w:hAnsi="Arial" w:cs="Arial"/>
          <w:sz w:val="22"/>
          <w:szCs w:val="22"/>
        </w:rPr>
        <w:t xml:space="preserve"> level of around £1.5</w:t>
      </w:r>
      <w:r w:rsidR="00D01165">
        <w:rPr>
          <w:rFonts w:ascii="Arial" w:hAnsi="Arial" w:cs="Arial"/>
          <w:sz w:val="22"/>
          <w:szCs w:val="22"/>
        </w:rPr>
        <w:t>7</w:t>
      </w:r>
      <w:r>
        <w:rPr>
          <w:rFonts w:ascii="Arial" w:hAnsi="Arial" w:cs="Arial"/>
          <w:sz w:val="22"/>
          <w:szCs w:val="22"/>
        </w:rPr>
        <w:t xml:space="preserve">million, largely as a result of the welcome but late decision on the HRA Approval business case and the </w:t>
      </w:r>
      <w:r w:rsidR="003D5874">
        <w:rPr>
          <w:rFonts w:ascii="Arial" w:hAnsi="Arial" w:cs="Arial"/>
          <w:sz w:val="22"/>
          <w:szCs w:val="22"/>
        </w:rPr>
        <w:t xml:space="preserve">expected time it would take to recruit to posts. </w:t>
      </w:r>
    </w:p>
    <w:p w:rsidR="004B1C3A" w:rsidRDefault="004B1C3A" w:rsidP="004B1C3A">
      <w:pPr>
        <w:pStyle w:val="ListParagraph"/>
        <w:spacing w:line="276" w:lineRule="auto"/>
        <w:ind w:left="0"/>
        <w:rPr>
          <w:rFonts w:ascii="Arial" w:hAnsi="Arial" w:cs="Arial"/>
          <w:sz w:val="22"/>
          <w:szCs w:val="22"/>
        </w:rPr>
      </w:pPr>
    </w:p>
    <w:p w:rsidR="00953F8E" w:rsidRDefault="009911D1" w:rsidP="004B1C3A">
      <w:pPr>
        <w:pStyle w:val="ListParagraph"/>
        <w:spacing w:line="276" w:lineRule="auto"/>
        <w:ind w:left="0"/>
        <w:rPr>
          <w:rFonts w:ascii="Arial" w:hAnsi="Arial" w:cs="Arial"/>
          <w:sz w:val="22"/>
          <w:szCs w:val="22"/>
        </w:rPr>
      </w:pPr>
      <w:r>
        <w:rPr>
          <w:rFonts w:ascii="Arial" w:hAnsi="Arial" w:cs="Arial"/>
          <w:sz w:val="22"/>
          <w:szCs w:val="22"/>
        </w:rPr>
        <w:t>The</w:t>
      </w:r>
      <w:r w:rsidR="00BA3A5A">
        <w:rPr>
          <w:rFonts w:ascii="Arial" w:hAnsi="Arial" w:cs="Arial"/>
          <w:sz w:val="22"/>
          <w:szCs w:val="22"/>
        </w:rPr>
        <w:t xml:space="preserve"> review of the likely </w:t>
      </w:r>
      <w:r w:rsidR="00485908">
        <w:rPr>
          <w:rFonts w:ascii="Arial" w:hAnsi="Arial" w:cs="Arial"/>
          <w:sz w:val="22"/>
          <w:szCs w:val="22"/>
        </w:rPr>
        <w:t xml:space="preserve">expenditure </w:t>
      </w:r>
      <w:r w:rsidR="00BA3A5A">
        <w:rPr>
          <w:rFonts w:ascii="Arial" w:hAnsi="Arial" w:cs="Arial"/>
          <w:sz w:val="22"/>
          <w:szCs w:val="22"/>
        </w:rPr>
        <w:t>position</w:t>
      </w:r>
      <w:r>
        <w:rPr>
          <w:rFonts w:ascii="Arial" w:hAnsi="Arial" w:cs="Arial"/>
          <w:sz w:val="22"/>
          <w:szCs w:val="22"/>
        </w:rPr>
        <w:t xml:space="preserve"> in February was</w:t>
      </w:r>
      <w:r w:rsidR="00BA3A5A">
        <w:rPr>
          <w:rFonts w:ascii="Arial" w:hAnsi="Arial" w:cs="Arial"/>
          <w:sz w:val="22"/>
          <w:szCs w:val="22"/>
        </w:rPr>
        <w:t xml:space="preserve"> pointing to a forecast </w:t>
      </w:r>
      <w:r w:rsidR="00430D14">
        <w:rPr>
          <w:rFonts w:ascii="Arial" w:hAnsi="Arial" w:cs="Arial"/>
          <w:sz w:val="22"/>
          <w:szCs w:val="22"/>
        </w:rPr>
        <w:t xml:space="preserve">range </w:t>
      </w:r>
      <w:r w:rsidR="00BA3A5A" w:rsidRPr="00A22F4D">
        <w:rPr>
          <w:rFonts w:ascii="Arial" w:hAnsi="Arial" w:cs="Arial"/>
          <w:sz w:val="22"/>
          <w:szCs w:val="22"/>
        </w:rPr>
        <w:t>of £</w:t>
      </w:r>
      <w:r w:rsidR="00361367" w:rsidRPr="00A22F4D">
        <w:rPr>
          <w:rFonts w:ascii="Arial" w:hAnsi="Arial" w:cs="Arial"/>
          <w:sz w:val="22"/>
          <w:szCs w:val="22"/>
        </w:rPr>
        <w:t>2.</w:t>
      </w:r>
      <w:r w:rsidR="00CB464D">
        <w:rPr>
          <w:rFonts w:ascii="Arial" w:hAnsi="Arial" w:cs="Arial"/>
          <w:sz w:val="22"/>
          <w:szCs w:val="22"/>
        </w:rPr>
        <w:t>35</w:t>
      </w:r>
      <w:r w:rsidR="00BA3A5A" w:rsidRPr="00A22F4D">
        <w:rPr>
          <w:rFonts w:ascii="Arial" w:hAnsi="Arial" w:cs="Arial"/>
          <w:sz w:val="22"/>
          <w:szCs w:val="22"/>
        </w:rPr>
        <w:t xml:space="preserve">m </w:t>
      </w:r>
      <w:r w:rsidR="00430D14" w:rsidRPr="00A22F4D">
        <w:rPr>
          <w:rFonts w:ascii="Arial" w:hAnsi="Arial" w:cs="Arial"/>
          <w:sz w:val="22"/>
          <w:szCs w:val="22"/>
        </w:rPr>
        <w:t>to £</w:t>
      </w:r>
      <w:r w:rsidR="00CB464D">
        <w:rPr>
          <w:rFonts w:ascii="Arial" w:hAnsi="Arial" w:cs="Arial"/>
          <w:sz w:val="22"/>
          <w:szCs w:val="22"/>
        </w:rPr>
        <w:t>3.01</w:t>
      </w:r>
      <w:r w:rsidR="00430D14" w:rsidRPr="00A22F4D">
        <w:rPr>
          <w:rFonts w:ascii="Arial" w:hAnsi="Arial" w:cs="Arial"/>
          <w:sz w:val="22"/>
          <w:szCs w:val="22"/>
        </w:rPr>
        <w:t>m</w:t>
      </w:r>
      <w:r w:rsidR="00430D14">
        <w:rPr>
          <w:rFonts w:ascii="Arial" w:hAnsi="Arial" w:cs="Arial"/>
          <w:sz w:val="22"/>
          <w:szCs w:val="22"/>
        </w:rPr>
        <w:t xml:space="preserve"> </w:t>
      </w:r>
      <w:r>
        <w:rPr>
          <w:rFonts w:ascii="Arial" w:hAnsi="Arial" w:cs="Arial"/>
          <w:sz w:val="22"/>
          <w:szCs w:val="22"/>
        </w:rPr>
        <w:t>and as at the end of March is £3.</w:t>
      </w:r>
      <w:r w:rsidR="00935E33">
        <w:rPr>
          <w:rFonts w:ascii="Arial" w:hAnsi="Arial" w:cs="Arial"/>
          <w:sz w:val="22"/>
          <w:szCs w:val="22"/>
        </w:rPr>
        <w:t>09</w:t>
      </w:r>
      <w:r>
        <w:rPr>
          <w:rFonts w:ascii="Arial" w:hAnsi="Arial" w:cs="Arial"/>
          <w:sz w:val="22"/>
          <w:szCs w:val="22"/>
        </w:rPr>
        <w:t>m</w:t>
      </w:r>
      <w:r w:rsidR="00BA3A5A">
        <w:rPr>
          <w:rFonts w:ascii="Arial" w:hAnsi="Arial" w:cs="Arial"/>
          <w:sz w:val="22"/>
          <w:szCs w:val="22"/>
        </w:rPr>
        <w:t xml:space="preserve">.  </w:t>
      </w:r>
      <w:r>
        <w:rPr>
          <w:rFonts w:ascii="Arial" w:hAnsi="Arial" w:cs="Arial"/>
          <w:sz w:val="22"/>
          <w:szCs w:val="22"/>
        </w:rPr>
        <w:t xml:space="preserve"> The forecasts were</w:t>
      </w:r>
      <w:r w:rsidR="00953F8E">
        <w:rPr>
          <w:rFonts w:ascii="Arial" w:hAnsi="Arial" w:cs="Arial"/>
          <w:sz w:val="22"/>
          <w:szCs w:val="22"/>
        </w:rPr>
        <w:t xml:space="preserve"> a result of intelligence provided by HRA budget managers in meetings with their finance lead, and a </w:t>
      </w:r>
      <w:r w:rsidR="00935E33">
        <w:rPr>
          <w:rFonts w:ascii="Arial" w:hAnsi="Arial" w:cs="Arial"/>
          <w:sz w:val="22"/>
          <w:szCs w:val="22"/>
        </w:rPr>
        <w:t xml:space="preserve">regular </w:t>
      </w:r>
      <w:r w:rsidR="00953F8E">
        <w:rPr>
          <w:rFonts w:ascii="Arial" w:hAnsi="Arial" w:cs="Arial"/>
          <w:sz w:val="22"/>
          <w:szCs w:val="22"/>
        </w:rPr>
        <w:t>review of reserves</w:t>
      </w:r>
      <w:r w:rsidR="00935E33">
        <w:rPr>
          <w:rFonts w:ascii="Arial" w:hAnsi="Arial" w:cs="Arial"/>
          <w:sz w:val="22"/>
          <w:szCs w:val="22"/>
        </w:rPr>
        <w:t xml:space="preserve"> in the light of the latest information</w:t>
      </w:r>
      <w:r w:rsidR="00953F8E">
        <w:rPr>
          <w:rFonts w:ascii="Arial" w:hAnsi="Arial" w:cs="Arial"/>
          <w:sz w:val="22"/>
          <w:szCs w:val="22"/>
        </w:rPr>
        <w:t xml:space="preserve">.  </w:t>
      </w:r>
    </w:p>
    <w:p w:rsidR="00935E33" w:rsidRDefault="00935E33" w:rsidP="004B1C3A">
      <w:pPr>
        <w:pStyle w:val="ListParagraph"/>
        <w:spacing w:line="276" w:lineRule="auto"/>
        <w:ind w:left="0"/>
        <w:rPr>
          <w:rFonts w:ascii="Arial" w:hAnsi="Arial" w:cs="Arial"/>
          <w:sz w:val="22"/>
          <w:szCs w:val="22"/>
        </w:rPr>
      </w:pPr>
    </w:p>
    <w:p w:rsidR="004B1C3A" w:rsidRDefault="0025538B" w:rsidP="004B1C3A">
      <w:pPr>
        <w:pStyle w:val="ListParagraph"/>
        <w:spacing w:line="276" w:lineRule="auto"/>
        <w:ind w:left="0"/>
        <w:rPr>
          <w:rFonts w:ascii="Arial" w:hAnsi="Arial" w:cs="Arial"/>
          <w:sz w:val="22"/>
          <w:szCs w:val="22"/>
        </w:rPr>
      </w:pPr>
      <w:r>
        <w:rPr>
          <w:rFonts w:ascii="Arial" w:hAnsi="Arial" w:cs="Arial"/>
          <w:sz w:val="22"/>
          <w:szCs w:val="22"/>
        </w:rPr>
        <w:t xml:space="preserve">The </w:t>
      </w:r>
      <w:r w:rsidR="009911D1">
        <w:rPr>
          <w:rFonts w:ascii="Arial" w:hAnsi="Arial" w:cs="Arial"/>
          <w:sz w:val="22"/>
          <w:szCs w:val="22"/>
        </w:rPr>
        <w:t>outturn was</w:t>
      </w:r>
      <w:r w:rsidR="00935E33">
        <w:rPr>
          <w:rFonts w:ascii="Arial" w:hAnsi="Arial" w:cs="Arial"/>
          <w:sz w:val="22"/>
          <w:szCs w:val="22"/>
        </w:rPr>
        <w:t xml:space="preserve"> at the higher end of the range, as had been indicated to DH Finance from October onwards and was due to clarification on </w:t>
      </w:r>
      <w:r w:rsidR="009911D1">
        <w:rPr>
          <w:rFonts w:ascii="Arial" w:hAnsi="Arial" w:cs="Arial"/>
          <w:sz w:val="22"/>
          <w:szCs w:val="22"/>
        </w:rPr>
        <w:t xml:space="preserve">the </w:t>
      </w:r>
      <w:r w:rsidR="001D5F0F">
        <w:rPr>
          <w:rFonts w:ascii="Arial" w:hAnsi="Arial" w:cs="Arial"/>
          <w:sz w:val="22"/>
          <w:szCs w:val="22"/>
        </w:rPr>
        <w:t>outcome of negotiations</w:t>
      </w:r>
      <w:r w:rsidR="00215D81">
        <w:rPr>
          <w:rFonts w:ascii="Arial" w:hAnsi="Arial" w:cs="Arial"/>
          <w:sz w:val="22"/>
          <w:szCs w:val="22"/>
        </w:rPr>
        <w:t xml:space="preserve"> </w:t>
      </w:r>
      <w:r w:rsidR="001D5F0F">
        <w:rPr>
          <w:rFonts w:ascii="Arial" w:hAnsi="Arial" w:cs="Arial"/>
          <w:sz w:val="22"/>
          <w:szCs w:val="22"/>
        </w:rPr>
        <w:t xml:space="preserve">across the Department of Health bodies with HMRC with regards to </w:t>
      </w:r>
      <w:r w:rsidR="00A454CF">
        <w:rPr>
          <w:rFonts w:ascii="Arial" w:hAnsi="Arial" w:cs="Arial"/>
          <w:sz w:val="22"/>
          <w:szCs w:val="22"/>
        </w:rPr>
        <w:t xml:space="preserve">the claw back of </w:t>
      </w:r>
      <w:r w:rsidR="001D5F0F">
        <w:rPr>
          <w:rFonts w:ascii="Arial" w:hAnsi="Arial" w:cs="Arial"/>
          <w:sz w:val="22"/>
          <w:szCs w:val="22"/>
        </w:rPr>
        <w:t>VAT reclaims in previou</w:t>
      </w:r>
      <w:r w:rsidR="00E97EB3">
        <w:rPr>
          <w:rFonts w:ascii="Arial" w:hAnsi="Arial" w:cs="Arial"/>
          <w:sz w:val="22"/>
          <w:szCs w:val="22"/>
        </w:rPr>
        <w:t>s years for agency workers</w:t>
      </w:r>
      <w:proofErr w:type="gramStart"/>
      <w:r w:rsidR="00935E33">
        <w:rPr>
          <w:rFonts w:ascii="Arial" w:hAnsi="Arial" w:cs="Arial"/>
          <w:sz w:val="22"/>
          <w:szCs w:val="22"/>
        </w:rPr>
        <w:t xml:space="preserve">, </w:t>
      </w:r>
      <w:r w:rsidR="00E97EB3">
        <w:rPr>
          <w:rFonts w:ascii="Arial" w:hAnsi="Arial" w:cs="Arial"/>
          <w:sz w:val="22"/>
          <w:szCs w:val="22"/>
        </w:rPr>
        <w:t xml:space="preserve"> contingencies</w:t>
      </w:r>
      <w:proofErr w:type="gramEnd"/>
      <w:r w:rsidR="00E97EB3">
        <w:rPr>
          <w:rFonts w:ascii="Arial" w:hAnsi="Arial" w:cs="Arial"/>
          <w:sz w:val="22"/>
          <w:szCs w:val="22"/>
        </w:rPr>
        <w:t xml:space="preserve"> </w:t>
      </w:r>
      <w:r w:rsidR="009911D1">
        <w:rPr>
          <w:rFonts w:ascii="Arial" w:hAnsi="Arial" w:cs="Arial"/>
          <w:sz w:val="22"/>
          <w:szCs w:val="22"/>
        </w:rPr>
        <w:t xml:space="preserve">in reserves </w:t>
      </w:r>
      <w:r w:rsidR="003D5874">
        <w:rPr>
          <w:rFonts w:ascii="Arial" w:hAnsi="Arial" w:cs="Arial"/>
          <w:sz w:val="22"/>
          <w:szCs w:val="22"/>
        </w:rPr>
        <w:t xml:space="preserve">not being deployed </w:t>
      </w:r>
      <w:r w:rsidR="00E97EB3">
        <w:rPr>
          <w:rFonts w:ascii="Arial" w:hAnsi="Arial" w:cs="Arial"/>
          <w:sz w:val="22"/>
          <w:szCs w:val="22"/>
        </w:rPr>
        <w:t xml:space="preserve">and </w:t>
      </w:r>
      <w:proofErr w:type="spellStart"/>
      <w:r w:rsidR="00E97EB3">
        <w:rPr>
          <w:rFonts w:ascii="Arial" w:hAnsi="Arial" w:cs="Arial"/>
          <w:sz w:val="22"/>
          <w:szCs w:val="22"/>
        </w:rPr>
        <w:t>reprofiled</w:t>
      </w:r>
      <w:proofErr w:type="spellEnd"/>
      <w:r w:rsidR="00E97EB3">
        <w:rPr>
          <w:rFonts w:ascii="Arial" w:hAnsi="Arial" w:cs="Arial"/>
          <w:sz w:val="22"/>
          <w:szCs w:val="22"/>
        </w:rPr>
        <w:t xml:space="preserve"> recruitment in relation to the </w:t>
      </w:r>
      <w:r w:rsidR="00935E33">
        <w:rPr>
          <w:rFonts w:ascii="Arial" w:hAnsi="Arial" w:cs="Arial"/>
          <w:sz w:val="22"/>
          <w:szCs w:val="22"/>
        </w:rPr>
        <w:t xml:space="preserve">HRA Approval programme </w:t>
      </w:r>
      <w:r w:rsidR="00E97EB3">
        <w:rPr>
          <w:rFonts w:ascii="Arial" w:hAnsi="Arial" w:cs="Arial"/>
          <w:sz w:val="22"/>
          <w:szCs w:val="22"/>
        </w:rPr>
        <w:t>business case.</w:t>
      </w:r>
    </w:p>
    <w:p w:rsidR="00935E33" w:rsidRDefault="00935E33" w:rsidP="004B1C3A">
      <w:pPr>
        <w:pStyle w:val="ListParagraph"/>
        <w:spacing w:line="276" w:lineRule="auto"/>
        <w:ind w:left="0"/>
        <w:rPr>
          <w:rFonts w:ascii="Arial" w:hAnsi="Arial" w:cs="Arial"/>
          <w:sz w:val="22"/>
          <w:szCs w:val="22"/>
        </w:rPr>
      </w:pPr>
    </w:p>
    <w:p w:rsidR="00935E33" w:rsidRDefault="00935E33" w:rsidP="004B1C3A">
      <w:pPr>
        <w:pStyle w:val="ListParagraph"/>
        <w:spacing w:line="276" w:lineRule="auto"/>
        <w:ind w:left="0"/>
        <w:rPr>
          <w:rFonts w:ascii="Arial" w:hAnsi="Arial" w:cs="Arial"/>
          <w:sz w:val="22"/>
          <w:szCs w:val="22"/>
        </w:rPr>
      </w:pPr>
    </w:p>
    <w:p w:rsidR="00935E33" w:rsidRDefault="00935E33" w:rsidP="004B1C3A">
      <w:pPr>
        <w:pStyle w:val="ListParagraph"/>
        <w:spacing w:line="276" w:lineRule="auto"/>
        <w:ind w:left="0"/>
        <w:rPr>
          <w:rFonts w:ascii="Arial" w:hAnsi="Arial" w:cs="Arial"/>
          <w:sz w:val="22"/>
          <w:szCs w:val="22"/>
        </w:rPr>
      </w:pPr>
    </w:p>
    <w:p w:rsidR="00DD6897" w:rsidRPr="00996C5F" w:rsidRDefault="00BA3A5A" w:rsidP="00AC4AAD">
      <w:pPr>
        <w:pStyle w:val="ListParagraph"/>
        <w:spacing w:line="276" w:lineRule="auto"/>
        <w:ind w:left="709" w:hanging="709"/>
        <w:rPr>
          <w:rFonts w:ascii="Arial" w:hAnsi="Arial" w:cs="Arial"/>
          <w:b/>
          <w:color w:val="FF0000"/>
          <w:sz w:val="22"/>
          <w:szCs w:val="22"/>
        </w:rPr>
      </w:pPr>
      <w:r>
        <w:rPr>
          <w:rFonts w:ascii="Arial" w:hAnsi="Arial" w:cs="Arial"/>
          <w:b/>
          <w:sz w:val="22"/>
          <w:szCs w:val="22"/>
        </w:rPr>
        <w:t>5</w:t>
      </w:r>
      <w:r w:rsidR="006976EC">
        <w:rPr>
          <w:rFonts w:ascii="Arial" w:hAnsi="Arial" w:cs="Arial"/>
          <w:b/>
          <w:sz w:val="22"/>
          <w:szCs w:val="22"/>
        </w:rPr>
        <w:t xml:space="preserve">. </w:t>
      </w:r>
      <w:r w:rsidR="00DD6897">
        <w:rPr>
          <w:rFonts w:ascii="Arial" w:hAnsi="Arial" w:cs="Arial"/>
          <w:b/>
          <w:sz w:val="22"/>
          <w:szCs w:val="22"/>
        </w:rPr>
        <w:t>Better payments performance</w:t>
      </w:r>
      <w:r w:rsidR="00996C5F">
        <w:rPr>
          <w:rFonts w:ascii="Arial" w:hAnsi="Arial" w:cs="Arial"/>
          <w:b/>
          <w:sz w:val="22"/>
          <w:szCs w:val="22"/>
        </w:rPr>
        <w:t xml:space="preserve"> </w:t>
      </w:r>
    </w:p>
    <w:p w:rsidR="00BA3A5A" w:rsidRDefault="00DD2D40" w:rsidP="00DD6897">
      <w:pPr>
        <w:rPr>
          <w:rFonts w:ascii="Arial" w:hAnsi="Arial" w:cs="Arial"/>
          <w:sz w:val="22"/>
          <w:szCs w:val="22"/>
        </w:rPr>
      </w:pPr>
      <w:r w:rsidRPr="000B79E8">
        <w:rPr>
          <w:rFonts w:ascii="Arial" w:hAnsi="Arial" w:cs="Arial"/>
          <w:sz w:val="22"/>
          <w:szCs w:val="22"/>
        </w:rPr>
        <w:t xml:space="preserve">Better payment performance has met the duty to pay 95% of </w:t>
      </w:r>
      <w:r w:rsidR="00B06BAE">
        <w:rPr>
          <w:rFonts w:ascii="Arial" w:hAnsi="Arial" w:cs="Arial"/>
          <w:sz w:val="22"/>
          <w:szCs w:val="22"/>
        </w:rPr>
        <w:t>invoices in 30 days achieving 98</w:t>
      </w:r>
      <w:r w:rsidRPr="000B79E8">
        <w:rPr>
          <w:rFonts w:ascii="Arial" w:hAnsi="Arial" w:cs="Arial"/>
          <w:sz w:val="22"/>
          <w:szCs w:val="22"/>
        </w:rPr>
        <w:t xml:space="preserve">% based on number of invoices, </w:t>
      </w:r>
      <w:r w:rsidR="003C121B">
        <w:rPr>
          <w:rFonts w:ascii="Arial" w:hAnsi="Arial" w:cs="Arial"/>
          <w:sz w:val="22"/>
          <w:szCs w:val="22"/>
        </w:rPr>
        <w:t xml:space="preserve">and </w:t>
      </w:r>
      <w:r w:rsidR="00945882">
        <w:rPr>
          <w:rFonts w:ascii="Arial" w:hAnsi="Arial" w:cs="Arial"/>
          <w:sz w:val="22"/>
          <w:szCs w:val="22"/>
        </w:rPr>
        <w:t>achieved the targe</w:t>
      </w:r>
      <w:r w:rsidR="000D47A6">
        <w:rPr>
          <w:rFonts w:ascii="Arial" w:hAnsi="Arial" w:cs="Arial"/>
          <w:sz w:val="22"/>
          <w:szCs w:val="22"/>
        </w:rPr>
        <w:t>t based on value by achieving 97</w:t>
      </w:r>
      <w:r w:rsidR="00945882">
        <w:rPr>
          <w:rFonts w:ascii="Arial" w:hAnsi="Arial" w:cs="Arial"/>
          <w:sz w:val="22"/>
          <w:szCs w:val="22"/>
        </w:rPr>
        <w:t>%</w:t>
      </w:r>
      <w:r w:rsidRPr="000B79E8">
        <w:rPr>
          <w:rFonts w:ascii="Arial" w:hAnsi="Arial" w:cs="Arial"/>
          <w:sz w:val="22"/>
          <w:szCs w:val="22"/>
        </w:rPr>
        <w:t xml:space="preserve">.  HRA has </w:t>
      </w:r>
      <w:r w:rsidR="008F0A10">
        <w:rPr>
          <w:rFonts w:ascii="Arial" w:hAnsi="Arial" w:cs="Arial"/>
          <w:sz w:val="22"/>
          <w:szCs w:val="22"/>
        </w:rPr>
        <w:t xml:space="preserve">also </w:t>
      </w:r>
      <w:r w:rsidR="00A454CF">
        <w:rPr>
          <w:rFonts w:ascii="Arial" w:hAnsi="Arial" w:cs="Arial"/>
          <w:sz w:val="22"/>
          <w:szCs w:val="22"/>
        </w:rPr>
        <w:t xml:space="preserve">met </w:t>
      </w:r>
      <w:r w:rsidRPr="000B79E8">
        <w:rPr>
          <w:rFonts w:ascii="Arial" w:hAnsi="Arial" w:cs="Arial"/>
          <w:sz w:val="22"/>
          <w:szCs w:val="22"/>
        </w:rPr>
        <w:t xml:space="preserve">the 2014/15 target of </w:t>
      </w:r>
      <w:r w:rsidR="00A454CF">
        <w:rPr>
          <w:rFonts w:ascii="Arial" w:hAnsi="Arial" w:cs="Arial"/>
          <w:sz w:val="22"/>
          <w:szCs w:val="22"/>
        </w:rPr>
        <w:t xml:space="preserve">paying </w:t>
      </w:r>
      <w:r w:rsidRPr="000B79E8">
        <w:rPr>
          <w:rFonts w:ascii="Arial" w:hAnsi="Arial" w:cs="Arial"/>
          <w:sz w:val="22"/>
          <w:szCs w:val="22"/>
        </w:rPr>
        <w:t xml:space="preserve">50% within 10 days.  </w:t>
      </w:r>
      <w:r w:rsidR="004D1652">
        <w:rPr>
          <w:rFonts w:ascii="Arial" w:hAnsi="Arial" w:cs="Arial"/>
          <w:sz w:val="22"/>
          <w:szCs w:val="22"/>
        </w:rPr>
        <w:t>The performance for the year for payments made within 10 days is 58%</w:t>
      </w:r>
      <w:r w:rsidR="00F70F38">
        <w:rPr>
          <w:rFonts w:ascii="Arial" w:hAnsi="Arial" w:cs="Arial"/>
          <w:sz w:val="22"/>
          <w:szCs w:val="22"/>
        </w:rPr>
        <w:t xml:space="preserve"> (number of invoice</w:t>
      </w:r>
      <w:r w:rsidR="00B06BAE">
        <w:rPr>
          <w:rFonts w:ascii="Arial" w:hAnsi="Arial" w:cs="Arial"/>
          <w:sz w:val="22"/>
          <w:szCs w:val="22"/>
        </w:rPr>
        <w:t>s)</w:t>
      </w:r>
      <w:r w:rsidR="00945882">
        <w:rPr>
          <w:rFonts w:ascii="Arial" w:hAnsi="Arial" w:cs="Arial"/>
          <w:sz w:val="22"/>
          <w:szCs w:val="22"/>
        </w:rPr>
        <w:t xml:space="preserve">, </w:t>
      </w:r>
      <w:r w:rsidR="004D1652">
        <w:rPr>
          <w:rFonts w:ascii="Arial" w:hAnsi="Arial" w:cs="Arial"/>
          <w:sz w:val="22"/>
          <w:szCs w:val="22"/>
        </w:rPr>
        <w:t>and 62</w:t>
      </w:r>
      <w:r w:rsidRPr="000B79E8">
        <w:rPr>
          <w:rFonts w:ascii="Arial" w:hAnsi="Arial" w:cs="Arial"/>
          <w:sz w:val="22"/>
          <w:szCs w:val="22"/>
        </w:rPr>
        <w:t xml:space="preserve">% based on value and </w:t>
      </w:r>
      <w:r w:rsidR="008F0A10">
        <w:rPr>
          <w:rFonts w:ascii="Arial" w:hAnsi="Arial" w:cs="Arial"/>
          <w:sz w:val="22"/>
          <w:szCs w:val="22"/>
        </w:rPr>
        <w:t xml:space="preserve">additional </w:t>
      </w:r>
      <w:r w:rsidRPr="000B79E8">
        <w:rPr>
          <w:rFonts w:ascii="Arial" w:hAnsi="Arial" w:cs="Arial"/>
          <w:sz w:val="22"/>
          <w:szCs w:val="22"/>
        </w:rPr>
        <w:t xml:space="preserve">actions are underway to </w:t>
      </w:r>
      <w:r w:rsidR="008F0A10">
        <w:rPr>
          <w:rFonts w:ascii="Arial" w:hAnsi="Arial" w:cs="Arial"/>
          <w:sz w:val="22"/>
          <w:szCs w:val="22"/>
        </w:rPr>
        <w:t xml:space="preserve">further </w:t>
      </w:r>
      <w:r w:rsidRPr="000B79E8">
        <w:rPr>
          <w:rFonts w:ascii="Arial" w:hAnsi="Arial" w:cs="Arial"/>
          <w:sz w:val="22"/>
          <w:szCs w:val="22"/>
        </w:rPr>
        <w:t>improve per</w:t>
      </w:r>
      <w:r w:rsidR="004D1652">
        <w:rPr>
          <w:rFonts w:ascii="Arial" w:hAnsi="Arial" w:cs="Arial"/>
          <w:sz w:val="22"/>
          <w:szCs w:val="22"/>
        </w:rPr>
        <w:t>formance in 2015/16.</w:t>
      </w:r>
    </w:p>
    <w:p w:rsidR="00552D9B" w:rsidRDefault="00552D9B" w:rsidP="00DD6897">
      <w:pPr>
        <w:rPr>
          <w:rFonts w:ascii="Arial" w:hAnsi="Arial" w:cs="Arial"/>
          <w:sz w:val="22"/>
          <w:szCs w:val="22"/>
        </w:rPr>
      </w:pPr>
    </w:p>
    <w:p w:rsidR="00AE0798" w:rsidRPr="00AE0798" w:rsidRDefault="00BA3A5A" w:rsidP="00DD6897">
      <w:pPr>
        <w:rPr>
          <w:rFonts w:ascii="Arial" w:hAnsi="Arial" w:cs="Arial"/>
          <w:b/>
          <w:sz w:val="22"/>
          <w:szCs w:val="22"/>
        </w:rPr>
      </w:pPr>
      <w:r>
        <w:rPr>
          <w:rFonts w:ascii="Arial" w:hAnsi="Arial" w:cs="Arial"/>
          <w:b/>
          <w:sz w:val="22"/>
          <w:szCs w:val="22"/>
        </w:rPr>
        <w:t>6</w:t>
      </w:r>
      <w:r w:rsidR="006976EC">
        <w:rPr>
          <w:rFonts w:ascii="Arial" w:hAnsi="Arial" w:cs="Arial"/>
          <w:b/>
          <w:sz w:val="22"/>
          <w:szCs w:val="22"/>
        </w:rPr>
        <w:t xml:space="preserve">. </w:t>
      </w:r>
      <w:r w:rsidR="00AE0798">
        <w:rPr>
          <w:rFonts w:ascii="Arial" w:hAnsi="Arial" w:cs="Arial"/>
          <w:b/>
          <w:sz w:val="22"/>
          <w:szCs w:val="22"/>
        </w:rPr>
        <w:t>Travel costs</w:t>
      </w:r>
    </w:p>
    <w:p w:rsidR="00086665" w:rsidRDefault="006874A4" w:rsidP="00AE0798">
      <w:pPr>
        <w:spacing w:after="200" w:line="276" w:lineRule="auto"/>
        <w:rPr>
          <w:rFonts w:ascii="Arial" w:hAnsi="Arial" w:cs="Arial"/>
          <w:sz w:val="22"/>
          <w:szCs w:val="22"/>
        </w:rPr>
      </w:pPr>
      <w:r w:rsidRPr="00AE0798">
        <w:rPr>
          <w:rFonts w:ascii="Arial" w:hAnsi="Arial" w:cs="Arial"/>
          <w:sz w:val="22"/>
          <w:szCs w:val="22"/>
        </w:rPr>
        <w:t xml:space="preserve">Travel is </w:t>
      </w:r>
      <w:r w:rsidR="00B7000D" w:rsidRPr="00AE0798">
        <w:rPr>
          <w:rFonts w:ascii="Arial" w:hAnsi="Arial" w:cs="Arial"/>
          <w:sz w:val="22"/>
          <w:szCs w:val="22"/>
        </w:rPr>
        <w:t xml:space="preserve">an area which </w:t>
      </w:r>
      <w:r w:rsidR="008F0A10">
        <w:rPr>
          <w:rFonts w:ascii="Arial" w:hAnsi="Arial" w:cs="Arial"/>
          <w:sz w:val="22"/>
          <w:szCs w:val="22"/>
        </w:rPr>
        <w:t xml:space="preserve">is being </w:t>
      </w:r>
      <w:r w:rsidR="00B7000D" w:rsidRPr="00AE0798">
        <w:rPr>
          <w:rFonts w:ascii="Arial" w:hAnsi="Arial" w:cs="Arial"/>
          <w:sz w:val="22"/>
          <w:szCs w:val="22"/>
        </w:rPr>
        <w:t xml:space="preserve">intentionally monitored and </w:t>
      </w:r>
      <w:r w:rsidR="00585FFC" w:rsidRPr="00AE0798">
        <w:rPr>
          <w:rFonts w:ascii="Arial" w:hAnsi="Arial" w:cs="Arial"/>
          <w:sz w:val="22"/>
          <w:szCs w:val="22"/>
        </w:rPr>
        <w:t xml:space="preserve">managed </w:t>
      </w:r>
      <w:r w:rsidR="00B7000D" w:rsidRPr="00AE0798">
        <w:rPr>
          <w:rFonts w:ascii="Arial" w:hAnsi="Arial" w:cs="Arial"/>
          <w:sz w:val="22"/>
          <w:szCs w:val="22"/>
        </w:rPr>
        <w:t xml:space="preserve">with a view to a </w:t>
      </w:r>
      <w:r w:rsidR="00585FFC" w:rsidRPr="00AE0798">
        <w:rPr>
          <w:rFonts w:ascii="Arial" w:hAnsi="Arial" w:cs="Arial"/>
          <w:sz w:val="22"/>
          <w:szCs w:val="22"/>
        </w:rPr>
        <w:t xml:space="preserve">reduction in </w:t>
      </w:r>
      <w:r w:rsidR="00181BB8">
        <w:rPr>
          <w:rFonts w:ascii="Arial" w:hAnsi="Arial" w:cs="Arial"/>
          <w:sz w:val="22"/>
          <w:szCs w:val="22"/>
        </w:rPr>
        <w:t xml:space="preserve">staff </w:t>
      </w:r>
      <w:r w:rsidR="00585FFC" w:rsidRPr="00AE0798">
        <w:rPr>
          <w:rFonts w:ascii="Arial" w:hAnsi="Arial" w:cs="Arial"/>
          <w:sz w:val="22"/>
          <w:szCs w:val="22"/>
        </w:rPr>
        <w:t xml:space="preserve">costs </w:t>
      </w:r>
      <w:r w:rsidR="00B7000D" w:rsidRPr="00AE0798">
        <w:rPr>
          <w:rFonts w:ascii="Arial" w:hAnsi="Arial" w:cs="Arial"/>
          <w:sz w:val="22"/>
          <w:szCs w:val="22"/>
        </w:rPr>
        <w:t xml:space="preserve">per head (given that costs are likely to increase overall as a result of more posts </w:t>
      </w:r>
      <w:r w:rsidR="00A454CF">
        <w:rPr>
          <w:rFonts w:ascii="Arial" w:hAnsi="Arial" w:cs="Arial"/>
          <w:sz w:val="22"/>
          <w:szCs w:val="22"/>
        </w:rPr>
        <w:t xml:space="preserve">with a requirement for </w:t>
      </w:r>
      <w:r w:rsidR="00B7000D" w:rsidRPr="00AE0798">
        <w:rPr>
          <w:rFonts w:ascii="Arial" w:hAnsi="Arial" w:cs="Arial"/>
          <w:sz w:val="22"/>
          <w:szCs w:val="22"/>
        </w:rPr>
        <w:t>travel).</w:t>
      </w:r>
      <w:r w:rsidR="00BF1DC1">
        <w:rPr>
          <w:rFonts w:ascii="Arial" w:hAnsi="Arial" w:cs="Arial"/>
          <w:sz w:val="22"/>
          <w:szCs w:val="22"/>
        </w:rPr>
        <w:t xml:space="preserve">  </w:t>
      </w:r>
      <w:r w:rsidR="00181BB8">
        <w:rPr>
          <w:rFonts w:ascii="Arial" w:hAnsi="Arial" w:cs="Arial"/>
          <w:sz w:val="22"/>
          <w:szCs w:val="22"/>
        </w:rPr>
        <w:t xml:space="preserve">This has been largely </w:t>
      </w:r>
      <w:r w:rsidR="0024691C">
        <w:rPr>
          <w:rFonts w:ascii="Arial" w:hAnsi="Arial" w:cs="Arial"/>
          <w:sz w:val="22"/>
          <w:szCs w:val="22"/>
        </w:rPr>
        <w:t>successful, no mean feat in light of increased ticket costs</w:t>
      </w:r>
      <w:r w:rsidR="00181BB8">
        <w:rPr>
          <w:rFonts w:ascii="Arial" w:hAnsi="Arial" w:cs="Arial"/>
          <w:sz w:val="22"/>
          <w:szCs w:val="22"/>
        </w:rPr>
        <w:t xml:space="preserve">.  </w:t>
      </w:r>
      <w:r w:rsidR="00F24686" w:rsidRPr="00AE0798">
        <w:rPr>
          <w:rFonts w:ascii="Arial" w:hAnsi="Arial" w:cs="Arial"/>
          <w:sz w:val="22"/>
          <w:szCs w:val="22"/>
        </w:rPr>
        <w:t xml:space="preserve">The table below sets out the </w:t>
      </w:r>
      <w:r w:rsidR="00F24686">
        <w:rPr>
          <w:rFonts w:ascii="Arial" w:hAnsi="Arial" w:cs="Arial"/>
          <w:sz w:val="22"/>
          <w:szCs w:val="22"/>
        </w:rPr>
        <w:t xml:space="preserve">total travel costs </w:t>
      </w:r>
      <w:r w:rsidR="00F24686" w:rsidRPr="00AE0798">
        <w:rPr>
          <w:rFonts w:ascii="Arial" w:hAnsi="Arial" w:cs="Arial"/>
          <w:sz w:val="22"/>
          <w:szCs w:val="22"/>
        </w:rPr>
        <w:t xml:space="preserve">position </w:t>
      </w:r>
      <w:r w:rsidR="00F24686">
        <w:rPr>
          <w:rFonts w:ascii="Arial" w:hAnsi="Arial" w:cs="Arial"/>
          <w:sz w:val="22"/>
          <w:szCs w:val="22"/>
        </w:rPr>
        <w:t xml:space="preserve">(staff, members inclusive) </w:t>
      </w:r>
      <w:r w:rsidR="00F24686" w:rsidRPr="00AE0798">
        <w:rPr>
          <w:rFonts w:ascii="Arial" w:hAnsi="Arial" w:cs="Arial"/>
          <w:sz w:val="22"/>
          <w:szCs w:val="22"/>
        </w:rPr>
        <w:t>at t</w:t>
      </w:r>
      <w:r w:rsidR="00E23DA3">
        <w:rPr>
          <w:rFonts w:ascii="Arial" w:hAnsi="Arial" w:cs="Arial"/>
          <w:sz w:val="22"/>
          <w:szCs w:val="22"/>
        </w:rPr>
        <w:t>he end of March</w:t>
      </w:r>
      <w:r w:rsidR="00AB60D0">
        <w:rPr>
          <w:rFonts w:ascii="Arial" w:hAnsi="Arial" w:cs="Arial"/>
          <w:sz w:val="22"/>
          <w:szCs w:val="22"/>
        </w:rPr>
        <w:t xml:space="preserve"> </w:t>
      </w:r>
      <w:r w:rsidR="006B7A85">
        <w:rPr>
          <w:rFonts w:ascii="Arial" w:hAnsi="Arial" w:cs="Arial"/>
          <w:sz w:val="22"/>
          <w:szCs w:val="22"/>
        </w:rPr>
        <w:t>an</w:t>
      </w:r>
      <w:r w:rsidR="00976999">
        <w:rPr>
          <w:rFonts w:ascii="Arial" w:hAnsi="Arial" w:cs="Arial"/>
          <w:sz w:val="22"/>
          <w:szCs w:val="22"/>
        </w:rPr>
        <w:t>d</w:t>
      </w:r>
      <w:r w:rsidR="00E23DA3">
        <w:rPr>
          <w:rFonts w:ascii="Arial" w:hAnsi="Arial" w:cs="Arial"/>
          <w:sz w:val="22"/>
          <w:szCs w:val="22"/>
        </w:rPr>
        <w:t xml:space="preserve"> reflects an over spend of £61.9</w:t>
      </w:r>
      <w:r w:rsidR="00F24686" w:rsidRPr="00AE0798">
        <w:rPr>
          <w:rFonts w:ascii="Arial" w:hAnsi="Arial" w:cs="Arial"/>
          <w:sz w:val="22"/>
          <w:szCs w:val="22"/>
        </w:rPr>
        <w:t>k</w:t>
      </w:r>
      <w:r w:rsidR="00AB60D0">
        <w:rPr>
          <w:rFonts w:ascii="Arial" w:hAnsi="Arial" w:cs="Arial"/>
          <w:sz w:val="22"/>
          <w:szCs w:val="22"/>
        </w:rPr>
        <w:t xml:space="preserve"> </w:t>
      </w:r>
      <w:r w:rsidR="00E23DA3">
        <w:rPr>
          <w:rFonts w:ascii="Arial" w:hAnsi="Arial" w:cs="Arial"/>
          <w:sz w:val="22"/>
          <w:szCs w:val="22"/>
        </w:rPr>
        <w:t>(overspend of £22.3k end February</w:t>
      </w:r>
      <w:r w:rsidR="00F24686">
        <w:rPr>
          <w:rFonts w:ascii="Arial" w:hAnsi="Arial" w:cs="Arial"/>
          <w:sz w:val="22"/>
          <w:szCs w:val="22"/>
        </w:rPr>
        <w:t>)</w:t>
      </w:r>
      <w:r w:rsidR="00F24686" w:rsidRPr="00AE0798">
        <w:rPr>
          <w:rFonts w:ascii="Arial" w:hAnsi="Arial" w:cs="Arial"/>
          <w:sz w:val="22"/>
          <w:szCs w:val="22"/>
        </w:rPr>
        <w:t xml:space="preserve">.  </w:t>
      </w:r>
      <w:r w:rsidR="003D449D">
        <w:rPr>
          <w:rFonts w:ascii="Arial" w:hAnsi="Arial" w:cs="Arial"/>
          <w:sz w:val="22"/>
          <w:szCs w:val="22"/>
        </w:rPr>
        <w:t xml:space="preserve">  A further focus on ways of working and </w:t>
      </w:r>
      <w:r w:rsidR="00FA0BBA">
        <w:rPr>
          <w:rFonts w:ascii="Arial" w:hAnsi="Arial" w:cs="Arial"/>
          <w:sz w:val="22"/>
          <w:szCs w:val="22"/>
        </w:rPr>
        <w:t xml:space="preserve">resulting </w:t>
      </w:r>
      <w:r w:rsidR="003D449D">
        <w:rPr>
          <w:rFonts w:ascii="Arial" w:hAnsi="Arial" w:cs="Arial"/>
          <w:sz w:val="22"/>
          <w:szCs w:val="22"/>
        </w:rPr>
        <w:t xml:space="preserve">impact on travel costs is </w:t>
      </w:r>
      <w:r w:rsidR="00FA0BBA">
        <w:rPr>
          <w:rFonts w:ascii="Arial" w:hAnsi="Arial" w:cs="Arial"/>
          <w:sz w:val="22"/>
          <w:szCs w:val="22"/>
        </w:rPr>
        <w:t>in hand</w:t>
      </w:r>
      <w:r w:rsidR="0067132A">
        <w:rPr>
          <w:rFonts w:ascii="Arial" w:hAnsi="Arial" w:cs="Arial"/>
          <w:sz w:val="22"/>
          <w:szCs w:val="22"/>
        </w:rPr>
        <w:t xml:space="preserve"> to try to drive down costs in this area further</w:t>
      </w:r>
      <w:r w:rsidR="003D449D">
        <w:rPr>
          <w:rFonts w:ascii="Arial" w:hAnsi="Arial" w:cs="Arial"/>
          <w:sz w:val="22"/>
          <w:szCs w:val="22"/>
        </w:rPr>
        <w:t>.</w:t>
      </w:r>
      <w:r w:rsidR="00485908">
        <w:rPr>
          <w:rFonts w:ascii="Arial" w:hAnsi="Arial" w:cs="Arial"/>
          <w:sz w:val="22"/>
          <w:szCs w:val="22"/>
        </w:rPr>
        <w:t xml:space="preserve">  The treatment of travel costs associated with training is also being investigated.</w:t>
      </w:r>
      <w:r w:rsidR="00181BB8">
        <w:rPr>
          <w:rFonts w:ascii="Arial" w:hAnsi="Arial" w:cs="Arial"/>
          <w:sz w:val="22"/>
          <w:szCs w:val="22"/>
        </w:rPr>
        <w:t xml:space="preserve">   </w:t>
      </w:r>
      <w:r w:rsidR="00976999">
        <w:rPr>
          <w:rFonts w:ascii="Arial" w:hAnsi="Arial" w:cs="Arial"/>
          <w:sz w:val="22"/>
          <w:szCs w:val="22"/>
        </w:rPr>
        <w:t>There is additional travel relating to the Talent and Leadership Programmes implemented within year which will have impacted on overall costs</w:t>
      </w:r>
      <w:r w:rsidR="00B45965">
        <w:rPr>
          <w:rFonts w:ascii="Arial" w:hAnsi="Arial" w:cs="Arial"/>
          <w:sz w:val="22"/>
          <w:szCs w:val="22"/>
        </w:rPr>
        <w:t>.</w:t>
      </w:r>
    </w:p>
    <w:tbl>
      <w:tblPr>
        <w:tblW w:w="6920" w:type="dxa"/>
        <w:tblInd w:w="93" w:type="dxa"/>
        <w:tblLook w:val="04A0" w:firstRow="1" w:lastRow="0" w:firstColumn="1" w:lastColumn="0" w:noHBand="0" w:noVBand="1"/>
      </w:tblPr>
      <w:tblGrid>
        <w:gridCol w:w="4040"/>
        <w:gridCol w:w="960"/>
        <w:gridCol w:w="991"/>
        <w:gridCol w:w="960"/>
      </w:tblGrid>
      <w:tr w:rsidR="00E23DA3" w:rsidRPr="00E23DA3" w:rsidTr="00E23DA3">
        <w:trPr>
          <w:trHeight w:val="300"/>
        </w:trPr>
        <w:tc>
          <w:tcPr>
            <w:tcW w:w="4040" w:type="dxa"/>
            <w:tcBorders>
              <w:top w:val="single" w:sz="4" w:space="0" w:color="auto"/>
              <w:left w:val="single" w:sz="4" w:space="0" w:color="auto"/>
              <w:bottom w:val="nil"/>
              <w:right w:val="single" w:sz="4" w:space="0" w:color="auto"/>
            </w:tcBorders>
            <w:shd w:val="clear" w:color="000000" w:fill="56008C"/>
            <w:noWrap/>
            <w:vAlign w:val="bottom"/>
            <w:hideMark/>
          </w:tcPr>
          <w:p w:rsidR="00E23DA3" w:rsidRPr="00E23DA3" w:rsidRDefault="00E23DA3" w:rsidP="00E23DA3">
            <w:pPr>
              <w:rPr>
                <w:rFonts w:ascii="Calibri" w:hAnsi="Calibri" w:cs="Calibri"/>
                <w:b/>
                <w:bCs/>
                <w:color w:val="FFFFFF"/>
                <w:sz w:val="22"/>
                <w:szCs w:val="22"/>
              </w:rPr>
            </w:pPr>
            <w:r w:rsidRPr="00E23DA3">
              <w:rPr>
                <w:rFonts w:ascii="Calibri" w:hAnsi="Calibri" w:cs="Calibri"/>
                <w:b/>
                <w:bCs/>
                <w:color w:val="FFFFFF"/>
                <w:sz w:val="22"/>
                <w:szCs w:val="22"/>
              </w:rPr>
              <w:t>Travel costs across the HRA</w:t>
            </w:r>
          </w:p>
        </w:tc>
        <w:tc>
          <w:tcPr>
            <w:tcW w:w="960" w:type="dxa"/>
            <w:tcBorders>
              <w:top w:val="single" w:sz="4" w:space="0" w:color="auto"/>
              <w:left w:val="nil"/>
              <w:bottom w:val="nil"/>
              <w:right w:val="single" w:sz="4" w:space="0" w:color="auto"/>
            </w:tcBorders>
            <w:shd w:val="clear" w:color="000000" w:fill="56008C"/>
            <w:vAlign w:val="bottom"/>
            <w:hideMark/>
          </w:tcPr>
          <w:p w:rsidR="00E23DA3" w:rsidRPr="00E23DA3" w:rsidRDefault="0024691C" w:rsidP="00E23DA3">
            <w:pPr>
              <w:jc w:val="center"/>
              <w:rPr>
                <w:rFonts w:ascii="Calibri" w:hAnsi="Calibri" w:cs="Calibri"/>
                <w:b/>
                <w:bCs/>
                <w:color w:val="FFFFFF"/>
                <w:sz w:val="22"/>
                <w:szCs w:val="22"/>
              </w:rPr>
            </w:pPr>
            <w:r>
              <w:rPr>
                <w:rFonts w:ascii="Calibri" w:hAnsi="Calibri" w:cs="Calibri"/>
                <w:b/>
                <w:bCs/>
                <w:color w:val="FFFFFF"/>
                <w:sz w:val="22"/>
                <w:szCs w:val="22"/>
              </w:rPr>
              <w:t>Full year</w:t>
            </w:r>
            <w:r w:rsidR="00E23DA3" w:rsidRPr="00E23DA3">
              <w:rPr>
                <w:rFonts w:ascii="Calibri" w:hAnsi="Calibri" w:cs="Calibri"/>
                <w:b/>
                <w:bCs/>
                <w:color w:val="FFFFFF"/>
                <w:sz w:val="22"/>
                <w:szCs w:val="22"/>
              </w:rPr>
              <w:t xml:space="preserve"> spend</w:t>
            </w:r>
          </w:p>
        </w:tc>
        <w:tc>
          <w:tcPr>
            <w:tcW w:w="960" w:type="dxa"/>
            <w:tcBorders>
              <w:top w:val="single" w:sz="4" w:space="0" w:color="auto"/>
              <w:left w:val="nil"/>
              <w:bottom w:val="nil"/>
              <w:right w:val="single" w:sz="4" w:space="0" w:color="auto"/>
            </w:tcBorders>
            <w:shd w:val="clear" w:color="000000" w:fill="56008C"/>
            <w:vAlign w:val="bottom"/>
            <w:hideMark/>
          </w:tcPr>
          <w:p w:rsidR="00E23DA3" w:rsidRPr="00E23DA3" w:rsidRDefault="0024691C" w:rsidP="00E23DA3">
            <w:pPr>
              <w:jc w:val="center"/>
              <w:rPr>
                <w:rFonts w:ascii="Calibri" w:hAnsi="Calibri" w:cs="Calibri"/>
                <w:b/>
                <w:bCs/>
                <w:color w:val="FFFFFF"/>
                <w:sz w:val="22"/>
                <w:szCs w:val="22"/>
              </w:rPr>
            </w:pPr>
            <w:r>
              <w:rPr>
                <w:rFonts w:ascii="Calibri" w:hAnsi="Calibri" w:cs="Calibri"/>
                <w:b/>
                <w:bCs/>
                <w:color w:val="FFFFFF"/>
                <w:sz w:val="22"/>
                <w:szCs w:val="22"/>
              </w:rPr>
              <w:t>Full year</w:t>
            </w:r>
            <w:r w:rsidR="00E23DA3" w:rsidRPr="00E23DA3">
              <w:rPr>
                <w:rFonts w:ascii="Calibri" w:hAnsi="Calibri" w:cs="Calibri"/>
                <w:b/>
                <w:bCs/>
                <w:color w:val="FFFFFF"/>
                <w:sz w:val="22"/>
                <w:szCs w:val="22"/>
              </w:rPr>
              <w:t xml:space="preserve"> variance</w:t>
            </w:r>
          </w:p>
        </w:tc>
        <w:tc>
          <w:tcPr>
            <w:tcW w:w="960" w:type="dxa"/>
            <w:tcBorders>
              <w:top w:val="single" w:sz="4" w:space="0" w:color="auto"/>
              <w:left w:val="nil"/>
              <w:bottom w:val="nil"/>
              <w:right w:val="single" w:sz="4" w:space="0" w:color="auto"/>
            </w:tcBorders>
            <w:shd w:val="clear" w:color="000000" w:fill="56008C"/>
            <w:vAlign w:val="bottom"/>
            <w:hideMark/>
          </w:tcPr>
          <w:p w:rsidR="00E23DA3" w:rsidRPr="00E23DA3" w:rsidRDefault="00E23DA3" w:rsidP="00E23DA3">
            <w:pPr>
              <w:jc w:val="center"/>
              <w:rPr>
                <w:rFonts w:ascii="Calibri" w:hAnsi="Calibri" w:cs="Calibri"/>
                <w:b/>
                <w:bCs/>
                <w:color w:val="FFFFFF"/>
                <w:sz w:val="22"/>
                <w:szCs w:val="22"/>
              </w:rPr>
            </w:pPr>
            <w:r w:rsidRPr="00E23DA3">
              <w:rPr>
                <w:rFonts w:ascii="Calibri" w:hAnsi="Calibri" w:cs="Calibri"/>
                <w:b/>
                <w:bCs/>
                <w:color w:val="FFFFFF"/>
                <w:sz w:val="22"/>
                <w:szCs w:val="22"/>
              </w:rPr>
              <w:t>% share of total year to date spend</w:t>
            </w:r>
          </w:p>
        </w:tc>
      </w:tr>
      <w:tr w:rsidR="00E23DA3" w:rsidRPr="00E23DA3" w:rsidTr="00E23DA3">
        <w:trPr>
          <w:trHeight w:val="300"/>
        </w:trPr>
        <w:tc>
          <w:tcPr>
            <w:tcW w:w="4040" w:type="dxa"/>
            <w:tcBorders>
              <w:top w:val="nil"/>
              <w:left w:val="single" w:sz="4" w:space="0" w:color="auto"/>
              <w:bottom w:val="single" w:sz="4" w:space="0" w:color="auto"/>
              <w:right w:val="single" w:sz="4" w:space="0" w:color="auto"/>
            </w:tcBorders>
            <w:shd w:val="clear" w:color="000000" w:fill="56008C"/>
            <w:noWrap/>
            <w:vAlign w:val="bottom"/>
            <w:hideMark/>
          </w:tcPr>
          <w:p w:rsidR="00E23DA3" w:rsidRPr="00E23DA3" w:rsidRDefault="00E23DA3" w:rsidP="00E23DA3">
            <w:pPr>
              <w:rPr>
                <w:rFonts w:ascii="Calibri" w:hAnsi="Calibri" w:cs="Calibri"/>
                <w:b/>
                <w:bCs/>
                <w:color w:val="FFFFFF"/>
                <w:sz w:val="22"/>
                <w:szCs w:val="22"/>
              </w:rPr>
            </w:pPr>
            <w:r w:rsidRPr="00E23DA3">
              <w:rPr>
                <w:rFonts w:ascii="Calibri" w:hAnsi="Calibri" w:cs="Calibri"/>
                <w:b/>
                <w:bCs/>
                <w:color w:val="FFFFFF"/>
                <w:sz w:val="22"/>
                <w:szCs w:val="22"/>
              </w:rPr>
              <w:t> </w:t>
            </w:r>
          </w:p>
        </w:tc>
        <w:tc>
          <w:tcPr>
            <w:tcW w:w="960" w:type="dxa"/>
            <w:tcBorders>
              <w:top w:val="nil"/>
              <w:left w:val="nil"/>
              <w:bottom w:val="single" w:sz="4" w:space="0" w:color="auto"/>
              <w:right w:val="single" w:sz="4" w:space="0" w:color="auto"/>
            </w:tcBorders>
            <w:shd w:val="clear" w:color="000000" w:fill="56008C"/>
            <w:noWrap/>
            <w:vAlign w:val="bottom"/>
            <w:hideMark/>
          </w:tcPr>
          <w:p w:rsidR="00E23DA3" w:rsidRPr="00E23DA3" w:rsidRDefault="00E23DA3" w:rsidP="00E23DA3">
            <w:pPr>
              <w:jc w:val="center"/>
              <w:rPr>
                <w:rFonts w:ascii="Calibri" w:hAnsi="Calibri" w:cs="Calibri"/>
                <w:b/>
                <w:bCs/>
                <w:color w:val="FFFFFF"/>
                <w:sz w:val="22"/>
                <w:szCs w:val="22"/>
              </w:rPr>
            </w:pPr>
            <w:r w:rsidRPr="00E23DA3">
              <w:rPr>
                <w:rFonts w:ascii="Calibri" w:hAnsi="Calibri" w:cs="Calibri"/>
                <w:b/>
                <w:bCs/>
                <w:color w:val="FFFFFF"/>
                <w:sz w:val="22"/>
                <w:szCs w:val="22"/>
              </w:rPr>
              <w:t>(£)</w:t>
            </w:r>
          </w:p>
        </w:tc>
        <w:tc>
          <w:tcPr>
            <w:tcW w:w="960" w:type="dxa"/>
            <w:tcBorders>
              <w:top w:val="nil"/>
              <w:left w:val="nil"/>
              <w:bottom w:val="single" w:sz="4" w:space="0" w:color="auto"/>
              <w:right w:val="single" w:sz="4" w:space="0" w:color="auto"/>
            </w:tcBorders>
            <w:shd w:val="clear" w:color="000000" w:fill="56008C"/>
            <w:noWrap/>
            <w:vAlign w:val="bottom"/>
            <w:hideMark/>
          </w:tcPr>
          <w:p w:rsidR="00E23DA3" w:rsidRPr="00E23DA3" w:rsidRDefault="00E23DA3" w:rsidP="00E23DA3">
            <w:pPr>
              <w:jc w:val="center"/>
              <w:rPr>
                <w:rFonts w:ascii="Calibri" w:hAnsi="Calibri" w:cs="Calibri"/>
                <w:b/>
                <w:bCs/>
                <w:color w:val="FFFFFF"/>
                <w:sz w:val="22"/>
                <w:szCs w:val="22"/>
              </w:rPr>
            </w:pPr>
            <w:r w:rsidRPr="00E23DA3">
              <w:rPr>
                <w:rFonts w:ascii="Calibri" w:hAnsi="Calibri" w:cs="Calibri"/>
                <w:b/>
                <w:bCs/>
                <w:color w:val="FFFFFF"/>
                <w:sz w:val="22"/>
                <w:szCs w:val="22"/>
              </w:rPr>
              <w:t>(£)</w:t>
            </w:r>
          </w:p>
        </w:tc>
        <w:tc>
          <w:tcPr>
            <w:tcW w:w="960" w:type="dxa"/>
            <w:tcBorders>
              <w:top w:val="nil"/>
              <w:left w:val="nil"/>
              <w:bottom w:val="single" w:sz="4" w:space="0" w:color="auto"/>
              <w:right w:val="single" w:sz="4" w:space="0" w:color="auto"/>
            </w:tcBorders>
            <w:shd w:val="clear" w:color="000000" w:fill="56008C"/>
            <w:noWrap/>
            <w:vAlign w:val="bottom"/>
            <w:hideMark/>
          </w:tcPr>
          <w:p w:rsidR="00E23DA3" w:rsidRPr="00E23DA3" w:rsidRDefault="00E23DA3" w:rsidP="00E23DA3">
            <w:pPr>
              <w:jc w:val="center"/>
              <w:rPr>
                <w:rFonts w:ascii="Calibri" w:hAnsi="Calibri" w:cs="Calibri"/>
                <w:b/>
                <w:bCs/>
                <w:color w:val="FFFFFF"/>
                <w:sz w:val="22"/>
                <w:szCs w:val="22"/>
              </w:rPr>
            </w:pPr>
            <w:r w:rsidRPr="00E23DA3">
              <w:rPr>
                <w:rFonts w:ascii="Calibri" w:hAnsi="Calibri" w:cs="Calibri"/>
                <w:b/>
                <w:bCs/>
                <w:color w:val="FFFFFF"/>
                <w:sz w:val="22"/>
                <w:szCs w:val="22"/>
              </w:rPr>
              <w:t>%</w:t>
            </w:r>
          </w:p>
        </w:tc>
      </w:tr>
      <w:tr w:rsidR="00E23DA3" w:rsidRPr="00E23DA3" w:rsidTr="00E23DA3">
        <w:trPr>
          <w:trHeight w:val="300"/>
        </w:trPr>
        <w:tc>
          <w:tcPr>
            <w:tcW w:w="4040" w:type="dxa"/>
            <w:tcBorders>
              <w:top w:val="nil"/>
              <w:left w:val="single" w:sz="4" w:space="0" w:color="auto"/>
              <w:bottom w:val="nil"/>
              <w:right w:val="nil"/>
            </w:tcBorders>
            <w:shd w:val="clear" w:color="auto" w:fill="auto"/>
            <w:noWrap/>
            <w:vAlign w:val="bottom"/>
            <w:hideMark/>
          </w:tcPr>
          <w:p w:rsidR="00E23DA3" w:rsidRPr="00E23DA3" w:rsidRDefault="00E23DA3" w:rsidP="00E23DA3">
            <w:pPr>
              <w:rPr>
                <w:rFonts w:ascii="Calibri" w:hAnsi="Calibri" w:cs="Calibri"/>
                <w:color w:val="000000"/>
                <w:sz w:val="22"/>
                <w:szCs w:val="22"/>
              </w:rPr>
            </w:pPr>
            <w:r w:rsidRPr="00E23DA3">
              <w:rPr>
                <w:rFonts w:ascii="Calibri" w:hAnsi="Calibri" w:cs="Calibri"/>
                <w:color w:val="000000"/>
                <w:sz w:val="22"/>
                <w:szCs w:val="22"/>
              </w:rPr>
              <w:t>Operations and Approval</w:t>
            </w:r>
          </w:p>
        </w:tc>
        <w:tc>
          <w:tcPr>
            <w:tcW w:w="960" w:type="dxa"/>
            <w:tcBorders>
              <w:top w:val="nil"/>
              <w:left w:val="single" w:sz="4" w:space="0" w:color="auto"/>
              <w:bottom w:val="nil"/>
              <w:right w:val="single" w:sz="4" w:space="0" w:color="auto"/>
            </w:tcBorders>
            <w:shd w:val="clear" w:color="auto" w:fill="auto"/>
            <w:noWrap/>
            <w:vAlign w:val="bottom"/>
            <w:hideMark/>
          </w:tcPr>
          <w:p w:rsidR="00E23DA3" w:rsidRPr="00E23DA3" w:rsidRDefault="00E23DA3" w:rsidP="00E23DA3">
            <w:pPr>
              <w:jc w:val="right"/>
              <w:rPr>
                <w:rFonts w:ascii="Calibri" w:hAnsi="Calibri" w:cs="Calibri"/>
                <w:color w:val="000000"/>
                <w:sz w:val="22"/>
                <w:szCs w:val="22"/>
              </w:rPr>
            </w:pPr>
            <w:r w:rsidRPr="00E23DA3">
              <w:rPr>
                <w:rFonts w:ascii="Calibri" w:hAnsi="Calibri" w:cs="Calibri"/>
                <w:color w:val="000000"/>
                <w:sz w:val="22"/>
                <w:szCs w:val="22"/>
              </w:rPr>
              <w:t>364,067</w:t>
            </w:r>
          </w:p>
        </w:tc>
        <w:tc>
          <w:tcPr>
            <w:tcW w:w="960" w:type="dxa"/>
            <w:tcBorders>
              <w:top w:val="nil"/>
              <w:left w:val="nil"/>
              <w:bottom w:val="nil"/>
              <w:right w:val="single" w:sz="4" w:space="0" w:color="auto"/>
            </w:tcBorders>
            <w:shd w:val="clear" w:color="auto" w:fill="auto"/>
            <w:noWrap/>
            <w:vAlign w:val="bottom"/>
            <w:hideMark/>
          </w:tcPr>
          <w:p w:rsidR="00E23DA3" w:rsidRPr="00E23DA3" w:rsidRDefault="00E23DA3" w:rsidP="00E23DA3">
            <w:pPr>
              <w:jc w:val="right"/>
              <w:rPr>
                <w:rFonts w:ascii="Calibri" w:hAnsi="Calibri" w:cs="Calibri"/>
                <w:color w:val="000000"/>
                <w:sz w:val="22"/>
                <w:szCs w:val="22"/>
              </w:rPr>
            </w:pPr>
            <w:r w:rsidRPr="00E23DA3">
              <w:rPr>
                <w:rFonts w:ascii="Calibri" w:hAnsi="Calibri" w:cs="Calibri"/>
                <w:color w:val="000000"/>
                <w:sz w:val="22"/>
                <w:szCs w:val="22"/>
              </w:rPr>
              <w:t>58,664</w:t>
            </w:r>
          </w:p>
        </w:tc>
        <w:tc>
          <w:tcPr>
            <w:tcW w:w="960" w:type="dxa"/>
            <w:tcBorders>
              <w:top w:val="nil"/>
              <w:left w:val="nil"/>
              <w:bottom w:val="nil"/>
              <w:right w:val="single" w:sz="4" w:space="0" w:color="auto"/>
            </w:tcBorders>
            <w:shd w:val="clear" w:color="auto" w:fill="auto"/>
            <w:noWrap/>
            <w:vAlign w:val="bottom"/>
            <w:hideMark/>
          </w:tcPr>
          <w:p w:rsidR="00E23DA3" w:rsidRPr="00E23DA3" w:rsidRDefault="00E23DA3" w:rsidP="00E23DA3">
            <w:pPr>
              <w:jc w:val="right"/>
              <w:rPr>
                <w:rFonts w:ascii="Calibri" w:hAnsi="Calibri" w:cs="Calibri"/>
                <w:color w:val="000000"/>
                <w:sz w:val="22"/>
                <w:szCs w:val="22"/>
              </w:rPr>
            </w:pPr>
            <w:r w:rsidRPr="00E23DA3">
              <w:rPr>
                <w:rFonts w:ascii="Calibri" w:hAnsi="Calibri" w:cs="Calibri"/>
                <w:color w:val="000000"/>
                <w:sz w:val="22"/>
                <w:szCs w:val="22"/>
              </w:rPr>
              <w:t>61%</w:t>
            </w:r>
          </w:p>
        </w:tc>
      </w:tr>
      <w:tr w:rsidR="00E23DA3" w:rsidRPr="00E23DA3" w:rsidTr="00E23DA3">
        <w:trPr>
          <w:trHeight w:val="300"/>
        </w:trPr>
        <w:tc>
          <w:tcPr>
            <w:tcW w:w="4040" w:type="dxa"/>
            <w:tcBorders>
              <w:top w:val="nil"/>
              <w:left w:val="single" w:sz="4" w:space="0" w:color="auto"/>
              <w:bottom w:val="nil"/>
              <w:right w:val="nil"/>
            </w:tcBorders>
            <w:shd w:val="clear" w:color="auto" w:fill="auto"/>
            <w:noWrap/>
            <w:vAlign w:val="bottom"/>
            <w:hideMark/>
          </w:tcPr>
          <w:p w:rsidR="00E23DA3" w:rsidRPr="00E23DA3" w:rsidRDefault="00E23DA3" w:rsidP="00E23DA3">
            <w:pPr>
              <w:rPr>
                <w:rFonts w:ascii="Calibri" w:hAnsi="Calibri" w:cs="Calibri"/>
                <w:color w:val="000000"/>
                <w:sz w:val="22"/>
                <w:szCs w:val="22"/>
              </w:rPr>
            </w:pPr>
            <w:r w:rsidRPr="00E23DA3">
              <w:rPr>
                <w:rFonts w:ascii="Calibri" w:hAnsi="Calibri" w:cs="Calibri"/>
                <w:color w:val="000000"/>
                <w:sz w:val="22"/>
                <w:szCs w:val="22"/>
              </w:rPr>
              <w:t xml:space="preserve">Chief Exec </w:t>
            </w:r>
            <w:proofErr w:type="spellStart"/>
            <w:r w:rsidRPr="00E23DA3">
              <w:rPr>
                <w:rFonts w:ascii="Calibri" w:hAnsi="Calibri" w:cs="Calibri"/>
                <w:color w:val="000000"/>
                <w:sz w:val="22"/>
                <w:szCs w:val="22"/>
              </w:rPr>
              <w:t>inc</w:t>
            </w:r>
            <w:proofErr w:type="spellEnd"/>
            <w:r w:rsidRPr="00E23DA3">
              <w:rPr>
                <w:rFonts w:ascii="Calibri" w:hAnsi="Calibri" w:cs="Calibri"/>
                <w:color w:val="000000"/>
                <w:sz w:val="22"/>
                <w:szCs w:val="22"/>
              </w:rPr>
              <w:t xml:space="preserve"> Team, Board and Corp. Sec.</w:t>
            </w:r>
          </w:p>
        </w:tc>
        <w:tc>
          <w:tcPr>
            <w:tcW w:w="960" w:type="dxa"/>
            <w:tcBorders>
              <w:top w:val="nil"/>
              <w:left w:val="single" w:sz="4" w:space="0" w:color="auto"/>
              <w:bottom w:val="nil"/>
              <w:right w:val="single" w:sz="4" w:space="0" w:color="auto"/>
            </w:tcBorders>
            <w:shd w:val="clear" w:color="auto" w:fill="auto"/>
            <w:noWrap/>
            <w:vAlign w:val="bottom"/>
            <w:hideMark/>
          </w:tcPr>
          <w:p w:rsidR="00E23DA3" w:rsidRPr="00E23DA3" w:rsidRDefault="00E23DA3" w:rsidP="00E23DA3">
            <w:pPr>
              <w:jc w:val="right"/>
              <w:rPr>
                <w:rFonts w:ascii="Calibri" w:hAnsi="Calibri" w:cs="Calibri"/>
                <w:color w:val="000000"/>
                <w:sz w:val="22"/>
                <w:szCs w:val="22"/>
              </w:rPr>
            </w:pPr>
            <w:r w:rsidRPr="00E23DA3">
              <w:rPr>
                <w:rFonts w:ascii="Calibri" w:hAnsi="Calibri" w:cs="Calibri"/>
                <w:color w:val="000000"/>
                <w:sz w:val="22"/>
                <w:szCs w:val="22"/>
              </w:rPr>
              <w:t>76,285</w:t>
            </w:r>
          </w:p>
        </w:tc>
        <w:tc>
          <w:tcPr>
            <w:tcW w:w="960" w:type="dxa"/>
            <w:tcBorders>
              <w:top w:val="nil"/>
              <w:left w:val="nil"/>
              <w:bottom w:val="nil"/>
              <w:right w:val="single" w:sz="4" w:space="0" w:color="auto"/>
            </w:tcBorders>
            <w:shd w:val="clear" w:color="auto" w:fill="auto"/>
            <w:noWrap/>
            <w:vAlign w:val="bottom"/>
            <w:hideMark/>
          </w:tcPr>
          <w:p w:rsidR="00E23DA3" w:rsidRPr="00E23DA3" w:rsidRDefault="00E23DA3" w:rsidP="00E23DA3">
            <w:pPr>
              <w:jc w:val="right"/>
              <w:rPr>
                <w:rFonts w:ascii="Calibri" w:hAnsi="Calibri" w:cs="Calibri"/>
                <w:color w:val="000000"/>
                <w:sz w:val="22"/>
                <w:szCs w:val="22"/>
              </w:rPr>
            </w:pPr>
            <w:r w:rsidRPr="00E23DA3">
              <w:rPr>
                <w:rFonts w:ascii="Calibri" w:hAnsi="Calibri" w:cs="Calibri"/>
                <w:color w:val="000000"/>
                <w:sz w:val="22"/>
                <w:szCs w:val="22"/>
              </w:rPr>
              <w:t>22,275</w:t>
            </w:r>
          </w:p>
        </w:tc>
        <w:tc>
          <w:tcPr>
            <w:tcW w:w="960" w:type="dxa"/>
            <w:tcBorders>
              <w:top w:val="nil"/>
              <w:left w:val="nil"/>
              <w:bottom w:val="nil"/>
              <w:right w:val="single" w:sz="4" w:space="0" w:color="auto"/>
            </w:tcBorders>
            <w:shd w:val="clear" w:color="auto" w:fill="auto"/>
            <w:noWrap/>
            <w:vAlign w:val="bottom"/>
            <w:hideMark/>
          </w:tcPr>
          <w:p w:rsidR="00E23DA3" w:rsidRPr="00E23DA3" w:rsidRDefault="00E23DA3" w:rsidP="00E23DA3">
            <w:pPr>
              <w:jc w:val="right"/>
              <w:rPr>
                <w:rFonts w:ascii="Calibri" w:hAnsi="Calibri" w:cs="Calibri"/>
                <w:color w:val="000000"/>
                <w:sz w:val="22"/>
                <w:szCs w:val="22"/>
              </w:rPr>
            </w:pPr>
            <w:r w:rsidRPr="00E23DA3">
              <w:rPr>
                <w:rFonts w:ascii="Calibri" w:hAnsi="Calibri" w:cs="Calibri"/>
                <w:color w:val="000000"/>
                <w:sz w:val="22"/>
                <w:szCs w:val="22"/>
              </w:rPr>
              <w:t>13%</w:t>
            </w:r>
          </w:p>
        </w:tc>
      </w:tr>
      <w:tr w:rsidR="00E23DA3" w:rsidRPr="00E23DA3" w:rsidTr="00E23DA3">
        <w:trPr>
          <w:trHeight w:val="300"/>
        </w:trPr>
        <w:tc>
          <w:tcPr>
            <w:tcW w:w="4040" w:type="dxa"/>
            <w:tcBorders>
              <w:top w:val="nil"/>
              <w:left w:val="single" w:sz="4" w:space="0" w:color="auto"/>
              <w:bottom w:val="nil"/>
              <w:right w:val="nil"/>
            </w:tcBorders>
            <w:shd w:val="clear" w:color="auto" w:fill="auto"/>
            <w:noWrap/>
            <w:vAlign w:val="bottom"/>
            <w:hideMark/>
          </w:tcPr>
          <w:p w:rsidR="00E23DA3" w:rsidRPr="00E23DA3" w:rsidRDefault="00E23DA3" w:rsidP="00E23DA3">
            <w:pPr>
              <w:rPr>
                <w:rFonts w:ascii="Calibri" w:hAnsi="Calibri" w:cs="Calibri"/>
                <w:color w:val="000000"/>
                <w:sz w:val="22"/>
                <w:szCs w:val="22"/>
              </w:rPr>
            </w:pPr>
            <w:r w:rsidRPr="00E23DA3">
              <w:rPr>
                <w:rFonts w:ascii="Calibri" w:hAnsi="Calibri" w:cs="Calibri"/>
                <w:color w:val="000000"/>
                <w:sz w:val="22"/>
                <w:szCs w:val="22"/>
              </w:rPr>
              <w:t>Corporate Services</w:t>
            </w:r>
          </w:p>
        </w:tc>
        <w:tc>
          <w:tcPr>
            <w:tcW w:w="960" w:type="dxa"/>
            <w:tcBorders>
              <w:top w:val="nil"/>
              <w:left w:val="single" w:sz="4" w:space="0" w:color="auto"/>
              <w:bottom w:val="nil"/>
              <w:right w:val="single" w:sz="4" w:space="0" w:color="auto"/>
            </w:tcBorders>
            <w:shd w:val="clear" w:color="auto" w:fill="auto"/>
            <w:noWrap/>
            <w:vAlign w:val="bottom"/>
            <w:hideMark/>
          </w:tcPr>
          <w:p w:rsidR="00E23DA3" w:rsidRPr="00E23DA3" w:rsidRDefault="00E23DA3" w:rsidP="00E23DA3">
            <w:pPr>
              <w:jc w:val="right"/>
              <w:rPr>
                <w:rFonts w:ascii="Calibri" w:hAnsi="Calibri" w:cs="Calibri"/>
                <w:color w:val="000000"/>
                <w:sz w:val="22"/>
                <w:szCs w:val="22"/>
              </w:rPr>
            </w:pPr>
            <w:r w:rsidRPr="00E23DA3">
              <w:rPr>
                <w:rFonts w:ascii="Calibri" w:hAnsi="Calibri" w:cs="Calibri"/>
                <w:color w:val="000000"/>
                <w:sz w:val="22"/>
                <w:szCs w:val="22"/>
              </w:rPr>
              <w:t>61,252</w:t>
            </w:r>
          </w:p>
        </w:tc>
        <w:tc>
          <w:tcPr>
            <w:tcW w:w="960" w:type="dxa"/>
            <w:tcBorders>
              <w:top w:val="nil"/>
              <w:left w:val="nil"/>
              <w:bottom w:val="nil"/>
              <w:right w:val="single" w:sz="4" w:space="0" w:color="auto"/>
            </w:tcBorders>
            <w:shd w:val="clear" w:color="auto" w:fill="auto"/>
            <w:noWrap/>
            <w:vAlign w:val="bottom"/>
            <w:hideMark/>
          </w:tcPr>
          <w:p w:rsidR="00E23DA3" w:rsidRPr="00E23DA3" w:rsidRDefault="00E23DA3" w:rsidP="00E23DA3">
            <w:pPr>
              <w:jc w:val="right"/>
              <w:rPr>
                <w:rFonts w:ascii="Calibri" w:hAnsi="Calibri" w:cs="Calibri"/>
                <w:color w:val="000000"/>
                <w:sz w:val="22"/>
                <w:szCs w:val="22"/>
              </w:rPr>
            </w:pPr>
            <w:r w:rsidRPr="00E23DA3">
              <w:rPr>
                <w:rFonts w:ascii="Calibri" w:hAnsi="Calibri" w:cs="Calibri"/>
                <w:color w:val="000000"/>
                <w:sz w:val="22"/>
                <w:szCs w:val="22"/>
              </w:rPr>
              <w:t>-25,093</w:t>
            </w:r>
          </w:p>
        </w:tc>
        <w:tc>
          <w:tcPr>
            <w:tcW w:w="960" w:type="dxa"/>
            <w:tcBorders>
              <w:top w:val="nil"/>
              <w:left w:val="nil"/>
              <w:bottom w:val="nil"/>
              <w:right w:val="single" w:sz="4" w:space="0" w:color="auto"/>
            </w:tcBorders>
            <w:shd w:val="clear" w:color="auto" w:fill="auto"/>
            <w:noWrap/>
            <w:vAlign w:val="bottom"/>
            <w:hideMark/>
          </w:tcPr>
          <w:p w:rsidR="00E23DA3" w:rsidRPr="00E23DA3" w:rsidRDefault="00E23DA3" w:rsidP="00E23DA3">
            <w:pPr>
              <w:jc w:val="right"/>
              <w:rPr>
                <w:rFonts w:ascii="Calibri" w:hAnsi="Calibri" w:cs="Calibri"/>
                <w:color w:val="000000"/>
                <w:sz w:val="22"/>
                <w:szCs w:val="22"/>
              </w:rPr>
            </w:pPr>
            <w:r w:rsidRPr="00E23DA3">
              <w:rPr>
                <w:rFonts w:ascii="Calibri" w:hAnsi="Calibri" w:cs="Calibri"/>
                <w:color w:val="000000"/>
                <w:sz w:val="22"/>
                <w:szCs w:val="22"/>
              </w:rPr>
              <w:t>10%</w:t>
            </w:r>
          </w:p>
        </w:tc>
      </w:tr>
      <w:tr w:rsidR="00E23DA3" w:rsidRPr="00E23DA3" w:rsidTr="00E23DA3">
        <w:trPr>
          <w:trHeight w:val="300"/>
        </w:trPr>
        <w:tc>
          <w:tcPr>
            <w:tcW w:w="4040" w:type="dxa"/>
            <w:tcBorders>
              <w:top w:val="nil"/>
              <w:left w:val="single" w:sz="4" w:space="0" w:color="auto"/>
              <w:bottom w:val="nil"/>
              <w:right w:val="nil"/>
            </w:tcBorders>
            <w:shd w:val="clear" w:color="auto" w:fill="auto"/>
            <w:noWrap/>
            <w:vAlign w:val="bottom"/>
            <w:hideMark/>
          </w:tcPr>
          <w:p w:rsidR="00E23DA3" w:rsidRPr="00E23DA3" w:rsidRDefault="00E23DA3" w:rsidP="00E23DA3">
            <w:pPr>
              <w:rPr>
                <w:rFonts w:ascii="Calibri" w:hAnsi="Calibri" w:cs="Calibri"/>
                <w:color w:val="000000"/>
                <w:sz w:val="22"/>
                <w:szCs w:val="22"/>
              </w:rPr>
            </w:pPr>
            <w:r w:rsidRPr="00E23DA3">
              <w:rPr>
                <w:rFonts w:ascii="Calibri" w:hAnsi="Calibri" w:cs="Calibri"/>
                <w:color w:val="000000"/>
                <w:sz w:val="22"/>
                <w:szCs w:val="22"/>
              </w:rPr>
              <w:t xml:space="preserve">Finance </w:t>
            </w:r>
          </w:p>
        </w:tc>
        <w:tc>
          <w:tcPr>
            <w:tcW w:w="960" w:type="dxa"/>
            <w:tcBorders>
              <w:top w:val="nil"/>
              <w:left w:val="single" w:sz="4" w:space="0" w:color="auto"/>
              <w:bottom w:val="nil"/>
              <w:right w:val="single" w:sz="4" w:space="0" w:color="auto"/>
            </w:tcBorders>
            <w:shd w:val="clear" w:color="auto" w:fill="auto"/>
            <w:noWrap/>
            <w:vAlign w:val="bottom"/>
            <w:hideMark/>
          </w:tcPr>
          <w:p w:rsidR="00E23DA3" w:rsidRPr="00E23DA3" w:rsidRDefault="00E23DA3" w:rsidP="00E23DA3">
            <w:pPr>
              <w:jc w:val="right"/>
              <w:rPr>
                <w:rFonts w:ascii="Calibri" w:hAnsi="Calibri" w:cs="Calibri"/>
                <w:color w:val="000000"/>
                <w:sz w:val="22"/>
                <w:szCs w:val="22"/>
              </w:rPr>
            </w:pPr>
            <w:r w:rsidRPr="00E23DA3">
              <w:rPr>
                <w:rFonts w:ascii="Calibri" w:hAnsi="Calibri" w:cs="Calibri"/>
                <w:color w:val="000000"/>
                <w:sz w:val="22"/>
                <w:szCs w:val="22"/>
              </w:rPr>
              <w:t>6,522</w:t>
            </w:r>
          </w:p>
        </w:tc>
        <w:tc>
          <w:tcPr>
            <w:tcW w:w="960" w:type="dxa"/>
            <w:tcBorders>
              <w:top w:val="nil"/>
              <w:left w:val="nil"/>
              <w:bottom w:val="nil"/>
              <w:right w:val="single" w:sz="4" w:space="0" w:color="auto"/>
            </w:tcBorders>
            <w:shd w:val="clear" w:color="auto" w:fill="auto"/>
            <w:noWrap/>
            <w:vAlign w:val="bottom"/>
            <w:hideMark/>
          </w:tcPr>
          <w:p w:rsidR="00E23DA3" w:rsidRPr="00E23DA3" w:rsidRDefault="00E23DA3" w:rsidP="00E23DA3">
            <w:pPr>
              <w:jc w:val="right"/>
              <w:rPr>
                <w:rFonts w:ascii="Calibri" w:hAnsi="Calibri" w:cs="Calibri"/>
                <w:color w:val="000000"/>
                <w:sz w:val="22"/>
                <w:szCs w:val="22"/>
              </w:rPr>
            </w:pPr>
            <w:r w:rsidRPr="00E23DA3">
              <w:rPr>
                <w:rFonts w:ascii="Calibri" w:hAnsi="Calibri" w:cs="Calibri"/>
                <w:color w:val="000000"/>
                <w:sz w:val="22"/>
                <w:szCs w:val="22"/>
              </w:rPr>
              <w:t>3,972</w:t>
            </w:r>
          </w:p>
        </w:tc>
        <w:tc>
          <w:tcPr>
            <w:tcW w:w="960" w:type="dxa"/>
            <w:tcBorders>
              <w:top w:val="nil"/>
              <w:left w:val="nil"/>
              <w:bottom w:val="nil"/>
              <w:right w:val="single" w:sz="4" w:space="0" w:color="auto"/>
            </w:tcBorders>
            <w:shd w:val="clear" w:color="auto" w:fill="auto"/>
            <w:noWrap/>
            <w:vAlign w:val="bottom"/>
            <w:hideMark/>
          </w:tcPr>
          <w:p w:rsidR="00E23DA3" w:rsidRPr="00E23DA3" w:rsidRDefault="00E23DA3" w:rsidP="00E23DA3">
            <w:pPr>
              <w:jc w:val="right"/>
              <w:rPr>
                <w:rFonts w:ascii="Calibri" w:hAnsi="Calibri" w:cs="Calibri"/>
                <w:color w:val="000000"/>
                <w:sz w:val="22"/>
                <w:szCs w:val="22"/>
              </w:rPr>
            </w:pPr>
            <w:r w:rsidRPr="00E23DA3">
              <w:rPr>
                <w:rFonts w:ascii="Calibri" w:hAnsi="Calibri" w:cs="Calibri"/>
                <w:color w:val="000000"/>
                <w:sz w:val="22"/>
                <w:szCs w:val="22"/>
              </w:rPr>
              <w:t>1%</w:t>
            </w:r>
          </w:p>
        </w:tc>
      </w:tr>
      <w:tr w:rsidR="00E23DA3" w:rsidRPr="00E23DA3" w:rsidTr="00E23DA3">
        <w:trPr>
          <w:trHeight w:val="300"/>
        </w:trPr>
        <w:tc>
          <w:tcPr>
            <w:tcW w:w="4040" w:type="dxa"/>
            <w:tcBorders>
              <w:top w:val="nil"/>
              <w:left w:val="single" w:sz="4" w:space="0" w:color="auto"/>
              <w:bottom w:val="nil"/>
              <w:right w:val="nil"/>
            </w:tcBorders>
            <w:shd w:val="clear" w:color="auto" w:fill="auto"/>
            <w:noWrap/>
            <w:vAlign w:val="bottom"/>
            <w:hideMark/>
          </w:tcPr>
          <w:p w:rsidR="00E23DA3" w:rsidRPr="00E23DA3" w:rsidRDefault="00E23DA3" w:rsidP="00E23DA3">
            <w:pPr>
              <w:rPr>
                <w:rFonts w:ascii="Calibri" w:hAnsi="Calibri" w:cs="Calibri"/>
                <w:color w:val="000000"/>
                <w:sz w:val="22"/>
                <w:szCs w:val="22"/>
              </w:rPr>
            </w:pPr>
            <w:r w:rsidRPr="00E23DA3">
              <w:rPr>
                <w:rFonts w:ascii="Calibri" w:hAnsi="Calibri" w:cs="Calibri"/>
                <w:color w:val="000000"/>
                <w:sz w:val="22"/>
                <w:szCs w:val="22"/>
              </w:rPr>
              <w:t>Systems and Development</w:t>
            </w:r>
          </w:p>
        </w:tc>
        <w:tc>
          <w:tcPr>
            <w:tcW w:w="960" w:type="dxa"/>
            <w:tcBorders>
              <w:top w:val="nil"/>
              <w:left w:val="single" w:sz="4" w:space="0" w:color="auto"/>
              <w:bottom w:val="nil"/>
              <w:right w:val="single" w:sz="4" w:space="0" w:color="auto"/>
            </w:tcBorders>
            <w:shd w:val="clear" w:color="auto" w:fill="auto"/>
            <w:noWrap/>
            <w:vAlign w:val="bottom"/>
            <w:hideMark/>
          </w:tcPr>
          <w:p w:rsidR="00E23DA3" w:rsidRPr="00E23DA3" w:rsidRDefault="00E23DA3" w:rsidP="00E23DA3">
            <w:pPr>
              <w:jc w:val="right"/>
              <w:rPr>
                <w:rFonts w:ascii="Calibri" w:hAnsi="Calibri" w:cs="Calibri"/>
                <w:color w:val="000000"/>
                <w:sz w:val="22"/>
                <w:szCs w:val="22"/>
              </w:rPr>
            </w:pPr>
            <w:r w:rsidRPr="00E23DA3">
              <w:rPr>
                <w:rFonts w:ascii="Calibri" w:hAnsi="Calibri" w:cs="Calibri"/>
                <w:color w:val="000000"/>
                <w:sz w:val="22"/>
                <w:szCs w:val="22"/>
              </w:rPr>
              <w:t>86,672</w:t>
            </w:r>
          </w:p>
        </w:tc>
        <w:tc>
          <w:tcPr>
            <w:tcW w:w="960" w:type="dxa"/>
            <w:tcBorders>
              <w:top w:val="nil"/>
              <w:left w:val="nil"/>
              <w:bottom w:val="nil"/>
              <w:right w:val="single" w:sz="4" w:space="0" w:color="auto"/>
            </w:tcBorders>
            <w:shd w:val="clear" w:color="auto" w:fill="auto"/>
            <w:noWrap/>
            <w:vAlign w:val="bottom"/>
            <w:hideMark/>
          </w:tcPr>
          <w:p w:rsidR="00E23DA3" w:rsidRPr="00E23DA3" w:rsidRDefault="00E23DA3" w:rsidP="00E23DA3">
            <w:pPr>
              <w:jc w:val="right"/>
              <w:rPr>
                <w:rFonts w:ascii="Calibri" w:hAnsi="Calibri" w:cs="Calibri"/>
                <w:color w:val="000000"/>
                <w:sz w:val="22"/>
                <w:szCs w:val="22"/>
              </w:rPr>
            </w:pPr>
            <w:r w:rsidRPr="00E23DA3">
              <w:rPr>
                <w:rFonts w:ascii="Calibri" w:hAnsi="Calibri" w:cs="Calibri"/>
                <w:color w:val="000000"/>
                <w:sz w:val="22"/>
                <w:szCs w:val="22"/>
              </w:rPr>
              <w:t>2,082</w:t>
            </w:r>
          </w:p>
        </w:tc>
        <w:tc>
          <w:tcPr>
            <w:tcW w:w="960" w:type="dxa"/>
            <w:tcBorders>
              <w:top w:val="nil"/>
              <w:left w:val="nil"/>
              <w:bottom w:val="nil"/>
              <w:right w:val="single" w:sz="4" w:space="0" w:color="auto"/>
            </w:tcBorders>
            <w:shd w:val="clear" w:color="auto" w:fill="auto"/>
            <w:noWrap/>
            <w:vAlign w:val="bottom"/>
            <w:hideMark/>
          </w:tcPr>
          <w:p w:rsidR="00E23DA3" w:rsidRPr="00E23DA3" w:rsidRDefault="00E23DA3" w:rsidP="00E23DA3">
            <w:pPr>
              <w:jc w:val="right"/>
              <w:rPr>
                <w:rFonts w:ascii="Calibri" w:hAnsi="Calibri" w:cs="Calibri"/>
                <w:color w:val="000000"/>
                <w:sz w:val="22"/>
                <w:szCs w:val="22"/>
              </w:rPr>
            </w:pPr>
            <w:r w:rsidRPr="00E23DA3">
              <w:rPr>
                <w:rFonts w:ascii="Calibri" w:hAnsi="Calibri" w:cs="Calibri"/>
                <w:color w:val="000000"/>
                <w:sz w:val="22"/>
                <w:szCs w:val="22"/>
              </w:rPr>
              <w:t>15%</w:t>
            </w:r>
          </w:p>
        </w:tc>
      </w:tr>
      <w:tr w:rsidR="00E23DA3" w:rsidRPr="00E23DA3" w:rsidTr="00E23DA3">
        <w:trPr>
          <w:trHeight w:val="300"/>
        </w:trPr>
        <w:tc>
          <w:tcPr>
            <w:tcW w:w="4040" w:type="dxa"/>
            <w:tcBorders>
              <w:top w:val="nil"/>
              <w:left w:val="single" w:sz="4" w:space="0" w:color="auto"/>
              <w:bottom w:val="nil"/>
              <w:right w:val="nil"/>
            </w:tcBorders>
            <w:shd w:val="clear" w:color="auto" w:fill="auto"/>
            <w:noWrap/>
            <w:vAlign w:val="bottom"/>
            <w:hideMark/>
          </w:tcPr>
          <w:p w:rsidR="00E23DA3" w:rsidRPr="00E23DA3" w:rsidRDefault="00E23DA3" w:rsidP="00E23DA3">
            <w:pPr>
              <w:rPr>
                <w:rFonts w:ascii="Calibri" w:hAnsi="Calibri" w:cs="Calibri"/>
                <w:color w:val="000000"/>
                <w:sz w:val="22"/>
                <w:szCs w:val="22"/>
              </w:rPr>
            </w:pPr>
            <w:r w:rsidRPr="00E23DA3">
              <w:rPr>
                <w:rFonts w:ascii="Calibri" w:hAnsi="Calibri" w:cs="Calibri"/>
                <w:color w:val="000000"/>
                <w:sz w:val="22"/>
                <w:szCs w:val="22"/>
              </w:rPr>
              <w:t>Communications</w:t>
            </w:r>
          </w:p>
        </w:tc>
        <w:tc>
          <w:tcPr>
            <w:tcW w:w="960" w:type="dxa"/>
            <w:tcBorders>
              <w:top w:val="nil"/>
              <w:left w:val="single" w:sz="4" w:space="0" w:color="auto"/>
              <w:bottom w:val="nil"/>
              <w:right w:val="single" w:sz="4" w:space="0" w:color="auto"/>
            </w:tcBorders>
            <w:shd w:val="clear" w:color="auto" w:fill="auto"/>
            <w:noWrap/>
            <w:vAlign w:val="bottom"/>
            <w:hideMark/>
          </w:tcPr>
          <w:p w:rsidR="00E23DA3" w:rsidRPr="00E23DA3" w:rsidRDefault="00E23DA3" w:rsidP="00E23DA3">
            <w:pPr>
              <w:jc w:val="right"/>
              <w:rPr>
                <w:rFonts w:ascii="Calibri" w:hAnsi="Calibri" w:cs="Calibri"/>
                <w:color w:val="000000"/>
                <w:sz w:val="22"/>
                <w:szCs w:val="22"/>
              </w:rPr>
            </w:pPr>
            <w:r w:rsidRPr="00E23DA3">
              <w:rPr>
                <w:rFonts w:ascii="Calibri" w:hAnsi="Calibri" w:cs="Calibri"/>
                <w:color w:val="000000"/>
                <w:sz w:val="22"/>
                <w:szCs w:val="22"/>
              </w:rPr>
              <w:t>0</w:t>
            </w:r>
          </w:p>
        </w:tc>
        <w:tc>
          <w:tcPr>
            <w:tcW w:w="960" w:type="dxa"/>
            <w:tcBorders>
              <w:top w:val="nil"/>
              <w:left w:val="nil"/>
              <w:bottom w:val="nil"/>
              <w:right w:val="single" w:sz="4" w:space="0" w:color="auto"/>
            </w:tcBorders>
            <w:shd w:val="clear" w:color="auto" w:fill="auto"/>
            <w:noWrap/>
            <w:vAlign w:val="bottom"/>
            <w:hideMark/>
          </w:tcPr>
          <w:p w:rsidR="00E23DA3" w:rsidRPr="00E23DA3" w:rsidRDefault="00E23DA3" w:rsidP="00E23DA3">
            <w:pPr>
              <w:jc w:val="right"/>
              <w:rPr>
                <w:rFonts w:ascii="Calibri" w:hAnsi="Calibri" w:cs="Calibri"/>
                <w:color w:val="000000"/>
                <w:sz w:val="22"/>
                <w:szCs w:val="22"/>
              </w:rPr>
            </w:pPr>
            <w:r w:rsidRPr="00E23DA3">
              <w:rPr>
                <w:rFonts w:ascii="Calibri" w:hAnsi="Calibri" w:cs="Calibri"/>
                <w:color w:val="000000"/>
                <w:sz w:val="22"/>
                <w:szCs w:val="22"/>
              </w:rPr>
              <w:t>0</w:t>
            </w:r>
          </w:p>
        </w:tc>
        <w:tc>
          <w:tcPr>
            <w:tcW w:w="960" w:type="dxa"/>
            <w:tcBorders>
              <w:top w:val="nil"/>
              <w:left w:val="nil"/>
              <w:bottom w:val="nil"/>
              <w:right w:val="single" w:sz="4" w:space="0" w:color="auto"/>
            </w:tcBorders>
            <w:shd w:val="clear" w:color="auto" w:fill="auto"/>
            <w:noWrap/>
            <w:vAlign w:val="bottom"/>
            <w:hideMark/>
          </w:tcPr>
          <w:p w:rsidR="00E23DA3" w:rsidRPr="00E23DA3" w:rsidRDefault="00E23DA3" w:rsidP="00E23DA3">
            <w:pPr>
              <w:jc w:val="right"/>
              <w:rPr>
                <w:rFonts w:ascii="Calibri" w:hAnsi="Calibri" w:cs="Calibri"/>
                <w:color w:val="000000"/>
                <w:sz w:val="22"/>
                <w:szCs w:val="22"/>
              </w:rPr>
            </w:pPr>
            <w:r w:rsidRPr="00E23DA3">
              <w:rPr>
                <w:rFonts w:ascii="Calibri" w:hAnsi="Calibri" w:cs="Calibri"/>
                <w:color w:val="000000"/>
                <w:sz w:val="22"/>
                <w:szCs w:val="22"/>
              </w:rPr>
              <w:t>0%</w:t>
            </w:r>
          </w:p>
        </w:tc>
      </w:tr>
      <w:tr w:rsidR="00E23DA3" w:rsidRPr="00E23DA3" w:rsidTr="00E23DA3">
        <w:trPr>
          <w:trHeight w:val="300"/>
        </w:trPr>
        <w:tc>
          <w:tcPr>
            <w:tcW w:w="4040" w:type="dxa"/>
            <w:tcBorders>
              <w:top w:val="nil"/>
              <w:left w:val="single" w:sz="4" w:space="0" w:color="auto"/>
              <w:bottom w:val="single" w:sz="4" w:space="0" w:color="auto"/>
              <w:right w:val="single" w:sz="4" w:space="0" w:color="auto"/>
            </w:tcBorders>
            <w:shd w:val="clear" w:color="000000" w:fill="56008C"/>
            <w:noWrap/>
            <w:vAlign w:val="bottom"/>
            <w:hideMark/>
          </w:tcPr>
          <w:p w:rsidR="00E23DA3" w:rsidRPr="00E23DA3" w:rsidRDefault="00E23DA3" w:rsidP="00E23DA3">
            <w:pPr>
              <w:rPr>
                <w:rFonts w:ascii="Calibri" w:hAnsi="Calibri" w:cs="Calibri"/>
                <w:b/>
                <w:bCs/>
                <w:color w:val="FFFFFF"/>
                <w:sz w:val="22"/>
                <w:szCs w:val="22"/>
              </w:rPr>
            </w:pPr>
            <w:r w:rsidRPr="00E23DA3">
              <w:rPr>
                <w:rFonts w:ascii="Calibri" w:hAnsi="Calibri" w:cs="Calibri"/>
                <w:b/>
                <w:bCs/>
                <w:color w:val="FFFFFF"/>
                <w:sz w:val="22"/>
                <w:szCs w:val="22"/>
              </w:rPr>
              <w:t>Total</w:t>
            </w:r>
          </w:p>
        </w:tc>
        <w:tc>
          <w:tcPr>
            <w:tcW w:w="960" w:type="dxa"/>
            <w:tcBorders>
              <w:top w:val="nil"/>
              <w:left w:val="nil"/>
              <w:bottom w:val="single" w:sz="4" w:space="0" w:color="auto"/>
              <w:right w:val="single" w:sz="4" w:space="0" w:color="auto"/>
            </w:tcBorders>
            <w:shd w:val="clear" w:color="000000" w:fill="56008C"/>
            <w:noWrap/>
            <w:vAlign w:val="bottom"/>
            <w:hideMark/>
          </w:tcPr>
          <w:p w:rsidR="00E23DA3" w:rsidRPr="00E23DA3" w:rsidRDefault="00E23DA3" w:rsidP="00E23DA3">
            <w:pPr>
              <w:jc w:val="right"/>
              <w:rPr>
                <w:rFonts w:ascii="Calibri" w:hAnsi="Calibri" w:cs="Calibri"/>
                <w:b/>
                <w:bCs/>
                <w:color w:val="FFFFFF"/>
                <w:sz w:val="22"/>
                <w:szCs w:val="22"/>
              </w:rPr>
            </w:pPr>
            <w:r w:rsidRPr="00E23DA3">
              <w:rPr>
                <w:rFonts w:ascii="Calibri" w:hAnsi="Calibri" w:cs="Calibri"/>
                <w:b/>
                <w:bCs/>
                <w:color w:val="FFFFFF"/>
                <w:sz w:val="22"/>
                <w:szCs w:val="22"/>
              </w:rPr>
              <w:t>594,799</w:t>
            </w:r>
          </w:p>
        </w:tc>
        <w:tc>
          <w:tcPr>
            <w:tcW w:w="960" w:type="dxa"/>
            <w:tcBorders>
              <w:top w:val="nil"/>
              <w:left w:val="nil"/>
              <w:bottom w:val="single" w:sz="4" w:space="0" w:color="auto"/>
              <w:right w:val="single" w:sz="4" w:space="0" w:color="auto"/>
            </w:tcBorders>
            <w:shd w:val="clear" w:color="000000" w:fill="56008C"/>
            <w:noWrap/>
            <w:vAlign w:val="bottom"/>
            <w:hideMark/>
          </w:tcPr>
          <w:p w:rsidR="00E23DA3" w:rsidRPr="00E23DA3" w:rsidRDefault="00E23DA3" w:rsidP="00E23DA3">
            <w:pPr>
              <w:jc w:val="right"/>
              <w:rPr>
                <w:rFonts w:ascii="Calibri" w:hAnsi="Calibri" w:cs="Calibri"/>
                <w:b/>
                <w:bCs/>
                <w:color w:val="FFFFFF"/>
                <w:sz w:val="22"/>
                <w:szCs w:val="22"/>
              </w:rPr>
            </w:pPr>
            <w:r w:rsidRPr="00E23DA3">
              <w:rPr>
                <w:rFonts w:ascii="Calibri" w:hAnsi="Calibri" w:cs="Calibri"/>
                <w:b/>
                <w:bCs/>
                <w:color w:val="FFFFFF"/>
                <w:sz w:val="22"/>
                <w:szCs w:val="22"/>
              </w:rPr>
              <w:t>61,900</w:t>
            </w:r>
          </w:p>
        </w:tc>
        <w:tc>
          <w:tcPr>
            <w:tcW w:w="960" w:type="dxa"/>
            <w:tcBorders>
              <w:top w:val="nil"/>
              <w:left w:val="nil"/>
              <w:bottom w:val="single" w:sz="4" w:space="0" w:color="auto"/>
              <w:right w:val="single" w:sz="4" w:space="0" w:color="auto"/>
            </w:tcBorders>
            <w:shd w:val="clear" w:color="000000" w:fill="56008C"/>
            <w:noWrap/>
            <w:vAlign w:val="bottom"/>
            <w:hideMark/>
          </w:tcPr>
          <w:p w:rsidR="00E23DA3" w:rsidRPr="00E23DA3" w:rsidRDefault="00E23DA3" w:rsidP="00E23DA3">
            <w:pPr>
              <w:rPr>
                <w:rFonts w:ascii="Calibri" w:hAnsi="Calibri" w:cs="Calibri"/>
                <w:b/>
                <w:bCs/>
                <w:color w:val="FFFFFF"/>
                <w:sz w:val="22"/>
                <w:szCs w:val="22"/>
              </w:rPr>
            </w:pPr>
            <w:r w:rsidRPr="00E23DA3">
              <w:rPr>
                <w:rFonts w:ascii="Calibri" w:hAnsi="Calibri" w:cs="Calibri"/>
                <w:b/>
                <w:bCs/>
                <w:color w:val="FFFFFF"/>
                <w:sz w:val="22"/>
                <w:szCs w:val="22"/>
              </w:rPr>
              <w:t> </w:t>
            </w:r>
          </w:p>
        </w:tc>
      </w:tr>
    </w:tbl>
    <w:p w:rsidR="006B7A85" w:rsidRDefault="006B7A85" w:rsidP="006976EC">
      <w:pPr>
        <w:pStyle w:val="ListParagraph"/>
        <w:spacing w:after="200" w:line="276" w:lineRule="auto"/>
        <w:ind w:left="0"/>
        <w:rPr>
          <w:rFonts w:ascii="Arial" w:hAnsi="Arial" w:cs="Arial"/>
          <w:sz w:val="22"/>
          <w:szCs w:val="22"/>
        </w:rPr>
      </w:pPr>
    </w:p>
    <w:p w:rsidR="008704C8" w:rsidRDefault="0024691C" w:rsidP="006976EC">
      <w:pPr>
        <w:pStyle w:val="ListParagraph"/>
        <w:spacing w:after="200" w:line="276" w:lineRule="auto"/>
        <w:ind w:left="0"/>
        <w:rPr>
          <w:rFonts w:ascii="Arial" w:hAnsi="Arial" w:cs="Arial"/>
          <w:sz w:val="22"/>
          <w:szCs w:val="22"/>
        </w:rPr>
      </w:pPr>
      <w:r>
        <w:rPr>
          <w:rFonts w:ascii="Arial" w:hAnsi="Arial" w:cs="Arial"/>
          <w:sz w:val="22"/>
          <w:szCs w:val="22"/>
        </w:rPr>
        <w:t>Full year</w:t>
      </w:r>
      <w:r w:rsidR="00F24686" w:rsidRPr="00F24686">
        <w:rPr>
          <w:rFonts w:ascii="Arial" w:hAnsi="Arial" w:cs="Arial"/>
          <w:sz w:val="22"/>
          <w:szCs w:val="22"/>
        </w:rPr>
        <w:t xml:space="preserve"> staff travel costs for 2014/15 </w:t>
      </w:r>
      <w:r w:rsidR="008F0A10">
        <w:rPr>
          <w:rFonts w:ascii="Arial" w:hAnsi="Arial" w:cs="Arial"/>
          <w:sz w:val="22"/>
          <w:szCs w:val="22"/>
        </w:rPr>
        <w:t xml:space="preserve">compared with the average cost in 2013/14 </w:t>
      </w:r>
      <w:r w:rsidR="00F24686" w:rsidRPr="00F24686">
        <w:rPr>
          <w:rFonts w:ascii="Arial" w:hAnsi="Arial" w:cs="Arial"/>
          <w:sz w:val="22"/>
          <w:szCs w:val="22"/>
        </w:rPr>
        <w:t>have been analysed and ar</w:t>
      </w:r>
      <w:r w:rsidR="00F24686">
        <w:rPr>
          <w:rFonts w:ascii="Arial" w:hAnsi="Arial" w:cs="Arial"/>
          <w:sz w:val="22"/>
          <w:szCs w:val="22"/>
        </w:rPr>
        <w:t>e presented in the graph below.</w:t>
      </w:r>
      <w:r w:rsidR="006B44B5">
        <w:rPr>
          <w:rFonts w:ascii="Arial" w:hAnsi="Arial" w:cs="Arial"/>
          <w:sz w:val="22"/>
          <w:szCs w:val="22"/>
        </w:rPr>
        <w:t xml:space="preserve"> </w:t>
      </w:r>
    </w:p>
    <w:p w:rsidR="008704C8" w:rsidRDefault="00633529" w:rsidP="006976EC">
      <w:pPr>
        <w:pStyle w:val="ListParagraph"/>
        <w:spacing w:after="200" w:line="276" w:lineRule="auto"/>
        <w:ind w:left="0"/>
        <w:rPr>
          <w:rFonts w:ascii="Arial" w:hAnsi="Arial" w:cs="Arial"/>
          <w:b/>
          <w:sz w:val="22"/>
          <w:szCs w:val="22"/>
        </w:rPr>
      </w:pPr>
      <w:r>
        <w:rPr>
          <w:rFonts w:ascii="Arial" w:hAnsi="Arial" w:cs="Arial"/>
          <w:b/>
          <w:noProof/>
          <w:sz w:val="22"/>
          <w:szCs w:val="22"/>
        </w:rPr>
        <w:drawing>
          <wp:inline distT="0" distB="0" distL="0" distR="0" wp14:anchorId="2AC6E673">
            <wp:extent cx="4742815" cy="33407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2815" cy="3340735"/>
                    </a:xfrm>
                    <a:prstGeom prst="rect">
                      <a:avLst/>
                    </a:prstGeom>
                    <a:noFill/>
                  </pic:spPr>
                </pic:pic>
              </a:graphicData>
            </a:graphic>
          </wp:inline>
        </w:drawing>
      </w:r>
    </w:p>
    <w:p w:rsidR="00F433DF" w:rsidRDefault="00F433DF" w:rsidP="006976EC">
      <w:pPr>
        <w:pStyle w:val="ListParagraph"/>
        <w:spacing w:after="200" w:line="276" w:lineRule="auto"/>
        <w:ind w:left="0"/>
        <w:rPr>
          <w:rFonts w:ascii="Arial" w:hAnsi="Arial" w:cs="Arial"/>
          <w:b/>
          <w:sz w:val="22"/>
          <w:szCs w:val="22"/>
        </w:rPr>
      </w:pPr>
    </w:p>
    <w:p w:rsidR="008704C8" w:rsidRDefault="00F24686" w:rsidP="006976EC">
      <w:pPr>
        <w:pStyle w:val="ListParagraph"/>
        <w:spacing w:after="200" w:line="276" w:lineRule="auto"/>
        <w:ind w:left="0"/>
        <w:rPr>
          <w:rFonts w:ascii="Arial" w:hAnsi="Arial" w:cs="Arial"/>
          <w:sz w:val="22"/>
          <w:szCs w:val="22"/>
        </w:rPr>
      </w:pPr>
      <w:r>
        <w:rPr>
          <w:rFonts w:ascii="Arial" w:hAnsi="Arial" w:cs="Arial"/>
          <w:sz w:val="22"/>
          <w:szCs w:val="22"/>
        </w:rPr>
        <w:t xml:space="preserve">The holiday period and the cancellation of a small number of REC meetings will have contributed to the reduction in monthly costs per head along with the likely low levels of travel associated with new starters.  The </w:t>
      </w:r>
      <w:r w:rsidR="008F0A10">
        <w:rPr>
          <w:rFonts w:ascii="Arial" w:hAnsi="Arial" w:cs="Arial"/>
          <w:sz w:val="22"/>
          <w:szCs w:val="22"/>
        </w:rPr>
        <w:t xml:space="preserve">travel costs associated with the very successful </w:t>
      </w:r>
      <w:r>
        <w:rPr>
          <w:rFonts w:ascii="Arial" w:hAnsi="Arial" w:cs="Arial"/>
          <w:sz w:val="22"/>
          <w:szCs w:val="22"/>
        </w:rPr>
        <w:t xml:space="preserve">all staff day during </w:t>
      </w:r>
      <w:r w:rsidR="001B1E04">
        <w:rPr>
          <w:rFonts w:ascii="Arial" w:hAnsi="Arial" w:cs="Arial"/>
          <w:sz w:val="22"/>
          <w:szCs w:val="22"/>
        </w:rPr>
        <w:t xml:space="preserve">November </w:t>
      </w:r>
      <w:r w:rsidR="003D449D">
        <w:rPr>
          <w:rFonts w:ascii="Arial" w:hAnsi="Arial" w:cs="Arial"/>
          <w:sz w:val="22"/>
          <w:szCs w:val="22"/>
        </w:rPr>
        <w:t>explains the November peak</w:t>
      </w:r>
      <w:r w:rsidR="0069728E">
        <w:rPr>
          <w:rFonts w:ascii="Arial" w:hAnsi="Arial" w:cs="Arial"/>
          <w:sz w:val="22"/>
          <w:szCs w:val="22"/>
        </w:rPr>
        <w:t>.</w:t>
      </w:r>
      <w:r w:rsidR="008F0A10">
        <w:rPr>
          <w:rFonts w:ascii="Arial" w:hAnsi="Arial" w:cs="Arial"/>
          <w:sz w:val="22"/>
          <w:szCs w:val="22"/>
        </w:rPr>
        <w:t xml:space="preserve"> </w:t>
      </w:r>
      <w:r w:rsidR="001B1E04">
        <w:rPr>
          <w:rFonts w:ascii="Arial" w:hAnsi="Arial" w:cs="Arial"/>
          <w:sz w:val="22"/>
          <w:szCs w:val="22"/>
        </w:rPr>
        <w:t xml:space="preserve">  However the graph does h</w:t>
      </w:r>
      <w:r w:rsidR="001B1E04" w:rsidRPr="001B1E04">
        <w:rPr>
          <w:rFonts w:ascii="Arial" w:hAnsi="Arial" w:cs="Arial"/>
          <w:sz w:val="22"/>
          <w:szCs w:val="22"/>
        </w:rPr>
        <w:t>ighlight</w:t>
      </w:r>
      <w:r w:rsidR="001B1E04">
        <w:rPr>
          <w:rFonts w:ascii="Arial" w:hAnsi="Arial" w:cs="Arial"/>
          <w:sz w:val="22"/>
          <w:szCs w:val="22"/>
        </w:rPr>
        <w:t xml:space="preserve"> the</w:t>
      </w:r>
      <w:r w:rsidR="001B1E04" w:rsidRPr="001B1E04">
        <w:rPr>
          <w:rFonts w:ascii="Arial" w:hAnsi="Arial" w:cs="Arial"/>
          <w:sz w:val="22"/>
          <w:szCs w:val="22"/>
        </w:rPr>
        <w:t xml:space="preserve"> success and focus on travel costs </w:t>
      </w:r>
      <w:r w:rsidR="001B1E04">
        <w:rPr>
          <w:rFonts w:ascii="Arial" w:hAnsi="Arial" w:cs="Arial"/>
          <w:sz w:val="22"/>
          <w:szCs w:val="22"/>
        </w:rPr>
        <w:t xml:space="preserve">so far </w:t>
      </w:r>
      <w:r w:rsidR="001B1E04" w:rsidRPr="001B1E04">
        <w:rPr>
          <w:rFonts w:ascii="Arial" w:hAnsi="Arial" w:cs="Arial"/>
          <w:sz w:val="22"/>
          <w:szCs w:val="22"/>
        </w:rPr>
        <w:t>with staff and line managers working hard to ensure costs are minimised wherever possible</w:t>
      </w:r>
      <w:r w:rsidR="0024691C">
        <w:rPr>
          <w:rFonts w:ascii="Arial" w:hAnsi="Arial" w:cs="Arial"/>
          <w:sz w:val="22"/>
          <w:szCs w:val="22"/>
        </w:rPr>
        <w:t>, for example use of telephone or video conference calls, tickets booked in advance and on timed trains.</w:t>
      </w:r>
      <w:r w:rsidR="001B1E04" w:rsidRPr="001B1E04">
        <w:rPr>
          <w:rFonts w:ascii="Arial" w:hAnsi="Arial" w:cs="Arial"/>
          <w:sz w:val="22"/>
          <w:szCs w:val="22"/>
        </w:rPr>
        <w:t xml:space="preserve">  There has also been helpful feedback at staff inductions.</w:t>
      </w:r>
    </w:p>
    <w:p w:rsidR="003C483B" w:rsidRDefault="003C483B" w:rsidP="006976EC">
      <w:pPr>
        <w:pStyle w:val="ListParagraph"/>
        <w:spacing w:after="200" w:line="276" w:lineRule="auto"/>
        <w:ind w:left="0"/>
        <w:rPr>
          <w:rFonts w:ascii="Arial" w:hAnsi="Arial" w:cs="Arial"/>
          <w:sz w:val="22"/>
          <w:szCs w:val="22"/>
        </w:rPr>
      </w:pPr>
    </w:p>
    <w:p w:rsidR="006976EC" w:rsidRPr="006976EC" w:rsidRDefault="000C0ACC" w:rsidP="006976EC">
      <w:pPr>
        <w:pStyle w:val="ListParagraph"/>
        <w:spacing w:after="200" w:line="276" w:lineRule="auto"/>
        <w:ind w:left="0"/>
        <w:rPr>
          <w:rFonts w:ascii="Arial" w:hAnsi="Arial" w:cs="Arial"/>
          <w:b/>
          <w:sz w:val="22"/>
          <w:szCs w:val="22"/>
        </w:rPr>
      </w:pPr>
      <w:r>
        <w:rPr>
          <w:rFonts w:ascii="Arial" w:hAnsi="Arial" w:cs="Arial"/>
          <w:b/>
          <w:sz w:val="22"/>
          <w:szCs w:val="22"/>
        </w:rPr>
        <w:t>7</w:t>
      </w:r>
      <w:r w:rsidR="006976EC">
        <w:rPr>
          <w:rFonts w:ascii="Arial" w:hAnsi="Arial" w:cs="Arial"/>
          <w:b/>
          <w:sz w:val="22"/>
          <w:szCs w:val="22"/>
        </w:rPr>
        <w:t xml:space="preserve">. </w:t>
      </w:r>
      <w:r w:rsidR="006976EC" w:rsidRPr="006976EC">
        <w:rPr>
          <w:rFonts w:ascii="Arial" w:hAnsi="Arial" w:cs="Arial"/>
          <w:b/>
          <w:sz w:val="22"/>
          <w:szCs w:val="22"/>
        </w:rPr>
        <w:t>Staff numbers</w:t>
      </w:r>
    </w:p>
    <w:p w:rsidR="00981DAC" w:rsidRDefault="001A2303" w:rsidP="006976EC">
      <w:pPr>
        <w:pStyle w:val="ListParagraph"/>
        <w:spacing w:after="200" w:line="276" w:lineRule="auto"/>
        <w:ind w:left="0"/>
        <w:rPr>
          <w:rFonts w:ascii="Arial" w:hAnsi="Arial" w:cs="Arial"/>
          <w:sz w:val="22"/>
          <w:szCs w:val="22"/>
        </w:rPr>
      </w:pPr>
      <w:r>
        <w:rPr>
          <w:rFonts w:ascii="Arial" w:hAnsi="Arial" w:cs="Arial"/>
          <w:sz w:val="22"/>
          <w:szCs w:val="22"/>
        </w:rPr>
        <w:t>P</w:t>
      </w:r>
      <w:r w:rsidR="00E10273">
        <w:rPr>
          <w:rFonts w:ascii="Arial" w:hAnsi="Arial" w:cs="Arial"/>
          <w:sz w:val="22"/>
          <w:szCs w:val="22"/>
        </w:rPr>
        <w:t>ay repre</w:t>
      </w:r>
      <w:r w:rsidR="00A015C8">
        <w:rPr>
          <w:rFonts w:ascii="Arial" w:hAnsi="Arial" w:cs="Arial"/>
          <w:sz w:val="22"/>
          <w:szCs w:val="22"/>
        </w:rPr>
        <w:t>sents 6</w:t>
      </w:r>
      <w:r w:rsidR="00E23DA3">
        <w:rPr>
          <w:rFonts w:ascii="Arial" w:hAnsi="Arial" w:cs="Arial"/>
          <w:sz w:val="22"/>
          <w:szCs w:val="22"/>
        </w:rPr>
        <w:t>1</w:t>
      </w:r>
      <w:r w:rsidR="006D14D3">
        <w:rPr>
          <w:rFonts w:ascii="Arial" w:hAnsi="Arial" w:cs="Arial"/>
          <w:sz w:val="22"/>
          <w:szCs w:val="22"/>
        </w:rPr>
        <w:t xml:space="preserve">% of the costs incurred </w:t>
      </w:r>
      <w:r w:rsidR="00E31CA4">
        <w:rPr>
          <w:rFonts w:ascii="Arial" w:hAnsi="Arial" w:cs="Arial"/>
          <w:sz w:val="22"/>
          <w:szCs w:val="22"/>
        </w:rPr>
        <w:t>in year</w:t>
      </w:r>
      <w:r w:rsidR="006D14D3">
        <w:rPr>
          <w:rFonts w:ascii="Arial" w:hAnsi="Arial" w:cs="Arial"/>
          <w:sz w:val="22"/>
          <w:szCs w:val="22"/>
        </w:rPr>
        <w:t xml:space="preserve">, the profile of our staff headcount </w:t>
      </w:r>
      <w:proofErr w:type="gramStart"/>
      <w:r w:rsidR="006D14D3">
        <w:rPr>
          <w:rFonts w:ascii="Arial" w:hAnsi="Arial" w:cs="Arial"/>
          <w:sz w:val="22"/>
          <w:szCs w:val="22"/>
        </w:rPr>
        <w:t>is</w:t>
      </w:r>
      <w:proofErr w:type="gramEnd"/>
      <w:r w:rsidR="006D14D3">
        <w:rPr>
          <w:rFonts w:ascii="Arial" w:hAnsi="Arial" w:cs="Arial"/>
          <w:sz w:val="22"/>
          <w:szCs w:val="22"/>
        </w:rPr>
        <w:t xml:space="preserve"> presented below for information</w:t>
      </w:r>
      <w:r w:rsidR="00E10273">
        <w:rPr>
          <w:rFonts w:ascii="Arial" w:hAnsi="Arial" w:cs="Arial"/>
          <w:sz w:val="22"/>
          <w:szCs w:val="22"/>
        </w:rPr>
        <w:t>.  The slight increase in numbers represent</w:t>
      </w:r>
      <w:r w:rsidR="00A454CF">
        <w:rPr>
          <w:rFonts w:ascii="Arial" w:hAnsi="Arial" w:cs="Arial"/>
          <w:sz w:val="22"/>
          <w:szCs w:val="22"/>
        </w:rPr>
        <w:t>s</w:t>
      </w:r>
      <w:r w:rsidR="00E10273">
        <w:rPr>
          <w:rFonts w:ascii="Arial" w:hAnsi="Arial" w:cs="Arial"/>
          <w:sz w:val="22"/>
          <w:szCs w:val="22"/>
        </w:rPr>
        <w:t xml:space="preserve"> the commencement of c</w:t>
      </w:r>
      <w:r w:rsidR="00217F4F">
        <w:rPr>
          <w:rFonts w:ascii="Arial" w:hAnsi="Arial" w:cs="Arial"/>
          <w:sz w:val="22"/>
          <w:szCs w:val="22"/>
        </w:rPr>
        <w:t xml:space="preserve">ontracts relating to Phase 1 </w:t>
      </w:r>
      <w:r w:rsidR="00981DAC">
        <w:rPr>
          <w:rFonts w:ascii="Arial" w:hAnsi="Arial" w:cs="Arial"/>
          <w:sz w:val="22"/>
          <w:szCs w:val="22"/>
        </w:rPr>
        <w:t>to Phase 3</w:t>
      </w:r>
      <w:r w:rsidR="00A015C8">
        <w:rPr>
          <w:rFonts w:ascii="Arial" w:hAnsi="Arial" w:cs="Arial"/>
          <w:sz w:val="22"/>
          <w:szCs w:val="22"/>
        </w:rPr>
        <w:t xml:space="preserve"> </w:t>
      </w:r>
      <w:r w:rsidR="00217F4F">
        <w:rPr>
          <w:rFonts w:ascii="Arial" w:hAnsi="Arial" w:cs="Arial"/>
          <w:sz w:val="22"/>
          <w:szCs w:val="22"/>
        </w:rPr>
        <w:t>of the recruitment outlined in the business case.</w:t>
      </w:r>
      <w:r w:rsidR="00A454CF">
        <w:rPr>
          <w:rFonts w:ascii="Arial" w:hAnsi="Arial" w:cs="Arial"/>
          <w:sz w:val="22"/>
          <w:szCs w:val="22"/>
        </w:rPr>
        <w:t xml:space="preserve">  The graph also shows we are </w:t>
      </w:r>
      <w:r w:rsidR="003C483B">
        <w:rPr>
          <w:rFonts w:ascii="Arial" w:hAnsi="Arial" w:cs="Arial"/>
          <w:sz w:val="22"/>
          <w:szCs w:val="22"/>
        </w:rPr>
        <w:t xml:space="preserve">still </w:t>
      </w:r>
      <w:r w:rsidR="00A454CF">
        <w:rPr>
          <w:rFonts w:ascii="Arial" w:hAnsi="Arial" w:cs="Arial"/>
          <w:sz w:val="22"/>
          <w:szCs w:val="22"/>
        </w:rPr>
        <w:t>some way off the expected complete headcount of circa 2</w:t>
      </w:r>
      <w:r w:rsidR="000776EB">
        <w:rPr>
          <w:rFonts w:ascii="Arial" w:hAnsi="Arial" w:cs="Arial"/>
          <w:sz w:val="22"/>
          <w:szCs w:val="22"/>
        </w:rPr>
        <w:t>2</w:t>
      </w:r>
      <w:r w:rsidR="00A454CF">
        <w:rPr>
          <w:rFonts w:ascii="Arial" w:hAnsi="Arial" w:cs="Arial"/>
          <w:sz w:val="22"/>
          <w:szCs w:val="22"/>
        </w:rPr>
        <w:t>0</w:t>
      </w:r>
      <w:r w:rsidR="008F0A10">
        <w:rPr>
          <w:rFonts w:ascii="Arial" w:hAnsi="Arial" w:cs="Arial"/>
          <w:sz w:val="22"/>
          <w:szCs w:val="22"/>
        </w:rPr>
        <w:t xml:space="preserve"> </w:t>
      </w:r>
      <w:r w:rsidR="000776EB">
        <w:rPr>
          <w:rFonts w:ascii="Arial" w:hAnsi="Arial" w:cs="Arial"/>
          <w:sz w:val="22"/>
          <w:szCs w:val="22"/>
        </w:rPr>
        <w:t xml:space="preserve">(financial plan) </w:t>
      </w:r>
      <w:r w:rsidR="008F0A10">
        <w:rPr>
          <w:rFonts w:ascii="Arial" w:hAnsi="Arial" w:cs="Arial"/>
          <w:sz w:val="22"/>
          <w:szCs w:val="22"/>
        </w:rPr>
        <w:t>and visually helps to partially explain the forecast under spend</w:t>
      </w:r>
      <w:r w:rsidR="00A454CF">
        <w:rPr>
          <w:rFonts w:ascii="Arial" w:hAnsi="Arial" w:cs="Arial"/>
          <w:sz w:val="22"/>
          <w:szCs w:val="22"/>
        </w:rPr>
        <w:t>.</w:t>
      </w:r>
    </w:p>
    <w:p w:rsidR="006D14D3" w:rsidRDefault="006D14D3" w:rsidP="006D14D3">
      <w:pPr>
        <w:pStyle w:val="ListParagraph"/>
        <w:spacing w:after="200" w:line="276" w:lineRule="auto"/>
        <w:rPr>
          <w:rFonts w:ascii="Arial" w:hAnsi="Arial" w:cs="Arial"/>
          <w:b/>
          <w:sz w:val="22"/>
          <w:szCs w:val="22"/>
        </w:rPr>
      </w:pPr>
      <w:r w:rsidRPr="006D14D3">
        <w:rPr>
          <w:rFonts w:ascii="Arial" w:hAnsi="Arial" w:cs="Arial"/>
          <w:b/>
          <w:sz w:val="22"/>
          <w:szCs w:val="22"/>
        </w:rPr>
        <w:t xml:space="preserve">Chart to show actual staff </w:t>
      </w:r>
      <w:r w:rsidR="00A86A0C">
        <w:rPr>
          <w:rFonts w:ascii="Arial" w:hAnsi="Arial" w:cs="Arial"/>
          <w:b/>
          <w:sz w:val="22"/>
          <w:szCs w:val="22"/>
        </w:rPr>
        <w:t xml:space="preserve">headcount </w:t>
      </w:r>
      <w:r w:rsidRPr="006D14D3">
        <w:rPr>
          <w:rFonts w:ascii="Arial" w:hAnsi="Arial" w:cs="Arial"/>
          <w:b/>
          <w:sz w:val="22"/>
          <w:szCs w:val="22"/>
        </w:rPr>
        <w:t>201</w:t>
      </w:r>
      <w:r w:rsidR="006976EC">
        <w:rPr>
          <w:rFonts w:ascii="Arial" w:hAnsi="Arial" w:cs="Arial"/>
          <w:b/>
          <w:sz w:val="22"/>
          <w:szCs w:val="22"/>
        </w:rPr>
        <w:t>4</w:t>
      </w:r>
      <w:r w:rsidRPr="006D14D3">
        <w:rPr>
          <w:rFonts w:ascii="Arial" w:hAnsi="Arial" w:cs="Arial"/>
          <w:b/>
          <w:sz w:val="22"/>
          <w:szCs w:val="22"/>
        </w:rPr>
        <w:t>/1</w:t>
      </w:r>
      <w:r w:rsidR="006976EC">
        <w:rPr>
          <w:rFonts w:ascii="Arial" w:hAnsi="Arial" w:cs="Arial"/>
          <w:b/>
          <w:sz w:val="22"/>
          <w:szCs w:val="22"/>
        </w:rPr>
        <w:t>5</w:t>
      </w:r>
    </w:p>
    <w:p w:rsidR="00B75EB4" w:rsidRDefault="00E23DA3" w:rsidP="006D14D3">
      <w:pPr>
        <w:pStyle w:val="ListParagraph"/>
        <w:spacing w:after="200" w:line="276" w:lineRule="auto"/>
        <w:rPr>
          <w:rFonts w:ascii="Arial" w:hAnsi="Arial" w:cs="Arial"/>
          <w:b/>
          <w:sz w:val="22"/>
          <w:szCs w:val="22"/>
        </w:rPr>
      </w:pPr>
      <w:r>
        <w:rPr>
          <w:rFonts w:ascii="Arial" w:hAnsi="Arial" w:cs="Arial"/>
          <w:b/>
          <w:noProof/>
          <w:sz w:val="22"/>
          <w:szCs w:val="22"/>
        </w:rPr>
        <w:drawing>
          <wp:inline distT="0" distB="0" distL="0" distR="0" wp14:anchorId="168D1D5F">
            <wp:extent cx="4584700" cy="27559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6D14D3" w:rsidRDefault="000C0ACC" w:rsidP="00AC4AAD">
      <w:pPr>
        <w:spacing w:line="276" w:lineRule="auto"/>
        <w:rPr>
          <w:rFonts w:ascii="Arial" w:hAnsi="Arial" w:cs="Arial"/>
          <w:b/>
          <w:sz w:val="22"/>
          <w:szCs w:val="22"/>
        </w:rPr>
      </w:pPr>
      <w:r>
        <w:rPr>
          <w:rFonts w:ascii="Arial" w:hAnsi="Arial" w:cs="Arial"/>
          <w:b/>
          <w:sz w:val="22"/>
          <w:szCs w:val="22"/>
        </w:rPr>
        <w:t>8</w:t>
      </w:r>
      <w:r w:rsidR="00B75EB4">
        <w:rPr>
          <w:rFonts w:ascii="Arial" w:hAnsi="Arial" w:cs="Arial"/>
          <w:b/>
          <w:sz w:val="22"/>
          <w:szCs w:val="22"/>
        </w:rPr>
        <w:t>. Month end faster close</w:t>
      </w:r>
    </w:p>
    <w:p w:rsidR="00F77351" w:rsidRDefault="001A2303" w:rsidP="00716AC4">
      <w:pPr>
        <w:spacing w:after="200" w:line="276" w:lineRule="auto"/>
        <w:rPr>
          <w:rFonts w:ascii="Arial" w:hAnsi="Arial" w:cs="Arial"/>
          <w:sz w:val="22"/>
          <w:szCs w:val="22"/>
        </w:rPr>
      </w:pPr>
      <w:r>
        <w:rPr>
          <w:rFonts w:ascii="Arial" w:hAnsi="Arial" w:cs="Arial"/>
          <w:sz w:val="22"/>
          <w:szCs w:val="22"/>
        </w:rPr>
        <w:t>T</w:t>
      </w:r>
      <w:r w:rsidR="00F273CB">
        <w:rPr>
          <w:rFonts w:ascii="Arial" w:hAnsi="Arial" w:cs="Arial"/>
          <w:sz w:val="22"/>
          <w:szCs w:val="22"/>
        </w:rPr>
        <w:t xml:space="preserve">he </w:t>
      </w:r>
      <w:r w:rsidR="00585FFC">
        <w:rPr>
          <w:rFonts w:ascii="Arial" w:hAnsi="Arial" w:cs="Arial"/>
          <w:sz w:val="22"/>
          <w:szCs w:val="22"/>
        </w:rPr>
        <w:t xml:space="preserve">internal </w:t>
      </w:r>
      <w:r w:rsidR="00F273CB">
        <w:rPr>
          <w:rFonts w:ascii="Arial" w:hAnsi="Arial" w:cs="Arial"/>
          <w:sz w:val="22"/>
          <w:szCs w:val="22"/>
        </w:rPr>
        <w:t xml:space="preserve">finance team </w:t>
      </w:r>
      <w:r w:rsidR="00E23DA3">
        <w:rPr>
          <w:rFonts w:ascii="Arial" w:hAnsi="Arial" w:cs="Arial"/>
          <w:sz w:val="22"/>
          <w:szCs w:val="22"/>
        </w:rPr>
        <w:t>objective to complete the management accounts within 7</w:t>
      </w:r>
      <w:r w:rsidR="00F273CB">
        <w:rPr>
          <w:rFonts w:ascii="Arial" w:hAnsi="Arial" w:cs="Arial"/>
          <w:sz w:val="22"/>
          <w:szCs w:val="22"/>
        </w:rPr>
        <w:t xml:space="preserve"> days</w:t>
      </w:r>
      <w:r w:rsidR="00F77351">
        <w:rPr>
          <w:rFonts w:ascii="Arial" w:hAnsi="Arial" w:cs="Arial"/>
          <w:sz w:val="22"/>
          <w:szCs w:val="22"/>
        </w:rPr>
        <w:t xml:space="preserve"> </w:t>
      </w:r>
      <w:r w:rsidR="00E23DA3">
        <w:rPr>
          <w:rFonts w:ascii="Arial" w:hAnsi="Arial" w:cs="Arial"/>
          <w:sz w:val="22"/>
          <w:szCs w:val="22"/>
        </w:rPr>
        <w:t>for completion of the statutory accounts by the 23</w:t>
      </w:r>
      <w:r w:rsidR="00E23DA3" w:rsidRPr="00E23DA3">
        <w:rPr>
          <w:rFonts w:ascii="Arial" w:hAnsi="Arial" w:cs="Arial"/>
          <w:sz w:val="22"/>
          <w:szCs w:val="22"/>
          <w:vertAlign w:val="superscript"/>
        </w:rPr>
        <w:t>rd</w:t>
      </w:r>
      <w:r w:rsidR="00E23DA3">
        <w:rPr>
          <w:rFonts w:ascii="Arial" w:hAnsi="Arial" w:cs="Arial"/>
          <w:sz w:val="22"/>
          <w:szCs w:val="22"/>
        </w:rPr>
        <w:t xml:space="preserve"> April </w:t>
      </w:r>
      <w:r w:rsidR="00F77351">
        <w:rPr>
          <w:rFonts w:ascii="Arial" w:hAnsi="Arial" w:cs="Arial"/>
          <w:sz w:val="22"/>
          <w:szCs w:val="22"/>
        </w:rPr>
        <w:t xml:space="preserve">was </w:t>
      </w:r>
      <w:r w:rsidR="009B3468">
        <w:rPr>
          <w:rFonts w:ascii="Arial" w:hAnsi="Arial" w:cs="Arial"/>
          <w:sz w:val="22"/>
          <w:szCs w:val="22"/>
        </w:rPr>
        <w:t>achieved.</w:t>
      </w:r>
      <w:r w:rsidR="0069728E">
        <w:rPr>
          <w:rFonts w:ascii="Arial" w:hAnsi="Arial" w:cs="Arial"/>
          <w:sz w:val="22"/>
          <w:szCs w:val="22"/>
        </w:rPr>
        <w:t xml:space="preserve"> </w:t>
      </w:r>
      <w:r w:rsidR="00FA0BBA">
        <w:rPr>
          <w:rFonts w:ascii="Arial" w:hAnsi="Arial" w:cs="Arial"/>
          <w:sz w:val="22"/>
          <w:szCs w:val="22"/>
        </w:rPr>
        <w:t>The team continues to do well against an NHS Average benchmark of 8 days to close month end accounts.</w:t>
      </w:r>
      <w:r w:rsidR="00B45965">
        <w:rPr>
          <w:rFonts w:ascii="Arial" w:hAnsi="Arial" w:cs="Arial"/>
          <w:sz w:val="22"/>
          <w:szCs w:val="22"/>
        </w:rPr>
        <w:t xml:space="preserve"> </w:t>
      </w:r>
      <w:r w:rsidR="00FA0BBA">
        <w:rPr>
          <w:rFonts w:ascii="Arial" w:hAnsi="Arial" w:cs="Arial"/>
          <w:sz w:val="22"/>
          <w:szCs w:val="22"/>
        </w:rPr>
        <w:t xml:space="preserve">  </w:t>
      </w:r>
      <w:r w:rsidR="009B3468">
        <w:rPr>
          <w:rFonts w:ascii="Arial" w:hAnsi="Arial" w:cs="Arial"/>
          <w:sz w:val="22"/>
          <w:szCs w:val="22"/>
        </w:rPr>
        <w:t>Work continues to be</w:t>
      </w:r>
      <w:r w:rsidR="00B45965">
        <w:rPr>
          <w:rFonts w:ascii="Arial" w:hAnsi="Arial" w:cs="Arial"/>
          <w:sz w:val="22"/>
          <w:szCs w:val="22"/>
        </w:rPr>
        <w:t xml:space="preserve"> undertaken to ensure all agreed deadlines for completion of </w:t>
      </w:r>
      <w:r w:rsidR="0069728E">
        <w:rPr>
          <w:rFonts w:ascii="Arial" w:hAnsi="Arial" w:cs="Arial"/>
          <w:sz w:val="22"/>
          <w:szCs w:val="22"/>
        </w:rPr>
        <w:t xml:space="preserve">the </w:t>
      </w:r>
      <w:r w:rsidR="00B45965">
        <w:rPr>
          <w:rFonts w:ascii="Arial" w:hAnsi="Arial" w:cs="Arial"/>
          <w:sz w:val="22"/>
          <w:szCs w:val="22"/>
        </w:rPr>
        <w:t>returns and reports for EMT and Board are achieved</w:t>
      </w:r>
      <w:r w:rsidR="00A454CF">
        <w:rPr>
          <w:rFonts w:ascii="Arial" w:hAnsi="Arial" w:cs="Arial"/>
          <w:sz w:val="22"/>
          <w:szCs w:val="22"/>
        </w:rPr>
        <w:t>.</w:t>
      </w:r>
    </w:p>
    <w:p w:rsidR="00716AC4" w:rsidRPr="006976EC" w:rsidRDefault="000C0ACC" w:rsidP="00716AC4">
      <w:pPr>
        <w:spacing w:after="200" w:line="276" w:lineRule="auto"/>
        <w:rPr>
          <w:rFonts w:ascii="Arial" w:hAnsi="Arial" w:cs="Arial"/>
          <w:b/>
          <w:sz w:val="22"/>
          <w:szCs w:val="22"/>
        </w:rPr>
      </w:pPr>
      <w:r>
        <w:rPr>
          <w:rFonts w:ascii="Arial" w:hAnsi="Arial" w:cs="Arial"/>
          <w:b/>
          <w:sz w:val="22"/>
          <w:szCs w:val="22"/>
        </w:rPr>
        <w:t>9</w:t>
      </w:r>
      <w:r w:rsidR="00716AC4" w:rsidRPr="006976EC">
        <w:rPr>
          <w:rFonts w:ascii="Arial" w:hAnsi="Arial" w:cs="Arial"/>
          <w:b/>
          <w:sz w:val="22"/>
          <w:szCs w:val="22"/>
        </w:rPr>
        <w:t>.  Capital</w:t>
      </w:r>
    </w:p>
    <w:p w:rsidR="004C536A" w:rsidRDefault="00C129B5" w:rsidP="00716AC4">
      <w:pPr>
        <w:spacing w:after="200" w:line="276" w:lineRule="auto"/>
        <w:rPr>
          <w:rFonts w:ascii="Arial" w:hAnsi="Arial" w:cs="Arial"/>
          <w:sz w:val="22"/>
          <w:szCs w:val="22"/>
        </w:rPr>
      </w:pPr>
      <w:r w:rsidRPr="00D36331">
        <w:rPr>
          <w:rFonts w:ascii="Arial" w:hAnsi="Arial" w:cs="Arial"/>
          <w:sz w:val="22"/>
          <w:szCs w:val="22"/>
        </w:rPr>
        <w:t xml:space="preserve">The </w:t>
      </w:r>
      <w:r w:rsidR="004D1652">
        <w:rPr>
          <w:rFonts w:ascii="Arial" w:hAnsi="Arial" w:cs="Arial"/>
          <w:sz w:val="22"/>
          <w:szCs w:val="22"/>
        </w:rPr>
        <w:t>final</w:t>
      </w:r>
      <w:r w:rsidR="00FF2BB3" w:rsidRPr="00D36331">
        <w:rPr>
          <w:rFonts w:ascii="Arial" w:hAnsi="Arial" w:cs="Arial"/>
          <w:sz w:val="22"/>
          <w:szCs w:val="22"/>
        </w:rPr>
        <w:t xml:space="preserve"> capital expenditure position is presented below.</w:t>
      </w:r>
      <w:r w:rsidR="004D1652">
        <w:rPr>
          <w:rFonts w:ascii="Arial" w:hAnsi="Arial" w:cs="Arial"/>
          <w:sz w:val="22"/>
          <w:szCs w:val="22"/>
        </w:rPr>
        <w:t xml:space="preserve">  </w:t>
      </w:r>
      <w:proofErr w:type="gramStart"/>
      <w:r w:rsidR="004D1652">
        <w:rPr>
          <w:rFonts w:ascii="Arial" w:hAnsi="Arial" w:cs="Arial"/>
          <w:sz w:val="22"/>
          <w:szCs w:val="22"/>
        </w:rPr>
        <w:t>The</w:t>
      </w:r>
      <w:r w:rsidR="002472C7">
        <w:rPr>
          <w:rFonts w:ascii="Arial" w:hAnsi="Arial" w:cs="Arial"/>
          <w:sz w:val="22"/>
          <w:szCs w:val="22"/>
        </w:rPr>
        <w:t xml:space="preserve"> underspend</w:t>
      </w:r>
      <w:proofErr w:type="gramEnd"/>
      <w:r w:rsidR="002472C7">
        <w:rPr>
          <w:rFonts w:ascii="Arial" w:hAnsi="Arial" w:cs="Arial"/>
          <w:sz w:val="22"/>
          <w:szCs w:val="22"/>
        </w:rPr>
        <w:t xml:space="preserve"> has increased by £20k against the </w:t>
      </w:r>
      <w:r w:rsidR="004D1652">
        <w:rPr>
          <w:rFonts w:ascii="Arial" w:hAnsi="Arial" w:cs="Arial"/>
          <w:sz w:val="22"/>
          <w:szCs w:val="22"/>
        </w:rPr>
        <w:t>forecast</w:t>
      </w:r>
      <w:r w:rsidR="002472C7">
        <w:rPr>
          <w:rFonts w:ascii="Arial" w:hAnsi="Arial" w:cs="Arial"/>
          <w:sz w:val="22"/>
          <w:szCs w:val="22"/>
        </w:rPr>
        <w:t xml:space="preserve"> underspend</w:t>
      </w:r>
      <w:r w:rsidR="004D1652">
        <w:rPr>
          <w:rFonts w:ascii="Arial" w:hAnsi="Arial" w:cs="Arial"/>
          <w:sz w:val="22"/>
          <w:szCs w:val="22"/>
        </w:rPr>
        <w:t xml:space="preserve"> </w:t>
      </w:r>
      <w:r w:rsidR="002472C7">
        <w:rPr>
          <w:rFonts w:ascii="Arial" w:hAnsi="Arial" w:cs="Arial"/>
          <w:sz w:val="22"/>
          <w:szCs w:val="22"/>
        </w:rPr>
        <w:t xml:space="preserve">reported in </w:t>
      </w:r>
      <w:r w:rsidR="004D1652">
        <w:rPr>
          <w:rFonts w:ascii="Arial" w:hAnsi="Arial" w:cs="Arial"/>
          <w:sz w:val="22"/>
          <w:szCs w:val="22"/>
        </w:rPr>
        <w:t>February</w:t>
      </w:r>
      <w:r w:rsidR="009D1B59">
        <w:rPr>
          <w:rFonts w:ascii="Arial" w:hAnsi="Arial" w:cs="Arial"/>
          <w:sz w:val="22"/>
          <w:szCs w:val="22"/>
        </w:rPr>
        <w:t>.  This movement</w:t>
      </w:r>
      <w:r w:rsidR="004D1652">
        <w:rPr>
          <w:rFonts w:ascii="Arial" w:hAnsi="Arial" w:cs="Arial"/>
          <w:sz w:val="22"/>
          <w:szCs w:val="22"/>
        </w:rPr>
        <w:t xml:space="preserve"> is due to an element of the expenditure being charged to revenue for maintenance work.</w:t>
      </w:r>
      <w:r w:rsidR="00781179">
        <w:rPr>
          <w:rFonts w:ascii="Arial" w:hAnsi="Arial" w:cs="Arial"/>
          <w:sz w:val="22"/>
          <w:szCs w:val="22"/>
        </w:rPr>
        <w:t xml:space="preserve">  </w:t>
      </w:r>
      <w:proofErr w:type="gramStart"/>
      <w:r w:rsidR="00781179">
        <w:rPr>
          <w:rFonts w:ascii="Arial" w:hAnsi="Arial" w:cs="Arial"/>
          <w:sz w:val="22"/>
          <w:szCs w:val="22"/>
        </w:rPr>
        <w:t>Th</w:t>
      </w:r>
      <w:r w:rsidR="004D1652">
        <w:rPr>
          <w:rFonts w:ascii="Arial" w:hAnsi="Arial" w:cs="Arial"/>
          <w:sz w:val="22"/>
          <w:szCs w:val="22"/>
        </w:rPr>
        <w:t>e</w:t>
      </w:r>
      <w:r w:rsidR="00781179">
        <w:rPr>
          <w:rFonts w:ascii="Arial" w:hAnsi="Arial" w:cs="Arial"/>
          <w:sz w:val="22"/>
          <w:szCs w:val="22"/>
        </w:rPr>
        <w:t xml:space="preserve"> underspend</w:t>
      </w:r>
      <w:proofErr w:type="gramEnd"/>
      <w:r w:rsidR="00781179">
        <w:rPr>
          <w:rFonts w:ascii="Arial" w:hAnsi="Arial" w:cs="Arial"/>
          <w:sz w:val="22"/>
          <w:szCs w:val="22"/>
        </w:rPr>
        <w:t xml:space="preserve"> </w:t>
      </w:r>
      <w:r w:rsidR="009D1B59">
        <w:rPr>
          <w:rFonts w:ascii="Arial" w:hAnsi="Arial" w:cs="Arial"/>
          <w:sz w:val="22"/>
          <w:szCs w:val="22"/>
        </w:rPr>
        <w:t xml:space="preserve">on capital </w:t>
      </w:r>
      <w:r w:rsidR="00781179">
        <w:rPr>
          <w:rFonts w:ascii="Arial" w:hAnsi="Arial" w:cs="Arial"/>
          <w:sz w:val="22"/>
          <w:szCs w:val="22"/>
        </w:rPr>
        <w:t xml:space="preserve">is mainly as a result of the work undertaken by the </w:t>
      </w:r>
      <w:r w:rsidR="00872522">
        <w:rPr>
          <w:rFonts w:ascii="Arial" w:hAnsi="Arial" w:cs="Arial"/>
          <w:sz w:val="22"/>
          <w:szCs w:val="22"/>
        </w:rPr>
        <w:t xml:space="preserve">current </w:t>
      </w:r>
      <w:r w:rsidR="00781179">
        <w:rPr>
          <w:rFonts w:ascii="Arial" w:hAnsi="Arial" w:cs="Arial"/>
          <w:sz w:val="22"/>
          <w:szCs w:val="22"/>
        </w:rPr>
        <w:t xml:space="preserve">IS posts being revenue rather than capital as had been </w:t>
      </w:r>
      <w:r w:rsidR="00872522">
        <w:rPr>
          <w:rFonts w:ascii="Arial" w:hAnsi="Arial" w:cs="Arial"/>
          <w:sz w:val="22"/>
          <w:szCs w:val="22"/>
        </w:rPr>
        <w:t xml:space="preserve">initially </w:t>
      </w:r>
      <w:r w:rsidR="00781179">
        <w:rPr>
          <w:rFonts w:ascii="Arial" w:hAnsi="Arial" w:cs="Arial"/>
          <w:sz w:val="22"/>
          <w:szCs w:val="22"/>
        </w:rPr>
        <w:t>anticipated.</w:t>
      </w:r>
      <w:r w:rsidR="000D47A6">
        <w:rPr>
          <w:rFonts w:ascii="Arial" w:hAnsi="Arial" w:cs="Arial"/>
          <w:sz w:val="22"/>
          <w:szCs w:val="22"/>
        </w:rPr>
        <w:t xml:space="preserve"> </w:t>
      </w:r>
      <w:r w:rsidR="00F90317">
        <w:rPr>
          <w:rFonts w:ascii="Arial" w:hAnsi="Arial" w:cs="Arial"/>
          <w:sz w:val="22"/>
          <w:szCs w:val="22"/>
        </w:rPr>
        <w:t xml:space="preserve">The planned </w:t>
      </w:r>
      <w:r w:rsidR="00996C5F">
        <w:rPr>
          <w:rFonts w:ascii="Arial" w:hAnsi="Arial" w:cs="Arial"/>
          <w:sz w:val="22"/>
          <w:szCs w:val="22"/>
        </w:rPr>
        <w:t>capital expenditure</w:t>
      </w:r>
      <w:r w:rsidR="00F90317">
        <w:rPr>
          <w:rFonts w:ascii="Arial" w:hAnsi="Arial" w:cs="Arial"/>
          <w:sz w:val="22"/>
          <w:szCs w:val="22"/>
        </w:rPr>
        <w:t xml:space="preserve"> on Estates</w:t>
      </w:r>
      <w:r w:rsidR="00AD7838">
        <w:rPr>
          <w:rFonts w:ascii="Arial" w:hAnsi="Arial" w:cs="Arial"/>
          <w:sz w:val="22"/>
          <w:szCs w:val="22"/>
        </w:rPr>
        <w:t xml:space="preserve"> </w:t>
      </w:r>
      <w:r w:rsidR="004D1652">
        <w:rPr>
          <w:rFonts w:ascii="Arial" w:hAnsi="Arial" w:cs="Arial"/>
          <w:sz w:val="22"/>
          <w:szCs w:val="22"/>
        </w:rPr>
        <w:t xml:space="preserve">did not </w:t>
      </w:r>
      <w:r w:rsidR="00996C5F">
        <w:rPr>
          <w:rFonts w:ascii="Arial" w:hAnsi="Arial" w:cs="Arial"/>
          <w:sz w:val="22"/>
          <w:szCs w:val="22"/>
        </w:rPr>
        <w:t>materialise this financial year</w:t>
      </w:r>
      <w:r w:rsidR="0047125F">
        <w:rPr>
          <w:rFonts w:ascii="Arial" w:hAnsi="Arial" w:cs="Arial"/>
          <w:sz w:val="22"/>
          <w:szCs w:val="22"/>
        </w:rPr>
        <w:t xml:space="preserve"> due to the later than hoped decision on the Manchester lease exemption case</w:t>
      </w:r>
      <w:r w:rsidR="00996C5F">
        <w:rPr>
          <w:rFonts w:ascii="Arial" w:hAnsi="Arial" w:cs="Arial"/>
          <w:sz w:val="22"/>
          <w:szCs w:val="22"/>
        </w:rPr>
        <w:t>.</w:t>
      </w:r>
      <w:r w:rsidR="00FF2BB3" w:rsidRPr="00D36331">
        <w:rPr>
          <w:rFonts w:ascii="Arial" w:hAnsi="Arial" w:cs="Arial"/>
          <w:sz w:val="22"/>
          <w:szCs w:val="22"/>
        </w:rPr>
        <w:t xml:space="preserve"> </w:t>
      </w:r>
      <w:r w:rsidR="00996C5F">
        <w:rPr>
          <w:rFonts w:ascii="Arial" w:hAnsi="Arial" w:cs="Arial"/>
          <w:sz w:val="22"/>
          <w:szCs w:val="22"/>
        </w:rPr>
        <w:t xml:space="preserve"> </w:t>
      </w:r>
    </w:p>
    <w:p w:rsidR="001F7421" w:rsidRDefault="001F7421" w:rsidP="00716AC4">
      <w:pPr>
        <w:spacing w:after="200" w:line="276" w:lineRule="auto"/>
        <w:rPr>
          <w:rFonts w:ascii="Arial" w:hAnsi="Arial" w:cs="Arial"/>
          <w:sz w:val="22"/>
          <w:szCs w:val="22"/>
        </w:rPr>
      </w:pPr>
    </w:p>
    <w:p w:rsidR="001F7421" w:rsidRPr="001F7421" w:rsidRDefault="001F7421" w:rsidP="00716AC4">
      <w:pPr>
        <w:spacing w:after="200" w:line="276" w:lineRule="auto"/>
        <w:rPr>
          <w:rFonts w:ascii="Arial" w:hAnsi="Arial" w:cs="Arial"/>
          <w:b/>
          <w:color w:val="FF0000"/>
          <w:sz w:val="22"/>
          <w:szCs w:val="22"/>
        </w:rPr>
      </w:pPr>
      <w:r w:rsidRPr="001F7421">
        <w:rPr>
          <w:rFonts w:ascii="Arial" w:hAnsi="Arial" w:cs="Arial"/>
          <w:b/>
          <w:sz w:val="22"/>
          <w:szCs w:val="22"/>
        </w:rPr>
        <w:t>Capital expenditure 214/15</w:t>
      </w:r>
    </w:p>
    <w:tbl>
      <w:tblPr>
        <w:tblW w:w="7300" w:type="dxa"/>
        <w:tblInd w:w="93" w:type="dxa"/>
        <w:tblLook w:val="04A0" w:firstRow="1" w:lastRow="0" w:firstColumn="1" w:lastColumn="0" w:noHBand="0" w:noVBand="1"/>
      </w:tblPr>
      <w:tblGrid>
        <w:gridCol w:w="3821"/>
        <w:gridCol w:w="222"/>
        <w:gridCol w:w="1110"/>
        <w:gridCol w:w="1151"/>
        <w:gridCol w:w="996"/>
      </w:tblGrid>
      <w:tr w:rsidR="00DD2D40" w:rsidRPr="004C536A" w:rsidTr="00E74373">
        <w:trPr>
          <w:trHeight w:val="525"/>
        </w:trPr>
        <w:tc>
          <w:tcPr>
            <w:tcW w:w="3821" w:type="dxa"/>
            <w:vMerge w:val="restart"/>
            <w:tcBorders>
              <w:top w:val="single" w:sz="8" w:space="0" w:color="FFFFFF"/>
              <w:left w:val="single" w:sz="8" w:space="0" w:color="FFFFFF"/>
              <w:bottom w:val="single" w:sz="8" w:space="0" w:color="FFFFFF"/>
              <w:right w:val="single" w:sz="8" w:space="0" w:color="FFFFFF"/>
            </w:tcBorders>
            <w:shd w:val="clear" w:color="000000" w:fill="56008C"/>
            <w:hideMark/>
          </w:tcPr>
          <w:p w:rsidR="00DD2D40" w:rsidRPr="004C536A" w:rsidRDefault="00DD2D40" w:rsidP="000C5914">
            <w:pPr>
              <w:rPr>
                <w:rFonts w:ascii="Arial" w:hAnsi="Arial" w:cs="Arial"/>
                <w:b/>
                <w:bCs/>
                <w:color w:val="FFFFFF"/>
                <w:sz w:val="20"/>
                <w:szCs w:val="20"/>
              </w:rPr>
            </w:pPr>
            <w:r w:rsidRPr="004C536A">
              <w:rPr>
                <w:rFonts w:ascii="Arial" w:hAnsi="Arial" w:cs="Arial"/>
                <w:b/>
                <w:bCs/>
                <w:color w:val="FFFFFF"/>
                <w:sz w:val="20"/>
                <w:szCs w:val="20"/>
              </w:rPr>
              <w:t>Plan initiative</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2014/15 plan</w:t>
            </w:r>
          </w:p>
        </w:tc>
        <w:tc>
          <w:tcPr>
            <w:tcW w:w="1151"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2014/15 actual</w:t>
            </w:r>
          </w:p>
        </w:tc>
        <w:tc>
          <w:tcPr>
            <w:tcW w:w="996"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2014/15 to go</w:t>
            </w:r>
          </w:p>
        </w:tc>
      </w:tr>
      <w:tr w:rsidR="00DD2D40" w:rsidRPr="004C536A" w:rsidTr="00E74373">
        <w:trPr>
          <w:trHeight w:val="315"/>
        </w:trPr>
        <w:tc>
          <w:tcPr>
            <w:tcW w:w="3821" w:type="dxa"/>
            <w:vMerge/>
            <w:tcBorders>
              <w:top w:val="single" w:sz="8" w:space="0" w:color="FFFFFF"/>
              <w:left w:val="single" w:sz="8" w:space="0" w:color="FFFFFF"/>
              <w:bottom w:val="single" w:sz="8" w:space="0" w:color="FFFFFF"/>
              <w:right w:val="single" w:sz="8" w:space="0" w:color="FFFFFF"/>
            </w:tcBorders>
            <w:vAlign w:val="center"/>
            <w:hideMark/>
          </w:tcPr>
          <w:p w:rsidR="00DD2D40" w:rsidRPr="004C536A" w:rsidRDefault="00DD2D40" w:rsidP="000C5914">
            <w:pPr>
              <w:rPr>
                <w:rFonts w:ascii="Arial" w:hAnsi="Arial" w:cs="Arial"/>
                <w:b/>
                <w:bCs/>
                <w:color w:val="FFFFFF"/>
                <w:sz w:val="20"/>
                <w:szCs w:val="20"/>
              </w:rPr>
            </w:pP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c>
          <w:tcPr>
            <w:tcW w:w="1151"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c>
          <w:tcPr>
            <w:tcW w:w="996"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DD2D40" w:rsidP="000C5914">
            <w:pPr>
              <w:rPr>
                <w:rFonts w:ascii="Arial" w:hAnsi="Arial" w:cs="Arial"/>
                <w:color w:val="000000"/>
                <w:sz w:val="18"/>
                <w:szCs w:val="18"/>
              </w:rPr>
            </w:pPr>
            <w:r w:rsidRPr="004C536A">
              <w:rPr>
                <w:rFonts w:ascii="Arial" w:hAnsi="Arial" w:cs="Arial"/>
                <w:color w:val="000000"/>
                <w:sz w:val="18"/>
                <w:szCs w:val="18"/>
              </w:rPr>
              <w:t>New generation of IRAS</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C129B5" w:rsidP="000C5914">
            <w:pPr>
              <w:jc w:val="center"/>
              <w:rPr>
                <w:rFonts w:ascii="Arial" w:hAnsi="Arial" w:cs="Arial"/>
                <w:color w:val="000000"/>
                <w:sz w:val="18"/>
                <w:szCs w:val="18"/>
              </w:rPr>
            </w:pPr>
            <w:r>
              <w:rPr>
                <w:rFonts w:ascii="Arial" w:hAnsi="Arial" w:cs="Arial"/>
                <w:color w:val="000000"/>
                <w:sz w:val="18"/>
                <w:szCs w:val="18"/>
              </w:rPr>
              <w:t>351</w:t>
            </w:r>
            <w:r w:rsidR="00DD2D40">
              <w:rPr>
                <w:rFonts w:ascii="Arial" w:hAnsi="Arial" w:cs="Arial"/>
                <w:color w:val="000000"/>
                <w:sz w:val="18"/>
                <w:szCs w:val="18"/>
              </w:rPr>
              <w:t>.00</w:t>
            </w:r>
          </w:p>
        </w:tc>
        <w:tc>
          <w:tcPr>
            <w:tcW w:w="1151" w:type="dxa"/>
            <w:tcBorders>
              <w:top w:val="nil"/>
              <w:left w:val="nil"/>
              <w:bottom w:val="single" w:sz="8" w:space="0" w:color="FFFFFF"/>
              <w:right w:val="single" w:sz="8" w:space="0" w:color="FFFFFF"/>
            </w:tcBorders>
            <w:shd w:val="clear" w:color="000000" w:fill="E28C05"/>
            <w:vAlign w:val="bottom"/>
            <w:hideMark/>
          </w:tcPr>
          <w:p w:rsidR="00DD2D40" w:rsidRPr="004C536A" w:rsidRDefault="0006732B" w:rsidP="000C5914">
            <w:pPr>
              <w:jc w:val="center"/>
              <w:rPr>
                <w:rFonts w:ascii="Arial" w:hAnsi="Arial" w:cs="Arial"/>
                <w:color w:val="000000"/>
                <w:sz w:val="18"/>
                <w:szCs w:val="18"/>
              </w:rPr>
            </w:pPr>
            <w:r>
              <w:rPr>
                <w:rFonts w:ascii="Arial" w:hAnsi="Arial" w:cs="Arial"/>
                <w:color w:val="000000"/>
                <w:sz w:val="18"/>
                <w:szCs w:val="18"/>
              </w:rPr>
              <w:t>221.68</w:t>
            </w:r>
          </w:p>
        </w:tc>
        <w:tc>
          <w:tcPr>
            <w:tcW w:w="996" w:type="dxa"/>
            <w:tcBorders>
              <w:top w:val="nil"/>
              <w:left w:val="nil"/>
              <w:bottom w:val="single" w:sz="8" w:space="0" w:color="FFFFFF"/>
              <w:right w:val="single" w:sz="8" w:space="0" w:color="FFFFFF"/>
            </w:tcBorders>
            <w:shd w:val="clear" w:color="000000" w:fill="E28C05"/>
            <w:vAlign w:val="bottom"/>
            <w:hideMark/>
          </w:tcPr>
          <w:p w:rsidR="00DD2D40" w:rsidRPr="004C536A" w:rsidRDefault="0006732B" w:rsidP="000C5914">
            <w:pPr>
              <w:jc w:val="center"/>
              <w:rPr>
                <w:rFonts w:ascii="Arial" w:hAnsi="Arial" w:cs="Arial"/>
                <w:color w:val="000000"/>
                <w:sz w:val="18"/>
                <w:szCs w:val="18"/>
              </w:rPr>
            </w:pPr>
            <w:r>
              <w:rPr>
                <w:rFonts w:ascii="Arial" w:hAnsi="Arial" w:cs="Arial"/>
                <w:color w:val="000000"/>
                <w:sz w:val="18"/>
                <w:szCs w:val="18"/>
              </w:rPr>
              <w:t>129.32</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DD2D40" w:rsidP="000C5914">
            <w:pPr>
              <w:rPr>
                <w:rFonts w:ascii="Arial" w:hAnsi="Arial" w:cs="Arial"/>
                <w:color w:val="000000"/>
                <w:sz w:val="18"/>
                <w:szCs w:val="18"/>
              </w:rPr>
            </w:pPr>
            <w:r w:rsidRPr="004C536A">
              <w:rPr>
                <w:rFonts w:ascii="Arial" w:hAnsi="Arial" w:cs="Arial"/>
                <w:color w:val="000000"/>
                <w:sz w:val="18"/>
                <w:szCs w:val="18"/>
              </w:rPr>
              <w:t>HARP</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DD2D40" w:rsidP="000C5914">
            <w:pPr>
              <w:jc w:val="center"/>
              <w:rPr>
                <w:rFonts w:ascii="Arial" w:hAnsi="Arial" w:cs="Arial"/>
                <w:color w:val="000000"/>
                <w:sz w:val="18"/>
                <w:szCs w:val="18"/>
              </w:rPr>
            </w:pPr>
            <w:r>
              <w:rPr>
                <w:rFonts w:ascii="Arial" w:hAnsi="Arial" w:cs="Arial"/>
                <w:color w:val="000000"/>
                <w:sz w:val="18"/>
                <w:szCs w:val="18"/>
              </w:rPr>
              <w:t>143.40</w:t>
            </w:r>
          </w:p>
        </w:tc>
        <w:tc>
          <w:tcPr>
            <w:tcW w:w="1151" w:type="dxa"/>
            <w:tcBorders>
              <w:top w:val="nil"/>
              <w:left w:val="nil"/>
              <w:bottom w:val="single" w:sz="8" w:space="0" w:color="FFFFFF"/>
              <w:right w:val="single" w:sz="8" w:space="0" w:color="FFFFFF"/>
            </w:tcBorders>
            <w:shd w:val="clear" w:color="000000" w:fill="E28C05"/>
            <w:vAlign w:val="bottom"/>
            <w:hideMark/>
          </w:tcPr>
          <w:p w:rsidR="00DD2D40" w:rsidRPr="004C536A" w:rsidRDefault="0006732B" w:rsidP="000C5914">
            <w:pPr>
              <w:jc w:val="center"/>
              <w:rPr>
                <w:rFonts w:ascii="Arial" w:hAnsi="Arial" w:cs="Arial"/>
                <w:color w:val="000000"/>
                <w:sz w:val="18"/>
                <w:szCs w:val="18"/>
              </w:rPr>
            </w:pPr>
            <w:r>
              <w:rPr>
                <w:rFonts w:ascii="Arial" w:hAnsi="Arial" w:cs="Arial"/>
                <w:color w:val="000000"/>
                <w:sz w:val="18"/>
                <w:szCs w:val="18"/>
              </w:rPr>
              <w:t>113.29</w:t>
            </w:r>
          </w:p>
        </w:tc>
        <w:tc>
          <w:tcPr>
            <w:tcW w:w="996" w:type="dxa"/>
            <w:tcBorders>
              <w:top w:val="nil"/>
              <w:left w:val="nil"/>
              <w:bottom w:val="single" w:sz="8" w:space="0" w:color="FFFFFF"/>
              <w:right w:val="single" w:sz="8" w:space="0" w:color="FFFFFF"/>
            </w:tcBorders>
            <w:shd w:val="clear" w:color="000000" w:fill="E28C05"/>
            <w:vAlign w:val="bottom"/>
            <w:hideMark/>
          </w:tcPr>
          <w:p w:rsidR="00DD2D40" w:rsidRPr="004C536A" w:rsidRDefault="0006732B" w:rsidP="000C5914">
            <w:pPr>
              <w:jc w:val="center"/>
              <w:rPr>
                <w:rFonts w:ascii="Arial" w:hAnsi="Arial" w:cs="Arial"/>
                <w:color w:val="000000"/>
                <w:sz w:val="18"/>
                <w:szCs w:val="18"/>
              </w:rPr>
            </w:pPr>
            <w:r>
              <w:rPr>
                <w:rFonts w:ascii="Arial" w:hAnsi="Arial" w:cs="Arial"/>
                <w:color w:val="000000"/>
                <w:sz w:val="18"/>
                <w:szCs w:val="18"/>
              </w:rPr>
              <w:t>30.11</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tcPr>
          <w:p w:rsidR="00DD2D40" w:rsidRPr="004C536A" w:rsidRDefault="00DD2D40" w:rsidP="000C5914">
            <w:pPr>
              <w:rPr>
                <w:rFonts w:ascii="Arial" w:hAnsi="Arial" w:cs="Arial"/>
                <w:color w:val="000000"/>
                <w:sz w:val="18"/>
                <w:szCs w:val="18"/>
              </w:rPr>
            </w:pPr>
            <w:r w:rsidRPr="004C536A">
              <w:rPr>
                <w:rFonts w:ascii="Arial" w:hAnsi="Arial" w:cs="Arial"/>
                <w:color w:val="000000"/>
                <w:sz w:val="18"/>
                <w:szCs w:val="18"/>
              </w:rPr>
              <w:t>TOPS</w:t>
            </w:r>
          </w:p>
        </w:tc>
        <w:tc>
          <w:tcPr>
            <w:tcW w:w="222" w:type="dxa"/>
            <w:tcBorders>
              <w:top w:val="nil"/>
              <w:left w:val="nil"/>
              <w:bottom w:val="nil"/>
              <w:right w:val="nil"/>
            </w:tcBorders>
            <w:shd w:val="clear" w:color="auto" w:fill="auto"/>
            <w:noWrap/>
            <w:vAlign w:val="bottom"/>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tcPr>
          <w:p w:rsidR="00DD2D40" w:rsidRPr="004C536A" w:rsidRDefault="00DD2D40" w:rsidP="000C5914">
            <w:pPr>
              <w:jc w:val="center"/>
              <w:rPr>
                <w:rFonts w:ascii="Arial" w:hAnsi="Arial" w:cs="Arial"/>
                <w:color w:val="000000"/>
                <w:sz w:val="18"/>
                <w:szCs w:val="18"/>
              </w:rPr>
            </w:pPr>
            <w:r>
              <w:rPr>
                <w:rFonts w:ascii="Arial" w:hAnsi="Arial" w:cs="Arial"/>
                <w:color w:val="000000"/>
                <w:sz w:val="18"/>
                <w:szCs w:val="18"/>
              </w:rPr>
              <w:t>7.50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DD2D40" w:rsidP="000C5914">
            <w:pPr>
              <w:jc w:val="center"/>
              <w:rPr>
                <w:rFonts w:ascii="Arial" w:hAnsi="Arial" w:cs="Arial"/>
                <w:color w:val="000000"/>
                <w:sz w:val="18"/>
                <w:szCs w:val="18"/>
              </w:rPr>
            </w:pPr>
            <w:r w:rsidRPr="004C536A">
              <w:rPr>
                <w:rFonts w:ascii="Arial" w:hAnsi="Arial" w:cs="Arial"/>
                <w:color w:val="000000"/>
                <w:sz w:val="18"/>
                <w:szCs w:val="18"/>
              </w:rPr>
              <w:t>0.00</w:t>
            </w:r>
          </w:p>
        </w:tc>
        <w:tc>
          <w:tcPr>
            <w:tcW w:w="996" w:type="dxa"/>
            <w:tcBorders>
              <w:top w:val="nil"/>
              <w:left w:val="nil"/>
              <w:bottom w:val="single" w:sz="8" w:space="0" w:color="FFFFFF"/>
              <w:right w:val="single" w:sz="8" w:space="0" w:color="FFFFFF"/>
            </w:tcBorders>
            <w:shd w:val="clear" w:color="000000" w:fill="E28C05"/>
            <w:vAlign w:val="bottom"/>
          </w:tcPr>
          <w:p w:rsidR="00DD2D40" w:rsidRPr="004C536A" w:rsidRDefault="00DD2D40" w:rsidP="000C5914">
            <w:pPr>
              <w:jc w:val="center"/>
              <w:rPr>
                <w:rFonts w:ascii="Arial" w:hAnsi="Arial" w:cs="Arial"/>
                <w:color w:val="000000"/>
                <w:sz w:val="18"/>
                <w:szCs w:val="18"/>
              </w:rPr>
            </w:pPr>
            <w:r>
              <w:rPr>
                <w:rFonts w:ascii="Arial" w:hAnsi="Arial" w:cs="Arial"/>
                <w:color w:val="000000"/>
                <w:sz w:val="18"/>
                <w:szCs w:val="18"/>
              </w:rPr>
              <w:t>7.50</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tcPr>
          <w:p w:rsidR="00DD2D40" w:rsidRPr="004C536A" w:rsidRDefault="00DD2D40" w:rsidP="000C5914">
            <w:pPr>
              <w:rPr>
                <w:rFonts w:ascii="Arial" w:hAnsi="Arial" w:cs="Arial"/>
                <w:color w:val="000000"/>
                <w:sz w:val="18"/>
                <w:szCs w:val="18"/>
              </w:rPr>
            </w:pPr>
            <w:r>
              <w:rPr>
                <w:rFonts w:ascii="Arial" w:hAnsi="Arial" w:cs="Arial"/>
                <w:color w:val="000000"/>
                <w:sz w:val="18"/>
                <w:szCs w:val="18"/>
              </w:rPr>
              <w:t>Estates requirements related</w:t>
            </w:r>
          </w:p>
        </w:tc>
        <w:tc>
          <w:tcPr>
            <w:tcW w:w="222" w:type="dxa"/>
            <w:tcBorders>
              <w:top w:val="nil"/>
              <w:left w:val="nil"/>
              <w:bottom w:val="nil"/>
              <w:right w:val="nil"/>
            </w:tcBorders>
            <w:shd w:val="clear" w:color="auto" w:fill="auto"/>
            <w:noWrap/>
            <w:vAlign w:val="bottom"/>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tcPr>
          <w:p w:rsidR="00DD2D40" w:rsidRPr="004C536A" w:rsidRDefault="00DD2D40" w:rsidP="000C5914">
            <w:pPr>
              <w:jc w:val="center"/>
              <w:rPr>
                <w:rFonts w:ascii="Arial" w:hAnsi="Arial" w:cs="Arial"/>
                <w:color w:val="000000"/>
                <w:sz w:val="18"/>
                <w:szCs w:val="18"/>
              </w:rPr>
            </w:pPr>
            <w:r>
              <w:rPr>
                <w:rFonts w:ascii="Arial" w:hAnsi="Arial" w:cs="Arial"/>
                <w:color w:val="000000"/>
                <w:sz w:val="18"/>
                <w:szCs w:val="18"/>
              </w:rPr>
              <w:t>40.10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DD2D40" w:rsidP="000C5914">
            <w:pPr>
              <w:jc w:val="center"/>
              <w:rPr>
                <w:rFonts w:ascii="Arial" w:hAnsi="Arial" w:cs="Arial"/>
                <w:color w:val="000000"/>
                <w:sz w:val="18"/>
                <w:szCs w:val="18"/>
              </w:rPr>
            </w:pPr>
            <w:r>
              <w:rPr>
                <w:rFonts w:ascii="Arial" w:hAnsi="Arial" w:cs="Arial"/>
                <w:color w:val="000000"/>
                <w:sz w:val="18"/>
                <w:szCs w:val="18"/>
              </w:rPr>
              <w:t>0.00</w:t>
            </w:r>
          </w:p>
        </w:tc>
        <w:tc>
          <w:tcPr>
            <w:tcW w:w="996" w:type="dxa"/>
            <w:tcBorders>
              <w:top w:val="nil"/>
              <w:left w:val="nil"/>
              <w:bottom w:val="single" w:sz="8" w:space="0" w:color="FFFFFF"/>
              <w:right w:val="single" w:sz="8" w:space="0" w:color="FFFFFF"/>
            </w:tcBorders>
            <w:shd w:val="clear" w:color="000000" w:fill="E28C05"/>
            <w:vAlign w:val="bottom"/>
          </w:tcPr>
          <w:p w:rsidR="00DD2D40" w:rsidRPr="004C536A" w:rsidRDefault="00DD2D40" w:rsidP="000C5914">
            <w:pPr>
              <w:jc w:val="center"/>
              <w:rPr>
                <w:rFonts w:ascii="Arial" w:hAnsi="Arial" w:cs="Arial"/>
                <w:color w:val="000000"/>
                <w:sz w:val="18"/>
                <w:szCs w:val="18"/>
              </w:rPr>
            </w:pPr>
            <w:r>
              <w:rPr>
                <w:rFonts w:ascii="Arial" w:hAnsi="Arial" w:cs="Arial"/>
                <w:color w:val="000000"/>
                <w:sz w:val="18"/>
                <w:szCs w:val="18"/>
              </w:rPr>
              <w:t>40.10</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DD2D40" w:rsidP="000C5914">
            <w:pPr>
              <w:rPr>
                <w:rFonts w:ascii="Arial" w:hAnsi="Arial" w:cs="Arial"/>
                <w:color w:val="000000"/>
                <w:sz w:val="18"/>
                <w:szCs w:val="18"/>
              </w:rPr>
            </w:pPr>
            <w:r w:rsidRPr="004C536A">
              <w:rPr>
                <w:rFonts w:ascii="Arial" w:hAnsi="Arial" w:cs="Arial"/>
                <w:color w:val="000000"/>
                <w:sz w:val="18"/>
                <w:szCs w:val="18"/>
              </w:rPr>
              <w:t>Video conferencing</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C129B5" w:rsidP="000C5914">
            <w:pPr>
              <w:jc w:val="center"/>
              <w:rPr>
                <w:rFonts w:ascii="Arial" w:hAnsi="Arial" w:cs="Arial"/>
                <w:color w:val="000000"/>
                <w:sz w:val="18"/>
                <w:szCs w:val="18"/>
              </w:rPr>
            </w:pPr>
            <w:r>
              <w:rPr>
                <w:rFonts w:ascii="Arial" w:hAnsi="Arial" w:cs="Arial"/>
                <w:color w:val="000000"/>
                <w:sz w:val="18"/>
                <w:szCs w:val="18"/>
              </w:rPr>
              <w:t>8</w:t>
            </w:r>
            <w:r w:rsidR="00DD2D40" w:rsidRPr="004C536A">
              <w:rPr>
                <w:rFonts w:ascii="Arial" w:hAnsi="Arial" w:cs="Arial"/>
                <w:color w:val="000000"/>
                <w:sz w:val="18"/>
                <w:szCs w:val="18"/>
              </w:rPr>
              <w:t>.00</w:t>
            </w:r>
          </w:p>
        </w:tc>
        <w:tc>
          <w:tcPr>
            <w:tcW w:w="1151" w:type="dxa"/>
            <w:tcBorders>
              <w:top w:val="nil"/>
              <w:left w:val="nil"/>
              <w:bottom w:val="single" w:sz="8" w:space="0" w:color="FFFFFF"/>
              <w:right w:val="single" w:sz="8" w:space="0" w:color="FFFFFF"/>
            </w:tcBorders>
            <w:shd w:val="clear" w:color="000000" w:fill="E28C05"/>
            <w:vAlign w:val="bottom"/>
            <w:hideMark/>
          </w:tcPr>
          <w:p w:rsidR="00DD2D40" w:rsidRPr="004C536A" w:rsidRDefault="00CD540D" w:rsidP="000C5914">
            <w:pPr>
              <w:jc w:val="center"/>
              <w:rPr>
                <w:rFonts w:ascii="Arial" w:hAnsi="Arial" w:cs="Arial"/>
                <w:color w:val="000000"/>
                <w:sz w:val="18"/>
                <w:szCs w:val="18"/>
              </w:rPr>
            </w:pPr>
            <w:r>
              <w:rPr>
                <w:rFonts w:ascii="Arial" w:hAnsi="Arial" w:cs="Arial"/>
                <w:color w:val="000000"/>
                <w:sz w:val="18"/>
                <w:szCs w:val="18"/>
              </w:rPr>
              <w:t>7.80</w:t>
            </w:r>
          </w:p>
        </w:tc>
        <w:tc>
          <w:tcPr>
            <w:tcW w:w="996" w:type="dxa"/>
            <w:tcBorders>
              <w:top w:val="nil"/>
              <w:left w:val="nil"/>
              <w:bottom w:val="single" w:sz="8" w:space="0" w:color="FFFFFF"/>
              <w:right w:val="single" w:sz="8" w:space="0" w:color="FFFFFF"/>
            </w:tcBorders>
            <w:shd w:val="clear" w:color="000000" w:fill="E28C05"/>
            <w:vAlign w:val="bottom"/>
            <w:hideMark/>
          </w:tcPr>
          <w:p w:rsidR="00DD2D40" w:rsidRPr="004C536A" w:rsidRDefault="00C129B5" w:rsidP="000C5914">
            <w:pPr>
              <w:jc w:val="center"/>
              <w:rPr>
                <w:rFonts w:ascii="Arial" w:hAnsi="Arial" w:cs="Arial"/>
                <w:color w:val="000000"/>
                <w:sz w:val="18"/>
                <w:szCs w:val="18"/>
              </w:rPr>
            </w:pPr>
            <w:r>
              <w:rPr>
                <w:rFonts w:ascii="Arial" w:hAnsi="Arial" w:cs="Arial"/>
                <w:color w:val="000000"/>
                <w:sz w:val="18"/>
                <w:szCs w:val="18"/>
              </w:rPr>
              <w:t>0.20</w:t>
            </w:r>
          </w:p>
        </w:tc>
      </w:tr>
      <w:tr w:rsidR="00DD2D40" w:rsidRPr="004C536A" w:rsidTr="00E74373">
        <w:trPr>
          <w:trHeight w:val="300"/>
        </w:trPr>
        <w:tc>
          <w:tcPr>
            <w:tcW w:w="3821" w:type="dxa"/>
            <w:tcBorders>
              <w:top w:val="nil"/>
              <w:left w:val="single" w:sz="8" w:space="0" w:color="FFFFFF"/>
              <w:bottom w:val="nil"/>
              <w:right w:val="single" w:sz="8" w:space="0" w:color="FFFFFF"/>
            </w:tcBorders>
            <w:shd w:val="clear" w:color="000000" w:fill="56008C"/>
            <w:hideMark/>
          </w:tcPr>
          <w:p w:rsidR="00DD2D40" w:rsidRPr="004C536A" w:rsidRDefault="00DD2D40" w:rsidP="000C5914">
            <w:pPr>
              <w:rPr>
                <w:rFonts w:ascii="Arial" w:hAnsi="Arial" w:cs="Arial"/>
                <w:b/>
                <w:bCs/>
                <w:color w:val="FFFFFF"/>
                <w:sz w:val="18"/>
                <w:szCs w:val="18"/>
              </w:rPr>
            </w:pPr>
            <w:r w:rsidRPr="004C536A">
              <w:rPr>
                <w:rFonts w:ascii="Arial" w:hAnsi="Arial" w:cs="Arial"/>
                <w:b/>
                <w:bCs/>
                <w:color w:val="FFFFFF"/>
                <w:sz w:val="18"/>
                <w:szCs w:val="18"/>
              </w:rPr>
              <w:t>TOTAL</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single" w:sz="8" w:space="0" w:color="FFFFFF"/>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18"/>
                <w:szCs w:val="18"/>
              </w:rPr>
            </w:pPr>
            <w:r w:rsidRPr="004C536A">
              <w:rPr>
                <w:rFonts w:ascii="Arial" w:hAnsi="Arial" w:cs="Arial"/>
                <w:b/>
                <w:bCs/>
                <w:color w:val="FFFFFF"/>
                <w:sz w:val="18"/>
                <w:szCs w:val="18"/>
              </w:rPr>
              <w:t>550.00</w:t>
            </w:r>
          </w:p>
        </w:tc>
        <w:tc>
          <w:tcPr>
            <w:tcW w:w="1151" w:type="dxa"/>
            <w:tcBorders>
              <w:top w:val="nil"/>
              <w:left w:val="nil"/>
              <w:bottom w:val="nil"/>
              <w:right w:val="single" w:sz="8" w:space="0" w:color="FFFFFF"/>
            </w:tcBorders>
            <w:shd w:val="clear" w:color="000000" w:fill="56008C"/>
            <w:vAlign w:val="bottom"/>
          </w:tcPr>
          <w:p w:rsidR="00DD2D40" w:rsidRPr="004C536A" w:rsidRDefault="0006732B" w:rsidP="000C5914">
            <w:pPr>
              <w:jc w:val="center"/>
              <w:rPr>
                <w:rFonts w:ascii="Arial" w:hAnsi="Arial" w:cs="Arial"/>
                <w:b/>
                <w:bCs/>
                <w:color w:val="FFFFFF"/>
                <w:sz w:val="18"/>
                <w:szCs w:val="18"/>
              </w:rPr>
            </w:pPr>
            <w:r>
              <w:rPr>
                <w:rFonts w:ascii="Arial" w:hAnsi="Arial" w:cs="Arial"/>
                <w:b/>
                <w:bCs/>
                <w:color w:val="FFFFFF"/>
                <w:sz w:val="18"/>
                <w:szCs w:val="18"/>
              </w:rPr>
              <w:t>342.77</w:t>
            </w:r>
          </w:p>
        </w:tc>
        <w:tc>
          <w:tcPr>
            <w:tcW w:w="996" w:type="dxa"/>
            <w:tcBorders>
              <w:top w:val="nil"/>
              <w:left w:val="nil"/>
              <w:bottom w:val="nil"/>
              <w:right w:val="single" w:sz="8" w:space="0" w:color="FFFFFF"/>
            </w:tcBorders>
            <w:shd w:val="clear" w:color="000000" w:fill="56008C"/>
            <w:vAlign w:val="bottom"/>
            <w:hideMark/>
          </w:tcPr>
          <w:p w:rsidR="00DD2D40" w:rsidRPr="004C536A" w:rsidRDefault="0006732B" w:rsidP="000C5914">
            <w:pPr>
              <w:jc w:val="center"/>
              <w:rPr>
                <w:rFonts w:ascii="Arial" w:hAnsi="Arial" w:cs="Arial"/>
                <w:b/>
                <w:bCs/>
                <w:color w:val="FFFFFF"/>
                <w:sz w:val="18"/>
                <w:szCs w:val="18"/>
              </w:rPr>
            </w:pPr>
            <w:r>
              <w:rPr>
                <w:rFonts w:ascii="Arial" w:hAnsi="Arial" w:cs="Arial"/>
                <w:b/>
                <w:bCs/>
                <w:color w:val="FFFFFF"/>
                <w:sz w:val="18"/>
                <w:szCs w:val="18"/>
              </w:rPr>
              <w:t>207.23</w:t>
            </w:r>
          </w:p>
        </w:tc>
      </w:tr>
    </w:tbl>
    <w:p w:rsidR="008A7B94" w:rsidRDefault="008A7B94" w:rsidP="00716AC4">
      <w:pPr>
        <w:spacing w:after="200" w:line="276" w:lineRule="auto"/>
        <w:rPr>
          <w:rFonts w:ascii="Arial" w:hAnsi="Arial" w:cs="Arial"/>
          <w:b/>
          <w:sz w:val="22"/>
          <w:szCs w:val="22"/>
        </w:rPr>
      </w:pPr>
    </w:p>
    <w:p w:rsidR="00716AC4" w:rsidRPr="00C20315" w:rsidRDefault="000C0ACC" w:rsidP="00716AC4">
      <w:pPr>
        <w:spacing w:after="200" w:line="276" w:lineRule="auto"/>
        <w:rPr>
          <w:rFonts w:ascii="Arial" w:hAnsi="Arial" w:cs="Arial"/>
          <w:b/>
          <w:sz w:val="22"/>
          <w:szCs w:val="22"/>
        </w:rPr>
      </w:pPr>
      <w:r>
        <w:rPr>
          <w:rFonts w:ascii="Arial" w:hAnsi="Arial" w:cs="Arial"/>
          <w:b/>
          <w:sz w:val="22"/>
          <w:szCs w:val="22"/>
        </w:rPr>
        <w:t>10</w:t>
      </w:r>
      <w:r w:rsidR="00716AC4" w:rsidRPr="00C20315">
        <w:rPr>
          <w:rFonts w:ascii="Arial" w:hAnsi="Arial" w:cs="Arial"/>
          <w:b/>
          <w:sz w:val="22"/>
          <w:szCs w:val="22"/>
        </w:rPr>
        <w:t>. Balance sheet and cash</w:t>
      </w:r>
    </w:p>
    <w:p w:rsidR="00B0474A" w:rsidRPr="00AD400C" w:rsidRDefault="00C20315" w:rsidP="00B40EA9">
      <w:pPr>
        <w:tabs>
          <w:tab w:val="left" w:pos="2172"/>
        </w:tabs>
        <w:contextualSpacing/>
        <w:rPr>
          <w:rFonts w:ascii="Arial" w:hAnsi="Arial" w:cs="Arial"/>
          <w:sz w:val="22"/>
          <w:szCs w:val="22"/>
        </w:rPr>
      </w:pPr>
      <w:r w:rsidRPr="00AD400C">
        <w:rPr>
          <w:rFonts w:ascii="Arial" w:hAnsi="Arial" w:cs="Arial"/>
          <w:sz w:val="22"/>
          <w:szCs w:val="22"/>
        </w:rPr>
        <w:t xml:space="preserve">A summarised balance sheet can be found in Appendix </w:t>
      </w:r>
      <w:r w:rsidR="00AC3DE8">
        <w:rPr>
          <w:rFonts w:ascii="Arial" w:hAnsi="Arial" w:cs="Arial"/>
          <w:sz w:val="22"/>
          <w:szCs w:val="22"/>
        </w:rPr>
        <w:t>B</w:t>
      </w:r>
      <w:r w:rsidRPr="00AD400C">
        <w:rPr>
          <w:rFonts w:ascii="Arial" w:hAnsi="Arial" w:cs="Arial"/>
          <w:sz w:val="22"/>
          <w:szCs w:val="22"/>
        </w:rPr>
        <w:t xml:space="preserve"> comparing the closing balances in March 2014 wit</w:t>
      </w:r>
      <w:r w:rsidR="00643128" w:rsidRPr="00AD400C">
        <w:rPr>
          <w:rFonts w:ascii="Arial" w:hAnsi="Arial" w:cs="Arial"/>
          <w:sz w:val="22"/>
          <w:szCs w:val="22"/>
        </w:rPr>
        <w:t xml:space="preserve">h the position at the end of </w:t>
      </w:r>
      <w:proofErr w:type="gramStart"/>
      <w:r w:rsidR="004D1652">
        <w:rPr>
          <w:rFonts w:ascii="Arial" w:hAnsi="Arial" w:cs="Arial"/>
          <w:sz w:val="22"/>
          <w:szCs w:val="22"/>
        </w:rPr>
        <w:t xml:space="preserve">March </w:t>
      </w:r>
      <w:r w:rsidR="00542880">
        <w:rPr>
          <w:rFonts w:ascii="Arial" w:hAnsi="Arial" w:cs="Arial"/>
          <w:sz w:val="22"/>
          <w:szCs w:val="22"/>
        </w:rPr>
        <w:t xml:space="preserve"> 2015</w:t>
      </w:r>
      <w:proofErr w:type="gramEnd"/>
      <w:r w:rsidR="00C62D4B">
        <w:rPr>
          <w:rFonts w:ascii="Arial" w:hAnsi="Arial" w:cs="Arial"/>
          <w:sz w:val="22"/>
          <w:szCs w:val="22"/>
        </w:rPr>
        <w:t>,</w:t>
      </w:r>
      <w:r w:rsidR="004D1652">
        <w:rPr>
          <w:rFonts w:ascii="Arial" w:hAnsi="Arial" w:cs="Arial"/>
          <w:sz w:val="22"/>
          <w:szCs w:val="22"/>
        </w:rPr>
        <w:t xml:space="preserve"> the previous month of February</w:t>
      </w:r>
      <w:r w:rsidR="00996C5F">
        <w:rPr>
          <w:rFonts w:ascii="Arial" w:hAnsi="Arial" w:cs="Arial"/>
          <w:sz w:val="22"/>
          <w:szCs w:val="22"/>
        </w:rPr>
        <w:t xml:space="preserve"> 2015</w:t>
      </w:r>
      <w:r w:rsidRPr="00AD400C">
        <w:rPr>
          <w:rFonts w:ascii="Arial" w:hAnsi="Arial" w:cs="Arial"/>
          <w:sz w:val="22"/>
          <w:szCs w:val="22"/>
        </w:rPr>
        <w:t xml:space="preserve">.  </w:t>
      </w:r>
    </w:p>
    <w:p w:rsidR="00C20315" w:rsidRPr="0008642A" w:rsidRDefault="00C20315" w:rsidP="00B40EA9">
      <w:pPr>
        <w:tabs>
          <w:tab w:val="left" w:pos="2172"/>
        </w:tabs>
        <w:contextualSpacing/>
        <w:rPr>
          <w:rFonts w:ascii="Arial" w:hAnsi="Arial" w:cs="Arial"/>
          <w:sz w:val="22"/>
          <w:szCs w:val="22"/>
          <w:highlight w:val="yellow"/>
        </w:rPr>
      </w:pPr>
    </w:p>
    <w:p w:rsidR="00B40EA9" w:rsidRPr="0047213E" w:rsidRDefault="00BA4988" w:rsidP="00803D4B">
      <w:pPr>
        <w:tabs>
          <w:tab w:val="left" w:pos="2172"/>
        </w:tabs>
        <w:contextualSpacing/>
        <w:rPr>
          <w:rFonts w:ascii="Arial" w:hAnsi="Arial" w:cs="Arial"/>
          <w:b/>
          <w:sz w:val="22"/>
          <w:szCs w:val="22"/>
        </w:rPr>
      </w:pPr>
      <w:r w:rsidRPr="00F70F38">
        <w:rPr>
          <w:rFonts w:ascii="Arial" w:hAnsi="Arial" w:cs="Arial"/>
          <w:sz w:val="22"/>
          <w:szCs w:val="22"/>
        </w:rPr>
        <w:t>The cash flow forecast</w:t>
      </w:r>
      <w:r w:rsidR="00CB4D31" w:rsidRPr="00F70F38">
        <w:rPr>
          <w:rFonts w:ascii="Arial" w:hAnsi="Arial" w:cs="Arial"/>
          <w:sz w:val="22"/>
          <w:szCs w:val="22"/>
        </w:rPr>
        <w:t xml:space="preserve"> </w:t>
      </w:r>
      <w:r w:rsidR="00F70F38">
        <w:rPr>
          <w:rFonts w:ascii="Arial" w:hAnsi="Arial" w:cs="Arial"/>
          <w:sz w:val="22"/>
          <w:szCs w:val="22"/>
        </w:rPr>
        <w:t xml:space="preserve">can be found in Appendix B. </w:t>
      </w:r>
      <w:r w:rsidR="00BA3A5A">
        <w:rPr>
          <w:rFonts w:ascii="Arial" w:hAnsi="Arial" w:cs="Arial"/>
          <w:sz w:val="22"/>
          <w:szCs w:val="22"/>
        </w:rPr>
        <w:t xml:space="preserve">The </w:t>
      </w:r>
      <w:r w:rsidR="004D1652">
        <w:rPr>
          <w:rFonts w:ascii="Arial" w:hAnsi="Arial" w:cs="Arial"/>
          <w:sz w:val="22"/>
          <w:szCs w:val="22"/>
        </w:rPr>
        <w:t xml:space="preserve">final cash position at year end was £3.741m.  This is a slight increase </w:t>
      </w:r>
      <w:r w:rsidR="00DB51E0">
        <w:rPr>
          <w:rFonts w:ascii="Arial" w:hAnsi="Arial" w:cs="Arial"/>
          <w:sz w:val="22"/>
          <w:szCs w:val="22"/>
        </w:rPr>
        <w:t xml:space="preserve">on </w:t>
      </w:r>
      <w:r w:rsidR="004D1652">
        <w:rPr>
          <w:rFonts w:ascii="Arial" w:hAnsi="Arial" w:cs="Arial"/>
          <w:sz w:val="22"/>
          <w:szCs w:val="22"/>
        </w:rPr>
        <w:t>the</w:t>
      </w:r>
      <w:r w:rsidR="00803D4B">
        <w:rPr>
          <w:rFonts w:ascii="Arial" w:hAnsi="Arial" w:cs="Arial"/>
          <w:sz w:val="22"/>
          <w:szCs w:val="22"/>
        </w:rPr>
        <w:t xml:space="preserve"> </w:t>
      </w:r>
      <w:r w:rsidR="009D1B59">
        <w:rPr>
          <w:rFonts w:ascii="Arial" w:hAnsi="Arial" w:cs="Arial"/>
          <w:sz w:val="22"/>
          <w:szCs w:val="22"/>
        </w:rPr>
        <w:t>year end forecast position of £3.549m reported in February</w:t>
      </w:r>
      <w:r w:rsidR="004D1652">
        <w:rPr>
          <w:rFonts w:ascii="Arial" w:hAnsi="Arial" w:cs="Arial"/>
          <w:sz w:val="22"/>
          <w:szCs w:val="22"/>
        </w:rPr>
        <w:t>,</w:t>
      </w:r>
      <w:r w:rsidR="00803D4B">
        <w:rPr>
          <w:rFonts w:ascii="Arial" w:hAnsi="Arial" w:cs="Arial"/>
          <w:sz w:val="22"/>
          <w:szCs w:val="22"/>
        </w:rPr>
        <w:t xml:space="preserve"> and is </w:t>
      </w:r>
      <w:r w:rsidR="009D1B59">
        <w:rPr>
          <w:rFonts w:ascii="Arial" w:hAnsi="Arial" w:cs="Arial"/>
          <w:sz w:val="22"/>
          <w:szCs w:val="22"/>
        </w:rPr>
        <w:t>linked to the final underspend position.</w:t>
      </w:r>
      <w:r w:rsidR="00803D4B">
        <w:rPr>
          <w:rFonts w:ascii="Arial" w:hAnsi="Arial" w:cs="Arial"/>
          <w:sz w:val="22"/>
          <w:szCs w:val="22"/>
        </w:rPr>
        <w:t xml:space="preserve">  A total of £3.6m cash was intentionally not drawn down as reported in previous months.  In order to fulfil the duty to avoid holding excess levels of cash, the HRA will continue to monitor the cash position during 2015/16 to ensure that sufficient cash is held for future needs, but will aim to reduce the cash balances held.</w:t>
      </w:r>
    </w:p>
    <w:p w:rsidR="00B40EA9" w:rsidRDefault="00B40EA9" w:rsidP="00B40EA9">
      <w:pPr>
        <w:jc w:val="both"/>
        <w:rPr>
          <w:rFonts w:ascii="Arial" w:hAnsi="Arial" w:cs="Arial"/>
          <w:b/>
          <w:sz w:val="22"/>
          <w:szCs w:val="22"/>
          <w:highlight w:val="yellow"/>
        </w:rPr>
      </w:pPr>
    </w:p>
    <w:p w:rsidR="0028079F" w:rsidRPr="0047213E" w:rsidRDefault="0028079F" w:rsidP="0028079F">
      <w:pPr>
        <w:jc w:val="both"/>
        <w:rPr>
          <w:rFonts w:ascii="Arial" w:hAnsi="Arial" w:cs="Arial"/>
          <w:b/>
          <w:sz w:val="22"/>
          <w:szCs w:val="22"/>
        </w:rPr>
      </w:pPr>
      <w:r>
        <w:rPr>
          <w:rFonts w:ascii="Arial" w:hAnsi="Arial" w:cs="Arial"/>
          <w:b/>
          <w:sz w:val="22"/>
          <w:szCs w:val="22"/>
        </w:rPr>
        <w:t>11</w:t>
      </w:r>
      <w:r w:rsidRPr="0047213E">
        <w:rPr>
          <w:rFonts w:ascii="Arial" w:hAnsi="Arial" w:cs="Arial"/>
          <w:b/>
          <w:sz w:val="22"/>
          <w:szCs w:val="22"/>
        </w:rPr>
        <w:t>. Recommendations</w:t>
      </w:r>
    </w:p>
    <w:p w:rsidR="0028079F" w:rsidRPr="00C4745A" w:rsidRDefault="0028079F" w:rsidP="00B40EA9">
      <w:pPr>
        <w:jc w:val="both"/>
        <w:rPr>
          <w:rFonts w:ascii="Arial" w:hAnsi="Arial" w:cs="Arial"/>
          <w:b/>
          <w:sz w:val="22"/>
          <w:szCs w:val="22"/>
          <w:highlight w:val="yellow"/>
        </w:rPr>
      </w:pPr>
    </w:p>
    <w:p w:rsidR="001A2303" w:rsidRPr="0047213E" w:rsidRDefault="00B40EA9" w:rsidP="00115E84">
      <w:pPr>
        <w:overflowPunct w:val="0"/>
        <w:autoSpaceDE w:val="0"/>
        <w:autoSpaceDN w:val="0"/>
        <w:adjustRightInd w:val="0"/>
        <w:textAlignment w:val="baseline"/>
        <w:rPr>
          <w:rFonts w:ascii="Arial" w:hAnsi="Arial" w:cs="Arial"/>
          <w:sz w:val="22"/>
          <w:szCs w:val="22"/>
        </w:rPr>
      </w:pPr>
      <w:r w:rsidRPr="0047213E">
        <w:rPr>
          <w:rFonts w:ascii="Arial" w:hAnsi="Arial" w:cs="Arial"/>
          <w:sz w:val="22"/>
          <w:szCs w:val="22"/>
        </w:rPr>
        <w:t xml:space="preserve">That the Executive Management Team (EMT) </w:t>
      </w:r>
      <w:r w:rsidR="00F06479" w:rsidRPr="0047213E">
        <w:rPr>
          <w:rFonts w:ascii="Arial" w:hAnsi="Arial" w:cs="Arial"/>
          <w:sz w:val="22"/>
          <w:szCs w:val="22"/>
        </w:rPr>
        <w:t>approves</w:t>
      </w:r>
      <w:r w:rsidRPr="0047213E">
        <w:rPr>
          <w:rFonts w:ascii="Arial" w:hAnsi="Arial" w:cs="Arial"/>
          <w:sz w:val="22"/>
          <w:szCs w:val="22"/>
        </w:rPr>
        <w:t xml:space="preserve"> the final financial position</w:t>
      </w:r>
      <w:r w:rsidR="00115E84" w:rsidRPr="0047213E">
        <w:rPr>
          <w:rFonts w:ascii="Arial" w:hAnsi="Arial" w:cs="Arial"/>
          <w:sz w:val="22"/>
          <w:szCs w:val="22"/>
        </w:rPr>
        <w:t xml:space="preserve"> </w:t>
      </w:r>
      <w:r w:rsidR="0047213E">
        <w:rPr>
          <w:rFonts w:ascii="Arial" w:hAnsi="Arial" w:cs="Arial"/>
          <w:sz w:val="22"/>
          <w:szCs w:val="22"/>
        </w:rPr>
        <w:t xml:space="preserve">prior to reporting to the HRA Board </w:t>
      </w:r>
      <w:r w:rsidR="00115E84" w:rsidRPr="0047213E">
        <w:rPr>
          <w:rFonts w:ascii="Arial" w:hAnsi="Arial" w:cs="Arial"/>
          <w:sz w:val="22"/>
          <w:szCs w:val="22"/>
        </w:rPr>
        <w:t xml:space="preserve">and </w:t>
      </w:r>
      <w:r w:rsidR="00B14BF6">
        <w:rPr>
          <w:rFonts w:ascii="Arial" w:hAnsi="Arial" w:cs="Arial"/>
          <w:sz w:val="22"/>
          <w:szCs w:val="22"/>
        </w:rPr>
        <w:t xml:space="preserve">to particularly </w:t>
      </w:r>
      <w:r w:rsidR="00115E84" w:rsidRPr="0047213E">
        <w:rPr>
          <w:rFonts w:ascii="Arial" w:hAnsi="Arial" w:cs="Arial"/>
          <w:sz w:val="22"/>
          <w:szCs w:val="22"/>
        </w:rPr>
        <w:t xml:space="preserve">note the </w:t>
      </w:r>
      <w:r w:rsidR="00B14BF6">
        <w:rPr>
          <w:rFonts w:ascii="Arial" w:hAnsi="Arial" w:cs="Arial"/>
          <w:sz w:val="22"/>
          <w:szCs w:val="22"/>
        </w:rPr>
        <w:t>following:</w:t>
      </w:r>
    </w:p>
    <w:p w:rsidR="001A2303" w:rsidRPr="00C4745A" w:rsidRDefault="001A2303" w:rsidP="00115E84">
      <w:pPr>
        <w:overflowPunct w:val="0"/>
        <w:autoSpaceDE w:val="0"/>
        <w:autoSpaceDN w:val="0"/>
        <w:adjustRightInd w:val="0"/>
        <w:textAlignment w:val="baseline"/>
        <w:rPr>
          <w:rFonts w:ascii="Arial" w:hAnsi="Arial" w:cs="Arial"/>
          <w:sz w:val="22"/>
          <w:szCs w:val="22"/>
          <w:highlight w:val="yellow"/>
        </w:rPr>
      </w:pPr>
    </w:p>
    <w:p w:rsidR="00A71600" w:rsidRDefault="001E1F42"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An increased</w:t>
      </w:r>
      <w:r w:rsidR="00AC3DE8" w:rsidRPr="00A71600">
        <w:rPr>
          <w:rFonts w:ascii="Arial" w:hAnsi="Arial" w:cs="Arial"/>
          <w:sz w:val="22"/>
          <w:szCs w:val="22"/>
        </w:rPr>
        <w:t xml:space="preserve"> u</w:t>
      </w:r>
      <w:r w:rsidR="00E31CA4" w:rsidRPr="00A71600">
        <w:rPr>
          <w:rFonts w:ascii="Arial" w:hAnsi="Arial" w:cs="Arial"/>
          <w:sz w:val="22"/>
          <w:szCs w:val="22"/>
        </w:rPr>
        <w:t>nder</w:t>
      </w:r>
      <w:r w:rsidR="0047213E" w:rsidRPr="00A71600">
        <w:rPr>
          <w:rFonts w:ascii="Arial" w:hAnsi="Arial" w:cs="Arial"/>
          <w:sz w:val="22"/>
          <w:szCs w:val="22"/>
        </w:rPr>
        <w:t xml:space="preserve"> </w:t>
      </w:r>
      <w:proofErr w:type="gramStart"/>
      <w:r w:rsidR="00E31CA4" w:rsidRPr="00A71600">
        <w:rPr>
          <w:rFonts w:ascii="Arial" w:hAnsi="Arial" w:cs="Arial"/>
          <w:sz w:val="22"/>
          <w:szCs w:val="22"/>
        </w:rPr>
        <w:t>spend</w:t>
      </w:r>
      <w:proofErr w:type="gramEnd"/>
      <w:r w:rsidR="00E31CA4" w:rsidRPr="00A71600">
        <w:rPr>
          <w:rFonts w:ascii="Arial" w:hAnsi="Arial" w:cs="Arial"/>
          <w:sz w:val="22"/>
          <w:szCs w:val="22"/>
        </w:rPr>
        <w:t xml:space="preserve"> </w:t>
      </w:r>
      <w:r>
        <w:rPr>
          <w:rFonts w:ascii="Arial" w:hAnsi="Arial" w:cs="Arial"/>
          <w:sz w:val="22"/>
          <w:szCs w:val="22"/>
        </w:rPr>
        <w:t xml:space="preserve">at year end </w:t>
      </w:r>
      <w:r w:rsidR="00A71600" w:rsidRPr="00A71600">
        <w:rPr>
          <w:rFonts w:ascii="Arial" w:hAnsi="Arial" w:cs="Arial"/>
          <w:sz w:val="22"/>
          <w:szCs w:val="22"/>
        </w:rPr>
        <w:t xml:space="preserve">and requirement to institute further actions to ensure that this </w:t>
      </w:r>
      <w:r w:rsidR="0040751E">
        <w:rPr>
          <w:rFonts w:ascii="Arial" w:hAnsi="Arial" w:cs="Arial"/>
          <w:sz w:val="22"/>
          <w:szCs w:val="22"/>
        </w:rPr>
        <w:t xml:space="preserve">is </w:t>
      </w:r>
      <w:r w:rsidR="00A71600" w:rsidRPr="00A71600">
        <w:rPr>
          <w:rFonts w:ascii="Arial" w:hAnsi="Arial" w:cs="Arial"/>
          <w:sz w:val="22"/>
          <w:szCs w:val="22"/>
        </w:rPr>
        <w:t xml:space="preserve">minimised in 2015/16.  A budget manager checklist was introduced in 2014/15.  This </w:t>
      </w:r>
      <w:r w:rsidR="00DB51E0">
        <w:rPr>
          <w:rFonts w:ascii="Arial" w:hAnsi="Arial" w:cs="Arial"/>
          <w:sz w:val="22"/>
          <w:szCs w:val="22"/>
        </w:rPr>
        <w:t>will</w:t>
      </w:r>
      <w:r w:rsidR="00A71600" w:rsidRPr="00A71600">
        <w:rPr>
          <w:rFonts w:ascii="Arial" w:hAnsi="Arial" w:cs="Arial"/>
          <w:sz w:val="22"/>
          <w:szCs w:val="22"/>
        </w:rPr>
        <w:t xml:space="preserve"> now be further strengthened with a requirement for all budget managers to evidence their break even forecasts with a plan of spend showing timing and amounts </w:t>
      </w:r>
      <w:r w:rsidR="00A71600">
        <w:rPr>
          <w:rFonts w:ascii="Arial" w:hAnsi="Arial" w:cs="Arial"/>
          <w:sz w:val="22"/>
          <w:szCs w:val="22"/>
        </w:rPr>
        <w:t xml:space="preserve">where the likelihood of </w:t>
      </w:r>
      <w:proofErr w:type="gramStart"/>
      <w:r w:rsidR="00A71600">
        <w:rPr>
          <w:rFonts w:ascii="Arial" w:hAnsi="Arial" w:cs="Arial"/>
          <w:sz w:val="22"/>
          <w:szCs w:val="22"/>
        </w:rPr>
        <w:t>an underspend</w:t>
      </w:r>
      <w:proofErr w:type="gramEnd"/>
      <w:r w:rsidR="00A71600">
        <w:rPr>
          <w:rFonts w:ascii="Arial" w:hAnsi="Arial" w:cs="Arial"/>
          <w:sz w:val="22"/>
          <w:szCs w:val="22"/>
        </w:rPr>
        <w:t xml:space="preserve"> is being flagged by finance.</w:t>
      </w:r>
    </w:p>
    <w:p w:rsidR="001A2303" w:rsidRPr="0047213E" w:rsidRDefault="003450BD"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The maintained </w:t>
      </w:r>
      <w:r w:rsidR="001A2303" w:rsidRPr="0047213E">
        <w:rPr>
          <w:rFonts w:ascii="Arial" w:hAnsi="Arial" w:cs="Arial"/>
          <w:sz w:val="22"/>
          <w:szCs w:val="22"/>
        </w:rPr>
        <w:t>Better Payments Practice Code pos</w:t>
      </w:r>
      <w:r w:rsidR="003F3BB4" w:rsidRPr="0047213E">
        <w:rPr>
          <w:rFonts w:ascii="Arial" w:hAnsi="Arial" w:cs="Arial"/>
          <w:sz w:val="22"/>
          <w:szCs w:val="22"/>
        </w:rPr>
        <w:t>i</w:t>
      </w:r>
      <w:r w:rsidR="001A2303" w:rsidRPr="0047213E">
        <w:rPr>
          <w:rFonts w:ascii="Arial" w:hAnsi="Arial" w:cs="Arial"/>
          <w:sz w:val="22"/>
          <w:szCs w:val="22"/>
        </w:rPr>
        <w:t>tion</w:t>
      </w:r>
      <w:r w:rsidR="00560E95">
        <w:rPr>
          <w:rFonts w:ascii="Arial" w:hAnsi="Arial" w:cs="Arial"/>
          <w:sz w:val="22"/>
          <w:szCs w:val="22"/>
        </w:rPr>
        <w:t xml:space="preserve"> to meet the 95% target based on number of invoices and the value,</w:t>
      </w:r>
      <w:r w:rsidR="00122DA1">
        <w:rPr>
          <w:rFonts w:ascii="Arial" w:hAnsi="Arial" w:cs="Arial"/>
          <w:sz w:val="22"/>
          <w:szCs w:val="22"/>
        </w:rPr>
        <w:t xml:space="preserve"> and the requirement to review invoices in the workflow on a daily basis</w:t>
      </w:r>
      <w:r w:rsidR="008B77EA">
        <w:rPr>
          <w:rFonts w:ascii="Arial" w:hAnsi="Arial" w:cs="Arial"/>
          <w:sz w:val="22"/>
          <w:szCs w:val="22"/>
        </w:rPr>
        <w:t>, put invoices on hold if under dispute</w:t>
      </w:r>
      <w:r w:rsidR="00122DA1">
        <w:rPr>
          <w:rFonts w:ascii="Arial" w:hAnsi="Arial" w:cs="Arial"/>
          <w:sz w:val="22"/>
          <w:szCs w:val="22"/>
        </w:rPr>
        <w:t xml:space="preserve"> or set up a substitute.</w:t>
      </w:r>
    </w:p>
    <w:p w:rsidR="00592E36" w:rsidRPr="000217E9" w:rsidRDefault="00C722B6"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Pr>
          <w:rFonts w:ascii="Arial" w:hAnsi="Arial" w:cs="Arial"/>
          <w:sz w:val="22"/>
          <w:szCs w:val="22"/>
        </w:rPr>
        <w:t xml:space="preserve">The </w:t>
      </w:r>
      <w:r w:rsidR="00803D4B">
        <w:rPr>
          <w:rFonts w:ascii="Arial" w:hAnsi="Arial" w:cs="Arial"/>
          <w:sz w:val="22"/>
          <w:szCs w:val="22"/>
        </w:rPr>
        <w:t>final cash position of £3.741m.</w:t>
      </w:r>
      <w:r w:rsidR="0047213E" w:rsidRPr="00EF0952">
        <w:rPr>
          <w:rFonts w:ascii="Arial" w:hAnsi="Arial" w:cs="Arial"/>
          <w:sz w:val="22"/>
          <w:szCs w:val="22"/>
        </w:rPr>
        <w:t xml:space="preserve"> </w:t>
      </w:r>
    </w:p>
    <w:p w:rsidR="000217E9" w:rsidRPr="00EF0952" w:rsidRDefault="000217E9"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Pr>
          <w:rFonts w:ascii="Arial" w:hAnsi="Arial" w:cs="Arial"/>
          <w:sz w:val="22"/>
          <w:szCs w:val="22"/>
        </w:rPr>
        <w:t>The f</w:t>
      </w:r>
      <w:r w:rsidR="00803D4B">
        <w:rPr>
          <w:rFonts w:ascii="Arial" w:hAnsi="Arial" w:cs="Arial"/>
          <w:sz w:val="22"/>
          <w:szCs w:val="22"/>
        </w:rPr>
        <w:t>inal capital position</w:t>
      </w:r>
      <w:r>
        <w:rPr>
          <w:rFonts w:ascii="Arial" w:hAnsi="Arial" w:cs="Arial"/>
          <w:sz w:val="22"/>
          <w:szCs w:val="22"/>
        </w:rPr>
        <w:t>.</w:t>
      </w:r>
    </w:p>
    <w:p w:rsidR="00EF0952" w:rsidRPr="00EF0952" w:rsidRDefault="00EF0952" w:rsidP="00EF0952">
      <w:pPr>
        <w:pStyle w:val="ListParagraph"/>
        <w:overflowPunct w:val="0"/>
        <w:autoSpaceDE w:val="0"/>
        <w:autoSpaceDN w:val="0"/>
        <w:adjustRightInd w:val="0"/>
        <w:spacing w:line="276" w:lineRule="auto"/>
        <w:ind w:left="780"/>
        <w:textAlignment w:val="baseline"/>
        <w:rPr>
          <w:rFonts w:ascii="Arial" w:hAnsi="Arial" w:cs="Arial"/>
          <w:b/>
          <w:sz w:val="22"/>
          <w:szCs w:val="22"/>
        </w:rPr>
      </w:pP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Debbie Corrigan</w:t>
      </w: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Director of Finance</w:t>
      </w:r>
    </w:p>
    <w:p w:rsidR="00A86A0C" w:rsidRPr="00480953" w:rsidRDefault="00E8417B" w:rsidP="00480953">
      <w:pPr>
        <w:spacing w:line="276" w:lineRule="auto"/>
        <w:rPr>
          <w:rFonts w:ascii="Arial" w:hAnsi="Arial" w:cs="Arial"/>
          <w:b/>
          <w:sz w:val="22"/>
          <w:szCs w:val="22"/>
        </w:rPr>
        <w:sectPr w:rsidR="00A86A0C" w:rsidRPr="00480953" w:rsidSect="00AF00BB">
          <w:headerReference w:type="default" r:id="rId14"/>
          <w:footerReference w:type="default" r:id="rId15"/>
          <w:pgSz w:w="11906" w:h="16838"/>
          <w:pgMar w:top="992" w:right="1276" w:bottom="709" w:left="1559" w:header="567" w:footer="709" w:gutter="0"/>
          <w:cols w:space="708"/>
          <w:docGrid w:linePitch="360"/>
        </w:sectPr>
      </w:pPr>
      <w:r>
        <w:rPr>
          <w:rFonts w:ascii="Arial" w:hAnsi="Arial" w:cs="Arial"/>
          <w:b/>
          <w:sz w:val="22"/>
          <w:szCs w:val="22"/>
        </w:rPr>
        <w:t>27 April 2015</w:t>
      </w:r>
    </w:p>
    <w:p w:rsidR="00597AF4" w:rsidRPr="00F64C33" w:rsidRDefault="00597AF4" w:rsidP="00597AF4">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t xml:space="preserve">Health Research Authority – Financial position as at </w:t>
      </w:r>
      <w:r w:rsidR="001E1F42">
        <w:rPr>
          <w:rFonts w:ascii="Arial" w:eastAsia="Calibri" w:hAnsi="Arial"/>
          <w:b/>
          <w:bCs/>
          <w:color w:val="56008C"/>
          <w:szCs w:val="26"/>
          <w:lang w:eastAsia="en-US"/>
        </w:rPr>
        <w:t>31 March 2015</w:t>
      </w:r>
      <w:r w:rsidR="00585FFC">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01C8A">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5E6E81">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w:t>
      </w:r>
      <w:r w:rsidR="005C76AA">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Appendix A</w:t>
      </w:r>
    </w:p>
    <w:tbl>
      <w:tblPr>
        <w:tblStyle w:val="TableGrid"/>
        <w:tblW w:w="0" w:type="auto"/>
        <w:tblLook w:val="04A0" w:firstRow="1" w:lastRow="0" w:firstColumn="1" w:lastColumn="0" w:noHBand="0" w:noVBand="1"/>
      </w:tblPr>
      <w:tblGrid>
        <w:gridCol w:w="2088"/>
        <w:gridCol w:w="13540"/>
      </w:tblGrid>
      <w:tr w:rsidR="00C11CD4" w:rsidRPr="0039154E" w:rsidTr="00F64C33">
        <w:tc>
          <w:tcPr>
            <w:tcW w:w="2088" w:type="dxa"/>
            <w:shd w:val="clear" w:color="auto" w:fill="56008C"/>
            <w:vAlign w:val="center"/>
          </w:tcPr>
          <w:p w:rsidR="00C11CD4" w:rsidRPr="00F64C33" w:rsidRDefault="00C11CD4" w:rsidP="004C7812">
            <w:pPr>
              <w:spacing w:after="200" w:line="276" w:lineRule="auto"/>
              <w:jc w:val="center"/>
              <w:rPr>
                <w:rFonts w:ascii="Arial" w:hAnsi="Arial" w:cs="Arial"/>
                <w:b/>
                <w:color w:val="E28C05"/>
              </w:rPr>
            </w:pPr>
            <w:r w:rsidRPr="00F64C33">
              <w:rPr>
                <w:rFonts w:ascii="Arial" w:hAnsi="Arial" w:cs="Arial"/>
                <w:b/>
                <w:color w:val="E28C05"/>
              </w:rPr>
              <w:t>FINANCIAL RESULTS</w:t>
            </w:r>
          </w:p>
          <w:p w:rsidR="00C11CD4" w:rsidRPr="00FC6EBF" w:rsidRDefault="00C11CD4" w:rsidP="004C7812">
            <w:pPr>
              <w:spacing w:after="200" w:line="276" w:lineRule="auto"/>
              <w:jc w:val="center"/>
              <w:rPr>
                <w:rFonts w:ascii="Arial" w:hAnsi="Arial" w:cs="Arial"/>
                <w:b/>
              </w:rPr>
            </w:pPr>
            <w:r w:rsidRPr="002132BF">
              <w:rPr>
                <w:rFonts w:ascii="Arial" w:hAnsi="Arial" w:cs="Arial"/>
                <w:b/>
                <w:color w:val="E28C05"/>
              </w:rPr>
              <w:t>HEADLINES</w:t>
            </w:r>
          </w:p>
        </w:tc>
        <w:tc>
          <w:tcPr>
            <w:tcW w:w="13540" w:type="dxa"/>
          </w:tcPr>
          <w:p w:rsidR="00C11CD4" w:rsidRPr="00CD439E" w:rsidRDefault="00C11CD4" w:rsidP="004C7812">
            <w:pPr>
              <w:numPr>
                <w:ilvl w:val="0"/>
                <w:numId w:val="2"/>
              </w:numPr>
              <w:contextualSpacing/>
              <w:rPr>
                <w:rFonts w:ascii="Arial" w:hAnsi="Arial" w:cs="Arial"/>
                <w:sz w:val="22"/>
                <w:szCs w:val="22"/>
              </w:rPr>
            </w:pPr>
            <w:r w:rsidRPr="00CD439E">
              <w:rPr>
                <w:rFonts w:ascii="Arial" w:hAnsi="Arial" w:cs="Arial"/>
                <w:sz w:val="22"/>
                <w:szCs w:val="22"/>
              </w:rPr>
              <w:t xml:space="preserve">HRA is reporting an </w:t>
            </w:r>
            <w:r w:rsidR="00252EDF">
              <w:rPr>
                <w:rFonts w:ascii="Arial" w:hAnsi="Arial" w:cs="Arial"/>
                <w:sz w:val="22"/>
                <w:szCs w:val="22"/>
              </w:rPr>
              <w:t xml:space="preserve">expenditure budget </w:t>
            </w:r>
            <w:r w:rsidR="00D0058C" w:rsidRPr="00CD439E">
              <w:rPr>
                <w:rFonts w:ascii="Arial" w:hAnsi="Arial" w:cs="Arial"/>
                <w:sz w:val="22"/>
                <w:szCs w:val="22"/>
              </w:rPr>
              <w:t>underspend</w:t>
            </w:r>
            <w:r w:rsidRPr="00CD439E">
              <w:rPr>
                <w:rFonts w:ascii="Arial" w:hAnsi="Arial" w:cs="Arial"/>
                <w:sz w:val="22"/>
                <w:szCs w:val="22"/>
              </w:rPr>
              <w:t xml:space="preserve"> </w:t>
            </w:r>
            <w:r w:rsidR="00B734B9">
              <w:rPr>
                <w:rFonts w:ascii="Arial" w:hAnsi="Arial" w:cs="Arial"/>
                <w:sz w:val="22"/>
                <w:szCs w:val="22"/>
              </w:rPr>
              <w:t>of £3.</w:t>
            </w:r>
            <w:r w:rsidR="00252EDF">
              <w:rPr>
                <w:rFonts w:ascii="Arial" w:hAnsi="Arial" w:cs="Arial"/>
                <w:sz w:val="22"/>
                <w:szCs w:val="22"/>
              </w:rPr>
              <w:t xml:space="preserve">09m </w:t>
            </w:r>
            <w:r w:rsidR="00987F84" w:rsidRPr="00CD439E">
              <w:rPr>
                <w:rFonts w:ascii="Arial" w:hAnsi="Arial" w:cs="Arial"/>
                <w:sz w:val="22"/>
                <w:szCs w:val="22"/>
              </w:rPr>
              <w:t xml:space="preserve">at the end of </w:t>
            </w:r>
            <w:r w:rsidR="00B734B9">
              <w:rPr>
                <w:rFonts w:ascii="Arial" w:hAnsi="Arial" w:cs="Arial"/>
                <w:sz w:val="22"/>
                <w:szCs w:val="22"/>
              </w:rPr>
              <w:t>March</w:t>
            </w:r>
            <w:r w:rsidR="00252EDF">
              <w:rPr>
                <w:rFonts w:ascii="Arial" w:hAnsi="Arial" w:cs="Arial"/>
                <w:sz w:val="22"/>
                <w:szCs w:val="22"/>
              </w:rPr>
              <w:t xml:space="preserve"> (£3.101m against grant in aid)</w:t>
            </w:r>
          </w:p>
          <w:p w:rsidR="00C11CD4" w:rsidRPr="00CD439E" w:rsidRDefault="00B734B9" w:rsidP="004C7812">
            <w:pPr>
              <w:numPr>
                <w:ilvl w:val="0"/>
                <w:numId w:val="2"/>
              </w:numPr>
              <w:contextualSpacing/>
              <w:rPr>
                <w:rFonts w:ascii="Arial" w:hAnsi="Arial" w:cs="Arial"/>
                <w:sz w:val="22"/>
                <w:szCs w:val="22"/>
              </w:rPr>
            </w:pPr>
            <w:r>
              <w:rPr>
                <w:rFonts w:ascii="Arial" w:hAnsi="Arial" w:cs="Arial"/>
                <w:sz w:val="22"/>
                <w:szCs w:val="22"/>
              </w:rPr>
              <w:t>77.5</w:t>
            </w:r>
            <w:r w:rsidR="00C11CD4" w:rsidRPr="00CD439E">
              <w:rPr>
                <w:rFonts w:ascii="Arial" w:hAnsi="Arial" w:cs="Arial"/>
                <w:sz w:val="22"/>
                <w:szCs w:val="22"/>
              </w:rPr>
              <w:t>% (£</w:t>
            </w:r>
            <w:r>
              <w:rPr>
                <w:rFonts w:ascii="Arial" w:hAnsi="Arial" w:cs="Arial"/>
                <w:sz w:val="22"/>
                <w:szCs w:val="22"/>
              </w:rPr>
              <w:t>10.67</w:t>
            </w:r>
            <w:r w:rsidR="006120D4" w:rsidRPr="00CD439E">
              <w:rPr>
                <w:rFonts w:ascii="Arial" w:hAnsi="Arial" w:cs="Arial"/>
                <w:sz w:val="22"/>
                <w:szCs w:val="22"/>
              </w:rPr>
              <w:t>m</w:t>
            </w:r>
            <w:r w:rsidR="00C11CD4" w:rsidRPr="00CD439E">
              <w:rPr>
                <w:rFonts w:ascii="Arial" w:hAnsi="Arial" w:cs="Arial"/>
                <w:sz w:val="22"/>
                <w:szCs w:val="22"/>
              </w:rPr>
              <w:t>illion) of the annual budget has been spent.</w:t>
            </w:r>
            <w:r w:rsidR="00C15155" w:rsidRPr="00CD439E">
              <w:rPr>
                <w:rFonts w:ascii="Arial" w:hAnsi="Arial" w:cs="Arial"/>
                <w:sz w:val="22"/>
                <w:szCs w:val="22"/>
              </w:rPr>
              <w:t xml:space="preserve"> </w:t>
            </w:r>
          </w:p>
          <w:p w:rsidR="00274232" w:rsidRPr="00CD439E" w:rsidRDefault="00C11CD4" w:rsidP="00274232">
            <w:pPr>
              <w:numPr>
                <w:ilvl w:val="0"/>
                <w:numId w:val="2"/>
              </w:numPr>
              <w:tabs>
                <w:tab w:val="left" w:pos="2172"/>
              </w:tabs>
              <w:contextualSpacing/>
              <w:rPr>
                <w:rFonts w:ascii="Arial" w:hAnsi="Arial" w:cs="Arial"/>
                <w:sz w:val="22"/>
                <w:szCs w:val="22"/>
              </w:rPr>
            </w:pPr>
            <w:r w:rsidRPr="00CD439E">
              <w:rPr>
                <w:rFonts w:ascii="Arial" w:hAnsi="Arial" w:cs="Arial"/>
                <w:sz w:val="22"/>
                <w:szCs w:val="22"/>
              </w:rPr>
              <w:t xml:space="preserve">The largest variance at month </w:t>
            </w:r>
            <w:r w:rsidR="00B734B9">
              <w:rPr>
                <w:rFonts w:ascii="Arial" w:hAnsi="Arial" w:cs="Arial"/>
                <w:sz w:val="22"/>
                <w:szCs w:val="22"/>
              </w:rPr>
              <w:t>12</w:t>
            </w:r>
            <w:r w:rsidR="00757DC4" w:rsidRPr="00CD439E">
              <w:rPr>
                <w:rFonts w:ascii="Arial" w:hAnsi="Arial" w:cs="Arial"/>
                <w:sz w:val="22"/>
                <w:szCs w:val="22"/>
              </w:rPr>
              <w:t xml:space="preserve"> </w:t>
            </w:r>
            <w:r w:rsidRPr="00CD439E">
              <w:rPr>
                <w:rFonts w:ascii="Arial" w:hAnsi="Arial" w:cs="Arial"/>
                <w:sz w:val="22"/>
                <w:szCs w:val="22"/>
              </w:rPr>
              <w:t>(</w:t>
            </w:r>
            <w:r w:rsidR="00B734B9">
              <w:rPr>
                <w:rFonts w:ascii="Arial" w:hAnsi="Arial" w:cs="Arial"/>
                <w:sz w:val="22"/>
                <w:szCs w:val="22"/>
              </w:rPr>
              <w:t>March</w:t>
            </w:r>
            <w:r w:rsidR="00697117" w:rsidRPr="00CD439E">
              <w:rPr>
                <w:rFonts w:ascii="Arial" w:hAnsi="Arial" w:cs="Arial"/>
                <w:sz w:val="22"/>
                <w:szCs w:val="22"/>
              </w:rPr>
              <w:t xml:space="preserve">) is the </w:t>
            </w:r>
            <w:r w:rsidR="00D0058C" w:rsidRPr="00CD439E">
              <w:rPr>
                <w:rFonts w:ascii="Arial" w:hAnsi="Arial" w:cs="Arial"/>
                <w:sz w:val="22"/>
                <w:szCs w:val="22"/>
              </w:rPr>
              <w:t>under</w:t>
            </w:r>
            <w:r w:rsidR="00252EDF">
              <w:rPr>
                <w:rFonts w:ascii="Arial" w:hAnsi="Arial" w:cs="Arial"/>
                <w:sz w:val="22"/>
                <w:szCs w:val="22"/>
              </w:rPr>
              <w:t xml:space="preserve"> </w:t>
            </w:r>
            <w:r w:rsidR="00D0058C" w:rsidRPr="00CD439E">
              <w:rPr>
                <w:rFonts w:ascii="Arial" w:hAnsi="Arial" w:cs="Arial"/>
                <w:sz w:val="22"/>
                <w:szCs w:val="22"/>
              </w:rPr>
              <w:t>spend</w:t>
            </w:r>
            <w:r w:rsidR="009440A7" w:rsidRPr="00CD439E">
              <w:rPr>
                <w:rFonts w:ascii="Arial" w:hAnsi="Arial" w:cs="Arial"/>
                <w:sz w:val="22"/>
                <w:szCs w:val="22"/>
              </w:rPr>
              <w:t xml:space="preserve"> within the Operations</w:t>
            </w:r>
            <w:r w:rsidR="002220C8" w:rsidRPr="00CD439E">
              <w:rPr>
                <w:rFonts w:ascii="Arial" w:hAnsi="Arial" w:cs="Arial"/>
                <w:sz w:val="22"/>
                <w:szCs w:val="22"/>
              </w:rPr>
              <w:t xml:space="preserve"> and Approval directorate</w:t>
            </w:r>
            <w:r w:rsidR="00A87591" w:rsidRPr="00CD439E">
              <w:rPr>
                <w:rFonts w:ascii="Arial" w:hAnsi="Arial" w:cs="Arial"/>
                <w:sz w:val="22"/>
                <w:szCs w:val="22"/>
              </w:rPr>
              <w:t xml:space="preserve"> cost centres. This </w:t>
            </w:r>
            <w:r w:rsidR="00274232" w:rsidRPr="00CD439E">
              <w:rPr>
                <w:rFonts w:ascii="Arial" w:hAnsi="Arial" w:cs="Arial"/>
                <w:sz w:val="22"/>
                <w:szCs w:val="22"/>
              </w:rPr>
              <w:t>r</w:t>
            </w:r>
            <w:r w:rsidR="004A26E0" w:rsidRPr="00CD439E">
              <w:rPr>
                <w:rFonts w:ascii="Arial" w:hAnsi="Arial" w:cs="Arial"/>
                <w:sz w:val="22"/>
                <w:szCs w:val="22"/>
              </w:rPr>
              <w:t>elates to</w:t>
            </w:r>
            <w:r w:rsidR="00EF6841" w:rsidRPr="00CD439E">
              <w:rPr>
                <w:rFonts w:ascii="Arial" w:hAnsi="Arial" w:cs="Arial"/>
                <w:sz w:val="22"/>
                <w:szCs w:val="22"/>
              </w:rPr>
              <w:t xml:space="preserve"> </w:t>
            </w:r>
            <w:r w:rsidR="00D0058C" w:rsidRPr="00CD439E">
              <w:rPr>
                <w:rFonts w:ascii="Arial" w:hAnsi="Arial" w:cs="Arial"/>
                <w:sz w:val="22"/>
                <w:szCs w:val="22"/>
              </w:rPr>
              <w:t>under</w:t>
            </w:r>
            <w:r w:rsidR="0047213E" w:rsidRPr="00CD439E">
              <w:rPr>
                <w:rFonts w:ascii="Arial" w:hAnsi="Arial" w:cs="Arial"/>
                <w:sz w:val="22"/>
                <w:szCs w:val="22"/>
              </w:rPr>
              <w:t xml:space="preserve"> </w:t>
            </w:r>
            <w:r w:rsidR="00D0058C" w:rsidRPr="00CD439E">
              <w:rPr>
                <w:rFonts w:ascii="Arial" w:hAnsi="Arial" w:cs="Arial"/>
                <w:sz w:val="22"/>
                <w:szCs w:val="22"/>
              </w:rPr>
              <w:t>spend</w:t>
            </w:r>
            <w:r w:rsidR="004A26E0" w:rsidRPr="00CD439E">
              <w:rPr>
                <w:rFonts w:ascii="Arial" w:hAnsi="Arial" w:cs="Arial"/>
                <w:sz w:val="22"/>
                <w:szCs w:val="22"/>
              </w:rPr>
              <w:t>s</w:t>
            </w:r>
            <w:r w:rsidR="00B04A89" w:rsidRPr="00CD439E">
              <w:rPr>
                <w:rFonts w:ascii="Arial" w:hAnsi="Arial" w:cs="Arial"/>
                <w:sz w:val="22"/>
                <w:szCs w:val="22"/>
              </w:rPr>
              <w:t xml:space="preserve"> within HR</w:t>
            </w:r>
            <w:r w:rsidR="00BC4C58">
              <w:rPr>
                <w:rFonts w:ascii="Arial" w:hAnsi="Arial" w:cs="Arial"/>
                <w:sz w:val="22"/>
                <w:szCs w:val="22"/>
              </w:rPr>
              <w:t>A Office Jarrow of £14</w:t>
            </w:r>
            <w:r w:rsidR="00A87591" w:rsidRPr="00CD439E">
              <w:rPr>
                <w:rFonts w:ascii="Arial" w:hAnsi="Arial" w:cs="Arial"/>
                <w:sz w:val="22"/>
                <w:szCs w:val="22"/>
              </w:rPr>
              <w:t>k</w:t>
            </w:r>
            <w:r w:rsidR="00BC4C58">
              <w:rPr>
                <w:rFonts w:ascii="Arial" w:hAnsi="Arial" w:cs="Arial"/>
                <w:sz w:val="22"/>
                <w:szCs w:val="22"/>
              </w:rPr>
              <w:t>, HRA Office Manchester of £106</w:t>
            </w:r>
            <w:r w:rsidR="004A26E0" w:rsidRPr="00CD439E">
              <w:rPr>
                <w:rFonts w:ascii="Arial" w:hAnsi="Arial" w:cs="Arial"/>
                <w:sz w:val="22"/>
                <w:szCs w:val="22"/>
              </w:rPr>
              <w:t>k</w:t>
            </w:r>
            <w:r w:rsidR="00BC4C58">
              <w:rPr>
                <w:rFonts w:ascii="Arial" w:hAnsi="Arial" w:cs="Arial"/>
                <w:sz w:val="22"/>
                <w:szCs w:val="22"/>
              </w:rPr>
              <w:t>, HRA Office Bristol £32</w:t>
            </w:r>
            <w:r w:rsidR="00987F84" w:rsidRPr="00CD439E">
              <w:rPr>
                <w:rFonts w:ascii="Arial" w:hAnsi="Arial" w:cs="Arial"/>
                <w:sz w:val="22"/>
                <w:szCs w:val="22"/>
              </w:rPr>
              <w:t>k</w:t>
            </w:r>
            <w:r w:rsidR="004A26E0" w:rsidRPr="00CD439E">
              <w:rPr>
                <w:rFonts w:ascii="Arial" w:hAnsi="Arial" w:cs="Arial"/>
                <w:sz w:val="22"/>
                <w:szCs w:val="22"/>
              </w:rPr>
              <w:t xml:space="preserve"> </w:t>
            </w:r>
            <w:r w:rsidR="0039154E" w:rsidRPr="00CD439E">
              <w:rPr>
                <w:rFonts w:ascii="Arial" w:hAnsi="Arial" w:cs="Arial"/>
                <w:sz w:val="22"/>
                <w:szCs w:val="22"/>
              </w:rPr>
              <w:t>and an under</w:t>
            </w:r>
            <w:r w:rsidR="0047213E" w:rsidRPr="00CD439E">
              <w:rPr>
                <w:rFonts w:ascii="Arial" w:hAnsi="Arial" w:cs="Arial"/>
                <w:sz w:val="22"/>
                <w:szCs w:val="22"/>
              </w:rPr>
              <w:t xml:space="preserve"> </w:t>
            </w:r>
            <w:r w:rsidR="0039154E" w:rsidRPr="00CD439E">
              <w:rPr>
                <w:rFonts w:ascii="Arial" w:hAnsi="Arial" w:cs="Arial"/>
                <w:sz w:val="22"/>
                <w:szCs w:val="22"/>
              </w:rPr>
              <w:t>spend of £</w:t>
            </w:r>
            <w:r w:rsidR="00BC4C58">
              <w:rPr>
                <w:rFonts w:ascii="Arial" w:hAnsi="Arial" w:cs="Arial"/>
                <w:sz w:val="22"/>
                <w:szCs w:val="22"/>
              </w:rPr>
              <w:t>62</w:t>
            </w:r>
            <w:r w:rsidR="00F44362" w:rsidRPr="00CD439E">
              <w:rPr>
                <w:rFonts w:ascii="Arial" w:hAnsi="Arial" w:cs="Arial"/>
                <w:sz w:val="22"/>
                <w:szCs w:val="22"/>
              </w:rPr>
              <w:t xml:space="preserve">k in Regional Manager North </w:t>
            </w:r>
            <w:r w:rsidR="00CD439E" w:rsidRPr="00CD439E">
              <w:rPr>
                <w:rFonts w:ascii="Arial" w:hAnsi="Arial" w:cs="Arial"/>
                <w:sz w:val="22"/>
                <w:szCs w:val="22"/>
              </w:rPr>
              <w:t>and So</w:t>
            </w:r>
            <w:r w:rsidR="00BC4C58">
              <w:rPr>
                <w:rFonts w:ascii="Arial" w:hAnsi="Arial" w:cs="Arial"/>
                <w:sz w:val="22"/>
                <w:szCs w:val="22"/>
              </w:rPr>
              <w:t>uth and HRA Office London of £25kand an overspend in HRA Office Nottingham of £31k</w:t>
            </w:r>
          </w:p>
          <w:p w:rsidR="00A505A6" w:rsidRPr="00CD439E" w:rsidRDefault="0039154E" w:rsidP="00A87591">
            <w:pPr>
              <w:numPr>
                <w:ilvl w:val="0"/>
                <w:numId w:val="2"/>
              </w:numPr>
              <w:tabs>
                <w:tab w:val="left" w:pos="2172"/>
              </w:tabs>
              <w:contextualSpacing/>
              <w:rPr>
                <w:rFonts w:ascii="Arial" w:hAnsi="Arial" w:cs="Arial"/>
                <w:sz w:val="22"/>
                <w:szCs w:val="22"/>
              </w:rPr>
            </w:pPr>
            <w:r w:rsidRPr="00CD439E">
              <w:rPr>
                <w:rFonts w:ascii="Arial" w:hAnsi="Arial" w:cs="Arial"/>
                <w:sz w:val="22"/>
                <w:szCs w:val="22"/>
              </w:rPr>
              <w:t xml:space="preserve">The </w:t>
            </w:r>
            <w:r w:rsidR="0047213E" w:rsidRPr="00CD439E">
              <w:rPr>
                <w:rFonts w:ascii="Arial" w:hAnsi="Arial" w:cs="Arial"/>
                <w:sz w:val="22"/>
                <w:szCs w:val="22"/>
              </w:rPr>
              <w:t>u</w:t>
            </w:r>
            <w:r w:rsidRPr="00CD439E">
              <w:rPr>
                <w:rFonts w:ascii="Arial" w:hAnsi="Arial" w:cs="Arial"/>
                <w:sz w:val="22"/>
                <w:szCs w:val="22"/>
              </w:rPr>
              <w:t>nder</w:t>
            </w:r>
            <w:r w:rsidR="0047213E" w:rsidRPr="00CD439E">
              <w:rPr>
                <w:rFonts w:ascii="Arial" w:hAnsi="Arial" w:cs="Arial"/>
                <w:sz w:val="22"/>
                <w:szCs w:val="22"/>
              </w:rPr>
              <w:t xml:space="preserve"> </w:t>
            </w:r>
            <w:r w:rsidRPr="00CD439E">
              <w:rPr>
                <w:rFonts w:ascii="Arial" w:hAnsi="Arial" w:cs="Arial"/>
                <w:sz w:val="22"/>
                <w:szCs w:val="22"/>
              </w:rPr>
              <w:t xml:space="preserve">spend within </w:t>
            </w:r>
            <w:r w:rsidR="00857E94" w:rsidRPr="00CD439E">
              <w:rPr>
                <w:rFonts w:ascii="Arial" w:hAnsi="Arial" w:cs="Arial"/>
                <w:sz w:val="22"/>
                <w:szCs w:val="22"/>
              </w:rPr>
              <w:t>HRA Office Jarrow relates</w:t>
            </w:r>
            <w:r w:rsidR="00697117" w:rsidRPr="00CD439E">
              <w:rPr>
                <w:rFonts w:ascii="Arial" w:hAnsi="Arial" w:cs="Arial"/>
                <w:sz w:val="22"/>
                <w:szCs w:val="22"/>
              </w:rPr>
              <w:t xml:space="preserve"> to £</w:t>
            </w:r>
            <w:r w:rsidR="00BC4C58">
              <w:rPr>
                <w:rFonts w:ascii="Arial" w:hAnsi="Arial" w:cs="Arial"/>
                <w:sz w:val="22"/>
                <w:szCs w:val="22"/>
              </w:rPr>
              <w:t>7</w:t>
            </w:r>
            <w:r w:rsidRPr="00CD439E">
              <w:rPr>
                <w:rFonts w:ascii="Arial" w:hAnsi="Arial" w:cs="Arial"/>
                <w:sz w:val="22"/>
                <w:szCs w:val="22"/>
              </w:rPr>
              <w:t>k staff</w:t>
            </w:r>
            <w:r w:rsidR="00857E94" w:rsidRPr="00CD439E">
              <w:rPr>
                <w:rFonts w:ascii="Arial" w:hAnsi="Arial" w:cs="Arial"/>
                <w:sz w:val="22"/>
                <w:szCs w:val="22"/>
              </w:rPr>
              <w:t xml:space="preserve"> </w:t>
            </w:r>
            <w:r w:rsidR="00BC4C58">
              <w:rPr>
                <w:rFonts w:ascii="Arial" w:hAnsi="Arial" w:cs="Arial"/>
                <w:sz w:val="22"/>
                <w:szCs w:val="22"/>
              </w:rPr>
              <w:t xml:space="preserve">costs net of </w:t>
            </w:r>
            <w:r w:rsidR="00857E94" w:rsidRPr="00CD439E">
              <w:rPr>
                <w:rFonts w:ascii="Arial" w:hAnsi="Arial" w:cs="Arial"/>
                <w:sz w:val="22"/>
                <w:szCs w:val="22"/>
              </w:rPr>
              <w:t xml:space="preserve">recharge income, </w:t>
            </w:r>
            <w:r w:rsidR="00BC4C58">
              <w:rPr>
                <w:rFonts w:ascii="Arial" w:hAnsi="Arial" w:cs="Arial"/>
                <w:sz w:val="22"/>
                <w:szCs w:val="22"/>
              </w:rPr>
              <w:t>£4</w:t>
            </w:r>
            <w:r w:rsidR="00857E94" w:rsidRPr="00CD439E">
              <w:rPr>
                <w:rFonts w:ascii="Arial" w:hAnsi="Arial" w:cs="Arial"/>
                <w:sz w:val="22"/>
                <w:szCs w:val="22"/>
              </w:rPr>
              <w:t xml:space="preserve">k </w:t>
            </w:r>
            <w:r w:rsidR="00A505A6" w:rsidRPr="00CD439E">
              <w:rPr>
                <w:rFonts w:ascii="Arial" w:hAnsi="Arial" w:cs="Arial"/>
                <w:sz w:val="22"/>
                <w:szCs w:val="22"/>
              </w:rPr>
              <w:t>on Stationery</w:t>
            </w:r>
            <w:r w:rsidR="00CD439E" w:rsidRPr="00CD439E">
              <w:rPr>
                <w:rFonts w:ascii="Arial" w:hAnsi="Arial" w:cs="Arial"/>
                <w:sz w:val="22"/>
                <w:szCs w:val="22"/>
              </w:rPr>
              <w:t xml:space="preserve"> and Storage</w:t>
            </w:r>
            <w:r w:rsidR="00A505A6" w:rsidRPr="00CD439E">
              <w:rPr>
                <w:rFonts w:ascii="Arial" w:hAnsi="Arial" w:cs="Arial"/>
                <w:sz w:val="22"/>
                <w:szCs w:val="22"/>
              </w:rPr>
              <w:t xml:space="preserve"> and £3k on Chairs Allowance.  Meeting rooms and Chairs Allowance will be budgeted on an actual basis for 2015/16 so should reduce the potential for underspends in these areas in the future.</w:t>
            </w:r>
          </w:p>
          <w:p w:rsidR="00A87591" w:rsidRPr="00CD439E" w:rsidRDefault="0039154E" w:rsidP="00A87591">
            <w:pPr>
              <w:numPr>
                <w:ilvl w:val="0"/>
                <w:numId w:val="2"/>
              </w:numPr>
              <w:tabs>
                <w:tab w:val="left" w:pos="2172"/>
              </w:tabs>
              <w:contextualSpacing/>
              <w:rPr>
                <w:rFonts w:ascii="Arial" w:hAnsi="Arial" w:cs="Arial"/>
                <w:sz w:val="22"/>
                <w:szCs w:val="22"/>
              </w:rPr>
            </w:pPr>
            <w:r w:rsidRPr="00CD439E">
              <w:rPr>
                <w:rFonts w:ascii="Arial" w:hAnsi="Arial" w:cs="Arial"/>
                <w:sz w:val="22"/>
                <w:szCs w:val="22"/>
              </w:rPr>
              <w:t>The under</w:t>
            </w:r>
            <w:r w:rsidR="0047213E" w:rsidRPr="00CD439E">
              <w:rPr>
                <w:rFonts w:ascii="Arial" w:hAnsi="Arial" w:cs="Arial"/>
                <w:sz w:val="22"/>
                <w:szCs w:val="22"/>
              </w:rPr>
              <w:t xml:space="preserve"> </w:t>
            </w:r>
            <w:r w:rsidRPr="00CD439E">
              <w:rPr>
                <w:rFonts w:ascii="Arial" w:hAnsi="Arial" w:cs="Arial"/>
                <w:sz w:val="22"/>
                <w:szCs w:val="22"/>
              </w:rPr>
              <w:t>spend within the HRA Office M</w:t>
            </w:r>
            <w:r w:rsidR="00BC4C58">
              <w:rPr>
                <w:rFonts w:ascii="Arial" w:hAnsi="Arial" w:cs="Arial"/>
                <w:sz w:val="22"/>
                <w:szCs w:val="22"/>
              </w:rPr>
              <w:t>anchester is in relation to £95</w:t>
            </w:r>
            <w:r w:rsidRPr="00CD439E">
              <w:rPr>
                <w:rFonts w:ascii="Arial" w:hAnsi="Arial" w:cs="Arial"/>
                <w:sz w:val="22"/>
                <w:szCs w:val="22"/>
              </w:rPr>
              <w:t>k of staff costs.  The Office is currently under</w:t>
            </w:r>
            <w:r w:rsidR="0047213E" w:rsidRPr="00CD439E">
              <w:rPr>
                <w:rFonts w:ascii="Arial" w:hAnsi="Arial" w:cs="Arial"/>
                <w:sz w:val="22"/>
                <w:szCs w:val="22"/>
              </w:rPr>
              <w:t xml:space="preserve"> </w:t>
            </w:r>
            <w:r w:rsidR="00AA2997" w:rsidRPr="00CD439E">
              <w:rPr>
                <w:rFonts w:ascii="Arial" w:hAnsi="Arial" w:cs="Arial"/>
                <w:sz w:val="22"/>
                <w:szCs w:val="22"/>
              </w:rPr>
              <w:t>staffed.  Recruitment is currently being undertaken</w:t>
            </w:r>
            <w:r w:rsidRPr="00CD439E">
              <w:rPr>
                <w:rFonts w:ascii="Arial" w:hAnsi="Arial" w:cs="Arial"/>
                <w:sz w:val="22"/>
                <w:szCs w:val="22"/>
              </w:rPr>
              <w:t xml:space="preserve"> and the new starters sho</w:t>
            </w:r>
            <w:r w:rsidR="00F44362" w:rsidRPr="00CD439E">
              <w:rPr>
                <w:rFonts w:ascii="Arial" w:hAnsi="Arial" w:cs="Arial"/>
                <w:sz w:val="22"/>
                <w:szCs w:val="22"/>
              </w:rPr>
              <w:t>uld commence in the near future, but it is plan</w:t>
            </w:r>
            <w:r w:rsidR="00FF481A" w:rsidRPr="00CD439E">
              <w:rPr>
                <w:rFonts w:ascii="Arial" w:hAnsi="Arial" w:cs="Arial"/>
                <w:sz w:val="22"/>
                <w:szCs w:val="22"/>
              </w:rPr>
              <w:t>n</w:t>
            </w:r>
            <w:r w:rsidR="00F44362" w:rsidRPr="00CD439E">
              <w:rPr>
                <w:rFonts w:ascii="Arial" w:hAnsi="Arial" w:cs="Arial"/>
                <w:sz w:val="22"/>
                <w:szCs w:val="22"/>
              </w:rPr>
              <w:t>ed for current staff to work additional hours to ensure delivery of the service remains effective.</w:t>
            </w:r>
            <w:r w:rsidRPr="00CD439E">
              <w:rPr>
                <w:rFonts w:ascii="Arial" w:hAnsi="Arial" w:cs="Arial"/>
                <w:sz w:val="22"/>
                <w:szCs w:val="22"/>
              </w:rPr>
              <w:t xml:space="preserve">  There </w:t>
            </w:r>
            <w:r w:rsidR="00E74373" w:rsidRPr="00CD439E">
              <w:rPr>
                <w:rFonts w:ascii="Arial" w:hAnsi="Arial" w:cs="Arial"/>
                <w:sz w:val="22"/>
                <w:szCs w:val="22"/>
              </w:rPr>
              <w:t xml:space="preserve">are </w:t>
            </w:r>
            <w:r w:rsidRPr="00CD439E">
              <w:rPr>
                <w:rFonts w:ascii="Arial" w:hAnsi="Arial" w:cs="Arial"/>
                <w:sz w:val="22"/>
                <w:szCs w:val="22"/>
              </w:rPr>
              <w:t>also under</w:t>
            </w:r>
            <w:r w:rsidR="0047213E" w:rsidRPr="00CD439E">
              <w:rPr>
                <w:rFonts w:ascii="Arial" w:hAnsi="Arial" w:cs="Arial"/>
                <w:sz w:val="22"/>
                <w:szCs w:val="22"/>
              </w:rPr>
              <w:t xml:space="preserve"> </w:t>
            </w:r>
            <w:r w:rsidRPr="00CD439E">
              <w:rPr>
                <w:rFonts w:ascii="Arial" w:hAnsi="Arial" w:cs="Arial"/>
                <w:sz w:val="22"/>
                <w:szCs w:val="22"/>
              </w:rPr>
              <w:t>spends within the HRA Of</w:t>
            </w:r>
            <w:r w:rsidR="00F75344" w:rsidRPr="00CD439E">
              <w:rPr>
                <w:rFonts w:ascii="Arial" w:hAnsi="Arial" w:cs="Arial"/>
                <w:sz w:val="22"/>
                <w:szCs w:val="22"/>
              </w:rPr>
              <w:t xml:space="preserve">fice Manchester in relation to </w:t>
            </w:r>
            <w:r w:rsidR="00B04A89" w:rsidRPr="00CD439E">
              <w:rPr>
                <w:rFonts w:ascii="Arial" w:hAnsi="Arial" w:cs="Arial"/>
                <w:sz w:val="22"/>
                <w:szCs w:val="22"/>
              </w:rPr>
              <w:t>stati</w:t>
            </w:r>
            <w:r w:rsidR="00A505A6" w:rsidRPr="00CD439E">
              <w:rPr>
                <w:rFonts w:ascii="Arial" w:hAnsi="Arial" w:cs="Arial"/>
                <w:sz w:val="22"/>
                <w:szCs w:val="22"/>
              </w:rPr>
              <w:t>onery</w:t>
            </w:r>
            <w:r w:rsidR="00CD439E" w:rsidRPr="00CD439E">
              <w:rPr>
                <w:rFonts w:ascii="Arial" w:hAnsi="Arial" w:cs="Arial"/>
                <w:sz w:val="22"/>
                <w:szCs w:val="22"/>
              </w:rPr>
              <w:t xml:space="preserve"> £14</w:t>
            </w:r>
            <w:r w:rsidR="00500E52" w:rsidRPr="00CD439E">
              <w:rPr>
                <w:rFonts w:ascii="Arial" w:hAnsi="Arial" w:cs="Arial"/>
                <w:sz w:val="22"/>
                <w:szCs w:val="22"/>
              </w:rPr>
              <w:t>k</w:t>
            </w:r>
            <w:r w:rsidR="00BC4C58">
              <w:rPr>
                <w:rFonts w:ascii="Arial" w:hAnsi="Arial" w:cs="Arial"/>
                <w:sz w:val="22"/>
                <w:szCs w:val="22"/>
              </w:rPr>
              <w:t>, postage £6</w:t>
            </w:r>
            <w:r w:rsidR="00E6328C" w:rsidRPr="00CD439E">
              <w:rPr>
                <w:rFonts w:ascii="Arial" w:hAnsi="Arial" w:cs="Arial"/>
                <w:sz w:val="22"/>
                <w:szCs w:val="22"/>
              </w:rPr>
              <w:t>k</w:t>
            </w:r>
            <w:r w:rsidRPr="00CD439E">
              <w:rPr>
                <w:rFonts w:ascii="Arial" w:hAnsi="Arial" w:cs="Arial"/>
                <w:sz w:val="22"/>
                <w:szCs w:val="22"/>
              </w:rPr>
              <w:t xml:space="preserve"> and</w:t>
            </w:r>
            <w:r w:rsidR="00BC4C58">
              <w:rPr>
                <w:rFonts w:ascii="Arial" w:hAnsi="Arial" w:cs="Arial"/>
                <w:sz w:val="22"/>
                <w:szCs w:val="22"/>
              </w:rPr>
              <w:t xml:space="preserve"> contract photocopiers £3</w:t>
            </w:r>
            <w:r w:rsidR="00F44362" w:rsidRPr="00CD439E">
              <w:rPr>
                <w:rFonts w:ascii="Arial" w:hAnsi="Arial" w:cs="Arial"/>
                <w:sz w:val="22"/>
                <w:szCs w:val="22"/>
              </w:rPr>
              <w:t>k</w:t>
            </w:r>
            <w:r w:rsidR="00987F84" w:rsidRPr="00CD439E">
              <w:rPr>
                <w:rFonts w:ascii="Arial" w:hAnsi="Arial" w:cs="Arial"/>
                <w:sz w:val="22"/>
                <w:szCs w:val="22"/>
              </w:rPr>
              <w:t xml:space="preserve"> and a small under</w:t>
            </w:r>
            <w:r w:rsidR="00BC4C58">
              <w:rPr>
                <w:rFonts w:ascii="Arial" w:hAnsi="Arial" w:cs="Arial"/>
                <w:sz w:val="22"/>
                <w:szCs w:val="22"/>
              </w:rPr>
              <w:t>spend within Chairs Allowance £3</w:t>
            </w:r>
            <w:r w:rsidR="00987F84" w:rsidRPr="00CD439E">
              <w:rPr>
                <w:rFonts w:ascii="Arial" w:hAnsi="Arial" w:cs="Arial"/>
                <w:sz w:val="22"/>
                <w:szCs w:val="22"/>
              </w:rPr>
              <w:t>k</w:t>
            </w:r>
            <w:r w:rsidR="00F16FCE">
              <w:rPr>
                <w:rFonts w:ascii="Arial" w:hAnsi="Arial" w:cs="Arial"/>
                <w:sz w:val="22"/>
                <w:szCs w:val="22"/>
              </w:rPr>
              <w:t>These are offset by overspends in Meeting expenses of £4k and Service Charge £14k.</w:t>
            </w:r>
            <w:r w:rsidR="00F44362" w:rsidRPr="00CD439E">
              <w:rPr>
                <w:rFonts w:ascii="Arial" w:hAnsi="Arial" w:cs="Arial"/>
                <w:sz w:val="22"/>
                <w:szCs w:val="22"/>
              </w:rPr>
              <w:t xml:space="preserve"> </w:t>
            </w:r>
          </w:p>
          <w:p w:rsidR="000239F7" w:rsidRPr="00CD439E" w:rsidRDefault="000239F7" w:rsidP="000239F7">
            <w:pPr>
              <w:pStyle w:val="ListParagraph"/>
              <w:numPr>
                <w:ilvl w:val="0"/>
                <w:numId w:val="2"/>
              </w:numPr>
              <w:rPr>
                <w:rFonts w:ascii="Arial" w:hAnsi="Arial" w:cs="Arial"/>
                <w:sz w:val="22"/>
                <w:szCs w:val="22"/>
              </w:rPr>
            </w:pPr>
            <w:r w:rsidRPr="00CD439E">
              <w:rPr>
                <w:rFonts w:ascii="Arial" w:hAnsi="Arial" w:cs="Arial"/>
                <w:sz w:val="22"/>
                <w:szCs w:val="22"/>
              </w:rPr>
              <w:t>The under</w:t>
            </w:r>
            <w:r w:rsidR="0047213E" w:rsidRPr="00CD439E">
              <w:rPr>
                <w:rFonts w:ascii="Arial" w:hAnsi="Arial" w:cs="Arial"/>
                <w:sz w:val="22"/>
                <w:szCs w:val="22"/>
              </w:rPr>
              <w:t xml:space="preserve"> </w:t>
            </w:r>
            <w:r w:rsidRPr="00CD439E">
              <w:rPr>
                <w:rFonts w:ascii="Arial" w:hAnsi="Arial" w:cs="Arial"/>
                <w:sz w:val="22"/>
                <w:szCs w:val="22"/>
              </w:rPr>
              <w:t xml:space="preserve">spend within the Regional Manager North </w:t>
            </w:r>
            <w:r w:rsidR="00F16FCE">
              <w:rPr>
                <w:rFonts w:ascii="Arial" w:hAnsi="Arial" w:cs="Arial"/>
                <w:sz w:val="22"/>
                <w:szCs w:val="22"/>
              </w:rPr>
              <w:t>(£47</w:t>
            </w:r>
            <w:r w:rsidRPr="00CD439E">
              <w:rPr>
                <w:rFonts w:ascii="Arial" w:hAnsi="Arial" w:cs="Arial"/>
                <w:sz w:val="22"/>
                <w:szCs w:val="22"/>
              </w:rPr>
              <w:t>k)</w:t>
            </w:r>
            <w:r w:rsidR="0047213E" w:rsidRPr="00CD439E">
              <w:rPr>
                <w:rFonts w:ascii="Arial" w:hAnsi="Arial" w:cs="Arial"/>
                <w:sz w:val="22"/>
                <w:szCs w:val="22"/>
              </w:rPr>
              <w:t xml:space="preserve"> </w:t>
            </w:r>
            <w:r w:rsidRPr="00CD439E">
              <w:rPr>
                <w:rFonts w:ascii="Arial" w:hAnsi="Arial" w:cs="Arial"/>
                <w:sz w:val="22"/>
                <w:szCs w:val="22"/>
              </w:rPr>
              <w:t>relates to the acting up of a Regional Manager into the NRES Manager post (who</w:t>
            </w:r>
            <w:r w:rsidR="0047213E" w:rsidRPr="00CD439E">
              <w:rPr>
                <w:rFonts w:ascii="Arial" w:hAnsi="Arial" w:cs="Arial"/>
                <w:sz w:val="22"/>
                <w:szCs w:val="22"/>
              </w:rPr>
              <w:t xml:space="preserve"> </w:t>
            </w:r>
            <w:r w:rsidRPr="00CD439E">
              <w:rPr>
                <w:rFonts w:ascii="Arial" w:hAnsi="Arial" w:cs="Arial"/>
                <w:sz w:val="22"/>
                <w:szCs w:val="22"/>
              </w:rPr>
              <w:t>is currently seconded to C &amp; D) and currently the Regional Manager post has not been back</w:t>
            </w:r>
            <w:r w:rsidR="0047213E" w:rsidRPr="00CD439E">
              <w:rPr>
                <w:rFonts w:ascii="Arial" w:hAnsi="Arial" w:cs="Arial"/>
                <w:sz w:val="22"/>
                <w:szCs w:val="22"/>
              </w:rPr>
              <w:t xml:space="preserve"> </w:t>
            </w:r>
            <w:r w:rsidRPr="00CD439E">
              <w:rPr>
                <w:rFonts w:ascii="Arial" w:hAnsi="Arial" w:cs="Arial"/>
                <w:sz w:val="22"/>
                <w:szCs w:val="22"/>
              </w:rPr>
              <w:t>filled.</w:t>
            </w:r>
            <w:r w:rsidR="00F44362" w:rsidRPr="00CD439E">
              <w:rPr>
                <w:rFonts w:ascii="Arial" w:hAnsi="Arial" w:cs="Arial"/>
                <w:sz w:val="22"/>
                <w:szCs w:val="22"/>
              </w:rPr>
              <w:t xml:space="preserve">  The underspend within the Regional Manager South post</w:t>
            </w:r>
            <w:r w:rsidR="00F16FCE">
              <w:rPr>
                <w:rFonts w:ascii="Arial" w:hAnsi="Arial" w:cs="Arial"/>
                <w:sz w:val="22"/>
                <w:szCs w:val="22"/>
              </w:rPr>
              <w:t xml:space="preserve"> (£15</w:t>
            </w:r>
            <w:r w:rsidR="00F75344" w:rsidRPr="00CD439E">
              <w:rPr>
                <w:rFonts w:ascii="Arial" w:hAnsi="Arial" w:cs="Arial"/>
                <w:sz w:val="22"/>
                <w:szCs w:val="22"/>
              </w:rPr>
              <w:t>k)</w:t>
            </w:r>
            <w:r w:rsidR="001721FC" w:rsidRPr="00CD439E">
              <w:rPr>
                <w:rFonts w:ascii="Arial" w:hAnsi="Arial" w:cs="Arial"/>
                <w:sz w:val="22"/>
                <w:szCs w:val="22"/>
              </w:rPr>
              <w:t xml:space="preserve"> is as a result of the changed staff configuration in the HRA Office London – and forms part of the plans for the skill mix going forward.</w:t>
            </w:r>
          </w:p>
          <w:p w:rsidR="00F16FCE" w:rsidRPr="00F16FCE" w:rsidRDefault="00987F84" w:rsidP="00F16FCE">
            <w:pPr>
              <w:pStyle w:val="ListParagraph"/>
              <w:numPr>
                <w:ilvl w:val="0"/>
                <w:numId w:val="2"/>
              </w:numPr>
              <w:rPr>
                <w:rFonts w:ascii="Arial" w:hAnsi="Arial" w:cs="Arial"/>
                <w:sz w:val="22"/>
                <w:szCs w:val="22"/>
              </w:rPr>
            </w:pPr>
            <w:proofErr w:type="gramStart"/>
            <w:r w:rsidRPr="00CD439E">
              <w:rPr>
                <w:rFonts w:ascii="Arial" w:hAnsi="Arial" w:cs="Arial"/>
                <w:sz w:val="22"/>
                <w:szCs w:val="22"/>
              </w:rPr>
              <w:t>The underspend</w:t>
            </w:r>
            <w:proofErr w:type="gramEnd"/>
            <w:r w:rsidR="00F16FCE">
              <w:rPr>
                <w:rFonts w:ascii="Arial" w:hAnsi="Arial" w:cs="Arial"/>
                <w:sz w:val="22"/>
                <w:szCs w:val="22"/>
              </w:rPr>
              <w:t xml:space="preserve"> of £32</w:t>
            </w:r>
            <w:r w:rsidR="00E51F68" w:rsidRPr="00CD439E">
              <w:rPr>
                <w:rFonts w:ascii="Arial" w:hAnsi="Arial" w:cs="Arial"/>
                <w:sz w:val="22"/>
                <w:szCs w:val="22"/>
              </w:rPr>
              <w:t>k within the HRA Office Bristol is mostly in relation to staff costs – within the underspend transferring from the HRA Office London.</w:t>
            </w:r>
            <w:r w:rsidR="00A505A6" w:rsidRPr="00CD439E">
              <w:rPr>
                <w:rFonts w:ascii="Arial" w:hAnsi="Arial" w:cs="Arial"/>
                <w:sz w:val="22"/>
                <w:szCs w:val="22"/>
              </w:rPr>
              <w:t xml:space="preserve">  There is also an underspend within C</w:t>
            </w:r>
            <w:r w:rsidR="00F16FCE">
              <w:rPr>
                <w:rFonts w:ascii="Arial" w:hAnsi="Arial" w:cs="Arial"/>
                <w:sz w:val="22"/>
                <w:szCs w:val="22"/>
              </w:rPr>
              <w:t>hairs Allowances (£12</w:t>
            </w:r>
            <w:r w:rsidR="00A505A6" w:rsidRPr="00CD439E">
              <w:rPr>
                <w:rFonts w:ascii="Arial" w:hAnsi="Arial" w:cs="Arial"/>
                <w:sz w:val="22"/>
                <w:szCs w:val="22"/>
              </w:rPr>
              <w:t>k) which is offset by overspends of £</w:t>
            </w:r>
            <w:r w:rsidR="00CD439E" w:rsidRPr="00CD439E">
              <w:rPr>
                <w:rFonts w:ascii="Arial" w:hAnsi="Arial" w:cs="Arial"/>
                <w:sz w:val="22"/>
                <w:szCs w:val="22"/>
              </w:rPr>
              <w:t>6k within Service charge due</w:t>
            </w:r>
            <w:r w:rsidR="00F16FCE">
              <w:rPr>
                <w:rFonts w:ascii="Arial" w:hAnsi="Arial" w:cs="Arial"/>
                <w:sz w:val="22"/>
                <w:szCs w:val="22"/>
              </w:rPr>
              <w:t xml:space="preserve"> to a late hosting charge and £16k overspend within Travel and Meeting Room expense of £4k.</w:t>
            </w:r>
          </w:p>
          <w:p w:rsidR="00DD6897" w:rsidRPr="004B6C9A" w:rsidRDefault="00DD6897" w:rsidP="00DD6897">
            <w:pPr>
              <w:numPr>
                <w:ilvl w:val="0"/>
                <w:numId w:val="2"/>
              </w:numPr>
              <w:tabs>
                <w:tab w:val="left" w:pos="2172"/>
              </w:tabs>
              <w:contextualSpacing/>
              <w:rPr>
                <w:rFonts w:ascii="Arial" w:hAnsi="Arial" w:cs="Arial"/>
                <w:sz w:val="22"/>
                <w:szCs w:val="22"/>
              </w:rPr>
            </w:pPr>
            <w:r w:rsidRPr="004B6C9A">
              <w:rPr>
                <w:rFonts w:ascii="Arial" w:hAnsi="Arial" w:cs="Arial"/>
                <w:sz w:val="22"/>
                <w:szCs w:val="22"/>
              </w:rPr>
              <w:t>The Better Payment Practice Code (B</w:t>
            </w:r>
            <w:r w:rsidR="003C2211" w:rsidRPr="004B6C9A">
              <w:rPr>
                <w:rFonts w:ascii="Arial" w:hAnsi="Arial" w:cs="Arial"/>
                <w:sz w:val="22"/>
                <w:szCs w:val="22"/>
              </w:rPr>
              <w:t>P</w:t>
            </w:r>
            <w:r w:rsidR="008A31A7" w:rsidRPr="004B6C9A">
              <w:rPr>
                <w:rFonts w:ascii="Arial" w:hAnsi="Arial" w:cs="Arial"/>
                <w:sz w:val="22"/>
                <w:szCs w:val="22"/>
              </w:rPr>
              <w:t>P</w:t>
            </w:r>
            <w:r w:rsidR="00FD0AE5" w:rsidRPr="004B6C9A">
              <w:rPr>
                <w:rFonts w:ascii="Arial" w:hAnsi="Arial" w:cs="Arial"/>
                <w:sz w:val="22"/>
                <w:szCs w:val="22"/>
              </w:rPr>
              <w:t>C) c</w:t>
            </w:r>
            <w:r w:rsidR="00703BA7" w:rsidRPr="004B6C9A">
              <w:rPr>
                <w:rFonts w:ascii="Arial" w:hAnsi="Arial" w:cs="Arial"/>
                <w:sz w:val="22"/>
                <w:szCs w:val="22"/>
              </w:rPr>
              <w:t xml:space="preserve">ompliance for April to </w:t>
            </w:r>
            <w:r w:rsidR="00784B55">
              <w:rPr>
                <w:rFonts w:ascii="Arial" w:hAnsi="Arial" w:cs="Arial"/>
                <w:sz w:val="22"/>
                <w:szCs w:val="22"/>
              </w:rPr>
              <w:t>March</w:t>
            </w:r>
            <w:r w:rsidR="00DF0843" w:rsidRPr="004B6C9A">
              <w:rPr>
                <w:rFonts w:ascii="Arial" w:hAnsi="Arial" w:cs="Arial"/>
                <w:sz w:val="22"/>
                <w:szCs w:val="22"/>
              </w:rPr>
              <w:t xml:space="preserve"> </w:t>
            </w:r>
            <w:r w:rsidRPr="004B6C9A">
              <w:rPr>
                <w:rFonts w:ascii="Arial" w:hAnsi="Arial" w:cs="Arial"/>
                <w:sz w:val="22"/>
                <w:szCs w:val="22"/>
              </w:rPr>
              <w:t>maintained the pe</w:t>
            </w:r>
            <w:r w:rsidR="00FD0AE5" w:rsidRPr="004B6C9A">
              <w:rPr>
                <w:rFonts w:ascii="Arial" w:hAnsi="Arial" w:cs="Arial"/>
                <w:sz w:val="22"/>
                <w:szCs w:val="22"/>
              </w:rPr>
              <w:t>rformance level of 2013/14 of 98</w:t>
            </w:r>
            <w:r w:rsidRPr="004B6C9A">
              <w:rPr>
                <w:rFonts w:ascii="Arial" w:hAnsi="Arial" w:cs="Arial"/>
                <w:sz w:val="22"/>
                <w:szCs w:val="22"/>
              </w:rPr>
              <w:t>% for the number</w:t>
            </w:r>
            <w:r w:rsidR="00DF0843" w:rsidRPr="004B6C9A">
              <w:rPr>
                <w:rFonts w:ascii="Arial" w:hAnsi="Arial" w:cs="Arial"/>
                <w:sz w:val="22"/>
                <w:szCs w:val="22"/>
              </w:rPr>
              <w:t xml:space="preserve"> of invoices p</w:t>
            </w:r>
            <w:r w:rsidR="00784B55">
              <w:rPr>
                <w:rFonts w:ascii="Arial" w:hAnsi="Arial" w:cs="Arial"/>
                <w:sz w:val="22"/>
                <w:szCs w:val="22"/>
              </w:rPr>
              <w:t>aid, and in March</w:t>
            </w:r>
            <w:r w:rsidRPr="004B6C9A">
              <w:rPr>
                <w:rFonts w:ascii="Arial" w:hAnsi="Arial" w:cs="Arial"/>
                <w:sz w:val="22"/>
                <w:szCs w:val="22"/>
              </w:rPr>
              <w:t xml:space="preserve"> </w:t>
            </w:r>
            <w:r w:rsidR="00B04C6C">
              <w:rPr>
                <w:rFonts w:ascii="Arial" w:hAnsi="Arial" w:cs="Arial"/>
                <w:sz w:val="22"/>
                <w:szCs w:val="22"/>
              </w:rPr>
              <w:t>maintaining</w:t>
            </w:r>
            <w:r w:rsidR="00872522">
              <w:rPr>
                <w:rFonts w:ascii="Arial" w:hAnsi="Arial" w:cs="Arial"/>
                <w:sz w:val="22"/>
                <w:szCs w:val="22"/>
              </w:rPr>
              <w:t xml:space="preserve"> 97</w:t>
            </w:r>
            <w:r w:rsidR="003C2211" w:rsidRPr="004B6C9A">
              <w:rPr>
                <w:rFonts w:ascii="Arial" w:hAnsi="Arial" w:cs="Arial"/>
                <w:sz w:val="22"/>
                <w:szCs w:val="22"/>
              </w:rPr>
              <w:t>%</w:t>
            </w:r>
            <w:r w:rsidR="00CD540D" w:rsidRPr="004B6C9A">
              <w:rPr>
                <w:rFonts w:ascii="Arial" w:hAnsi="Arial" w:cs="Arial"/>
                <w:sz w:val="22"/>
                <w:szCs w:val="22"/>
              </w:rPr>
              <w:t xml:space="preserve"> </w:t>
            </w:r>
            <w:r w:rsidR="00E74373" w:rsidRPr="004B6C9A">
              <w:rPr>
                <w:rFonts w:ascii="Arial" w:hAnsi="Arial" w:cs="Arial"/>
                <w:sz w:val="22"/>
                <w:szCs w:val="22"/>
              </w:rPr>
              <w:t xml:space="preserve">for value </w:t>
            </w:r>
            <w:r w:rsidR="00B04C6C">
              <w:rPr>
                <w:rFonts w:ascii="Arial" w:hAnsi="Arial" w:cs="Arial"/>
                <w:sz w:val="22"/>
                <w:szCs w:val="22"/>
              </w:rPr>
              <w:t>of invoices paid.</w:t>
            </w:r>
            <w:r w:rsidR="003C2211" w:rsidRPr="004B6C9A">
              <w:rPr>
                <w:rFonts w:ascii="Arial" w:hAnsi="Arial" w:cs="Arial"/>
                <w:sz w:val="22"/>
                <w:szCs w:val="22"/>
              </w:rPr>
              <w:t xml:space="preserve">  </w:t>
            </w:r>
            <w:r w:rsidRPr="004B6C9A">
              <w:rPr>
                <w:rFonts w:ascii="Arial" w:hAnsi="Arial" w:cs="Arial"/>
                <w:sz w:val="22"/>
                <w:szCs w:val="22"/>
              </w:rPr>
              <w:t>The HRA is aiming to pay 50% of invoices within 10 days in 2014/15, with this target rising to 60% in 2015/1</w:t>
            </w:r>
            <w:r w:rsidR="008A31A7" w:rsidRPr="004B6C9A">
              <w:rPr>
                <w:rFonts w:ascii="Arial" w:hAnsi="Arial" w:cs="Arial"/>
                <w:sz w:val="22"/>
                <w:szCs w:val="22"/>
              </w:rPr>
              <w:t>6 – current performance</w:t>
            </w:r>
            <w:r w:rsidR="00B04C6C">
              <w:rPr>
                <w:rFonts w:ascii="Arial" w:hAnsi="Arial" w:cs="Arial"/>
                <w:sz w:val="22"/>
                <w:szCs w:val="22"/>
              </w:rPr>
              <w:t xml:space="preserve"> shows 57</w:t>
            </w:r>
            <w:r w:rsidRPr="004B6C9A">
              <w:rPr>
                <w:rFonts w:ascii="Arial" w:hAnsi="Arial" w:cs="Arial"/>
                <w:sz w:val="22"/>
                <w:szCs w:val="22"/>
              </w:rPr>
              <w:t xml:space="preserve">% </w:t>
            </w:r>
            <w:r w:rsidR="00CD540D" w:rsidRPr="004B6C9A">
              <w:rPr>
                <w:rFonts w:ascii="Arial" w:hAnsi="Arial" w:cs="Arial"/>
                <w:sz w:val="22"/>
                <w:szCs w:val="22"/>
              </w:rPr>
              <w:t>on the number of invo</w:t>
            </w:r>
            <w:r w:rsidR="00784B55">
              <w:rPr>
                <w:rFonts w:ascii="Arial" w:hAnsi="Arial" w:cs="Arial"/>
                <w:sz w:val="22"/>
                <w:szCs w:val="22"/>
              </w:rPr>
              <w:t>ices (57% in February</w:t>
            </w:r>
            <w:r w:rsidR="007D0BF0">
              <w:rPr>
                <w:rFonts w:ascii="Arial" w:hAnsi="Arial" w:cs="Arial"/>
                <w:sz w:val="22"/>
                <w:szCs w:val="22"/>
              </w:rPr>
              <w:t xml:space="preserve">) </w:t>
            </w:r>
            <w:r w:rsidR="00784B55">
              <w:rPr>
                <w:rFonts w:ascii="Arial" w:hAnsi="Arial" w:cs="Arial"/>
                <w:sz w:val="22"/>
                <w:szCs w:val="22"/>
              </w:rPr>
              <w:t>and 62</w:t>
            </w:r>
            <w:r w:rsidRPr="004B6C9A">
              <w:rPr>
                <w:rFonts w:ascii="Arial" w:hAnsi="Arial" w:cs="Arial"/>
                <w:sz w:val="22"/>
                <w:szCs w:val="22"/>
              </w:rPr>
              <w:t>% based on invoice values</w:t>
            </w:r>
            <w:r w:rsidR="00784B55">
              <w:rPr>
                <w:rFonts w:ascii="Arial" w:hAnsi="Arial" w:cs="Arial"/>
                <w:sz w:val="22"/>
                <w:szCs w:val="22"/>
              </w:rPr>
              <w:t xml:space="preserve"> (61% in February</w:t>
            </w:r>
            <w:r w:rsidR="00B04C6C">
              <w:rPr>
                <w:rFonts w:ascii="Arial" w:hAnsi="Arial" w:cs="Arial"/>
                <w:sz w:val="22"/>
                <w:szCs w:val="22"/>
              </w:rPr>
              <w:t>)</w:t>
            </w:r>
            <w:r w:rsidRPr="004B6C9A">
              <w:rPr>
                <w:rFonts w:ascii="Arial" w:hAnsi="Arial" w:cs="Arial"/>
                <w:sz w:val="22"/>
                <w:szCs w:val="22"/>
              </w:rPr>
              <w:t>.  All approvers are asked to note this and to approve invoices promptly or place on hold if there is a dispute.  Performance is published on our website.</w:t>
            </w:r>
          </w:p>
          <w:p w:rsidR="0047213E" w:rsidRPr="004B6C9A" w:rsidRDefault="00C11CD4" w:rsidP="0047213E">
            <w:pPr>
              <w:numPr>
                <w:ilvl w:val="0"/>
                <w:numId w:val="2"/>
              </w:numPr>
              <w:tabs>
                <w:tab w:val="left" w:pos="2172"/>
              </w:tabs>
              <w:contextualSpacing/>
              <w:rPr>
                <w:rFonts w:ascii="Arial" w:hAnsi="Arial" w:cs="Arial"/>
                <w:sz w:val="22"/>
                <w:szCs w:val="22"/>
              </w:rPr>
            </w:pPr>
            <w:r w:rsidRPr="004B6C9A">
              <w:rPr>
                <w:rFonts w:ascii="Arial" w:hAnsi="Arial" w:cs="Arial"/>
                <w:sz w:val="22"/>
                <w:szCs w:val="22"/>
              </w:rPr>
              <w:t>Balance sheet highlights –</w:t>
            </w:r>
            <w:r w:rsidRPr="004B6C9A">
              <w:rPr>
                <w:rFonts w:ascii="Arial" w:hAnsi="Arial" w:cs="Arial"/>
                <w:color w:val="FF0000"/>
                <w:sz w:val="22"/>
                <w:szCs w:val="22"/>
              </w:rPr>
              <w:t xml:space="preserve"> </w:t>
            </w:r>
            <w:r w:rsidRPr="004B6C9A">
              <w:rPr>
                <w:rFonts w:ascii="Arial" w:hAnsi="Arial" w:cs="Arial"/>
                <w:sz w:val="22"/>
                <w:szCs w:val="22"/>
              </w:rPr>
              <w:t xml:space="preserve">Net </w:t>
            </w:r>
            <w:r w:rsidR="00241A21" w:rsidRPr="004B6C9A">
              <w:rPr>
                <w:rFonts w:ascii="Arial" w:hAnsi="Arial" w:cs="Arial"/>
                <w:sz w:val="22"/>
                <w:szCs w:val="22"/>
              </w:rPr>
              <w:t>Assets and Taxpayers Equity are</w:t>
            </w:r>
            <w:r w:rsidR="00204E97" w:rsidRPr="004B6C9A">
              <w:rPr>
                <w:rFonts w:ascii="Arial" w:hAnsi="Arial" w:cs="Arial"/>
                <w:sz w:val="22"/>
                <w:szCs w:val="22"/>
              </w:rPr>
              <w:t xml:space="preserve"> positive at</w:t>
            </w:r>
            <w:r w:rsidR="00A422D8" w:rsidRPr="004B6C9A">
              <w:rPr>
                <w:rFonts w:ascii="Arial" w:hAnsi="Arial" w:cs="Arial"/>
                <w:sz w:val="22"/>
                <w:szCs w:val="22"/>
              </w:rPr>
              <w:t xml:space="preserve"> </w:t>
            </w:r>
            <w:r w:rsidR="000D471E" w:rsidRPr="004B6C9A">
              <w:rPr>
                <w:rFonts w:ascii="Arial" w:hAnsi="Arial" w:cs="Arial"/>
                <w:sz w:val="22"/>
                <w:szCs w:val="22"/>
              </w:rPr>
              <w:t>£</w:t>
            </w:r>
            <w:r w:rsidR="009F3FB3">
              <w:rPr>
                <w:rFonts w:ascii="Arial" w:hAnsi="Arial" w:cs="Arial"/>
                <w:sz w:val="22"/>
                <w:szCs w:val="22"/>
              </w:rPr>
              <w:t>3.466</w:t>
            </w:r>
            <w:r w:rsidR="00853914" w:rsidRPr="004B6C9A">
              <w:rPr>
                <w:rFonts w:ascii="Arial" w:hAnsi="Arial" w:cs="Arial"/>
                <w:sz w:val="22"/>
                <w:szCs w:val="22"/>
              </w:rPr>
              <w:t>million</w:t>
            </w:r>
            <w:r w:rsidR="000D471E" w:rsidRPr="004B6C9A">
              <w:rPr>
                <w:rFonts w:ascii="Arial" w:hAnsi="Arial" w:cs="Arial"/>
                <w:sz w:val="22"/>
                <w:szCs w:val="22"/>
              </w:rPr>
              <w:t xml:space="preserve">.  Cash balance </w:t>
            </w:r>
            <w:r w:rsidR="0047213E" w:rsidRPr="004B6C9A">
              <w:rPr>
                <w:rFonts w:ascii="Arial" w:hAnsi="Arial" w:cs="Arial"/>
                <w:sz w:val="22"/>
                <w:szCs w:val="22"/>
              </w:rPr>
              <w:t xml:space="preserve">has reduced from year end </w:t>
            </w:r>
            <w:r w:rsidR="000D471E" w:rsidRPr="004B6C9A">
              <w:rPr>
                <w:rFonts w:ascii="Arial" w:hAnsi="Arial" w:cs="Arial"/>
                <w:sz w:val="22"/>
                <w:szCs w:val="22"/>
              </w:rPr>
              <w:t>£3</w:t>
            </w:r>
            <w:r w:rsidR="00853914" w:rsidRPr="004B6C9A">
              <w:rPr>
                <w:rFonts w:ascii="Arial" w:hAnsi="Arial" w:cs="Arial"/>
                <w:sz w:val="22"/>
                <w:szCs w:val="22"/>
              </w:rPr>
              <w:t>.8 million</w:t>
            </w:r>
            <w:r w:rsidR="00A86A0C" w:rsidRPr="004B6C9A">
              <w:rPr>
                <w:rFonts w:ascii="Arial" w:hAnsi="Arial" w:cs="Arial"/>
                <w:sz w:val="22"/>
                <w:szCs w:val="22"/>
              </w:rPr>
              <w:t xml:space="preserve"> (with liabilities to pay of £1</w:t>
            </w:r>
            <w:r w:rsidR="003001BE" w:rsidRPr="004B6C9A">
              <w:rPr>
                <w:rFonts w:ascii="Arial" w:hAnsi="Arial" w:cs="Arial"/>
                <w:sz w:val="22"/>
                <w:szCs w:val="22"/>
              </w:rPr>
              <w:t>.</w:t>
            </w:r>
            <w:r w:rsidR="00F95106" w:rsidRPr="004B6C9A">
              <w:rPr>
                <w:rFonts w:ascii="Arial" w:hAnsi="Arial" w:cs="Arial"/>
                <w:sz w:val="22"/>
                <w:szCs w:val="22"/>
              </w:rPr>
              <w:t>5</w:t>
            </w:r>
            <w:r w:rsidR="00A86A0C" w:rsidRPr="004B6C9A">
              <w:rPr>
                <w:rFonts w:ascii="Arial" w:hAnsi="Arial" w:cs="Arial"/>
                <w:sz w:val="22"/>
                <w:szCs w:val="22"/>
              </w:rPr>
              <w:t>million)</w:t>
            </w:r>
            <w:r w:rsidR="0047213E" w:rsidRPr="004B6C9A">
              <w:rPr>
                <w:rFonts w:ascii="Arial" w:hAnsi="Arial" w:cs="Arial"/>
                <w:sz w:val="22"/>
                <w:szCs w:val="22"/>
              </w:rPr>
              <w:t xml:space="preserve"> to £</w:t>
            </w:r>
            <w:r w:rsidR="009F3FB3">
              <w:rPr>
                <w:rFonts w:ascii="Arial" w:hAnsi="Arial" w:cs="Arial"/>
                <w:sz w:val="22"/>
                <w:szCs w:val="22"/>
              </w:rPr>
              <w:t>3.7</w:t>
            </w:r>
            <w:r w:rsidR="0047213E" w:rsidRPr="004B6C9A">
              <w:rPr>
                <w:rFonts w:ascii="Arial" w:hAnsi="Arial" w:cs="Arial"/>
                <w:sz w:val="22"/>
                <w:szCs w:val="22"/>
              </w:rPr>
              <w:t xml:space="preserve"> million </w:t>
            </w:r>
            <w:r w:rsidR="0099485D" w:rsidRPr="004B6C9A">
              <w:rPr>
                <w:rFonts w:ascii="Arial" w:hAnsi="Arial" w:cs="Arial"/>
                <w:sz w:val="22"/>
                <w:szCs w:val="22"/>
              </w:rPr>
              <w:t>(with liabilities to pay of £1</w:t>
            </w:r>
            <w:r w:rsidR="00B04C6C">
              <w:rPr>
                <w:rFonts w:ascii="Arial" w:hAnsi="Arial" w:cs="Arial"/>
                <w:sz w:val="22"/>
                <w:szCs w:val="22"/>
              </w:rPr>
              <w:t>.4</w:t>
            </w:r>
            <w:r w:rsidR="0047213E" w:rsidRPr="004B6C9A">
              <w:rPr>
                <w:rFonts w:ascii="Arial" w:hAnsi="Arial" w:cs="Arial"/>
                <w:sz w:val="22"/>
                <w:szCs w:val="22"/>
              </w:rPr>
              <w:t xml:space="preserve"> million) due to </w:t>
            </w:r>
            <w:r w:rsidR="00BB2F36" w:rsidRPr="004B6C9A">
              <w:rPr>
                <w:rFonts w:ascii="Arial" w:hAnsi="Arial" w:cs="Arial"/>
                <w:sz w:val="22"/>
                <w:szCs w:val="22"/>
              </w:rPr>
              <w:t xml:space="preserve">intentional </w:t>
            </w:r>
            <w:r w:rsidR="0047213E" w:rsidRPr="004B6C9A">
              <w:rPr>
                <w:rFonts w:ascii="Arial" w:hAnsi="Arial" w:cs="Arial"/>
                <w:sz w:val="22"/>
                <w:szCs w:val="22"/>
              </w:rPr>
              <w:t>lack of drawdown of cash so far this year</w:t>
            </w:r>
            <w:r w:rsidR="00A422D8" w:rsidRPr="004B6C9A">
              <w:rPr>
                <w:rFonts w:ascii="Arial" w:hAnsi="Arial" w:cs="Arial"/>
                <w:sz w:val="22"/>
                <w:szCs w:val="22"/>
              </w:rPr>
              <w:t>.</w:t>
            </w:r>
            <w:r w:rsidR="006F2E59" w:rsidRPr="004B6C9A">
              <w:rPr>
                <w:rFonts w:ascii="Arial" w:hAnsi="Arial" w:cs="Arial"/>
                <w:sz w:val="22"/>
                <w:szCs w:val="22"/>
              </w:rPr>
              <w:t xml:space="preserve">  </w:t>
            </w:r>
          </w:p>
          <w:p w:rsidR="00C11CD4" w:rsidRPr="00540FAA" w:rsidRDefault="009F3FB3" w:rsidP="009F3FB3">
            <w:pPr>
              <w:numPr>
                <w:ilvl w:val="0"/>
                <w:numId w:val="2"/>
              </w:numPr>
              <w:tabs>
                <w:tab w:val="left" w:pos="2172"/>
              </w:tabs>
              <w:contextualSpacing/>
              <w:rPr>
                <w:rFonts w:ascii="Arial" w:hAnsi="Arial" w:cs="Arial"/>
                <w:sz w:val="22"/>
                <w:szCs w:val="22"/>
              </w:rPr>
            </w:pPr>
            <w:r>
              <w:rPr>
                <w:rFonts w:ascii="Arial" w:hAnsi="Arial" w:cs="Arial"/>
                <w:bCs/>
                <w:sz w:val="22"/>
                <w:szCs w:val="22"/>
              </w:rPr>
              <w:t>Cash flow statement is based on the actual year end position and</w:t>
            </w:r>
            <w:r w:rsidR="00996AC5">
              <w:rPr>
                <w:rFonts w:ascii="Arial" w:hAnsi="Arial" w:cs="Arial"/>
                <w:bCs/>
                <w:sz w:val="22"/>
                <w:szCs w:val="22"/>
              </w:rPr>
              <w:t xml:space="preserve"> reflect</w:t>
            </w:r>
            <w:r>
              <w:rPr>
                <w:rFonts w:ascii="Arial" w:hAnsi="Arial" w:cs="Arial"/>
                <w:bCs/>
                <w:sz w:val="22"/>
                <w:szCs w:val="22"/>
              </w:rPr>
              <w:t>s the reduction of £3.6m in drawdown in March.</w:t>
            </w:r>
            <w:r w:rsidR="00BB6714" w:rsidRPr="004B6C9A">
              <w:rPr>
                <w:rFonts w:ascii="Arial" w:hAnsi="Arial" w:cs="Arial"/>
                <w:bCs/>
                <w:sz w:val="22"/>
                <w:szCs w:val="22"/>
              </w:rPr>
              <w:t xml:space="preserve"> </w:t>
            </w:r>
          </w:p>
        </w:tc>
      </w:tr>
    </w:tbl>
    <w:p w:rsidR="002F0239" w:rsidRDefault="002F0239"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p>
    <w:p w:rsidR="00445C3C" w:rsidRPr="00F64C33" w:rsidRDefault="00445C3C"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t>Health Research Autho</w:t>
      </w:r>
      <w:r>
        <w:rPr>
          <w:rFonts w:ascii="Arial" w:eastAsia="Calibri" w:hAnsi="Arial"/>
          <w:b/>
          <w:bCs/>
          <w:color w:val="56008C"/>
          <w:szCs w:val="26"/>
          <w:lang w:eastAsia="en-US"/>
        </w:rPr>
        <w:t>rity – Non Pay Expenditure</w:t>
      </w:r>
      <w:r w:rsidR="004F1024">
        <w:rPr>
          <w:rFonts w:ascii="Arial" w:eastAsia="Calibri" w:hAnsi="Arial"/>
          <w:b/>
          <w:bCs/>
          <w:color w:val="56008C"/>
          <w:szCs w:val="26"/>
          <w:lang w:eastAsia="en-US"/>
        </w:rPr>
        <w:t xml:space="preserve"> Year to</w:t>
      </w:r>
      <w:r w:rsidR="00167B08">
        <w:rPr>
          <w:rFonts w:ascii="Arial" w:eastAsia="Calibri" w:hAnsi="Arial"/>
          <w:b/>
          <w:bCs/>
          <w:color w:val="56008C"/>
          <w:szCs w:val="26"/>
          <w:lang w:eastAsia="en-US"/>
        </w:rPr>
        <w:t xml:space="preserve"> end March 2015</w:t>
      </w:r>
      <w:r>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Pr>
          <w:rFonts w:ascii="Arial" w:eastAsia="Calibri" w:hAnsi="Arial"/>
          <w:b/>
          <w:bCs/>
          <w:color w:val="56008C"/>
          <w:szCs w:val="26"/>
          <w:lang w:eastAsia="en-US"/>
        </w:rPr>
        <w:t xml:space="preserve">                 Appendix B</w:t>
      </w:r>
    </w:p>
    <w:tbl>
      <w:tblPr>
        <w:tblStyle w:val="TableGrid"/>
        <w:tblW w:w="0" w:type="auto"/>
        <w:tblLook w:val="04A0" w:firstRow="1" w:lastRow="0" w:firstColumn="1" w:lastColumn="0" w:noHBand="0" w:noVBand="1"/>
      </w:tblPr>
      <w:tblGrid>
        <w:gridCol w:w="2088"/>
        <w:gridCol w:w="13540"/>
      </w:tblGrid>
      <w:tr w:rsidR="00445C3C" w:rsidRPr="00461E1B" w:rsidTr="00B27E7E">
        <w:tc>
          <w:tcPr>
            <w:tcW w:w="2088" w:type="dxa"/>
            <w:shd w:val="clear" w:color="auto" w:fill="56008C"/>
            <w:vAlign w:val="center"/>
          </w:tcPr>
          <w:p w:rsidR="00445C3C" w:rsidRPr="00FC6EBF" w:rsidRDefault="002132BF" w:rsidP="00B27E7E">
            <w:pPr>
              <w:spacing w:after="200" w:line="276" w:lineRule="auto"/>
              <w:jc w:val="center"/>
              <w:rPr>
                <w:rFonts w:ascii="Arial" w:hAnsi="Arial" w:cs="Arial"/>
                <w:b/>
              </w:rPr>
            </w:pPr>
            <w:r w:rsidRPr="002132BF">
              <w:rPr>
                <w:rFonts w:ascii="Arial" w:hAnsi="Arial" w:cs="Arial"/>
                <w:b/>
                <w:color w:val="E28C05"/>
              </w:rPr>
              <w:t>Areas of Non- Pay Expenditure</w:t>
            </w:r>
          </w:p>
        </w:tc>
        <w:tc>
          <w:tcPr>
            <w:tcW w:w="13540" w:type="dxa"/>
          </w:tcPr>
          <w:p w:rsidR="00D95040" w:rsidRDefault="00D95040" w:rsidP="00406C23">
            <w:pPr>
              <w:tabs>
                <w:tab w:val="left" w:pos="2172"/>
              </w:tabs>
              <w:spacing w:after="200" w:line="276" w:lineRule="auto"/>
              <w:rPr>
                <w:rFonts w:ascii="Arial" w:hAnsi="Arial" w:cs="Arial"/>
                <w:sz w:val="22"/>
                <w:szCs w:val="22"/>
              </w:rPr>
            </w:pPr>
          </w:p>
          <w:tbl>
            <w:tblPr>
              <w:tblW w:w="10940" w:type="dxa"/>
              <w:tblLook w:val="04A0" w:firstRow="1" w:lastRow="0" w:firstColumn="1" w:lastColumn="0" w:noHBand="0" w:noVBand="1"/>
            </w:tblPr>
            <w:tblGrid>
              <w:gridCol w:w="766"/>
              <w:gridCol w:w="5054"/>
              <w:gridCol w:w="1065"/>
              <w:gridCol w:w="1019"/>
              <w:gridCol w:w="974"/>
              <w:gridCol w:w="928"/>
              <w:gridCol w:w="1134"/>
            </w:tblGrid>
            <w:tr w:rsidR="00167B08" w:rsidRPr="00167B08" w:rsidTr="00167B08">
              <w:trPr>
                <w:trHeight w:val="300"/>
              </w:trPr>
              <w:tc>
                <w:tcPr>
                  <w:tcW w:w="5780" w:type="dxa"/>
                  <w:gridSpan w:val="2"/>
                  <w:tcBorders>
                    <w:top w:val="nil"/>
                    <w:left w:val="nil"/>
                    <w:bottom w:val="nil"/>
                    <w:right w:val="single" w:sz="8" w:space="0" w:color="FFFFFF"/>
                  </w:tcBorders>
                  <w:shd w:val="clear" w:color="000000" w:fill="53B9B7"/>
                  <w:vAlign w:val="center"/>
                  <w:hideMark/>
                </w:tcPr>
                <w:p w:rsidR="00167B08" w:rsidRPr="00167B08" w:rsidRDefault="00167B08" w:rsidP="00167B08">
                  <w:pPr>
                    <w:jc w:val="center"/>
                    <w:rPr>
                      <w:rFonts w:ascii="Arial" w:hAnsi="Arial" w:cs="Arial"/>
                      <w:b/>
                      <w:bCs/>
                      <w:color w:val="FFFFFF"/>
                      <w:sz w:val="22"/>
                      <w:szCs w:val="22"/>
                    </w:rPr>
                  </w:pPr>
                  <w:r w:rsidRPr="00167B08">
                    <w:rPr>
                      <w:rFonts w:ascii="Arial" w:hAnsi="Arial" w:cs="Arial"/>
                      <w:b/>
                      <w:bCs/>
                      <w:color w:val="FFFFFF"/>
                      <w:sz w:val="22"/>
                      <w:szCs w:val="22"/>
                    </w:rPr>
                    <w:t>Subjective</w:t>
                  </w:r>
                </w:p>
              </w:tc>
              <w:tc>
                <w:tcPr>
                  <w:tcW w:w="1180" w:type="dxa"/>
                  <w:tcBorders>
                    <w:top w:val="nil"/>
                    <w:left w:val="nil"/>
                    <w:bottom w:val="nil"/>
                    <w:right w:val="single" w:sz="8" w:space="0" w:color="FFFFFF"/>
                  </w:tcBorders>
                  <w:shd w:val="clear" w:color="000000" w:fill="D1819A"/>
                  <w:vAlign w:val="center"/>
                  <w:hideMark/>
                </w:tcPr>
                <w:p w:rsidR="00167B08" w:rsidRPr="00167B08" w:rsidRDefault="00167B08" w:rsidP="00167B08">
                  <w:pPr>
                    <w:jc w:val="center"/>
                    <w:rPr>
                      <w:rFonts w:ascii="Arial" w:hAnsi="Arial" w:cs="Arial"/>
                      <w:b/>
                      <w:bCs/>
                      <w:color w:val="FFFFFF"/>
                      <w:sz w:val="22"/>
                      <w:szCs w:val="22"/>
                    </w:rPr>
                  </w:pPr>
                  <w:r w:rsidRPr="00167B08">
                    <w:rPr>
                      <w:rFonts w:ascii="Arial" w:hAnsi="Arial" w:cs="Arial"/>
                      <w:b/>
                      <w:bCs/>
                      <w:color w:val="FFFFFF"/>
                      <w:sz w:val="22"/>
                      <w:szCs w:val="22"/>
                    </w:rPr>
                    <w:t>Annual</w:t>
                  </w:r>
                </w:p>
              </w:tc>
              <w:tc>
                <w:tcPr>
                  <w:tcW w:w="1120" w:type="dxa"/>
                  <w:tcBorders>
                    <w:top w:val="nil"/>
                    <w:left w:val="nil"/>
                    <w:bottom w:val="nil"/>
                    <w:right w:val="single" w:sz="8" w:space="0" w:color="FFFFFF"/>
                  </w:tcBorders>
                  <w:shd w:val="clear" w:color="000000" w:fill="C8508F"/>
                  <w:vAlign w:val="center"/>
                  <w:hideMark/>
                </w:tcPr>
                <w:p w:rsidR="00167B08" w:rsidRPr="00167B08" w:rsidRDefault="00167B08" w:rsidP="00167B08">
                  <w:pPr>
                    <w:rPr>
                      <w:rFonts w:ascii="Arial" w:hAnsi="Arial" w:cs="Arial"/>
                      <w:b/>
                      <w:bCs/>
                      <w:color w:val="FFFFFF"/>
                      <w:sz w:val="22"/>
                      <w:szCs w:val="22"/>
                    </w:rPr>
                  </w:pPr>
                  <w:r w:rsidRPr="00167B08">
                    <w:rPr>
                      <w:rFonts w:ascii="Arial" w:hAnsi="Arial" w:cs="Arial"/>
                      <w:b/>
                      <w:bCs/>
                      <w:color w:val="FFFFFF"/>
                      <w:sz w:val="22"/>
                      <w:szCs w:val="22"/>
                    </w:rPr>
                    <w:t>Next year</w:t>
                  </w:r>
                </w:p>
              </w:tc>
              <w:tc>
                <w:tcPr>
                  <w:tcW w:w="2860" w:type="dxa"/>
                  <w:gridSpan w:val="3"/>
                  <w:tcBorders>
                    <w:top w:val="nil"/>
                    <w:left w:val="nil"/>
                    <w:bottom w:val="nil"/>
                    <w:right w:val="single" w:sz="8" w:space="0" w:color="FFFFFF"/>
                  </w:tcBorders>
                  <w:shd w:val="clear" w:color="000000" w:fill="55ACD3"/>
                  <w:vAlign w:val="center"/>
                  <w:hideMark/>
                </w:tcPr>
                <w:p w:rsidR="00167B08" w:rsidRPr="00167B08" w:rsidRDefault="00167B08" w:rsidP="00167B08">
                  <w:pPr>
                    <w:jc w:val="center"/>
                    <w:rPr>
                      <w:rFonts w:ascii="Arial" w:hAnsi="Arial" w:cs="Arial"/>
                      <w:b/>
                      <w:bCs/>
                      <w:color w:val="FFFFFF"/>
                      <w:sz w:val="22"/>
                      <w:szCs w:val="22"/>
                    </w:rPr>
                  </w:pPr>
                  <w:r w:rsidRPr="00167B08">
                    <w:rPr>
                      <w:rFonts w:ascii="Arial" w:hAnsi="Arial" w:cs="Arial"/>
                      <w:b/>
                      <w:bCs/>
                      <w:color w:val="FFFFFF"/>
                      <w:sz w:val="22"/>
                      <w:szCs w:val="22"/>
                    </w:rPr>
                    <w:t>Year to date (£)</w:t>
                  </w:r>
                </w:p>
              </w:tc>
            </w:tr>
            <w:tr w:rsidR="00167B08" w:rsidRPr="00167B08" w:rsidTr="00167B08">
              <w:trPr>
                <w:trHeight w:val="300"/>
              </w:trPr>
              <w:tc>
                <w:tcPr>
                  <w:tcW w:w="680" w:type="dxa"/>
                  <w:tcBorders>
                    <w:top w:val="nil"/>
                    <w:left w:val="nil"/>
                    <w:bottom w:val="nil"/>
                    <w:right w:val="single" w:sz="8" w:space="0" w:color="53B9B7"/>
                  </w:tcBorders>
                  <w:shd w:val="clear" w:color="000000" w:fill="C7E3E0"/>
                  <w:vAlign w:val="center"/>
                  <w:hideMark/>
                </w:tcPr>
                <w:p w:rsidR="00167B08" w:rsidRPr="00167B08" w:rsidRDefault="00167B08" w:rsidP="00167B08">
                  <w:pPr>
                    <w:jc w:val="center"/>
                    <w:rPr>
                      <w:rFonts w:ascii="Arial" w:hAnsi="Arial" w:cs="Arial"/>
                      <w:b/>
                      <w:bCs/>
                      <w:color w:val="000000"/>
                      <w:sz w:val="22"/>
                      <w:szCs w:val="22"/>
                    </w:rPr>
                  </w:pPr>
                  <w:r w:rsidRPr="00167B08">
                    <w:rPr>
                      <w:rFonts w:ascii="Arial" w:hAnsi="Arial" w:cs="Arial"/>
                      <w:b/>
                      <w:bCs/>
                      <w:color w:val="000000"/>
                      <w:sz w:val="22"/>
                      <w:szCs w:val="22"/>
                    </w:rPr>
                    <w:t>Code</w:t>
                  </w:r>
                </w:p>
              </w:tc>
              <w:tc>
                <w:tcPr>
                  <w:tcW w:w="5100" w:type="dxa"/>
                  <w:tcBorders>
                    <w:top w:val="nil"/>
                    <w:left w:val="nil"/>
                    <w:bottom w:val="nil"/>
                    <w:right w:val="single" w:sz="8" w:space="0" w:color="FFFFFF"/>
                  </w:tcBorders>
                  <w:shd w:val="clear" w:color="000000" w:fill="C7E3E0"/>
                  <w:vAlign w:val="center"/>
                  <w:hideMark/>
                </w:tcPr>
                <w:p w:rsidR="00167B08" w:rsidRPr="00167B08" w:rsidRDefault="00167B08" w:rsidP="00167B08">
                  <w:pPr>
                    <w:jc w:val="center"/>
                    <w:rPr>
                      <w:rFonts w:ascii="Arial" w:hAnsi="Arial" w:cs="Arial"/>
                      <w:b/>
                      <w:bCs/>
                      <w:color w:val="000000"/>
                      <w:sz w:val="22"/>
                      <w:szCs w:val="22"/>
                    </w:rPr>
                  </w:pPr>
                  <w:r w:rsidRPr="00167B08">
                    <w:rPr>
                      <w:rFonts w:ascii="Arial" w:hAnsi="Arial" w:cs="Arial"/>
                      <w:b/>
                      <w:bCs/>
                      <w:color w:val="000000"/>
                      <w:sz w:val="22"/>
                      <w:szCs w:val="22"/>
                    </w:rPr>
                    <w:t>Name</w:t>
                  </w:r>
                </w:p>
              </w:tc>
              <w:tc>
                <w:tcPr>
                  <w:tcW w:w="1180" w:type="dxa"/>
                  <w:tcBorders>
                    <w:top w:val="nil"/>
                    <w:left w:val="nil"/>
                    <w:bottom w:val="nil"/>
                    <w:right w:val="single" w:sz="8" w:space="0" w:color="FFFFFF"/>
                  </w:tcBorders>
                  <w:shd w:val="clear" w:color="000000" w:fill="D1819A"/>
                  <w:vAlign w:val="center"/>
                  <w:hideMark/>
                </w:tcPr>
                <w:p w:rsidR="00167B08" w:rsidRPr="00167B08" w:rsidRDefault="00167B08" w:rsidP="00167B08">
                  <w:pPr>
                    <w:jc w:val="center"/>
                    <w:rPr>
                      <w:rFonts w:ascii="Arial" w:hAnsi="Arial" w:cs="Arial"/>
                      <w:b/>
                      <w:bCs/>
                      <w:color w:val="FFFFFF"/>
                      <w:sz w:val="22"/>
                      <w:szCs w:val="22"/>
                    </w:rPr>
                  </w:pPr>
                  <w:r w:rsidRPr="00167B08">
                    <w:rPr>
                      <w:rFonts w:ascii="Arial" w:hAnsi="Arial" w:cs="Arial"/>
                      <w:b/>
                      <w:bCs/>
                      <w:color w:val="FFFFFF"/>
                      <w:sz w:val="22"/>
                      <w:szCs w:val="22"/>
                    </w:rPr>
                    <w:t>budget (£)</w:t>
                  </w:r>
                </w:p>
              </w:tc>
              <w:tc>
                <w:tcPr>
                  <w:tcW w:w="1120" w:type="dxa"/>
                  <w:tcBorders>
                    <w:top w:val="nil"/>
                    <w:left w:val="nil"/>
                    <w:bottom w:val="nil"/>
                    <w:right w:val="single" w:sz="8" w:space="0" w:color="FFFFFF"/>
                  </w:tcBorders>
                  <w:shd w:val="clear" w:color="000000" w:fill="C8508F"/>
                  <w:hideMark/>
                </w:tcPr>
                <w:p w:rsidR="00167B08" w:rsidRPr="00167B08" w:rsidRDefault="00167B08" w:rsidP="00167B08">
                  <w:pPr>
                    <w:rPr>
                      <w:rFonts w:ascii="Arial" w:hAnsi="Arial" w:cs="Arial"/>
                      <w:b/>
                      <w:bCs/>
                      <w:color w:val="FFFFFF"/>
                      <w:sz w:val="22"/>
                      <w:szCs w:val="22"/>
                    </w:rPr>
                  </w:pPr>
                  <w:r w:rsidRPr="00167B08">
                    <w:rPr>
                      <w:rFonts w:ascii="Arial" w:hAnsi="Arial" w:cs="Arial"/>
                      <w:b/>
                      <w:bCs/>
                      <w:color w:val="FFFFFF"/>
                      <w:sz w:val="22"/>
                      <w:szCs w:val="22"/>
                    </w:rPr>
                    <w:t>plan (£)</w:t>
                  </w:r>
                </w:p>
              </w:tc>
              <w:tc>
                <w:tcPr>
                  <w:tcW w:w="920" w:type="dxa"/>
                  <w:tcBorders>
                    <w:top w:val="nil"/>
                    <w:left w:val="nil"/>
                    <w:bottom w:val="nil"/>
                    <w:right w:val="single" w:sz="8" w:space="0" w:color="55ACD3"/>
                  </w:tcBorders>
                  <w:shd w:val="clear" w:color="000000" w:fill="B6D5E4"/>
                  <w:vAlign w:val="center"/>
                  <w:hideMark/>
                </w:tcPr>
                <w:p w:rsidR="00167B08" w:rsidRPr="00167B08" w:rsidRDefault="00167B08" w:rsidP="00167B08">
                  <w:pPr>
                    <w:rPr>
                      <w:rFonts w:ascii="Arial" w:hAnsi="Arial" w:cs="Arial"/>
                      <w:b/>
                      <w:bCs/>
                      <w:color w:val="000000"/>
                      <w:sz w:val="22"/>
                      <w:szCs w:val="22"/>
                    </w:rPr>
                  </w:pPr>
                  <w:r w:rsidRPr="00167B08">
                    <w:rPr>
                      <w:rFonts w:ascii="Arial" w:hAnsi="Arial" w:cs="Arial"/>
                      <w:b/>
                      <w:bCs/>
                      <w:color w:val="000000"/>
                      <w:sz w:val="22"/>
                      <w:szCs w:val="22"/>
                    </w:rPr>
                    <w:t>Budget</w:t>
                  </w:r>
                </w:p>
              </w:tc>
              <w:tc>
                <w:tcPr>
                  <w:tcW w:w="920" w:type="dxa"/>
                  <w:tcBorders>
                    <w:top w:val="nil"/>
                    <w:left w:val="nil"/>
                    <w:bottom w:val="nil"/>
                    <w:right w:val="single" w:sz="8" w:space="0" w:color="55ACD3"/>
                  </w:tcBorders>
                  <w:shd w:val="clear" w:color="000000" w:fill="B6D5E4"/>
                  <w:vAlign w:val="center"/>
                  <w:hideMark/>
                </w:tcPr>
                <w:p w:rsidR="00167B08" w:rsidRPr="00167B08" w:rsidRDefault="00167B08" w:rsidP="00167B08">
                  <w:pPr>
                    <w:rPr>
                      <w:rFonts w:ascii="Arial" w:hAnsi="Arial" w:cs="Arial"/>
                      <w:b/>
                      <w:bCs/>
                      <w:color w:val="000000"/>
                      <w:sz w:val="22"/>
                      <w:szCs w:val="22"/>
                    </w:rPr>
                  </w:pPr>
                  <w:r w:rsidRPr="00167B08">
                    <w:rPr>
                      <w:rFonts w:ascii="Arial" w:hAnsi="Arial" w:cs="Arial"/>
                      <w:b/>
                      <w:bCs/>
                      <w:color w:val="000000"/>
                      <w:sz w:val="22"/>
                      <w:szCs w:val="22"/>
                    </w:rPr>
                    <w:t>Actual</w:t>
                  </w:r>
                </w:p>
              </w:tc>
              <w:tc>
                <w:tcPr>
                  <w:tcW w:w="1020" w:type="dxa"/>
                  <w:tcBorders>
                    <w:top w:val="nil"/>
                    <w:left w:val="nil"/>
                    <w:bottom w:val="nil"/>
                    <w:right w:val="nil"/>
                  </w:tcBorders>
                  <w:shd w:val="clear" w:color="000000" w:fill="B6D5E4"/>
                  <w:vAlign w:val="center"/>
                  <w:hideMark/>
                </w:tcPr>
                <w:p w:rsidR="00167B08" w:rsidRPr="00167B08" w:rsidRDefault="00167B08" w:rsidP="00167B08">
                  <w:pPr>
                    <w:rPr>
                      <w:rFonts w:ascii="Arial" w:hAnsi="Arial" w:cs="Arial"/>
                      <w:b/>
                      <w:bCs/>
                      <w:color w:val="000000"/>
                      <w:sz w:val="22"/>
                      <w:szCs w:val="22"/>
                    </w:rPr>
                  </w:pPr>
                  <w:r w:rsidRPr="00167B08">
                    <w:rPr>
                      <w:rFonts w:ascii="Arial" w:hAnsi="Arial" w:cs="Arial"/>
                      <w:b/>
                      <w:bCs/>
                      <w:color w:val="000000"/>
                      <w:sz w:val="22"/>
                      <w:szCs w:val="22"/>
                    </w:rPr>
                    <w:t>Variance</w:t>
                  </w:r>
                </w:p>
              </w:tc>
            </w:tr>
            <w:tr w:rsidR="00167B08" w:rsidRPr="00167B08" w:rsidTr="00167B08">
              <w:trPr>
                <w:trHeight w:val="255"/>
              </w:trPr>
              <w:tc>
                <w:tcPr>
                  <w:tcW w:w="5780" w:type="dxa"/>
                  <w:gridSpan w:val="2"/>
                  <w:tcBorders>
                    <w:top w:val="nil"/>
                    <w:left w:val="nil"/>
                    <w:bottom w:val="nil"/>
                    <w:right w:val="nil"/>
                  </w:tcBorders>
                  <w:shd w:val="clear" w:color="auto" w:fill="auto"/>
                  <w:noWrap/>
                  <w:vAlign w:val="bottom"/>
                  <w:hideMark/>
                </w:tcPr>
                <w:p w:rsidR="00167B08" w:rsidRPr="00167B08" w:rsidRDefault="00167B08" w:rsidP="00167B08">
                  <w:pPr>
                    <w:outlineLvl w:val="0"/>
                    <w:rPr>
                      <w:rFonts w:ascii="Arial Narrow" w:hAnsi="Arial Narrow" w:cs="Calibri"/>
                      <w:b/>
                      <w:bCs/>
                      <w:color w:val="000000"/>
                      <w:sz w:val="20"/>
                      <w:szCs w:val="20"/>
                    </w:rPr>
                  </w:pPr>
                  <w:r w:rsidRPr="00167B08">
                    <w:rPr>
                      <w:rFonts w:ascii="Arial Narrow" w:hAnsi="Arial Narrow" w:cs="Calibri"/>
                      <w:b/>
                      <w:bCs/>
                      <w:color w:val="000000"/>
                      <w:sz w:val="20"/>
                      <w:szCs w:val="20"/>
                    </w:rPr>
                    <w:t>1 Meeting Rooms/Catering</w:t>
                  </w:r>
                </w:p>
              </w:tc>
              <w:tc>
                <w:tcPr>
                  <w:tcW w:w="118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233,895</w:t>
                  </w:r>
                </w:p>
              </w:tc>
              <w:tc>
                <w:tcPr>
                  <w:tcW w:w="11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223,445</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233,895</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218,310</w:t>
                  </w:r>
                </w:p>
              </w:tc>
              <w:tc>
                <w:tcPr>
                  <w:tcW w:w="10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(15,584)</w:t>
                  </w:r>
                </w:p>
              </w:tc>
            </w:tr>
            <w:tr w:rsidR="00167B08" w:rsidRPr="00167B08" w:rsidTr="00167B08">
              <w:trPr>
                <w:trHeight w:val="255"/>
              </w:trPr>
              <w:tc>
                <w:tcPr>
                  <w:tcW w:w="5780" w:type="dxa"/>
                  <w:gridSpan w:val="2"/>
                  <w:tcBorders>
                    <w:top w:val="nil"/>
                    <w:left w:val="nil"/>
                    <w:bottom w:val="nil"/>
                    <w:right w:val="nil"/>
                  </w:tcBorders>
                  <w:shd w:val="clear" w:color="auto" w:fill="auto"/>
                  <w:noWrap/>
                  <w:vAlign w:val="bottom"/>
                  <w:hideMark/>
                </w:tcPr>
                <w:p w:rsidR="00167B08" w:rsidRPr="00167B08" w:rsidRDefault="00167B08" w:rsidP="00167B08">
                  <w:pPr>
                    <w:outlineLvl w:val="0"/>
                    <w:rPr>
                      <w:rFonts w:ascii="Arial Narrow" w:hAnsi="Arial Narrow" w:cs="Calibri"/>
                      <w:b/>
                      <w:bCs/>
                      <w:color w:val="000000"/>
                      <w:sz w:val="20"/>
                      <w:szCs w:val="20"/>
                    </w:rPr>
                  </w:pPr>
                  <w:r w:rsidRPr="00167B08">
                    <w:rPr>
                      <w:rFonts w:ascii="Arial Narrow" w:hAnsi="Arial Narrow" w:cs="Calibri"/>
                      <w:b/>
                      <w:bCs/>
                      <w:color w:val="000000"/>
                      <w:sz w:val="20"/>
                      <w:szCs w:val="20"/>
                    </w:rPr>
                    <w:t>2 Office equipment/Stationery/Furniture/Consumable</w:t>
                  </w:r>
                </w:p>
              </w:tc>
              <w:tc>
                <w:tcPr>
                  <w:tcW w:w="118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131,166</w:t>
                  </w:r>
                </w:p>
              </w:tc>
              <w:tc>
                <w:tcPr>
                  <w:tcW w:w="11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78,382</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131,166</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133,478</w:t>
                  </w:r>
                </w:p>
              </w:tc>
              <w:tc>
                <w:tcPr>
                  <w:tcW w:w="10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2,312</w:t>
                  </w:r>
                </w:p>
              </w:tc>
            </w:tr>
            <w:tr w:rsidR="00167B08" w:rsidRPr="00167B08" w:rsidTr="00167B08">
              <w:trPr>
                <w:trHeight w:val="255"/>
              </w:trPr>
              <w:tc>
                <w:tcPr>
                  <w:tcW w:w="5780" w:type="dxa"/>
                  <w:gridSpan w:val="2"/>
                  <w:tcBorders>
                    <w:top w:val="nil"/>
                    <w:left w:val="nil"/>
                    <w:bottom w:val="nil"/>
                    <w:right w:val="nil"/>
                  </w:tcBorders>
                  <w:shd w:val="clear" w:color="auto" w:fill="auto"/>
                  <w:noWrap/>
                  <w:vAlign w:val="bottom"/>
                  <w:hideMark/>
                </w:tcPr>
                <w:p w:rsidR="00167B08" w:rsidRPr="00167B08" w:rsidRDefault="00167B08" w:rsidP="00167B08">
                  <w:pPr>
                    <w:outlineLvl w:val="0"/>
                    <w:rPr>
                      <w:rFonts w:ascii="Arial Narrow" w:hAnsi="Arial Narrow" w:cs="Calibri"/>
                      <w:b/>
                      <w:bCs/>
                      <w:color w:val="000000"/>
                      <w:sz w:val="20"/>
                      <w:szCs w:val="20"/>
                    </w:rPr>
                  </w:pPr>
                  <w:r w:rsidRPr="00167B08">
                    <w:rPr>
                      <w:rFonts w:ascii="Arial Narrow" w:hAnsi="Arial Narrow" w:cs="Calibri"/>
                      <w:b/>
                      <w:bCs/>
                      <w:color w:val="000000"/>
                      <w:sz w:val="20"/>
                      <w:szCs w:val="20"/>
                    </w:rPr>
                    <w:t>3 Photocopying/Printing/Postage/Storage/Waste</w:t>
                  </w:r>
                </w:p>
              </w:tc>
              <w:tc>
                <w:tcPr>
                  <w:tcW w:w="118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186,202</w:t>
                  </w:r>
                </w:p>
              </w:tc>
              <w:tc>
                <w:tcPr>
                  <w:tcW w:w="11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181,152</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186,202</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179,898</w:t>
                  </w:r>
                </w:p>
              </w:tc>
              <w:tc>
                <w:tcPr>
                  <w:tcW w:w="10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(6,304)</w:t>
                  </w:r>
                </w:p>
              </w:tc>
            </w:tr>
            <w:tr w:rsidR="00167B08" w:rsidRPr="00167B08" w:rsidTr="00167B08">
              <w:trPr>
                <w:trHeight w:val="255"/>
              </w:trPr>
              <w:tc>
                <w:tcPr>
                  <w:tcW w:w="5780" w:type="dxa"/>
                  <w:gridSpan w:val="2"/>
                  <w:tcBorders>
                    <w:top w:val="nil"/>
                    <w:left w:val="nil"/>
                    <w:bottom w:val="nil"/>
                    <w:right w:val="nil"/>
                  </w:tcBorders>
                  <w:shd w:val="clear" w:color="auto" w:fill="auto"/>
                  <w:noWrap/>
                  <w:vAlign w:val="bottom"/>
                  <w:hideMark/>
                </w:tcPr>
                <w:p w:rsidR="00167B08" w:rsidRPr="00167B08" w:rsidRDefault="00167B08" w:rsidP="00167B08">
                  <w:pPr>
                    <w:outlineLvl w:val="0"/>
                    <w:rPr>
                      <w:rFonts w:ascii="Arial Narrow" w:hAnsi="Arial Narrow" w:cs="Calibri"/>
                      <w:b/>
                      <w:bCs/>
                      <w:color w:val="000000"/>
                      <w:sz w:val="20"/>
                      <w:szCs w:val="20"/>
                    </w:rPr>
                  </w:pPr>
                  <w:r w:rsidRPr="00167B08">
                    <w:rPr>
                      <w:rFonts w:ascii="Arial Narrow" w:hAnsi="Arial Narrow" w:cs="Calibri"/>
                      <w:b/>
                      <w:bCs/>
                      <w:color w:val="000000"/>
                      <w:sz w:val="20"/>
                      <w:szCs w:val="20"/>
                    </w:rPr>
                    <w:t xml:space="preserve">4 Premises - </w:t>
                  </w:r>
                  <w:proofErr w:type="spellStart"/>
                  <w:r w:rsidRPr="00167B08">
                    <w:rPr>
                      <w:rFonts w:ascii="Arial Narrow" w:hAnsi="Arial Narrow" w:cs="Calibri"/>
                      <w:b/>
                      <w:bCs/>
                      <w:color w:val="000000"/>
                      <w:sz w:val="20"/>
                      <w:szCs w:val="20"/>
                    </w:rPr>
                    <w:t>inc</w:t>
                  </w:r>
                  <w:proofErr w:type="spellEnd"/>
                  <w:r w:rsidRPr="00167B08">
                    <w:rPr>
                      <w:rFonts w:ascii="Arial Narrow" w:hAnsi="Arial Narrow" w:cs="Calibri"/>
                      <w:b/>
                      <w:bCs/>
                      <w:color w:val="000000"/>
                      <w:sz w:val="20"/>
                      <w:szCs w:val="20"/>
                    </w:rPr>
                    <w:t xml:space="preserve"> premise removal costs</w:t>
                  </w:r>
                </w:p>
              </w:tc>
              <w:tc>
                <w:tcPr>
                  <w:tcW w:w="118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811,628</w:t>
                  </w:r>
                </w:p>
              </w:tc>
              <w:tc>
                <w:tcPr>
                  <w:tcW w:w="11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795,139</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811,628</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834,952</w:t>
                  </w:r>
                </w:p>
              </w:tc>
              <w:tc>
                <w:tcPr>
                  <w:tcW w:w="10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23,324</w:t>
                  </w:r>
                </w:p>
              </w:tc>
            </w:tr>
            <w:tr w:rsidR="00167B08" w:rsidRPr="00167B08" w:rsidTr="00167B08">
              <w:trPr>
                <w:trHeight w:val="255"/>
              </w:trPr>
              <w:tc>
                <w:tcPr>
                  <w:tcW w:w="5780" w:type="dxa"/>
                  <w:gridSpan w:val="2"/>
                  <w:tcBorders>
                    <w:top w:val="nil"/>
                    <w:left w:val="nil"/>
                    <w:bottom w:val="nil"/>
                    <w:right w:val="nil"/>
                  </w:tcBorders>
                  <w:shd w:val="clear" w:color="auto" w:fill="auto"/>
                  <w:noWrap/>
                  <w:vAlign w:val="bottom"/>
                  <w:hideMark/>
                </w:tcPr>
                <w:p w:rsidR="00167B08" w:rsidRPr="00167B08" w:rsidRDefault="00167B08" w:rsidP="00167B08">
                  <w:pPr>
                    <w:outlineLvl w:val="0"/>
                    <w:rPr>
                      <w:rFonts w:ascii="Arial Narrow" w:hAnsi="Arial Narrow" w:cs="Calibri"/>
                      <w:b/>
                      <w:bCs/>
                      <w:color w:val="000000"/>
                      <w:sz w:val="20"/>
                      <w:szCs w:val="20"/>
                    </w:rPr>
                  </w:pPr>
                  <w:r w:rsidRPr="00167B08">
                    <w:rPr>
                      <w:rFonts w:ascii="Arial Narrow" w:hAnsi="Arial Narrow" w:cs="Calibri"/>
                      <w:b/>
                      <w:bCs/>
                      <w:color w:val="000000"/>
                      <w:sz w:val="20"/>
                      <w:szCs w:val="20"/>
                    </w:rPr>
                    <w:t>5 Training Expenses - expenses/materials , conferences, workshops</w:t>
                  </w:r>
                </w:p>
              </w:tc>
              <w:tc>
                <w:tcPr>
                  <w:tcW w:w="118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199,497</w:t>
                  </w:r>
                </w:p>
              </w:tc>
              <w:tc>
                <w:tcPr>
                  <w:tcW w:w="11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68,956</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199,497</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204,163</w:t>
                  </w:r>
                </w:p>
              </w:tc>
              <w:tc>
                <w:tcPr>
                  <w:tcW w:w="10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4,666</w:t>
                  </w:r>
                </w:p>
              </w:tc>
            </w:tr>
            <w:tr w:rsidR="00167B08" w:rsidRPr="00167B08" w:rsidTr="00167B08">
              <w:trPr>
                <w:trHeight w:val="255"/>
              </w:trPr>
              <w:tc>
                <w:tcPr>
                  <w:tcW w:w="5780" w:type="dxa"/>
                  <w:gridSpan w:val="2"/>
                  <w:tcBorders>
                    <w:top w:val="nil"/>
                    <w:left w:val="nil"/>
                    <w:bottom w:val="nil"/>
                    <w:right w:val="nil"/>
                  </w:tcBorders>
                  <w:shd w:val="clear" w:color="auto" w:fill="auto"/>
                  <w:noWrap/>
                  <w:vAlign w:val="bottom"/>
                  <w:hideMark/>
                </w:tcPr>
                <w:p w:rsidR="00167B08" w:rsidRPr="00167B08" w:rsidRDefault="00167B08" w:rsidP="00167B08">
                  <w:pPr>
                    <w:outlineLvl w:val="0"/>
                    <w:rPr>
                      <w:rFonts w:ascii="Arial Narrow" w:hAnsi="Arial Narrow" w:cs="Calibri"/>
                      <w:b/>
                      <w:bCs/>
                      <w:color w:val="000000"/>
                      <w:sz w:val="20"/>
                      <w:szCs w:val="20"/>
                    </w:rPr>
                  </w:pPr>
                  <w:r w:rsidRPr="00167B08">
                    <w:rPr>
                      <w:rFonts w:ascii="Arial Narrow" w:hAnsi="Arial Narrow" w:cs="Calibri"/>
                      <w:b/>
                      <w:bCs/>
                      <w:color w:val="000000"/>
                      <w:sz w:val="20"/>
                      <w:szCs w:val="20"/>
                    </w:rPr>
                    <w:t>7 Other Staff costs - Recruitment/adverts/redundancy/PILON</w:t>
                  </w:r>
                </w:p>
              </w:tc>
              <w:tc>
                <w:tcPr>
                  <w:tcW w:w="118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68,182</w:t>
                  </w:r>
                </w:p>
              </w:tc>
              <w:tc>
                <w:tcPr>
                  <w:tcW w:w="11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6,000</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68,182</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67,166</w:t>
                  </w:r>
                </w:p>
              </w:tc>
              <w:tc>
                <w:tcPr>
                  <w:tcW w:w="10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(1,016)</w:t>
                  </w:r>
                </w:p>
              </w:tc>
            </w:tr>
            <w:tr w:rsidR="00167B08" w:rsidRPr="00167B08" w:rsidTr="00167B08">
              <w:trPr>
                <w:trHeight w:val="255"/>
              </w:trPr>
              <w:tc>
                <w:tcPr>
                  <w:tcW w:w="5780" w:type="dxa"/>
                  <w:gridSpan w:val="2"/>
                  <w:tcBorders>
                    <w:top w:val="nil"/>
                    <w:left w:val="nil"/>
                    <w:bottom w:val="nil"/>
                    <w:right w:val="nil"/>
                  </w:tcBorders>
                  <w:shd w:val="clear" w:color="auto" w:fill="auto"/>
                  <w:noWrap/>
                  <w:vAlign w:val="bottom"/>
                  <w:hideMark/>
                </w:tcPr>
                <w:p w:rsidR="00167B08" w:rsidRPr="00167B08" w:rsidRDefault="00167B08" w:rsidP="00167B08">
                  <w:pPr>
                    <w:outlineLvl w:val="0"/>
                    <w:rPr>
                      <w:rFonts w:ascii="Arial Narrow" w:hAnsi="Arial Narrow" w:cs="Calibri"/>
                      <w:b/>
                      <w:bCs/>
                      <w:color w:val="000000"/>
                      <w:sz w:val="20"/>
                      <w:szCs w:val="20"/>
                    </w:rPr>
                  </w:pPr>
                  <w:r w:rsidRPr="00167B08">
                    <w:rPr>
                      <w:rFonts w:ascii="Arial Narrow" w:hAnsi="Arial Narrow" w:cs="Calibri"/>
                      <w:b/>
                      <w:bCs/>
                      <w:color w:val="000000"/>
                      <w:sz w:val="20"/>
                      <w:szCs w:val="20"/>
                    </w:rPr>
                    <w:t>8 Travel costs - include excess mileage/interview expenses</w:t>
                  </w:r>
                </w:p>
              </w:tc>
              <w:tc>
                <w:tcPr>
                  <w:tcW w:w="118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553,468</w:t>
                  </w:r>
                </w:p>
              </w:tc>
              <w:tc>
                <w:tcPr>
                  <w:tcW w:w="11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535,714</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553,468</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621,720</w:t>
                  </w:r>
                </w:p>
              </w:tc>
              <w:tc>
                <w:tcPr>
                  <w:tcW w:w="10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68,251</w:t>
                  </w:r>
                </w:p>
              </w:tc>
            </w:tr>
            <w:tr w:rsidR="00167B08" w:rsidRPr="00167B08" w:rsidTr="00167B08">
              <w:trPr>
                <w:trHeight w:val="255"/>
              </w:trPr>
              <w:tc>
                <w:tcPr>
                  <w:tcW w:w="5780" w:type="dxa"/>
                  <w:gridSpan w:val="2"/>
                  <w:tcBorders>
                    <w:top w:val="nil"/>
                    <w:left w:val="nil"/>
                    <w:bottom w:val="nil"/>
                    <w:right w:val="nil"/>
                  </w:tcBorders>
                  <w:shd w:val="clear" w:color="auto" w:fill="auto"/>
                  <w:noWrap/>
                  <w:vAlign w:val="bottom"/>
                  <w:hideMark/>
                </w:tcPr>
                <w:p w:rsidR="00167B08" w:rsidRPr="00167B08" w:rsidRDefault="00167B08" w:rsidP="00167B08">
                  <w:pPr>
                    <w:outlineLvl w:val="0"/>
                    <w:rPr>
                      <w:rFonts w:ascii="Arial Narrow" w:hAnsi="Arial Narrow" w:cs="Calibri"/>
                      <w:b/>
                      <w:bCs/>
                      <w:color w:val="000000"/>
                      <w:sz w:val="20"/>
                      <w:szCs w:val="20"/>
                    </w:rPr>
                  </w:pPr>
                  <w:r w:rsidRPr="00167B08">
                    <w:rPr>
                      <w:rFonts w:ascii="Arial Narrow" w:hAnsi="Arial Narrow" w:cs="Calibri"/>
                      <w:b/>
                      <w:bCs/>
                      <w:color w:val="000000"/>
                      <w:sz w:val="20"/>
                      <w:szCs w:val="20"/>
                    </w:rPr>
                    <w:t>9 Chairs/Members/Participation - activity costs</w:t>
                  </w:r>
                </w:p>
              </w:tc>
              <w:tc>
                <w:tcPr>
                  <w:tcW w:w="118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361,028</w:t>
                  </w:r>
                </w:p>
              </w:tc>
              <w:tc>
                <w:tcPr>
                  <w:tcW w:w="11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321,028</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361,028</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344,312</w:t>
                  </w:r>
                </w:p>
              </w:tc>
              <w:tc>
                <w:tcPr>
                  <w:tcW w:w="10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(16,716)</w:t>
                  </w:r>
                </w:p>
              </w:tc>
            </w:tr>
            <w:tr w:rsidR="00167B08" w:rsidRPr="00167B08" w:rsidTr="00167B08">
              <w:trPr>
                <w:trHeight w:val="255"/>
              </w:trPr>
              <w:tc>
                <w:tcPr>
                  <w:tcW w:w="5780" w:type="dxa"/>
                  <w:gridSpan w:val="2"/>
                  <w:tcBorders>
                    <w:top w:val="nil"/>
                    <w:left w:val="nil"/>
                    <w:bottom w:val="nil"/>
                    <w:right w:val="nil"/>
                  </w:tcBorders>
                  <w:shd w:val="clear" w:color="auto" w:fill="auto"/>
                  <w:noWrap/>
                  <w:vAlign w:val="bottom"/>
                  <w:hideMark/>
                </w:tcPr>
                <w:p w:rsidR="00167B08" w:rsidRPr="00167B08" w:rsidRDefault="00167B08" w:rsidP="00167B08">
                  <w:pPr>
                    <w:outlineLvl w:val="0"/>
                    <w:rPr>
                      <w:rFonts w:ascii="Arial Narrow" w:hAnsi="Arial Narrow" w:cs="Calibri"/>
                      <w:b/>
                      <w:bCs/>
                      <w:color w:val="000000"/>
                      <w:sz w:val="20"/>
                      <w:szCs w:val="20"/>
                    </w:rPr>
                  </w:pPr>
                  <w:r w:rsidRPr="00167B08">
                    <w:rPr>
                      <w:rFonts w:ascii="Arial Narrow" w:hAnsi="Arial Narrow" w:cs="Calibri"/>
                      <w:b/>
                      <w:bCs/>
                      <w:color w:val="000000"/>
                      <w:sz w:val="20"/>
                      <w:szCs w:val="20"/>
                    </w:rPr>
                    <w:t>10 Publications</w:t>
                  </w:r>
                </w:p>
              </w:tc>
              <w:tc>
                <w:tcPr>
                  <w:tcW w:w="118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4,800</w:t>
                  </w:r>
                </w:p>
              </w:tc>
              <w:tc>
                <w:tcPr>
                  <w:tcW w:w="11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4,800</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4,800</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2,134</w:t>
                  </w:r>
                </w:p>
              </w:tc>
              <w:tc>
                <w:tcPr>
                  <w:tcW w:w="10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(2,666)</w:t>
                  </w:r>
                </w:p>
              </w:tc>
            </w:tr>
            <w:tr w:rsidR="00167B08" w:rsidRPr="00167B08" w:rsidTr="00167B08">
              <w:trPr>
                <w:trHeight w:val="255"/>
              </w:trPr>
              <w:tc>
                <w:tcPr>
                  <w:tcW w:w="5780" w:type="dxa"/>
                  <w:gridSpan w:val="2"/>
                  <w:tcBorders>
                    <w:top w:val="nil"/>
                    <w:left w:val="nil"/>
                    <w:bottom w:val="nil"/>
                    <w:right w:val="nil"/>
                  </w:tcBorders>
                  <w:shd w:val="clear" w:color="auto" w:fill="auto"/>
                  <w:noWrap/>
                  <w:vAlign w:val="bottom"/>
                  <w:hideMark/>
                </w:tcPr>
                <w:p w:rsidR="00167B08" w:rsidRPr="00167B08" w:rsidRDefault="00167B08" w:rsidP="00167B08">
                  <w:pPr>
                    <w:outlineLvl w:val="0"/>
                    <w:rPr>
                      <w:rFonts w:ascii="Arial Narrow" w:hAnsi="Arial Narrow" w:cs="Calibri"/>
                      <w:b/>
                      <w:bCs/>
                      <w:color w:val="000000"/>
                      <w:sz w:val="20"/>
                      <w:szCs w:val="20"/>
                    </w:rPr>
                  </w:pPr>
                  <w:r w:rsidRPr="00167B08">
                    <w:rPr>
                      <w:rFonts w:ascii="Arial Narrow" w:hAnsi="Arial Narrow" w:cs="Calibri"/>
                      <w:b/>
                      <w:bCs/>
                      <w:color w:val="000000"/>
                      <w:sz w:val="20"/>
                      <w:szCs w:val="20"/>
                    </w:rPr>
                    <w:t>11 Mobile Phones/Mobile Data</w:t>
                  </w:r>
                </w:p>
              </w:tc>
              <w:tc>
                <w:tcPr>
                  <w:tcW w:w="118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25,808</w:t>
                  </w:r>
                </w:p>
              </w:tc>
              <w:tc>
                <w:tcPr>
                  <w:tcW w:w="11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25,103</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25,808</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19,201</w:t>
                  </w:r>
                </w:p>
              </w:tc>
              <w:tc>
                <w:tcPr>
                  <w:tcW w:w="10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(6,607)</w:t>
                  </w:r>
                </w:p>
              </w:tc>
            </w:tr>
            <w:tr w:rsidR="00167B08" w:rsidRPr="00167B08" w:rsidTr="00167B08">
              <w:trPr>
                <w:trHeight w:val="255"/>
              </w:trPr>
              <w:tc>
                <w:tcPr>
                  <w:tcW w:w="5780" w:type="dxa"/>
                  <w:gridSpan w:val="2"/>
                  <w:tcBorders>
                    <w:top w:val="nil"/>
                    <w:left w:val="nil"/>
                    <w:bottom w:val="nil"/>
                    <w:right w:val="nil"/>
                  </w:tcBorders>
                  <w:shd w:val="clear" w:color="auto" w:fill="auto"/>
                  <w:noWrap/>
                  <w:vAlign w:val="bottom"/>
                  <w:hideMark/>
                </w:tcPr>
                <w:p w:rsidR="00167B08" w:rsidRPr="00167B08" w:rsidRDefault="00167B08" w:rsidP="00167B08">
                  <w:pPr>
                    <w:outlineLvl w:val="0"/>
                    <w:rPr>
                      <w:rFonts w:ascii="Arial Narrow" w:hAnsi="Arial Narrow" w:cs="Calibri"/>
                      <w:b/>
                      <w:bCs/>
                      <w:color w:val="000000"/>
                      <w:sz w:val="20"/>
                      <w:szCs w:val="20"/>
                    </w:rPr>
                  </w:pPr>
                  <w:r w:rsidRPr="00167B08">
                    <w:rPr>
                      <w:rFonts w:ascii="Arial Narrow" w:hAnsi="Arial Narrow" w:cs="Calibri"/>
                      <w:b/>
                      <w:bCs/>
                      <w:color w:val="000000"/>
                      <w:sz w:val="20"/>
                      <w:szCs w:val="20"/>
                    </w:rPr>
                    <w:t xml:space="preserve">12 Statutory Costs - health &amp; Safety/Audit Fees/Depreciation &amp; </w:t>
                  </w:r>
                  <w:proofErr w:type="spellStart"/>
                  <w:r w:rsidRPr="00167B08">
                    <w:rPr>
                      <w:rFonts w:ascii="Arial Narrow" w:hAnsi="Arial Narrow" w:cs="Calibri"/>
                      <w:b/>
                      <w:bCs/>
                      <w:color w:val="000000"/>
                      <w:sz w:val="20"/>
                      <w:szCs w:val="20"/>
                    </w:rPr>
                    <w:t>Amort</w:t>
                  </w:r>
                  <w:proofErr w:type="spellEnd"/>
                </w:p>
              </w:tc>
              <w:tc>
                <w:tcPr>
                  <w:tcW w:w="118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264,710</w:t>
                  </w:r>
                </w:p>
              </w:tc>
              <w:tc>
                <w:tcPr>
                  <w:tcW w:w="11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258,070</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264,710</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261,602</w:t>
                  </w:r>
                </w:p>
              </w:tc>
              <w:tc>
                <w:tcPr>
                  <w:tcW w:w="10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(3,108)</w:t>
                  </w:r>
                </w:p>
              </w:tc>
            </w:tr>
            <w:tr w:rsidR="00167B08" w:rsidRPr="00167B08" w:rsidTr="00167B08">
              <w:trPr>
                <w:trHeight w:val="255"/>
              </w:trPr>
              <w:tc>
                <w:tcPr>
                  <w:tcW w:w="5780" w:type="dxa"/>
                  <w:gridSpan w:val="2"/>
                  <w:tcBorders>
                    <w:top w:val="nil"/>
                    <w:left w:val="nil"/>
                    <w:bottom w:val="nil"/>
                    <w:right w:val="nil"/>
                  </w:tcBorders>
                  <w:shd w:val="clear" w:color="auto" w:fill="auto"/>
                  <w:noWrap/>
                  <w:vAlign w:val="bottom"/>
                  <w:hideMark/>
                </w:tcPr>
                <w:p w:rsidR="00167B08" w:rsidRPr="00167B08" w:rsidRDefault="00167B08" w:rsidP="00167B08">
                  <w:pPr>
                    <w:outlineLvl w:val="0"/>
                    <w:rPr>
                      <w:rFonts w:ascii="Arial Narrow" w:hAnsi="Arial Narrow" w:cs="Calibri"/>
                      <w:b/>
                      <w:bCs/>
                      <w:color w:val="000000"/>
                      <w:sz w:val="20"/>
                      <w:szCs w:val="20"/>
                    </w:rPr>
                  </w:pPr>
                  <w:r w:rsidRPr="00167B08">
                    <w:rPr>
                      <w:rFonts w:ascii="Arial Narrow" w:hAnsi="Arial Narrow" w:cs="Calibri"/>
                      <w:b/>
                      <w:bCs/>
                      <w:color w:val="000000"/>
                      <w:sz w:val="20"/>
                      <w:szCs w:val="20"/>
                    </w:rPr>
                    <w:t>13 Computer Costs - software/licences/system maintenance/purchases</w:t>
                  </w:r>
                </w:p>
              </w:tc>
              <w:tc>
                <w:tcPr>
                  <w:tcW w:w="118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133,500</w:t>
                  </w:r>
                </w:p>
              </w:tc>
              <w:tc>
                <w:tcPr>
                  <w:tcW w:w="11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61,707</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133,500</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209,094</w:t>
                  </w:r>
                </w:p>
              </w:tc>
              <w:tc>
                <w:tcPr>
                  <w:tcW w:w="10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75,594</w:t>
                  </w:r>
                </w:p>
              </w:tc>
            </w:tr>
            <w:tr w:rsidR="00167B08" w:rsidRPr="00167B08" w:rsidTr="00167B08">
              <w:trPr>
                <w:trHeight w:val="255"/>
              </w:trPr>
              <w:tc>
                <w:tcPr>
                  <w:tcW w:w="5780" w:type="dxa"/>
                  <w:gridSpan w:val="2"/>
                  <w:tcBorders>
                    <w:top w:val="nil"/>
                    <w:left w:val="nil"/>
                    <w:bottom w:val="nil"/>
                    <w:right w:val="nil"/>
                  </w:tcBorders>
                  <w:shd w:val="clear" w:color="auto" w:fill="auto"/>
                  <w:noWrap/>
                  <w:vAlign w:val="bottom"/>
                  <w:hideMark/>
                </w:tcPr>
                <w:p w:rsidR="00167B08" w:rsidRPr="00167B08" w:rsidRDefault="00167B08" w:rsidP="00167B08">
                  <w:pPr>
                    <w:outlineLvl w:val="0"/>
                    <w:rPr>
                      <w:rFonts w:ascii="Arial Narrow" w:hAnsi="Arial Narrow" w:cs="Calibri"/>
                      <w:b/>
                      <w:bCs/>
                      <w:color w:val="000000"/>
                      <w:sz w:val="20"/>
                      <w:szCs w:val="20"/>
                    </w:rPr>
                  </w:pPr>
                  <w:r w:rsidRPr="00167B08">
                    <w:rPr>
                      <w:rFonts w:ascii="Arial Narrow" w:hAnsi="Arial Narrow" w:cs="Calibri"/>
                      <w:b/>
                      <w:bCs/>
                      <w:color w:val="000000"/>
                      <w:sz w:val="20"/>
                      <w:szCs w:val="20"/>
                    </w:rPr>
                    <w:t>14 Other External Contracts - SLA's - Premises, SBS,BSA, DH IT</w:t>
                  </w:r>
                </w:p>
              </w:tc>
              <w:tc>
                <w:tcPr>
                  <w:tcW w:w="118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1,138,790</w:t>
                  </w:r>
                </w:p>
              </w:tc>
              <w:tc>
                <w:tcPr>
                  <w:tcW w:w="11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851,296</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1,138,790</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1,048,987</w:t>
                  </w:r>
                </w:p>
              </w:tc>
              <w:tc>
                <w:tcPr>
                  <w:tcW w:w="10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(89,803)</w:t>
                  </w:r>
                </w:p>
              </w:tc>
            </w:tr>
            <w:tr w:rsidR="00167B08" w:rsidRPr="00167B08" w:rsidTr="00167B08">
              <w:trPr>
                <w:trHeight w:val="255"/>
              </w:trPr>
              <w:tc>
                <w:tcPr>
                  <w:tcW w:w="5780" w:type="dxa"/>
                  <w:gridSpan w:val="2"/>
                  <w:tcBorders>
                    <w:top w:val="nil"/>
                    <w:left w:val="nil"/>
                    <w:bottom w:val="nil"/>
                    <w:right w:val="nil"/>
                  </w:tcBorders>
                  <w:shd w:val="clear" w:color="auto" w:fill="auto"/>
                  <w:noWrap/>
                  <w:vAlign w:val="bottom"/>
                  <w:hideMark/>
                </w:tcPr>
                <w:p w:rsidR="00167B08" w:rsidRPr="00167B08" w:rsidRDefault="00167B08" w:rsidP="00167B08">
                  <w:pPr>
                    <w:outlineLvl w:val="0"/>
                    <w:rPr>
                      <w:rFonts w:ascii="Arial Narrow" w:hAnsi="Arial Narrow" w:cs="Calibri"/>
                      <w:b/>
                      <w:bCs/>
                      <w:color w:val="000000"/>
                      <w:sz w:val="20"/>
                      <w:szCs w:val="20"/>
                    </w:rPr>
                  </w:pPr>
                  <w:r w:rsidRPr="00167B08">
                    <w:rPr>
                      <w:rFonts w:ascii="Arial Narrow" w:hAnsi="Arial Narrow" w:cs="Calibri"/>
                      <w:b/>
                      <w:bCs/>
                      <w:color w:val="000000"/>
                      <w:sz w:val="20"/>
                      <w:szCs w:val="20"/>
                    </w:rPr>
                    <w:t xml:space="preserve">15 Other - </w:t>
                  </w:r>
                  <w:proofErr w:type="spellStart"/>
                  <w:r w:rsidRPr="00167B08">
                    <w:rPr>
                      <w:rFonts w:ascii="Arial Narrow" w:hAnsi="Arial Narrow" w:cs="Calibri"/>
                      <w:b/>
                      <w:bCs/>
                      <w:color w:val="000000"/>
                      <w:sz w:val="20"/>
                      <w:szCs w:val="20"/>
                    </w:rPr>
                    <w:t>Misc</w:t>
                  </w:r>
                  <w:proofErr w:type="spellEnd"/>
                  <w:r w:rsidRPr="00167B08">
                    <w:rPr>
                      <w:rFonts w:ascii="Arial Narrow" w:hAnsi="Arial Narrow" w:cs="Calibri"/>
                      <w:b/>
                      <w:bCs/>
                      <w:color w:val="000000"/>
                      <w:sz w:val="20"/>
                      <w:szCs w:val="20"/>
                    </w:rPr>
                    <w:t>/Reserves</w:t>
                  </w:r>
                </w:p>
              </w:tc>
              <w:tc>
                <w:tcPr>
                  <w:tcW w:w="118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2,884,042</w:t>
                  </w:r>
                </w:p>
              </w:tc>
              <w:tc>
                <w:tcPr>
                  <w:tcW w:w="11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2,657,356</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2,884,042</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(26,830)</w:t>
                  </w:r>
                </w:p>
              </w:tc>
              <w:tc>
                <w:tcPr>
                  <w:tcW w:w="1020" w:type="dxa"/>
                  <w:tcBorders>
                    <w:top w:val="nil"/>
                    <w:left w:val="nil"/>
                    <w:bottom w:val="nil"/>
                    <w:right w:val="nil"/>
                  </w:tcBorders>
                  <w:shd w:val="clear" w:color="auto" w:fill="auto"/>
                  <w:vAlign w:val="bottom"/>
                  <w:hideMark/>
                </w:tcPr>
                <w:p w:rsidR="00167B08" w:rsidRPr="00167B08" w:rsidRDefault="00167B08" w:rsidP="00167B08">
                  <w:pPr>
                    <w:jc w:val="right"/>
                    <w:outlineLvl w:val="0"/>
                    <w:rPr>
                      <w:rFonts w:ascii="Arial" w:hAnsi="Arial" w:cs="Arial"/>
                      <w:color w:val="000000"/>
                      <w:sz w:val="16"/>
                      <w:szCs w:val="16"/>
                    </w:rPr>
                  </w:pPr>
                  <w:r w:rsidRPr="00167B08">
                    <w:rPr>
                      <w:rFonts w:ascii="Arial" w:hAnsi="Arial" w:cs="Arial"/>
                      <w:color w:val="000000"/>
                      <w:sz w:val="16"/>
                      <w:szCs w:val="16"/>
                    </w:rPr>
                    <w:t>(2,910,872)</w:t>
                  </w:r>
                </w:p>
              </w:tc>
            </w:tr>
            <w:tr w:rsidR="00167B08" w:rsidRPr="00167B08" w:rsidTr="00167B08">
              <w:trPr>
                <w:trHeight w:val="225"/>
              </w:trPr>
              <w:tc>
                <w:tcPr>
                  <w:tcW w:w="5780" w:type="dxa"/>
                  <w:gridSpan w:val="2"/>
                  <w:tcBorders>
                    <w:top w:val="nil"/>
                    <w:left w:val="nil"/>
                    <w:bottom w:val="nil"/>
                    <w:right w:val="nil"/>
                  </w:tcBorders>
                  <w:shd w:val="clear" w:color="auto" w:fill="auto"/>
                  <w:noWrap/>
                  <w:vAlign w:val="bottom"/>
                  <w:hideMark/>
                </w:tcPr>
                <w:p w:rsidR="00167B08" w:rsidRPr="00167B08" w:rsidRDefault="00167B08" w:rsidP="00167B08">
                  <w:pPr>
                    <w:rPr>
                      <w:rFonts w:ascii="Arial" w:hAnsi="Arial" w:cs="Arial"/>
                      <w:b/>
                      <w:bCs/>
                      <w:color w:val="000000"/>
                      <w:sz w:val="16"/>
                      <w:szCs w:val="16"/>
                    </w:rPr>
                  </w:pPr>
                  <w:r w:rsidRPr="00167B08">
                    <w:rPr>
                      <w:rFonts w:ascii="Arial" w:hAnsi="Arial" w:cs="Arial"/>
                      <w:b/>
                      <w:bCs/>
                      <w:color w:val="000000"/>
                      <w:sz w:val="16"/>
                      <w:szCs w:val="16"/>
                    </w:rPr>
                    <w:t>Grand Total</w:t>
                  </w:r>
                </w:p>
              </w:tc>
              <w:tc>
                <w:tcPr>
                  <w:tcW w:w="1180" w:type="dxa"/>
                  <w:tcBorders>
                    <w:top w:val="nil"/>
                    <w:left w:val="nil"/>
                    <w:bottom w:val="nil"/>
                    <w:right w:val="nil"/>
                  </w:tcBorders>
                  <w:shd w:val="clear" w:color="auto" w:fill="auto"/>
                  <w:vAlign w:val="bottom"/>
                  <w:hideMark/>
                </w:tcPr>
                <w:p w:rsidR="00167B08" w:rsidRPr="00167B08" w:rsidRDefault="00167B08" w:rsidP="00167B08">
                  <w:pPr>
                    <w:jc w:val="right"/>
                    <w:rPr>
                      <w:rFonts w:ascii="Arial" w:hAnsi="Arial" w:cs="Arial"/>
                      <w:color w:val="000000"/>
                      <w:sz w:val="16"/>
                      <w:szCs w:val="16"/>
                    </w:rPr>
                  </w:pPr>
                  <w:r w:rsidRPr="00167B08">
                    <w:rPr>
                      <w:rFonts w:ascii="Arial" w:hAnsi="Arial" w:cs="Arial"/>
                      <w:color w:val="000000"/>
                      <w:sz w:val="16"/>
                      <w:szCs w:val="16"/>
                    </w:rPr>
                    <w:t>6,996,716</w:t>
                  </w:r>
                </w:p>
              </w:tc>
              <w:tc>
                <w:tcPr>
                  <w:tcW w:w="1120" w:type="dxa"/>
                  <w:tcBorders>
                    <w:top w:val="nil"/>
                    <w:left w:val="nil"/>
                    <w:bottom w:val="nil"/>
                    <w:right w:val="nil"/>
                  </w:tcBorders>
                  <w:shd w:val="clear" w:color="auto" w:fill="auto"/>
                  <w:vAlign w:val="bottom"/>
                  <w:hideMark/>
                </w:tcPr>
                <w:p w:rsidR="00167B08" w:rsidRPr="00167B08" w:rsidRDefault="00167B08" w:rsidP="00167B08">
                  <w:pPr>
                    <w:jc w:val="right"/>
                    <w:rPr>
                      <w:rFonts w:ascii="Arial" w:hAnsi="Arial" w:cs="Arial"/>
                      <w:color w:val="000000"/>
                      <w:sz w:val="16"/>
                      <w:szCs w:val="16"/>
                    </w:rPr>
                  </w:pPr>
                  <w:r w:rsidRPr="00167B08">
                    <w:rPr>
                      <w:rFonts w:ascii="Arial" w:hAnsi="Arial" w:cs="Arial"/>
                      <w:color w:val="000000"/>
                      <w:sz w:val="16"/>
                      <w:szCs w:val="16"/>
                    </w:rPr>
                    <w:t>6,068,148</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rPr>
                      <w:rFonts w:ascii="Arial" w:hAnsi="Arial" w:cs="Arial"/>
                      <w:color w:val="000000"/>
                      <w:sz w:val="16"/>
                      <w:szCs w:val="16"/>
                    </w:rPr>
                  </w:pPr>
                  <w:r w:rsidRPr="00167B08">
                    <w:rPr>
                      <w:rFonts w:ascii="Arial" w:hAnsi="Arial" w:cs="Arial"/>
                      <w:color w:val="000000"/>
                      <w:sz w:val="16"/>
                      <w:szCs w:val="16"/>
                    </w:rPr>
                    <w:t>6,996,716</w:t>
                  </w:r>
                </w:p>
              </w:tc>
              <w:tc>
                <w:tcPr>
                  <w:tcW w:w="920" w:type="dxa"/>
                  <w:tcBorders>
                    <w:top w:val="nil"/>
                    <w:left w:val="nil"/>
                    <w:bottom w:val="nil"/>
                    <w:right w:val="nil"/>
                  </w:tcBorders>
                  <w:shd w:val="clear" w:color="auto" w:fill="auto"/>
                  <w:vAlign w:val="bottom"/>
                  <w:hideMark/>
                </w:tcPr>
                <w:p w:rsidR="00167B08" w:rsidRPr="00167B08" w:rsidRDefault="00167B08" w:rsidP="00167B08">
                  <w:pPr>
                    <w:jc w:val="right"/>
                    <w:rPr>
                      <w:rFonts w:ascii="Arial" w:hAnsi="Arial" w:cs="Arial"/>
                      <w:color w:val="000000"/>
                      <w:sz w:val="16"/>
                      <w:szCs w:val="16"/>
                    </w:rPr>
                  </w:pPr>
                  <w:r w:rsidRPr="00167B08">
                    <w:rPr>
                      <w:rFonts w:ascii="Arial" w:hAnsi="Arial" w:cs="Arial"/>
                      <w:color w:val="000000"/>
                      <w:sz w:val="16"/>
                      <w:szCs w:val="16"/>
                    </w:rPr>
                    <w:t>4,118,187</w:t>
                  </w:r>
                </w:p>
              </w:tc>
              <w:tc>
                <w:tcPr>
                  <w:tcW w:w="1020" w:type="dxa"/>
                  <w:tcBorders>
                    <w:top w:val="nil"/>
                    <w:left w:val="nil"/>
                    <w:bottom w:val="nil"/>
                    <w:right w:val="nil"/>
                  </w:tcBorders>
                  <w:shd w:val="clear" w:color="auto" w:fill="auto"/>
                  <w:vAlign w:val="bottom"/>
                  <w:hideMark/>
                </w:tcPr>
                <w:p w:rsidR="00167B08" w:rsidRPr="00167B08" w:rsidRDefault="00167B08" w:rsidP="00167B08">
                  <w:pPr>
                    <w:jc w:val="right"/>
                    <w:rPr>
                      <w:rFonts w:ascii="Arial" w:hAnsi="Arial" w:cs="Arial"/>
                      <w:color w:val="000000"/>
                      <w:sz w:val="16"/>
                      <w:szCs w:val="16"/>
                    </w:rPr>
                  </w:pPr>
                  <w:r w:rsidRPr="00167B08">
                    <w:rPr>
                      <w:rFonts w:ascii="Arial" w:hAnsi="Arial" w:cs="Arial"/>
                      <w:color w:val="000000"/>
                      <w:sz w:val="16"/>
                      <w:szCs w:val="16"/>
                    </w:rPr>
                    <w:t>(2,878,529)</w:t>
                  </w:r>
                </w:p>
              </w:tc>
            </w:tr>
          </w:tbl>
          <w:p w:rsidR="00406C23" w:rsidRPr="00406C23" w:rsidRDefault="00406C23" w:rsidP="00406C23">
            <w:pPr>
              <w:tabs>
                <w:tab w:val="left" w:pos="2172"/>
              </w:tabs>
              <w:spacing w:after="200" w:line="276" w:lineRule="auto"/>
              <w:rPr>
                <w:rFonts w:ascii="Arial" w:hAnsi="Arial" w:cs="Arial"/>
                <w:sz w:val="22"/>
                <w:szCs w:val="22"/>
              </w:rPr>
            </w:pPr>
          </w:p>
          <w:p w:rsidR="00D95040" w:rsidRDefault="00D95040" w:rsidP="00D95040">
            <w:pPr>
              <w:pStyle w:val="ListParagraph"/>
              <w:tabs>
                <w:tab w:val="left" w:pos="2172"/>
              </w:tabs>
              <w:spacing w:after="200" w:line="276" w:lineRule="auto"/>
              <w:rPr>
                <w:rFonts w:ascii="Arial" w:hAnsi="Arial" w:cs="Arial"/>
                <w:sz w:val="22"/>
                <w:szCs w:val="22"/>
              </w:rPr>
            </w:pPr>
          </w:p>
          <w:p w:rsidR="00D95040" w:rsidRDefault="00D95040" w:rsidP="00D95040">
            <w:pPr>
              <w:pStyle w:val="ListParagraph"/>
              <w:tabs>
                <w:tab w:val="left" w:pos="2172"/>
              </w:tabs>
              <w:spacing w:after="200" w:line="276" w:lineRule="auto"/>
              <w:rPr>
                <w:rFonts w:ascii="Arial" w:hAnsi="Arial" w:cs="Arial"/>
                <w:sz w:val="22"/>
                <w:szCs w:val="22"/>
              </w:rPr>
            </w:pPr>
          </w:p>
          <w:p w:rsidR="00D95040" w:rsidRDefault="00D95040" w:rsidP="00D95040">
            <w:pPr>
              <w:pStyle w:val="ListParagraph"/>
              <w:tabs>
                <w:tab w:val="left" w:pos="2172"/>
              </w:tabs>
              <w:spacing w:after="200" w:line="276" w:lineRule="auto"/>
              <w:rPr>
                <w:rFonts w:ascii="Arial" w:hAnsi="Arial" w:cs="Arial"/>
                <w:sz w:val="22"/>
                <w:szCs w:val="22"/>
              </w:rPr>
            </w:pPr>
          </w:p>
          <w:p w:rsidR="00445C3C" w:rsidRPr="00540FAA" w:rsidRDefault="00445C3C" w:rsidP="00D95040">
            <w:pPr>
              <w:pStyle w:val="ListParagraph"/>
              <w:tabs>
                <w:tab w:val="left" w:pos="2172"/>
              </w:tabs>
              <w:spacing w:after="200" w:line="276" w:lineRule="auto"/>
              <w:rPr>
                <w:rFonts w:ascii="Arial" w:hAnsi="Arial" w:cs="Arial"/>
                <w:sz w:val="22"/>
                <w:szCs w:val="22"/>
              </w:rPr>
            </w:pPr>
            <w:r>
              <w:rPr>
                <w:rFonts w:ascii="Arial" w:hAnsi="Arial" w:cs="Arial"/>
                <w:sz w:val="22"/>
                <w:szCs w:val="22"/>
              </w:rPr>
              <w:t xml:space="preserve"> </w:t>
            </w:r>
          </w:p>
        </w:tc>
      </w:tr>
    </w:tbl>
    <w:p w:rsidR="00445C3C" w:rsidRDefault="00445C3C">
      <w:pPr>
        <w:spacing w:after="200" w:line="276" w:lineRule="auto"/>
        <w:rPr>
          <w:rFonts w:ascii="Arial" w:eastAsia="Calibri" w:hAnsi="Arial"/>
          <w:b/>
          <w:bCs/>
          <w:color w:val="1F497D"/>
          <w:szCs w:val="26"/>
          <w:lang w:eastAsia="en-US"/>
        </w:rPr>
      </w:pPr>
    </w:p>
    <w:p w:rsidR="000A0F37" w:rsidRDefault="000A0F37">
      <w:pPr>
        <w:spacing w:after="200" w:line="276" w:lineRule="auto"/>
        <w:rPr>
          <w:rFonts w:ascii="Arial" w:eastAsia="Calibri" w:hAnsi="Arial"/>
          <w:b/>
          <w:bCs/>
          <w:color w:val="1F497D"/>
          <w:szCs w:val="26"/>
          <w:lang w:eastAsia="en-US"/>
        </w:rPr>
      </w:pPr>
    </w:p>
    <w:p w:rsidR="00ED1A56" w:rsidRDefault="00ED1A56" w:rsidP="007C7418">
      <w:pPr>
        <w:spacing w:after="200" w:line="276" w:lineRule="auto"/>
        <w:rPr>
          <w:rFonts w:ascii="Arial" w:eastAsia="Calibri" w:hAnsi="Arial"/>
          <w:b/>
          <w:bCs/>
          <w:color w:val="56008C"/>
          <w:szCs w:val="26"/>
          <w:lang w:eastAsia="en-US"/>
        </w:rPr>
      </w:pPr>
    </w:p>
    <w:p w:rsidR="00C62D4B" w:rsidRDefault="00C62D4B" w:rsidP="007C7418">
      <w:pPr>
        <w:spacing w:after="200" w:line="276" w:lineRule="auto"/>
        <w:rPr>
          <w:rFonts w:ascii="Arial" w:eastAsia="Calibri" w:hAnsi="Arial"/>
          <w:b/>
          <w:bCs/>
          <w:color w:val="56008C"/>
          <w:szCs w:val="26"/>
          <w:lang w:eastAsia="en-US"/>
        </w:rPr>
      </w:pPr>
    </w:p>
    <w:p w:rsidR="005373EA" w:rsidRPr="00A422D8" w:rsidRDefault="005373EA" w:rsidP="007C7418">
      <w:pPr>
        <w:spacing w:after="200" w:line="276" w:lineRule="auto"/>
        <w:rPr>
          <w:rFonts w:ascii="Arial" w:eastAsia="Calibri" w:hAnsi="Arial"/>
          <w:b/>
          <w:bCs/>
          <w:color w:val="56008C"/>
          <w:szCs w:val="26"/>
          <w:lang w:eastAsia="en-US"/>
        </w:rPr>
      </w:pPr>
      <w:r w:rsidRPr="00A422D8">
        <w:rPr>
          <w:rFonts w:ascii="Arial" w:eastAsia="Calibri" w:hAnsi="Arial"/>
          <w:b/>
          <w:bCs/>
          <w:color w:val="56008C"/>
          <w:szCs w:val="26"/>
          <w:lang w:eastAsia="en-US"/>
        </w:rPr>
        <w:t>HRA Better Payment Practice C</w:t>
      </w:r>
      <w:r w:rsidR="00606CBA" w:rsidRPr="00A422D8">
        <w:rPr>
          <w:rFonts w:ascii="Arial" w:eastAsia="Calibri" w:hAnsi="Arial"/>
          <w:b/>
          <w:bCs/>
          <w:color w:val="56008C"/>
          <w:szCs w:val="26"/>
          <w:lang w:eastAsia="en-US"/>
        </w:rPr>
        <w:t>ode</w:t>
      </w:r>
      <w:r w:rsidR="00714E4B" w:rsidRPr="00A422D8">
        <w:rPr>
          <w:rFonts w:ascii="Arial" w:eastAsia="Calibri" w:hAnsi="Arial"/>
          <w:b/>
          <w:bCs/>
          <w:color w:val="56008C"/>
          <w:szCs w:val="26"/>
          <w:lang w:eastAsia="en-US"/>
        </w:rPr>
        <w:t xml:space="preserve"> f</w:t>
      </w:r>
      <w:r w:rsidR="00D65E0A" w:rsidRPr="00A422D8">
        <w:rPr>
          <w:rFonts w:ascii="Arial" w:eastAsia="Calibri" w:hAnsi="Arial"/>
          <w:b/>
          <w:bCs/>
          <w:color w:val="56008C"/>
          <w:szCs w:val="26"/>
          <w:lang w:eastAsia="en-US"/>
        </w:rPr>
        <w:t xml:space="preserve">or </w:t>
      </w:r>
      <w:r w:rsidR="00F90C53">
        <w:rPr>
          <w:rFonts w:ascii="Arial" w:eastAsia="Calibri" w:hAnsi="Arial"/>
          <w:b/>
          <w:bCs/>
          <w:color w:val="56008C"/>
          <w:szCs w:val="26"/>
          <w:lang w:eastAsia="en-US"/>
        </w:rPr>
        <w:t xml:space="preserve">the period 1 April </w:t>
      </w:r>
      <w:r w:rsidR="00004C4F">
        <w:rPr>
          <w:rFonts w:ascii="Arial" w:eastAsia="Calibri" w:hAnsi="Arial"/>
          <w:b/>
          <w:bCs/>
          <w:color w:val="56008C"/>
          <w:szCs w:val="26"/>
          <w:lang w:eastAsia="en-US"/>
        </w:rPr>
        <w:t>to 31 March</w:t>
      </w:r>
      <w:r w:rsidR="00B04C6C">
        <w:rPr>
          <w:rFonts w:ascii="Arial" w:eastAsia="Calibri" w:hAnsi="Arial"/>
          <w:b/>
          <w:bCs/>
          <w:color w:val="56008C"/>
          <w:szCs w:val="26"/>
          <w:lang w:eastAsia="en-US"/>
        </w:rPr>
        <w:t xml:space="preserve"> </w:t>
      </w:r>
      <w:r w:rsidR="007D0BF0">
        <w:rPr>
          <w:rFonts w:ascii="Arial" w:eastAsia="Calibri" w:hAnsi="Arial"/>
          <w:b/>
          <w:bCs/>
          <w:color w:val="56008C"/>
          <w:szCs w:val="26"/>
          <w:lang w:eastAsia="en-US"/>
        </w:rPr>
        <w:t>2015</w:t>
      </w:r>
    </w:p>
    <w:tbl>
      <w:tblPr>
        <w:tblW w:w="6960" w:type="dxa"/>
        <w:tblInd w:w="3135" w:type="dxa"/>
        <w:tblLook w:val="04A0" w:firstRow="1" w:lastRow="0" w:firstColumn="1" w:lastColumn="0" w:noHBand="0" w:noVBand="1"/>
      </w:tblPr>
      <w:tblGrid>
        <w:gridCol w:w="2020"/>
        <w:gridCol w:w="1300"/>
        <w:gridCol w:w="1160"/>
        <w:gridCol w:w="1320"/>
        <w:gridCol w:w="1160"/>
      </w:tblGrid>
      <w:tr w:rsidR="000B79E8" w:rsidRPr="000B79E8" w:rsidTr="000B79E8">
        <w:trPr>
          <w:trHeight w:val="330"/>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79E8" w:rsidRPr="000B79E8" w:rsidRDefault="000B79E8" w:rsidP="000B79E8">
            <w:pPr>
              <w:rPr>
                <w:rFonts w:ascii="Calibri" w:hAnsi="Calibri" w:cs="Calibri"/>
                <w:color w:val="000000"/>
              </w:rPr>
            </w:pPr>
            <w:r w:rsidRPr="000B79E8">
              <w:rPr>
                <w:rFonts w:ascii="Calibri" w:hAnsi="Calibri" w:cs="Calibri"/>
                <w:color w:val="000000"/>
              </w:rPr>
              <w:t> </w:t>
            </w:r>
          </w:p>
        </w:tc>
        <w:tc>
          <w:tcPr>
            <w:tcW w:w="1300" w:type="dxa"/>
            <w:tcBorders>
              <w:top w:val="single" w:sz="8" w:space="0" w:color="auto"/>
              <w:left w:val="nil"/>
              <w:bottom w:val="single" w:sz="8" w:space="0" w:color="auto"/>
              <w:right w:val="single" w:sz="8" w:space="0" w:color="auto"/>
            </w:tcBorders>
            <w:shd w:val="clear" w:color="000000" w:fill="56008C"/>
            <w:noWrap/>
            <w:vAlign w:val="center"/>
            <w:hideMark/>
          </w:tcPr>
          <w:p w:rsidR="000B79E8" w:rsidRPr="000B79E8" w:rsidRDefault="000B79E8" w:rsidP="000B79E8">
            <w:pPr>
              <w:rPr>
                <w:rFonts w:ascii="Calibri" w:hAnsi="Calibri" w:cs="Calibri"/>
                <w:color w:val="FFFFFF"/>
                <w:sz w:val="22"/>
                <w:szCs w:val="22"/>
              </w:rPr>
            </w:pPr>
            <w:r w:rsidRPr="000B79E8">
              <w:rPr>
                <w:rFonts w:ascii="Calibri" w:hAnsi="Calibri" w:cs="Calibri"/>
                <w:color w:val="FFFFFF"/>
                <w:sz w:val="22"/>
                <w:szCs w:val="22"/>
              </w:rPr>
              <w:t>Number</w:t>
            </w:r>
          </w:p>
        </w:tc>
        <w:tc>
          <w:tcPr>
            <w:tcW w:w="1160" w:type="dxa"/>
            <w:tcBorders>
              <w:top w:val="single" w:sz="8" w:space="0" w:color="auto"/>
              <w:left w:val="nil"/>
              <w:bottom w:val="single" w:sz="8" w:space="0" w:color="auto"/>
              <w:right w:val="single" w:sz="8" w:space="0" w:color="auto"/>
            </w:tcBorders>
            <w:shd w:val="clear" w:color="000000" w:fill="56008C"/>
            <w:noWrap/>
            <w:vAlign w:val="center"/>
            <w:hideMark/>
          </w:tcPr>
          <w:p w:rsidR="000B79E8" w:rsidRPr="000B79E8" w:rsidRDefault="000B79E8" w:rsidP="000B79E8">
            <w:pPr>
              <w:jc w:val="center"/>
              <w:rPr>
                <w:rFonts w:ascii="Calibri" w:hAnsi="Calibri" w:cs="Calibri"/>
                <w:color w:val="FFFFFF"/>
                <w:sz w:val="22"/>
                <w:szCs w:val="22"/>
              </w:rPr>
            </w:pPr>
            <w:r w:rsidRPr="000B79E8">
              <w:rPr>
                <w:rFonts w:ascii="Calibri" w:hAnsi="Calibri" w:cs="Calibri"/>
                <w:color w:val="FFFFFF"/>
                <w:sz w:val="22"/>
                <w:szCs w:val="22"/>
              </w:rPr>
              <w:t>%</w:t>
            </w:r>
          </w:p>
        </w:tc>
        <w:tc>
          <w:tcPr>
            <w:tcW w:w="1320" w:type="dxa"/>
            <w:tcBorders>
              <w:top w:val="single" w:sz="8" w:space="0" w:color="auto"/>
              <w:left w:val="nil"/>
              <w:bottom w:val="single" w:sz="8" w:space="0" w:color="auto"/>
              <w:right w:val="single" w:sz="8" w:space="0" w:color="auto"/>
            </w:tcBorders>
            <w:shd w:val="clear" w:color="000000" w:fill="E28C05"/>
            <w:noWrap/>
            <w:vAlign w:val="center"/>
            <w:hideMark/>
          </w:tcPr>
          <w:p w:rsidR="000B79E8" w:rsidRPr="000B79E8" w:rsidRDefault="000B79E8" w:rsidP="000B79E8">
            <w:pPr>
              <w:rPr>
                <w:rFonts w:ascii="Calibri" w:hAnsi="Calibri" w:cs="Calibri"/>
                <w:color w:val="FFFFFF"/>
                <w:sz w:val="22"/>
                <w:szCs w:val="22"/>
              </w:rPr>
            </w:pPr>
            <w:r w:rsidRPr="000B79E8">
              <w:rPr>
                <w:rFonts w:ascii="Calibri" w:hAnsi="Calibri" w:cs="Calibri"/>
                <w:color w:val="FFFFFF"/>
                <w:sz w:val="22"/>
                <w:szCs w:val="22"/>
              </w:rPr>
              <w:t>Value (£)</w:t>
            </w:r>
          </w:p>
        </w:tc>
        <w:tc>
          <w:tcPr>
            <w:tcW w:w="1160" w:type="dxa"/>
            <w:tcBorders>
              <w:top w:val="single" w:sz="8" w:space="0" w:color="auto"/>
              <w:left w:val="nil"/>
              <w:bottom w:val="single" w:sz="8" w:space="0" w:color="auto"/>
              <w:right w:val="single" w:sz="8" w:space="0" w:color="auto"/>
            </w:tcBorders>
            <w:shd w:val="clear" w:color="000000" w:fill="E28C05"/>
            <w:noWrap/>
            <w:vAlign w:val="center"/>
            <w:hideMark/>
          </w:tcPr>
          <w:p w:rsidR="000B79E8" w:rsidRPr="000B79E8" w:rsidRDefault="000B79E8" w:rsidP="000B79E8">
            <w:pPr>
              <w:jc w:val="center"/>
              <w:rPr>
                <w:rFonts w:ascii="Calibri" w:hAnsi="Calibri" w:cs="Calibri"/>
                <w:color w:val="FFFFFF"/>
                <w:sz w:val="22"/>
                <w:szCs w:val="22"/>
              </w:rPr>
            </w:pPr>
            <w:r w:rsidRPr="000B79E8">
              <w:rPr>
                <w:rFonts w:ascii="Calibri" w:hAnsi="Calibri" w:cs="Calibri"/>
                <w:color w:val="FFFFFF"/>
                <w:sz w:val="22"/>
                <w:szCs w:val="22"/>
              </w:rPr>
              <w:t>%</w:t>
            </w:r>
          </w:p>
        </w:tc>
      </w:tr>
      <w:tr w:rsidR="00004C4F" w:rsidRPr="000B79E8" w:rsidTr="000B79E8">
        <w:trPr>
          <w:trHeight w:val="330"/>
        </w:trPr>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004C4F" w:rsidRPr="000B79E8" w:rsidRDefault="00004C4F" w:rsidP="000B79E8">
            <w:pPr>
              <w:rPr>
                <w:rFonts w:ascii="Calibri" w:hAnsi="Calibri" w:cs="Calibri"/>
                <w:color w:val="000000"/>
              </w:rPr>
            </w:pPr>
            <w:r w:rsidRPr="000B79E8">
              <w:rPr>
                <w:rFonts w:ascii="Calibri" w:hAnsi="Calibri" w:cs="Calibri"/>
                <w:color w:val="000000"/>
              </w:rPr>
              <w:t>0-5</w:t>
            </w:r>
          </w:p>
        </w:tc>
        <w:tc>
          <w:tcPr>
            <w:tcW w:w="1300" w:type="dxa"/>
            <w:tcBorders>
              <w:top w:val="nil"/>
              <w:left w:val="nil"/>
              <w:bottom w:val="nil"/>
              <w:right w:val="single" w:sz="8" w:space="0" w:color="auto"/>
            </w:tcBorders>
            <w:shd w:val="clear" w:color="000000" w:fill="56008C"/>
            <w:noWrap/>
            <w:vAlign w:val="bottom"/>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225</w:t>
            </w:r>
          </w:p>
        </w:tc>
        <w:tc>
          <w:tcPr>
            <w:tcW w:w="1160" w:type="dxa"/>
            <w:tcBorders>
              <w:top w:val="nil"/>
              <w:left w:val="nil"/>
              <w:bottom w:val="single" w:sz="8" w:space="0" w:color="auto"/>
              <w:right w:val="single" w:sz="8" w:space="0" w:color="auto"/>
            </w:tcBorders>
            <w:shd w:val="clear" w:color="000000" w:fill="56008C"/>
            <w:noWrap/>
            <w:vAlign w:val="center"/>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6%</w:t>
            </w:r>
          </w:p>
        </w:tc>
        <w:tc>
          <w:tcPr>
            <w:tcW w:w="1320" w:type="dxa"/>
            <w:tcBorders>
              <w:top w:val="nil"/>
              <w:left w:val="nil"/>
              <w:bottom w:val="single" w:sz="8" w:space="0" w:color="auto"/>
              <w:right w:val="single" w:sz="8" w:space="0" w:color="auto"/>
            </w:tcBorders>
            <w:shd w:val="clear" w:color="000000" w:fill="E28C05"/>
            <w:noWrap/>
            <w:vAlign w:val="center"/>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1,143,656</w:t>
            </w:r>
          </w:p>
        </w:tc>
        <w:tc>
          <w:tcPr>
            <w:tcW w:w="1160" w:type="dxa"/>
            <w:tcBorders>
              <w:top w:val="nil"/>
              <w:left w:val="nil"/>
              <w:bottom w:val="single" w:sz="8" w:space="0" w:color="auto"/>
              <w:right w:val="single" w:sz="8" w:space="0" w:color="auto"/>
            </w:tcBorders>
            <w:shd w:val="clear" w:color="000000" w:fill="E28C05"/>
            <w:noWrap/>
            <w:vAlign w:val="center"/>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24%</w:t>
            </w:r>
          </w:p>
        </w:tc>
      </w:tr>
      <w:tr w:rsidR="00004C4F" w:rsidRPr="000B79E8" w:rsidTr="000B79E8">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004C4F" w:rsidRPr="000B79E8" w:rsidRDefault="00004C4F" w:rsidP="000B79E8">
            <w:pPr>
              <w:rPr>
                <w:rFonts w:ascii="Calibri" w:hAnsi="Calibri" w:cs="Calibri"/>
                <w:color w:val="000000"/>
                <w:sz w:val="22"/>
                <w:szCs w:val="22"/>
              </w:rPr>
            </w:pPr>
            <w:r w:rsidRPr="000B79E8">
              <w:rPr>
                <w:rFonts w:ascii="Calibri" w:hAnsi="Calibri" w:cs="Calibri"/>
                <w:color w:val="000000"/>
                <w:sz w:val="22"/>
                <w:szCs w:val="22"/>
              </w:rPr>
              <w:t>6-10 Days</w:t>
            </w:r>
          </w:p>
        </w:tc>
        <w:tc>
          <w:tcPr>
            <w:tcW w:w="1300" w:type="dxa"/>
            <w:tcBorders>
              <w:top w:val="single" w:sz="8" w:space="0" w:color="auto"/>
              <w:left w:val="nil"/>
              <w:bottom w:val="nil"/>
              <w:right w:val="single" w:sz="8" w:space="0" w:color="auto"/>
            </w:tcBorders>
            <w:shd w:val="clear" w:color="000000" w:fill="56008C"/>
            <w:noWrap/>
            <w:vAlign w:val="bottom"/>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2072</w:t>
            </w:r>
          </w:p>
        </w:tc>
        <w:tc>
          <w:tcPr>
            <w:tcW w:w="1160" w:type="dxa"/>
            <w:tcBorders>
              <w:top w:val="nil"/>
              <w:left w:val="nil"/>
              <w:bottom w:val="single" w:sz="8" w:space="0" w:color="auto"/>
              <w:right w:val="single" w:sz="8" w:space="0" w:color="auto"/>
            </w:tcBorders>
            <w:shd w:val="clear" w:color="000000" w:fill="56008C"/>
            <w:noWrap/>
            <w:vAlign w:val="center"/>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52%</w:t>
            </w:r>
          </w:p>
        </w:tc>
        <w:tc>
          <w:tcPr>
            <w:tcW w:w="1320" w:type="dxa"/>
            <w:tcBorders>
              <w:top w:val="nil"/>
              <w:left w:val="nil"/>
              <w:bottom w:val="single" w:sz="8" w:space="0" w:color="auto"/>
              <w:right w:val="single" w:sz="8" w:space="0" w:color="auto"/>
            </w:tcBorders>
            <w:shd w:val="clear" w:color="000000" w:fill="E28C05"/>
            <w:noWrap/>
            <w:vAlign w:val="center"/>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1,821,255</w:t>
            </w:r>
          </w:p>
        </w:tc>
        <w:tc>
          <w:tcPr>
            <w:tcW w:w="1160" w:type="dxa"/>
            <w:tcBorders>
              <w:top w:val="nil"/>
              <w:left w:val="nil"/>
              <w:bottom w:val="single" w:sz="8" w:space="0" w:color="auto"/>
              <w:right w:val="single" w:sz="8" w:space="0" w:color="auto"/>
            </w:tcBorders>
            <w:shd w:val="clear" w:color="000000" w:fill="E28C05"/>
            <w:noWrap/>
            <w:vAlign w:val="center"/>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38%</w:t>
            </w:r>
          </w:p>
        </w:tc>
      </w:tr>
      <w:tr w:rsidR="00004C4F" w:rsidRPr="000B79E8" w:rsidTr="000B79E8">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004C4F" w:rsidRPr="000B79E8" w:rsidRDefault="00004C4F" w:rsidP="000B79E8">
            <w:pPr>
              <w:rPr>
                <w:rFonts w:ascii="Calibri" w:hAnsi="Calibri" w:cs="Calibri"/>
                <w:color w:val="000000"/>
                <w:sz w:val="22"/>
                <w:szCs w:val="22"/>
              </w:rPr>
            </w:pPr>
            <w:r w:rsidRPr="000B79E8">
              <w:rPr>
                <w:rFonts w:ascii="Calibri" w:hAnsi="Calibri" w:cs="Calibri"/>
                <w:color w:val="000000"/>
                <w:sz w:val="22"/>
                <w:szCs w:val="22"/>
              </w:rPr>
              <w:t>11-20 Days</w:t>
            </w:r>
          </w:p>
        </w:tc>
        <w:tc>
          <w:tcPr>
            <w:tcW w:w="1300" w:type="dxa"/>
            <w:tcBorders>
              <w:top w:val="single" w:sz="8" w:space="0" w:color="auto"/>
              <w:left w:val="nil"/>
              <w:bottom w:val="single" w:sz="8" w:space="0" w:color="auto"/>
              <w:right w:val="single" w:sz="8" w:space="0" w:color="auto"/>
            </w:tcBorders>
            <w:shd w:val="clear" w:color="000000" w:fill="56008C"/>
            <w:noWrap/>
            <w:vAlign w:val="bottom"/>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1586</w:t>
            </w:r>
          </w:p>
        </w:tc>
        <w:tc>
          <w:tcPr>
            <w:tcW w:w="1160" w:type="dxa"/>
            <w:tcBorders>
              <w:top w:val="nil"/>
              <w:left w:val="nil"/>
              <w:bottom w:val="single" w:sz="8" w:space="0" w:color="auto"/>
              <w:right w:val="single" w:sz="8" w:space="0" w:color="auto"/>
            </w:tcBorders>
            <w:shd w:val="clear" w:color="000000" w:fill="56008C"/>
            <w:noWrap/>
            <w:vAlign w:val="center"/>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39%</w:t>
            </w:r>
          </w:p>
        </w:tc>
        <w:tc>
          <w:tcPr>
            <w:tcW w:w="1320" w:type="dxa"/>
            <w:tcBorders>
              <w:top w:val="nil"/>
              <w:left w:val="nil"/>
              <w:bottom w:val="single" w:sz="8" w:space="0" w:color="auto"/>
              <w:right w:val="single" w:sz="8" w:space="0" w:color="auto"/>
            </w:tcBorders>
            <w:shd w:val="clear" w:color="000000" w:fill="E28C05"/>
            <w:noWrap/>
            <w:vAlign w:val="center"/>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1,630,815</w:t>
            </w:r>
          </w:p>
        </w:tc>
        <w:tc>
          <w:tcPr>
            <w:tcW w:w="1160" w:type="dxa"/>
            <w:tcBorders>
              <w:top w:val="nil"/>
              <w:left w:val="nil"/>
              <w:bottom w:val="single" w:sz="8" w:space="0" w:color="auto"/>
              <w:right w:val="single" w:sz="8" w:space="0" w:color="auto"/>
            </w:tcBorders>
            <w:shd w:val="clear" w:color="000000" w:fill="E28C05"/>
            <w:noWrap/>
            <w:vAlign w:val="center"/>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34%</w:t>
            </w:r>
          </w:p>
        </w:tc>
      </w:tr>
      <w:tr w:rsidR="00004C4F" w:rsidRPr="000B79E8" w:rsidTr="000B79E8">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004C4F" w:rsidRPr="000B79E8" w:rsidRDefault="00004C4F" w:rsidP="000B79E8">
            <w:pPr>
              <w:rPr>
                <w:rFonts w:ascii="Calibri" w:hAnsi="Calibri" w:cs="Calibri"/>
                <w:color w:val="000000"/>
                <w:sz w:val="22"/>
                <w:szCs w:val="22"/>
              </w:rPr>
            </w:pPr>
            <w:r w:rsidRPr="000B79E8">
              <w:rPr>
                <w:rFonts w:ascii="Calibri" w:hAnsi="Calibri" w:cs="Calibri"/>
                <w:color w:val="000000"/>
                <w:sz w:val="22"/>
                <w:szCs w:val="22"/>
              </w:rPr>
              <w:t>21-30 Days</w:t>
            </w:r>
          </w:p>
        </w:tc>
        <w:tc>
          <w:tcPr>
            <w:tcW w:w="1300" w:type="dxa"/>
            <w:tcBorders>
              <w:top w:val="nil"/>
              <w:left w:val="nil"/>
              <w:bottom w:val="single" w:sz="8" w:space="0" w:color="auto"/>
              <w:right w:val="single" w:sz="8" w:space="0" w:color="auto"/>
            </w:tcBorders>
            <w:shd w:val="clear" w:color="000000" w:fill="56008C"/>
            <w:noWrap/>
            <w:vAlign w:val="bottom"/>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64</w:t>
            </w:r>
          </w:p>
        </w:tc>
        <w:tc>
          <w:tcPr>
            <w:tcW w:w="1160" w:type="dxa"/>
            <w:tcBorders>
              <w:top w:val="nil"/>
              <w:left w:val="nil"/>
              <w:bottom w:val="single" w:sz="8" w:space="0" w:color="auto"/>
              <w:right w:val="single" w:sz="8" w:space="0" w:color="auto"/>
            </w:tcBorders>
            <w:shd w:val="clear" w:color="000000" w:fill="56008C"/>
            <w:noWrap/>
            <w:vAlign w:val="center"/>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2%</w:t>
            </w:r>
          </w:p>
        </w:tc>
        <w:tc>
          <w:tcPr>
            <w:tcW w:w="1320" w:type="dxa"/>
            <w:tcBorders>
              <w:top w:val="nil"/>
              <w:left w:val="nil"/>
              <w:bottom w:val="single" w:sz="8" w:space="0" w:color="auto"/>
              <w:right w:val="single" w:sz="8" w:space="0" w:color="auto"/>
            </w:tcBorders>
            <w:shd w:val="clear" w:color="000000" w:fill="E28C05"/>
            <w:noWrap/>
            <w:vAlign w:val="center"/>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54,766</w:t>
            </w:r>
          </w:p>
        </w:tc>
        <w:tc>
          <w:tcPr>
            <w:tcW w:w="1160" w:type="dxa"/>
            <w:tcBorders>
              <w:top w:val="nil"/>
              <w:left w:val="nil"/>
              <w:bottom w:val="single" w:sz="8" w:space="0" w:color="auto"/>
              <w:right w:val="single" w:sz="8" w:space="0" w:color="auto"/>
            </w:tcBorders>
            <w:shd w:val="clear" w:color="000000" w:fill="E28C05"/>
            <w:noWrap/>
            <w:vAlign w:val="center"/>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1%</w:t>
            </w:r>
          </w:p>
        </w:tc>
      </w:tr>
      <w:tr w:rsidR="00004C4F" w:rsidRPr="000B79E8" w:rsidTr="000B79E8">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004C4F" w:rsidRPr="000B79E8" w:rsidRDefault="00004C4F" w:rsidP="000B79E8">
            <w:pPr>
              <w:rPr>
                <w:rFonts w:ascii="Calibri" w:hAnsi="Calibri" w:cs="Calibri"/>
                <w:color w:val="000000"/>
                <w:sz w:val="22"/>
                <w:szCs w:val="22"/>
              </w:rPr>
            </w:pPr>
            <w:r w:rsidRPr="000B79E8">
              <w:rPr>
                <w:rFonts w:ascii="Calibri" w:hAnsi="Calibri" w:cs="Calibri"/>
                <w:color w:val="000000"/>
                <w:sz w:val="22"/>
                <w:szCs w:val="22"/>
              </w:rPr>
              <w:t>Over 30 Days</w:t>
            </w:r>
          </w:p>
        </w:tc>
        <w:tc>
          <w:tcPr>
            <w:tcW w:w="1300" w:type="dxa"/>
            <w:tcBorders>
              <w:top w:val="nil"/>
              <w:left w:val="nil"/>
              <w:bottom w:val="single" w:sz="8" w:space="0" w:color="auto"/>
              <w:right w:val="single" w:sz="8" w:space="0" w:color="auto"/>
            </w:tcBorders>
            <w:shd w:val="clear" w:color="000000" w:fill="56008C"/>
            <w:noWrap/>
            <w:vAlign w:val="bottom"/>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72</w:t>
            </w:r>
          </w:p>
        </w:tc>
        <w:tc>
          <w:tcPr>
            <w:tcW w:w="1160" w:type="dxa"/>
            <w:tcBorders>
              <w:top w:val="nil"/>
              <w:left w:val="nil"/>
              <w:bottom w:val="single" w:sz="8" w:space="0" w:color="auto"/>
              <w:right w:val="single" w:sz="8" w:space="0" w:color="auto"/>
            </w:tcBorders>
            <w:shd w:val="clear" w:color="000000" w:fill="56008C"/>
            <w:noWrap/>
            <w:vAlign w:val="center"/>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2%</w:t>
            </w:r>
          </w:p>
        </w:tc>
        <w:tc>
          <w:tcPr>
            <w:tcW w:w="1320" w:type="dxa"/>
            <w:tcBorders>
              <w:top w:val="nil"/>
              <w:left w:val="nil"/>
              <w:bottom w:val="single" w:sz="8" w:space="0" w:color="auto"/>
              <w:right w:val="single" w:sz="8" w:space="0" w:color="auto"/>
            </w:tcBorders>
            <w:shd w:val="clear" w:color="000000" w:fill="E28C05"/>
            <w:noWrap/>
            <w:vAlign w:val="center"/>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127,073</w:t>
            </w:r>
          </w:p>
        </w:tc>
        <w:tc>
          <w:tcPr>
            <w:tcW w:w="1160" w:type="dxa"/>
            <w:tcBorders>
              <w:top w:val="nil"/>
              <w:left w:val="nil"/>
              <w:bottom w:val="single" w:sz="8" w:space="0" w:color="auto"/>
              <w:right w:val="single" w:sz="8" w:space="0" w:color="auto"/>
            </w:tcBorders>
            <w:shd w:val="clear" w:color="000000" w:fill="E28C05"/>
            <w:noWrap/>
            <w:vAlign w:val="center"/>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3%</w:t>
            </w:r>
          </w:p>
        </w:tc>
      </w:tr>
      <w:tr w:rsidR="00004C4F" w:rsidRPr="000B79E8" w:rsidTr="000B79E8">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004C4F" w:rsidRPr="000B79E8" w:rsidRDefault="00004C4F" w:rsidP="000B79E8">
            <w:pPr>
              <w:rPr>
                <w:rFonts w:ascii="Calibri" w:hAnsi="Calibri" w:cs="Calibri"/>
                <w:color w:val="000000"/>
                <w:sz w:val="22"/>
                <w:szCs w:val="22"/>
              </w:rPr>
            </w:pPr>
            <w:r w:rsidRPr="000B79E8">
              <w:rPr>
                <w:rFonts w:ascii="Calibri" w:hAnsi="Calibri" w:cs="Calibri"/>
                <w:color w:val="000000"/>
                <w:sz w:val="22"/>
                <w:szCs w:val="22"/>
              </w:rPr>
              <w:t>Total</w:t>
            </w:r>
          </w:p>
        </w:tc>
        <w:tc>
          <w:tcPr>
            <w:tcW w:w="1300" w:type="dxa"/>
            <w:tcBorders>
              <w:top w:val="nil"/>
              <w:left w:val="nil"/>
              <w:bottom w:val="single" w:sz="8" w:space="0" w:color="auto"/>
              <w:right w:val="single" w:sz="8" w:space="0" w:color="auto"/>
            </w:tcBorders>
            <w:shd w:val="clear" w:color="000000" w:fill="56008C"/>
            <w:noWrap/>
            <w:vAlign w:val="center"/>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4,019</w:t>
            </w:r>
          </w:p>
        </w:tc>
        <w:tc>
          <w:tcPr>
            <w:tcW w:w="1160" w:type="dxa"/>
            <w:tcBorders>
              <w:top w:val="nil"/>
              <w:left w:val="nil"/>
              <w:bottom w:val="single" w:sz="8" w:space="0" w:color="auto"/>
              <w:right w:val="single" w:sz="8" w:space="0" w:color="auto"/>
            </w:tcBorders>
            <w:shd w:val="clear" w:color="000000" w:fill="56008C"/>
            <w:noWrap/>
            <w:vAlign w:val="center"/>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100%</w:t>
            </w:r>
          </w:p>
        </w:tc>
        <w:tc>
          <w:tcPr>
            <w:tcW w:w="1320" w:type="dxa"/>
            <w:tcBorders>
              <w:top w:val="nil"/>
              <w:left w:val="nil"/>
              <w:bottom w:val="single" w:sz="8" w:space="0" w:color="auto"/>
              <w:right w:val="single" w:sz="8" w:space="0" w:color="auto"/>
            </w:tcBorders>
            <w:shd w:val="clear" w:color="000000" w:fill="E28C05"/>
            <w:noWrap/>
            <w:vAlign w:val="center"/>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4,777,565</w:t>
            </w:r>
          </w:p>
        </w:tc>
        <w:tc>
          <w:tcPr>
            <w:tcW w:w="1160" w:type="dxa"/>
            <w:tcBorders>
              <w:top w:val="nil"/>
              <w:left w:val="nil"/>
              <w:bottom w:val="single" w:sz="8" w:space="0" w:color="auto"/>
              <w:right w:val="single" w:sz="8" w:space="0" w:color="auto"/>
            </w:tcBorders>
            <w:shd w:val="clear" w:color="000000" w:fill="E28C05"/>
            <w:noWrap/>
            <w:vAlign w:val="center"/>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100%</w:t>
            </w:r>
          </w:p>
        </w:tc>
      </w:tr>
      <w:tr w:rsidR="00004C4F" w:rsidRPr="000B79E8" w:rsidTr="000B79E8">
        <w:trPr>
          <w:trHeight w:val="315"/>
        </w:trPr>
        <w:tc>
          <w:tcPr>
            <w:tcW w:w="2020" w:type="dxa"/>
            <w:tcBorders>
              <w:top w:val="nil"/>
              <w:left w:val="nil"/>
              <w:bottom w:val="nil"/>
              <w:right w:val="nil"/>
            </w:tcBorders>
            <w:shd w:val="clear" w:color="auto" w:fill="auto"/>
            <w:noWrap/>
            <w:vAlign w:val="bottom"/>
            <w:hideMark/>
          </w:tcPr>
          <w:p w:rsidR="00004C4F" w:rsidRPr="000B79E8" w:rsidRDefault="00004C4F" w:rsidP="000B79E8">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004C4F" w:rsidRDefault="00004C4F">
            <w:pPr>
              <w:rPr>
                <w:rFonts w:ascii="Calibri" w:hAnsi="Calibri" w:cs="Calibri"/>
                <w:color w:val="FFFFFF"/>
                <w:sz w:val="22"/>
                <w:szCs w:val="22"/>
              </w:rPr>
            </w:pPr>
          </w:p>
        </w:tc>
        <w:tc>
          <w:tcPr>
            <w:tcW w:w="1160" w:type="dxa"/>
            <w:tcBorders>
              <w:top w:val="nil"/>
              <w:left w:val="nil"/>
              <w:bottom w:val="nil"/>
              <w:right w:val="nil"/>
            </w:tcBorders>
            <w:shd w:val="clear" w:color="auto" w:fill="auto"/>
            <w:noWrap/>
            <w:vAlign w:val="bottom"/>
            <w:hideMark/>
          </w:tcPr>
          <w:p w:rsidR="00004C4F" w:rsidRDefault="00004C4F">
            <w:pPr>
              <w:rPr>
                <w:rFonts w:ascii="Calibri" w:hAnsi="Calibri" w:cs="Calibri"/>
                <w:color w:val="FFFFFF"/>
                <w:sz w:val="22"/>
                <w:szCs w:val="22"/>
              </w:rPr>
            </w:pPr>
          </w:p>
        </w:tc>
        <w:tc>
          <w:tcPr>
            <w:tcW w:w="1320" w:type="dxa"/>
            <w:tcBorders>
              <w:top w:val="nil"/>
              <w:left w:val="nil"/>
              <w:bottom w:val="nil"/>
              <w:right w:val="nil"/>
            </w:tcBorders>
            <w:shd w:val="clear" w:color="auto" w:fill="auto"/>
            <w:noWrap/>
            <w:vAlign w:val="bottom"/>
            <w:hideMark/>
          </w:tcPr>
          <w:p w:rsidR="00004C4F" w:rsidRDefault="00004C4F">
            <w:pPr>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04C4F" w:rsidRDefault="00004C4F">
            <w:pPr>
              <w:rPr>
                <w:rFonts w:ascii="Calibri" w:hAnsi="Calibri" w:cs="Calibri"/>
                <w:color w:val="000000"/>
                <w:sz w:val="22"/>
                <w:szCs w:val="22"/>
              </w:rPr>
            </w:pPr>
          </w:p>
        </w:tc>
      </w:tr>
      <w:tr w:rsidR="00004C4F" w:rsidRPr="000B79E8" w:rsidTr="000B79E8">
        <w:trPr>
          <w:trHeight w:val="315"/>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4C4F" w:rsidRPr="000B79E8" w:rsidRDefault="00004C4F" w:rsidP="000B79E8">
            <w:pPr>
              <w:rPr>
                <w:rFonts w:ascii="Calibri" w:hAnsi="Calibri" w:cs="Calibri"/>
                <w:b/>
                <w:bCs/>
                <w:color w:val="000000"/>
                <w:sz w:val="22"/>
                <w:szCs w:val="22"/>
              </w:rPr>
            </w:pPr>
            <w:r w:rsidRPr="000B79E8">
              <w:rPr>
                <w:rFonts w:ascii="Calibri" w:hAnsi="Calibri" w:cs="Calibri"/>
                <w:b/>
                <w:bCs/>
                <w:color w:val="000000"/>
                <w:sz w:val="22"/>
                <w:szCs w:val="22"/>
              </w:rPr>
              <w:t>BPPC achieved</w:t>
            </w:r>
          </w:p>
        </w:tc>
        <w:tc>
          <w:tcPr>
            <w:tcW w:w="1300" w:type="dxa"/>
            <w:tcBorders>
              <w:top w:val="single" w:sz="8" w:space="0" w:color="auto"/>
              <w:left w:val="nil"/>
              <w:bottom w:val="single" w:sz="8" w:space="0" w:color="auto"/>
              <w:right w:val="single" w:sz="8" w:space="0" w:color="auto"/>
            </w:tcBorders>
            <w:shd w:val="clear" w:color="000000" w:fill="56008C"/>
            <w:noWrap/>
            <w:vAlign w:val="center"/>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98%</w:t>
            </w:r>
          </w:p>
        </w:tc>
        <w:tc>
          <w:tcPr>
            <w:tcW w:w="1160" w:type="dxa"/>
            <w:tcBorders>
              <w:top w:val="single" w:sz="8" w:space="0" w:color="auto"/>
              <w:left w:val="nil"/>
              <w:bottom w:val="single" w:sz="8" w:space="0" w:color="auto"/>
              <w:right w:val="single" w:sz="8" w:space="0" w:color="auto"/>
            </w:tcBorders>
            <w:shd w:val="clear" w:color="000000" w:fill="56008C"/>
            <w:noWrap/>
            <w:vAlign w:val="center"/>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98%</w:t>
            </w:r>
          </w:p>
        </w:tc>
        <w:tc>
          <w:tcPr>
            <w:tcW w:w="1320" w:type="dxa"/>
            <w:tcBorders>
              <w:top w:val="single" w:sz="8" w:space="0" w:color="auto"/>
              <w:left w:val="nil"/>
              <w:bottom w:val="single" w:sz="8" w:space="0" w:color="auto"/>
              <w:right w:val="single" w:sz="8" w:space="0" w:color="auto"/>
            </w:tcBorders>
            <w:shd w:val="clear" w:color="000000" w:fill="E28C05"/>
            <w:noWrap/>
            <w:vAlign w:val="center"/>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97%</w:t>
            </w:r>
          </w:p>
        </w:tc>
        <w:tc>
          <w:tcPr>
            <w:tcW w:w="1160" w:type="dxa"/>
            <w:tcBorders>
              <w:top w:val="single" w:sz="8" w:space="0" w:color="auto"/>
              <w:left w:val="nil"/>
              <w:bottom w:val="single" w:sz="8" w:space="0" w:color="auto"/>
              <w:right w:val="single" w:sz="8" w:space="0" w:color="auto"/>
            </w:tcBorders>
            <w:shd w:val="clear" w:color="000000" w:fill="E28C05"/>
            <w:noWrap/>
            <w:vAlign w:val="center"/>
            <w:hideMark/>
          </w:tcPr>
          <w:p w:rsidR="00004C4F" w:rsidRDefault="00004C4F">
            <w:pPr>
              <w:jc w:val="right"/>
              <w:rPr>
                <w:rFonts w:ascii="Calibri" w:hAnsi="Calibri" w:cs="Calibri"/>
                <w:color w:val="FFFFFF"/>
                <w:sz w:val="22"/>
                <w:szCs w:val="22"/>
              </w:rPr>
            </w:pPr>
            <w:r>
              <w:rPr>
                <w:rFonts w:ascii="Calibri" w:hAnsi="Calibri" w:cs="Calibri"/>
                <w:color w:val="FFFFFF"/>
                <w:sz w:val="22"/>
                <w:szCs w:val="22"/>
              </w:rPr>
              <w:t>97%</w:t>
            </w:r>
          </w:p>
        </w:tc>
      </w:tr>
    </w:tbl>
    <w:p w:rsidR="00A05E1F" w:rsidRDefault="00A05E1F">
      <w:pPr>
        <w:spacing w:after="200" w:line="276" w:lineRule="auto"/>
        <w:rPr>
          <w:rFonts w:ascii="Arial" w:eastAsia="Calibri" w:hAnsi="Arial"/>
          <w:b/>
          <w:bCs/>
          <w:color w:val="1F497D"/>
          <w:szCs w:val="26"/>
          <w:lang w:eastAsia="en-US"/>
        </w:rPr>
      </w:pPr>
    </w:p>
    <w:p w:rsidR="00A05E1F" w:rsidRDefault="00606CBA" w:rsidP="00A05E1F">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A422D8">
        <w:rPr>
          <w:rFonts w:ascii="Arial" w:eastAsia="Calibri" w:hAnsi="Arial"/>
          <w:b/>
          <w:bCs/>
          <w:color w:val="56008C"/>
          <w:szCs w:val="26"/>
          <w:lang w:eastAsia="en-US"/>
        </w:rPr>
        <w:t>Ag</w:t>
      </w:r>
      <w:r w:rsidRPr="00A422D8">
        <w:rPr>
          <w:rFonts w:ascii="Arial" w:eastAsia="Calibri" w:hAnsi="Arial"/>
          <w:b/>
          <w:bCs/>
          <w:color w:val="56008C"/>
          <w:sz w:val="22"/>
          <w:szCs w:val="22"/>
          <w:lang w:eastAsia="en-US"/>
        </w:rPr>
        <w:t>ed</w:t>
      </w:r>
      <w:r w:rsidR="0088350C">
        <w:rPr>
          <w:rFonts w:ascii="Arial" w:eastAsia="Calibri" w:hAnsi="Arial"/>
          <w:b/>
          <w:bCs/>
          <w:color w:val="56008C"/>
          <w:szCs w:val="26"/>
          <w:lang w:eastAsia="en-US"/>
        </w:rPr>
        <w:t xml:space="preserve"> Cre</w:t>
      </w:r>
      <w:r w:rsidR="00004C4F">
        <w:rPr>
          <w:rFonts w:ascii="Arial" w:eastAsia="Calibri" w:hAnsi="Arial"/>
          <w:b/>
          <w:bCs/>
          <w:color w:val="56008C"/>
          <w:szCs w:val="26"/>
          <w:lang w:eastAsia="en-US"/>
        </w:rPr>
        <w:t>ditors at 31 March</w:t>
      </w:r>
      <w:r w:rsidR="007D0BF0">
        <w:rPr>
          <w:rFonts w:ascii="Arial" w:eastAsia="Calibri" w:hAnsi="Arial"/>
          <w:b/>
          <w:bCs/>
          <w:color w:val="56008C"/>
          <w:szCs w:val="26"/>
          <w:lang w:eastAsia="en-US"/>
        </w:rPr>
        <w:t xml:space="preserve"> 2015</w:t>
      </w:r>
    </w:p>
    <w:p w:rsidR="00A74E5F" w:rsidRDefault="00A74E5F" w:rsidP="00A74E5F">
      <w:pPr>
        <w:rPr>
          <w:rFonts w:ascii="Arial" w:hAnsi="Arial" w:cs="Arial"/>
          <w:b/>
          <w:bCs/>
          <w:sz w:val="22"/>
          <w:szCs w:val="22"/>
        </w:rPr>
      </w:pPr>
      <w:r w:rsidRPr="004C536A">
        <w:rPr>
          <w:rFonts w:ascii="Arial" w:hAnsi="Arial" w:cs="Arial"/>
          <w:b/>
          <w:bCs/>
          <w:sz w:val="22"/>
          <w:szCs w:val="22"/>
        </w:rPr>
        <w:t>Headlines</w:t>
      </w:r>
      <w:r w:rsidR="00357BF3" w:rsidRPr="004C536A">
        <w:rPr>
          <w:rFonts w:ascii="Arial" w:hAnsi="Arial" w:cs="Arial"/>
          <w:b/>
          <w:bCs/>
          <w:sz w:val="22"/>
          <w:szCs w:val="22"/>
        </w:rPr>
        <w:t xml:space="preserve"> – clock start date is the invoice date (regardless of when the invoice is received in the system)</w:t>
      </w:r>
      <w:r w:rsidR="00AC3DE8">
        <w:rPr>
          <w:rFonts w:ascii="Arial" w:hAnsi="Arial" w:cs="Arial"/>
          <w:b/>
          <w:bCs/>
          <w:sz w:val="22"/>
          <w:szCs w:val="22"/>
        </w:rPr>
        <w:t xml:space="preserve"> – there are no issues of concern.</w:t>
      </w:r>
    </w:p>
    <w:p w:rsidR="00A74E5F" w:rsidRPr="00EC0486" w:rsidRDefault="00A74E5F" w:rsidP="00A74E5F">
      <w:pPr>
        <w:rPr>
          <w:rFonts w:ascii="Arial" w:hAnsi="Arial" w:cs="Arial"/>
          <w:b/>
          <w:bCs/>
          <w:sz w:val="22"/>
          <w:szCs w:val="22"/>
          <w:highlight w:val="yellow"/>
        </w:rPr>
      </w:pPr>
    </w:p>
    <w:p w:rsidR="00357BF3" w:rsidRPr="004C536A" w:rsidRDefault="00357BF3" w:rsidP="00A74E5F">
      <w:pPr>
        <w:rPr>
          <w:rFonts w:ascii="Arial" w:hAnsi="Arial" w:cs="Arial"/>
          <w:sz w:val="22"/>
          <w:szCs w:val="22"/>
        </w:rPr>
      </w:pPr>
    </w:p>
    <w:p w:rsidR="00A74E5F" w:rsidRPr="00EC0486" w:rsidRDefault="00A74E5F" w:rsidP="00A74E5F">
      <w:pPr>
        <w:rPr>
          <w:rFonts w:eastAsia="Calibri"/>
          <w:highlight w:val="yellow"/>
          <w:lang w:eastAsia="en-US"/>
        </w:rPr>
      </w:pPr>
    </w:p>
    <w:tbl>
      <w:tblPr>
        <w:tblW w:w="8655" w:type="dxa"/>
        <w:jc w:val="center"/>
        <w:tblLook w:val="04A0" w:firstRow="1" w:lastRow="0" w:firstColumn="1" w:lastColumn="0" w:noHBand="0" w:noVBand="1"/>
      </w:tblPr>
      <w:tblGrid>
        <w:gridCol w:w="1773"/>
        <w:gridCol w:w="1752"/>
        <w:gridCol w:w="2700"/>
        <w:gridCol w:w="2430"/>
      </w:tblGrid>
      <w:tr w:rsidR="004C536A" w:rsidRPr="004C536A" w:rsidTr="0073688F">
        <w:trPr>
          <w:trHeight w:val="315"/>
          <w:jc w:val="center"/>
        </w:trPr>
        <w:tc>
          <w:tcPr>
            <w:tcW w:w="1773" w:type="dxa"/>
            <w:tcBorders>
              <w:top w:val="nil"/>
              <w:left w:val="nil"/>
              <w:bottom w:val="nil"/>
              <w:right w:val="nil"/>
            </w:tcBorders>
            <w:shd w:val="clear" w:color="auto" w:fill="auto"/>
            <w:noWrap/>
            <w:vAlign w:val="bottom"/>
            <w:hideMark/>
          </w:tcPr>
          <w:p w:rsidR="004C536A" w:rsidRPr="004C536A" w:rsidRDefault="004C536A" w:rsidP="004C536A">
            <w:pPr>
              <w:rPr>
                <w:rFonts w:ascii="Calibri" w:hAnsi="Calibri" w:cs="Calibri"/>
                <w:color w:val="000000"/>
                <w:sz w:val="22"/>
                <w:szCs w:val="22"/>
              </w:rPr>
            </w:pPr>
            <w:bookmarkStart w:id="1" w:name="OLE_LINK2"/>
          </w:p>
        </w:tc>
        <w:tc>
          <w:tcPr>
            <w:tcW w:w="6882" w:type="dxa"/>
            <w:gridSpan w:val="3"/>
            <w:tcBorders>
              <w:top w:val="single" w:sz="8" w:space="0" w:color="auto"/>
              <w:left w:val="single" w:sz="8" w:space="0" w:color="auto"/>
              <w:bottom w:val="nil"/>
              <w:right w:val="single" w:sz="8" w:space="0" w:color="000000"/>
            </w:tcBorders>
            <w:shd w:val="clear" w:color="000000" w:fill="56008C"/>
            <w:noWrap/>
            <w:vAlign w:val="center"/>
            <w:hideMark/>
          </w:tcPr>
          <w:p w:rsidR="004C536A" w:rsidRPr="004C536A" w:rsidRDefault="004C536A" w:rsidP="004C536A">
            <w:pPr>
              <w:jc w:val="center"/>
              <w:rPr>
                <w:rFonts w:ascii="Calibri" w:hAnsi="Calibri" w:cs="Calibri"/>
                <w:b/>
                <w:bCs/>
                <w:color w:val="FFFFFF"/>
                <w:sz w:val="22"/>
                <w:szCs w:val="22"/>
              </w:rPr>
            </w:pPr>
            <w:r w:rsidRPr="004C536A">
              <w:rPr>
                <w:rFonts w:ascii="Calibri" w:hAnsi="Calibri" w:cs="Calibri"/>
                <w:b/>
                <w:bCs/>
                <w:color w:val="FFFFFF"/>
                <w:sz w:val="22"/>
                <w:szCs w:val="22"/>
              </w:rPr>
              <w:t>Aged Creditors – (£) amounts past due date</w:t>
            </w:r>
          </w:p>
        </w:tc>
      </w:tr>
      <w:tr w:rsidR="004C536A" w:rsidRPr="004C536A" w:rsidTr="004D5ABD">
        <w:trPr>
          <w:trHeight w:val="368"/>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536A" w:rsidRPr="004C536A" w:rsidRDefault="004C536A" w:rsidP="004C536A">
            <w:pPr>
              <w:rPr>
                <w:rFonts w:ascii="Calibri" w:hAnsi="Calibri" w:cs="Calibri"/>
                <w:color w:val="000000"/>
                <w:sz w:val="22"/>
                <w:szCs w:val="22"/>
              </w:rPr>
            </w:pPr>
            <w:r w:rsidRPr="004C536A">
              <w:rPr>
                <w:rFonts w:ascii="Calibri" w:hAnsi="Calibri" w:cs="Calibri"/>
                <w:color w:val="000000"/>
                <w:sz w:val="22"/>
                <w:szCs w:val="22"/>
              </w:rPr>
              <w:t> </w:t>
            </w:r>
          </w:p>
        </w:tc>
        <w:tc>
          <w:tcPr>
            <w:tcW w:w="1752"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4C536A">
            <w:pPr>
              <w:jc w:val="center"/>
              <w:rPr>
                <w:rFonts w:ascii="Calibri" w:hAnsi="Calibri" w:cs="Calibri"/>
                <w:b/>
                <w:bCs/>
                <w:color w:val="000000"/>
                <w:sz w:val="22"/>
                <w:szCs w:val="22"/>
              </w:rPr>
            </w:pPr>
            <w:r w:rsidRPr="004C536A">
              <w:rPr>
                <w:rFonts w:ascii="Calibri" w:hAnsi="Calibri" w:cs="Calibri"/>
                <w:b/>
                <w:bCs/>
                <w:color w:val="000000"/>
                <w:sz w:val="22"/>
                <w:szCs w:val="22"/>
              </w:rPr>
              <w:t>1-30 days</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4C536A">
            <w:pPr>
              <w:jc w:val="center"/>
              <w:rPr>
                <w:rFonts w:ascii="Calibri" w:hAnsi="Calibri" w:cs="Calibri"/>
                <w:b/>
                <w:bCs/>
                <w:color w:val="000000"/>
                <w:sz w:val="22"/>
                <w:szCs w:val="22"/>
              </w:rPr>
            </w:pPr>
            <w:r w:rsidRPr="004C536A">
              <w:rPr>
                <w:rFonts w:ascii="Calibri" w:hAnsi="Calibri" w:cs="Calibri"/>
                <w:b/>
                <w:bCs/>
                <w:color w:val="000000"/>
                <w:sz w:val="22"/>
                <w:szCs w:val="22"/>
              </w:rPr>
              <w:t>31-60 days</w:t>
            </w:r>
          </w:p>
        </w:tc>
        <w:tc>
          <w:tcPr>
            <w:tcW w:w="243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4C536A">
            <w:pPr>
              <w:jc w:val="center"/>
              <w:rPr>
                <w:rFonts w:ascii="Calibri" w:hAnsi="Calibri" w:cs="Calibri"/>
                <w:b/>
                <w:bCs/>
                <w:color w:val="000000"/>
                <w:sz w:val="22"/>
                <w:szCs w:val="22"/>
              </w:rPr>
            </w:pPr>
            <w:r w:rsidRPr="004C536A">
              <w:rPr>
                <w:rFonts w:ascii="Calibri" w:hAnsi="Calibri" w:cs="Calibri"/>
                <w:b/>
                <w:bCs/>
                <w:color w:val="000000"/>
                <w:sz w:val="22"/>
                <w:szCs w:val="22"/>
              </w:rPr>
              <w:t>60 + days</w:t>
            </w:r>
          </w:p>
        </w:tc>
      </w:tr>
      <w:tr w:rsidR="00004C4F" w:rsidRPr="004C536A" w:rsidTr="003C121B">
        <w:trPr>
          <w:trHeight w:val="232"/>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004C4F" w:rsidRPr="004C536A" w:rsidRDefault="00004C4F" w:rsidP="004C536A">
            <w:pPr>
              <w:rPr>
                <w:rFonts w:ascii="Calibri" w:hAnsi="Calibri" w:cs="Calibri"/>
                <w:b/>
                <w:color w:val="000000"/>
                <w:sz w:val="22"/>
                <w:szCs w:val="22"/>
              </w:rPr>
            </w:pPr>
            <w:r w:rsidRPr="004C536A">
              <w:rPr>
                <w:rFonts w:ascii="Calibri" w:hAnsi="Calibri" w:cs="Calibri"/>
                <w:b/>
                <w:color w:val="000000"/>
                <w:sz w:val="22"/>
                <w:szCs w:val="22"/>
              </w:rPr>
              <w:t>Non NHS Trade</w:t>
            </w:r>
          </w:p>
        </w:tc>
        <w:tc>
          <w:tcPr>
            <w:tcW w:w="1752" w:type="dxa"/>
            <w:tcBorders>
              <w:top w:val="nil"/>
              <w:left w:val="nil"/>
              <w:bottom w:val="single" w:sz="8" w:space="0" w:color="auto"/>
              <w:right w:val="single" w:sz="8" w:space="0" w:color="auto"/>
            </w:tcBorders>
            <w:shd w:val="clear" w:color="auto" w:fill="auto"/>
            <w:noWrap/>
            <w:vAlign w:val="bottom"/>
          </w:tcPr>
          <w:p w:rsidR="00004C4F" w:rsidRDefault="00004C4F">
            <w:pPr>
              <w:jc w:val="right"/>
              <w:rPr>
                <w:rFonts w:ascii="Calibri" w:hAnsi="Calibri" w:cs="Calibri"/>
                <w:color w:val="000000"/>
                <w:sz w:val="22"/>
                <w:szCs w:val="22"/>
              </w:rPr>
            </w:pPr>
            <w:r>
              <w:rPr>
                <w:rFonts w:ascii="Calibri" w:hAnsi="Calibri" w:cs="Calibri"/>
                <w:color w:val="000000"/>
                <w:sz w:val="22"/>
                <w:szCs w:val="22"/>
              </w:rPr>
              <w:t>3,455.92</w:t>
            </w:r>
          </w:p>
        </w:tc>
        <w:tc>
          <w:tcPr>
            <w:tcW w:w="2700" w:type="dxa"/>
            <w:tcBorders>
              <w:top w:val="nil"/>
              <w:left w:val="nil"/>
              <w:bottom w:val="single" w:sz="8" w:space="0" w:color="auto"/>
              <w:right w:val="single" w:sz="8" w:space="0" w:color="auto"/>
            </w:tcBorders>
            <w:shd w:val="clear" w:color="auto" w:fill="auto"/>
            <w:noWrap/>
            <w:vAlign w:val="bottom"/>
          </w:tcPr>
          <w:p w:rsidR="00004C4F" w:rsidRDefault="00004C4F">
            <w:pPr>
              <w:jc w:val="right"/>
              <w:rPr>
                <w:rFonts w:ascii="Calibri" w:hAnsi="Calibri" w:cs="Calibri"/>
                <w:color w:val="000000"/>
                <w:sz w:val="22"/>
                <w:szCs w:val="22"/>
              </w:rPr>
            </w:pPr>
            <w:r>
              <w:rPr>
                <w:rFonts w:ascii="Calibri" w:hAnsi="Calibri" w:cs="Calibri"/>
                <w:color w:val="000000"/>
                <w:sz w:val="22"/>
                <w:szCs w:val="22"/>
              </w:rPr>
              <w:t>1,107.94</w:t>
            </w:r>
          </w:p>
        </w:tc>
        <w:tc>
          <w:tcPr>
            <w:tcW w:w="2430" w:type="dxa"/>
            <w:tcBorders>
              <w:top w:val="nil"/>
              <w:left w:val="nil"/>
              <w:bottom w:val="single" w:sz="8" w:space="0" w:color="auto"/>
              <w:right w:val="single" w:sz="8" w:space="0" w:color="auto"/>
            </w:tcBorders>
            <w:shd w:val="clear" w:color="auto" w:fill="auto"/>
            <w:noWrap/>
            <w:vAlign w:val="bottom"/>
          </w:tcPr>
          <w:p w:rsidR="00004C4F" w:rsidRDefault="00004C4F">
            <w:pPr>
              <w:jc w:val="right"/>
              <w:rPr>
                <w:rFonts w:ascii="Calibri" w:hAnsi="Calibri" w:cs="Calibri"/>
                <w:color w:val="000000"/>
                <w:sz w:val="22"/>
                <w:szCs w:val="22"/>
              </w:rPr>
            </w:pPr>
            <w:r>
              <w:rPr>
                <w:rFonts w:ascii="Calibri" w:hAnsi="Calibri" w:cs="Calibri"/>
                <w:color w:val="000000"/>
                <w:sz w:val="22"/>
                <w:szCs w:val="22"/>
              </w:rPr>
              <w:t>315.70</w:t>
            </w:r>
          </w:p>
        </w:tc>
      </w:tr>
      <w:tr w:rsidR="00004C4F"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004C4F" w:rsidRPr="004C536A" w:rsidRDefault="00004C4F" w:rsidP="004C536A">
            <w:pPr>
              <w:rPr>
                <w:rFonts w:ascii="Calibri" w:hAnsi="Calibri" w:cs="Calibri"/>
                <w:b/>
                <w:color w:val="000000"/>
                <w:sz w:val="22"/>
                <w:szCs w:val="22"/>
              </w:rPr>
            </w:pPr>
            <w:r w:rsidRPr="004C536A">
              <w:rPr>
                <w:rFonts w:ascii="Calibri" w:hAnsi="Calibri" w:cs="Calibri"/>
                <w:b/>
                <w:color w:val="000000"/>
                <w:sz w:val="22"/>
                <w:szCs w:val="22"/>
              </w:rPr>
              <w:t>Non NHS Other</w:t>
            </w:r>
          </w:p>
        </w:tc>
        <w:tc>
          <w:tcPr>
            <w:tcW w:w="1752" w:type="dxa"/>
            <w:tcBorders>
              <w:top w:val="nil"/>
              <w:left w:val="nil"/>
              <w:bottom w:val="single" w:sz="8" w:space="0" w:color="auto"/>
              <w:right w:val="single" w:sz="8" w:space="0" w:color="auto"/>
            </w:tcBorders>
            <w:shd w:val="clear" w:color="auto" w:fill="auto"/>
            <w:noWrap/>
            <w:vAlign w:val="bottom"/>
          </w:tcPr>
          <w:p w:rsidR="00004C4F" w:rsidRDefault="00004C4F">
            <w:pPr>
              <w:jc w:val="right"/>
              <w:rPr>
                <w:rFonts w:ascii="Calibri" w:hAnsi="Calibri" w:cs="Calibri"/>
                <w:color w:val="000000"/>
                <w:sz w:val="22"/>
                <w:szCs w:val="22"/>
              </w:rPr>
            </w:pPr>
            <w:r>
              <w:rPr>
                <w:rFonts w:ascii="Calibri" w:hAnsi="Calibri" w:cs="Calibri"/>
                <w:color w:val="000000"/>
                <w:sz w:val="22"/>
                <w:szCs w:val="22"/>
              </w:rPr>
              <w:t>310.70</w:t>
            </w:r>
          </w:p>
        </w:tc>
        <w:tc>
          <w:tcPr>
            <w:tcW w:w="2700" w:type="dxa"/>
            <w:tcBorders>
              <w:top w:val="nil"/>
              <w:left w:val="nil"/>
              <w:bottom w:val="nil"/>
              <w:right w:val="single" w:sz="8" w:space="0" w:color="auto"/>
            </w:tcBorders>
            <w:shd w:val="clear" w:color="auto" w:fill="auto"/>
            <w:noWrap/>
            <w:vAlign w:val="bottom"/>
          </w:tcPr>
          <w:p w:rsidR="00004C4F" w:rsidRDefault="00004C4F">
            <w:pPr>
              <w:jc w:val="right"/>
              <w:rPr>
                <w:rFonts w:ascii="Calibri" w:hAnsi="Calibri" w:cs="Calibri"/>
                <w:color w:val="000000"/>
                <w:sz w:val="22"/>
                <w:szCs w:val="22"/>
              </w:rPr>
            </w:pPr>
            <w:r>
              <w:rPr>
                <w:rFonts w:ascii="Calibri" w:hAnsi="Calibri" w:cs="Calibri"/>
                <w:color w:val="000000"/>
                <w:sz w:val="22"/>
                <w:szCs w:val="22"/>
              </w:rPr>
              <w:t>337.80</w:t>
            </w:r>
          </w:p>
        </w:tc>
        <w:tc>
          <w:tcPr>
            <w:tcW w:w="2430" w:type="dxa"/>
            <w:tcBorders>
              <w:top w:val="nil"/>
              <w:left w:val="nil"/>
              <w:bottom w:val="single" w:sz="8" w:space="0" w:color="auto"/>
              <w:right w:val="single" w:sz="8" w:space="0" w:color="auto"/>
            </w:tcBorders>
            <w:shd w:val="clear" w:color="auto" w:fill="auto"/>
            <w:noWrap/>
            <w:vAlign w:val="bottom"/>
          </w:tcPr>
          <w:p w:rsidR="00004C4F" w:rsidRDefault="00004C4F">
            <w:pPr>
              <w:jc w:val="right"/>
              <w:rPr>
                <w:rFonts w:ascii="Calibri" w:hAnsi="Calibri" w:cs="Calibri"/>
                <w:color w:val="000000"/>
                <w:sz w:val="22"/>
                <w:szCs w:val="22"/>
              </w:rPr>
            </w:pPr>
            <w:r>
              <w:rPr>
                <w:rFonts w:ascii="Calibri" w:hAnsi="Calibri" w:cs="Calibri"/>
                <w:color w:val="FF0000"/>
                <w:sz w:val="22"/>
                <w:szCs w:val="22"/>
              </w:rPr>
              <w:t>(187.90)</w:t>
            </w:r>
          </w:p>
        </w:tc>
      </w:tr>
      <w:tr w:rsidR="00004C4F"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004C4F" w:rsidRPr="004C536A" w:rsidRDefault="00004C4F" w:rsidP="004C536A">
            <w:pPr>
              <w:rPr>
                <w:rFonts w:ascii="Calibri" w:hAnsi="Calibri" w:cs="Calibri"/>
                <w:b/>
                <w:color w:val="000000"/>
                <w:sz w:val="22"/>
                <w:szCs w:val="22"/>
              </w:rPr>
            </w:pPr>
            <w:r w:rsidRPr="004C536A">
              <w:rPr>
                <w:rFonts w:ascii="Calibri" w:hAnsi="Calibri" w:cs="Calibri"/>
                <w:b/>
                <w:color w:val="000000"/>
                <w:sz w:val="22"/>
                <w:szCs w:val="22"/>
              </w:rPr>
              <w:t>NHS</w:t>
            </w:r>
          </w:p>
        </w:tc>
        <w:tc>
          <w:tcPr>
            <w:tcW w:w="1752" w:type="dxa"/>
            <w:tcBorders>
              <w:top w:val="nil"/>
              <w:left w:val="nil"/>
              <w:bottom w:val="single" w:sz="8" w:space="0" w:color="auto"/>
              <w:right w:val="single" w:sz="8" w:space="0" w:color="auto"/>
            </w:tcBorders>
            <w:shd w:val="clear" w:color="auto" w:fill="auto"/>
            <w:noWrap/>
            <w:vAlign w:val="bottom"/>
          </w:tcPr>
          <w:p w:rsidR="00004C4F" w:rsidRDefault="00004C4F">
            <w:pPr>
              <w:jc w:val="right"/>
              <w:rPr>
                <w:rFonts w:ascii="Calibri" w:hAnsi="Calibri" w:cs="Calibri"/>
                <w:color w:val="000000"/>
                <w:sz w:val="22"/>
                <w:szCs w:val="22"/>
              </w:rPr>
            </w:pPr>
            <w:r>
              <w:rPr>
                <w:rFonts w:ascii="Calibri" w:hAnsi="Calibri" w:cs="Calibri"/>
                <w:color w:val="000000"/>
                <w:sz w:val="22"/>
                <w:szCs w:val="22"/>
              </w:rPr>
              <w:t>22,260.04</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004C4F" w:rsidRDefault="00004C4F">
            <w:pPr>
              <w:jc w:val="right"/>
              <w:rPr>
                <w:rFonts w:ascii="Calibri" w:hAnsi="Calibri" w:cs="Calibri"/>
                <w:color w:val="000000"/>
                <w:sz w:val="22"/>
                <w:szCs w:val="22"/>
              </w:rPr>
            </w:pPr>
            <w:r>
              <w:rPr>
                <w:rFonts w:ascii="Calibri" w:hAnsi="Calibri" w:cs="Calibri"/>
                <w:color w:val="000000"/>
                <w:sz w:val="22"/>
                <w:szCs w:val="22"/>
              </w:rPr>
              <w:t>0.00</w:t>
            </w:r>
          </w:p>
        </w:tc>
        <w:tc>
          <w:tcPr>
            <w:tcW w:w="2430" w:type="dxa"/>
            <w:tcBorders>
              <w:top w:val="nil"/>
              <w:left w:val="nil"/>
              <w:bottom w:val="single" w:sz="8" w:space="0" w:color="auto"/>
              <w:right w:val="single" w:sz="8" w:space="0" w:color="auto"/>
            </w:tcBorders>
            <w:shd w:val="clear" w:color="auto" w:fill="auto"/>
            <w:noWrap/>
            <w:vAlign w:val="bottom"/>
          </w:tcPr>
          <w:p w:rsidR="00004C4F" w:rsidRDefault="00004C4F">
            <w:pPr>
              <w:jc w:val="right"/>
              <w:rPr>
                <w:rFonts w:ascii="Calibri" w:hAnsi="Calibri" w:cs="Calibri"/>
                <w:color w:val="000000"/>
                <w:sz w:val="22"/>
                <w:szCs w:val="22"/>
              </w:rPr>
            </w:pPr>
            <w:r>
              <w:rPr>
                <w:rFonts w:ascii="Calibri" w:hAnsi="Calibri" w:cs="Calibri"/>
                <w:color w:val="FF0000"/>
                <w:sz w:val="22"/>
                <w:szCs w:val="22"/>
              </w:rPr>
              <w:t>(1,958.98)</w:t>
            </w:r>
          </w:p>
        </w:tc>
      </w:tr>
      <w:tr w:rsidR="00004C4F" w:rsidRPr="004C536A" w:rsidTr="003C121B">
        <w:trPr>
          <w:trHeight w:val="315"/>
          <w:jc w:val="center"/>
        </w:trPr>
        <w:tc>
          <w:tcPr>
            <w:tcW w:w="1773" w:type="dxa"/>
            <w:tcBorders>
              <w:top w:val="nil"/>
              <w:left w:val="nil"/>
              <w:bottom w:val="nil"/>
              <w:right w:val="nil"/>
            </w:tcBorders>
            <w:shd w:val="clear" w:color="auto" w:fill="auto"/>
            <w:noWrap/>
            <w:vAlign w:val="bottom"/>
            <w:hideMark/>
          </w:tcPr>
          <w:p w:rsidR="00004C4F" w:rsidRPr="004C536A" w:rsidRDefault="00004C4F" w:rsidP="004C536A">
            <w:pPr>
              <w:rPr>
                <w:rFonts w:ascii="Calibri" w:hAnsi="Calibri" w:cs="Calibri"/>
                <w:b/>
                <w:color w:val="000000"/>
                <w:sz w:val="22"/>
                <w:szCs w:val="22"/>
              </w:rPr>
            </w:pPr>
          </w:p>
        </w:tc>
        <w:tc>
          <w:tcPr>
            <w:tcW w:w="1752" w:type="dxa"/>
            <w:tcBorders>
              <w:top w:val="nil"/>
              <w:left w:val="nil"/>
              <w:bottom w:val="nil"/>
              <w:right w:val="nil"/>
            </w:tcBorders>
            <w:shd w:val="clear" w:color="auto" w:fill="auto"/>
            <w:noWrap/>
            <w:vAlign w:val="bottom"/>
            <w:hideMark/>
          </w:tcPr>
          <w:p w:rsidR="00004C4F" w:rsidRDefault="00004C4F">
            <w:pP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nil"/>
              <w:right w:val="nil"/>
            </w:tcBorders>
            <w:shd w:val="clear" w:color="auto" w:fill="auto"/>
            <w:noWrap/>
            <w:vAlign w:val="bottom"/>
            <w:hideMark/>
          </w:tcPr>
          <w:p w:rsidR="00004C4F" w:rsidRDefault="00004C4F">
            <w:pPr>
              <w:rPr>
                <w:rFonts w:ascii="Calibri" w:hAnsi="Calibri" w:cs="Calibri"/>
                <w:color w:val="000000"/>
                <w:sz w:val="22"/>
                <w:szCs w:val="22"/>
              </w:rPr>
            </w:pPr>
            <w:r>
              <w:rPr>
                <w:rFonts w:ascii="Calibri" w:hAnsi="Calibri" w:cs="Calibri"/>
                <w:color w:val="000000"/>
                <w:sz w:val="22"/>
                <w:szCs w:val="22"/>
              </w:rPr>
              <w:t> </w:t>
            </w:r>
          </w:p>
        </w:tc>
        <w:tc>
          <w:tcPr>
            <w:tcW w:w="2430" w:type="dxa"/>
            <w:tcBorders>
              <w:top w:val="nil"/>
              <w:left w:val="nil"/>
              <w:bottom w:val="nil"/>
              <w:right w:val="nil"/>
            </w:tcBorders>
            <w:shd w:val="clear" w:color="auto" w:fill="auto"/>
            <w:noWrap/>
            <w:vAlign w:val="bottom"/>
            <w:hideMark/>
          </w:tcPr>
          <w:p w:rsidR="00004C4F" w:rsidRDefault="00004C4F">
            <w:pPr>
              <w:rPr>
                <w:rFonts w:ascii="Calibri" w:hAnsi="Calibri" w:cs="Calibri"/>
                <w:color w:val="000000"/>
                <w:sz w:val="22"/>
                <w:szCs w:val="22"/>
              </w:rPr>
            </w:pPr>
            <w:r>
              <w:rPr>
                <w:rFonts w:ascii="Calibri" w:hAnsi="Calibri" w:cs="Calibri"/>
                <w:color w:val="000000"/>
                <w:sz w:val="22"/>
                <w:szCs w:val="22"/>
              </w:rPr>
              <w:t> </w:t>
            </w:r>
          </w:p>
        </w:tc>
      </w:tr>
      <w:tr w:rsidR="00004C4F" w:rsidRPr="004C536A" w:rsidTr="003C121B">
        <w:trPr>
          <w:trHeight w:val="315"/>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04C4F" w:rsidRPr="004C536A" w:rsidRDefault="00004C4F" w:rsidP="004C536A">
            <w:pPr>
              <w:rPr>
                <w:rFonts w:ascii="Calibri" w:hAnsi="Calibri" w:cs="Calibri"/>
                <w:b/>
                <w:color w:val="000000"/>
                <w:sz w:val="22"/>
                <w:szCs w:val="22"/>
              </w:rPr>
            </w:pPr>
            <w:r w:rsidRPr="004C536A">
              <w:rPr>
                <w:rFonts w:ascii="Calibri" w:hAnsi="Calibri" w:cs="Calibri"/>
                <w:b/>
                <w:color w:val="000000"/>
                <w:sz w:val="22"/>
                <w:szCs w:val="22"/>
              </w:rPr>
              <w:t>Total</w:t>
            </w:r>
          </w:p>
        </w:tc>
        <w:tc>
          <w:tcPr>
            <w:tcW w:w="1752" w:type="dxa"/>
            <w:tcBorders>
              <w:top w:val="single" w:sz="8" w:space="0" w:color="auto"/>
              <w:left w:val="nil"/>
              <w:bottom w:val="single" w:sz="8" w:space="0" w:color="auto"/>
              <w:right w:val="single" w:sz="8" w:space="0" w:color="auto"/>
            </w:tcBorders>
            <w:shd w:val="clear" w:color="auto" w:fill="auto"/>
            <w:noWrap/>
            <w:vAlign w:val="bottom"/>
          </w:tcPr>
          <w:p w:rsidR="00004C4F" w:rsidRDefault="00004C4F">
            <w:pPr>
              <w:jc w:val="right"/>
              <w:rPr>
                <w:rFonts w:ascii="Calibri" w:hAnsi="Calibri" w:cs="Calibri"/>
                <w:color w:val="000000"/>
                <w:sz w:val="22"/>
                <w:szCs w:val="22"/>
              </w:rPr>
            </w:pPr>
            <w:r>
              <w:rPr>
                <w:rFonts w:ascii="Calibri" w:hAnsi="Calibri" w:cs="Calibri"/>
                <w:color w:val="000000"/>
                <w:sz w:val="22"/>
                <w:szCs w:val="22"/>
              </w:rPr>
              <w:t>26,026.66</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004C4F" w:rsidRDefault="00004C4F">
            <w:pPr>
              <w:jc w:val="right"/>
              <w:rPr>
                <w:rFonts w:ascii="Calibri" w:hAnsi="Calibri" w:cs="Calibri"/>
                <w:color w:val="000000"/>
                <w:sz w:val="22"/>
                <w:szCs w:val="22"/>
              </w:rPr>
            </w:pPr>
            <w:r>
              <w:rPr>
                <w:rFonts w:ascii="Calibri" w:hAnsi="Calibri" w:cs="Calibri"/>
                <w:color w:val="000000"/>
                <w:sz w:val="22"/>
                <w:szCs w:val="22"/>
              </w:rPr>
              <w:t>1,445.74</w:t>
            </w:r>
          </w:p>
        </w:tc>
        <w:tc>
          <w:tcPr>
            <w:tcW w:w="2430" w:type="dxa"/>
            <w:tcBorders>
              <w:top w:val="single" w:sz="8" w:space="0" w:color="auto"/>
              <w:left w:val="nil"/>
              <w:bottom w:val="single" w:sz="8" w:space="0" w:color="auto"/>
              <w:right w:val="single" w:sz="8" w:space="0" w:color="auto"/>
            </w:tcBorders>
            <w:shd w:val="clear" w:color="auto" w:fill="auto"/>
            <w:noWrap/>
            <w:vAlign w:val="bottom"/>
          </w:tcPr>
          <w:p w:rsidR="00004C4F" w:rsidRDefault="00004C4F">
            <w:pPr>
              <w:jc w:val="right"/>
              <w:rPr>
                <w:rFonts w:ascii="Calibri" w:hAnsi="Calibri" w:cs="Calibri"/>
                <w:color w:val="000000"/>
                <w:sz w:val="22"/>
                <w:szCs w:val="22"/>
              </w:rPr>
            </w:pPr>
            <w:r>
              <w:rPr>
                <w:rFonts w:ascii="Calibri" w:hAnsi="Calibri" w:cs="Calibri"/>
                <w:color w:val="FF0000"/>
                <w:sz w:val="22"/>
                <w:szCs w:val="22"/>
              </w:rPr>
              <w:t>(1,831.18)</w:t>
            </w:r>
          </w:p>
        </w:tc>
      </w:tr>
      <w:bookmarkEnd w:id="1"/>
    </w:tbl>
    <w:p w:rsidR="00A74E5F" w:rsidRDefault="00A74E5F" w:rsidP="00015D1D">
      <w:pPr>
        <w:spacing w:after="200" w:line="276" w:lineRule="auto"/>
        <w:rPr>
          <w:rFonts w:ascii="Arial" w:eastAsia="Calibri" w:hAnsi="Arial"/>
          <w:b/>
          <w:bCs/>
          <w:color w:val="56008C"/>
          <w:szCs w:val="26"/>
          <w:lang w:eastAsia="en-US"/>
        </w:rPr>
      </w:pPr>
    </w:p>
    <w:p w:rsidR="00A74E5F" w:rsidRDefault="00A74E5F">
      <w:pPr>
        <w:spacing w:after="200" w:line="276" w:lineRule="auto"/>
        <w:rPr>
          <w:rFonts w:ascii="Arial" w:eastAsia="Calibri" w:hAnsi="Arial"/>
          <w:b/>
          <w:bCs/>
          <w:color w:val="56008C"/>
          <w:szCs w:val="26"/>
          <w:lang w:eastAsia="en-US"/>
        </w:rPr>
      </w:pPr>
    </w:p>
    <w:p w:rsidR="00AC4D15" w:rsidRDefault="00AC4D15">
      <w:pPr>
        <w:spacing w:after="200" w:line="276" w:lineRule="auto"/>
        <w:rPr>
          <w:rFonts w:ascii="Arial" w:eastAsia="Calibri" w:hAnsi="Arial"/>
          <w:b/>
          <w:bCs/>
          <w:color w:val="56008C"/>
          <w:szCs w:val="26"/>
          <w:lang w:eastAsia="en-US"/>
        </w:rPr>
      </w:pPr>
    </w:p>
    <w:p w:rsidR="00054430" w:rsidRDefault="00054430">
      <w:pPr>
        <w:spacing w:after="200" w:line="276" w:lineRule="auto"/>
        <w:rPr>
          <w:rFonts w:ascii="Arial" w:eastAsia="Calibri" w:hAnsi="Arial"/>
          <w:b/>
          <w:bCs/>
          <w:color w:val="56008C"/>
          <w:szCs w:val="26"/>
          <w:lang w:eastAsia="en-US"/>
        </w:rPr>
      </w:pPr>
    </w:p>
    <w:p w:rsidR="00C52506" w:rsidRPr="00A422D8" w:rsidRDefault="00015D1D" w:rsidP="00015D1D">
      <w:pPr>
        <w:spacing w:after="200" w:line="276" w:lineRule="auto"/>
        <w:rPr>
          <w:rFonts w:ascii="Arial" w:eastAsia="Calibri" w:hAnsi="Arial"/>
          <w:b/>
          <w:bCs/>
          <w:color w:val="56008C"/>
          <w:szCs w:val="26"/>
          <w:lang w:eastAsia="en-US"/>
        </w:rPr>
      </w:pPr>
      <w:r w:rsidRPr="00A422D8">
        <w:rPr>
          <w:rFonts w:ascii="Arial" w:eastAsia="Calibri" w:hAnsi="Arial"/>
          <w:b/>
          <w:bCs/>
          <w:color w:val="56008C"/>
          <w:szCs w:val="26"/>
          <w:lang w:eastAsia="en-US"/>
        </w:rPr>
        <w:t>H</w:t>
      </w:r>
      <w:r w:rsidR="00597AF4" w:rsidRPr="00A422D8">
        <w:rPr>
          <w:rFonts w:ascii="Arial" w:eastAsia="Calibri" w:hAnsi="Arial"/>
          <w:b/>
          <w:bCs/>
          <w:color w:val="56008C"/>
          <w:szCs w:val="26"/>
          <w:lang w:eastAsia="en-US"/>
        </w:rPr>
        <w:t xml:space="preserve">RA Revenue position for the period ended </w:t>
      </w:r>
      <w:r w:rsidR="00996DD6">
        <w:rPr>
          <w:rFonts w:ascii="Arial" w:eastAsia="Calibri" w:hAnsi="Arial"/>
          <w:b/>
          <w:bCs/>
          <w:color w:val="56008C"/>
          <w:szCs w:val="26"/>
          <w:lang w:eastAsia="en-US"/>
        </w:rPr>
        <w:t>31 March</w:t>
      </w:r>
      <w:r w:rsidR="009B3468">
        <w:rPr>
          <w:rFonts w:ascii="Arial" w:eastAsia="Calibri" w:hAnsi="Arial"/>
          <w:b/>
          <w:bCs/>
          <w:color w:val="56008C"/>
          <w:szCs w:val="26"/>
          <w:lang w:eastAsia="en-US"/>
        </w:rPr>
        <w:t xml:space="preserve"> 2015</w:t>
      </w:r>
    </w:p>
    <w:tbl>
      <w:tblPr>
        <w:tblW w:w="14720" w:type="dxa"/>
        <w:tblInd w:w="98" w:type="dxa"/>
        <w:tblLook w:val="04A0" w:firstRow="1" w:lastRow="0" w:firstColumn="1" w:lastColumn="0" w:noHBand="0" w:noVBand="1"/>
      </w:tblPr>
      <w:tblGrid>
        <w:gridCol w:w="959"/>
        <w:gridCol w:w="959"/>
        <w:gridCol w:w="1119"/>
        <w:gridCol w:w="300"/>
        <w:gridCol w:w="3277"/>
        <w:gridCol w:w="300"/>
        <w:gridCol w:w="1119"/>
        <w:gridCol w:w="1559"/>
        <w:gridCol w:w="1050"/>
        <w:gridCol w:w="328"/>
        <w:gridCol w:w="960"/>
        <w:gridCol w:w="960"/>
        <w:gridCol w:w="960"/>
        <w:gridCol w:w="1050"/>
      </w:tblGrid>
      <w:tr w:rsidR="00996DD6" w:rsidRPr="00996DD6" w:rsidTr="00996DD6">
        <w:trPr>
          <w:trHeight w:val="300"/>
        </w:trPr>
        <w:tc>
          <w:tcPr>
            <w:tcW w:w="3037" w:type="dxa"/>
            <w:gridSpan w:val="3"/>
            <w:tcBorders>
              <w:top w:val="single" w:sz="8" w:space="0" w:color="FFFFFF"/>
              <w:left w:val="single" w:sz="8" w:space="0" w:color="FFFFFF"/>
              <w:bottom w:val="nil"/>
              <w:right w:val="nil"/>
            </w:tcBorders>
            <w:shd w:val="clear" w:color="000000" w:fill="E28C05"/>
            <w:vAlign w:val="center"/>
            <w:hideMark/>
          </w:tcPr>
          <w:p w:rsidR="00996DD6" w:rsidRPr="00996DD6" w:rsidRDefault="00996DD6" w:rsidP="00996DD6">
            <w:pPr>
              <w:jc w:val="center"/>
              <w:rPr>
                <w:rFonts w:ascii="Arial" w:hAnsi="Arial" w:cs="Arial"/>
                <w:b/>
                <w:bCs/>
                <w:color w:val="56008C"/>
                <w:sz w:val="20"/>
                <w:szCs w:val="20"/>
              </w:rPr>
            </w:pPr>
            <w:r w:rsidRPr="00996DD6">
              <w:rPr>
                <w:rFonts w:ascii="Arial" w:hAnsi="Arial" w:cs="Arial"/>
                <w:b/>
                <w:bCs/>
                <w:color w:val="56008C"/>
                <w:sz w:val="20"/>
                <w:szCs w:val="20"/>
              </w:rPr>
              <w:t>Period (£'000)</w:t>
            </w:r>
          </w:p>
        </w:tc>
        <w:tc>
          <w:tcPr>
            <w:tcW w:w="300" w:type="dxa"/>
            <w:tcBorders>
              <w:top w:val="nil"/>
              <w:left w:val="nil"/>
              <w:bottom w:val="nil"/>
              <w:right w:val="nil"/>
            </w:tcBorders>
            <w:shd w:val="clear" w:color="auto" w:fill="auto"/>
            <w:vAlign w:val="center"/>
            <w:hideMark/>
          </w:tcPr>
          <w:p w:rsidR="00996DD6" w:rsidRPr="00996DD6" w:rsidRDefault="00996DD6" w:rsidP="00996DD6">
            <w:pPr>
              <w:jc w:val="center"/>
              <w:rPr>
                <w:rFonts w:ascii="Arial" w:hAnsi="Arial" w:cs="Arial"/>
                <w:b/>
                <w:bCs/>
                <w:color w:val="FFFFFF"/>
                <w:sz w:val="20"/>
                <w:szCs w:val="20"/>
              </w:rPr>
            </w:pPr>
          </w:p>
        </w:tc>
        <w:tc>
          <w:tcPr>
            <w:tcW w:w="3277" w:type="dxa"/>
            <w:tcBorders>
              <w:top w:val="single" w:sz="4" w:space="0" w:color="666666"/>
              <w:left w:val="nil"/>
              <w:bottom w:val="single" w:sz="4" w:space="0" w:color="666666"/>
              <w:right w:val="single" w:sz="4" w:space="0" w:color="666666"/>
            </w:tcBorders>
            <w:shd w:val="clear" w:color="000000" w:fill="56008C"/>
            <w:vAlign w:val="center"/>
            <w:hideMark/>
          </w:tcPr>
          <w:p w:rsidR="00996DD6" w:rsidRPr="00996DD6" w:rsidRDefault="00996DD6" w:rsidP="00996DD6">
            <w:pPr>
              <w:jc w:val="center"/>
              <w:rPr>
                <w:rFonts w:ascii="Arial" w:hAnsi="Arial" w:cs="Arial"/>
                <w:b/>
                <w:bCs/>
                <w:color w:val="FFFFFF"/>
                <w:sz w:val="20"/>
                <w:szCs w:val="20"/>
              </w:rPr>
            </w:pPr>
            <w:r w:rsidRPr="00996DD6">
              <w:rPr>
                <w:rFonts w:ascii="Arial" w:hAnsi="Arial" w:cs="Arial"/>
                <w:b/>
                <w:bCs/>
                <w:color w:val="FFFFFF"/>
                <w:sz w:val="20"/>
                <w:szCs w:val="20"/>
              </w:rPr>
              <w:t>Department</w:t>
            </w:r>
          </w:p>
        </w:tc>
        <w:tc>
          <w:tcPr>
            <w:tcW w:w="300" w:type="dxa"/>
            <w:tcBorders>
              <w:top w:val="nil"/>
              <w:left w:val="nil"/>
              <w:bottom w:val="nil"/>
              <w:right w:val="nil"/>
            </w:tcBorders>
            <w:shd w:val="clear" w:color="auto" w:fill="auto"/>
            <w:vAlign w:val="center"/>
            <w:hideMark/>
          </w:tcPr>
          <w:p w:rsidR="00996DD6" w:rsidRPr="00996DD6" w:rsidRDefault="00996DD6" w:rsidP="00996DD6">
            <w:pPr>
              <w:jc w:val="center"/>
              <w:rPr>
                <w:rFonts w:ascii="Arial" w:hAnsi="Arial" w:cs="Arial"/>
                <w:b/>
                <w:bCs/>
                <w:color w:val="FFFFFF"/>
                <w:sz w:val="20"/>
                <w:szCs w:val="20"/>
              </w:rPr>
            </w:pPr>
          </w:p>
        </w:tc>
        <w:tc>
          <w:tcPr>
            <w:tcW w:w="3638" w:type="dxa"/>
            <w:gridSpan w:val="3"/>
            <w:tcBorders>
              <w:top w:val="single" w:sz="8" w:space="0" w:color="FFFFFF"/>
              <w:left w:val="single" w:sz="8" w:space="0" w:color="FFFFFF"/>
              <w:bottom w:val="nil"/>
              <w:right w:val="single" w:sz="8" w:space="0" w:color="FFFFFF"/>
            </w:tcBorders>
            <w:shd w:val="clear" w:color="000000" w:fill="E28C05"/>
            <w:vAlign w:val="center"/>
            <w:hideMark/>
          </w:tcPr>
          <w:p w:rsidR="00996DD6" w:rsidRPr="00996DD6" w:rsidRDefault="00996DD6" w:rsidP="00996DD6">
            <w:pPr>
              <w:jc w:val="center"/>
              <w:rPr>
                <w:rFonts w:ascii="Arial" w:hAnsi="Arial" w:cs="Arial"/>
                <w:b/>
                <w:bCs/>
                <w:color w:val="56008C"/>
                <w:sz w:val="20"/>
                <w:szCs w:val="20"/>
              </w:rPr>
            </w:pPr>
            <w:r w:rsidRPr="00996DD6">
              <w:rPr>
                <w:rFonts w:ascii="Arial" w:hAnsi="Arial" w:cs="Arial"/>
                <w:b/>
                <w:bCs/>
                <w:color w:val="56008C"/>
                <w:sz w:val="20"/>
                <w:szCs w:val="20"/>
              </w:rPr>
              <w:t>Year to date (£'000)</w:t>
            </w:r>
          </w:p>
        </w:tc>
        <w:tc>
          <w:tcPr>
            <w:tcW w:w="328"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0"/>
                <w:szCs w:val="20"/>
              </w:rPr>
            </w:pPr>
          </w:p>
        </w:tc>
        <w:tc>
          <w:tcPr>
            <w:tcW w:w="3840" w:type="dxa"/>
            <w:gridSpan w:val="4"/>
            <w:tcBorders>
              <w:top w:val="single" w:sz="8" w:space="0" w:color="FFFFFF"/>
              <w:left w:val="single" w:sz="8" w:space="0" w:color="FFFFFF"/>
              <w:bottom w:val="nil"/>
              <w:right w:val="single" w:sz="8" w:space="0" w:color="FFFFFF"/>
            </w:tcBorders>
            <w:shd w:val="clear" w:color="000000" w:fill="56008C"/>
            <w:vAlign w:val="center"/>
            <w:hideMark/>
          </w:tcPr>
          <w:p w:rsidR="00996DD6" w:rsidRPr="00996DD6" w:rsidRDefault="00996DD6" w:rsidP="00996DD6">
            <w:pPr>
              <w:jc w:val="center"/>
              <w:rPr>
                <w:rFonts w:ascii="Arial" w:hAnsi="Arial" w:cs="Arial"/>
                <w:b/>
                <w:bCs/>
                <w:color w:val="FFFFFF"/>
                <w:sz w:val="20"/>
                <w:szCs w:val="20"/>
              </w:rPr>
            </w:pPr>
            <w:r w:rsidRPr="00996DD6">
              <w:rPr>
                <w:rFonts w:ascii="Arial" w:hAnsi="Arial" w:cs="Arial"/>
                <w:b/>
                <w:bCs/>
                <w:color w:val="FFFFFF"/>
                <w:sz w:val="20"/>
                <w:szCs w:val="20"/>
              </w:rPr>
              <w:t>Full year (£'000)</w:t>
            </w:r>
          </w:p>
        </w:tc>
      </w:tr>
      <w:tr w:rsidR="00996DD6" w:rsidRPr="00996DD6" w:rsidTr="00996DD6">
        <w:trPr>
          <w:trHeight w:val="525"/>
        </w:trPr>
        <w:tc>
          <w:tcPr>
            <w:tcW w:w="959" w:type="dxa"/>
            <w:tcBorders>
              <w:top w:val="nil"/>
              <w:left w:val="nil"/>
              <w:bottom w:val="nil"/>
              <w:right w:val="single" w:sz="8" w:space="0" w:color="816EA6"/>
            </w:tcBorders>
            <w:shd w:val="clear" w:color="000000" w:fill="E28C05"/>
            <w:vAlign w:val="center"/>
            <w:hideMark/>
          </w:tcPr>
          <w:p w:rsidR="00996DD6" w:rsidRPr="00996DD6" w:rsidRDefault="00996DD6" w:rsidP="00996DD6">
            <w:pPr>
              <w:jc w:val="center"/>
              <w:rPr>
                <w:rFonts w:ascii="Arial" w:hAnsi="Arial" w:cs="Arial"/>
                <w:b/>
                <w:bCs/>
                <w:color w:val="56008C"/>
                <w:sz w:val="20"/>
                <w:szCs w:val="20"/>
              </w:rPr>
            </w:pPr>
            <w:r w:rsidRPr="00996DD6">
              <w:rPr>
                <w:rFonts w:ascii="Arial" w:hAnsi="Arial" w:cs="Arial"/>
                <w:b/>
                <w:bCs/>
                <w:color w:val="56008C"/>
                <w:sz w:val="20"/>
                <w:szCs w:val="20"/>
              </w:rPr>
              <w:t>Budget</w:t>
            </w:r>
          </w:p>
        </w:tc>
        <w:tc>
          <w:tcPr>
            <w:tcW w:w="959" w:type="dxa"/>
            <w:tcBorders>
              <w:top w:val="nil"/>
              <w:left w:val="nil"/>
              <w:bottom w:val="nil"/>
              <w:right w:val="single" w:sz="8" w:space="0" w:color="816EA6"/>
            </w:tcBorders>
            <w:shd w:val="clear" w:color="000000" w:fill="E28C05"/>
            <w:vAlign w:val="center"/>
            <w:hideMark/>
          </w:tcPr>
          <w:p w:rsidR="00996DD6" w:rsidRPr="00996DD6" w:rsidRDefault="00996DD6" w:rsidP="00996DD6">
            <w:pPr>
              <w:jc w:val="center"/>
              <w:rPr>
                <w:rFonts w:ascii="Arial" w:hAnsi="Arial" w:cs="Arial"/>
                <w:b/>
                <w:bCs/>
                <w:color w:val="56008C"/>
                <w:sz w:val="20"/>
                <w:szCs w:val="20"/>
              </w:rPr>
            </w:pPr>
            <w:r w:rsidRPr="00996DD6">
              <w:rPr>
                <w:rFonts w:ascii="Arial" w:hAnsi="Arial" w:cs="Arial"/>
                <w:b/>
                <w:bCs/>
                <w:color w:val="56008C"/>
                <w:sz w:val="20"/>
                <w:szCs w:val="20"/>
              </w:rPr>
              <w:t>Actual</w:t>
            </w:r>
          </w:p>
        </w:tc>
        <w:tc>
          <w:tcPr>
            <w:tcW w:w="1119" w:type="dxa"/>
            <w:tcBorders>
              <w:top w:val="nil"/>
              <w:left w:val="nil"/>
              <w:bottom w:val="nil"/>
              <w:right w:val="nil"/>
            </w:tcBorders>
            <w:shd w:val="clear" w:color="000000" w:fill="E28C05"/>
            <w:vAlign w:val="center"/>
            <w:hideMark/>
          </w:tcPr>
          <w:p w:rsidR="00996DD6" w:rsidRPr="00996DD6" w:rsidRDefault="00996DD6" w:rsidP="00996DD6">
            <w:pPr>
              <w:jc w:val="center"/>
              <w:rPr>
                <w:rFonts w:ascii="Arial" w:hAnsi="Arial" w:cs="Arial"/>
                <w:b/>
                <w:bCs/>
                <w:color w:val="56008C"/>
                <w:sz w:val="20"/>
                <w:szCs w:val="20"/>
              </w:rPr>
            </w:pPr>
            <w:r w:rsidRPr="00996DD6">
              <w:rPr>
                <w:rFonts w:ascii="Arial" w:hAnsi="Arial" w:cs="Arial"/>
                <w:b/>
                <w:bCs/>
                <w:color w:val="56008C"/>
                <w:sz w:val="20"/>
                <w:szCs w:val="20"/>
              </w:rPr>
              <w:t>Variance</w:t>
            </w:r>
          </w:p>
        </w:tc>
        <w:tc>
          <w:tcPr>
            <w:tcW w:w="300" w:type="dxa"/>
            <w:tcBorders>
              <w:top w:val="nil"/>
              <w:left w:val="nil"/>
              <w:bottom w:val="nil"/>
              <w:right w:val="nil"/>
            </w:tcBorders>
            <w:shd w:val="clear" w:color="auto" w:fill="auto"/>
            <w:vAlign w:val="center"/>
            <w:hideMark/>
          </w:tcPr>
          <w:p w:rsidR="00996DD6" w:rsidRPr="00996DD6" w:rsidRDefault="00996DD6" w:rsidP="00996DD6">
            <w:pPr>
              <w:jc w:val="center"/>
              <w:rPr>
                <w:rFonts w:ascii="Arial" w:hAnsi="Arial" w:cs="Arial"/>
                <w:b/>
                <w:bCs/>
                <w:color w:val="000000"/>
                <w:sz w:val="20"/>
                <w:szCs w:val="20"/>
              </w:rPr>
            </w:pPr>
          </w:p>
        </w:tc>
        <w:tc>
          <w:tcPr>
            <w:tcW w:w="3277" w:type="dxa"/>
            <w:tcBorders>
              <w:top w:val="nil"/>
              <w:left w:val="nil"/>
              <w:bottom w:val="single" w:sz="8" w:space="0" w:color="CCCCCC"/>
              <w:right w:val="single" w:sz="8" w:space="0" w:color="CCCCCC"/>
            </w:tcBorders>
            <w:shd w:val="clear" w:color="000000" w:fill="56008C"/>
            <w:vAlign w:val="center"/>
            <w:hideMark/>
          </w:tcPr>
          <w:p w:rsidR="00996DD6" w:rsidRPr="00996DD6" w:rsidRDefault="00996DD6" w:rsidP="00996DD6">
            <w:pPr>
              <w:jc w:val="center"/>
              <w:rPr>
                <w:rFonts w:ascii="Arial" w:hAnsi="Arial" w:cs="Arial"/>
                <w:b/>
                <w:bCs/>
                <w:color w:val="FFFFFF"/>
                <w:sz w:val="20"/>
                <w:szCs w:val="20"/>
              </w:rPr>
            </w:pPr>
            <w:r w:rsidRPr="00996DD6">
              <w:rPr>
                <w:rFonts w:ascii="Arial" w:hAnsi="Arial" w:cs="Arial"/>
                <w:b/>
                <w:bCs/>
                <w:color w:val="FFFFFF"/>
                <w:sz w:val="20"/>
                <w:szCs w:val="20"/>
              </w:rPr>
              <w:t>Income</w:t>
            </w:r>
          </w:p>
        </w:tc>
        <w:tc>
          <w:tcPr>
            <w:tcW w:w="300" w:type="dxa"/>
            <w:tcBorders>
              <w:top w:val="nil"/>
              <w:left w:val="nil"/>
              <w:bottom w:val="nil"/>
              <w:right w:val="nil"/>
            </w:tcBorders>
            <w:shd w:val="clear" w:color="auto" w:fill="auto"/>
            <w:vAlign w:val="center"/>
            <w:hideMark/>
          </w:tcPr>
          <w:p w:rsidR="00996DD6" w:rsidRPr="00996DD6" w:rsidRDefault="00996DD6" w:rsidP="00996DD6">
            <w:pPr>
              <w:jc w:val="center"/>
              <w:rPr>
                <w:rFonts w:ascii="Arial" w:hAnsi="Arial" w:cs="Arial"/>
                <w:b/>
                <w:bCs/>
                <w:color w:val="000000"/>
                <w:sz w:val="20"/>
                <w:szCs w:val="20"/>
              </w:rPr>
            </w:pPr>
          </w:p>
        </w:tc>
        <w:tc>
          <w:tcPr>
            <w:tcW w:w="1119" w:type="dxa"/>
            <w:tcBorders>
              <w:top w:val="nil"/>
              <w:left w:val="nil"/>
              <w:bottom w:val="nil"/>
              <w:right w:val="single" w:sz="8" w:space="0" w:color="55ACD3"/>
            </w:tcBorders>
            <w:shd w:val="clear" w:color="000000" w:fill="E28C05"/>
            <w:vAlign w:val="center"/>
            <w:hideMark/>
          </w:tcPr>
          <w:p w:rsidR="00996DD6" w:rsidRPr="00996DD6" w:rsidRDefault="00996DD6" w:rsidP="00996DD6">
            <w:pPr>
              <w:rPr>
                <w:rFonts w:ascii="Arial" w:hAnsi="Arial" w:cs="Arial"/>
                <w:b/>
                <w:bCs/>
                <w:color w:val="56008C"/>
                <w:sz w:val="20"/>
                <w:szCs w:val="20"/>
              </w:rPr>
            </w:pPr>
            <w:r w:rsidRPr="00996DD6">
              <w:rPr>
                <w:rFonts w:ascii="Arial" w:hAnsi="Arial" w:cs="Arial"/>
                <w:b/>
                <w:bCs/>
                <w:color w:val="56008C"/>
                <w:sz w:val="20"/>
                <w:szCs w:val="20"/>
              </w:rPr>
              <w:t>Budget</w:t>
            </w:r>
          </w:p>
        </w:tc>
        <w:tc>
          <w:tcPr>
            <w:tcW w:w="1559" w:type="dxa"/>
            <w:tcBorders>
              <w:top w:val="nil"/>
              <w:left w:val="nil"/>
              <w:bottom w:val="nil"/>
              <w:right w:val="single" w:sz="8" w:space="0" w:color="55ACD3"/>
            </w:tcBorders>
            <w:shd w:val="clear" w:color="000000" w:fill="E28C05"/>
            <w:vAlign w:val="center"/>
            <w:hideMark/>
          </w:tcPr>
          <w:p w:rsidR="00996DD6" w:rsidRPr="00996DD6" w:rsidRDefault="00996DD6" w:rsidP="00996DD6">
            <w:pPr>
              <w:rPr>
                <w:rFonts w:ascii="Arial" w:hAnsi="Arial" w:cs="Arial"/>
                <w:b/>
                <w:bCs/>
                <w:color w:val="56008C"/>
                <w:sz w:val="20"/>
                <w:szCs w:val="20"/>
              </w:rPr>
            </w:pPr>
            <w:r w:rsidRPr="00996DD6">
              <w:rPr>
                <w:rFonts w:ascii="Arial" w:hAnsi="Arial" w:cs="Arial"/>
                <w:b/>
                <w:bCs/>
                <w:color w:val="56008C"/>
                <w:sz w:val="20"/>
                <w:szCs w:val="20"/>
              </w:rPr>
              <w:t>Actual</w:t>
            </w:r>
          </w:p>
        </w:tc>
        <w:tc>
          <w:tcPr>
            <w:tcW w:w="960" w:type="dxa"/>
            <w:tcBorders>
              <w:top w:val="nil"/>
              <w:left w:val="nil"/>
              <w:bottom w:val="nil"/>
              <w:right w:val="nil"/>
            </w:tcBorders>
            <w:shd w:val="clear" w:color="000000" w:fill="E28C05"/>
            <w:vAlign w:val="center"/>
            <w:hideMark/>
          </w:tcPr>
          <w:p w:rsidR="00996DD6" w:rsidRPr="00996DD6" w:rsidRDefault="00996DD6" w:rsidP="00996DD6">
            <w:pPr>
              <w:rPr>
                <w:rFonts w:ascii="Arial" w:hAnsi="Arial" w:cs="Arial"/>
                <w:b/>
                <w:bCs/>
                <w:color w:val="56008C"/>
                <w:sz w:val="20"/>
                <w:szCs w:val="20"/>
              </w:rPr>
            </w:pPr>
            <w:r w:rsidRPr="00996DD6">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996DD6" w:rsidRPr="00996DD6" w:rsidRDefault="00996DD6" w:rsidP="00996DD6">
            <w:pPr>
              <w:jc w:val="center"/>
              <w:rPr>
                <w:rFonts w:ascii="Arial" w:hAnsi="Arial" w:cs="Arial"/>
                <w:b/>
                <w:bCs/>
                <w:color w:val="FFFFFF"/>
                <w:sz w:val="20"/>
                <w:szCs w:val="20"/>
              </w:rPr>
            </w:pPr>
            <w:r w:rsidRPr="00996DD6">
              <w:rPr>
                <w:rFonts w:ascii="Arial" w:hAnsi="Arial" w:cs="Arial"/>
                <w:b/>
                <w:bCs/>
                <w:color w:val="FFFFFF"/>
                <w:sz w:val="20"/>
                <w:szCs w:val="20"/>
              </w:rPr>
              <w:t>2013/14 actual</w:t>
            </w:r>
          </w:p>
        </w:tc>
        <w:tc>
          <w:tcPr>
            <w:tcW w:w="960" w:type="dxa"/>
            <w:tcBorders>
              <w:top w:val="nil"/>
              <w:left w:val="nil"/>
              <w:bottom w:val="nil"/>
              <w:right w:val="single" w:sz="8" w:space="0" w:color="55ACD3"/>
            </w:tcBorders>
            <w:shd w:val="clear" w:color="000000" w:fill="56008C"/>
            <w:vAlign w:val="center"/>
            <w:hideMark/>
          </w:tcPr>
          <w:p w:rsidR="00996DD6" w:rsidRPr="00996DD6" w:rsidRDefault="00996DD6" w:rsidP="00996DD6">
            <w:pPr>
              <w:rPr>
                <w:rFonts w:ascii="Arial" w:hAnsi="Arial" w:cs="Arial"/>
                <w:b/>
                <w:bCs/>
                <w:color w:val="FFFFFF"/>
                <w:sz w:val="20"/>
                <w:szCs w:val="20"/>
              </w:rPr>
            </w:pPr>
            <w:r w:rsidRPr="00996DD6">
              <w:rPr>
                <w:rFonts w:ascii="Arial" w:hAnsi="Arial" w:cs="Arial"/>
                <w:b/>
                <w:bCs/>
                <w:color w:val="FFFFFF"/>
                <w:sz w:val="20"/>
                <w:szCs w:val="20"/>
              </w:rPr>
              <w:t>Initial budget</w:t>
            </w:r>
          </w:p>
        </w:tc>
        <w:tc>
          <w:tcPr>
            <w:tcW w:w="960" w:type="dxa"/>
            <w:tcBorders>
              <w:top w:val="nil"/>
              <w:left w:val="nil"/>
              <w:bottom w:val="nil"/>
              <w:right w:val="single" w:sz="8" w:space="0" w:color="55ACD3"/>
            </w:tcBorders>
            <w:shd w:val="clear" w:color="000000" w:fill="56008C"/>
            <w:vAlign w:val="center"/>
            <w:hideMark/>
          </w:tcPr>
          <w:p w:rsidR="00996DD6" w:rsidRPr="00996DD6" w:rsidRDefault="00996DD6" w:rsidP="00996DD6">
            <w:pPr>
              <w:rPr>
                <w:rFonts w:ascii="Arial" w:hAnsi="Arial" w:cs="Arial"/>
                <w:b/>
                <w:bCs/>
                <w:color w:val="FFFFFF"/>
                <w:sz w:val="20"/>
                <w:szCs w:val="20"/>
              </w:rPr>
            </w:pPr>
            <w:r w:rsidRPr="00996DD6">
              <w:rPr>
                <w:rFonts w:ascii="Arial" w:hAnsi="Arial" w:cs="Arial"/>
                <w:b/>
                <w:bCs/>
                <w:color w:val="FFFFFF"/>
                <w:sz w:val="20"/>
                <w:szCs w:val="20"/>
              </w:rPr>
              <w:t>Latest Budget</w:t>
            </w:r>
          </w:p>
        </w:tc>
        <w:tc>
          <w:tcPr>
            <w:tcW w:w="960" w:type="dxa"/>
            <w:tcBorders>
              <w:top w:val="nil"/>
              <w:left w:val="nil"/>
              <w:bottom w:val="nil"/>
              <w:right w:val="nil"/>
            </w:tcBorders>
            <w:shd w:val="clear" w:color="000000" w:fill="56008C"/>
            <w:vAlign w:val="center"/>
            <w:hideMark/>
          </w:tcPr>
          <w:p w:rsidR="00996DD6" w:rsidRPr="00996DD6" w:rsidRDefault="00996DD6" w:rsidP="00996DD6">
            <w:pPr>
              <w:rPr>
                <w:rFonts w:ascii="Arial" w:hAnsi="Arial" w:cs="Arial"/>
                <w:b/>
                <w:bCs/>
                <w:color w:val="FFFFFF"/>
                <w:sz w:val="20"/>
                <w:szCs w:val="20"/>
              </w:rPr>
            </w:pPr>
            <w:r w:rsidRPr="00996DD6">
              <w:rPr>
                <w:rFonts w:ascii="Arial" w:hAnsi="Arial" w:cs="Arial"/>
                <w:b/>
                <w:bCs/>
                <w:color w:val="FFFFFF"/>
                <w:sz w:val="20"/>
                <w:szCs w:val="20"/>
              </w:rPr>
              <w:t>Forecast</w:t>
            </w:r>
          </w:p>
        </w:tc>
      </w:tr>
      <w:tr w:rsidR="00996DD6" w:rsidRPr="00996DD6" w:rsidTr="00996DD6">
        <w:trPr>
          <w:trHeight w:val="315"/>
        </w:trPr>
        <w:tc>
          <w:tcPr>
            <w:tcW w:w="95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72</w:t>
            </w:r>
          </w:p>
        </w:tc>
        <w:tc>
          <w:tcPr>
            <w:tcW w:w="95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72</w:t>
            </w:r>
          </w:p>
        </w:tc>
        <w:tc>
          <w:tcPr>
            <w:tcW w:w="111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996DD6" w:rsidRPr="00996DD6" w:rsidRDefault="00996DD6" w:rsidP="00996DD6">
            <w:pPr>
              <w:rPr>
                <w:rFonts w:ascii="Arial" w:hAnsi="Arial" w:cs="Arial"/>
                <w:color w:val="000000"/>
                <w:sz w:val="18"/>
                <w:szCs w:val="18"/>
              </w:rPr>
            </w:pPr>
            <w:r w:rsidRPr="00996DD6">
              <w:rPr>
                <w:rFonts w:ascii="Arial" w:hAnsi="Arial" w:cs="Arial"/>
                <w:color w:val="000000"/>
                <w:sz w:val="18"/>
                <w:szCs w:val="18"/>
              </w:rPr>
              <w:t>HRA income</w:t>
            </w:r>
          </w:p>
        </w:tc>
        <w:tc>
          <w:tcPr>
            <w:tcW w:w="30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313</w:t>
            </w:r>
          </w:p>
        </w:tc>
        <w:tc>
          <w:tcPr>
            <w:tcW w:w="155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327</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14</w:t>
            </w:r>
          </w:p>
        </w:tc>
        <w:tc>
          <w:tcPr>
            <w:tcW w:w="328"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-258</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-240</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-313</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-240</w:t>
            </w:r>
          </w:p>
        </w:tc>
      </w:tr>
      <w:tr w:rsidR="00996DD6" w:rsidRPr="00996DD6" w:rsidTr="00996DD6">
        <w:trPr>
          <w:trHeight w:val="315"/>
        </w:trPr>
        <w:tc>
          <w:tcPr>
            <w:tcW w:w="95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4075</w:t>
            </w:r>
          </w:p>
        </w:tc>
        <w:tc>
          <w:tcPr>
            <w:tcW w:w="95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1431</w:t>
            </w:r>
          </w:p>
        </w:tc>
        <w:tc>
          <w:tcPr>
            <w:tcW w:w="111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-2644</w:t>
            </w:r>
          </w:p>
        </w:tc>
        <w:tc>
          <w:tcPr>
            <w:tcW w:w="30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996DD6" w:rsidRPr="00996DD6" w:rsidRDefault="00996DD6" w:rsidP="00996DD6">
            <w:pPr>
              <w:rPr>
                <w:rFonts w:ascii="Arial" w:hAnsi="Arial" w:cs="Arial"/>
                <w:color w:val="000000"/>
                <w:sz w:val="18"/>
                <w:szCs w:val="18"/>
              </w:rPr>
            </w:pPr>
            <w:r w:rsidRPr="00996DD6">
              <w:rPr>
                <w:rFonts w:ascii="Arial" w:hAnsi="Arial" w:cs="Arial"/>
                <w:color w:val="000000"/>
                <w:sz w:val="18"/>
                <w:szCs w:val="18"/>
              </w:rPr>
              <w:t>Grant in Aid</w:t>
            </w:r>
          </w:p>
        </w:tc>
        <w:tc>
          <w:tcPr>
            <w:tcW w:w="30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13444</w:t>
            </w:r>
          </w:p>
        </w:tc>
        <w:tc>
          <w:tcPr>
            <w:tcW w:w="155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10343</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-3101</w:t>
            </w:r>
          </w:p>
        </w:tc>
        <w:tc>
          <w:tcPr>
            <w:tcW w:w="328"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-8,523</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-13,444</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-13,444</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-13,444</w:t>
            </w:r>
          </w:p>
        </w:tc>
      </w:tr>
      <w:tr w:rsidR="00996DD6" w:rsidRPr="00996DD6" w:rsidTr="00996DD6">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4,147</w:t>
            </w:r>
          </w:p>
        </w:tc>
        <w:tc>
          <w:tcPr>
            <w:tcW w:w="959" w:type="dxa"/>
            <w:tcBorders>
              <w:top w:val="nil"/>
              <w:left w:val="nil"/>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1,503</w:t>
            </w:r>
          </w:p>
        </w:tc>
        <w:tc>
          <w:tcPr>
            <w:tcW w:w="1119" w:type="dxa"/>
            <w:tcBorders>
              <w:top w:val="nil"/>
              <w:left w:val="nil"/>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-2,644</w:t>
            </w:r>
          </w:p>
        </w:tc>
        <w:tc>
          <w:tcPr>
            <w:tcW w:w="30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996DD6" w:rsidRPr="00996DD6" w:rsidRDefault="00996DD6" w:rsidP="00996DD6">
            <w:pPr>
              <w:rPr>
                <w:rFonts w:ascii="Arial" w:hAnsi="Arial" w:cs="Arial"/>
                <w:b/>
                <w:bCs/>
                <w:color w:val="000000"/>
                <w:sz w:val="18"/>
                <w:szCs w:val="18"/>
              </w:rPr>
            </w:pPr>
            <w:r w:rsidRPr="00996DD6">
              <w:rPr>
                <w:rFonts w:ascii="Arial" w:hAnsi="Arial" w:cs="Arial"/>
                <w:b/>
                <w:bCs/>
                <w:color w:val="000000"/>
                <w:sz w:val="18"/>
                <w:szCs w:val="18"/>
              </w:rPr>
              <w:t xml:space="preserve"> Total Income</w:t>
            </w:r>
          </w:p>
        </w:tc>
        <w:tc>
          <w:tcPr>
            <w:tcW w:w="300" w:type="dxa"/>
            <w:tcBorders>
              <w:top w:val="nil"/>
              <w:left w:val="nil"/>
              <w:bottom w:val="nil"/>
              <w:right w:val="single" w:sz="8" w:space="0" w:color="FFFFFF"/>
            </w:tcBorders>
            <w:shd w:val="clear" w:color="auto" w:fill="auto"/>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13,757</w:t>
            </w:r>
          </w:p>
        </w:tc>
        <w:tc>
          <w:tcPr>
            <w:tcW w:w="1559" w:type="dxa"/>
            <w:tcBorders>
              <w:top w:val="nil"/>
              <w:left w:val="nil"/>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10,670</w:t>
            </w:r>
          </w:p>
        </w:tc>
        <w:tc>
          <w:tcPr>
            <w:tcW w:w="960" w:type="dxa"/>
            <w:tcBorders>
              <w:top w:val="nil"/>
              <w:left w:val="nil"/>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-3,087</w:t>
            </w:r>
          </w:p>
        </w:tc>
        <w:tc>
          <w:tcPr>
            <w:tcW w:w="328"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-8,781</w:t>
            </w:r>
          </w:p>
        </w:tc>
        <w:tc>
          <w:tcPr>
            <w:tcW w:w="960" w:type="dxa"/>
            <w:tcBorders>
              <w:top w:val="nil"/>
              <w:left w:val="nil"/>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-13,684</w:t>
            </w:r>
          </w:p>
        </w:tc>
        <w:tc>
          <w:tcPr>
            <w:tcW w:w="960" w:type="dxa"/>
            <w:tcBorders>
              <w:top w:val="nil"/>
              <w:left w:val="nil"/>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-13,757</w:t>
            </w:r>
          </w:p>
        </w:tc>
        <w:tc>
          <w:tcPr>
            <w:tcW w:w="960" w:type="dxa"/>
            <w:tcBorders>
              <w:top w:val="nil"/>
              <w:left w:val="nil"/>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-13,684</w:t>
            </w:r>
          </w:p>
        </w:tc>
      </w:tr>
      <w:tr w:rsidR="00996DD6" w:rsidRPr="00996DD6" w:rsidTr="00996DD6">
        <w:trPr>
          <w:trHeight w:val="300"/>
        </w:trPr>
        <w:tc>
          <w:tcPr>
            <w:tcW w:w="959" w:type="dxa"/>
            <w:tcBorders>
              <w:top w:val="nil"/>
              <w:left w:val="nil"/>
              <w:bottom w:val="nil"/>
              <w:right w:val="nil"/>
            </w:tcBorders>
            <w:shd w:val="clear" w:color="auto" w:fill="auto"/>
            <w:vAlign w:val="bottom"/>
            <w:hideMark/>
          </w:tcPr>
          <w:p w:rsidR="00996DD6" w:rsidRPr="00996DD6" w:rsidRDefault="00996DD6" w:rsidP="00996DD6">
            <w:pPr>
              <w:jc w:val="right"/>
              <w:rPr>
                <w:rFonts w:ascii="Arial" w:hAnsi="Arial" w:cs="Arial"/>
                <w:b/>
                <w:bCs/>
                <w:color w:val="000000"/>
                <w:sz w:val="18"/>
                <w:szCs w:val="18"/>
              </w:rPr>
            </w:pPr>
          </w:p>
        </w:tc>
        <w:tc>
          <w:tcPr>
            <w:tcW w:w="959" w:type="dxa"/>
            <w:tcBorders>
              <w:top w:val="nil"/>
              <w:left w:val="nil"/>
              <w:bottom w:val="nil"/>
              <w:right w:val="nil"/>
            </w:tcBorders>
            <w:shd w:val="clear" w:color="auto" w:fill="auto"/>
            <w:vAlign w:val="bottom"/>
            <w:hideMark/>
          </w:tcPr>
          <w:p w:rsidR="00996DD6" w:rsidRPr="00996DD6" w:rsidRDefault="00996DD6" w:rsidP="00996DD6">
            <w:pPr>
              <w:jc w:val="right"/>
              <w:rPr>
                <w:rFonts w:ascii="Arial" w:hAnsi="Arial" w:cs="Arial"/>
                <w:b/>
                <w:bCs/>
                <w:color w:val="000000"/>
                <w:sz w:val="18"/>
                <w:szCs w:val="18"/>
              </w:rPr>
            </w:pPr>
          </w:p>
        </w:tc>
        <w:tc>
          <w:tcPr>
            <w:tcW w:w="1119" w:type="dxa"/>
            <w:tcBorders>
              <w:top w:val="nil"/>
              <w:left w:val="nil"/>
              <w:bottom w:val="nil"/>
              <w:right w:val="nil"/>
            </w:tcBorders>
            <w:shd w:val="clear" w:color="auto" w:fill="auto"/>
            <w:vAlign w:val="bottom"/>
            <w:hideMark/>
          </w:tcPr>
          <w:p w:rsidR="00996DD6" w:rsidRPr="00996DD6" w:rsidRDefault="00996DD6" w:rsidP="00996DD6">
            <w:pPr>
              <w:jc w:val="right"/>
              <w:rPr>
                <w:rFonts w:ascii="Arial" w:hAnsi="Arial" w:cs="Arial"/>
                <w:b/>
                <w:bCs/>
                <w:color w:val="000000"/>
                <w:sz w:val="18"/>
                <w:szCs w:val="18"/>
              </w:rPr>
            </w:pPr>
          </w:p>
        </w:tc>
        <w:tc>
          <w:tcPr>
            <w:tcW w:w="30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3277" w:type="dxa"/>
            <w:tcBorders>
              <w:top w:val="nil"/>
              <w:left w:val="nil"/>
              <w:bottom w:val="nil"/>
              <w:right w:val="nil"/>
            </w:tcBorders>
            <w:shd w:val="clear" w:color="auto" w:fill="auto"/>
            <w:vAlign w:val="bottom"/>
            <w:hideMark/>
          </w:tcPr>
          <w:p w:rsidR="00996DD6" w:rsidRPr="00996DD6" w:rsidRDefault="00996DD6" w:rsidP="00996DD6">
            <w:pPr>
              <w:rPr>
                <w:rFonts w:ascii="Arial" w:hAnsi="Arial" w:cs="Arial"/>
                <w:b/>
                <w:bCs/>
                <w:color w:val="000000"/>
                <w:sz w:val="18"/>
                <w:szCs w:val="18"/>
              </w:rPr>
            </w:pPr>
          </w:p>
        </w:tc>
        <w:tc>
          <w:tcPr>
            <w:tcW w:w="300" w:type="dxa"/>
            <w:tcBorders>
              <w:top w:val="nil"/>
              <w:left w:val="nil"/>
              <w:bottom w:val="nil"/>
              <w:right w:val="nil"/>
            </w:tcBorders>
            <w:shd w:val="clear" w:color="auto" w:fill="auto"/>
            <w:vAlign w:val="bottom"/>
            <w:hideMark/>
          </w:tcPr>
          <w:p w:rsidR="00996DD6" w:rsidRPr="00996DD6" w:rsidRDefault="00996DD6" w:rsidP="00996DD6">
            <w:pPr>
              <w:jc w:val="right"/>
              <w:rPr>
                <w:rFonts w:ascii="Arial" w:hAnsi="Arial" w:cs="Arial"/>
                <w:b/>
                <w:bCs/>
                <w:color w:val="000000"/>
                <w:sz w:val="18"/>
                <w:szCs w:val="18"/>
              </w:rPr>
            </w:pPr>
          </w:p>
        </w:tc>
        <w:tc>
          <w:tcPr>
            <w:tcW w:w="1119" w:type="dxa"/>
            <w:tcBorders>
              <w:top w:val="nil"/>
              <w:left w:val="nil"/>
              <w:bottom w:val="nil"/>
              <w:right w:val="nil"/>
            </w:tcBorders>
            <w:shd w:val="clear" w:color="auto" w:fill="auto"/>
            <w:vAlign w:val="bottom"/>
            <w:hideMark/>
          </w:tcPr>
          <w:p w:rsidR="00996DD6" w:rsidRPr="00996DD6" w:rsidRDefault="00996DD6" w:rsidP="00996DD6">
            <w:pPr>
              <w:jc w:val="right"/>
              <w:rPr>
                <w:rFonts w:ascii="Arial" w:hAnsi="Arial" w:cs="Arial"/>
                <w:b/>
                <w:bCs/>
                <w:color w:val="000000"/>
                <w:sz w:val="18"/>
                <w:szCs w:val="18"/>
              </w:rPr>
            </w:pPr>
          </w:p>
        </w:tc>
        <w:tc>
          <w:tcPr>
            <w:tcW w:w="1559" w:type="dxa"/>
            <w:tcBorders>
              <w:top w:val="nil"/>
              <w:left w:val="nil"/>
              <w:bottom w:val="nil"/>
              <w:right w:val="nil"/>
            </w:tcBorders>
            <w:shd w:val="clear" w:color="auto" w:fill="auto"/>
            <w:vAlign w:val="bottom"/>
            <w:hideMark/>
          </w:tcPr>
          <w:p w:rsidR="00996DD6" w:rsidRPr="00996DD6" w:rsidRDefault="00996DD6" w:rsidP="00996DD6">
            <w:pPr>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996DD6" w:rsidRPr="00996DD6" w:rsidRDefault="00996DD6" w:rsidP="00996DD6">
            <w:pPr>
              <w:rPr>
                <w:rFonts w:ascii="Arial" w:hAnsi="Arial" w:cs="Arial"/>
                <w:b/>
                <w:bCs/>
                <w:color w:val="000000"/>
                <w:sz w:val="18"/>
                <w:szCs w:val="18"/>
              </w:rPr>
            </w:pPr>
          </w:p>
        </w:tc>
        <w:tc>
          <w:tcPr>
            <w:tcW w:w="328"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960" w:type="dxa"/>
            <w:tcBorders>
              <w:top w:val="nil"/>
              <w:left w:val="nil"/>
              <w:bottom w:val="nil"/>
              <w:right w:val="nil"/>
            </w:tcBorders>
            <w:shd w:val="clear" w:color="auto" w:fill="auto"/>
            <w:vAlign w:val="bottom"/>
            <w:hideMark/>
          </w:tcPr>
          <w:p w:rsidR="00996DD6" w:rsidRPr="00996DD6" w:rsidRDefault="00996DD6" w:rsidP="00996DD6">
            <w:pPr>
              <w:jc w:val="right"/>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996DD6" w:rsidRPr="00996DD6" w:rsidRDefault="00996DD6" w:rsidP="00996DD6">
            <w:pPr>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996DD6" w:rsidRPr="00996DD6" w:rsidRDefault="00996DD6" w:rsidP="00996DD6">
            <w:pPr>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996DD6" w:rsidRPr="00996DD6" w:rsidRDefault="00996DD6" w:rsidP="00996DD6">
            <w:pPr>
              <w:rPr>
                <w:rFonts w:ascii="Arial" w:hAnsi="Arial" w:cs="Arial"/>
                <w:b/>
                <w:bCs/>
                <w:color w:val="000000"/>
                <w:sz w:val="18"/>
                <w:szCs w:val="18"/>
              </w:rPr>
            </w:pPr>
          </w:p>
        </w:tc>
      </w:tr>
      <w:tr w:rsidR="00996DD6" w:rsidRPr="00996DD6" w:rsidTr="00996DD6">
        <w:trPr>
          <w:trHeight w:val="525"/>
        </w:trPr>
        <w:tc>
          <w:tcPr>
            <w:tcW w:w="959" w:type="dxa"/>
            <w:tcBorders>
              <w:top w:val="nil"/>
              <w:left w:val="nil"/>
              <w:bottom w:val="nil"/>
              <w:right w:val="single" w:sz="8" w:space="0" w:color="816EA6"/>
            </w:tcBorders>
            <w:shd w:val="clear" w:color="000000" w:fill="E28C05"/>
            <w:vAlign w:val="center"/>
            <w:hideMark/>
          </w:tcPr>
          <w:p w:rsidR="00996DD6" w:rsidRPr="00996DD6" w:rsidRDefault="00996DD6" w:rsidP="00996DD6">
            <w:pPr>
              <w:jc w:val="center"/>
              <w:rPr>
                <w:rFonts w:ascii="Arial" w:hAnsi="Arial" w:cs="Arial"/>
                <w:b/>
                <w:bCs/>
                <w:color w:val="56008C"/>
                <w:sz w:val="20"/>
                <w:szCs w:val="20"/>
              </w:rPr>
            </w:pPr>
            <w:r w:rsidRPr="00996DD6">
              <w:rPr>
                <w:rFonts w:ascii="Arial" w:hAnsi="Arial" w:cs="Arial"/>
                <w:b/>
                <w:bCs/>
                <w:color w:val="56008C"/>
                <w:sz w:val="20"/>
                <w:szCs w:val="20"/>
              </w:rPr>
              <w:t>Budget</w:t>
            </w:r>
          </w:p>
        </w:tc>
        <w:tc>
          <w:tcPr>
            <w:tcW w:w="959" w:type="dxa"/>
            <w:tcBorders>
              <w:top w:val="nil"/>
              <w:left w:val="nil"/>
              <w:bottom w:val="nil"/>
              <w:right w:val="single" w:sz="8" w:space="0" w:color="816EA6"/>
            </w:tcBorders>
            <w:shd w:val="clear" w:color="000000" w:fill="E28C05"/>
            <w:vAlign w:val="center"/>
            <w:hideMark/>
          </w:tcPr>
          <w:p w:rsidR="00996DD6" w:rsidRPr="00996DD6" w:rsidRDefault="00996DD6" w:rsidP="00996DD6">
            <w:pPr>
              <w:jc w:val="center"/>
              <w:rPr>
                <w:rFonts w:ascii="Arial" w:hAnsi="Arial" w:cs="Arial"/>
                <w:b/>
                <w:bCs/>
                <w:color w:val="56008C"/>
                <w:sz w:val="20"/>
                <w:szCs w:val="20"/>
              </w:rPr>
            </w:pPr>
            <w:r w:rsidRPr="00996DD6">
              <w:rPr>
                <w:rFonts w:ascii="Arial" w:hAnsi="Arial" w:cs="Arial"/>
                <w:b/>
                <w:bCs/>
                <w:color w:val="56008C"/>
                <w:sz w:val="20"/>
                <w:szCs w:val="20"/>
              </w:rPr>
              <w:t>Actual</w:t>
            </w:r>
          </w:p>
        </w:tc>
        <w:tc>
          <w:tcPr>
            <w:tcW w:w="1119" w:type="dxa"/>
            <w:tcBorders>
              <w:top w:val="nil"/>
              <w:left w:val="nil"/>
              <w:bottom w:val="nil"/>
              <w:right w:val="nil"/>
            </w:tcBorders>
            <w:shd w:val="clear" w:color="000000" w:fill="E28C05"/>
            <w:vAlign w:val="center"/>
            <w:hideMark/>
          </w:tcPr>
          <w:p w:rsidR="00996DD6" w:rsidRPr="00996DD6" w:rsidRDefault="00996DD6" w:rsidP="00996DD6">
            <w:pPr>
              <w:jc w:val="center"/>
              <w:rPr>
                <w:rFonts w:ascii="Arial" w:hAnsi="Arial" w:cs="Arial"/>
                <w:b/>
                <w:bCs/>
                <w:color w:val="56008C"/>
                <w:sz w:val="20"/>
                <w:szCs w:val="20"/>
              </w:rPr>
            </w:pPr>
            <w:r w:rsidRPr="00996DD6">
              <w:rPr>
                <w:rFonts w:ascii="Arial" w:hAnsi="Arial" w:cs="Arial"/>
                <w:b/>
                <w:bCs/>
                <w:color w:val="56008C"/>
                <w:sz w:val="20"/>
                <w:szCs w:val="20"/>
              </w:rPr>
              <w:t>Variance</w:t>
            </w:r>
          </w:p>
        </w:tc>
        <w:tc>
          <w:tcPr>
            <w:tcW w:w="300" w:type="dxa"/>
            <w:tcBorders>
              <w:top w:val="nil"/>
              <w:left w:val="nil"/>
              <w:bottom w:val="nil"/>
              <w:right w:val="nil"/>
            </w:tcBorders>
            <w:shd w:val="clear" w:color="auto" w:fill="auto"/>
            <w:vAlign w:val="center"/>
            <w:hideMark/>
          </w:tcPr>
          <w:p w:rsidR="00996DD6" w:rsidRPr="00996DD6" w:rsidRDefault="00996DD6" w:rsidP="00996DD6">
            <w:pPr>
              <w:jc w:val="center"/>
              <w:rPr>
                <w:rFonts w:ascii="Arial" w:hAnsi="Arial" w:cs="Arial"/>
                <w:b/>
                <w:bCs/>
                <w:color w:val="000000"/>
                <w:sz w:val="20"/>
                <w:szCs w:val="20"/>
              </w:rPr>
            </w:pPr>
          </w:p>
        </w:tc>
        <w:tc>
          <w:tcPr>
            <w:tcW w:w="3277" w:type="dxa"/>
            <w:tcBorders>
              <w:top w:val="nil"/>
              <w:left w:val="nil"/>
              <w:bottom w:val="single" w:sz="8" w:space="0" w:color="CCCCCC"/>
              <w:right w:val="single" w:sz="8" w:space="0" w:color="CCCCCC"/>
            </w:tcBorders>
            <w:shd w:val="clear" w:color="000000" w:fill="56008C"/>
            <w:vAlign w:val="center"/>
            <w:hideMark/>
          </w:tcPr>
          <w:p w:rsidR="00996DD6" w:rsidRPr="00996DD6" w:rsidRDefault="00996DD6" w:rsidP="00996DD6">
            <w:pPr>
              <w:jc w:val="center"/>
              <w:rPr>
                <w:rFonts w:ascii="Arial" w:hAnsi="Arial" w:cs="Arial"/>
                <w:b/>
                <w:bCs/>
                <w:color w:val="FFFFFF"/>
                <w:sz w:val="20"/>
                <w:szCs w:val="20"/>
              </w:rPr>
            </w:pPr>
            <w:r w:rsidRPr="00996DD6">
              <w:rPr>
                <w:rFonts w:ascii="Arial" w:hAnsi="Arial" w:cs="Arial"/>
                <w:b/>
                <w:bCs/>
                <w:color w:val="FFFFFF"/>
                <w:sz w:val="20"/>
                <w:szCs w:val="20"/>
              </w:rPr>
              <w:t>Expenditure</w:t>
            </w:r>
          </w:p>
        </w:tc>
        <w:tc>
          <w:tcPr>
            <w:tcW w:w="300" w:type="dxa"/>
            <w:tcBorders>
              <w:top w:val="nil"/>
              <w:left w:val="nil"/>
              <w:bottom w:val="nil"/>
              <w:right w:val="nil"/>
            </w:tcBorders>
            <w:shd w:val="clear" w:color="auto" w:fill="auto"/>
            <w:vAlign w:val="center"/>
            <w:hideMark/>
          </w:tcPr>
          <w:p w:rsidR="00996DD6" w:rsidRPr="00996DD6" w:rsidRDefault="00996DD6" w:rsidP="00996DD6">
            <w:pPr>
              <w:jc w:val="center"/>
              <w:rPr>
                <w:rFonts w:ascii="Arial" w:hAnsi="Arial" w:cs="Arial"/>
                <w:b/>
                <w:bCs/>
                <w:color w:val="000000"/>
                <w:sz w:val="20"/>
                <w:szCs w:val="20"/>
              </w:rPr>
            </w:pPr>
          </w:p>
        </w:tc>
        <w:tc>
          <w:tcPr>
            <w:tcW w:w="1119" w:type="dxa"/>
            <w:tcBorders>
              <w:top w:val="nil"/>
              <w:left w:val="nil"/>
              <w:bottom w:val="nil"/>
              <w:right w:val="single" w:sz="8" w:space="0" w:color="55ACD3"/>
            </w:tcBorders>
            <w:shd w:val="clear" w:color="000000" w:fill="E28C05"/>
            <w:vAlign w:val="center"/>
            <w:hideMark/>
          </w:tcPr>
          <w:p w:rsidR="00996DD6" w:rsidRPr="00996DD6" w:rsidRDefault="00996DD6" w:rsidP="00996DD6">
            <w:pPr>
              <w:rPr>
                <w:rFonts w:ascii="Arial" w:hAnsi="Arial" w:cs="Arial"/>
                <w:b/>
                <w:bCs/>
                <w:color w:val="56008C"/>
                <w:sz w:val="20"/>
                <w:szCs w:val="20"/>
              </w:rPr>
            </w:pPr>
            <w:r w:rsidRPr="00996DD6">
              <w:rPr>
                <w:rFonts w:ascii="Arial" w:hAnsi="Arial" w:cs="Arial"/>
                <w:b/>
                <w:bCs/>
                <w:color w:val="56008C"/>
                <w:sz w:val="20"/>
                <w:szCs w:val="20"/>
              </w:rPr>
              <w:t>Budget</w:t>
            </w:r>
          </w:p>
        </w:tc>
        <w:tc>
          <w:tcPr>
            <w:tcW w:w="1559" w:type="dxa"/>
            <w:tcBorders>
              <w:top w:val="nil"/>
              <w:left w:val="nil"/>
              <w:bottom w:val="nil"/>
              <w:right w:val="single" w:sz="8" w:space="0" w:color="55ACD3"/>
            </w:tcBorders>
            <w:shd w:val="clear" w:color="000000" w:fill="E28C05"/>
            <w:vAlign w:val="center"/>
            <w:hideMark/>
          </w:tcPr>
          <w:p w:rsidR="00996DD6" w:rsidRPr="00996DD6" w:rsidRDefault="00996DD6" w:rsidP="00996DD6">
            <w:pPr>
              <w:rPr>
                <w:rFonts w:ascii="Arial" w:hAnsi="Arial" w:cs="Arial"/>
                <w:b/>
                <w:bCs/>
                <w:color w:val="56008C"/>
                <w:sz w:val="20"/>
                <w:szCs w:val="20"/>
              </w:rPr>
            </w:pPr>
            <w:r w:rsidRPr="00996DD6">
              <w:rPr>
                <w:rFonts w:ascii="Arial" w:hAnsi="Arial" w:cs="Arial"/>
                <w:b/>
                <w:bCs/>
                <w:color w:val="56008C"/>
                <w:sz w:val="20"/>
                <w:szCs w:val="20"/>
              </w:rPr>
              <w:t>Actual</w:t>
            </w:r>
          </w:p>
        </w:tc>
        <w:tc>
          <w:tcPr>
            <w:tcW w:w="960" w:type="dxa"/>
            <w:tcBorders>
              <w:top w:val="nil"/>
              <w:left w:val="nil"/>
              <w:bottom w:val="nil"/>
              <w:right w:val="nil"/>
            </w:tcBorders>
            <w:shd w:val="clear" w:color="000000" w:fill="E28C05"/>
            <w:vAlign w:val="center"/>
            <w:hideMark/>
          </w:tcPr>
          <w:p w:rsidR="00996DD6" w:rsidRPr="00996DD6" w:rsidRDefault="00996DD6" w:rsidP="00996DD6">
            <w:pPr>
              <w:rPr>
                <w:rFonts w:ascii="Arial" w:hAnsi="Arial" w:cs="Arial"/>
                <w:b/>
                <w:bCs/>
                <w:color w:val="56008C"/>
                <w:sz w:val="20"/>
                <w:szCs w:val="20"/>
              </w:rPr>
            </w:pPr>
            <w:r w:rsidRPr="00996DD6">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996DD6" w:rsidRPr="00996DD6" w:rsidRDefault="00996DD6" w:rsidP="00996DD6">
            <w:pPr>
              <w:rPr>
                <w:rFonts w:ascii="Arial" w:hAnsi="Arial" w:cs="Arial"/>
                <w:b/>
                <w:bCs/>
                <w:color w:val="FFFFFF"/>
                <w:sz w:val="20"/>
                <w:szCs w:val="20"/>
              </w:rPr>
            </w:pPr>
            <w:r w:rsidRPr="00996DD6">
              <w:rPr>
                <w:rFonts w:ascii="Arial" w:hAnsi="Arial" w:cs="Arial"/>
                <w:b/>
                <w:bCs/>
                <w:color w:val="FFFFFF"/>
                <w:sz w:val="20"/>
                <w:szCs w:val="20"/>
              </w:rPr>
              <w:t>2012/13 actual</w:t>
            </w:r>
          </w:p>
        </w:tc>
        <w:tc>
          <w:tcPr>
            <w:tcW w:w="960" w:type="dxa"/>
            <w:tcBorders>
              <w:top w:val="nil"/>
              <w:left w:val="nil"/>
              <w:bottom w:val="nil"/>
              <w:right w:val="single" w:sz="8" w:space="0" w:color="55ACD3"/>
            </w:tcBorders>
            <w:shd w:val="clear" w:color="000000" w:fill="56008C"/>
            <w:vAlign w:val="center"/>
            <w:hideMark/>
          </w:tcPr>
          <w:p w:rsidR="00996DD6" w:rsidRPr="00996DD6" w:rsidRDefault="00996DD6" w:rsidP="00996DD6">
            <w:pPr>
              <w:rPr>
                <w:rFonts w:ascii="Arial" w:hAnsi="Arial" w:cs="Arial"/>
                <w:b/>
                <w:bCs/>
                <w:color w:val="FFFFFF"/>
                <w:sz w:val="20"/>
                <w:szCs w:val="20"/>
              </w:rPr>
            </w:pPr>
            <w:r w:rsidRPr="00996DD6">
              <w:rPr>
                <w:rFonts w:ascii="Arial" w:hAnsi="Arial" w:cs="Arial"/>
                <w:b/>
                <w:bCs/>
                <w:color w:val="FFFFFF"/>
                <w:sz w:val="20"/>
                <w:szCs w:val="20"/>
              </w:rPr>
              <w:t>Initial budget</w:t>
            </w:r>
          </w:p>
        </w:tc>
        <w:tc>
          <w:tcPr>
            <w:tcW w:w="960" w:type="dxa"/>
            <w:tcBorders>
              <w:top w:val="nil"/>
              <w:left w:val="nil"/>
              <w:bottom w:val="nil"/>
              <w:right w:val="single" w:sz="8" w:space="0" w:color="55ACD3"/>
            </w:tcBorders>
            <w:shd w:val="clear" w:color="000000" w:fill="56008C"/>
            <w:vAlign w:val="center"/>
            <w:hideMark/>
          </w:tcPr>
          <w:p w:rsidR="00996DD6" w:rsidRPr="00996DD6" w:rsidRDefault="00996DD6" w:rsidP="00996DD6">
            <w:pPr>
              <w:rPr>
                <w:rFonts w:ascii="Arial" w:hAnsi="Arial" w:cs="Arial"/>
                <w:b/>
                <w:bCs/>
                <w:color w:val="FFFFFF"/>
                <w:sz w:val="20"/>
                <w:szCs w:val="20"/>
              </w:rPr>
            </w:pPr>
            <w:r w:rsidRPr="00996DD6">
              <w:rPr>
                <w:rFonts w:ascii="Arial" w:hAnsi="Arial" w:cs="Arial"/>
                <w:b/>
                <w:bCs/>
                <w:color w:val="FFFFFF"/>
                <w:sz w:val="20"/>
                <w:szCs w:val="20"/>
              </w:rPr>
              <w:t>Latest Budget</w:t>
            </w:r>
          </w:p>
        </w:tc>
        <w:tc>
          <w:tcPr>
            <w:tcW w:w="960" w:type="dxa"/>
            <w:tcBorders>
              <w:top w:val="nil"/>
              <w:left w:val="nil"/>
              <w:bottom w:val="nil"/>
              <w:right w:val="nil"/>
            </w:tcBorders>
            <w:shd w:val="clear" w:color="000000" w:fill="56008C"/>
            <w:vAlign w:val="center"/>
            <w:hideMark/>
          </w:tcPr>
          <w:p w:rsidR="00996DD6" w:rsidRPr="00996DD6" w:rsidRDefault="00996DD6" w:rsidP="00996DD6">
            <w:pPr>
              <w:rPr>
                <w:rFonts w:ascii="Arial" w:hAnsi="Arial" w:cs="Arial"/>
                <w:b/>
                <w:bCs/>
                <w:color w:val="FFFFFF"/>
                <w:sz w:val="20"/>
                <w:szCs w:val="20"/>
              </w:rPr>
            </w:pPr>
            <w:r w:rsidRPr="00996DD6">
              <w:rPr>
                <w:rFonts w:ascii="Arial" w:hAnsi="Arial" w:cs="Arial"/>
                <w:b/>
                <w:bCs/>
                <w:color w:val="FFFFFF"/>
                <w:sz w:val="20"/>
                <w:szCs w:val="20"/>
              </w:rPr>
              <w:t>Forecast</w:t>
            </w:r>
          </w:p>
        </w:tc>
      </w:tr>
      <w:tr w:rsidR="00996DD6" w:rsidRPr="00996DD6" w:rsidTr="00996DD6">
        <w:trPr>
          <w:trHeight w:val="315"/>
        </w:trPr>
        <w:tc>
          <w:tcPr>
            <w:tcW w:w="95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400</w:t>
            </w:r>
          </w:p>
        </w:tc>
        <w:tc>
          <w:tcPr>
            <w:tcW w:w="95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476</w:t>
            </w:r>
          </w:p>
        </w:tc>
        <w:tc>
          <w:tcPr>
            <w:tcW w:w="111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76</w:t>
            </w:r>
          </w:p>
        </w:tc>
        <w:tc>
          <w:tcPr>
            <w:tcW w:w="30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996DD6" w:rsidRPr="00996DD6" w:rsidRDefault="00996DD6" w:rsidP="00996DD6">
            <w:pPr>
              <w:rPr>
                <w:rFonts w:ascii="Arial" w:hAnsi="Arial" w:cs="Arial"/>
                <w:color w:val="000000"/>
                <w:sz w:val="18"/>
                <w:szCs w:val="18"/>
              </w:rPr>
            </w:pPr>
            <w:r w:rsidRPr="00996DD6">
              <w:rPr>
                <w:rFonts w:ascii="Arial" w:hAnsi="Arial" w:cs="Arial"/>
                <w:color w:val="000000"/>
                <w:sz w:val="18"/>
                <w:szCs w:val="18"/>
              </w:rPr>
              <w:t>Operations and Approval</w:t>
            </w:r>
          </w:p>
        </w:tc>
        <w:tc>
          <w:tcPr>
            <w:tcW w:w="30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4,625</w:t>
            </w:r>
          </w:p>
        </w:tc>
        <w:tc>
          <w:tcPr>
            <w:tcW w:w="155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4,429</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-196</w:t>
            </w:r>
          </w:p>
        </w:tc>
        <w:tc>
          <w:tcPr>
            <w:tcW w:w="328"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4,337</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4,527</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4,625</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4,418</w:t>
            </w:r>
          </w:p>
        </w:tc>
      </w:tr>
      <w:tr w:rsidR="00996DD6" w:rsidRPr="00996DD6" w:rsidTr="00996DD6">
        <w:trPr>
          <w:trHeight w:val="315"/>
        </w:trPr>
        <w:tc>
          <w:tcPr>
            <w:tcW w:w="95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180</w:t>
            </w:r>
          </w:p>
        </w:tc>
        <w:tc>
          <w:tcPr>
            <w:tcW w:w="95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246</w:t>
            </w:r>
          </w:p>
        </w:tc>
        <w:tc>
          <w:tcPr>
            <w:tcW w:w="111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66</w:t>
            </w:r>
          </w:p>
        </w:tc>
        <w:tc>
          <w:tcPr>
            <w:tcW w:w="30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996DD6" w:rsidRPr="00996DD6" w:rsidRDefault="00996DD6" w:rsidP="00996DD6">
            <w:pPr>
              <w:rPr>
                <w:rFonts w:ascii="Arial" w:hAnsi="Arial" w:cs="Arial"/>
                <w:color w:val="000000"/>
                <w:sz w:val="18"/>
                <w:szCs w:val="18"/>
              </w:rPr>
            </w:pPr>
            <w:r w:rsidRPr="00996DD6">
              <w:rPr>
                <w:rFonts w:ascii="Arial" w:hAnsi="Arial" w:cs="Arial"/>
                <w:color w:val="000000"/>
                <w:sz w:val="18"/>
                <w:szCs w:val="18"/>
              </w:rPr>
              <w:t xml:space="preserve">Chief Executive </w:t>
            </w:r>
            <w:proofErr w:type="spellStart"/>
            <w:r w:rsidRPr="00996DD6">
              <w:rPr>
                <w:rFonts w:ascii="Arial" w:hAnsi="Arial" w:cs="Arial"/>
                <w:color w:val="000000"/>
                <w:sz w:val="18"/>
                <w:szCs w:val="18"/>
              </w:rPr>
              <w:t>inc.</w:t>
            </w:r>
            <w:proofErr w:type="spellEnd"/>
            <w:r w:rsidRPr="00996DD6">
              <w:rPr>
                <w:rFonts w:ascii="Arial" w:hAnsi="Arial" w:cs="Arial"/>
                <w:color w:val="000000"/>
                <w:sz w:val="18"/>
                <w:szCs w:val="18"/>
              </w:rPr>
              <w:t xml:space="preserve"> Corp Sec</w:t>
            </w:r>
          </w:p>
        </w:tc>
        <w:tc>
          <w:tcPr>
            <w:tcW w:w="30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1,724</w:t>
            </w:r>
          </w:p>
        </w:tc>
        <w:tc>
          <w:tcPr>
            <w:tcW w:w="155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1,768</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44</w:t>
            </w:r>
          </w:p>
        </w:tc>
        <w:tc>
          <w:tcPr>
            <w:tcW w:w="328"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1,574</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1,650</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1,724</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1,694</w:t>
            </w:r>
          </w:p>
        </w:tc>
      </w:tr>
      <w:tr w:rsidR="00996DD6" w:rsidRPr="00996DD6" w:rsidTr="00996DD6">
        <w:trPr>
          <w:trHeight w:val="315"/>
        </w:trPr>
        <w:tc>
          <w:tcPr>
            <w:tcW w:w="95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238</w:t>
            </w:r>
          </w:p>
        </w:tc>
        <w:tc>
          <w:tcPr>
            <w:tcW w:w="95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304</w:t>
            </w:r>
          </w:p>
        </w:tc>
        <w:tc>
          <w:tcPr>
            <w:tcW w:w="111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66</w:t>
            </w:r>
          </w:p>
        </w:tc>
        <w:tc>
          <w:tcPr>
            <w:tcW w:w="30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996DD6" w:rsidRPr="00996DD6" w:rsidRDefault="00996DD6" w:rsidP="00996DD6">
            <w:pPr>
              <w:rPr>
                <w:rFonts w:ascii="Arial" w:hAnsi="Arial" w:cs="Arial"/>
                <w:color w:val="000000"/>
                <w:sz w:val="18"/>
                <w:szCs w:val="18"/>
              </w:rPr>
            </w:pPr>
            <w:r w:rsidRPr="00996DD6">
              <w:rPr>
                <w:rFonts w:ascii="Arial" w:hAnsi="Arial" w:cs="Arial"/>
                <w:color w:val="000000"/>
                <w:sz w:val="18"/>
                <w:szCs w:val="18"/>
              </w:rPr>
              <w:t>Corporate Services</w:t>
            </w:r>
          </w:p>
        </w:tc>
        <w:tc>
          <w:tcPr>
            <w:tcW w:w="30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1,951</w:t>
            </w:r>
          </w:p>
        </w:tc>
        <w:tc>
          <w:tcPr>
            <w:tcW w:w="155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1,984</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33</w:t>
            </w:r>
          </w:p>
        </w:tc>
        <w:tc>
          <w:tcPr>
            <w:tcW w:w="328"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1,369</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1,986</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1,951</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1,984</w:t>
            </w:r>
          </w:p>
        </w:tc>
      </w:tr>
      <w:tr w:rsidR="00996DD6" w:rsidRPr="00996DD6" w:rsidTr="00996DD6">
        <w:trPr>
          <w:trHeight w:val="315"/>
        </w:trPr>
        <w:tc>
          <w:tcPr>
            <w:tcW w:w="95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2,999</w:t>
            </w:r>
          </w:p>
        </w:tc>
        <w:tc>
          <w:tcPr>
            <w:tcW w:w="95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125</w:t>
            </w:r>
          </w:p>
        </w:tc>
        <w:tc>
          <w:tcPr>
            <w:tcW w:w="111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-2,874</w:t>
            </w:r>
          </w:p>
        </w:tc>
        <w:tc>
          <w:tcPr>
            <w:tcW w:w="30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996DD6" w:rsidRPr="00996DD6" w:rsidRDefault="00996DD6" w:rsidP="00996DD6">
            <w:pPr>
              <w:rPr>
                <w:rFonts w:ascii="Arial" w:hAnsi="Arial" w:cs="Arial"/>
                <w:color w:val="000000"/>
                <w:sz w:val="18"/>
                <w:szCs w:val="18"/>
              </w:rPr>
            </w:pPr>
            <w:r w:rsidRPr="00996DD6">
              <w:rPr>
                <w:rFonts w:ascii="Arial" w:hAnsi="Arial" w:cs="Arial"/>
                <w:color w:val="000000"/>
                <w:sz w:val="18"/>
                <w:szCs w:val="18"/>
              </w:rPr>
              <w:t>Finance</w:t>
            </w:r>
          </w:p>
        </w:tc>
        <w:tc>
          <w:tcPr>
            <w:tcW w:w="30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3,564</w:t>
            </w:r>
          </w:p>
        </w:tc>
        <w:tc>
          <w:tcPr>
            <w:tcW w:w="155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639</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-2,925</w:t>
            </w:r>
          </w:p>
        </w:tc>
        <w:tc>
          <w:tcPr>
            <w:tcW w:w="328"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445</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5,172</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3,564</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639</w:t>
            </w:r>
          </w:p>
        </w:tc>
      </w:tr>
      <w:tr w:rsidR="00996DD6" w:rsidRPr="00996DD6" w:rsidTr="00996DD6">
        <w:trPr>
          <w:trHeight w:val="315"/>
        </w:trPr>
        <w:tc>
          <w:tcPr>
            <w:tcW w:w="95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330</w:t>
            </w:r>
          </w:p>
        </w:tc>
        <w:tc>
          <w:tcPr>
            <w:tcW w:w="95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352</w:t>
            </w:r>
          </w:p>
        </w:tc>
        <w:tc>
          <w:tcPr>
            <w:tcW w:w="111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22</w:t>
            </w:r>
          </w:p>
        </w:tc>
        <w:tc>
          <w:tcPr>
            <w:tcW w:w="30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996DD6" w:rsidRPr="00996DD6" w:rsidRDefault="00996DD6" w:rsidP="00996DD6">
            <w:pPr>
              <w:rPr>
                <w:rFonts w:ascii="Arial" w:hAnsi="Arial" w:cs="Arial"/>
                <w:color w:val="000000"/>
                <w:sz w:val="18"/>
                <w:szCs w:val="18"/>
              </w:rPr>
            </w:pPr>
            <w:r w:rsidRPr="00996DD6">
              <w:rPr>
                <w:rFonts w:ascii="Arial" w:hAnsi="Arial" w:cs="Arial"/>
                <w:color w:val="000000"/>
                <w:sz w:val="18"/>
                <w:szCs w:val="18"/>
              </w:rPr>
              <w:t>Systems and Development</w:t>
            </w:r>
          </w:p>
        </w:tc>
        <w:tc>
          <w:tcPr>
            <w:tcW w:w="30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1,893</w:t>
            </w:r>
          </w:p>
        </w:tc>
        <w:tc>
          <w:tcPr>
            <w:tcW w:w="155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1,850</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-43</w:t>
            </w:r>
          </w:p>
        </w:tc>
        <w:tc>
          <w:tcPr>
            <w:tcW w:w="328"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807</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1,893</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1,848</w:t>
            </w:r>
          </w:p>
        </w:tc>
      </w:tr>
      <w:tr w:rsidR="00996DD6" w:rsidRPr="00996DD6" w:rsidTr="00996DD6">
        <w:trPr>
          <w:trHeight w:val="315"/>
        </w:trPr>
        <w:tc>
          <w:tcPr>
            <w:tcW w:w="95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0</w:t>
            </w:r>
          </w:p>
        </w:tc>
        <w:tc>
          <w:tcPr>
            <w:tcW w:w="95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0</w:t>
            </w:r>
          </w:p>
        </w:tc>
        <w:tc>
          <w:tcPr>
            <w:tcW w:w="111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996DD6" w:rsidRPr="00996DD6" w:rsidRDefault="00996DD6" w:rsidP="00996DD6">
            <w:pPr>
              <w:rPr>
                <w:rFonts w:ascii="Arial" w:hAnsi="Arial" w:cs="Arial"/>
                <w:color w:val="000000"/>
                <w:sz w:val="18"/>
                <w:szCs w:val="18"/>
              </w:rPr>
            </w:pPr>
            <w:r w:rsidRPr="00996DD6">
              <w:rPr>
                <w:rFonts w:ascii="Arial" w:hAnsi="Arial" w:cs="Arial"/>
                <w:color w:val="000000"/>
                <w:sz w:val="18"/>
                <w:szCs w:val="18"/>
              </w:rPr>
              <w:t>Communications</w:t>
            </w:r>
          </w:p>
        </w:tc>
        <w:tc>
          <w:tcPr>
            <w:tcW w:w="30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0</w:t>
            </w:r>
          </w:p>
        </w:tc>
        <w:tc>
          <w:tcPr>
            <w:tcW w:w="1559"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0</w:t>
            </w:r>
          </w:p>
        </w:tc>
        <w:tc>
          <w:tcPr>
            <w:tcW w:w="328"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249</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349</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996DD6" w:rsidRPr="00996DD6" w:rsidRDefault="00996DD6" w:rsidP="00996DD6">
            <w:pPr>
              <w:jc w:val="right"/>
              <w:rPr>
                <w:rFonts w:ascii="Calibri" w:hAnsi="Calibri" w:cs="Calibri"/>
                <w:color w:val="000000"/>
                <w:sz w:val="22"/>
                <w:szCs w:val="22"/>
              </w:rPr>
            </w:pPr>
            <w:r w:rsidRPr="00996DD6">
              <w:rPr>
                <w:rFonts w:ascii="Calibri" w:hAnsi="Calibri" w:cs="Calibri"/>
                <w:color w:val="000000"/>
                <w:sz w:val="22"/>
                <w:szCs w:val="22"/>
              </w:rPr>
              <w:t>0</w:t>
            </w:r>
          </w:p>
        </w:tc>
      </w:tr>
      <w:tr w:rsidR="00996DD6" w:rsidRPr="00996DD6" w:rsidTr="00996DD6">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4,147</w:t>
            </w:r>
          </w:p>
        </w:tc>
        <w:tc>
          <w:tcPr>
            <w:tcW w:w="959" w:type="dxa"/>
            <w:tcBorders>
              <w:top w:val="nil"/>
              <w:left w:val="nil"/>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1,503</w:t>
            </w:r>
          </w:p>
        </w:tc>
        <w:tc>
          <w:tcPr>
            <w:tcW w:w="1119" w:type="dxa"/>
            <w:tcBorders>
              <w:top w:val="nil"/>
              <w:left w:val="nil"/>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-2,644</w:t>
            </w:r>
          </w:p>
        </w:tc>
        <w:tc>
          <w:tcPr>
            <w:tcW w:w="30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996DD6" w:rsidRPr="00996DD6" w:rsidRDefault="00996DD6" w:rsidP="00996DD6">
            <w:pPr>
              <w:rPr>
                <w:rFonts w:ascii="Arial" w:hAnsi="Arial" w:cs="Arial"/>
                <w:b/>
                <w:bCs/>
                <w:color w:val="000000"/>
                <w:sz w:val="18"/>
                <w:szCs w:val="18"/>
              </w:rPr>
            </w:pPr>
            <w:r w:rsidRPr="00996DD6">
              <w:rPr>
                <w:rFonts w:ascii="Arial" w:hAnsi="Arial" w:cs="Arial"/>
                <w:b/>
                <w:bCs/>
                <w:color w:val="000000"/>
                <w:sz w:val="18"/>
                <w:szCs w:val="18"/>
              </w:rPr>
              <w:t xml:space="preserve"> Total Expenditure</w:t>
            </w:r>
          </w:p>
        </w:tc>
        <w:tc>
          <w:tcPr>
            <w:tcW w:w="300" w:type="dxa"/>
            <w:tcBorders>
              <w:top w:val="nil"/>
              <w:left w:val="nil"/>
              <w:bottom w:val="nil"/>
              <w:right w:val="single" w:sz="8" w:space="0" w:color="FFFFFF"/>
            </w:tcBorders>
            <w:shd w:val="clear" w:color="auto" w:fill="auto"/>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13,757</w:t>
            </w:r>
          </w:p>
        </w:tc>
        <w:tc>
          <w:tcPr>
            <w:tcW w:w="1559" w:type="dxa"/>
            <w:tcBorders>
              <w:top w:val="nil"/>
              <w:left w:val="nil"/>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10,670</w:t>
            </w:r>
          </w:p>
        </w:tc>
        <w:tc>
          <w:tcPr>
            <w:tcW w:w="960" w:type="dxa"/>
            <w:tcBorders>
              <w:top w:val="nil"/>
              <w:left w:val="nil"/>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-3,087</w:t>
            </w:r>
          </w:p>
        </w:tc>
        <w:tc>
          <w:tcPr>
            <w:tcW w:w="328"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8,781</w:t>
            </w:r>
          </w:p>
        </w:tc>
        <w:tc>
          <w:tcPr>
            <w:tcW w:w="960" w:type="dxa"/>
            <w:tcBorders>
              <w:top w:val="nil"/>
              <w:left w:val="nil"/>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13,684</w:t>
            </w:r>
          </w:p>
        </w:tc>
        <w:tc>
          <w:tcPr>
            <w:tcW w:w="960" w:type="dxa"/>
            <w:tcBorders>
              <w:top w:val="nil"/>
              <w:left w:val="nil"/>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13,757</w:t>
            </w:r>
          </w:p>
        </w:tc>
        <w:tc>
          <w:tcPr>
            <w:tcW w:w="960" w:type="dxa"/>
            <w:tcBorders>
              <w:top w:val="nil"/>
              <w:left w:val="nil"/>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10,583</w:t>
            </w:r>
          </w:p>
        </w:tc>
      </w:tr>
      <w:tr w:rsidR="00996DD6" w:rsidRPr="00996DD6" w:rsidTr="00996DD6">
        <w:trPr>
          <w:trHeight w:val="300"/>
        </w:trPr>
        <w:tc>
          <w:tcPr>
            <w:tcW w:w="959"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3277"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328"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r>
      <w:tr w:rsidR="00996DD6" w:rsidRPr="00996DD6" w:rsidTr="00996DD6">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0</w:t>
            </w:r>
          </w:p>
        </w:tc>
        <w:tc>
          <w:tcPr>
            <w:tcW w:w="959" w:type="dxa"/>
            <w:tcBorders>
              <w:top w:val="nil"/>
              <w:left w:val="nil"/>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0</w:t>
            </w:r>
          </w:p>
        </w:tc>
        <w:tc>
          <w:tcPr>
            <w:tcW w:w="1119" w:type="dxa"/>
            <w:tcBorders>
              <w:top w:val="nil"/>
              <w:left w:val="nil"/>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0</w:t>
            </w:r>
          </w:p>
        </w:tc>
        <w:tc>
          <w:tcPr>
            <w:tcW w:w="300"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996DD6" w:rsidRPr="00996DD6" w:rsidRDefault="00996DD6" w:rsidP="00996DD6">
            <w:pPr>
              <w:rPr>
                <w:rFonts w:ascii="Arial" w:hAnsi="Arial" w:cs="Arial"/>
                <w:b/>
                <w:bCs/>
                <w:color w:val="000000"/>
                <w:sz w:val="18"/>
                <w:szCs w:val="18"/>
              </w:rPr>
            </w:pPr>
            <w:r w:rsidRPr="00996DD6">
              <w:rPr>
                <w:rFonts w:ascii="Arial" w:hAnsi="Arial" w:cs="Arial"/>
                <w:b/>
                <w:bCs/>
                <w:color w:val="000000"/>
                <w:sz w:val="18"/>
                <w:szCs w:val="18"/>
              </w:rPr>
              <w:t>Surplus (Deficit)</w:t>
            </w:r>
          </w:p>
        </w:tc>
        <w:tc>
          <w:tcPr>
            <w:tcW w:w="300" w:type="dxa"/>
            <w:tcBorders>
              <w:top w:val="nil"/>
              <w:left w:val="nil"/>
              <w:bottom w:val="nil"/>
              <w:right w:val="single" w:sz="8" w:space="0" w:color="FFFFFF"/>
            </w:tcBorders>
            <w:shd w:val="clear" w:color="auto" w:fill="auto"/>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0</w:t>
            </w:r>
          </w:p>
        </w:tc>
        <w:tc>
          <w:tcPr>
            <w:tcW w:w="1559" w:type="dxa"/>
            <w:tcBorders>
              <w:top w:val="nil"/>
              <w:left w:val="nil"/>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0</w:t>
            </w:r>
          </w:p>
        </w:tc>
        <w:tc>
          <w:tcPr>
            <w:tcW w:w="328" w:type="dxa"/>
            <w:tcBorders>
              <w:top w:val="nil"/>
              <w:left w:val="nil"/>
              <w:bottom w:val="nil"/>
              <w:right w:val="nil"/>
            </w:tcBorders>
            <w:shd w:val="clear" w:color="auto" w:fill="auto"/>
            <w:noWrap/>
            <w:vAlign w:val="bottom"/>
            <w:hideMark/>
          </w:tcPr>
          <w:p w:rsidR="00996DD6" w:rsidRPr="00996DD6" w:rsidRDefault="00996DD6" w:rsidP="00996DD6">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996DD6" w:rsidRPr="00996DD6" w:rsidRDefault="00996DD6" w:rsidP="00996DD6">
            <w:pPr>
              <w:jc w:val="right"/>
              <w:rPr>
                <w:rFonts w:ascii="Arial" w:hAnsi="Arial" w:cs="Arial"/>
                <w:b/>
                <w:bCs/>
                <w:color w:val="000000"/>
                <w:sz w:val="18"/>
                <w:szCs w:val="18"/>
              </w:rPr>
            </w:pPr>
            <w:r w:rsidRPr="00996DD6">
              <w:rPr>
                <w:rFonts w:ascii="Arial" w:hAnsi="Arial" w:cs="Arial"/>
                <w:b/>
                <w:bCs/>
                <w:color w:val="000000"/>
                <w:sz w:val="18"/>
                <w:szCs w:val="18"/>
              </w:rPr>
              <w:t>-3,101</w:t>
            </w:r>
          </w:p>
        </w:tc>
      </w:tr>
    </w:tbl>
    <w:p w:rsidR="00597AF4" w:rsidRDefault="00597AF4" w:rsidP="00EF2180">
      <w:pPr>
        <w:spacing w:after="200" w:line="276" w:lineRule="auto"/>
        <w:rPr>
          <w:rFonts w:ascii="Arial" w:hAnsi="Arial" w:cs="Arial"/>
          <w:sz w:val="22"/>
          <w:szCs w:val="22"/>
        </w:rPr>
      </w:pPr>
    </w:p>
    <w:p w:rsidR="00D15B88" w:rsidRDefault="00D15B88" w:rsidP="00EF2180">
      <w:pPr>
        <w:spacing w:after="200" w:line="276" w:lineRule="auto"/>
        <w:rPr>
          <w:rFonts w:ascii="Arial" w:hAnsi="Arial" w:cs="Arial"/>
          <w:sz w:val="22"/>
          <w:szCs w:val="22"/>
        </w:rPr>
      </w:pPr>
    </w:p>
    <w:p w:rsidR="00F576C4" w:rsidRDefault="00F576C4" w:rsidP="00EF2180">
      <w:pPr>
        <w:spacing w:after="200" w:line="276" w:lineRule="auto"/>
        <w:rPr>
          <w:rFonts w:ascii="Arial" w:hAnsi="Arial" w:cs="Arial"/>
          <w:sz w:val="22"/>
          <w:szCs w:val="22"/>
        </w:rPr>
      </w:pPr>
    </w:p>
    <w:p w:rsidR="00E53B49" w:rsidRDefault="00E53B49" w:rsidP="00EF2180">
      <w:pPr>
        <w:spacing w:after="200" w:line="276" w:lineRule="auto"/>
        <w:rPr>
          <w:rFonts w:ascii="Arial" w:hAnsi="Arial" w:cs="Arial"/>
          <w:sz w:val="22"/>
          <w:szCs w:val="22"/>
        </w:rPr>
      </w:pPr>
    </w:p>
    <w:p w:rsidR="00703BA7" w:rsidRDefault="00703BA7" w:rsidP="00EF2180">
      <w:pPr>
        <w:spacing w:after="200" w:line="276" w:lineRule="auto"/>
        <w:rPr>
          <w:rFonts w:ascii="Arial" w:hAnsi="Arial" w:cs="Arial"/>
          <w:sz w:val="22"/>
          <w:szCs w:val="22"/>
        </w:rPr>
      </w:pPr>
    </w:p>
    <w:p w:rsidR="00B465A2" w:rsidRPr="00A422D8" w:rsidRDefault="00004C4F" w:rsidP="006E24B3">
      <w:pPr>
        <w:keepNext/>
        <w:keepLines/>
        <w:pBdr>
          <w:top w:val="single" w:sz="8" w:space="3" w:color="FFFFFF"/>
          <w:left w:val="single" w:sz="8" w:space="0"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bookmarkStart w:id="2" w:name="OLE_LINK1"/>
      <w:r>
        <w:rPr>
          <w:rFonts w:ascii="Arial" w:eastAsia="Calibri" w:hAnsi="Arial"/>
          <w:b/>
          <w:bCs/>
          <w:color w:val="56008C"/>
          <w:szCs w:val="26"/>
          <w:lang w:eastAsia="en-US"/>
        </w:rPr>
        <w:t xml:space="preserve">HRA Balance Sheet as at 31 March </w:t>
      </w:r>
      <w:r w:rsidR="00542880">
        <w:rPr>
          <w:rFonts w:ascii="Arial" w:eastAsia="Calibri" w:hAnsi="Arial"/>
          <w:b/>
          <w:bCs/>
          <w:color w:val="56008C"/>
          <w:szCs w:val="26"/>
          <w:lang w:eastAsia="en-US"/>
        </w:rPr>
        <w:t>2015</w:t>
      </w:r>
    </w:p>
    <w:tbl>
      <w:tblPr>
        <w:tblW w:w="9780" w:type="dxa"/>
        <w:tblInd w:w="93" w:type="dxa"/>
        <w:tblLook w:val="04A0" w:firstRow="1" w:lastRow="0" w:firstColumn="1" w:lastColumn="0" w:noHBand="0" w:noVBand="1"/>
      </w:tblPr>
      <w:tblGrid>
        <w:gridCol w:w="4020"/>
        <w:gridCol w:w="960"/>
        <w:gridCol w:w="960"/>
        <w:gridCol w:w="960"/>
        <w:gridCol w:w="960"/>
        <w:gridCol w:w="960"/>
        <w:gridCol w:w="960"/>
      </w:tblGrid>
      <w:tr w:rsidR="002F75F6" w:rsidRPr="00DC50A1" w:rsidTr="002F75F6">
        <w:trPr>
          <w:trHeight w:val="300"/>
        </w:trPr>
        <w:tc>
          <w:tcPr>
            <w:tcW w:w="402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single" w:sz="8" w:space="0" w:color="auto"/>
              <w:left w:val="single" w:sz="8" w:space="0" w:color="auto"/>
              <w:bottom w:val="nil"/>
              <w:right w:val="single" w:sz="8" w:space="0" w:color="auto"/>
            </w:tcBorders>
            <w:shd w:val="clear" w:color="000000" w:fill="FFFF00"/>
            <w:noWrap/>
            <w:vAlign w:val="center"/>
            <w:hideMark/>
          </w:tcPr>
          <w:p w:rsidR="002F75F6" w:rsidRPr="00DC50A1" w:rsidRDefault="002F75F6" w:rsidP="00DC50A1">
            <w:pPr>
              <w:jc w:val="center"/>
              <w:rPr>
                <w:rFonts w:ascii="Calibri" w:hAnsi="Calibri" w:cs="Calibri"/>
                <w:b/>
                <w:bCs/>
                <w:color w:val="000000"/>
                <w:sz w:val="22"/>
                <w:szCs w:val="22"/>
              </w:rPr>
            </w:pPr>
            <w:r w:rsidRPr="00DC50A1">
              <w:rPr>
                <w:rFonts w:ascii="Calibri" w:hAnsi="Calibri" w:cs="Calibri"/>
                <w:b/>
                <w:bCs/>
                <w:color w:val="000000"/>
                <w:sz w:val="22"/>
                <w:szCs w:val="22"/>
              </w:rPr>
              <w:t>Mar-14</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single" w:sz="8" w:space="0" w:color="auto"/>
              <w:left w:val="single" w:sz="8" w:space="0" w:color="auto"/>
              <w:bottom w:val="nil"/>
              <w:right w:val="single" w:sz="8" w:space="0" w:color="auto"/>
            </w:tcBorders>
            <w:shd w:val="clear" w:color="000000" w:fill="E5B8B7"/>
            <w:noWrap/>
            <w:vAlign w:val="center"/>
            <w:hideMark/>
          </w:tcPr>
          <w:p w:rsidR="002F75F6" w:rsidRPr="00DC50A1" w:rsidRDefault="002F75F6" w:rsidP="0047125F">
            <w:pPr>
              <w:jc w:val="right"/>
              <w:rPr>
                <w:rFonts w:ascii="Calibri" w:hAnsi="Calibri" w:cs="Calibri"/>
                <w:b/>
                <w:bCs/>
                <w:color w:val="000000"/>
                <w:sz w:val="22"/>
                <w:szCs w:val="22"/>
              </w:rPr>
            </w:pPr>
            <w:r>
              <w:rPr>
                <w:rFonts w:ascii="Calibri" w:hAnsi="Calibri" w:cs="Calibri"/>
                <w:b/>
                <w:bCs/>
                <w:color w:val="000000"/>
                <w:sz w:val="22"/>
                <w:szCs w:val="22"/>
              </w:rPr>
              <w:t>Feb</w:t>
            </w:r>
            <w:r w:rsidRPr="00DC50A1">
              <w:rPr>
                <w:rFonts w:ascii="Calibri" w:hAnsi="Calibri" w:cs="Calibri"/>
                <w:b/>
                <w:bCs/>
                <w:color w:val="000000"/>
                <w:sz w:val="22"/>
                <w:szCs w:val="22"/>
              </w:rPr>
              <w:t>-1</w:t>
            </w:r>
            <w:r>
              <w:rPr>
                <w:rFonts w:ascii="Calibri" w:hAnsi="Calibri" w:cs="Calibri"/>
                <w:b/>
                <w:bCs/>
                <w:color w:val="000000"/>
                <w:sz w:val="22"/>
                <w:szCs w:val="22"/>
              </w:rPr>
              <w:t>5</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rPr>
                <w:rFonts w:ascii="Calibri" w:hAnsi="Calibri" w:cs="Calibri"/>
                <w:b/>
                <w:bCs/>
                <w:color w:val="000000"/>
                <w:sz w:val="22"/>
                <w:szCs w:val="22"/>
              </w:rPr>
            </w:pPr>
          </w:p>
        </w:tc>
        <w:tc>
          <w:tcPr>
            <w:tcW w:w="960" w:type="dxa"/>
            <w:tcBorders>
              <w:top w:val="single" w:sz="8" w:space="0" w:color="auto"/>
              <w:left w:val="single" w:sz="8" w:space="0" w:color="auto"/>
              <w:bottom w:val="nil"/>
              <w:right w:val="single" w:sz="8" w:space="0" w:color="auto"/>
            </w:tcBorders>
            <w:shd w:val="clear" w:color="000000" w:fill="E5B8B7"/>
            <w:noWrap/>
            <w:vAlign w:val="center"/>
            <w:hideMark/>
          </w:tcPr>
          <w:p w:rsidR="002F75F6" w:rsidRPr="00DC50A1" w:rsidRDefault="002F75F6" w:rsidP="00DC50A1">
            <w:pPr>
              <w:jc w:val="right"/>
              <w:rPr>
                <w:rFonts w:ascii="Calibri" w:hAnsi="Calibri" w:cs="Calibri"/>
                <w:b/>
                <w:bCs/>
                <w:color w:val="000000"/>
                <w:sz w:val="22"/>
                <w:szCs w:val="22"/>
              </w:rPr>
            </w:pPr>
            <w:r>
              <w:rPr>
                <w:rFonts w:ascii="Calibri" w:hAnsi="Calibri" w:cs="Calibri"/>
                <w:b/>
                <w:bCs/>
                <w:color w:val="000000"/>
                <w:sz w:val="22"/>
                <w:szCs w:val="22"/>
              </w:rPr>
              <w:t>Mar-15</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r>
      <w:tr w:rsidR="002F75F6" w:rsidRPr="00DC50A1" w:rsidTr="002F75F6">
        <w:trPr>
          <w:trHeight w:val="315"/>
        </w:trPr>
        <w:tc>
          <w:tcPr>
            <w:tcW w:w="402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2F75F6" w:rsidRPr="00DC50A1" w:rsidRDefault="002F75F6" w:rsidP="00DC50A1">
            <w:pPr>
              <w:jc w:val="center"/>
              <w:rPr>
                <w:rFonts w:ascii="Calibri" w:hAnsi="Calibri" w:cs="Calibri"/>
                <w:b/>
                <w:bCs/>
                <w:color w:val="000000"/>
                <w:sz w:val="22"/>
                <w:szCs w:val="22"/>
              </w:rPr>
            </w:pPr>
            <w:r w:rsidRPr="00DC50A1">
              <w:rPr>
                <w:rFonts w:ascii="Calibri" w:hAnsi="Calibri" w:cs="Calibri"/>
                <w:b/>
                <w:bCs/>
                <w:color w:val="000000"/>
                <w:sz w:val="22"/>
                <w:szCs w:val="22"/>
              </w:rPr>
              <w:t>£k</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2F75F6" w:rsidRPr="00DC50A1" w:rsidRDefault="002F75F6" w:rsidP="00DC50A1">
            <w:pPr>
              <w:jc w:val="center"/>
              <w:rPr>
                <w:rFonts w:ascii="Calibri" w:hAnsi="Calibri" w:cs="Calibri"/>
                <w:b/>
                <w:bCs/>
                <w:color w:val="000000"/>
                <w:sz w:val="22"/>
                <w:szCs w:val="22"/>
              </w:rPr>
            </w:pPr>
            <w:r w:rsidRPr="00DC50A1">
              <w:rPr>
                <w:rFonts w:ascii="Calibri" w:hAnsi="Calibri" w:cs="Calibri"/>
                <w:b/>
                <w:bCs/>
                <w:color w:val="000000"/>
                <w:sz w:val="22"/>
                <w:szCs w:val="22"/>
              </w:rPr>
              <w:t>£k</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jc w:val="center"/>
              <w:rPr>
                <w:rFonts w:ascii="Calibri" w:hAnsi="Calibri" w:cs="Calibri"/>
                <w:b/>
                <w:bCs/>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2F75F6" w:rsidRPr="00DC50A1" w:rsidRDefault="002F75F6" w:rsidP="00DC50A1">
            <w:pPr>
              <w:jc w:val="center"/>
              <w:rPr>
                <w:rFonts w:ascii="Calibri" w:hAnsi="Calibri" w:cs="Calibri"/>
                <w:b/>
                <w:bCs/>
                <w:color w:val="000000"/>
                <w:sz w:val="22"/>
                <w:szCs w:val="22"/>
              </w:rPr>
            </w:pPr>
            <w:r w:rsidRPr="00DC50A1">
              <w:rPr>
                <w:rFonts w:ascii="Calibri" w:hAnsi="Calibri" w:cs="Calibri"/>
                <w:b/>
                <w:bCs/>
                <w:color w:val="000000"/>
                <w:sz w:val="22"/>
                <w:szCs w:val="22"/>
              </w:rPr>
              <w:t>£k</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r>
      <w:tr w:rsidR="002F75F6" w:rsidRPr="00DC50A1" w:rsidTr="002F75F6">
        <w:trPr>
          <w:trHeight w:val="300"/>
        </w:trPr>
        <w:tc>
          <w:tcPr>
            <w:tcW w:w="4020" w:type="dxa"/>
            <w:tcBorders>
              <w:top w:val="nil"/>
              <w:left w:val="nil"/>
              <w:bottom w:val="nil"/>
              <w:right w:val="nil"/>
            </w:tcBorders>
            <w:shd w:val="clear" w:color="auto" w:fill="auto"/>
            <w:noWrap/>
            <w:vAlign w:val="center"/>
            <w:hideMark/>
          </w:tcPr>
          <w:p w:rsidR="002F75F6" w:rsidRPr="00DC50A1" w:rsidRDefault="002F75F6" w:rsidP="00DC50A1">
            <w:pPr>
              <w:rPr>
                <w:rFonts w:ascii="Calibri" w:hAnsi="Calibri" w:cs="Calibri"/>
                <w:b/>
                <w:bCs/>
                <w:color w:val="000000"/>
                <w:sz w:val="22"/>
                <w:szCs w:val="22"/>
                <w:u w:val="single"/>
              </w:rPr>
            </w:pPr>
            <w:r w:rsidRPr="00DC50A1">
              <w:rPr>
                <w:rFonts w:ascii="Calibri" w:hAnsi="Calibri" w:cs="Calibri"/>
                <w:b/>
                <w:bCs/>
                <w:color w:val="000000"/>
                <w:sz w:val="22"/>
                <w:szCs w:val="22"/>
                <w:u w:val="single"/>
              </w:rPr>
              <w:t>Fixed assets</w:t>
            </w: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2F75F6" w:rsidP="00DC50A1">
            <w:pPr>
              <w:jc w:val="right"/>
              <w:rPr>
                <w:rFonts w:ascii="Calibri" w:hAnsi="Calibri" w:cs="Calibri"/>
                <w:color w:val="000000"/>
                <w:sz w:val="22"/>
                <w:szCs w:val="22"/>
              </w:rPr>
            </w:pPr>
            <w:r w:rsidRPr="00DC50A1">
              <w:rPr>
                <w:rFonts w:ascii="Calibri" w:hAnsi="Calibri" w:cs="Calibri"/>
                <w:color w:val="000000"/>
                <w:sz w:val="22"/>
                <w:szCs w:val="22"/>
              </w:rPr>
              <w:t>711</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004C4F" w:rsidP="00C041A3">
            <w:pPr>
              <w:jc w:val="right"/>
              <w:rPr>
                <w:rFonts w:ascii="Calibri" w:hAnsi="Calibri" w:cs="Calibri"/>
                <w:color w:val="000000"/>
                <w:sz w:val="22"/>
                <w:szCs w:val="22"/>
              </w:rPr>
            </w:pPr>
            <w:r>
              <w:rPr>
                <w:rFonts w:ascii="Calibri" w:hAnsi="Calibri" w:cs="Calibri"/>
                <w:color w:val="000000"/>
                <w:sz w:val="22"/>
                <w:szCs w:val="22"/>
              </w:rPr>
              <w:t>923</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jc w:val="right"/>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Default="00004C4F">
            <w:pPr>
              <w:jc w:val="right"/>
              <w:rPr>
                <w:rFonts w:ascii="Calibri" w:hAnsi="Calibri" w:cs="Calibri"/>
                <w:color w:val="000000"/>
                <w:sz w:val="22"/>
                <w:szCs w:val="22"/>
              </w:rPr>
            </w:pPr>
            <w:r>
              <w:rPr>
                <w:rFonts w:ascii="Calibri" w:hAnsi="Calibri" w:cs="Calibri"/>
                <w:color w:val="000000"/>
                <w:sz w:val="22"/>
                <w:szCs w:val="22"/>
              </w:rPr>
              <w:t>892</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r>
      <w:tr w:rsidR="002F75F6" w:rsidRPr="00DC50A1" w:rsidTr="002F75F6">
        <w:trPr>
          <w:trHeight w:val="300"/>
        </w:trPr>
        <w:tc>
          <w:tcPr>
            <w:tcW w:w="402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2F75F6"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2F75F6" w:rsidP="00C041A3">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Default="002F75F6">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r>
      <w:tr w:rsidR="002F75F6" w:rsidRPr="00DC50A1" w:rsidTr="002F75F6">
        <w:trPr>
          <w:trHeight w:val="300"/>
        </w:trPr>
        <w:tc>
          <w:tcPr>
            <w:tcW w:w="4020" w:type="dxa"/>
            <w:tcBorders>
              <w:top w:val="nil"/>
              <w:left w:val="nil"/>
              <w:bottom w:val="nil"/>
              <w:right w:val="nil"/>
            </w:tcBorders>
            <w:shd w:val="clear" w:color="auto" w:fill="auto"/>
            <w:noWrap/>
            <w:vAlign w:val="center"/>
            <w:hideMark/>
          </w:tcPr>
          <w:p w:rsidR="002F75F6" w:rsidRPr="00DC50A1" w:rsidRDefault="002F75F6" w:rsidP="00DC50A1">
            <w:pPr>
              <w:rPr>
                <w:rFonts w:ascii="Arial" w:hAnsi="Arial" w:cs="Arial"/>
                <w:b/>
                <w:bCs/>
                <w:color w:val="000000"/>
                <w:sz w:val="20"/>
                <w:szCs w:val="20"/>
                <w:u w:val="single"/>
              </w:rPr>
            </w:pPr>
            <w:r w:rsidRPr="00DC50A1">
              <w:rPr>
                <w:rFonts w:ascii="Arial" w:hAnsi="Arial" w:cs="Arial"/>
                <w:b/>
                <w:bCs/>
                <w:color w:val="000000"/>
                <w:sz w:val="20"/>
                <w:szCs w:val="20"/>
                <w:u w:val="single"/>
              </w:rPr>
              <w:t>Current assets</w:t>
            </w: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2F75F6"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2F75F6" w:rsidP="00C041A3">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Default="002F75F6">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r>
      <w:tr w:rsidR="002F75F6" w:rsidRPr="00DC50A1" w:rsidTr="002F75F6">
        <w:trPr>
          <w:trHeight w:val="300"/>
        </w:trPr>
        <w:tc>
          <w:tcPr>
            <w:tcW w:w="4020" w:type="dxa"/>
            <w:tcBorders>
              <w:top w:val="nil"/>
              <w:left w:val="nil"/>
              <w:bottom w:val="nil"/>
              <w:right w:val="nil"/>
            </w:tcBorders>
            <w:shd w:val="clear" w:color="000000" w:fill="FFFFFF"/>
            <w:noWrap/>
            <w:vAlign w:val="center"/>
            <w:hideMark/>
          </w:tcPr>
          <w:p w:rsidR="002F75F6" w:rsidRPr="00DC50A1" w:rsidRDefault="002F75F6" w:rsidP="00DC50A1">
            <w:pPr>
              <w:rPr>
                <w:rFonts w:ascii="Arial" w:hAnsi="Arial" w:cs="Arial"/>
                <w:color w:val="000000"/>
                <w:sz w:val="20"/>
                <w:szCs w:val="20"/>
              </w:rPr>
            </w:pPr>
            <w:r w:rsidRPr="00DC50A1">
              <w:rPr>
                <w:rFonts w:ascii="Arial" w:hAnsi="Arial" w:cs="Arial"/>
                <w:color w:val="000000"/>
                <w:sz w:val="20"/>
                <w:szCs w:val="20"/>
              </w:rPr>
              <w:t>Trade and other receivables</w:t>
            </w: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2F75F6" w:rsidP="00DC50A1">
            <w:pPr>
              <w:jc w:val="right"/>
              <w:rPr>
                <w:rFonts w:ascii="Calibri" w:hAnsi="Calibri" w:cs="Calibri"/>
                <w:color w:val="000000"/>
                <w:sz w:val="22"/>
                <w:szCs w:val="22"/>
              </w:rPr>
            </w:pPr>
            <w:r w:rsidRPr="00DC50A1">
              <w:rPr>
                <w:rFonts w:ascii="Calibri" w:hAnsi="Calibri" w:cs="Calibri"/>
                <w:color w:val="000000"/>
                <w:sz w:val="22"/>
                <w:szCs w:val="22"/>
              </w:rPr>
              <w:t>183</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004C4F" w:rsidP="00C041A3">
            <w:pPr>
              <w:jc w:val="right"/>
              <w:rPr>
                <w:rFonts w:ascii="Calibri" w:hAnsi="Calibri" w:cs="Calibri"/>
                <w:color w:val="000000"/>
                <w:sz w:val="22"/>
                <w:szCs w:val="22"/>
              </w:rPr>
            </w:pPr>
            <w:r>
              <w:rPr>
                <w:rFonts w:ascii="Calibri" w:hAnsi="Calibri" w:cs="Calibri"/>
                <w:color w:val="000000"/>
                <w:sz w:val="22"/>
                <w:szCs w:val="22"/>
              </w:rPr>
              <w:t>158</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jc w:val="right"/>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Default="00004C4F">
            <w:pPr>
              <w:jc w:val="right"/>
              <w:rPr>
                <w:rFonts w:ascii="Calibri" w:hAnsi="Calibri" w:cs="Calibri"/>
                <w:color w:val="000000"/>
                <w:sz w:val="22"/>
                <w:szCs w:val="22"/>
              </w:rPr>
            </w:pPr>
            <w:r>
              <w:rPr>
                <w:rFonts w:ascii="Calibri" w:hAnsi="Calibri" w:cs="Calibri"/>
                <w:color w:val="000000"/>
                <w:sz w:val="22"/>
                <w:szCs w:val="22"/>
              </w:rPr>
              <w:t>203</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r>
      <w:tr w:rsidR="002F75F6" w:rsidRPr="00DC50A1" w:rsidTr="002F75F6">
        <w:trPr>
          <w:trHeight w:val="315"/>
        </w:trPr>
        <w:tc>
          <w:tcPr>
            <w:tcW w:w="4020" w:type="dxa"/>
            <w:tcBorders>
              <w:top w:val="nil"/>
              <w:left w:val="nil"/>
              <w:bottom w:val="nil"/>
              <w:right w:val="nil"/>
            </w:tcBorders>
            <w:shd w:val="clear" w:color="000000" w:fill="FFFFFF"/>
            <w:noWrap/>
            <w:vAlign w:val="center"/>
            <w:hideMark/>
          </w:tcPr>
          <w:p w:rsidR="002F75F6" w:rsidRPr="00DC50A1" w:rsidRDefault="002F75F6" w:rsidP="00DC50A1">
            <w:pPr>
              <w:rPr>
                <w:rFonts w:ascii="Arial" w:hAnsi="Arial" w:cs="Arial"/>
                <w:color w:val="000000"/>
                <w:sz w:val="20"/>
                <w:szCs w:val="20"/>
              </w:rPr>
            </w:pPr>
            <w:r w:rsidRPr="00DC50A1">
              <w:rPr>
                <w:rFonts w:ascii="Arial" w:hAnsi="Arial" w:cs="Arial"/>
                <w:color w:val="000000"/>
                <w:sz w:val="20"/>
                <w:szCs w:val="20"/>
              </w:rPr>
              <w:t>Cash and cash equivalents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75F6" w:rsidRPr="00DC50A1" w:rsidRDefault="002F75F6" w:rsidP="00DC50A1">
            <w:pPr>
              <w:jc w:val="right"/>
              <w:rPr>
                <w:rFonts w:ascii="Calibri" w:hAnsi="Calibri" w:cs="Calibri"/>
                <w:color w:val="000000"/>
                <w:sz w:val="22"/>
                <w:szCs w:val="22"/>
              </w:rPr>
            </w:pPr>
            <w:r w:rsidRPr="00DC50A1">
              <w:rPr>
                <w:rFonts w:ascii="Calibri" w:hAnsi="Calibri" w:cs="Calibri"/>
                <w:color w:val="000000"/>
                <w:sz w:val="22"/>
                <w:szCs w:val="22"/>
              </w:rPr>
              <w:t>3,819</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75F6" w:rsidRPr="00DC50A1" w:rsidRDefault="00004C4F" w:rsidP="00C041A3">
            <w:pPr>
              <w:jc w:val="right"/>
              <w:rPr>
                <w:rFonts w:ascii="Calibri" w:hAnsi="Calibri" w:cs="Calibri"/>
                <w:color w:val="000000"/>
                <w:sz w:val="22"/>
                <w:szCs w:val="22"/>
              </w:rPr>
            </w:pPr>
            <w:r>
              <w:rPr>
                <w:rFonts w:ascii="Calibri" w:hAnsi="Calibri" w:cs="Calibri"/>
                <w:color w:val="000000"/>
                <w:sz w:val="22"/>
                <w:szCs w:val="22"/>
              </w:rPr>
              <w:t>2,568</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jc w:val="right"/>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75F6" w:rsidRDefault="00004C4F">
            <w:pPr>
              <w:jc w:val="right"/>
              <w:rPr>
                <w:rFonts w:ascii="Calibri" w:hAnsi="Calibri" w:cs="Calibri"/>
                <w:color w:val="000000"/>
                <w:sz w:val="22"/>
                <w:szCs w:val="22"/>
              </w:rPr>
            </w:pPr>
            <w:r>
              <w:rPr>
                <w:rFonts w:ascii="Calibri" w:hAnsi="Calibri" w:cs="Calibri"/>
                <w:color w:val="000000"/>
                <w:sz w:val="22"/>
                <w:szCs w:val="22"/>
              </w:rPr>
              <w:t>3,741</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r>
      <w:tr w:rsidR="002F75F6" w:rsidRPr="00DC50A1" w:rsidTr="002F75F6">
        <w:trPr>
          <w:trHeight w:val="315"/>
        </w:trPr>
        <w:tc>
          <w:tcPr>
            <w:tcW w:w="402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75F6" w:rsidRPr="00DC50A1" w:rsidRDefault="002F75F6" w:rsidP="00DC50A1">
            <w:pPr>
              <w:jc w:val="right"/>
              <w:rPr>
                <w:rFonts w:ascii="Calibri" w:hAnsi="Calibri" w:cs="Calibri"/>
                <w:b/>
                <w:bCs/>
                <w:color w:val="000000"/>
                <w:sz w:val="22"/>
                <w:szCs w:val="22"/>
              </w:rPr>
            </w:pPr>
            <w:r w:rsidRPr="00DC50A1">
              <w:rPr>
                <w:rFonts w:ascii="Calibri" w:hAnsi="Calibri" w:cs="Calibri"/>
                <w:b/>
                <w:bCs/>
                <w:color w:val="000000"/>
                <w:sz w:val="22"/>
                <w:szCs w:val="22"/>
              </w:rPr>
              <w:t>4,002</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75F6" w:rsidRPr="00DC50A1" w:rsidRDefault="00004C4F" w:rsidP="00C041A3">
            <w:pPr>
              <w:jc w:val="right"/>
              <w:rPr>
                <w:rFonts w:ascii="Calibri" w:hAnsi="Calibri" w:cs="Calibri"/>
                <w:b/>
                <w:bCs/>
                <w:color w:val="000000"/>
                <w:sz w:val="22"/>
                <w:szCs w:val="22"/>
              </w:rPr>
            </w:pPr>
            <w:r>
              <w:rPr>
                <w:rFonts w:ascii="Calibri" w:hAnsi="Calibri" w:cs="Calibri"/>
                <w:b/>
                <w:bCs/>
                <w:color w:val="000000"/>
                <w:sz w:val="22"/>
                <w:szCs w:val="22"/>
              </w:rPr>
              <w:t>2,726</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jc w:val="right"/>
              <w:rPr>
                <w:rFonts w:ascii="Calibri" w:hAnsi="Calibri" w:cs="Calibri"/>
                <w:b/>
                <w:bCs/>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75F6" w:rsidRDefault="00004C4F">
            <w:pPr>
              <w:jc w:val="right"/>
              <w:rPr>
                <w:rFonts w:ascii="Calibri" w:hAnsi="Calibri" w:cs="Calibri"/>
                <w:b/>
                <w:bCs/>
                <w:color w:val="000000"/>
                <w:sz w:val="22"/>
                <w:szCs w:val="22"/>
              </w:rPr>
            </w:pPr>
            <w:r>
              <w:rPr>
                <w:rFonts w:ascii="Calibri" w:hAnsi="Calibri" w:cs="Calibri"/>
                <w:b/>
                <w:bCs/>
                <w:color w:val="000000"/>
                <w:sz w:val="22"/>
                <w:szCs w:val="22"/>
              </w:rPr>
              <w:t>3,944</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r>
      <w:tr w:rsidR="002F75F6" w:rsidRPr="00DC50A1" w:rsidTr="002F75F6">
        <w:trPr>
          <w:trHeight w:val="300"/>
        </w:trPr>
        <w:tc>
          <w:tcPr>
            <w:tcW w:w="4020" w:type="dxa"/>
            <w:tcBorders>
              <w:top w:val="nil"/>
              <w:left w:val="nil"/>
              <w:bottom w:val="nil"/>
              <w:right w:val="nil"/>
            </w:tcBorders>
            <w:shd w:val="clear" w:color="auto" w:fill="auto"/>
            <w:noWrap/>
            <w:vAlign w:val="center"/>
            <w:hideMark/>
          </w:tcPr>
          <w:p w:rsidR="002F75F6" w:rsidRPr="00DC50A1" w:rsidRDefault="002F75F6" w:rsidP="00DC50A1">
            <w:pPr>
              <w:rPr>
                <w:rFonts w:ascii="Arial" w:hAnsi="Arial" w:cs="Arial"/>
                <w:b/>
                <w:bCs/>
                <w:color w:val="000000"/>
                <w:sz w:val="20"/>
                <w:szCs w:val="20"/>
              </w:rPr>
            </w:pPr>
            <w:r w:rsidRPr="00DC50A1">
              <w:rPr>
                <w:rFonts w:ascii="Arial" w:hAnsi="Arial" w:cs="Arial"/>
                <w:b/>
                <w:bCs/>
                <w:color w:val="000000"/>
                <w:sz w:val="20"/>
                <w:szCs w:val="20"/>
              </w:rPr>
              <w:t>Less</w:t>
            </w: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2F75F6"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2F75F6" w:rsidP="00C041A3">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Default="002F75F6">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r>
      <w:tr w:rsidR="002F75F6" w:rsidRPr="00DC50A1" w:rsidTr="002F75F6">
        <w:trPr>
          <w:trHeight w:val="300"/>
        </w:trPr>
        <w:tc>
          <w:tcPr>
            <w:tcW w:w="402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2F75F6"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2F75F6" w:rsidP="00C041A3">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Default="002F75F6">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r>
      <w:tr w:rsidR="002F75F6" w:rsidRPr="00DC50A1" w:rsidTr="002F75F6">
        <w:trPr>
          <w:trHeight w:val="300"/>
        </w:trPr>
        <w:tc>
          <w:tcPr>
            <w:tcW w:w="4020" w:type="dxa"/>
            <w:tcBorders>
              <w:top w:val="nil"/>
              <w:left w:val="nil"/>
              <w:bottom w:val="nil"/>
              <w:right w:val="nil"/>
            </w:tcBorders>
            <w:shd w:val="clear" w:color="000000" w:fill="FFFFFF"/>
            <w:noWrap/>
            <w:vAlign w:val="center"/>
            <w:hideMark/>
          </w:tcPr>
          <w:p w:rsidR="002F75F6" w:rsidRPr="00DC50A1" w:rsidRDefault="002F75F6" w:rsidP="00DC50A1">
            <w:pPr>
              <w:rPr>
                <w:rFonts w:ascii="Arial" w:hAnsi="Arial" w:cs="Arial"/>
                <w:b/>
                <w:bCs/>
                <w:color w:val="000000"/>
                <w:sz w:val="20"/>
                <w:szCs w:val="20"/>
                <w:u w:val="single"/>
              </w:rPr>
            </w:pPr>
            <w:r w:rsidRPr="00DC50A1">
              <w:rPr>
                <w:rFonts w:ascii="Arial" w:hAnsi="Arial" w:cs="Arial"/>
                <w:b/>
                <w:bCs/>
                <w:color w:val="000000"/>
                <w:sz w:val="20"/>
                <w:szCs w:val="20"/>
                <w:u w:val="single"/>
              </w:rPr>
              <w:t>Current Liabilities</w:t>
            </w: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2F75F6"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2F75F6" w:rsidP="00C041A3">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Default="002F75F6">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r>
      <w:tr w:rsidR="002F75F6" w:rsidRPr="00DC50A1" w:rsidTr="002F75F6">
        <w:trPr>
          <w:trHeight w:val="300"/>
        </w:trPr>
        <w:tc>
          <w:tcPr>
            <w:tcW w:w="4020" w:type="dxa"/>
            <w:tcBorders>
              <w:top w:val="nil"/>
              <w:left w:val="nil"/>
              <w:bottom w:val="nil"/>
              <w:right w:val="nil"/>
            </w:tcBorders>
            <w:shd w:val="clear" w:color="000000" w:fill="FFFFFF"/>
            <w:noWrap/>
            <w:vAlign w:val="center"/>
            <w:hideMark/>
          </w:tcPr>
          <w:p w:rsidR="002F75F6" w:rsidRPr="00DC50A1" w:rsidRDefault="002F75F6" w:rsidP="00DC50A1">
            <w:pPr>
              <w:rPr>
                <w:rFonts w:ascii="Arial" w:hAnsi="Arial" w:cs="Arial"/>
                <w:color w:val="000000"/>
                <w:sz w:val="20"/>
                <w:szCs w:val="20"/>
              </w:rPr>
            </w:pPr>
            <w:r w:rsidRPr="00DC50A1">
              <w:rPr>
                <w:rFonts w:ascii="Arial" w:hAnsi="Arial" w:cs="Arial"/>
                <w:color w:val="000000"/>
                <w:sz w:val="20"/>
                <w:szCs w:val="20"/>
              </w:rPr>
              <w:t>Trade and other payables</w:t>
            </w: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2F75F6" w:rsidP="00DC50A1">
            <w:pPr>
              <w:jc w:val="right"/>
              <w:rPr>
                <w:rFonts w:ascii="Calibri" w:hAnsi="Calibri" w:cs="Calibri"/>
                <w:color w:val="000000"/>
                <w:sz w:val="22"/>
                <w:szCs w:val="22"/>
              </w:rPr>
            </w:pPr>
            <w:r w:rsidRPr="00DC50A1">
              <w:rPr>
                <w:rFonts w:ascii="Calibri" w:hAnsi="Calibri" w:cs="Calibri"/>
                <w:color w:val="000000"/>
                <w:sz w:val="22"/>
                <w:szCs w:val="22"/>
              </w:rPr>
              <w:t>1,289</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004C4F" w:rsidP="00C041A3">
            <w:pPr>
              <w:jc w:val="right"/>
              <w:rPr>
                <w:rFonts w:ascii="Calibri" w:hAnsi="Calibri" w:cs="Calibri"/>
                <w:color w:val="000000"/>
                <w:sz w:val="22"/>
                <w:szCs w:val="22"/>
              </w:rPr>
            </w:pPr>
            <w:r>
              <w:rPr>
                <w:rFonts w:ascii="Calibri" w:hAnsi="Calibri" w:cs="Calibri"/>
                <w:color w:val="000000"/>
                <w:sz w:val="22"/>
                <w:szCs w:val="22"/>
              </w:rPr>
              <w:t>1,396</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jc w:val="right"/>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Default="00004C4F">
            <w:pPr>
              <w:jc w:val="right"/>
              <w:rPr>
                <w:rFonts w:ascii="Calibri" w:hAnsi="Calibri" w:cs="Calibri"/>
                <w:color w:val="000000"/>
                <w:sz w:val="22"/>
                <w:szCs w:val="22"/>
              </w:rPr>
            </w:pPr>
            <w:r>
              <w:rPr>
                <w:rFonts w:ascii="Calibri" w:hAnsi="Calibri" w:cs="Calibri"/>
                <w:color w:val="000000"/>
                <w:sz w:val="22"/>
                <w:szCs w:val="22"/>
              </w:rPr>
              <w:t>1,370</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r>
      <w:tr w:rsidR="002F75F6" w:rsidRPr="00DC50A1" w:rsidTr="002F75F6">
        <w:trPr>
          <w:trHeight w:val="300"/>
        </w:trPr>
        <w:tc>
          <w:tcPr>
            <w:tcW w:w="4020" w:type="dxa"/>
            <w:tcBorders>
              <w:top w:val="nil"/>
              <w:left w:val="nil"/>
              <w:bottom w:val="nil"/>
              <w:right w:val="nil"/>
            </w:tcBorders>
            <w:shd w:val="clear" w:color="000000" w:fill="FFFFFF"/>
            <w:noWrap/>
            <w:vAlign w:val="center"/>
            <w:hideMark/>
          </w:tcPr>
          <w:p w:rsidR="002F75F6" w:rsidRPr="00DC50A1" w:rsidRDefault="002F75F6" w:rsidP="00DC50A1">
            <w:pPr>
              <w:rPr>
                <w:rFonts w:ascii="Arial" w:hAnsi="Arial" w:cs="Arial"/>
                <w:color w:val="000000"/>
                <w:sz w:val="20"/>
                <w:szCs w:val="20"/>
              </w:rPr>
            </w:pPr>
            <w:r w:rsidRPr="00DC50A1">
              <w:rPr>
                <w:rFonts w:ascii="Arial" w:hAnsi="Arial" w:cs="Arial"/>
                <w:color w:val="000000"/>
                <w:sz w:val="20"/>
                <w:szCs w:val="20"/>
              </w:rPr>
              <w:t>Provisions for liabilities and charges</w:t>
            </w: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2F75F6"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2F75F6" w:rsidP="00C041A3">
            <w:pPr>
              <w:rPr>
                <w:rFonts w:ascii="Calibri" w:hAnsi="Calibri" w:cs="Calibri"/>
                <w:color w:val="000000"/>
                <w:sz w:val="22"/>
                <w:szCs w:val="22"/>
              </w:rPr>
            </w:pPr>
            <w:r w:rsidRPr="00DC50A1">
              <w:rPr>
                <w:rFonts w:ascii="Calibri" w:hAnsi="Calibri" w:cs="Calibri"/>
                <w:color w:val="000000"/>
                <w:sz w:val="22"/>
                <w:szCs w:val="22"/>
              </w:rPr>
              <w:t xml:space="preserve">         </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Default="002F75F6">
            <w:pPr>
              <w:rPr>
                <w:rFonts w:ascii="Calibri" w:hAnsi="Calibri" w:cs="Calibri"/>
                <w:color w:val="000000"/>
                <w:sz w:val="22"/>
                <w:szCs w:val="22"/>
              </w:rPr>
            </w:pPr>
            <w:r>
              <w:rPr>
                <w:rFonts w:ascii="Calibri" w:hAnsi="Calibri" w:cs="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r>
      <w:tr w:rsidR="002F75F6" w:rsidRPr="00DC50A1" w:rsidTr="002F75F6">
        <w:trPr>
          <w:trHeight w:val="315"/>
        </w:trPr>
        <w:tc>
          <w:tcPr>
            <w:tcW w:w="4020" w:type="dxa"/>
            <w:tcBorders>
              <w:top w:val="nil"/>
              <w:left w:val="nil"/>
              <w:bottom w:val="nil"/>
              <w:right w:val="nil"/>
            </w:tcBorders>
            <w:shd w:val="clear" w:color="000000" w:fill="FFFFFF"/>
            <w:noWrap/>
            <w:vAlign w:val="center"/>
            <w:hideMark/>
          </w:tcPr>
          <w:p w:rsidR="002F75F6" w:rsidRPr="00DC50A1" w:rsidRDefault="002F75F6" w:rsidP="00DC50A1">
            <w:pPr>
              <w:rPr>
                <w:rFonts w:ascii="Arial" w:hAnsi="Arial" w:cs="Arial"/>
                <w:color w:val="000000"/>
                <w:sz w:val="20"/>
                <w:szCs w:val="20"/>
              </w:rPr>
            </w:pPr>
            <w:r w:rsidRPr="00DC50A1">
              <w:rPr>
                <w:rFonts w:ascii="Arial" w:hAnsi="Arial" w:cs="Arial"/>
                <w:color w:val="000000"/>
                <w:sz w:val="20"/>
                <w:szCs w:val="20"/>
              </w:rPr>
              <w:t>Other liabilities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75F6" w:rsidRPr="00DC50A1" w:rsidRDefault="002F75F6" w:rsidP="00DC50A1">
            <w:pPr>
              <w:jc w:val="right"/>
              <w:rPr>
                <w:rFonts w:ascii="Calibri" w:hAnsi="Calibri" w:cs="Calibri"/>
                <w:color w:val="000000"/>
                <w:sz w:val="22"/>
                <w:szCs w:val="22"/>
              </w:rPr>
            </w:pPr>
            <w:r w:rsidRPr="00DC50A1">
              <w:rPr>
                <w:rFonts w:ascii="Calibri" w:hAnsi="Calibri" w:cs="Calibri"/>
                <w:color w:val="000000"/>
                <w:sz w:val="22"/>
                <w:szCs w:val="22"/>
              </w:rPr>
              <w:t> 8</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75F6" w:rsidRPr="00DC50A1" w:rsidRDefault="002F75F6" w:rsidP="00C041A3">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75F6" w:rsidRDefault="002F75F6">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r>
      <w:tr w:rsidR="002F75F6" w:rsidRPr="00DC50A1" w:rsidTr="002F75F6">
        <w:trPr>
          <w:trHeight w:val="315"/>
        </w:trPr>
        <w:tc>
          <w:tcPr>
            <w:tcW w:w="402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75F6" w:rsidRPr="00DC50A1" w:rsidRDefault="002F75F6" w:rsidP="00DC50A1">
            <w:pPr>
              <w:jc w:val="right"/>
              <w:rPr>
                <w:rFonts w:ascii="Calibri" w:hAnsi="Calibri" w:cs="Calibri"/>
                <w:b/>
                <w:bCs/>
                <w:color w:val="000000"/>
                <w:sz w:val="22"/>
                <w:szCs w:val="22"/>
              </w:rPr>
            </w:pPr>
            <w:r w:rsidRPr="00DC50A1">
              <w:rPr>
                <w:rFonts w:ascii="Calibri" w:hAnsi="Calibri" w:cs="Calibri"/>
                <w:b/>
                <w:bCs/>
                <w:color w:val="000000"/>
                <w:sz w:val="22"/>
                <w:szCs w:val="22"/>
              </w:rPr>
              <w:t>1,297</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75F6" w:rsidRPr="00DC50A1" w:rsidRDefault="00004C4F" w:rsidP="00C041A3">
            <w:pPr>
              <w:jc w:val="right"/>
              <w:rPr>
                <w:rFonts w:ascii="Calibri" w:hAnsi="Calibri" w:cs="Calibri"/>
                <w:b/>
                <w:bCs/>
                <w:color w:val="000000"/>
                <w:sz w:val="22"/>
                <w:szCs w:val="22"/>
              </w:rPr>
            </w:pPr>
            <w:r>
              <w:rPr>
                <w:rFonts w:ascii="Calibri" w:hAnsi="Calibri" w:cs="Calibri"/>
                <w:b/>
                <w:bCs/>
                <w:color w:val="000000"/>
                <w:sz w:val="22"/>
                <w:szCs w:val="22"/>
              </w:rPr>
              <w:t>1,396</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jc w:val="right"/>
              <w:rPr>
                <w:rFonts w:ascii="Calibri" w:hAnsi="Calibri" w:cs="Calibri"/>
                <w:b/>
                <w:bCs/>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75F6" w:rsidRDefault="00004C4F">
            <w:pPr>
              <w:jc w:val="right"/>
              <w:rPr>
                <w:rFonts w:ascii="Calibri" w:hAnsi="Calibri" w:cs="Calibri"/>
                <w:b/>
                <w:bCs/>
                <w:color w:val="000000"/>
                <w:sz w:val="22"/>
                <w:szCs w:val="22"/>
              </w:rPr>
            </w:pPr>
            <w:r>
              <w:rPr>
                <w:rFonts w:ascii="Calibri" w:hAnsi="Calibri" w:cs="Calibri"/>
                <w:b/>
                <w:bCs/>
                <w:color w:val="000000"/>
                <w:sz w:val="22"/>
                <w:szCs w:val="22"/>
              </w:rPr>
              <w:t>1,370</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r>
      <w:tr w:rsidR="002F75F6" w:rsidRPr="00DC50A1" w:rsidTr="002F75F6">
        <w:trPr>
          <w:trHeight w:val="315"/>
        </w:trPr>
        <w:tc>
          <w:tcPr>
            <w:tcW w:w="402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75F6" w:rsidRPr="00DC50A1" w:rsidRDefault="002F75F6" w:rsidP="00DC50A1">
            <w:pPr>
              <w:rPr>
                <w:rFonts w:ascii="Calibri" w:hAnsi="Calibri" w:cs="Calibri"/>
                <w:b/>
                <w:bCs/>
                <w:color w:val="000000"/>
                <w:sz w:val="22"/>
                <w:szCs w:val="22"/>
              </w:rPr>
            </w:pPr>
            <w:r w:rsidRPr="00DC50A1">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75F6" w:rsidRPr="00DC50A1" w:rsidRDefault="002F75F6" w:rsidP="00C041A3">
            <w:pPr>
              <w:rPr>
                <w:rFonts w:ascii="Calibri" w:hAnsi="Calibri" w:cs="Calibri"/>
                <w:b/>
                <w:bCs/>
                <w:color w:val="000000"/>
                <w:sz w:val="22"/>
                <w:szCs w:val="22"/>
              </w:rPr>
            </w:pPr>
            <w:r w:rsidRPr="00DC50A1">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rPr>
                <w:rFonts w:ascii="Calibri" w:hAnsi="Calibri" w:cs="Calibri"/>
                <w:b/>
                <w:bCs/>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75F6" w:rsidRDefault="002F75F6">
            <w:pPr>
              <w:rPr>
                <w:rFonts w:ascii="Calibri" w:hAnsi="Calibri" w:cs="Calibri"/>
                <w:b/>
                <w:bCs/>
                <w:color w:val="000000"/>
                <w:sz w:val="22"/>
                <w:szCs w:val="22"/>
              </w:rPr>
            </w:pPr>
            <w:r>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r>
      <w:tr w:rsidR="002F75F6" w:rsidRPr="00DC50A1" w:rsidTr="002F75F6">
        <w:trPr>
          <w:trHeight w:val="315"/>
        </w:trPr>
        <w:tc>
          <w:tcPr>
            <w:tcW w:w="4020" w:type="dxa"/>
            <w:tcBorders>
              <w:top w:val="nil"/>
              <w:left w:val="nil"/>
              <w:bottom w:val="nil"/>
              <w:right w:val="nil"/>
            </w:tcBorders>
            <w:shd w:val="clear" w:color="auto" w:fill="auto"/>
            <w:noWrap/>
            <w:vAlign w:val="center"/>
            <w:hideMark/>
          </w:tcPr>
          <w:p w:rsidR="002F75F6" w:rsidRPr="00DC50A1" w:rsidRDefault="002F75F6" w:rsidP="00DC50A1">
            <w:pPr>
              <w:rPr>
                <w:rFonts w:ascii="Arial" w:hAnsi="Arial" w:cs="Arial"/>
                <w:b/>
                <w:bCs/>
                <w:color w:val="000000"/>
                <w:sz w:val="20"/>
                <w:szCs w:val="20"/>
              </w:rPr>
            </w:pPr>
            <w:r w:rsidRPr="00DC50A1">
              <w:rPr>
                <w:rFonts w:ascii="Arial" w:hAnsi="Arial" w:cs="Arial"/>
                <w:b/>
                <w:bCs/>
                <w:color w:val="000000"/>
                <w:sz w:val="20"/>
                <w:szCs w:val="20"/>
              </w:rPr>
              <w:t>Net Current Assets/(Liabilities)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75F6" w:rsidRPr="00DC50A1" w:rsidRDefault="002F75F6" w:rsidP="00DC50A1">
            <w:pPr>
              <w:jc w:val="right"/>
              <w:rPr>
                <w:rFonts w:ascii="Calibri" w:hAnsi="Calibri" w:cs="Calibri"/>
                <w:b/>
                <w:bCs/>
                <w:color w:val="000000"/>
                <w:sz w:val="22"/>
                <w:szCs w:val="22"/>
              </w:rPr>
            </w:pPr>
            <w:r w:rsidRPr="00DC50A1">
              <w:rPr>
                <w:rFonts w:ascii="Calibri" w:hAnsi="Calibri" w:cs="Calibri"/>
                <w:b/>
                <w:bCs/>
                <w:color w:val="000000"/>
                <w:sz w:val="22"/>
                <w:szCs w:val="22"/>
              </w:rPr>
              <w:t>2,705</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75F6" w:rsidRPr="00DC50A1" w:rsidRDefault="00004C4F" w:rsidP="00C041A3">
            <w:pPr>
              <w:jc w:val="right"/>
              <w:rPr>
                <w:rFonts w:ascii="Calibri" w:hAnsi="Calibri" w:cs="Calibri"/>
                <w:b/>
                <w:bCs/>
                <w:color w:val="000000"/>
                <w:sz w:val="22"/>
                <w:szCs w:val="22"/>
              </w:rPr>
            </w:pPr>
            <w:r>
              <w:rPr>
                <w:rFonts w:ascii="Calibri" w:hAnsi="Calibri" w:cs="Calibri"/>
                <w:b/>
                <w:bCs/>
                <w:color w:val="000000"/>
                <w:sz w:val="22"/>
                <w:szCs w:val="22"/>
              </w:rPr>
              <w:t>1,331</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jc w:val="right"/>
              <w:rPr>
                <w:rFonts w:ascii="Calibri" w:hAnsi="Calibri" w:cs="Calibri"/>
                <w:b/>
                <w:bCs/>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75F6" w:rsidRDefault="00004C4F">
            <w:pPr>
              <w:jc w:val="right"/>
              <w:rPr>
                <w:rFonts w:ascii="Calibri" w:hAnsi="Calibri" w:cs="Calibri"/>
                <w:b/>
                <w:bCs/>
                <w:color w:val="000000"/>
                <w:sz w:val="22"/>
                <w:szCs w:val="22"/>
              </w:rPr>
            </w:pPr>
            <w:r>
              <w:rPr>
                <w:rFonts w:ascii="Calibri" w:hAnsi="Calibri" w:cs="Calibri"/>
                <w:b/>
                <w:bCs/>
                <w:color w:val="000000"/>
                <w:sz w:val="22"/>
                <w:szCs w:val="22"/>
              </w:rPr>
              <w:t>2,574</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r>
      <w:tr w:rsidR="002F75F6" w:rsidRPr="00DC50A1" w:rsidTr="00D84750">
        <w:trPr>
          <w:trHeight w:val="315"/>
        </w:trPr>
        <w:tc>
          <w:tcPr>
            <w:tcW w:w="4020" w:type="dxa"/>
            <w:tcBorders>
              <w:top w:val="nil"/>
              <w:left w:val="nil"/>
              <w:bottom w:val="nil"/>
              <w:right w:val="nil"/>
            </w:tcBorders>
            <w:shd w:val="clear" w:color="auto" w:fill="auto"/>
            <w:noWrap/>
            <w:vAlign w:val="center"/>
            <w:hideMark/>
          </w:tcPr>
          <w:p w:rsidR="002F75F6" w:rsidRPr="00DC50A1" w:rsidRDefault="002F75F6" w:rsidP="00DC50A1">
            <w:pPr>
              <w:rPr>
                <w:rFonts w:ascii="Arial" w:hAnsi="Arial" w:cs="Arial"/>
                <w:color w:val="000000"/>
                <w:sz w:val="20"/>
                <w:szCs w:val="20"/>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75F6" w:rsidRPr="00DC50A1" w:rsidRDefault="002F75F6" w:rsidP="00DC50A1">
            <w:pPr>
              <w:jc w:val="right"/>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75F6" w:rsidRPr="00DC50A1" w:rsidRDefault="002F75F6" w:rsidP="00C041A3">
            <w:pPr>
              <w:jc w:val="right"/>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jc w:val="right"/>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75F6" w:rsidRDefault="002F75F6">
            <w:pPr>
              <w:jc w:val="right"/>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right w:val="nil"/>
            </w:tcBorders>
            <w:shd w:val="clear" w:color="auto" w:fill="auto"/>
            <w:noWrap/>
            <w:vAlign w:val="center"/>
            <w:hideMark/>
          </w:tcPr>
          <w:p w:rsidR="002F75F6" w:rsidRPr="00DC50A1" w:rsidRDefault="002F75F6" w:rsidP="00DC50A1">
            <w:pPr>
              <w:rPr>
                <w:rFonts w:ascii="Calibri" w:hAnsi="Calibri" w:cs="Calibri"/>
                <w:color w:val="000000"/>
                <w:sz w:val="22"/>
                <w:szCs w:val="22"/>
              </w:rPr>
            </w:pPr>
          </w:p>
        </w:tc>
      </w:tr>
      <w:tr w:rsidR="002F75F6" w:rsidRPr="00D84750" w:rsidTr="00D84750">
        <w:trPr>
          <w:trHeight w:val="300"/>
        </w:trPr>
        <w:tc>
          <w:tcPr>
            <w:tcW w:w="4020" w:type="dxa"/>
            <w:tcBorders>
              <w:top w:val="nil"/>
              <w:left w:val="nil"/>
              <w:bottom w:val="nil"/>
              <w:right w:val="nil"/>
            </w:tcBorders>
            <w:shd w:val="clear" w:color="auto" w:fill="auto"/>
            <w:noWrap/>
            <w:vAlign w:val="center"/>
            <w:hideMark/>
          </w:tcPr>
          <w:p w:rsidR="002F75F6" w:rsidRPr="00DC50A1" w:rsidRDefault="002F75F6" w:rsidP="00DC50A1">
            <w:pPr>
              <w:rPr>
                <w:rFonts w:ascii="Arial" w:hAnsi="Arial" w:cs="Arial"/>
                <w:color w:val="000000"/>
                <w:sz w:val="20"/>
                <w:szCs w:val="20"/>
              </w:rPr>
            </w:pPr>
          </w:p>
        </w:tc>
        <w:tc>
          <w:tcPr>
            <w:tcW w:w="960"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rsidR="002F75F6" w:rsidRPr="00DC50A1" w:rsidRDefault="002F75F6" w:rsidP="00DC50A1">
            <w:pPr>
              <w:jc w:val="right"/>
              <w:rPr>
                <w:rFonts w:ascii="Calibri" w:hAnsi="Calibri" w:cs="Calibri"/>
                <w:color w:val="000000"/>
                <w:sz w:val="22"/>
                <w:szCs w:val="22"/>
              </w:rPr>
            </w:pPr>
            <w:r w:rsidRPr="00DC50A1">
              <w:rPr>
                <w:rFonts w:ascii="Calibri" w:hAnsi="Calibri" w:cs="Calibri"/>
                <w:color w:val="000000"/>
                <w:sz w:val="22"/>
                <w:szCs w:val="22"/>
              </w:rPr>
              <w:t> </w:t>
            </w:r>
            <w:r w:rsidRPr="00DC50A1">
              <w:rPr>
                <w:rFonts w:ascii="Calibri" w:hAnsi="Calibri" w:cs="Calibri"/>
                <w:b/>
                <w:bCs/>
                <w:color w:val="000000"/>
                <w:sz w:val="22"/>
                <w:szCs w:val="22"/>
              </w:rPr>
              <w:t>3,416</w:t>
            </w:r>
          </w:p>
        </w:tc>
        <w:tc>
          <w:tcPr>
            <w:tcW w:w="960" w:type="dxa"/>
            <w:tcBorders>
              <w:top w:val="nil"/>
              <w:left w:val="nil"/>
              <w:bottom w:val="nil"/>
              <w:right w:val="single" w:sz="8" w:space="0" w:color="auto"/>
            </w:tcBorders>
            <w:shd w:val="clear" w:color="auto" w:fill="auto"/>
            <w:noWrap/>
            <w:vAlign w:val="bottom"/>
            <w:hideMark/>
          </w:tcPr>
          <w:p w:rsidR="002F75F6" w:rsidRPr="00DC50A1" w:rsidRDefault="002F75F6"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vMerge w:val="restart"/>
            <w:tcBorders>
              <w:top w:val="nil"/>
              <w:left w:val="nil"/>
              <w:right w:val="single" w:sz="8" w:space="0" w:color="auto"/>
            </w:tcBorders>
            <w:shd w:val="clear" w:color="000000" w:fill="E5B8B7"/>
            <w:noWrap/>
            <w:vAlign w:val="center"/>
            <w:hideMark/>
          </w:tcPr>
          <w:p w:rsidR="002F75F6" w:rsidRPr="00DC50A1" w:rsidRDefault="00004C4F" w:rsidP="00C041A3">
            <w:pPr>
              <w:jc w:val="center"/>
              <w:rPr>
                <w:rFonts w:ascii="Calibri" w:hAnsi="Calibri" w:cs="Calibri"/>
                <w:b/>
                <w:bCs/>
                <w:color w:val="000000"/>
                <w:sz w:val="22"/>
                <w:szCs w:val="22"/>
              </w:rPr>
            </w:pPr>
            <w:r>
              <w:rPr>
                <w:rFonts w:ascii="Calibri" w:hAnsi="Calibri" w:cs="Calibri"/>
                <w:b/>
                <w:bCs/>
                <w:color w:val="000000"/>
                <w:sz w:val="22"/>
                <w:szCs w:val="22"/>
              </w:rPr>
              <w:t>2,254</w:t>
            </w:r>
          </w:p>
        </w:tc>
        <w:tc>
          <w:tcPr>
            <w:tcW w:w="960" w:type="dxa"/>
            <w:tcBorders>
              <w:top w:val="nil"/>
              <w:left w:val="nil"/>
              <w:bottom w:val="nil"/>
              <w:right w:val="single" w:sz="8" w:space="0" w:color="auto"/>
            </w:tcBorders>
            <w:shd w:val="clear" w:color="auto" w:fill="auto"/>
            <w:noWrap/>
            <w:vAlign w:val="center"/>
            <w:hideMark/>
          </w:tcPr>
          <w:p w:rsidR="002F75F6" w:rsidRPr="00DC50A1" w:rsidRDefault="002F75F6" w:rsidP="00DC50A1">
            <w:pPr>
              <w:jc w:val="right"/>
              <w:rPr>
                <w:rFonts w:ascii="Calibri" w:hAnsi="Calibri" w:cs="Calibri"/>
                <w:b/>
                <w:bCs/>
                <w:color w:val="000000"/>
                <w:sz w:val="22"/>
                <w:szCs w:val="22"/>
              </w:rPr>
            </w:pPr>
            <w:r w:rsidRPr="00DC50A1">
              <w:rPr>
                <w:rFonts w:ascii="Calibri" w:hAnsi="Calibri" w:cs="Calibri"/>
                <w:b/>
                <w:bCs/>
                <w:color w:val="000000"/>
                <w:sz w:val="22"/>
                <w:szCs w:val="22"/>
              </w:rPr>
              <w:t> </w:t>
            </w:r>
          </w:p>
        </w:tc>
        <w:tc>
          <w:tcPr>
            <w:tcW w:w="960" w:type="dxa"/>
            <w:vMerge w:val="restart"/>
            <w:tcBorders>
              <w:top w:val="nil"/>
              <w:left w:val="nil"/>
              <w:right w:val="single" w:sz="4" w:space="0" w:color="auto"/>
            </w:tcBorders>
            <w:shd w:val="clear" w:color="000000" w:fill="E5B8B7"/>
            <w:noWrap/>
            <w:vAlign w:val="center"/>
            <w:hideMark/>
          </w:tcPr>
          <w:p w:rsidR="002F75F6" w:rsidRDefault="00004C4F">
            <w:pPr>
              <w:jc w:val="right"/>
              <w:rPr>
                <w:rFonts w:ascii="Calibri" w:hAnsi="Calibri" w:cs="Calibri"/>
                <w:b/>
                <w:bCs/>
                <w:color w:val="000000"/>
                <w:sz w:val="22"/>
                <w:szCs w:val="22"/>
              </w:rPr>
            </w:pPr>
            <w:r>
              <w:rPr>
                <w:rFonts w:ascii="Calibri" w:hAnsi="Calibri" w:cs="Calibri"/>
                <w:b/>
                <w:bCs/>
                <w:color w:val="000000"/>
                <w:sz w:val="22"/>
                <w:szCs w:val="22"/>
              </w:rPr>
              <w:t>3,466</w:t>
            </w:r>
          </w:p>
        </w:tc>
        <w:tc>
          <w:tcPr>
            <w:tcW w:w="960" w:type="dxa"/>
            <w:tcBorders>
              <w:top w:val="nil"/>
              <w:left w:val="single" w:sz="4" w:space="0" w:color="auto"/>
              <w:bottom w:val="nil"/>
            </w:tcBorders>
            <w:shd w:val="clear" w:color="auto" w:fill="auto"/>
            <w:noWrap/>
            <w:vAlign w:val="bottom"/>
            <w:hideMark/>
          </w:tcPr>
          <w:p w:rsidR="002F75F6" w:rsidRPr="00D84750" w:rsidRDefault="002F75F6" w:rsidP="00D84750">
            <w:r w:rsidRPr="00D84750">
              <w:t> </w:t>
            </w:r>
          </w:p>
        </w:tc>
      </w:tr>
      <w:tr w:rsidR="002F75F6" w:rsidRPr="00D84750" w:rsidTr="00D84750">
        <w:trPr>
          <w:trHeight w:val="315"/>
        </w:trPr>
        <w:tc>
          <w:tcPr>
            <w:tcW w:w="4020" w:type="dxa"/>
            <w:tcBorders>
              <w:top w:val="nil"/>
              <w:left w:val="nil"/>
              <w:bottom w:val="nil"/>
              <w:right w:val="nil"/>
            </w:tcBorders>
            <w:shd w:val="clear" w:color="auto" w:fill="auto"/>
            <w:noWrap/>
            <w:vAlign w:val="center"/>
            <w:hideMark/>
          </w:tcPr>
          <w:p w:rsidR="002F75F6" w:rsidRPr="00DC50A1" w:rsidRDefault="002F75F6" w:rsidP="00DC50A1">
            <w:pPr>
              <w:rPr>
                <w:rFonts w:ascii="Arial" w:hAnsi="Arial" w:cs="Arial"/>
                <w:b/>
                <w:bCs/>
                <w:color w:val="000000"/>
                <w:sz w:val="20"/>
                <w:szCs w:val="20"/>
              </w:rPr>
            </w:pPr>
            <w:r w:rsidRPr="00DC50A1">
              <w:rPr>
                <w:rFonts w:ascii="Arial" w:hAnsi="Arial" w:cs="Arial"/>
                <w:b/>
                <w:bCs/>
                <w:color w:val="000000"/>
                <w:sz w:val="20"/>
                <w:szCs w:val="20"/>
              </w:rPr>
              <w:t>Net Assets/(Liabilities)</w:t>
            </w:r>
          </w:p>
        </w:tc>
        <w:tc>
          <w:tcPr>
            <w:tcW w:w="960" w:type="dxa"/>
            <w:vMerge/>
            <w:tcBorders>
              <w:top w:val="nil"/>
              <w:left w:val="single" w:sz="8" w:space="0" w:color="auto"/>
              <w:bottom w:val="single" w:sz="8" w:space="0" w:color="000000"/>
              <w:right w:val="single" w:sz="8" w:space="0" w:color="auto"/>
            </w:tcBorders>
            <w:vAlign w:val="center"/>
            <w:hideMark/>
          </w:tcPr>
          <w:p w:rsidR="002F75F6" w:rsidRPr="00DC50A1" w:rsidRDefault="002F75F6" w:rsidP="00DC50A1">
            <w:pPr>
              <w:rPr>
                <w:rFonts w:ascii="Calibri" w:hAnsi="Calibri" w:cs="Calibri"/>
                <w:color w:val="000000"/>
                <w:sz w:val="22"/>
                <w:szCs w:val="22"/>
              </w:rPr>
            </w:pPr>
          </w:p>
        </w:tc>
        <w:tc>
          <w:tcPr>
            <w:tcW w:w="960" w:type="dxa"/>
            <w:tcBorders>
              <w:top w:val="nil"/>
              <w:left w:val="nil"/>
              <w:bottom w:val="nil"/>
              <w:right w:val="single" w:sz="8" w:space="0" w:color="auto"/>
            </w:tcBorders>
            <w:shd w:val="clear" w:color="auto" w:fill="auto"/>
            <w:noWrap/>
            <w:vAlign w:val="bottom"/>
            <w:hideMark/>
          </w:tcPr>
          <w:p w:rsidR="002F75F6" w:rsidRPr="00DC50A1" w:rsidRDefault="002F75F6"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vMerge/>
            <w:tcBorders>
              <w:left w:val="nil"/>
              <w:bottom w:val="single" w:sz="8" w:space="0" w:color="auto"/>
              <w:right w:val="single" w:sz="8" w:space="0" w:color="auto"/>
            </w:tcBorders>
            <w:shd w:val="clear" w:color="000000" w:fill="E5B8B7"/>
            <w:noWrap/>
            <w:vAlign w:val="center"/>
            <w:hideMark/>
          </w:tcPr>
          <w:p w:rsidR="002F75F6" w:rsidRPr="00DC50A1" w:rsidRDefault="002F75F6" w:rsidP="00DC50A1">
            <w:pPr>
              <w:jc w:val="center"/>
              <w:rPr>
                <w:rFonts w:ascii="Calibri" w:hAnsi="Calibri" w:cs="Calibri"/>
                <w:b/>
                <w:bCs/>
                <w:color w:val="000000"/>
                <w:sz w:val="22"/>
                <w:szCs w:val="22"/>
              </w:rPr>
            </w:pPr>
          </w:p>
        </w:tc>
        <w:tc>
          <w:tcPr>
            <w:tcW w:w="960" w:type="dxa"/>
            <w:tcBorders>
              <w:top w:val="nil"/>
              <w:left w:val="nil"/>
              <w:bottom w:val="nil"/>
              <w:right w:val="single" w:sz="8" w:space="0" w:color="auto"/>
            </w:tcBorders>
            <w:shd w:val="clear" w:color="auto" w:fill="auto"/>
            <w:noWrap/>
            <w:vAlign w:val="center"/>
            <w:hideMark/>
          </w:tcPr>
          <w:p w:rsidR="002F75F6" w:rsidRPr="00DC50A1" w:rsidRDefault="002F75F6" w:rsidP="00DC50A1">
            <w:pPr>
              <w:jc w:val="right"/>
              <w:rPr>
                <w:rFonts w:ascii="Calibri" w:hAnsi="Calibri" w:cs="Calibri"/>
                <w:b/>
                <w:bCs/>
                <w:color w:val="000000"/>
                <w:sz w:val="22"/>
                <w:szCs w:val="22"/>
              </w:rPr>
            </w:pPr>
            <w:r w:rsidRPr="00DC50A1">
              <w:rPr>
                <w:rFonts w:ascii="Calibri" w:hAnsi="Calibri" w:cs="Calibri"/>
                <w:b/>
                <w:bCs/>
                <w:color w:val="000000"/>
                <w:sz w:val="22"/>
                <w:szCs w:val="22"/>
              </w:rPr>
              <w:t> </w:t>
            </w:r>
          </w:p>
        </w:tc>
        <w:tc>
          <w:tcPr>
            <w:tcW w:w="960" w:type="dxa"/>
            <w:vMerge/>
            <w:tcBorders>
              <w:left w:val="nil"/>
              <w:bottom w:val="single" w:sz="8" w:space="0" w:color="auto"/>
              <w:right w:val="single" w:sz="4" w:space="0" w:color="auto"/>
            </w:tcBorders>
            <w:shd w:val="clear" w:color="000000" w:fill="E5B8B7"/>
            <w:noWrap/>
            <w:vAlign w:val="center"/>
            <w:hideMark/>
          </w:tcPr>
          <w:p w:rsidR="002F75F6" w:rsidRPr="00DC50A1" w:rsidRDefault="002F75F6" w:rsidP="00DC50A1">
            <w:pPr>
              <w:jc w:val="center"/>
              <w:rPr>
                <w:rFonts w:ascii="Calibri" w:hAnsi="Calibri" w:cs="Calibri"/>
                <w:b/>
                <w:bCs/>
                <w:color w:val="000000"/>
                <w:sz w:val="22"/>
                <w:szCs w:val="22"/>
              </w:rPr>
            </w:pPr>
          </w:p>
        </w:tc>
        <w:tc>
          <w:tcPr>
            <w:tcW w:w="960" w:type="dxa"/>
            <w:tcBorders>
              <w:top w:val="nil"/>
              <w:left w:val="single" w:sz="4" w:space="0" w:color="auto"/>
            </w:tcBorders>
            <w:shd w:val="clear" w:color="auto" w:fill="auto"/>
            <w:noWrap/>
            <w:vAlign w:val="bottom"/>
            <w:hideMark/>
          </w:tcPr>
          <w:p w:rsidR="002F75F6" w:rsidRPr="00D84750" w:rsidRDefault="002F75F6" w:rsidP="00D84750">
            <w:r w:rsidRPr="00D84750">
              <w:t> </w:t>
            </w:r>
          </w:p>
        </w:tc>
      </w:tr>
      <w:tr w:rsidR="002F75F6" w:rsidRPr="00DC50A1" w:rsidTr="00D84750">
        <w:trPr>
          <w:trHeight w:val="300"/>
        </w:trPr>
        <w:tc>
          <w:tcPr>
            <w:tcW w:w="4020" w:type="dxa"/>
            <w:tcBorders>
              <w:top w:val="nil"/>
              <w:left w:val="nil"/>
              <w:bottom w:val="nil"/>
              <w:right w:val="nil"/>
            </w:tcBorders>
            <w:shd w:val="clear" w:color="000000" w:fill="FFFFFF"/>
            <w:noWrap/>
            <w:vAlign w:val="center"/>
            <w:hideMark/>
          </w:tcPr>
          <w:p w:rsidR="002F75F6" w:rsidRPr="00DC50A1" w:rsidRDefault="002F75F6" w:rsidP="00DC50A1">
            <w:pPr>
              <w:rPr>
                <w:rFonts w:ascii="Arial" w:hAnsi="Arial" w:cs="Arial"/>
                <w:color w:val="000000"/>
                <w:sz w:val="20"/>
                <w:szCs w:val="20"/>
              </w:rPr>
            </w:pPr>
            <w:r w:rsidRPr="00DC50A1">
              <w:rPr>
                <w:rFonts w:ascii="Arial" w:hAnsi="Arial" w:cs="Arial"/>
                <w:color w:val="000000"/>
                <w:sz w:val="20"/>
                <w:szCs w:val="20"/>
              </w:rPr>
              <w:t> </w:t>
            </w: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2F75F6"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2F75F6" w:rsidP="00C041A3">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Default="002F75F6">
            <w:pPr>
              <w:rPr>
                <w:rFonts w:ascii="Calibri" w:hAnsi="Calibri" w:cs="Calibri"/>
                <w:color w:val="000000"/>
                <w:sz w:val="22"/>
                <w:szCs w:val="22"/>
              </w:rPr>
            </w:pPr>
            <w:r>
              <w:rPr>
                <w:rFonts w:ascii="Calibri" w:hAnsi="Calibri" w:cs="Calibri"/>
                <w:color w:val="000000"/>
                <w:sz w:val="22"/>
                <w:szCs w:val="22"/>
              </w:rPr>
              <w:t> </w:t>
            </w:r>
          </w:p>
        </w:tc>
        <w:tc>
          <w:tcPr>
            <w:tcW w:w="960" w:type="dxa"/>
            <w:tcBorders>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r>
      <w:tr w:rsidR="002F75F6" w:rsidRPr="00DC50A1" w:rsidTr="002F75F6">
        <w:trPr>
          <w:trHeight w:val="300"/>
        </w:trPr>
        <w:tc>
          <w:tcPr>
            <w:tcW w:w="4020" w:type="dxa"/>
            <w:tcBorders>
              <w:top w:val="nil"/>
              <w:left w:val="nil"/>
              <w:bottom w:val="nil"/>
              <w:right w:val="nil"/>
            </w:tcBorders>
            <w:shd w:val="clear" w:color="000000" w:fill="FFFFFF"/>
            <w:noWrap/>
            <w:vAlign w:val="center"/>
            <w:hideMark/>
          </w:tcPr>
          <w:p w:rsidR="002F75F6" w:rsidRPr="00DC50A1" w:rsidRDefault="002F75F6" w:rsidP="00DC50A1">
            <w:pPr>
              <w:rPr>
                <w:rFonts w:ascii="Arial" w:hAnsi="Arial" w:cs="Arial"/>
                <w:b/>
                <w:bCs/>
                <w:color w:val="000000"/>
                <w:sz w:val="20"/>
                <w:szCs w:val="20"/>
              </w:rPr>
            </w:pPr>
            <w:r w:rsidRPr="00DC50A1">
              <w:rPr>
                <w:rFonts w:ascii="Arial" w:hAnsi="Arial" w:cs="Arial"/>
                <w:b/>
                <w:bCs/>
                <w:color w:val="000000"/>
                <w:sz w:val="20"/>
                <w:szCs w:val="20"/>
              </w:rPr>
              <w:t xml:space="preserve">Represented by:- </w:t>
            </w: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2F75F6"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2F75F6" w:rsidP="00C041A3">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Default="002F75F6">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r>
      <w:tr w:rsidR="002F75F6" w:rsidRPr="00DC50A1" w:rsidTr="002F75F6">
        <w:trPr>
          <w:trHeight w:val="300"/>
        </w:trPr>
        <w:tc>
          <w:tcPr>
            <w:tcW w:w="4020" w:type="dxa"/>
            <w:tcBorders>
              <w:top w:val="nil"/>
              <w:left w:val="nil"/>
              <w:bottom w:val="nil"/>
              <w:right w:val="nil"/>
            </w:tcBorders>
            <w:shd w:val="clear" w:color="000000" w:fill="FFFFFF"/>
            <w:noWrap/>
            <w:vAlign w:val="center"/>
            <w:hideMark/>
          </w:tcPr>
          <w:p w:rsidR="002F75F6" w:rsidRPr="00DC50A1" w:rsidRDefault="002F75F6" w:rsidP="00DC50A1">
            <w:pPr>
              <w:rPr>
                <w:rFonts w:ascii="Arial" w:hAnsi="Arial" w:cs="Arial"/>
                <w:b/>
                <w:bCs/>
                <w:color w:val="000000"/>
                <w:sz w:val="20"/>
                <w:szCs w:val="20"/>
              </w:rPr>
            </w:pPr>
            <w:r w:rsidRPr="00DC50A1">
              <w:rPr>
                <w:rFonts w:ascii="Arial" w:hAnsi="Arial" w:cs="Arial"/>
                <w:b/>
                <w:bCs/>
                <w:color w:val="000000"/>
                <w:sz w:val="20"/>
                <w:szCs w:val="20"/>
              </w:rPr>
              <w:t>Tax payers Equity</w:t>
            </w: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2F75F6"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2F75F6" w:rsidP="00C041A3">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Default="002F75F6">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r>
      <w:tr w:rsidR="002F75F6" w:rsidRPr="00DC50A1" w:rsidTr="002F75F6">
        <w:trPr>
          <w:trHeight w:val="300"/>
        </w:trPr>
        <w:tc>
          <w:tcPr>
            <w:tcW w:w="4020" w:type="dxa"/>
            <w:tcBorders>
              <w:top w:val="nil"/>
              <w:left w:val="nil"/>
              <w:bottom w:val="nil"/>
              <w:right w:val="nil"/>
            </w:tcBorders>
            <w:shd w:val="clear" w:color="000000" w:fill="FFFFFF"/>
            <w:noWrap/>
            <w:vAlign w:val="center"/>
            <w:hideMark/>
          </w:tcPr>
          <w:p w:rsidR="002F75F6" w:rsidRPr="00DC50A1" w:rsidRDefault="002F75F6" w:rsidP="00DC50A1">
            <w:pPr>
              <w:rPr>
                <w:rFonts w:ascii="Arial" w:hAnsi="Arial" w:cs="Arial"/>
                <w:color w:val="000000"/>
                <w:sz w:val="20"/>
                <w:szCs w:val="20"/>
              </w:rPr>
            </w:pPr>
            <w:r w:rsidRPr="00DC50A1">
              <w:rPr>
                <w:rFonts w:ascii="Arial" w:hAnsi="Arial" w:cs="Arial"/>
                <w:color w:val="000000"/>
                <w:sz w:val="20"/>
                <w:szCs w:val="20"/>
              </w:rPr>
              <w:t>Department of Health Funding General Fund</w:t>
            </w: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2F75F6" w:rsidP="00DC50A1">
            <w:pPr>
              <w:jc w:val="right"/>
              <w:rPr>
                <w:rFonts w:ascii="Calibri" w:hAnsi="Calibri" w:cs="Calibri"/>
                <w:color w:val="000000"/>
                <w:sz w:val="22"/>
                <w:szCs w:val="22"/>
              </w:rPr>
            </w:pPr>
            <w:r w:rsidRPr="00DC50A1">
              <w:rPr>
                <w:rFonts w:ascii="Calibri" w:hAnsi="Calibri" w:cs="Calibri"/>
                <w:color w:val="000000"/>
                <w:sz w:val="22"/>
                <w:szCs w:val="22"/>
              </w:rPr>
              <w:t>3,416</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Pr="00DC50A1" w:rsidRDefault="00004C4F" w:rsidP="00C041A3">
            <w:pPr>
              <w:jc w:val="right"/>
              <w:rPr>
                <w:rFonts w:ascii="Calibri" w:hAnsi="Calibri" w:cs="Calibri"/>
                <w:color w:val="000000"/>
                <w:sz w:val="22"/>
                <w:szCs w:val="22"/>
              </w:rPr>
            </w:pPr>
            <w:r>
              <w:rPr>
                <w:rFonts w:ascii="Calibri" w:hAnsi="Calibri" w:cs="Calibri"/>
                <w:color w:val="000000"/>
                <w:sz w:val="22"/>
                <w:szCs w:val="22"/>
              </w:rPr>
              <w:t>2,254</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jc w:val="right"/>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2F75F6" w:rsidRDefault="00004C4F">
            <w:pPr>
              <w:jc w:val="right"/>
              <w:rPr>
                <w:rFonts w:ascii="Calibri" w:hAnsi="Calibri" w:cs="Calibri"/>
                <w:color w:val="000000"/>
                <w:sz w:val="22"/>
                <w:szCs w:val="22"/>
              </w:rPr>
            </w:pPr>
            <w:r>
              <w:rPr>
                <w:rFonts w:ascii="Calibri" w:hAnsi="Calibri" w:cs="Calibri"/>
                <w:color w:val="000000"/>
                <w:sz w:val="22"/>
                <w:szCs w:val="22"/>
              </w:rPr>
              <w:t>3,466</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r>
      <w:tr w:rsidR="002F75F6" w:rsidRPr="00DC50A1" w:rsidTr="002F75F6">
        <w:trPr>
          <w:trHeight w:val="315"/>
        </w:trPr>
        <w:tc>
          <w:tcPr>
            <w:tcW w:w="4020" w:type="dxa"/>
            <w:tcBorders>
              <w:top w:val="nil"/>
              <w:left w:val="nil"/>
              <w:bottom w:val="nil"/>
              <w:right w:val="nil"/>
            </w:tcBorders>
            <w:shd w:val="clear" w:color="000000" w:fill="FFFFFF"/>
            <w:noWrap/>
            <w:vAlign w:val="center"/>
            <w:hideMark/>
          </w:tcPr>
          <w:p w:rsidR="002F75F6" w:rsidRPr="00DC50A1" w:rsidRDefault="002F75F6" w:rsidP="00DC50A1">
            <w:pPr>
              <w:rPr>
                <w:rFonts w:ascii="Arial" w:hAnsi="Arial" w:cs="Arial"/>
                <w:color w:val="000000"/>
                <w:sz w:val="20"/>
                <w:szCs w:val="20"/>
              </w:rPr>
            </w:pPr>
            <w:r w:rsidRPr="00DC50A1">
              <w:rPr>
                <w:rFonts w:ascii="Arial" w:hAnsi="Arial" w:cs="Arial"/>
                <w:color w:val="000000"/>
                <w:sz w:val="20"/>
                <w:szCs w:val="20"/>
              </w:rPr>
              <w:t> </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75F6" w:rsidRPr="00DC50A1" w:rsidRDefault="002F75F6"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75F6" w:rsidRPr="00DC50A1" w:rsidRDefault="002F75F6" w:rsidP="00C041A3">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75F6" w:rsidRDefault="002F75F6">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r>
      <w:tr w:rsidR="002F75F6" w:rsidRPr="00DC50A1" w:rsidTr="002F75F6">
        <w:trPr>
          <w:trHeight w:val="315"/>
        </w:trPr>
        <w:tc>
          <w:tcPr>
            <w:tcW w:w="4020" w:type="dxa"/>
            <w:tcBorders>
              <w:top w:val="nil"/>
              <w:left w:val="nil"/>
              <w:bottom w:val="nil"/>
              <w:right w:val="nil"/>
            </w:tcBorders>
            <w:shd w:val="clear" w:color="auto" w:fill="auto"/>
            <w:noWrap/>
            <w:vAlign w:val="center"/>
            <w:hideMark/>
          </w:tcPr>
          <w:p w:rsidR="002F75F6" w:rsidRPr="00DC50A1" w:rsidRDefault="002F75F6" w:rsidP="00DC50A1">
            <w:pPr>
              <w:rPr>
                <w:rFonts w:ascii="Arial" w:hAnsi="Arial" w:cs="Arial"/>
                <w:b/>
                <w:bCs/>
                <w:color w:val="000000"/>
                <w:sz w:val="20"/>
                <w:szCs w:val="20"/>
              </w:rPr>
            </w:pPr>
            <w:r w:rsidRPr="00DC50A1">
              <w:rPr>
                <w:rFonts w:ascii="Arial" w:hAnsi="Arial" w:cs="Arial"/>
                <w:b/>
                <w:bCs/>
                <w:color w:val="000000"/>
                <w:sz w:val="20"/>
                <w:szCs w:val="20"/>
              </w:rPr>
              <w:t>Total Taxpayers' Equity</w:t>
            </w:r>
          </w:p>
        </w:tc>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2F75F6" w:rsidRPr="00DC50A1" w:rsidRDefault="002F75F6" w:rsidP="00DC50A1">
            <w:pPr>
              <w:jc w:val="right"/>
              <w:rPr>
                <w:rFonts w:ascii="Calibri" w:hAnsi="Calibri" w:cs="Calibri"/>
                <w:b/>
                <w:bCs/>
                <w:color w:val="000000"/>
                <w:sz w:val="22"/>
                <w:szCs w:val="22"/>
              </w:rPr>
            </w:pPr>
            <w:r w:rsidRPr="00DC50A1">
              <w:rPr>
                <w:rFonts w:ascii="Calibri" w:hAnsi="Calibri" w:cs="Calibri"/>
                <w:b/>
                <w:bCs/>
                <w:color w:val="000000"/>
                <w:sz w:val="22"/>
                <w:szCs w:val="22"/>
              </w:rPr>
              <w:t>3,416</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2F75F6" w:rsidRPr="00DC50A1" w:rsidRDefault="00004C4F" w:rsidP="00C041A3">
            <w:pPr>
              <w:jc w:val="right"/>
              <w:rPr>
                <w:rFonts w:ascii="Calibri" w:hAnsi="Calibri" w:cs="Calibri"/>
                <w:b/>
                <w:bCs/>
                <w:color w:val="000000"/>
                <w:sz w:val="22"/>
                <w:szCs w:val="22"/>
              </w:rPr>
            </w:pPr>
            <w:r>
              <w:rPr>
                <w:rFonts w:ascii="Calibri" w:hAnsi="Calibri" w:cs="Calibri"/>
                <w:b/>
                <w:bCs/>
                <w:color w:val="000000"/>
                <w:sz w:val="22"/>
                <w:szCs w:val="22"/>
              </w:rPr>
              <w:t>2,254</w:t>
            </w:r>
          </w:p>
        </w:tc>
        <w:tc>
          <w:tcPr>
            <w:tcW w:w="960" w:type="dxa"/>
            <w:tcBorders>
              <w:top w:val="nil"/>
              <w:left w:val="nil"/>
              <w:bottom w:val="nil"/>
              <w:right w:val="nil"/>
            </w:tcBorders>
            <w:shd w:val="clear" w:color="auto" w:fill="auto"/>
            <w:noWrap/>
            <w:vAlign w:val="center"/>
            <w:hideMark/>
          </w:tcPr>
          <w:p w:rsidR="002F75F6" w:rsidRPr="00DC50A1" w:rsidRDefault="002F75F6" w:rsidP="00DC50A1">
            <w:pPr>
              <w:jc w:val="right"/>
              <w:rPr>
                <w:rFonts w:ascii="Calibri" w:hAnsi="Calibri" w:cs="Calibri"/>
                <w:b/>
                <w:bCs/>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2F75F6" w:rsidRDefault="00004C4F">
            <w:pPr>
              <w:jc w:val="right"/>
              <w:rPr>
                <w:rFonts w:ascii="Calibri" w:hAnsi="Calibri" w:cs="Calibri"/>
                <w:b/>
                <w:bCs/>
                <w:color w:val="000000"/>
                <w:sz w:val="22"/>
                <w:szCs w:val="22"/>
              </w:rPr>
            </w:pPr>
            <w:r>
              <w:rPr>
                <w:rFonts w:ascii="Calibri" w:hAnsi="Calibri" w:cs="Calibri"/>
                <w:b/>
                <w:bCs/>
                <w:color w:val="000000"/>
                <w:sz w:val="22"/>
                <w:szCs w:val="22"/>
              </w:rPr>
              <w:t>3,466</w:t>
            </w:r>
          </w:p>
        </w:tc>
        <w:tc>
          <w:tcPr>
            <w:tcW w:w="960" w:type="dxa"/>
            <w:tcBorders>
              <w:top w:val="nil"/>
              <w:left w:val="nil"/>
              <w:bottom w:val="nil"/>
              <w:right w:val="nil"/>
            </w:tcBorders>
            <w:shd w:val="clear" w:color="auto" w:fill="auto"/>
            <w:noWrap/>
            <w:vAlign w:val="bottom"/>
            <w:hideMark/>
          </w:tcPr>
          <w:p w:rsidR="002F75F6" w:rsidRPr="00DC50A1" w:rsidRDefault="002F75F6" w:rsidP="00DC50A1">
            <w:pPr>
              <w:rPr>
                <w:rFonts w:ascii="Calibri" w:hAnsi="Calibri" w:cs="Calibri"/>
                <w:color w:val="000000"/>
                <w:sz w:val="22"/>
                <w:szCs w:val="22"/>
              </w:rPr>
            </w:pPr>
          </w:p>
        </w:tc>
      </w:tr>
    </w:tbl>
    <w:p w:rsidR="008E3EC7" w:rsidRDefault="008E3EC7" w:rsidP="00EF2180">
      <w:pPr>
        <w:spacing w:after="200" w:line="276" w:lineRule="auto"/>
        <w:rPr>
          <w:rFonts w:ascii="Arial" w:hAnsi="Arial" w:cs="Arial"/>
          <w:sz w:val="22"/>
          <w:szCs w:val="22"/>
        </w:rPr>
      </w:pPr>
    </w:p>
    <w:p w:rsidR="00C369E4" w:rsidRPr="00A422D8" w:rsidRDefault="00C369E4" w:rsidP="00C369E4">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A422D8">
        <w:rPr>
          <w:rFonts w:ascii="Arial" w:eastAsia="Calibri" w:hAnsi="Arial"/>
          <w:b/>
          <w:bCs/>
          <w:color w:val="56008C"/>
          <w:szCs w:val="26"/>
          <w:lang w:eastAsia="en-US"/>
        </w:rPr>
        <w:t xml:space="preserve">Cash Flow Forecast </w:t>
      </w:r>
      <w:r w:rsidR="00D84750">
        <w:rPr>
          <w:rFonts w:ascii="Arial" w:eastAsia="Calibri" w:hAnsi="Arial"/>
          <w:b/>
          <w:bCs/>
          <w:color w:val="56008C"/>
          <w:szCs w:val="26"/>
          <w:lang w:eastAsia="en-US"/>
        </w:rPr>
        <w:t xml:space="preserve">as at 31 March </w:t>
      </w:r>
      <w:r>
        <w:rPr>
          <w:rFonts w:ascii="Arial" w:eastAsia="Calibri" w:hAnsi="Arial"/>
          <w:b/>
          <w:bCs/>
          <w:color w:val="56008C"/>
          <w:szCs w:val="26"/>
          <w:lang w:eastAsia="en-US"/>
        </w:rPr>
        <w:t>for 2014/15</w:t>
      </w:r>
    </w:p>
    <w:p w:rsidR="00D814C2" w:rsidRDefault="00542880" w:rsidP="00C369E4">
      <w:pPr>
        <w:spacing w:after="200" w:line="276" w:lineRule="auto"/>
        <w:rPr>
          <w:rFonts w:ascii="Arial" w:hAnsi="Arial" w:cs="Arial"/>
          <w:sz w:val="22"/>
          <w:szCs w:val="22"/>
        </w:rPr>
      </w:pPr>
      <w:r>
        <w:rPr>
          <w:rFonts w:ascii="Arial" w:hAnsi="Arial" w:cs="Arial"/>
          <w:sz w:val="22"/>
          <w:szCs w:val="22"/>
        </w:rPr>
        <w:t>A</w:t>
      </w:r>
      <w:r w:rsidR="00D84750">
        <w:rPr>
          <w:rFonts w:ascii="Arial" w:hAnsi="Arial" w:cs="Arial"/>
          <w:sz w:val="22"/>
          <w:szCs w:val="22"/>
        </w:rPr>
        <w:t>ctuals for April to March</w:t>
      </w:r>
      <w:r w:rsidR="00A57A74">
        <w:rPr>
          <w:rFonts w:ascii="Arial" w:hAnsi="Arial" w:cs="Arial"/>
          <w:sz w:val="22"/>
          <w:szCs w:val="22"/>
        </w:rPr>
        <w:t xml:space="preserve"> 2015</w:t>
      </w:r>
    </w:p>
    <w:p w:rsidR="00C369E4" w:rsidRDefault="00D84750" w:rsidP="00C369E4">
      <w:pPr>
        <w:spacing w:after="200" w:line="276" w:lineRule="auto"/>
        <w:rPr>
          <w:rFonts w:ascii="Arial" w:hAnsi="Arial" w:cs="Arial"/>
          <w:sz w:val="22"/>
          <w:szCs w:val="22"/>
        </w:rPr>
      </w:pPr>
      <w:r w:rsidRPr="00D84750">
        <w:rPr>
          <w:noProof/>
        </w:rPr>
        <w:drawing>
          <wp:inline distT="0" distB="0" distL="0" distR="0" wp14:anchorId="56E9F6A1" wp14:editId="68A76A4F">
            <wp:extent cx="9786620" cy="3938078"/>
            <wp:effectExtent l="0" t="0" r="508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86620" cy="3938078"/>
                    </a:xfrm>
                    <a:prstGeom prst="rect">
                      <a:avLst/>
                    </a:prstGeom>
                    <a:noFill/>
                    <a:ln>
                      <a:noFill/>
                    </a:ln>
                  </pic:spPr>
                </pic:pic>
              </a:graphicData>
            </a:graphic>
          </wp:inline>
        </w:drawing>
      </w:r>
    </w:p>
    <w:p w:rsidR="00305DE9" w:rsidRPr="00C62D4B" w:rsidRDefault="00305DE9" w:rsidP="00305DE9">
      <w:pPr>
        <w:spacing w:after="200" w:line="276" w:lineRule="auto"/>
        <w:rPr>
          <w:rFonts w:ascii="Arial" w:hAnsi="Arial" w:cs="Arial"/>
          <w:sz w:val="16"/>
          <w:szCs w:val="16"/>
        </w:rPr>
      </w:pPr>
      <w:r w:rsidRPr="00C62D4B">
        <w:rPr>
          <w:rFonts w:ascii="Arial" w:hAnsi="Arial" w:cs="Arial"/>
          <w:sz w:val="16"/>
          <w:szCs w:val="16"/>
        </w:rPr>
        <w:t>Notes and Assumptions</w:t>
      </w:r>
    </w:p>
    <w:p w:rsidR="00A57A74" w:rsidRDefault="0099485D" w:rsidP="00A57A74">
      <w:pPr>
        <w:pStyle w:val="ListParagraph"/>
        <w:numPr>
          <w:ilvl w:val="0"/>
          <w:numId w:val="22"/>
        </w:numPr>
        <w:spacing w:after="200" w:line="276" w:lineRule="auto"/>
        <w:rPr>
          <w:rFonts w:ascii="Arial" w:hAnsi="Arial" w:cs="Arial"/>
          <w:sz w:val="16"/>
          <w:szCs w:val="16"/>
        </w:rPr>
      </w:pPr>
      <w:r w:rsidRPr="00C62D4B">
        <w:rPr>
          <w:rFonts w:ascii="Arial" w:hAnsi="Arial" w:cs="Arial"/>
          <w:sz w:val="16"/>
          <w:szCs w:val="16"/>
        </w:rPr>
        <w:t>April t</w:t>
      </w:r>
      <w:r w:rsidR="00A57A74">
        <w:rPr>
          <w:rFonts w:ascii="Arial" w:hAnsi="Arial" w:cs="Arial"/>
          <w:sz w:val="16"/>
          <w:szCs w:val="16"/>
        </w:rPr>
        <w:t xml:space="preserve">o </w:t>
      </w:r>
      <w:r w:rsidR="00D84750">
        <w:rPr>
          <w:rFonts w:ascii="Arial" w:hAnsi="Arial" w:cs="Arial"/>
          <w:sz w:val="16"/>
          <w:szCs w:val="16"/>
        </w:rPr>
        <w:t>March</w:t>
      </w:r>
      <w:r w:rsidR="00305DE9" w:rsidRPr="00C62D4B">
        <w:rPr>
          <w:rFonts w:ascii="Arial" w:hAnsi="Arial" w:cs="Arial"/>
          <w:sz w:val="16"/>
          <w:szCs w:val="16"/>
        </w:rPr>
        <w:t xml:space="preserve"> are cash actuals</w:t>
      </w:r>
    </w:p>
    <w:p w:rsidR="00305DE9" w:rsidRPr="00A57A74" w:rsidRDefault="00D84750" w:rsidP="00A57A74">
      <w:pPr>
        <w:pStyle w:val="ListParagraph"/>
        <w:numPr>
          <w:ilvl w:val="0"/>
          <w:numId w:val="22"/>
        </w:numPr>
        <w:spacing w:after="200" w:line="276" w:lineRule="auto"/>
        <w:rPr>
          <w:rFonts w:ascii="Arial" w:hAnsi="Arial" w:cs="Arial"/>
          <w:sz w:val="16"/>
          <w:szCs w:val="16"/>
        </w:rPr>
      </w:pPr>
      <w:r>
        <w:rPr>
          <w:rFonts w:ascii="Arial" w:hAnsi="Arial" w:cs="Arial"/>
          <w:color w:val="000000"/>
          <w:sz w:val="16"/>
          <w:szCs w:val="16"/>
        </w:rPr>
        <w:t>Includes</w:t>
      </w:r>
      <w:r w:rsidR="00305DE9" w:rsidRPr="00A57A74">
        <w:rPr>
          <w:rFonts w:ascii="Arial" w:hAnsi="Arial" w:cs="Arial"/>
          <w:color w:val="000000"/>
          <w:sz w:val="16"/>
          <w:szCs w:val="16"/>
        </w:rPr>
        <w:t xml:space="preserve"> </w:t>
      </w:r>
      <w:r>
        <w:rPr>
          <w:rFonts w:ascii="Arial" w:hAnsi="Arial" w:cs="Arial"/>
          <w:color w:val="000000"/>
          <w:sz w:val="16"/>
          <w:szCs w:val="16"/>
        </w:rPr>
        <w:t xml:space="preserve">the </w:t>
      </w:r>
      <w:r w:rsidR="00305DE9" w:rsidRPr="00A57A74">
        <w:rPr>
          <w:rFonts w:ascii="Arial" w:hAnsi="Arial" w:cs="Arial"/>
          <w:color w:val="000000"/>
          <w:sz w:val="16"/>
          <w:szCs w:val="16"/>
        </w:rPr>
        <w:t>return of cash of £1m relating to the 2012/13 underspend</w:t>
      </w:r>
      <w:r w:rsidR="0023394B" w:rsidRPr="00A57A74">
        <w:rPr>
          <w:rFonts w:ascii="Arial" w:hAnsi="Arial" w:cs="Arial"/>
          <w:color w:val="000000"/>
          <w:sz w:val="16"/>
          <w:szCs w:val="16"/>
        </w:rPr>
        <w:t>.</w:t>
      </w:r>
    </w:p>
    <w:p w:rsidR="00A57A74" w:rsidRPr="00A57A74" w:rsidRDefault="00D84750" w:rsidP="00A57A74">
      <w:pPr>
        <w:pStyle w:val="ListParagraph"/>
        <w:numPr>
          <w:ilvl w:val="0"/>
          <w:numId w:val="22"/>
        </w:numPr>
        <w:spacing w:after="200" w:line="276" w:lineRule="auto"/>
        <w:rPr>
          <w:rFonts w:ascii="Arial" w:hAnsi="Arial" w:cs="Arial"/>
          <w:sz w:val="16"/>
          <w:szCs w:val="16"/>
        </w:rPr>
      </w:pPr>
      <w:r>
        <w:rPr>
          <w:rFonts w:ascii="Arial" w:hAnsi="Arial" w:cs="Arial"/>
          <w:color w:val="000000"/>
          <w:sz w:val="16"/>
          <w:szCs w:val="16"/>
        </w:rPr>
        <w:t xml:space="preserve">Includes the </w:t>
      </w:r>
      <w:r w:rsidR="00A57A74">
        <w:rPr>
          <w:rFonts w:ascii="Arial" w:hAnsi="Arial" w:cs="Arial"/>
          <w:color w:val="000000"/>
          <w:sz w:val="16"/>
          <w:szCs w:val="16"/>
        </w:rPr>
        <w:t>return of cash of £2.6m relating to £1m relating to underspend in 2013/14 and £1.6m relating to underspend in 2014/15</w:t>
      </w:r>
    </w:p>
    <w:p w:rsidR="00305DE9" w:rsidRPr="00C62D4B" w:rsidRDefault="00305DE9" w:rsidP="00305DE9">
      <w:pPr>
        <w:pStyle w:val="ListParagraph"/>
        <w:numPr>
          <w:ilvl w:val="0"/>
          <w:numId w:val="22"/>
        </w:numPr>
        <w:spacing w:after="200" w:line="276" w:lineRule="auto"/>
        <w:rPr>
          <w:rFonts w:ascii="Arial" w:hAnsi="Arial" w:cs="Arial"/>
          <w:sz w:val="16"/>
          <w:szCs w:val="16"/>
        </w:rPr>
      </w:pPr>
      <w:r w:rsidRPr="00C62D4B">
        <w:rPr>
          <w:rFonts w:ascii="Arial" w:hAnsi="Arial" w:cs="Arial"/>
          <w:color w:val="000000"/>
          <w:sz w:val="16"/>
          <w:szCs w:val="16"/>
        </w:rPr>
        <w:t xml:space="preserve">Tax/NI and pensions for March 2015 </w:t>
      </w:r>
      <w:r w:rsidR="00D84750">
        <w:rPr>
          <w:rFonts w:ascii="Arial" w:hAnsi="Arial" w:cs="Arial"/>
          <w:color w:val="000000"/>
          <w:sz w:val="16"/>
          <w:szCs w:val="16"/>
        </w:rPr>
        <w:t>were paid in</w:t>
      </w:r>
      <w:r w:rsidRPr="00C62D4B">
        <w:rPr>
          <w:rFonts w:ascii="Arial" w:hAnsi="Arial" w:cs="Arial"/>
          <w:color w:val="000000"/>
          <w:sz w:val="16"/>
          <w:szCs w:val="16"/>
        </w:rPr>
        <w:t xml:space="preserve"> March 2015</w:t>
      </w:r>
    </w:p>
    <w:p w:rsidR="00B465A2" w:rsidRPr="00305DE9" w:rsidRDefault="0047213E" w:rsidP="00D84750">
      <w:pPr>
        <w:pStyle w:val="ListParagraph"/>
        <w:spacing w:after="200" w:line="276" w:lineRule="auto"/>
        <w:rPr>
          <w:rFonts w:ascii="Arial" w:hAnsi="Arial" w:cs="Arial"/>
          <w:sz w:val="18"/>
          <w:szCs w:val="18"/>
        </w:rPr>
      </w:pPr>
      <w:r w:rsidRPr="00305DE9">
        <w:rPr>
          <w:rFonts w:ascii="Arial" w:hAnsi="Arial" w:cs="Arial"/>
          <w:sz w:val="22"/>
          <w:szCs w:val="22"/>
        </w:rPr>
        <w:tab/>
      </w:r>
      <w:bookmarkEnd w:id="2"/>
      <w:r w:rsidR="002450FB">
        <w:rPr>
          <w:rFonts w:ascii="Arial" w:hAnsi="Arial" w:cs="Arial"/>
          <w:sz w:val="22"/>
          <w:szCs w:val="22"/>
        </w:rPr>
        <w:t xml:space="preserve"> </w:t>
      </w:r>
    </w:p>
    <w:sectPr w:rsidR="00B465A2" w:rsidRPr="00305DE9" w:rsidSect="00A86A0C">
      <w:pgSz w:w="16838" w:h="11906" w:orient="landscape"/>
      <w:pgMar w:top="900" w:right="706" w:bottom="99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D70" w:rsidRDefault="00262D70" w:rsidP="00412C00">
      <w:r>
        <w:separator/>
      </w:r>
    </w:p>
  </w:endnote>
  <w:endnote w:type="continuationSeparator" w:id="0">
    <w:p w:rsidR="00262D70" w:rsidRDefault="00262D70"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C5" w:rsidRPr="00AF00BB" w:rsidRDefault="00BE55C5" w:rsidP="00AF00BB">
    <w:pPr>
      <w:tabs>
        <w:tab w:val="center" w:pos="4513"/>
        <w:tab w:val="right" w:pos="9026"/>
      </w:tabs>
      <w:ind w:left="-142" w:firstLine="862"/>
      <w:rPr>
        <w:rFonts w:asciiTheme="minorHAnsi" w:eastAsiaTheme="minorHAnsi" w:hAnsiTheme="minorHAnsi" w:cstheme="minorHAnsi"/>
        <w:sz w:val="18"/>
        <w:szCs w:val="18"/>
        <w:lang w:eastAsia="en-US"/>
      </w:rPr>
    </w:pPr>
    <w:r w:rsidRPr="00C90060">
      <w:rPr>
        <w:rFonts w:asciiTheme="minorHAnsi" w:hAnsiTheme="minorHAnsi" w:cstheme="minorHAnsi"/>
        <w:noProof/>
        <w:sz w:val="18"/>
        <w:szCs w:val="18"/>
      </w:rPr>
      <mc:AlternateContent>
        <mc:Choice Requires="wps">
          <w:drawing>
            <wp:anchor distT="0" distB="0" distL="114300" distR="114300" simplePos="0" relativeHeight="251657728" behindDoc="0" locked="0" layoutInCell="1" allowOverlap="1" wp14:anchorId="29852F15" wp14:editId="756BF398">
              <wp:simplePos x="0" y="0"/>
              <wp:positionH relativeFrom="column">
                <wp:posOffset>462915</wp:posOffset>
              </wp:positionH>
              <wp:positionV relativeFrom="paragraph">
                <wp:posOffset>-137160</wp:posOffset>
              </wp:positionV>
              <wp:extent cx="56673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667375" cy="0"/>
                      </a:xfrm>
                      <a:prstGeom prst="line">
                        <a:avLst/>
                      </a:prstGeom>
                      <a:noFill/>
                      <a:ln w="254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10.8pt" to="482.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" strokecolor="#f79646" strokeweight="2pt"/>
          </w:pict>
        </mc:Fallback>
      </mc:AlternateContent>
    </w:r>
    <w:r w:rsidRPr="00C90060">
      <w:rPr>
        <w:rFonts w:asciiTheme="minorHAnsi" w:hAnsiTheme="minorHAnsi" w:cstheme="minorHAnsi"/>
        <w:noProof/>
        <w:sz w:val="18"/>
        <w:szCs w:val="18"/>
      </w:rPr>
      <w:drawing>
        <wp:anchor distT="0" distB="0" distL="114300" distR="114300" simplePos="0" relativeHeight="251656704" behindDoc="1" locked="0" layoutInCell="1" allowOverlap="1" wp14:anchorId="496D0C8C" wp14:editId="77873A23">
          <wp:simplePos x="0" y="0"/>
          <wp:positionH relativeFrom="column">
            <wp:posOffset>108585</wp:posOffset>
          </wp:positionH>
          <wp:positionV relativeFrom="paragraph">
            <wp:posOffset>-313690</wp:posOffset>
          </wp:positionV>
          <wp:extent cx="361950" cy="358775"/>
          <wp:effectExtent l="77787" t="74613" r="77788" b="77787"/>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AF00BB">
      <w:rPr>
        <w:rFonts w:asciiTheme="minorHAnsi" w:eastAsiaTheme="minorHAnsi" w:hAnsiTheme="minorHAnsi" w:cstheme="minorHAnsi"/>
        <w:sz w:val="18"/>
        <w:szCs w:val="18"/>
        <w:lang w:eastAsia="en-US"/>
      </w:rPr>
      <w:t>EMT Cover Sheet (October 2014)</w:t>
    </w:r>
  </w:p>
  <w:p w:rsidR="00BE55C5" w:rsidRDefault="00BE5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D70" w:rsidRDefault="00262D70" w:rsidP="00412C00">
      <w:r>
        <w:separator/>
      </w:r>
    </w:p>
  </w:footnote>
  <w:footnote w:type="continuationSeparator" w:id="0">
    <w:p w:rsidR="00262D70" w:rsidRDefault="00262D70"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890248"/>
      <w:docPartObj>
        <w:docPartGallery w:val="Watermarks"/>
        <w:docPartUnique/>
      </w:docPartObj>
    </w:sdtPr>
    <w:sdtEndPr/>
    <w:sdtContent>
      <w:p w:rsidR="00BE55C5" w:rsidRDefault="003643D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72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9">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1">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112D61"/>
    <w:multiLevelType w:val="hybridMultilevel"/>
    <w:tmpl w:val="7242AFAC"/>
    <w:lvl w:ilvl="0" w:tplc="4E06CC40">
      <w:start w:val="1"/>
      <w:numFmt w:val="lowerLetter"/>
      <w:lvlText w:val="%1."/>
      <w:lvlJc w:val="left"/>
      <w:pPr>
        <w:ind w:left="1080" w:hanging="720"/>
      </w:pPr>
      <w:rPr>
        <w:rFonts w:ascii="Arial" w:eastAsia="Times New Roman" w:hAnsi="Arial" w:cs="Arial"/>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8"/>
  </w:num>
  <w:num w:numId="4">
    <w:abstractNumId w:val="22"/>
  </w:num>
  <w:num w:numId="5">
    <w:abstractNumId w:val="14"/>
  </w:num>
  <w:num w:numId="6">
    <w:abstractNumId w:val="3"/>
  </w:num>
  <w:num w:numId="7">
    <w:abstractNumId w:val="4"/>
  </w:num>
  <w:num w:numId="8">
    <w:abstractNumId w:val="18"/>
  </w:num>
  <w:num w:numId="9">
    <w:abstractNumId w:val="11"/>
  </w:num>
  <w:num w:numId="10">
    <w:abstractNumId w:val="9"/>
  </w:num>
  <w:num w:numId="11">
    <w:abstractNumId w:val="7"/>
  </w:num>
  <w:num w:numId="12">
    <w:abstractNumId w:val="0"/>
  </w:num>
  <w:num w:numId="13">
    <w:abstractNumId w:val="5"/>
  </w:num>
  <w:num w:numId="14">
    <w:abstractNumId w:val="10"/>
  </w:num>
  <w:num w:numId="15">
    <w:abstractNumId w:val="2"/>
  </w:num>
  <w:num w:numId="16">
    <w:abstractNumId w:val="19"/>
  </w:num>
  <w:num w:numId="17">
    <w:abstractNumId w:val="21"/>
  </w:num>
  <w:num w:numId="18">
    <w:abstractNumId w:val="15"/>
  </w:num>
  <w:num w:numId="19">
    <w:abstractNumId w:val="12"/>
  </w:num>
  <w:num w:numId="20">
    <w:abstractNumId w:val="17"/>
  </w:num>
  <w:num w:numId="21">
    <w:abstractNumId w:val="16"/>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A45"/>
    <w:rsid w:val="00015D1D"/>
    <w:rsid w:val="00017760"/>
    <w:rsid w:val="000200FA"/>
    <w:rsid w:val="000217E9"/>
    <w:rsid w:val="00021ABB"/>
    <w:rsid w:val="00022301"/>
    <w:rsid w:val="0002376C"/>
    <w:rsid w:val="000239F7"/>
    <w:rsid w:val="00024BC8"/>
    <w:rsid w:val="000271F4"/>
    <w:rsid w:val="00030167"/>
    <w:rsid w:val="0003250E"/>
    <w:rsid w:val="00033BC9"/>
    <w:rsid w:val="00033FF1"/>
    <w:rsid w:val="00034A25"/>
    <w:rsid w:val="0003758C"/>
    <w:rsid w:val="00037838"/>
    <w:rsid w:val="00040F35"/>
    <w:rsid w:val="0004442F"/>
    <w:rsid w:val="00044467"/>
    <w:rsid w:val="0004446C"/>
    <w:rsid w:val="00047960"/>
    <w:rsid w:val="00054430"/>
    <w:rsid w:val="00055303"/>
    <w:rsid w:val="0006430C"/>
    <w:rsid w:val="000658EF"/>
    <w:rsid w:val="00066196"/>
    <w:rsid w:val="0006732B"/>
    <w:rsid w:val="00070A74"/>
    <w:rsid w:val="000719DD"/>
    <w:rsid w:val="00075A82"/>
    <w:rsid w:val="000776EB"/>
    <w:rsid w:val="0008642A"/>
    <w:rsid w:val="00086665"/>
    <w:rsid w:val="00087B0A"/>
    <w:rsid w:val="00090AC3"/>
    <w:rsid w:val="0009793E"/>
    <w:rsid w:val="000A0F37"/>
    <w:rsid w:val="000A5374"/>
    <w:rsid w:val="000B79E8"/>
    <w:rsid w:val="000C0ACC"/>
    <w:rsid w:val="000C1DF1"/>
    <w:rsid w:val="000C29D5"/>
    <w:rsid w:val="000C5914"/>
    <w:rsid w:val="000C6150"/>
    <w:rsid w:val="000C6D92"/>
    <w:rsid w:val="000D1E92"/>
    <w:rsid w:val="000D2212"/>
    <w:rsid w:val="000D2990"/>
    <w:rsid w:val="000D3D3A"/>
    <w:rsid w:val="000D4339"/>
    <w:rsid w:val="000D4449"/>
    <w:rsid w:val="000D471E"/>
    <w:rsid w:val="000D47A6"/>
    <w:rsid w:val="000D5B3D"/>
    <w:rsid w:val="000D6B10"/>
    <w:rsid w:val="000D711F"/>
    <w:rsid w:val="000D7316"/>
    <w:rsid w:val="000E0B72"/>
    <w:rsid w:val="000E66A4"/>
    <w:rsid w:val="000E694D"/>
    <w:rsid w:val="000E7FD2"/>
    <w:rsid w:val="000F0C7B"/>
    <w:rsid w:val="000F15BA"/>
    <w:rsid w:val="000F27AB"/>
    <w:rsid w:val="000F612E"/>
    <w:rsid w:val="000F71C0"/>
    <w:rsid w:val="0010188D"/>
    <w:rsid w:val="00105649"/>
    <w:rsid w:val="00105927"/>
    <w:rsid w:val="001059BA"/>
    <w:rsid w:val="0011341B"/>
    <w:rsid w:val="00115E84"/>
    <w:rsid w:val="00116098"/>
    <w:rsid w:val="00122DA1"/>
    <w:rsid w:val="00124893"/>
    <w:rsid w:val="00124AA3"/>
    <w:rsid w:val="00130783"/>
    <w:rsid w:val="00132DB0"/>
    <w:rsid w:val="001339A4"/>
    <w:rsid w:val="00135C17"/>
    <w:rsid w:val="0013718B"/>
    <w:rsid w:val="001415A5"/>
    <w:rsid w:val="001504B0"/>
    <w:rsid w:val="001516FA"/>
    <w:rsid w:val="001528FE"/>
    <w:rsid w:val="0015351D"/>
    <w:rsid w:val="00153E82"/>
    <w:rsid w:val="00154E36"/>
    <w:rsid w:val="001609ED"/>
    <w:rsid w:val="00160F9B"/>
    <w:rsid w:val="00163364"/>
    <w:rsid w:val="00163A5A"/>
    <w:rsid w:val="001679C3"/>
    <w:rsid w:val="00167A33"/>
    <w:rsid w:val="00167B08"/>
    <w:rsid w:val="001721FC"/>
    <w:rsid w:val="00181BB8"/>
    <w:rsid w:val="00182577"/>
    <w:rsid w:val="00185C18"/>
    <w:rsid w:val="0018609F"/>
    <w:rsid w:val="001924BC"/>
    <w:rsid w:val="00194AB0"/>
    <w:rsid w:val="00194FFE"/>
    <w:rsid w:val="001965A9"/>
    <w:rsid w:val="001A1F7B"/>
    <w:rsid w:val="001A2303"/>
    <w:rsid w:val="001A387F"/>
    <w:rsid w:val="001A6027"/>
    <w:rsid w:val="001A7ECD"/>
    <w:rsid w:val="001B085C"/>
    <w:rsid w:val="001B0CA4"/>
    <w:rsid w:val="001B12BA"/>
    <w:rsid w:val="001B1E04"/>
    <w:rsid w:val="001B3CD0"/>
    <w:rsid w:val="001B4F9E"/>
    <w:rsid w:val="001B52B4"/>
    <w:rsid w:val="001B686D"/>
    <w:rsid w:val="001C2AB3"/>
    <w:rsid w:val="001C6A8A"/>
    <w:rsid w:val="001C6C26"/>
    <w:rsid w:val="001D039E"/>
    <w:rsid w:val="001D083E"/>
    <w:rsid w:val="001D5F0F"/>
    <w:rsid w:val="001D76BF"/>
    <w:rsid w:val="001E1F42"/>
    <w:rsid w:val="001E4B23"/>
    <w:rsid w:val="001E5CAA"/>
    <w:rsid w:val="001E5DDC"/>
    <w:rsid w:val="001E7EB7"/>
    <w:rsid w:val="001F0FB2"/>
    <w:rsid w:val="001F316E"/>
    <w:rsid w:val="001F7421"/>
    <w:rsid w:val="00201909"/>
    <w:rsid w:val="00204E97"/>
    <w:rsid w:val="002071FA"/>
    <w:rsid w:val="002132BF"/>
    <w:rsid w:val="00215D81"/>
    <w:rsid w:val="00217F4F"/>
    <w:rsid w:val="002220C8"/>
    <w:rsid w:val="002228B6"/>
    <w:rsid w:val="00222E1A"/>
    <w:rsid w:val="002260C0"/>
    <w:rsid w:val="002279D6"/>
    <w:rsid w:val="002303C6"/>
    <w:rsid w:val="00232B6B"/>
    <w:rsid w:val="0023394B"/>
    <w:rsid w:val="00234F1A"/>
    <w:rsid w:val="00237BF3"/>
    <w:rsid w:val="00240999"/>
    <w:rsid w:val="00241A21"/>
    <w:rsid w:val="002436F9"/>
    <w:rsid w:val="002441AD"/>
    <w:rsid w:val="00244AB6"/>
    <w:rsid w:val="002450FB"/>
    <w:rsid w:val="0024691C"/>
    <w:rsid w:val="0024697B"/>
    <w:rsid w:val="002472C7"/>
    <w:rsid w:val="0025092F"/>
    <w:rsid w:val="002510CE"/>
    <w:rsid w:val="00252EDF"/>
    <w:rsid w:val="0025337B"/>
    <w:rsid w:val="0025538B"/>
    <w:rsid w:val="002570C1"/>
    <w:rsid w:val="00257A11"/>
    <w:rsid w:val="00262B57"/>
    <w:rsid w:val="00262D70"/>
    <w:rsid w:val="00265C5D"/>
    <w:rsid w:val="002672C3"/>
    <w:rsid w:val="00271847"/>
    <w:rsid w:val="00272143"/>
    <w:rsid w:val="00272C4C"/>
    <w:rsid w:val="00274232"/>
    <w:rsid w:val="0028079F"/>
    <w:rsid w:val="00285E21"/>
    <w:rsid w:val="00286A74"/>
    <w:rsid w:val="00286BA4"/>
    <w:rsid w:val="002905D6"/>
    <w:rsid w:val="002914D3"/>
    <w:rsid w:val="00297100"/>
    <w:rsid w:val="002974DC"/>
    <w:rsid w:val="002A6EF8"/>
    <w:rsid w:val="002B1ABB"/>
    <w:rsid w:val="002B2061"/>
    <w:rsid w:val="002B2EAA"/>
    <w:rsid w:val="002B3AF7"/>
    <w:rsid w:val="002B3BD5"/>
    <w:rsid w:val="002B41F8"/>
    <w:rsid w:val="002B587B"/>
    <w:rsid w:val="002B67AD"/>
    <w:rsid w:val="002B6BA1"/>
    <w:rsid w:val="002B72F1"/>
    <w:rsid w:val="002B7A58"/>
    <w:rsid w:val="002C274E"/>
    <w:rsid w:val="002C31D0"/>
    <w:rsid w:val="002C390E"/>
    <w:rsid w:val="002C5578"/>
    <w:rsid w:val="002D19A0"/>
    <w:rsid w:val="002D2375"/>
    <w:rsid w:val="002D25C2"/>
    <w:rsid w:val="002D34F7"/>
    <w:rsid w:val="002D3762"/>
    <w:rsid w:val="002E0613"/>
    <w:rsid w:val="002E488E"/>
    <w:rsid w:val="002E5EDF"/>
    <w:rsid w:val="002E7DBF"/>
    <w:rsid w:val="002F0239"/>
    <w:rsid w:val="002F0DFF"/>
    <w:rsid w:val="002F2264"/>
    <w:rsid w:val="002F4277"/>
    <w:rsid w:val="002F5E6A"/>
    <w:rsid w:val="002F75F6"/>
    <w:rsid w:val="003001BE"/>
    <w:rsid w:val="00301714"/>
    <w:rsid w:val="003047AB"/>
    <w:rsid w:val="00305DE9"/>
    <w:rsid w:val="00306F9F"/>
    <w:rsid w:val="003078FC"/>
    <w:rsid w:val="00307E54"/>
    <w:rsid w:val="00307FB7"/>
    <w:rsid w:val="00310095"/>
    <w:rsid w:val="00310852"/>
    <w:rsid w:val="00313F03"/>
    <w:rsid w:val="00316BE4"/>
    <w:rsid w:val="003179D5"/>
    <w:rsid w:val="00320F7E"/>
    <w:rsid w:val="00322070"/>
    <w:rsid w:val="00323ABE"/>
    <w:rsid w:val="00333010"/>
    <w:rsid w:val="0033373F"/>
    <w:rsid w:val="003339C3"/>
    <w:rsid w:val="003374E1"/>
    <w:rsid w:val="00344985"/>
    <w:rsid w:val="003449ED"/>
    <w:rsid w:val="003450BD"/>
    <w:rsid w:val="00354EC4"/>
    <w:rsid w:val="00357BF3"/>
    <w:rsid w:val="00360238"/>
    <w:rsid w:val="00361367"/>
    <w:rsid w:val="003643DB"/>
    <w:rsid w:val="00364482"/>
    <w:rsid w:val="00375EE1"/>
    <w:rsid w:val="003764E7"/>
    <w:rsid w:val="003771DA"/>
    <w:rsid w:val="003837D4"/>
    <w:rsid w:val="00386586"/>
    <w:rsid w:val="0039154E"/>
    <w:rsid w:val="00392D76"/>
    <w:rsid w:val="003930D4"/>
    <w:rsid w:val="00393BEC"/>
    <w:rsid w:val="0039756E"/>
    <w:rsid w:val="003A1D2D"/>
    <w:rsid w:val="003B135C"/>
    <w:rsid w:val="003B2F87"/>
    <w:rsid w:val="003B711A"/>
    <w:rsid w:val="003C0EA6"/>
    <w:rsid w:val="003C121B"/>
    <w:rsid w:val="003C2211"/>
    <w:rsid w:val="003C483B"/>
    <w:rsid w:val="003C64BE"/>
    <w:rsid w:val="003C6EBD"/>
    <w:rsid w:val="003D17A0"/>
    <w:rsid w:val="003D211B"/>
    <w:rsid w:val="003D2D79"/>
    <w:rsid w:val="003D449D"/>
    <w:rsid w:val="003D4747"/>
    <w:rsid w:val="003D54A5"/>
    <w:rsid w:val="003D5874"/>
    <w:rsid w:val="003E3D23"/>
    <w:rsid w:val="003E70FC"/>
    <w:rsid w:val="003F3BB4"/>
    <w:rsid w:val="003F57C1"/>
    <w:rsid w:val="00401265"/>
    <w:rsid w:val="00406C23"/>
    <w:rsid w:val="0040751E"/>
    <w:rsid w:val="00411FE9"/>
    <w:rsid w:val="00412C00"/>
    <w:rsid w:val="00412F67"/>
    <w:rsid w:val="00413148"/>
    <w:rsid w:val="00413357"/>
    <w:rsid w:val="00416EA8"/>
    <w:rsid w:val="00421288"/>
    <w:rsid w:val="0042146B"/>
    <w:rsid w:val="00425DFA"/>
    <w:rsid w:val="00430D14"/>
    <w:rsid w:val="00431F96"/>
    <w:rsid w:val="00435640"/>
    <w:rsid w:val="004365C6"/>
    <w:rsid w:val="0043662D"/>
    <w:rsid w:val="00440BCB"/>
    <w:rsid w:val="00442D4D"/>
    <w:rsid w:val="004458A7"/>
    <w:rsid w:val="00445C3C"/>
    <w:rsid w:val="00447C0C"/>
    <w:rsid w:val="004516BD"/>
    <w:rsid w:val="00461A11"/>
    <w:rsid w:val="00461E1B"/>
    <w:rsid w:val="00467605"/>
    <w:rsid w:val="00467624"/>
    <w:rsid w:val="0047014D"/>
    <w:rsid w:val="004704FD"/>
    <w:rsid w:val="00470CB0"/>
    <w:rsid w:val="0047125F"/>
    <w:rsid w:val="0047213E"/>
    <w:rsid w:val="00474415"/>
    <w:rsid w:val="004802BC"/>
    <w:rsid w:val="004805B0"/>
    <w:rsid w:val="00480953"/>
    <w:rsid w:val="004818C1"/>
    <w:rsid w:val="00482DF3"/>
    <w:rsid w:val="00484837"/>
    <w:rsid w:val="0048525C"/>
    <w:rsid w:val="00485908"/>
    <w:rsid w:val="004912DB"/>
    <w:rsid w:val="004916BD"/>
    <w:rsid w:val="00497F63"/>
    <w:rsid w:val="004A250F"/>
    <w:rsid w:val="004A26E0"/>
    <w:rsid w:val="004B1C3A"/>
    <w:rsid w:val="004B455E"/>
    <w:rsid w:val="004B5487"/>
    <w:rsid w:val="004B57FB"/>
    <w:rsid w:val="004B5C87"/>
    <w:rsid w:val="004B6C9A"/>
    <w:rsid w:val="004C3A2F"/>
    <w:rsid w:val="004C536A"/>
    <w:rsid w:val="004C5CF8"/>
    <w:rsid w:val="004C68B2"/>
    <w:rsid w:val="004C7812"/>
    <w:rsid w:val="004D1652"/>
    <w:rsid w:val="004D2387"/>
    <w:rsid w:val="004D3744"/>
    <w:rsid w:val="004D5ABD"/>
    <w:rsid w:val="004D61B7"/>
    <w:rsid w:val="004E3AAD"/>
    <w:rsid w:val="004F1024"/>
    <w:rsid w:val="004F1E1A"/>
    <w:rsid w:val="004F3A45"/>
    <w:rsid w:val="004F4030"/>
    <w:rsid w:val="00500E52"/>
    <w:rsid w:val="005064E8"/>
    <w:rsid w:val="00513000"/>
    <w:rsid w:val="00513557"/>
    <w:rsid w:val="005137D7"/>
    <w:rsid w:val="005147D8"/>
    <w:rsid w:val="0052112F"/>
    <w:rsid w:val="00527EDD"/>
    <w:rsid w:val="00527EE9"/>
    <w:rsid w:val="0053026B"/>
    <w:rsid w:val="00530ADB"/>
    <w:rsid w:val="0053517D"/>
    <w:rsid w:val="005373EA"/>
    <w:rsid w:val="00537B13"/>
    <w:rsid w:val="00537CC2"/>
    <w:rsid w:val="00540FAA"/>
    <w:rsid w:val="00542880"/>
    <w:rsid w:val="005431F7"/>
    <w:rsid w:val="0054372F"/>
    <w:rsid w:val="00543FAF"/>
    <w:rsid w:val="005477F2"/>
    <w:rsid w:val="00552D9B"/>
    <w:rsid w:val="00560E95"/>
    <w:rsid w:val="00560F8E"/>
    <w:rsid w:val="00574331"/>
    <w:rsid w:val="005743EE"/>
    <w:rsid w:val="00575DD6"/>
    <w:rsid w:val="00577406"/>
    <w:rsid w:val="005836C1"/>
    <w:rsid w:val="0058476E"/>
    <w:rsid w:val="00584F18"/>
    <w:rsid w:val="00585FFC"/>
    <w:rsid w:val="0059044A"/>
    <w:rsid w:val="00592E36"/>
    <w:rsid w:val="00597AF4"/>
    <w:rsid w:val="005A2A17"/>
    <w:rsid w:val="005A3E19"/>
    <w:rsid w:val="005B0FDB"/>
    <w:rsid w:val="005B2CF0"/>
    <w:rsid w:val="005B2ED3"/>
    <w:rsid w:val="005B60D5"/>
    <w:rsid w:val="005B62D4"/>
    <w:rsid w:val="005C0DAE"/>
    <w:rsid w:val="005C11A4"/>
    <w:rsid w:val="005C269A"/>
    <w:rsid w:val="005C3262"/>
    <w:rsid w:val="005C34A2"/>
    <w:rsid w:val="005C4B0A"/>
    <w:rsid w:val="005C6E51"/>
    <w:rsid w:val="005C76AA"/>
    <w:rsid w:val="005D3876"/>
    <w:rsid w:val="005D3904"/>
    <w:rsid w:val="005E10A2"/>
    <w:rsid w:val="005E6E81"/>
    <w:rsid w:val="005E715B"/>
    <w:rsid w:val="005F2504"/>
    <w:rsid w:val="006006D4"/>
    <w:rsid w:val="0060330C"/>
    <w:rsid w:val="006054C2"/>
    <w:rsid w:val="006059DC"/>
    <w:rsid w:val="00606CBA"/>
    <w:rsid w:val="006120D4"/>
    <w:rsid w:val="00612681"/>
    <w:rsid w:val="00613941"/>
    <w:rsid w:val="00616C9F"/>
    <w:rsid w:val="00622610"/>
    <w:rsid w:val="00623DCB"/>
    <w:rsid w:val="006273CF"/>
    <w:rsid w:val="00627FC3"/>
    <w:rsid w:val="0063161D"/>
    <w:rsid w:val="00631A38"/>
    <w:rsid w:val="00633529"/>
    <w:rsid w:val="00633BB4"/>
    <w:rsid w:val="00634E33"/>
    <w:rsid w:val="00637E98"/>
    <w:rsid w:val="00641123"/>
    <w:rsid w:val="00643128"/>
    <w:rsid w:val="00643927"/>
    <w:rsid w:val="00645669"/>
    <w:rsid w:val="00646BC4"/>
    <w:rsid w:val="0064750A"/>
    <w:rsid w:val="00647D7D"/>
    <w:rsid w:val="00661E0A"/>
    <w:rsid w:val="0067132A"/>
    <w:rsid w:val="00673ADE"/>
    <w:rsid w:val="00684B3B"/>
    <w:rsid w:val="006874A4"/>
    <w:rsid w:val="0068754E"/>
    <w:rsid w:val="006908F4"/>
    <w:rsid w:val="006941E3"/>
    <w:rsid w:val="00694679"/>
    <w:rsid w:val="00697117"/>
    <w:rsid w:val="0069728E"/>
    <w:rsid w:val="006976EC"/>
    <w:rsid w:val="006A08E2"/>
    <w:rsid w:val="006A2367"/>
    <w:rsid w:val="006A2923"/>
    <w:rsid w:val="006A29F0"/>
    <w:rsid w:val="006A4B31"/>
    <w:rsid w:val="006A67BA"/>
    <w:rsid w:val="006B165D"/>
    <w:rsid w:val="006B421B"/>
    <w:rsid w:val="006B44B5"/>
    <w:rsid w:val="006B6BFC"/>
    <w:rsid w:val="006B7621"/>
    <w:rsid w:val="006B78E4"/>
    <w:rsid w:val="006B7A85"/>
    <w:rsid w:val="006C20DB"/>
    <w:rsid w:val="006C4EA9"/>
    <w:rsid w:val="006C5107"/>
    <w:rsid w:val="006D14D3"/>
    <w:rsid w:val="006D3824"/>
    <w:rsid w:val="006E24B3"/>
    <w:rsid w:val="006E46EB"/>
    <w:rsid w:val="006E5CB4"/>
    <w:rsid w:val="006E7D8D"/>
    <w:rsid w:val="006F15BD"/>
    <w:rsid w:val="006F2974"/>
    <w:rsid w:val="006F2E59"/>
    <w:rsid w:val="006F3E2E"/>
    <w:rsid w:val="006F53B9"/>
    <w:rsid w:val="007024E6"/>
    <w:rsid w:val="00703BA7"/>
    <w:rsid w:val="00704323"/>
    <w:rsid w:val="007136E5"/>
    <w:rsid w:val="00714DBE"/>
    <w:rsid w:val="00714E4B"/>
    <w:rsid w:val="007162EA"/>
    <w:rsid w:val="00716AC4"/>
    <w:rsid w:val="0072331F"/>
    <w:rsid w:val="0073688F"/>
    <w:rsid w:val="00740CAA"/>
    <w:rsid w:val="007414C0"/>
    <w:rsid w:val="00743670"/>
    <w:rsid w:val="00745FAD"/>
    <w:rsid w:val="00747756"/>
    <w:rsid w:val="00750654"/>
    <w:rsid w:val="0075125F"/>
    <w:rsid w:val="007517B3"/>
    <w:rsid w:val="007521C3"/>
    <w:rsid w:val="00752B9D"/>
    <w:rsid w:val="00754060"/>
    <w:rsid w:val="00755465"/>
    <w:rsid w:val="00755468"/>
    <w:rsid w:val="007561D4"/>
    <w:rsid w:val="00757DC4"/>
    <w:rsid w:val="0076244F"/>
    <w:rsid w:val="00762DFB"/>
    <w:rsid w:val="00766455"/>
    <w:rsid w:val="007719C1"/>
    <w:rsid w:val="0077211A"/>
    <w:rsid w:val="00772701"/>
    <w:rsid w:val="00774CB5"/>
    <w:rsid w:val="00781179"/>
    <w:rsid w:val="0078207C"/>
    <w:rsid w:val="00784B55"/>
    <w:rsid w:val="007913AA"/>
    <w:rsid w:val="00794745"/>
    <w:rsid w:val="007948D4"/>
    <w:rsid w:val="007A585B"/>
    <w:rsid w:val="007B0F30"/>
    <w:rsid w:val="007B31F5"/>
    <w:rsid w:val="007B5BC7"/>
    <w:rsid w:val="007B7FEB"/>
    <w:rsid w:val="007C7418"/>
    <w:rsid w:val="007D0BF0"/>
    <w:rsid w:val="007D0D17"/>
    <w:rsid w:val="007D5E35"/>
    <w:rsid w:val="007D6292"/>
    <w:rsid w:val="007E017B"/>
    <w:rsid w:val="007F4552"/>
    <w:rsid w:val="0080199A"/>
    <w:rsid w:val="00803D4B"/>
    <w:rsid w:val="008042F3"/>
    <w:rsid w:val="008053CB"/>
    <w:rsid w:val="00807CE9"/>
    <w:rsid w:val="00811F22"/>
    <w:rsid w:val="00812EC2"/>
    <w:rsid w:val="00814606"/>
    <w:rsid w:val="00814DFD"/>
    <w:rsid w:val="00820091"/>
    <w:rsid w:val="00820C02"/>
    <w:rsid w:val="008232B7"/>
    <w:rsid w:val="00826265"/>
    <w:rsid w:val="00826F20"/>
    <w:rsid w:val="00832373"/>
    <w:rsid w:val="00832B7D"/>
    <w:rsid w:val="00833D9C"/>
    <w:rsid w:val="00834604"/>
    <w:rsid w:val="00834D31"/>
    <w:rsid w:val="00834DF7"/>
    <w:rsid w:val="00835AD1"/>
    <w:rsid w:val="00841354"/>
    <w:rsid w:val="00841ADE"/>
    <w:rsid w:val="00844B51"/>
    <w:rsid w:val="008506B4"/>
    <w:rsid w:val="00850AB1"/>
    <w:rsid w:val="00853914"/>
    <w:rsid w:val="00857E94"/>
    <w:rsid w:val="008618C5"/>
    <w:rsid w:val="00861C72"/>
    <w:rsid w:val="00863125"/>
    <w:rsid w:val="0086656B"/>
    <w:rsid w:val="008704C8"/>
    <w:rsid w:val="00872522"/>
    <w:rsid w:val="0087383E"/>
    <w:rsid w:val="00877858"/>
    <w:rsid w:val="00881798"/>
    <w:rsid w:val="00881A60"/>
    <w:rsid w:val="00882591"/>
    <w:rsid w:val="0088350C"/>
    <w:rsid w:val="00885376"/>
    <w:rsid w:val="0088730C"/>
    <w:rsid w:val="008876BF"/>
    <w:rsid w:val="00890D27"/>
    <w:rsid w:val="0089642A"/>
    <w:rsid w:val="008A0B50"/>
    <w:rsid w:val="008A2D27"/>
    <w:rsid w:val="008A31A7"/>
    <w:rsid w:val="008A7B94"/>
    <w:rsid w:val="008B70B1"/>
    <w:rsid w:val="008B77EA"/>
    <w:rsid w:val="008C0981"/>
    <w:rsid w:val="008C1699"/>
    <w:rsid w:val="008C3DB3"/>
    <w:rsid w:val="008C4753"/>
    <w:rsid w:val="008C6ADC"/>
    <w:rsid w:val="008D1704"/>
    <w:rsid w:val="008D435D"/>
    <w:rsid w:val="008D5822"/>
    <w:rsid w:val="008E3EC7"/>
    <w:rsid w:val="008E4FF4"/>
    <w:rsid w:val="008E5A03"/>
    <w:rsid w:val="008E77EB"/>
    <w:rsid w:val="008E7A72"/>
    <w:rsid w:val="008F0929"/>
    <w:rsid w:val="008F0991"/>
    <w:rsid w:val="008F0A10"/>
    <w:rsid w:val="008F0FD5"/>
    <w:rsid w:val="008F1582"/>
    <w:rsid w:val="008F54E1"/>
    <w:rsid w:val="008F7981"/>
    <w:rsid w:val="0090472C"/>
    <w:rsid w:val="00907BC3"/>
    <w:rsid w:val="00910362"/>
    <w:rsid w:val="00911928"/>
    <w:rsid w:val="0091291C"/>
    <w:rsid w:val="00920BAC"/>
    <w:rsid w:val="00921CE5"/>
    <w:rsid w:val="00926CE5"/>
    <w:rsid w:val="00927590"/>
    <w:rsid w:val="00930CA5"/>
    <w:rsid w:val="009312AC"/>
    <w:rsid w:val="00931495"/>
    <w:rsid w:val="00933B61"/>
    <w:rsid w:val="00935E33"/>
    <w:rsid w:val="00936A58"/>
    <w:rsid w:val="00941C34"/>
    <w:rsid w:val="00942D3B"/>
    <w:rsid w:val="009440A7"/>
    <w:rsid w:val="00945882"/>
    <w:rsid w:val="00953F8E"/>
    <w:rsid w:val="00954A12"/>
    <w:rsid w:val="0095771A"/>
    <w:rsid w:val="00960E89"/>
    <w:rsid w:val="00964491"/>
    <w:rsid w:val="009748F9"/>
    <w:rsid w:val="0097609F"/>
    <w:rsid w:val="00976999"/>
    <w:rsid w:val="00976B43"/>
    <w:rsid w:val="009804CC"/>
    <w:rsid w:val="00981DAC"/>
    <w:rsid w:val="00986583"/>
    <w:rsid w:val="00987F84"/>
    <w:rsid w:val="009911D1"/>
    <w:rsid w:val="00994215"/>
    <w:rsid w:val="0099485D"/>
    <w:rsid w:val="00994B77"/>
    <w:rsid w:val="00996AC5"/>
    <w:rsid w:val="00996C5F"/>
    <w:rsid w:val="00996DD6"/>
    <w:rsid w:val="009972EE"/>
    <w:rsid w:val="009A430F"/>
    <w:rsid w:val="009A5782"/>
    <w:rsid w:val="009A5789"/>
    <w:rsid w:val="009A6EA9"/>
    <w:rsid w:val="009B0129"/>
    <w:rsid w:val="009B097E"/>
    <w:rsid w:val="009B3468"/>
    <w:rsid w:val="009B4C8D"/>
    <w:rsid w:val="009B5D7F"/>
    <w:rsid w:val="009B73F7"/>
    <w:rsid w:val="009C23E7"/>
    <w:rsid w:val="009C594C"/>
    <w:rsid w:val="009C6E35"/>
    <w:rsid w:val="009D1B59"/>
    <w:rsid w:val="009D2B26"/>
    <w:rsid w:val="009D60C8"/>
    <w:rsid w:val="009E0E2F"/>
    <w:rsid w:val="009E101F"/>
    <w:rsid w:val="009E14D7"/>
    <w:rsid w:val="009E1B54"/>
    <w:rsid w:val="009E247C"/>
    <w:rsid w:val="009E2CCC"/>
    <w:rsid w:val="009E6647"/>
    <w:rsid w:val="009F0FA3"/>
    <w:rsid w:val="009F3FB3"/>
    <w:rsid w:val="009F5BD4"/>
    <w:rsid w:val="00A0085E"/>
    <w:rsid w:val="00A015C8"/>
    <w:rsid w:val="00A028DA"/>
    <w:rsid w:val="00A0358D"/>
    <w:rsid w:val="00A05E1F"/>
    <w:rsid w:val="00A1300C"/>
    <w:rsid w:val="00A14A2E"/>
    <w:rsid w:val="00A17BBC"/>
    <w:rsid w:val="00A214E8"/>
    <w:rsid w:val="00A21BF0"/>
    <w:rsid w:val="00A22A03"/>
    <w:rsid w:val="00A22F4D"/>
    <w:rsid w:val="00A27959"/>
    <w:rsid w:val="00A30B13"/>
    <w:rsid w:val="00A314BE"/>
    <w:rsid w:val="00A422D8"/>
    <w:rsid w:val="00A454CF"/>
    <w:rsid w:val="00A505A6"/>
    <w:rsid w:val="00A514BB"/>
    <w:rsid w:val="00A52ADF"/>
    <w:rsid w:val="00A53CE8"/>
    <w:rsid w:val="00A54C50"/>
    <w:rsid w:val="00A56559"/>
    <w:rsid w:val="00A56AA7"/>
    <w:rsid w:val="00A57A74"/>
    <w:rsid w:val="00A64613"/>
    <w:rsid w:val="00A65E0D"/>
    <w:rsid w:val="00A6685A"/>
    <w:rsid w:val="00A70357"/>
    <w:rsid w:val="00A71600"/>
    <w:rsid w:val="00A72531"/>
    <w:rsid w:val="00A74E5F"/>
    <w:rsid w:val="00A7506A"/>
    <w:rsid w:val="00A86A0C"/>
    <w:rsid w:val="00A86E7C"/>
    <w:rsid w:val="00A87591"/>
    <w:rsid w:val="00A91714"/>
    <w:rsid w:val="00AA2997"/>
    <w:rsid w:val="00AA4127"/>
    <w:rsid w:val="00AA57D2"/>
    <w:rsid w:val="00AA636C"/>
    <w:rsid w:val="00AA70A4"/>
    <w:rsid w:val="00AB1230"/>
    <w:rsid w:val="00AB474C"/>
    <w:rsid w:val="00AB5E74"/>
    <w:rsid w:val="00AB60D0"/>
    <w:rsid w:val="00AB76F7"/>
    <w:rsid w:val="00AC163C"/>
    <w:rsid w:val="00AC26DF"/>
    <w:rsid w:val="00AC3DE8"/>
    <w:rsid w:val="00AC4AAD"/>
    <w:rsid w:val="00AC4D15"/>
    <w:rsid w:val="00AD0886"/>
    <w:rsid w:val="00AD22E4"/>
    <w:rsid w:val="00AD27CB"/>
    <w:rsid w:val="00AD400C"/>
    <w:rsid w:val="00AD43D2"/>
    <w:rsid w:val="00AD69BC"/>
    <w:rsid w:val="00AD76CF"/>
    <w:rsid w:val="00AD7838"/>
    <w:rsid w:val="00AE0798"/>
    <w:rsid w:val="00AE298D"/>
    <w:rsid w:val="00AE471C"/>
    <w:rsid w:val="00AE63A6"/>
    <w:rsid w:val="00AE78EA"/>
    <w:rsid w:val="00AF00BB"/>
    <w:rsid w:val="00AF0718"/>
    <w:rsid w:val="00AF2EE1"/>
    <w:rsid w:val="00AF37DF"/>
    <w:rsid w:val="00B01C8A"/>
    <w:rsid w:val="00B01D16"/>
    <w:rsid w:val="00B01FC4"/>
    <w:rsid w:val="00B0474A"/>
    <w:rsid w:val="00B04A89"/>
    <w:rsid w:val="00B04C6C"/>
    <w:rsid w:val="00B06515"/>
    <w:rsid w:val="00B06AFA"/>
    <w:rsid w:val="00B06BAE"/>
    <w:rsid w:val="00B076D7"/>
    <w:rsid w:val="00B07E4C"/>
    <w:rsid w:val="00B134B9"/>
    <w:rsid w:val="00B14BF6"/>
    <w:rsid w:val="00B17169"/>
    <w:rsid w:val="00B2011F"/>
    <w:rsid w:val="00B21BB6"/>
    <w:rsid w:val="00B26EFB"/>
    <w:rsid w:val="00B27E7E"/>
    <w:rsid w:val="00B30A18"/>
    <w:rsid w:val="00B3402D"/>
    <w:rsid w:val="00B40A76"/>
    <w:rsid w:val="00B40EA9"/>
    <w:rsid w:val="00B41C51"/>
    <w:rsid w:val="00B430A1"/>
    <w:rsid w:val="00B43880"/>
    <w:rsid w:val="00B4473B"/>
    <w:rsid w:val="00B45965"/>
    <w:rsid w:val="00B465A2"/>
    <w:rsid w:val="00B51F80"/>
    <w:rsid w:val="00B5494A"/>
    <w:rsid w:val="00B55417"/>
    <w:rsid w:val="00B65461"/>
    <w:rsid w:val="00B654E3"/>
    <w:rsid w:val="00B7000D"/>
    <w:rsid w:val="00B734B9"/>
    <w:rsid w:val="00B75EB4"/>
    <w:rsid w:val="00B803BF"/>
    <w:rsid w:val="00B80995"/>
    <w:rsid w:val="00B80F37"/>
    <w:rsid w:val="00B85394"/>
    <w:rsid w:val="00B91545"/>
    <w:rsid w:val="00B93553"/>
    <w:rsid w:val="00B9445F"/>
    <w:rsid w:val="00BA3A5A"/>
    <w:rsid w:val="00BA4988"/>
    <w:rsid w:val="00BA60A6"/>
    <w:rsid w:val="00BA72BF"/>
    <w:rsid w:val="00BB25EF"/>
    <w:rsid w:val="00BB2F36"/>
    <w:rsid w:val="00BB55C4"/>
    <w:rsid w:val="00BB6714"/>
    <w:rsid w:val="00BC027A"/>
    <w:rsid w:val="00BC4C58"/>
    <w:rsid w:val="00BD6CA6"/>
    <w:rsid w:val="00BD6E9A"/>
    <w:rsid w:val="00BD7646"/>
    <w:rsid w:val="00BE0E5C"/>
    <w:rsid w:val="00BE123E"/>
    <w:rsid w:val="00BE55C5"/>
    <w:rsid w:val="00BF0ED2"/>
    <w:rsid w:val="00BF1DC1"/>
    <w:rsid w:val="00BF2643"/>
    <w:rsid w:val="00BF52A4"/>
    <w:rsid w:val="00BF58DB"/>
    <w:rsid w:val="00BF73B6"/>
    <w:rsid w:val="00BF7AC1"/>
    <w:rsid w:val="00C041A3"/>
    <w:rsid w:val="00C07718"/>
    <w:rsid w:val="00C101BA"/>
    <w:rsid w:val="00C1071F"/>
    <w:rsid w:val="00C11CD4"/>
    <w:rsid w:val="00C129B5"/>
    <w:rsid w:val="00C147AD"/>
    <w:rsid w:val="00C15155"/>
    <w:rsid w:val="00C20315"/>
    <w:rsid w:val="00C2170D"/>
    <w:rsid w:val="00C21991"/>
    <w:rsid w:val="00C247A6"/>
    <w:rsid w:val="00C2538D"/>
    <w:rsid w:val="00C25B34"/>
    <w:rsid w:val="00C25D57"/>
    <w:rsid w:val="00C31944"/>
    <w:rsid w:val="00C369E4"/>
    <w:rsid w:val="00C409A5"/>
    <w:rsid w:val="00C40EA7"/>
    <w:rsid w:val="00C40FC4"/>
    <w:rsid w:val="00C42136"/>
    <w:rsid w:val="00C45ED2"/>
    <w:rsid w:val="00C4745A"/>
    <w:rsid w:val="00C4787B"/>
    <w:rsid w:val="00C52506"/>
    <w:rsid w:val="00C550A2"/>
    <w:rsid w:val="00C56469"/>
    <w:rsid w:val="00C60C6D"/>
    <w:rsid w:val="00C62877"/>
    <w:rsid w:val="00C62D4B"/>
    <w:rsid w:val="00C64C09"/>
    <w:rsid w:val="00C71064"/>
    <w:rsid w:val="00C722B6"/>
    <w:rsid w:val="00C75C3C"/>
    <w:rsid w:val="00C76FF6"/>
    <w:rsid w:val="00C8038E"/>
    <w:rsid w:val="00C9206F"/>
    <w:rsid w:val="00C931C3"/>
    <w:rsid w:val="00C95A63"/>
    <w:rsid w:val="00CA4004"/>
    <w:rsid w:val="00CA50D9"/>
    <w:rsid w:val="00CA57A5"/>
    <w:rsid w:val="00CB024E"/>
    <w:rsid w:val="00CB16E6"/>
    <w:rsid w:val="00CB29C4"/>
    <w:rsid w:val="00CB3CF6"/>
    <w:rsid w:val="00CB3D94"/>
    <w:rsid w:val="00CB464D"/>
    <w:rsid w:val="00CB49D6"/>
    <w:rsid w:val="00CB4D31"/>
    <w:rsid w:val="00CB5121"/>
    <w:rsid w:val="00CB5436"/>
    <w:rsid w:val="00CC0121"/>
    <w:rsid w:val="00CC757F"/>
    <w:rsid w:val="00CC7BEE"/>
    <w:rsid w:val="00CD439E"/>
    <w:rsid w:val="00CD540D"/>
    <w:rsid w:val="00CD5D5C"/>
    <w:rsid w:val="00CE1147"/>
    <w:rsid w:val="00CE2BA7"/>
    <w:rsid w:val="00CE4D6A"/>
    <w:rsid w:val="00CE6394"/>
    <w:rsid w:val="00CE7343"/>
    <w:rsid w:val="00CF2087"/>
    <w:rsid w:val="00CF3EC2"/>
    <w:rsid w:val="00D0058C"/>
    <w:rsid w:val="00D01165"/>
    <w:rsid w:val="00D070F4"/>
    <w:rsid w:val="00D076C3"/>
    <w:rsid w:val="00D11734"/>
    <w:rsid w:val="00D1288F"/>
    <w:rsid w:val="00D15B88"/>
    <w:rsid w:val="00D2020A"/>
    <w:rsid w:val="00D33070"/>
    <w:rsid w:val="00D33CFD"/>
    <w:rsid w:val="00D36331"/>
    <w:rsid w:val="00D363C2"/>
    <w:rsid w:val="00D363E9"/>
    <w:rsid w:val="00D37596"/>
    <w:rsid w:val="00D37753"/>
    <w:rsid w:val="00D427CB"/>
    <w:rsid w:val="00D4764A"/>
    <w:rsid w:val="00D50BFA"/>
    <w:rsid w:val="00D552C4"/>
    <w:rsid w:val="00D55330"/>
    <w:rsid w:val="00D55E1F"/>
    <w:rsid w:val="00D6518F"/>
    <w:rsid w:val="00D65E0A"/>
    <w:rsid w:val="00D66419"/>
    <w:rsid w:val="00D750FE"/>
    <w:rsid w:val="00D75573"/>
    <w:rsid w:val="00D809B7"/>
    <w:rsid w:val="00D814C2"/>
    <w:rsid w:val="00D81504"/>
    <w:rsid w:val="00D831E5"/>
    <w:rsid w:val="00D84750"/>
    <w:rsid w:val="00D87321"/>
    <w:rsid w:val="00D9051B"/>
    <w:rsid w:val="00D925D5"/>
    <w:rsid w:val="00D95040"/>
    <w:rsid w:val="00D954B1"/>
    <w:rsid w:val="00D972E5"/>
    <w:rsid w:val="00D9761D"/>
    <w:rsid w:val="00DA595A"/>
    <w:rsid w:val="00DA7186"/>
    <w:rsid w:val="00DA7558"/>
    <w:rsid w:val="00DA758A"/>
    <w:rsid w:val="00DB1BB3"/>
    <w:rsid w:val="00DB1FC5"/>
    <w:rsid w:val="00DB275A"/>
    <w:rsid w:val="00DB3CAC"/>
    <w:rsid w:val="00DB4864"/>
    <w:rsid w:val="00DB51E0"/>
    <w:rsid w:val="00DB5E04"/>
    <w:rsid w:val="00DC096C"/>
    <w:rsid w:val="00DC397D"/>
    <w:rsid w:val="00DC4E09"/>
    <w:rsid w:val="00DC50A1"/>
    <w:rsid w:val="00DD0225"/>
    <w:rsid w:val="00DD07C9"/>
    <w:rsid w:val="00DD2D40"/>
    <w:rsid w:val="00DD302A"/>
    <w:rsid w:val="00DD34C9"/>
    <w:rsid w:val="00DD64AD"/>
    <w:rsid w:val="00DD6897"/>
    <w:rsid w:val="00DE33D0"/>
    <w:rsid w:val="00DE38D6"/>
    <w:rsid w:val="00DE3B1C"/>
    <w:rsid w:val="00DF0843"/>
    <w:rsid w:val="00DF0A25"/>
    <w:rsid w:val="00DF1AD3"/>
    <w:rsid w:val="00DF3EE3"/>
    <w:rsid w:val="00DF4039"/>
    <w:rsid w:val="00DF44EE"/>
    <w:rsid w:val="00DF46BD"/>
    <w:rsid w:val="00E011DA"/>
    <w:rsid w:val="00E0146C"/>
    <w:rsid w:val="00E02E6F"/>
    <w:rsid w:val="00E02F42"/>
    <w:rsid w:val="00E0364F"/>
    <w:rsid w:val="00E07A37"/>
    <w:rsid w:val="00E10273"/>
    <w:rsid w:val="00E13AF5"/>
    <w:rsid w:val="00E13E6E"/>
    <w:rsid w:val="00E173B7"/>
    <w:rsid w:val="00E17F22"/>
    <w:rsid w:val="00E21205"/>
    <w:rsid w:val="00E23DA3"/>
    <w:rsid w:val="00E31839"/>
    <w:rsid w:val="00E31CA4"/>
    <w:rsid w:val="00E32EB6"/>
    <w:rsid w:val="00E34821"/>
    <w:rsid w:val="00E4531A"/>
    <w:rsid w:val="00E475D3"/>
    <w:rsid w:val="00E47B5B"/>
    <w:rsid w:val="00E50E55"/>
    <w:rsid w:val="00E51F68"/>
    <w:rsid w:val="00E5214C"/>
    <w:rsid w:val="00E5355C"/>
    <w:rsid w:val="00E53B49"/>
    <w:rsid w:val="00E53DE1"/>
    <w:rsid w:val="00E601B0"/>
    <w:rsid w:val="00E61AA4"/>
    <w:rsid w:val="00E6328C"/>
    <w:rsid w:val="00E63F79"/>
    <w:rsid w:val="00E6420E"/>
    <w:rsid w:val="00E72B98"/>
    <w:rsid w:val="00E74373"/>
    <w:rsid w:val="00E825C5"/>
    <w:rsid w:val="00E82962"/>
    <w:rsid w:val="00E82F54"/>
    <w:rsid w:val="00E8417B"/>
    <w:rsid w:val="00E85298"/>
    <w:rsid w:val="00E93E08"/>
    <w:rsid w:val="00E97EB3"/>
    <w:rsid w:val="00EA0507"/>
    <w:rsid w:val="00EA10AB"/>
    <w:rsid w:val="00EA4491"/>
    <w:rsid w:val="00EA77E1"/>
    <w:rsid w:val="00EB148B"/>
    <w:rsid w:val="00EB22E9"/>
    <w:rsid w:val="00EB3C17"/>
    <w:rsid w:val="00EC0486"/>
    <w:rsid w:val="00EC2EBA"/>
    <w:rsid w:val="00EC64D7"/>
    <w:rsid w:val="00ED1A56"/>
    <w:rsid w:val="00ED7806"/>
    <w:rsid w:val="00EE6EE0"/>
    <w:rsid w:val="00EE76E6"/>
    <w:rsid w:val="00EF010F"/>
    <w:rsid w:val="00EF0952"/>
    <w:rsid w:val="00EF0A73"/>
    <w:rsid w:val="00EF2180"/>
    <w:rsid w:val="00EF27D7"/>
    <w:rsid w:val="00EF4A75"/>
    <w:rsid w:val="00EF6841"/>
    <w:rsid w:val="00F004E6"/>
    <w:rsid w:val="00F02709"/>
    <w:rsid w:val="00F0408B"/>
    <w:rsid w:val="00F06479"/>
    <w:rsid w:val="00F1414F"/>
    <w:rsid w:val="00F14D16"/>
    <w:rsid w:val="00F15412"/>
    <w:rsid w:val="00F16278"/>
    <w:rsid w:val="00F16FCE"/>
    <w:rsid w:val="00F17BDD"/>
    <w:rsid w:val="00F24686"/>
    <w:rsid w:val="00F273CB"/>
    <w:rsid w:val="00F317A0"/>
    <w:rsid w:val="00F408D6"/>
    <w:rsid w:val="00F433DF"/>
    <w:rsid w:val="00F44362"/>
    <w:rsid w:val="00F44579"/>
    <w:rsid w:val="00F473D7"/>
    <w:rsid w:val="00F5045F"/>
    <w:rsid w:val="00F55B42"/>
    <w:rsid w:val="00F56A77"/>
    <w:rsid w:val="00F5706D"/>
    <w:rsid w:val="00F576C4"/>
    <w:rsid w:val="00F62B36"/>
    <w:rsid w:val="00F63339"/>
    <w:rsid w:val="00F64C33"/>
    <w:rsid w:val="00F70CFF"/>
    <w:rsid w:val="00F70F38"/>
    <w:rsid w:val="00F73DAD"/>
    <w:rsid w:val="00F74DCE"/>
    <w:rsid w:val="00F75344"/>
    <w:rsid w:val="00F75DB2"/>
    <w:rsid w:val="00F76E6A"/>
    <w:rsid w:val="00F77351"/>
    <w:rsid w:val="00F8062D"/>
    <w:rsid w:val="00F8505C"/>
    <w:rsid w:val="00F86186"/>
    <w:rsid w:val="00F90317"/>
    <w:rsid w:val="00F90C53"/>
    <w:rsid w:val="00F921CF"/>
    <w:rsid w:val="00F95106"/>
    <w:rsid w:val="00FA0BBA"/>
    <w:rsid w:val="00FA2858"/>
    <w:rsid w:val="00FA3044"/>
    <w:rsid w:val="00FA37D5"/>
    <w:rsid w:val="00FA39CD"/>
    <w:rsid w:val="00FA507A"/>
    <w:rsid w:val="00FA74EF"/>
    <w:rsid w:val="00FB56CC"/>
    <w:rsid w:val="00FB71AF"/>
    <w:rsid w:val="00FC6EBF"/>
    <w:rsid w:val="00FD0AE5"/>
    <w:rsid w:val="00FD22AD"/>
    <w:rsid w:val="00FD451A"/>
    <w:rsid w:val="00FD47B4"/>
    <w:rsid w:val="00FF0EB3"/>
    <w:rsid w:val="00FF25A5"/>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A61E-3B1D-470B-859C-C4F80B1F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4328</Words>
  <Characters>24673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3</cp:revision>
  <cp:lastPrinted>2015-04-24T15:52:00Z</cp:lastPrinted>
  <dcterms:created xsi:type="dcterms:W3CDTF">2015-05-12T08:46:00Z</dcterms:created>
  <dcterms:modified xsi:type="dcterms:W3CDTF">2015-05-13T09:48:00Z</dcterms:modified>
</cp:coreProperties>
</file>