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97F" w:rsidRDefault="0063397F" w:rsidP="0063397F">
      <w:pPr>
        <w:pStyle w:val="NoSpacing"/>
        <w:jc w:val="right"/>
        <w:rPr>
          <w:rFonts w:ascii="Arial" w:hAnsi="Arial" w:cs="Arial"/>
          <w:b/>
          <w:noProof/>
          <w:lang w:val="en-GB" w:eastAsia="en-GB"/>
        </w:rPr>
      </w:pPr>
    </w:p>
    <w:p w:rsidR="001B0E16" w:rsidRPr="00FF7CBA" w:rsidRDefault="001B0E16" w:rsidP="0063397F">
      <w:pPr>
        <w:pStyle w:val="NoSpacing"/>
        <w:jc w:val="right"/>
        <w:rPr>
          <w:rFonts w:ascii="Arial" w:hAnsi="Arial" w:cs="Arial"/>
          <w:b/>
          <w:lang w:val="en-GB"/>
        </w:rPr>
      </w:pPr>
    </w:p>
    <w:tbl>
      <w:tblPr>
        <w:tblStyle w:val="TableGrid"/>
        <w:tblpPr w:leftFromText="180" w:rightFromText="180" w:vertAnchor="text" w:horzAnchor="page" w:tblpX="6538" w:tblpY="-66"/>
        <w:tblW w:w="0" w:type="auto"/>
        <w:tblBorders>
          <w:top w:val="single" w:sz="18" w:space="0" w:color="auto"/>
          <w:left w:val="single" w:sz="18" w:space="0" w:color="auto"/>
          <w:bottom w:val="single" w:sz="18" w:space="0" w:color="auto"/>
          <w:right w:val="single" w:sz="18" w:space="0" w:color="auto"/>
          <w:insideH w:val="single" w:sz="6" w:space="0" w:color="auto"/>
          <w:insideV w:val="none" w:sz="0" w:space="0" w:color="auto"/>
        </w:tblBorders>
        <w:tblLook w:val="04A0" w:firstRow="1" w:lastRow="0" w:firstColumn="1" w:lastColumn="0" w:noHBand="0" w:noVBand="1"/>
      </w:tblPr>
      <w:tblGrid>
        <w:gridCol w:w="3420"/>
        <w:gridCol w:w="1260"/>
      </w:tblGrid>
      <w:tr w:rsidR="00E068B3" w:rsidTr="00E068B3">
        <w:tc>
          <w:tcPr>
            <w:tcW w:w="3420" w:type="dxa"/>
          </w:tcPr>
          <w:p w:rsidR="00E068B3" w:rsidRPr="001B0E16" w:rsidRDefault="00E068B3" w:rsidP="00E068B3">
            <w:pPr>
              <w:pStyle w:val="NoSpacing"/>
              <w:jc w:val="right"/>
              <w:rPr>
                <w:rFonts w:asciiTheme="minorHAnsi" w:hAnsiTheme="minorHAnsi" w:cstheme="minorHAnsi"/>
                <w:b/>
                <w:sz w:val="44"/>
                <w:szCs w:val="44"/>
                <w:lang w:val="en-GB"/>
              </w:rPr>
            </w:pPr>
            <w:r w:rsidRPr="001B0E16">
              <w:rPr>
                <w:rFonts w:asciiTheme="minorHAnsi" w:hAnsiTheme="minorHAnsi" w:cstheme="minorHAnsi"/>
                <w:b/>
                <w:sz w:val="44"/>
                <w:szCs w:val="44"/>
                <w:lang w:val="en-GB"/>
              </w:rPr>
              <w:t>Agenda item:</w:t>
            </w:r>
          </w:p>
        </w:tc>
        <w:tc>
          <w:tcPr>
            <w:tcW w:w="1260" w:type="dxa"/>
          </w:tcPr>
          <w:p w:rsidR="00E068B3" w:rsidRPr="001B0E16" w:rsidRDefault="00EF66DF" w:rsidP="00E068B3">
            <w:pPr>
              <w:pStyle w:val="NoSpacing"/>
              <w:jc w:val="center"/>
              <w:rPr>
                <w:rFonts w:asciiTheme="minorHAnsi" w:hAnsiTheme="minorHAnsi" w:cstheme="minorHAnsi"/>
                <w:b/>
                <w:sz w:val="44"/>
                <w:szCs w:val="44"/>
                <w:lang w:val="en-GB"/>
              </w:rPr>
            </w:pPr>
            <w:r>
              <w:rPr>
                <w:rFonts w:asciiTheme="minorHAnsi" w:hAnsiTheme="minorHAnsi" w:cstheme="minorHAnsi"/>
                <w:b/>
                <w:sz w:val="44"/>
                <w:szCs w:val="44"/>
                <w:lang w:val="en-GB"/>
              </w:rPr>
              <w:t>13</w:t>
            </w:r>
          </w:p>
        </w:tc>
      </w:tr>
      <w:tr w:rsidR="00E068B3" w:rsidTr="00E068B3">
        <w:tc>
          <w:tcPr>
            <w:tcW w:w="3420" w:type="dxa"/>
          </w:tcPr>
          <w:p w:rsidR="00E068B3" w:rsidRPr="001B0E16" w:rsidRDefault="00E068B3" w:rsidP="00E068B3">
            <w:pPr>
              <w:pStyle w:val="NoSpacing"/>
              <w:jc w:val="right"/>
              <w:rPr>
                <w:rFonts w:asciiTheme="minorHAnsi" w:hAnsiTheme="minorHAnsi" w:cstheme="minorHAnsi"/>
                <w:b/>
                <w:sz w:val="44"/>
                <w:szCs w:val="44"/>
                <w:lang w:val="en-GB"/>
              </w:rPr>
            </w:pPr>
            <w:r w:rsidRPr="001B0E16">
              <w:rPr>
                <w:rFonts w:asciiTheme="minorHAnsi" w:hAnsiTheme="minorHAnsi" w:cstheme="minorHAnsi"/>
                <w:b/>
                <w:sz w:val="44"/>
                <w:szCs w:val="44"/>
                <w:lang w:val="en-GB"/>
              </w:rPr>
              <w:t>Attachment:</w:t>
            </w:r>
          </w:p>
        </w:tc>
        <w:tc>
          <w:tcPr>
            <w:tcW w:w="1260" w:type="dxa"/>
          </w:tcPr>
          <w:p w:rsidR="00E068B3" w:rsidRPr="001B0E16" w:rsidRDefault="00EF66DF" w:rsidP="00E068B3">
            <w:pPr>
              <w:pStyle w:val="NoSpacing"/>
              <w:jc w:val="center"/>
              <w:rPr>
                <w:rFonts w:asciiTheme="minorHAnsi" w:hAnsiTheme="minorHAnsi" w:cstheme="minorHAnsi"/>
                <w:b/>
                <w:sz w:val="44"/>
                <w:szCs w:val="44"/>
                <w:lang w:val="en-GB"/>
              </w:rPr>
            </w:pPr>
            <w:r>
              <w:rPr>
                <w:rFonts w:asciiTheme="minorHAnsi" w:hAnsiTheme="minorHAnsi" w:cstheme="minorHAnsi"/>
                <w:b/>
                <w:sz w:val="44"/>
                <w:szCs w:val="44"/>
                <w:lang w:val="en-GB"/>
              </w:rPr>
              <w:t>F</w:t>
            </w:r>
          </w:p>
        </w:tc>
      </w:tr>
    </w:tbl>
    <w:p w:rsidR="0000688A" w:rsidRPr="0000688A" w:rsidRDefault="0000688A" w:rsidP="0063397F">
      <w:pPr>
        <w:spacing w:after="0"/>
        <w:jc w:val="center"/>
        <w:rPr>
          <w:rFonts w:asciiTheme="minorHAnsi" w:hAnsiTheme="minorHAnsi" w:cstheme="minorHAnsi"/>
          <w:b/>
          <w:sz w:val="24"/>
          <w:szCs w:val="24"/>
        </w:rPr>
      </w:pPr>
    </w:p>
    <w:p w:rsidR="00E068B3" w:rsidRDefault="00E068B3" w:rsidP="0063397F">
      <w:pPr>
        <w:spacing w:after="0"/>
        <w:jc w:val="center"/>
        <w:rPr>
          <w:rFonts w:asciiTheme="minorHAnsi" w:hAnsiTheme="minorHAnsi" w:cstheme="minorHAnsi"/>
          <w:b/>
          <w:sz w:val="40"/>
          <w:szCs w:val="40"/>
        </w:rPr>
      </w:pPr>
    </w:p>
    <w:p w:rsidR="00E068B3" w:rsidRDefault="00E068B3" w:rsidP="00151DBF">
      <w:pPr>
        <w:spacing w:after="0" w:line="240" w:lineRule="auto"/>
        <w:jc w:val="center"/>
        <w:rPr>
          <w:rFonts w:asciiTheme="minorHAnsi" w:hAnsiTheme="minorHAnsi" w:cstheme="minorHAnsi"/>
          <w:b/>
          <w:sz w:val="24"/>
          <w:szCs w:val="24"/>
        </w:rPr>
      </w:pPr>
    </w:p>
    <w:p w:rsidR="00151DBF" w:rsidRPr="00151DBF" w:rsidRDefault="00151DBF" w:rsidP="00151DBF">
      <w:pPr>
        <w:spacing w:after="0" w:line="240" w:lineRule="auto"/>
        <w:jc w:val="center"/>
        <w:rPr>
          <w:rFonts w:asciiTheme="minorHAnsi" w:hAnsiTheme="minorHAnsi" w:cstheme="minorHAnsi"/>
          <w:b/>
          <w:sz w:val="24"/>
          <w:szCs w:val="24"/>
        </w:rPr>
      </w:pPr>
    </w:p>
    <w:p w:rsidR="0063397F" w:rsidRPr="00151DBF" w:rsidRDefault="001B0E16" w:rsidP="00151DBF">
      <w:pPr>
        <w:spacing w:after="0" w:line="240" w:lineRule="auto"/>
        <w:jc w:val="center"/>
        <w:rPr>
          <w:rFonts w:asciiTheme="minorHAnsi" w:hAnsiTheme="minorHAnsi" w:cstheme="minorHAnsi"/>
          <w:b/>
          <w:sz w:val="44"/>
          <w:szCs w:val="44"/>
        </w:rPr>
      </w:pPr>
      <w:r w:rsidRPr="00151DBF">
        <w:rPr>
          <w:rFonts w:asciiTheme="minorHAnsi" w:hAnsiTheme="minorHAnsi" w:cstheme="minorHAnsi"/>
          <w:b/>
          <w:sz w:val="44"/>
          <w:szCs w:val="44"/>
        </w:rPr>
        <w:t xml:space="preserve">HRA </w:t>
      </w:r>
      <w:r w:rsidR="00EF083F">
        <w:rPr>
          <w:rFonts w:asciiTheme="minorHAnsi" w:hAnsiTheme="minorHAnsi" w:cstheme="minorHAnsi"/>
          <w:b/>
          <w:sz w:val="44"/>
          <w:szCs w:val="44"/>
        </w:rPr>
        <w:t>BOARD</w:t>
      </w:r>
      <w:r w:rsidRPr="00151DBF">
        <w:rPr>
          <w:rFonts w:asciiTheme="minorHAnsi" w:hAnsiTheme="minorHAnsi" w:cstheme="minorHAnsi"/>
          <w:b/>
          <w:sz w:val="44"/>
          <w:szCs w:val="44"/>
        </w:rPr>
        <w:t xml:space="preserve"> COVER SHEET</w:t>
      </w:r>
    </w:p>
    <w:p w:rsidR="00151DBF" w:rsidRDefault="00151DBF" w:rsidP="0063397F">
      <w:pPr>
        <w:spacing w:after="0"/>
        <w:jc w:val="center"/>
        <w:rPr>
          <w:rFonts w:asciiTheme="minorHAnsi" w:hAnsiTheme="minorHAnsi" w:cstheme="minorHAnsi"/>
          <w:b/>
          <w:sz w:val="24"/>
          <w:szCs w:val="24"/>
        </w:rPr>
      </w:pPr>
    </w:p>
    <w:tbl>
      <w:tblPr>
        <w:tblStyle w:val="TableGrid"/>
        <w:tblW w:w="0" w:type="auto"/>
        <w:tblLook w:val="04A0" w:firstRow="1" w:lastRow="0" w:firstColumn="1" w:lastColumn="0" w:noHBand="0" w:noVBand="1"/>
      </w:tblPr>
      <w:tblGrid>
        <w:gridCol w:w="2628"/>
        <w:gridCol w:w="6320"/>
      </w:tblGrid>
      <w:tr w:rsidR="00151DBF" w:rsidRPr="00C90060" w:rsidTr="00AE2C5E">
        <w:tc>
          <w:tcPr>
            <w:tcW w:w="2628" w:type="dxa"/>
          </w:tcPr>
          <w:p w:rsidR="00151DBF" w:rsidRPr="00C90060" w:rsidRDefault="00151DBF" w:rsidP="00AE2C5E">
            <w:pPr>
              <w:rPr>
                <w:rFonts w:asciiTheme="minorHAnsi" w:hAnsiTheme="minorHAnsi" w:cstheme="minorHAnsi"/>
                <w:b/>
              </w:rPr>
            </w:pPr>
            <w:r w:rsidRPr="00C90060">
              <w:rPr>
                <w:rFonts w:asciiTheme="minorHAnsi" w:hAnsiTheme="minorHAnsi" w:cstheme="minorHAnsi"/>
                <w:b/>
              </w:rPr>
              <w:t>Date of Meeting:</w:t>
            </w:r>
          </w:p>
          <w:p w:rsidR="00151DBF" w:rsidRPr="00C90060" w:rsidRDefault="00151DBF" w:rsidP="00AE2C5E">
            <w:pPr>
              <w:rPr>
                <w:rFonts w:asciiTheme="minorHAnsi" w:hAnsiTheme="minorHAnsi" w:cstheme="minorHAnsi"/>
                <w:b/>
              </w:rPr>
            </w:pPr>
          </w:p>
        </w:tc>
        <w:tc>
          <w:tcPr>
            <w:tcW w:w="6320" w:type="dxa"/>
          </w:tcPr>
          <w:p w:rsidR="00C90060" w:rsidRPr="00C90060" w:rsidRDefault="005E793C" w:rsidP="008D7A57">
            <w:pPr>
              <w:rPr>
                <w:rFonts w:asciiTheme="minorHAnsi" w:hAnsiTheme="minorHAnsi" w:cstheme="minorHAnsi"/>
              </w:rPr>
            </w:pPr>
            <w:r>
              <w:rPr>
                <w:rFonts w:asciiTheme="minorHAnsi" w:hAnsiTheme="minorHAnsi" w:cstheme="minorHAnsi"/>
              </w:rPr>
              <w:t>15/04</w:t>
            </w:r>
            <w:r w:rsidR="00E95521">
              <w:rPr>
                <w:rFonts w:asciiTheme="minorHAnsi" w:hAnsiTheme="minorHAnsi" w:cstheme="minorHAnsi"/>
              </w:rPr>
              <w:t>/2015</w:t>
            </w:r>
          </w:p>
        </w:tc>
      </w:tr>
    </w:tbl>
    <w:p w:rsidR="00151DBF" w:rsidRPr="00C90060" w:rsidRDefault="00151DBF" w:rsidP="0063397F">
      <w:pPr>
        <w:spacing w:after="0"/>
        <w:jc w:val="center"/>
        <w:rPr>
          <w:rFonts w:asciiTheme="minorHAnsi" w:hAnsiTheme="minorHAnsi" w:cstheme="minorHAnsi"/>
          <w:b/>
        </w:rPr>
      </w:pPr>
    </w:p>
    <w:tbl>
      <w:tblPr>
        <w:tblStyle w:val="TableGrid"/>
        <w:tblW w:w="0" w:type="auto"/>
        <w:tblLook w:val="04A0" w:firstRow="1" w:lastRow="0" w:firstColumn="1" w:lastColumn="0" w:noHBand="0" w:noVBand="1"/>
      </w:tblPr>
      <w:tblGrid>
        <w:gridCol w:w="2628"/>
        <w:gridCol w:w="6320"/>
      </w:tblGrid>
      <w:tr w:rsidR="0000688A" w:rsidRPr="00C90060" w:rsidTr="00151DBF">
        <w:tc>
          <w:tcPr>
            <w:tcW w:w="2628" w:type="dxa"/>
          </w:tcPr>
          <w:p w:rsidR="0000688A" w:rsidRDefault="0000688A" w:rsidP="00C90060">
            <w:pPr>
              <w:rPr>
                <w:rFonts w:asciiTheme="minorHAnsi" w:hAnsiTheme="minorHAnsi" w:cstheme="minorHAnsi"/>
                <w:b/>
              </w:rPr>
            </w:pPr>
            <w:r w:rsidRPr="00C90060">
              <w:rPr>
                <w:rFonts w:asciiTheme="minorHAnsi" w:hAnsiTheme="minorHAnsi" w:cstheme="minorHAnsi"/>
                <w:b/>
              </w:rPr>
              <w:t>Title of Paper:</w:t>
            </w:r>
          </w:p>
          <w:p w:rsidR="00C90060" w:rsidRDefault="00C90060" w:rsidP="00C90060">
            <w:pPr>
              <w:rPr>
                <w:rFonts w:asciiTheme="minorHAnsi" w:hAnsiTheme="minorHAnsi" w:cstheme="minorHAnsi"/>
                <w:b/>
              </w:rPr>
            </w:pPr>
          </w:p>
          <w:p w:rsidR="00C90060" w:rsidRPr="00C90060" w:rsidRDefault="00C90060" w:rsidP="00C90060">
            <w:pPr>
              <w:rPr>
                <w:rFonts w:asciiTheme="minorHAnsi" w:hAnsiTheme="minorHAnsi" w:cstheme="minorHAnsi"/>
                <w:b/>
              </w:rPr>
            </w:pPr>
          </w:p>
        </w:tc>
        <w:tc>
          <w:tcPr>
            <w:tcW w:w="6320" w:type="dxa"/>
          </w:tcPr>
          <w:p w:rsidR="0000688A" w:rsidRPr="00C90060" w:rsidRDefault="005E793C" w:rsidP="005E793C">
            <w:pPr>
              <w:rPr>
                <w:rFonts w:asciiTheme="minorHAnsi" w:hAnsiTheme="minorHAnsi" w:cstheme="minorHAnsi"/>
              </w:rPr>
            </w:pPr>
            <w:r>
              <w:rPr>
                <w:rFonts w:asciiTheme="minorHAnsi" w:hAnsiTheme="minorHAnsi" w:cstheme="minorHAnsi"/>
              </w:rPr>
              <w:t>REC MEMBERSHIP REPORT</w:t>
            </w:r>
          </w:p>
        </w:tc>
      </w:tr>
      <w:tr w:rsidR="0082258E" w:rsidRPr="00C90060" w:rsidTr="00151DBF">
        <w:tc>
          <w:tcPr>
            <w:tcW w:w="2628" w:type="dxa"/>
          </w:tcPr>
          <w:p w:rsidR="0082258E" w:rsidRDefault="0082258E" w:rsidP="00AE2C5E">
            <w:pPr>
              <w:rPr>
                <w:rFonts w:asciiTheme="minorHAnsi" w:hAnsiTheme="minorHAnsi" w:cstheme="minorHAnsi"/>
                <w:b/>
              </w:rPr>
            </w:pPr>
            <w:r w:rsidRPr="00C90060">
              <w:rPr>
                <w:rFonts w:asciiTheme="minorHAnsi" w:hAnsiTheme="minorHAnsi" w:cstheme="minorHAnsi"/>
                <w:b/>
              </w:rPr>
              <w:t>Purpose of Paper:</w:t>
            </w:r>
          </w:p>
          <w:p w:rsidR="00C90060" w:rsidRPr="00C90060" w:rsidRDefault="00C90060" w:rsidP="00AE2C5E">
            <w:pPr>
              <w:rPr>
                <w:rFonts w:asciiTheme="minorHAnsi" w:hAnsiTheme="minorHAnsi" w:cstheme="minorHAnsi"/>
                <w:b/>
              </w:rPr>
            </w:pPr>
          </w:p>
          <w:p w:rsidR="0082258E" w:rsidRPr="00C90060" w:rsidRDefault="0082258E" w:rsidP="00AE2C5E">
            <w:pPr>
              <w:rPr>
                <w:rFonts w:asciiTheme="minorHAnsi" w:hAnsiTheme="minorHAnsi" w:cstheme="minorHAnsi"/>
                <w:b/>
              </w:rPr>
            </w:pPr>
          </w:p>
        </w:tc>
        <w:tc>
          <w:tcPr>
            <w:tcW w:w="6320" w:type="dxa"/>
          </w:tcPr>
          <w:p w:rsidR="00265C95" w:rsidRDefault="005E793C" w:rsidP="0075428A">
            <w:pPr>
              <w:rPr>
                <w:rFonts w:asciiTheme="minorHAnsi" w:hAnsiTheme="minorHAnsi" w:cstheme="minorHAnsi"/>
              </w:rPr>
            </w:pPr>
            <w:r>
              <w:rPr>
                <w:rFonts w:asciiTheme="minorHAnsi" w:hAnsiTheme="minorHAnsi" w:cstheme="minorHAnsi"/>
              </w:rPr>
              <w:t xml:space="preserve">At its meeting in September 2014 </w:t>
            </w:r>
            <w:r w:rsidR="0075428A" w:rsidRPr="00D20297">
              <w:rPr>
                <w:rFonts w:asciiTheme="minorHAnsi" w:hAnsiTheme="minorHAnsi" w:cstheme="minorHAnsi"/>
              </w:rPr>
              <w:t xml:space="preserve">The Health Research Authority (HRA) </w:t>
            </w:r>
            <w:r>
              <w:rPr>
                <w:rFonts w:asciiTheme="minorHAnsi" w:hAnsiTheme="minorHAnsi" w:cstheme="minorHAnsi"/>
              </w:rPr>
              <w:t xml:space="preserve">Board were presented with the REC Annual Reports which included information related to the turnover of REC members. The Board requested further information about the reasons </w:t>
            </w:r>
            <w:r w:rsidR="00265C95">
              <w:rPr>
                <w:rFonts w:asciiTheme="minorHAnsi" w:hAnsiTheme="minorHAnsi" w:cstheme="minorHAnsi"/>
              </w:rPr>
              <w:t xml:space="preserve">why members leave the service before the completion of their term of office. </w:t>
            </w:r>
          </w:p>
          <w:p w:rsidR="00657455" w:rsidRDefault="00265C95" w:rsidP="0075428A">
            <w:pPr>
              <w:rPr>
                <w:rFonts w:asciiTheme="minorHAnsi" w:hAnsiTheme="minorHAnsi" w:cstheme="minorHAnsi"/>
              </w:rPr>
            </w:pPr>
            <w:r>
              <w:rPr>
                <w:rFonts w:asciiTheme="minorHAnsi" w:hAnsiTheme="minorHAnsi" w:cstheme="minorHAnsi"/>
              </w:rPr>
              <w:t xml:space="preserve">There has also been a request to consider ways in which the new Board can engage with </w:t>
            </w:r>
            <w:r w:rsidR="006A5702">
              <w:rPr>
                <w:rFonts w:asciiTheme="minorHAnsi" w:hAnsiTheme="minorHAnsi" w:cstheme="minorHAnsi"/>
              </w:rPr>
              <w:t>REC members and Chairs</w:t>
            </w:r>
            <w:r w:rsidR="00657455">
              <w:rPr>
                <w:rFonts w:asciiTheme="minorHAnsi" w:hAnsiTheme="minorHAnsi" w:cstheme="minorHAnsi"/>
              </w:rPr>
              <w:t xml:space="preserve"> and for information on current communication mechanisms</w:t>
            </w:r>
            <w:r w:rsidR="00A04ACB">
              <w:rPr>
                <w:rFonts w:asciiTheme="minorHAnsi" w:hAnsiTheme="minorHAnsi" w:cstheme="minorHAnsi"/>
              </w:rPr>
              <w:t>.</w:t>
            </w:r>
          </w:p>
          <w:p w:rsidR="00D20297" w:rsidRPr="00D20297" w:rsidRDefault="00265C95" w:rsidP="00265C95">
            <w:pPr>
              <w:rPr>
                <w:rFonts w:asciiTheme="minorHAnsi" w:hAnsiTheme="minorHAnsi" w:cstheme="minorHAnsi"/>
              </w:rPr>
            </w:pPr>
            <w:r>
              <w:rPr>
                <w:rFonts w:asciiTheme="minorHAnsi" w:hAnsiTheme="minorHAnsi" w:cstheme="minorHAnsi"/>
              </w:rPr>
              <w:t>This paper provides that information.</w:t>
            </w:r>
            <w:r w:rsidR="00D20297">
              <w:rPr>
                <w:rFonts w:asciiTheme="minorHAnsi" w:hAnsiTheme="minorHAnsi" w:cstheme="minorHAnsi"/>
              </w:rPr>
              <w:t xml:space="preserve"> </w:t>
            </w:r>
          </w:p>
        </w:tc>
      </w:tr>
      <w:tr w:rsidR="0082258E" w:rsidRPr="00C90060" w:rsidTr="00151DBF">
        <w:tc>
          <w:tcPr>
            <w:tcW w:w="2628" w:type="dxa"/>
          </w:tcPr>
          <w:p w:rsidR="0082258E" w:rsidRDefault="0082258E" w:rsidP="00AE2C5E">
            <w:pPr>
              <w:rPr>
                <w:rFonts w:asciiTheme="minorHAnsi" w:hAnsiTheme="minorHAnsi" w:cstheme="minorHAnsi"/>
                <w:b/>
              </w:rPr>
            </w:pPr>
            <w:r w:rsidRPr="00C90060">
              <w:rPr>
                <w:rFonts w:asciiTheme="minorHAnsi" w:hAnsiTheme="minorHAnsi" w:cstheme="minorHAnsi"/>
                <w:b/>
              </w:rPr>
              <w:t>Reason for Submission:</w:t>
            </w:r>
          </w:p>
          <w:p w:rsidR="00C90060" w:rsidRPr="00C90060" w:rsidRDefault="00C90060" w:rsidP="00AE2C5E">
            <w:pPr>
              <w:rPr>
                <w:rFonts w:asciiTheme="minorHAnsi" w:hAnsiTheme="minorHAnsi" w:cstheme="minorHAnsi"/>
                <w:b/>
              </w:rPr>
            </w:pPr>
          </w:p>
          <w:p w:rsidR="0082258E" w:rsidRPr="00C90060" w:rsidRDefault="0082258E" w:rsidP="00AE2C5E">
            <w:pPr>
              <w:rPr>
                <w:rFonts w:asciiTheme="minorHAnsi" w:hAnsiTheme="minorHAnsi" w:cstheme="minorHAnsi"/>
                <w:b/>
              </w:rPr>
            </w:pPr>
          </w:p>
        </w:tc>
        <w:tc>
          <w:tcPr>
            <w:tcW w:w="6320" w:type="dxa"/>
          </w:tcPr>
          <w:p w:rsidR="00CD1056" w:rsidRPr="00CD1056" w:rsidRDefault="00265C95" w:rsidP="006A5702">
            <w:pPr>
              <w:rPr>
                <w:rFonts w:asciiTheme="minorHAnsi" w:hAnsiTheme="minorHAnsi" w:cstheme="minorHAnsi"/>
              </w:rPr>
            </w:pPr>
            <w:r>
              <w:rPr>
                <w:rFonts w:asciiTheme="minorHAnsi" w:hAnsiTheme="minorHAnsi" w:cstheme="minorHAnsi"/>
              </w:rPr>
              <w:t xml:space="preserve">This </w:t>
            </w:r>
            <w:r w:rsidR="00CD1056" w:rsidRPr="00CD1056">
              <w:rPr>
                <w:rFonts w:asciiTheme="minorHAnsi" w:hAnsiTheme="minorHAnsi" w:cstheme="minorHAnsi"/>
              </w:rPr>
              <w:t xml:space="preserve">paper </w:t>
            </w:r>
            <w:r w:rsidR="006A5702">
              <w:rPr>
                <w:rFonts w:asciiTheme="minorHAnsi" w:hAnsiTheme="minorHAnsi" w:cstheme="minorHAnsi"/>
              </w:rPr>
              <w:t>is presented to the Board to provide the information requested in relation to the turnover of REC members, member recruitment, and to suggest ways in which members of the Board could consider engagement with REC members and Chairs.</w:t>
            </w:r>
            <w:r w:rsidR="00470A31">
              <w:rPr>
                <w:rFonts w:asciiTheme="minorHAnsi" w:hAnsiTheme="minorHAnsi" w:cstheme="minorHAnsi"/>
              </w:rPr>
              <w:t xml:space="preserve"> </w:t>
            </w:r>
          </w:p>
          <w:p w:rsidR="00CD1056" w:rsidRPr="00CD1056" w:rsidRDefault="00CD1056" w:rsidP="00CD1056">
            <w:pPr>
              <w:rPr>
                <w:rFonts w:asciiTheme="minorHAnsi" w:hAnsiTheme="minorHAnsi" w:cstheme="minorHAnsi"/>
              </w:rPr>
            </w:pPr>
          </w:p>
          <w:p w:rsidR="008D7A57" w:rsidRPr="00021714" w:rsidRDefault="00021714" w:rsidP="008D7A57">
            <w:pPr>
              <w:rPr>
                <w:rFonts w:asciiTheme="minorHAnsi" w:hAnsiTheme="minorHAnsi" w:cstheme="minorHAnsi"/>
              </w:rPr>
            </w:pPr>
            <w:r w:rsidRPr="00021714">
              <w:rPr>
                <w:rFonts w:asciiTheme="minorHAnsi" w:hAnsiTheme="minorHAnsi" w:cstheme="minorHAnsi"/>
              </w:rPr>
              <w:t xml:space="preserve">The Board is asked to </w:t>
            </w:r>
            <w:r w:rsidR="008D7A57">
              <w:rPr>
                <w:rFonts w:asciiTheme="minorHAnsi" w:hAnsiTheme="minorHAnsi" w:cstheme="minorHAnsi"/>
              </w:rPr>
              <w:t>consider this paper and whether it is useful to have this information provided quarterly or at the end of the annual reporting period only as in previous years.</w:t>
            </w:r>
          </w:p>
          <w:p w:rsidR="0000688A" w:rsidRPr="00021714" w:rsidRDefault="00021714" w:rsidP="00CD1056">
            <w:pPr>
              <w:rPr>
                <w:rFonts w:asciiTheme="minorHAnsi" w:hAnsiTheme="minorHAnsi" w:cstheme="minorHAnsi"/>
              </w:rPr>
            </w:pPr>
            <w:r w:rsidRPr="00021714">
              <w:rPr>
                <w:rFonts w:asciiTheme="minorHAnsi" w:hAnsiTheme="minorHAnsi" w:cstheme="minorHAnsi"/>
              </w:rPr>
              <w:t xml:space="preserve"> </w:t>
            </w:r>
          </w:p>
        </w:tc>
      </w:tr>
      <w:tr w:rsidR="0082258E" w:rsidRPr="00C90060" w:rsidTr="00151DBF">
        <w:tc>
          <w:tcPr>
            <w:tcW w:w="2628" w:type="dxa"/>
          </w:tcPr>
          <w:p w:rsidR="0082258E" w:rsidRDefault="0082258E" w:rsidP="00AE2C5E">
            <w:pPr>
              <w:rPr>
                <w:rFonts w:asciiTheme="minorHAnsi" w:hAnsiTheme="minorHAnsi" w:cstheme="minorHAnsi"/>
                <w:b/>
              </w:rPr>
            </w:pPr>
            <w:r w:rsidRPr="00C90060">
              <w:rPr>
                <w:rFonts w:asciiTheme="minorHAnsi" w:hAnsiTheme="minorHAnsi" w:cstheme="minorHAnsi"/>
                <w:b/>
              </w:rPr>
              <w:t>Details:</w:t>
            </w:r>
          </w:p>
          <w:p w:rsidR="00C90060" w:rsidRPr="00C90060" w:rsidRDefault="00C90060" w:rsidP="00AE2C5E">
            <w:pPr>
              <w:rPr>
                <w:rFonts w:asciiTheme="minorHAnsi" w:hAnsiTheme="minorHAnsi" w:cstheme="minorHAnsi"/>
                <w:b/>
              </w:rPr>
            </w:pPr>
            <w:bookmarkStart w:id="0" w:name="_GoBack"/>
            <w:bookmarkEnd w:id="0"/>
          </w:p>
        </w:tc>
        <w:tc>
          <w:tcPr>
            <w:tcW w:w="6320" w:type="dxa"/>
          </w:tcPr>
          <w:p w:rsidR="00CD1056" w:rsidRDefault="008D7A57" w:rsidP="008D7A57">
            <w:pPr>
              <w:rPr>
                <w:rFonts w:asciiTheme="minorHAnsi" w:hAnsiTheme="minorHAnsi" w:cstheme="minorHAnsi"/>
              </w:rPr>
            </w:pPr>
            <w:r>
              <w:rPr>
                <w:rFonts w:asciiTheme="minorHAnsi" w:hAnsiTheme="minorHAnsi" w:cstheme="minorHAnsi"/>
              </w:rPr>
              <w:t>See attached paper.</w:t>
            </w:r>
          </w:p>
          <w:p w:rsidR="0000688A" w:rsidRPr="00C90060" w:rsidRDefault="0000688A" w:rsidP="00B60EB8">
            <w:pPr>
              <w:rPr>
                <w:rFonts w:asciiTheme="minorHAnsi" w:hAnsiTheme="minorHAnsi" w:cstheme="minorHAnsi"/>
              </w:rPr>
            </w:pPr>
          </w:p>
        </w:tc>
      </w:tr>
      <w:tr w:rsidR="00C90060" w:rsidRPr="00C90060" w:rsidTr="00151DBF">
        <w:tc>
          <w:tcPr>
            <w:tcW w:w="2628" w:type="dxa"/>
          </w:tcPr>
          <w:p w:rsidR="00C90060" w:rsidRDefault="00C90060" w:rsidP="00B86C50">
            <w:pPr>
              <w:rPr>
                <w:rFonts w:asciiTheme="minorHAnsi" w:hAnsiTheme="minorHAnsi" w:cstheme="minorHAnsi"/>
                <w:b/>
              </w:rPr>
            </w:pPr>
            <w:r>
              <w:rPr>
                <w:rFonts w:asciiTheme="minorHAnsi" w:hAnsiTheme="minorHAnsi" w:cstheme="minorHAnsi"/>
                <w:b/>
              </w:rPr>
              <w:t>Time required for item:</w:t>
            </w:r>
          </w:p>
          <w:p w:rsidR="00C90060" w:rsidRPr="00C90060" w:rsidRDefault="00C90060" w:rsidP="00B86C50">
            <w:pPr>
              <w:rPr>
                <w:rFonts w:asciiTheme="minorHAnsi" w:hAnsiTheme="minorHAnsi" w:cstheme="minorHAnsi"/>
                <w:b/>
              </w:rPr>
            </w:pPr>
          </w:p>
        </w:tc>
        <w:tc>
          <w:tcPr>
            <w:tcW w:w="6320" w:type="dxa"/>
          </w:tcPr>
          <w:p w:rsidR="00C90060" w:rsidRPr="00C90060" w:rsidRDefault="00C90060" w:rsidP="00B86C50">
            <w:pPr>
              <w:rPr>
                <w:rFonts w:asciiTheme="minorHAnsi" w:hAnsiTheme="minorHAnsi" w:cstheme="minorHAnsi"/>
                <w:b/>
              </w:rPr>
            </w:pPr>
          </w:p>
        </w:tc>
      </w:tr>
    </w:tbl>
    <w:p w:rsidR="00E93D47" w:rsidRPr="00C90060" w:rsidRDefault="00E93D47" w:rsidP="00E93D47">
      <w:pPr>
        <w:spacing w:after="0"/>
        <w:rPr>
          <w:rFonts w:asciiTheme="minorHAnsi" w:hAnsiTheme="minorHAnsi" w:cstheme="minorHAnsi"/>
          <w:b/>
        </w:rPr>
      </w:pPr>
    </w:p>
    <w:tbl>
      <w:tblPr>
        <w:tblStyle w:val="TableGrid"/>
        <w:tblW w:w="0" w:type="auto"/>
        <w:shd w:val="clear" w:color="auto" w:fill="D9D9D9" w:themeFill="background1" w:themeFillShade="D9"/>
        <w:tblLook w:val="04A0" w:firstRow="1" w:lastRow="0" w:firstColumn="1" w:lastColumn="0" w:noHBand="0" w:noVBand="1"/>
      </w:tblPr>
      <w:tblGrid>
        <w:gridCol w:w="2628"/>
        <w:gridCol w:w="1350"/>
        <w:gridCol w:w="3690"/>
        <w:gridCol w:w="1280"/>
      </w:tblGrid>
      <w:tr w:rsidR="00E93D47" w:rsidRPr="00C90060" w:rsidTr="00BD0800">
        <w:tc>
          <w:tcPr>
            <w:tcW w:w="2628" w:type="dxa"/>
            <w:vMerge w:val="restart"/>
            <w:shd w:val="clear" w:color="auto" w:fill="D9D9D9" w:themeFill="background1" w:themeFillShade="D9"/>
          </w:tcPr>
          <w:p w:rsidR="00E93D47" w:rsidRPr="00C90060" w:rsidRDefault="00E93D47" w:rsidP="00BD0800">
            <w:pPr>
              <w:rPr>
                <w:rFonts w:asciiTheme="minorHAnsi" w:hAnsiTheme="minorHAnsi" w:cstheme="minorHAnsi"/>
                <w:b/>
              </w:rPr>
            </w:pPr>
            <w:r w:rsidRPr="00C90060">
              <w:rPr>
                <w:rFonts w:asciiTheme="minorHAnsi" w:hAnsiTheme="minorHAnsi" w:cstheme="minorHAnsi"/>
                <w:b/>
              </w:rPr>
              <w:t>Recommendation / Proposed Actions:</w:t>
            </w:r>
          </w:p>
          <w:p w:rsidR="00E93D47" w:rsidRPr="00C90060" w:rsidRDefault="00E93D47" w:rsidP="00BD0800">
            <w:pPr>
              <w:rPr>
                <w:rFonts w:asciiTheme="minorHAnsi" w:hAnsiTheme="minorHAnsi" w:cstheme="minorHAnsi"/>
                <w:b/>
              </w:rPr>
            </w:pPr>
          </w:p>
        </w:tc>
        <w:tc>
          <w:tcPr>
            <w:tcW w:w="5040" w:type="dxa"/>
            <w:gridSpan w:val="2"/>
            <w:shd w:val="clear" w:color="auto" w:fill="D9D9D9" w:themeFill="background1" w:themeFillShade="D9"/>
          </w:tcPr>
          <w:p w:rsidR="00E93D47" w:rsidRPr="00C90060" w:rsidRDefault="00E93D47" w:rsidP="00BD0800">
            <w:pPr>
              <w:rPr>
                <w:rFonts w:asciiTheme="minorHAnsi" w:hAnsiTheme="minorHAnsi" w:cstheme="minorHAnsi"/>
                <w:b/>
              </w:rPr>
            </w:pPr>
            <w:r w:rsidRPr="00C90060">
              <w:rPr>
                <w:rFonts w:asciiTheme="minorHAnsi" w:hAnsiTheme="minorHAnsi" w:cstheme="minorHAnsi"/>
                <w:b/>
              </w:rPr>
              <w:t>To Approve</w:t>
            </w:r>
          </w:p>
        </w:tc>
        <w:tc>
          <w:tcPr>
            <w:tcW w:w="1280" w:type="dxa"/>
            <w:shd w:val="clear" w:color="auto" w:fill="auto"/>
          </w:tcPr>
          <w:p w:rsidR="00E93D47" w:rsidRPr="00C90060" w:rsidRDefault="00BA4693" w:rsidP="00BD0800">
            <w:pPr>
              <w:rPr>
                <w:rFonts w:asciiTheme="minorHAnsi" w:hAnsiTheme="minorHAnsi" w:cstheme="minorHAnsi"/>
                <w:b/>
              </w:rPr>
            </w:pPr>
            <w:r>
              <w:rPr>
                <w:rFonts w:asciiTheme="minorHAnsi" w:hAnsiTheme="minorHAnsi" w:cstheme="minorHAnsi"/>
                <w:b/>
              </w:rPr>
              <w:t>Y</w:t>
            </w:r>
          </w:p>
        </w:tc>
      </w:tr>
      <w:tr w:rsidR="00E93D47" w:rsidRPr="00C90060" w:rsidTr="00BD0800">
        <w:tc>
          <w:tcPr>
            <w:tcW w:w="2628" w:type="dxa"/>
            <w:vMerge/>
            <w:shd w:val="clear" w:color="auto" w:fill="D9D9D9" w:themeFill="background1" w:themeFillShade="D9"/>
          </w:tcPr>
          <w:p w:rsidR="00E93D47" w:rsidRPr="00C90060" w:rsidRDefault="00E93D47" w:rsidP="00BD0800">
            <w:pPr>
              <w:rPr>
                <w:rFonts w:asciiTheme="minorHAnsi" w:hAnsiTheme="minorHAnsi" w:cstheme="minorHAnsi"/>
                <w:b/>
              </w:rPr>
            </w:pPr>
          </w:p>
        </w:tc>
        <w:tc>
          <w:tcPr>
            <w:tcW w:w="5040" w:type="dxa"/>
            <w:gridSpan w:val="2"/>
            <w:shd w:val="clear" w:color="auto" w:fill="D9D9D9" w:themeFill="background1" w:themeFillShade="D9"/>
          </w:tcPr>
          <w:p w:rsidR="00E93D47" w:rsidRPr="00C90060" w:rsidRDefault="00E93D47" w:rsidP="00BD0800">
            <w:pPr>
              <w:rPr>
                <w:rFonts w:asciiTheme="minorHAnsi" w:hAnsiTheme="minorHAnsi" w:cstheme="minorHAnsi"/>
                <w:b/>
              </w:rPr>
            </w:pPr>
            <w:r w:rsidRPr="00C90060">
              <w:rPr>
                <w:rFonts w:asciiTheme="minorHAnsi" w:hAnsiTheme="minorHAnsi" w:cstheme="minorHAnsi"/>
                <w:b/>
              </w:rPr>
              <w:t>To Note</w:t>
            </w:r>
          </w:p>
        </w:tc>
        <w:tc>
          <w:tcPr>
            <w:tcW w:w="1280" w:type="dxa"/>
            <w:shd w:val="clear" w:color="auto" w:fill="auto"/>
          </w:tcPr>
          <w:p w:rsidR="00E93D47" w:rsidRPr="00C90060" w:rsidRDefault="00E93D47" w:rsidP="00BD0800">
            <w:pPr>
              <w:rPr>
                <w:rFonts w:asciiTheme="minorHAnsi" w:hAnsiTheme="minorHAnsi" w:cstheme="minorHAnsi"/>
                <w:b/>
              </w:rPr>
            </w:pPr>
          </w:p>
        </w:tc>
      </w:tr>
      <w:tr w:rsidR="008B043D" w:rsidRPr="00C90060" w:rsidTr="00BD0800">
        <w:tc>
          <w:tcPr>
            <w:tcW w:w="2628" w:type="dxa"/>
            <w:vMerge/>
            <w:shd w:val="clear" w:color="auto" w:fill="D9D9D9" w:themeFill="background1" w:themeFillShade="D9"/>
          </w:tcPr>
          <w:p w:rsidR="008B043D" w:rsidRPr="00C90060" w:rsidRDefault="008B043D" w:rsidP="00BD0800">
            <w:pPr>
              <w:rPr>
                <w:rFonts w:asciiTheme="minorHAnsi" w:hAnsiTheme="minorHAnsi" w:cstheme="minorHAnsi"/>
                <w:b/>
              </w:rPr>
            </w:pPr>
          </w:p>
        </w:tc>
        <w:tc>
          <w:tcPr>
            <w:tcW w:w="5040" w:type="dxa"/>
            <w:gridSpan w:val="2"/>
            <w:shd w:val="clear" w:color="auto" w:fill="D9D9D9" w:themeFill="background1" w:themeFillShade="D9"/>
          </w:tcPr>
          <w:p w:rsidR="008B043D" w:rsidRPr="00C90060" w:rsidRDefault="008B043D" w:rsidP="00BD0800">
            <w:pPr>
              <w:rPr>
                <w:rFonts w:asciiTheme="minorHAnsi" w:hAnsiTheme="minorHAnsi" w:cstheme="minorHAnsi"/>
                <w:b/>
              </w:rPr>
            </w:pPr>
            <w:r w:rsidRPr="00C90060">
              <w:rPr>
                <w:rFonts w:asciiTheme="minorHAnsi" w:hAnsiTheme="minorHAnsi" w:cstheme="minorHAnsi"/>
                <w:b/>
              </w:rPr>
              <w:t>For Discussion</w:t>
            </w:r>
          </w:p>
        </w:tc>
        <w:tc>
          <w:tcPr>
            <w:tcW w:w="1280" w:type="dxa"/>
            <w:shd w:val="clear" w:color="auto" w:fill="auto"/>
          </w:tcPr>
          <w:p w:rsidR="008B043D" w:rsidRPr="00C90060" w:rsidRDefault="009C7443" w:rsidP="00BD0800">
            <w:pPr>
              <w:rPr>
                <w:rFonts w:asciiTheme="minorHAnsi" w:hAnsiTheme="minorHAnsi" w:cstheme="minorHAnsi"/>
                <w:b/>
              </w:rPr>
            </w:pPr>
            <w:r>
              <w:rPr>
                <w:rFonts w:asciiTheme="minorHAnsi" w:hAnsiTheme="minorHAnsi" w:cstheme="minorHAnsi"/>
                <w:b/>
              </w:rPr>
              <w:t>Y</w:t>
            </w:r>
          </w:p>
        </w:tc>
      </w:tr>
      <w:tr w:rsidR="00E93D47" w:rsidRPr="00C90060" w:rsidTr="00BD0800">
        <w:tc>
          <w:tcPr>
            <w:tcW w:w="2628" w:type="dxa"/>
            <w:vMerge/>
            <w:shd w:val="clear" w:color="auto" w:fill="D9D9D9" w:themeFill="background1" w:themeFillShade="D9"/>
          </w:tcPr>
          <w:p w:rsidR="00E93D47" w:rsidRPr="00C90060" w:rsidRDefault="00E93D47" w:rsidP="00BD0800">
            <w:pPr>
              <w:rPr>
                <w:rFonts w:asciiTheme="minorHAnsi" w:hAnsiTheme="minorHAnsi" w:cstheme="minorHAnsi"/>
                <w:b/>
              </w:rPr>
            </w:pPr>
          </w:p>
        </w:tc>
        <w:tc>
          <w:tcPr>
            <w:tcW w:w="1350" w:type="dxa"/>
            <w:shd w:val="clear" w:color="auto" w:fill="D9D9D9" w:themeFill="background1" w:themeFillShade="D9"/>
          </w:tcPr>
          <w:p w:rsidR="00E93D47" w:rsidRPr="00C90060" w:rsidRDefault="00E93D47" w:rsidP="00BD0800">
            <w:pPr>
              <w:rPr>
                <w:rFonts w:asciiTheme="minorHAnsi" w:hAnsiTheme="minorHAnsi" w:cstheme="minorHAnsi"/>
                <w:b/>
              </w:rPr>
            </w:pPr>
            <w:r w:rsidRPr="00C90060">
              <w:rPr>
                <w:rFonts w:asciiTheme="minorHAnsi" w:hAnsiTheme="minorHAnsi" w:cstheme="minorHAnsi"/>
                <w:b/>
              </w:rPr>
              <w:t>Comments</w:t>
            </w:r>
          </w:p>
        </w:tc>
        <w:tc>
          <w:tcPr>
            <w:tcW w:w="4970" w:type="dxa"/>
            <w:gridSpan w:val="2"/>
            <w:shd w:val="clear" w:color="auto" w:fill="auto"/>
          </w:tcPr>
          <w:p w:rsidR="00E93D47" w:rsidRPr="00C90060" w:rsidRDefault="00E93D47" w:rsidP="00BD0800">
            <w:pPr>
              <w:rPr>
                <w:rFonts w:asciiTheme="minorHAnsi" w:hAnsiTheme="minorHAnsi" w:cstheme="minorHAnsi"/>
                <w:b/>
              </w:rPr>
            </w:pPr>
          </w:p>
        </w:tc>
      </w:tr>
    </w:tbl>
    <w:p w:rsidR="00E93D47" w:rsidRPr="00C90060" w:rsidRDefault="00E93D47" w:rsidP="00E93D47">
      <w:pPr>
        <w:tabs>
          <w:tab w:val="left" w:pos="1980"/>
        </w:tabs>
        <w:spacing w:after="0" w:line="240" w:lineRule="auto"/>
        <w:rPr>
          <w:rFonts w:asciiTheme="minorHAnsi" w:hAnsiTheme="minorHAnsi" w:cstheme="minorHAnsi"/>
          <w:b/>
        </w:rPr>
      </w:pPr>
    </w:p>
    <w:tbl>
      <w:tblPr>
        <w:tblStyle w:val="TableGrid"/>
        <w:tblW w:w="0" w:type="auto"/>
        <w:tblLook w:val="04A0" w:firstRow="1" w:lastRow="0" w:firstColumn="1" w:lastColumn="0" w:noHBand="0" w:noVBand="1"/>
      </w:tblPr>
      <w:tblGrid>
        <w:gridCol w:w="2628"/>
        <w:gridCol w:w="6320"/>
      </w:tblGrid>
      <w:tr w:rsidR="00151DBF" w:rsidRPr="00C90060" w:rsidTr="00AE2C5E">
        <w:tc>
          <w:tcPr>
            <w:tcW w:w="2628" w:type="dxa"/>
          </w:tcPr>
          <w:p w:rsidR="00151DBF" w:rsidRPr="00C90060" w:rsidRDefault="00151DBF" w:rsidP="00AE2C5E">
            <w:pPr>
              <w:rPr>
                <w:rFonts w:asciiTheme="minorHAnsi" w:hAnsiTheme="minorHAnsi" w:cstheme="minorHAnsi"/>
                <w:b/>
              </w:rPr>
            </w:pPr>
            <w:r w:rsidRPr="00C90060">
              <w:rPr>
                <w:rFonts w:asciiTheme="minorHAnsi" w:hAnsiTheme="minorHAnsi" w:cstheme="minorHAnsi"/>
                <w:b/>
              </w:rPr>
              <w:t>Name:</w:t>
            </w:r>
          </w:p>
          <w:p w:rsidR="00151DBF" w:rsidRPr="00C90060" w:rsidRDefault="00151DBF" w:rsidP="00AE2C5E">
            <w:pPr>
              <w:rPr>
                <w:rFonts w:asciiTheme="minorHAnsi" w:hAnsiTheme="minorHAnsi" w:cstheme="minorHAnsi"/>
                <w:b/>
              </w:rPr>
            </w:pPr>
          </w:p>
        </w:tc>
        <w:tc>
          <w:tcPr>
            <w:tcW w:w="6320" w:type="dxa"/>
          </w:tcPr>
          <w:p w:rsidR="00151DBF" w:rsidRPr="00C90060" w:rsidRDefault="008D7A57" w:rsidP="008D7A57">
            <w:pPr>
              <w:rPr>
                <w:rFonts w:asciiTheme="minorHAnsi" w:hAnsiTheme="minorHAnsi" w:cstheme="minorHAnsi"/>
              </w:rPr>
            </w:pPr>
            <w:r>
              <w:rPr>
                <w:rFonts w:asciiTheme="minorHAnsi" w:hAnsiTheme="minorHAnsi" w:cstheme="minorHAnsi"/>
              </w:rPr>
              <w:t>Joan Kirkbride/Sheila Oliver</w:t>
            </w:r>
          </w:p>
        </w:tc>
      </w:tr>
      <w:tr w:rsidR="00151DBF" w:rsidRPr="00C90060" w:rsidTr="00AE2C5E">
        <w:tc>
          <w:tcPr>
            <w:tcW w:w="2628" w:type="dxa"/>
          </w:tcPr>
          <w:p w:rsidR="00151DBF" w:rsidRPr="00C90060" w:rsidRDefault="00151DBF" w:rsidP="00AE2C5E">
            <w:pPr>
              <w:rPr>
                <w:rFonts w:asciiTheme="minorHAnsi" w:hAnsiTheme="minorHAnsi" w:cstheme="minorHAnsi"/>
                <w:b/>
              </w:rPr>
            </w:pPr>
            <w:r w:rsidRPr="00C90060">
              <w:rPr>
                <w:rFonts w:asciiTheme="minorHAnsi" w:hAnsiTheme="minorHAnsi" w:cstheme="minorHAnsi"/>
                <w:b/>
              </w:rPr>
              <w:t>Job Title:</w:t>
            </w:r>
          </w:p>
          <w:p w:rsidR="00151DBF" w:rsidRPr="00C90060" w:rsidRDefault="00151DBF" w:rsidP="00AE2C5E">
            <w:pPr>
              <w:rPr>
                <w:rFonts w:asciiTheme="minorHAnsi" w:hAnsiTheme="minorHAnsi" w:cstheme="minorHAnsi"/>
                <w:b/>
              </w:rPr>
            </w:pPr>
          </w:p>
        </w:tc>
        <w:tc>
          <w:tcPr>
            <w:tcW w:w="6320" w:type="dxa"/>
          </w:tcPr>
          <w:p w:rsidR="00151DBF" w:rsidRPr="00C90060" w:rsidRDefault="009C7443" w:rsidP="00AE2C5E">
            <w:pPr>
              <w:rPr>
                <w:rFonts w:asciiTheme="minorHAnsi" w:hAnsiTheme="minorHAnsi" w:cstheme="minorHAnsi"/>
              </w:rPr>
            </w:pPr>
            <w:r>
              <w:rPr>
                <w:rFonts w:asciiTheme="minorHAnsi" w:hAnsiTheme="minorHAnsi" w:cstheme="minorHAnsi"/>
              </w:rPr>
              <w:t xml:space="preserve">Director </w:t>
            </w:r>
            <w:r w:rsidR="008D7A57">
              <w:rPr>
                <w:rFonts w:asciiTheme="minorHAnsi" w:hAnsiTheme="minorHAnsi" w:cstheme="minorHAnsi"/>
              </w:rPr>
              <w:t>of Operations and Approval</w:t>
            </w:r>
            <w:r w:rsidR="00BA4693">
              <w:rPr>
                <w:rFonts w:asciiTheme="minorHAnsi" w:hAnsiTheme="minorHAnsi" w:cstheme="minorHAnsi"/>
              </w:rPr>
              <w:t xml:space="preserve"> / </w:t>
            </w:r>
            <w:r w:rsidR="008D7A57">
              <w:rPr>
                <w:rFonts w:asciiTheme="minorHAnsi" w:hAnsiTheme="minorHAnsi" w:cstheme="minorHAnsi"/>
              </w:rPr>
              <w:t>Head of RES (England)</w:t>
            </w:r>
          </w:p>
          <w:p w:rsidR="00151DBF" w:rsidRPr="00C90060" w:rsidRDefault="00151DBF" w:rsidP="00AE2C5E">
            <w:pPr>
              <w:rPr>
                <w:rFonts w:asciiTheme="minorHAnsi" w:hAnsiTheme="minorHAnsi" w:cstheme="minorHAnsi"/>
              </w:rPr>
            </w:pPr>
          </w:p>
        </w:tc>
      </w:tr>
      <w:tr w:rsidR="00151DBF" w:rsidRPr="00C90060" w:rsidTr="00AE2C5E">
        <w:tc>
          <w:tcPr>
            <w:tcW w:w="2628" w:type="dxa"/>
          </w:tcPr>
          <w:p w:rsidR="00151DBF" w:rsidRPr="00C90060" w:rsidRDefault="00151DBF" w:rsidP="00AE2C5E">
            <w:pPr>
              <w:rPr>
                <w:rFonts w:asciiTheme="minorHAnsi" w:hAnsiTheme="minorHAnsi" w:cstheme="minorHAnsi"/>
                <w:b/>
              </w:rPr>
            </w:pPr>
            <w:r w:rsidRPr="00C90060">
              <w:rPr>
                <w:rFonts w:asciiTheme="minorHAnsi" w:hAnsiTheme="minorHAnsi" w:cstheme="minorHAnsi"/>
                <w:b/>
              </w:rPr>
              <w:t>Date:</w:t>
            </w:r>
          </w:p>
          <w:p w:rsidR="00151DBF" w:rsidRPr="00C90060" w:rsidRDefault="00151DBF" w:rsidP="00AE2C5E">
            <w:pPr>
              <w:rPr>
                <w:rFonts w:asciiTheme="minorHAnsi" w:hAnsiTheme="minorHAnsi" w:cstheme="minorHAnsi"/>
                <w:b/>
              </w:rPr>
            </w:pPr>
          </w:p>
        </w:tc>
        <w:tc>
          <w:tcPr>
            <w:tcW w:w="6320" w:type="dxa"/>
          </w:tcPr>
          <w:p w:rsidR="00151DBF" w:rsidRPr="00C90060" w:rsidRDefault="008D7A57" w:rsidP="00AE2C5E">
            <w:pPr>
              <w:rPr>
                <w:rFonts w:asciiTheme="minorHAnsi" w:hAnsiTheme="minorHAnsi" w:cstheme="minorHAnsi"/>
              </w:rPr>
            </w:pPr>
            <w:r>
              <w:rPr>
                <w:rFonts w:asciiTheme="minorHAnsi" w:hAnsiTheme="minorHAnsi" w:cstheme="minorHAnsi"/>
              </w:rPr>
              <w:t>07/04</w:t>
            </w:r>
            <w:r w:rsidR="00BA4693">
              <w:rPr>
                <w:rFonts w:asciiTheme="minorHAnsi" w:hAnsiTheme="minorHAnsi" w:cstheme="minorHAnsi"/>
              </w:rPr>
              <w:t>/2015</w:t>
            </w:r>
          </w:p>
          <w:p w:rsidR="00151DBF" w:rsidRPr="00C90060" w:rsidRDefault="00151DBF" w:rsidP="00AE2C5E">
            <w:pPr>
              <w:rPr>
                <w:rFonts w:asciiTheme="minorHAnsi" w:hAnsiTheme="minorHAnsi" w:cstheme="minorHAnsi"/>
              </w:rPr>
            </w:pPr>
          </w:p>
        </w:tc>
      </w:tr>
    </w:tbl>
    <w:p w:rsidR="00151DBF" w:rsidRDefault="00151DBF" w:rsidP="00151DBF">
      <w:pPr>
        <w:tabs>
          <w:tab w:val="left" w:pos="1980"/>
        </w:tabs>
        <w:spacing w:after="0" w:line="240" w:lineRule="auto"/>
        <w:rPr>
          <w:rFonts w:asciiTheme="minorHAnsi" w:hAnsiTheme="minorHAnsi" w:cstheme="minorHAnsi"/>
          <w:b/>
        </w:rPr>
      </w:pPr>
    </w:p>
    <w:p w:rsidR="006A5702" w:rsidRDefault="006A5702" w:rsidP="006A5702">
      <w:pPr>
        <w:rPr>
          <w:rFonts w:cs="Arial"/>
          <w:b/>
        </w:rPr>
      </w:pPr>
      <w:r w:rsidRPr="00527554">
        <w:rPr>
          <w:rFonts w:cs="Arial"/>
          <w:b/>
        </w:rPr>
        <w:t xml:space="preserve">BOARD PAPER </w:t>
      </w:r>
    </w:p>
    <w:p w:rsidR="006A5702" w:rsidRPr="00527554" w:rsidRDefault="008D7A57" w:rsidP="006A5702">
      <w:pPr>
        <w:rPr>
          <w:rFonts w:cs="Arial"/>
          <w:b/>
        </w:rPr>
      </w:pPr>
      <w:r>
        <w:rPr>
          <w:rFonts w:cs="Arial"/>
          <w:b/>
        </w:rPr>
        <w:t>REC MEMBERSHIP REPORT</w:t>
      </w:r>
    </w:p>
    <w:p w:rsidR="006A5702" w:rsidRDefault="006A5702" w:rsidP="006A5702">
      <w:pPr>
        <w:rPr>
          <w:rFonts w:cs="Arial"/>
          <w:b/>
        </w:rPr>
      </w:pPr>
      <w:r w:rsidRPr="000C17CD">
        <w:rPr>
          <w:rFonts w:cs="Arial"/>
          <w:b/>
        </w:rPr>
        <w:t>Background/Context</w:t>
      </w:r>
    </w:p>
    <w:p w:rsidR="00C14BEE" w:rsidRDefault="008D7A57" w:rsidP="006A5702">
      <w:pPr>
        <w:rPr>
          <w:rFonts w:cs="Arial"/>
        </w:rPr>
      </w:pPr>
      <w:r>
        <w:rPr>
          <w:rFonts w:cs="Arial"/>
        </w:rPr>
        <w:t>Research Ethics Committee (REC) Annual Reports presented to the HRA Board in September e</w:t>
      </w:r>
      <w:r w:rsidR="00B14F87">
        <w:rPr>
          <w:rFonts w:cs="Arial"/>
        </w:rPr>
        <w:t>ach year include information rel</w:t>
      </w:r>
      <w:r>
        <w:rPr>
          <w:rFonts w:cs="Arial"/>
        </w:rPr>
        <w:t xml:space="preserve">ated to the </w:t>
      </w:r>
      <w:r w:rsidR="00B14F87">
        <w:rPr>
          <w:rFonts w:cs="Arial"/>
        </w:rPr>
        <w:t>turnover of REC me</w:t>
      </w:r>
      <w:r w:rsidR="00A23F9F">
        <w:rPr>
          <w:rFonts w:cs="Arial"/>
        </w:rPr>
        <w:t xml:space="preserve">mbers. Information reported </w:t>
      </w:r>
      <w:r w:rsidR="00B14F87">
        <w:rPr>
          <w:rFonts w:cs="Arial"/>
        </w:rPr>
        <w:t xml:space="preserve">to date </w:t>
      </w:r>
      <w:r w:rsidR="00A23F9F">
        <w:rPr>
          <w:rFonts w:cs="Arial"/>
        </w:rPr>
        <w:t xml:space="preserve">has </w:t>
      </w:r>
      <w:r w:rsidR="00B14F87">
        <w:rPr>
          <w:rFonts w:cs="Arial"/>
        </w:rPr>
        <w:t>only included the number of members leaving and new members joining</w:t>
      </w:r>
      <w:r w:rsidR="00A23F9F">
        <w:rPr>
          <w:rFonts w:cs="Arial"/>
        </w:rPr>
        <w:t>,</w:t>
      </w:r>
      <w:r w:rsidR="00B14F87">
        <w:rPr>
          <w:rFonts w:cs="Arial"/>
        </w:rPr>
        <w:t xml:space="preserve"> and the classification of those members </w:t>
      </w:r>
      <w:r w:rsidR="00C14BEE">
        <w:rPr>
          <w:rFonts w:cs="Arial"/>
        </w:rPr>
        <w:t>whe</w:t>
      </w:r>
      <w:r w:rsidR="00B14F87">
        <w:rPr>
          <w:rFonts w:cs="Arial"/>
        </w:rPr>
        <w:t xml:space="preserve">ther lay or expert. </w:t>
      </w:r>
      <w:r w:rsidR="00A23F9F">
        <w:rPr>
          <w:rFonts w:cs="Arial"/>
        </w:rPr>
        <w:t>Membership turnover is circa 20% each year. For the most recent year 181 members left the service, 109 were expert members and 42 of those were clinicians, 157 new members were recruited, 85 were expert members an</w:t>
      </w:r>
      <w:r w:rsidR="00C14BEE">
        <w:rPr>
          <w:rFonts w:cs="Arial"/>
        </w:rPr>
        <w:t xml:space="preserve">d of those, 34 were doctors or retired doctors. It should be noted that until 2014 RECs were expected to have up to 18 members, this was reduced to 15 as the optimum number based on attendees at REC meetings. Members are appointed for a 5 year term of office and can be re-appointed for a second 5 year term if they wish </w:t>
      </w:r>
      <w:r w:rsidR="00A17086">
        <w:rPr>
          <w:rFonts w:cs="Arial"/>
        </w:rPr>
        <w:t xml:space="preserve">within the same REC </w:t>
      </w:r>
      <w:r w:rsidR="00C14BEE">
        <w:rPr>
          <w:rFonts w:cs="Arial"/>
        </w:rPr>
        <w:t xml:space="preserve">and their membership in terms of meeting terms and conditions of membership </w:t>
      </w:r>
      <w:r w:rsidR="00A17086">
        <w:rPr>
          <w:rFonts w:cs="Arial"/>
        </w:rPr>
        <w:t>is</w:t>
      </w:r>
      <w:r w:rsidR="00C14BEE">
        <w:rPr>
          <w:rFonts w:cs="Arial"/>
        </w:rPr>
        <w:t xml:space="preserve"> satisfactory.</w:t>
      </w:r>
    </w:p>
    <w:p w:rsidR="008D7A57" w:rsidRDefault="00C14BEE" w:rsidP="006A5702">
      <w:pPr>
        <w:rPr>
          <w:rFonts w:cs="Arial"/>
        </w:rPr>
      </w:pPr>
      <w:r>
        <w:rPr>
          <w:rFonts w:cs="Arial"/>
        </w:rPr>
        <w:t xml:space="preserve">It has been reported informally that expert members, especially clinicians, leave the service before the end of their term of office due to workload pressures and lack of support from Trusts for their attendance at REC meetings. </w:t>
      </w:r>
      <w:r w:rsidR="00A17086">
        <w:rPr>
          <w:rFonts w:cs="Arial"/>
        </w:rPr>
        <w:t>The HRA has a letter from Dame Sally Davies which encourages organisations to release staff for non-clinical work and where we are notified of difficulties with particular organisations the HRA writes to the Chief Executive about this issue.  It has also been suggested by a clinician member that the HRA should reflect on its membership requirements and allow members to serve for more than ten years on a single committee.  This suggestion will be addressed</w:t>
      </w:r>
    </w:p>
    <w:p w:rsidR="00C14BEE" w:rsidRDefault="00C14BEE" w:rsidP="006A5702">
      <w:pPr>
        <w:rPr>
          <w:rFonts w:cs="Arial"/>
        </w:rPr>
      </w:pPr>
      <w:r>
        <w:rPr>
          <w:rFonts w:cs="Arial"/>
        </w:rPr>
        <w:t>At the end of 2014 a members leavers checklist was introduced to capture the reasons for members leaving in order to consider whether any measures can be taken to reduce turnover.</w:t>
      </w:r>
    </w:p>
    <w:p w:rsidR="006A5702" w:rsidRDefault="006A5702" w:rsidP="006A5702">
      <w:pPr>
        <w:rPr>
          <w:rFonts w:cs="Arial"/>
          <w:b/>
        </w:rPr>
      </w:pPr>
      <w:r>
        <w:rPr>
          <w:rFonts w:cs="Arial"/>
          <w:b/>
        </w:rPr>
        <w:t>Scope</w:t>
      </w:r>
    </w:p>
    <w:p w:rsidR="006C2225" w:rsidRDefault="006C2225" w:rsidP="006A5702">
      <w:pPr>
        <w:rPr>
          <w:rFonts w:cs="Arial"/>
        </w:rPr>
      </w:pPr>
      <w:r>
        <w:rPr>
          <w:rFonts w:cs="Arial"/>
        </w:rPr>
        <w:t>This report includes information for quarter four 2014/15 related to members leaving the service, the reasons for leaving and the number of new members appointed.</w:t>
      </w:r>
    </w:p>
    <w:p w:rsidR="006C2225" w:rsidRDefault="006C2225" w:rsidP="006A5702">
      <w:pPr>
        <w:rPr>
          <w:rFonts w:cs="Arial"/>
          <w:b/>
        </w:rPr>
      </w:pPr>
      <w:r>
        <w:rPr>
          <w:rFonts w:cs="Arial"/>
          <w:b/>
        </w:rPr>
        <w:t>Members leaving the service</w:t>
      </w:r>
    </w:p>
    <w:p w:rsidR="006C2225" w:rsidRDefault="006C2225" w:rsidP="006A5702">
      <w:pPr>
        <w:rPr>
          <w:rFonts w:cs="Arial"/>
        </w:rPr>
      </w:pPr>
      <w:r>
        <w:rPr>
          <w:rFonts w:cs="Arial"/>
        </w:rPr>
        <w:t>From</w:t>
      </w:r>
      <w:r w:rsidR="00E3416D">
        <w:rPr>
          <w:rFonts w:cs="Arial"/>
        </w:rPr>
        <w:t xml:space="preserve"> January to March 2015 only 15</w:t>
      </w:r>
      <w:r>
        <w:rPr>
          <w:rFonts w:cs="Arial"/>
        </w:rPr>
        <w:t xml:space="preserve"> members left the service</w:t>
      </w:r>
      <w:r w:rsidR="004D78B3">
        <w:rPr>
          <w:rFonts w:cs="Arial"/>
        </w:rPr>
        <w:t>, from 10</w:t>
      </w:r>
      <w:r w:rsidR="000E155B">
        <w:rPr>
          <w:rFonts w:cs="Arial"/>
        </w:rPr>
        <w:t xml:space="preserve"> different RECs, 7</w:t>
      </w:r>
      <w:r>
        <w:rPr>
          <w:rFonts w:cs="Arial"/>
        </w:rPr>
        <w:t xml:space="preserve"> were expert members (</w:t>
      </w:r>
      <w:r w:rsidR="00A04ACB">
        <w:rPr>
          <w:rFonts w:cs="Arial"/>
        </w:rPr>
        <w:t xml:space="preserve">including </w:t>
      </w:r>
      <w:r w:rsidR="000E155B">
        <w:rPr>
          <w:rFonts w:cs="Arial"/>
        </w:rPr>
        <w:t>2</w:t>
      </w:r>
      <w:r>
        <w:rPr>
          <w:rFonts w:cs="Arial"/>
        </w:rPr>
        <w:t xml:space="preserve"> doctor and 3 nurses</w:t>
      </w:r>
      <w:r w:rsidR="00E3416D">
        <w:rPr>
          <w:rFonts w:cs="Arial"/>
        </w:rPr>
        <w:t>), 5 Lay members and 3</w:t>
      </w:r>
      <w:r>
        <w:rPr>
          <w:rFonts w:cs="Arial"/>
        </w:rPr>
        <w:t xml:space="preserve"> </w:t>
      </w:r>
      <w:proofErr w:type="gramStart"/>
      <w:r>
        <w:rPr>
          <w:rFonts w:cs="Arial"/>
        </w:rPr>
        <w:t>Lay</w:t>
      </w:r>
      <w:proofErr w:type="gramEnd"/>
      <w:r>
        <w:rPr>
          <w:rFonts w:cs="Arial"/>
        </w:rPr>
        <w:t xml:space="preserve"> plus members. </w:t>
      </w:r>
    </w:p>
    <w:p w:rsidR="006C2225" w:rsidRDefault="006C2225" w:rsidP="006A5702">
      <w:pPr>
        <w:rPr>
          <w:rFonts w:cs="Arial"/>
        </w:rPr>
      </w:pPr>
      <w:r>
        <w:rPr>
          <w:rFonts w:cs="Arial"/>
        </w:rPr>
        <w:t>The reaso</w:t>
      </w:r>
      <w:r w:rsidR="002E642D">
        <w:rPr>
          <w:rFonts w:cs="Arial"/>
        </w:rPr>
        <w:t>ns for leaving were reported as follows:</w:t>
      </w:r>
    </w:p>
    <w:tbl>
      <w:tblPr>
        <w:tblStyle w:val="TableGrid"/>
        <w:tblW w:w="0" w:type="auto"/>
        <w:tblLook w:val="04A0" w:firstRow="1" w:lastRow="0" w:firstColumn="1" w:lastColumn="0" w:noHBand="0" w:noVBand="1"/>
      </w:tblPr>
      <w:tblGrid>
        <w:gridCol w:w="852"/>
        <w:gridCol w:w="785"/>
        <w:gridCol w:w="1012"/>
        <w:gridCol w:w="1671"/>
        <w:gridCol w:w="1524"/>
        <w:gridCol w:w="1001"/>
        <w:gridCol w:w="1635"/>
        <w:gridCol w:w="808"/>
      </w:tblGrid>
      <w:tr w:rsidR="002E642D" w:rsidTr="002E642D">
        <w:tc>
          <w:tcPr>
            <w:tcW w:w="573" w:type="dxa"/>
          </w:tcPr>
          <w:p w:rsidR="002E642D" w:rsidRDefault="002E642D" w:rsidP="006A5702">
            <w:pPr>
              <w:rPr>
                <w:rFonts w:cs="Arial"/>
              </w:rPr>
            </w:pPr>
          </w:p>
        </w:tc>
        <w:tc>
          <w:tcPr>
            <w:tcW w:w="874" w:type="dxa"/>
          </w:tcPr>
          <w:p w:rsidR="002E642D" w:rsidRDefault="002E642D" w:rsidP="006A5702">
            <w:pPr>
              <w:rPr>
                <w:rFonts w:cs="Arial"/>
              </w:rPr>
            </w:pPr>
            <w:r>
              <w:rPr>
                <w:rFonts w:cs="Arial"/>
              </w:rPr>
              <w:t>End of term of office</w:t>
            </w:r>
          </w:p>
        </w:tc>
        <w:tc>
          <w:tcPr>
            <w:tcW w:w="1064" w:type="dxa"/>
          </w:tcPr>
          <w:p w:rsidR="002E642D" w:rsidRDefault="002E642D" w:rsidP="006A5702">
            <w:pPr>
              <w:rPr>
                <w:rFonts w:cs="Arial"/>
              </w:rPr>
            </w:pPr>
            <w:r>
              <w:rPr>
                <w:rFonts w:cs="Arial"/>
              </w:rPr>
              <w:t>Change of job</w:t>
            </w:r>
          </w:p>
        </w:tc>
        <w:tc>
          <w:tcPr>
            <w:tcW w:w="1671" w:type="dxa"/>
          </w:tcPr>
          <w:p w:rsidR="002E642D" w:rsidRDefault="002E642D" w:rsidP="006A5702">
            <w:pPr>
              <w:rPr>
                <w:rFonts w:cs="Arial"/>
              </w:rPr>
            </w:pPr>
            <w:r>
              <w:rPr>
                <w:rFonts w:cs="Arial"/>
              </w:rPr>
              <w:t>Workload/work commitments</w:t>
            </w:r>
          </w:p>
        </w:tc>
        <w:tc>
          <w:tcPr>
            <w:tcW w:w="1524" w:type="dxa"/>
          </w:tcPr>
          <w:p w:rsidR="002E642D" w:rsidRDefault="002E642D" w:rsidP="006A5702">
            <w:pPr>
              <w:rPr>
                <w:rFonts w:cs="Arial"/>
              </w:rPr>
            </w:pPr>
            <w:r>
              <w:rPr>
                <w:rFonts w:cs="Arial"/>
              </w:rPr>
              <w:t>Personal commitments</w:t>
            </w:r>
          </w:p>
        </w:tc>
        <w:tc>
          <w:tcPr>
            <w:tcW w:w="1054" w:type="dxa"/>
          </w:tcPr>
          <w:p w:rsidR="002E642D" w:rsidRDefault="002E642D" w:rsidP="006A5702">
            <w:pPr>
              <w:rPr>
                <w:rFonts w:cs="Arial"/>
              </w:rPr>
            </w:pPr>
            <w:r>
              <w:rPr>
                <w:rFonts w:cs="Arial"/>
              </w:rPr>
              <w:t>Moving to a new location</w:t>
            </w:r>
          </w:p>
        </w:tc>
        <w:tc>
          <w:tcPr>
            <w:tcW w:w="1635" w:type="dxa"/>
          </w:tcPr>
          <w:p w:rsidR="002E642D" w:rsidRDefault="002E642D" w:rsidP="006A5702">
            <w:pPr>
              <w:rPr>
                <w:rFonts w:cs="Arial"/>
              </w:rPr>
            </w:pPr>
            <w:r>
              <w:rPr>
                <w:rFonts w:cs="Arial"/>
              </w:rPr>
              <w:t>Dissatisfaction with the HRA</w:t>
            </w:r>
          </w:p>
        </w:tc>
        <w:tc>
          <w:tcPr>
            <w:tcW w:w="893" w:type="dxa"/>
          </w:tcPr>
          <w:p w:rsidR="002E642D" w:rsidRDefault="002E642D" w:rsidP="006A5702">
            <w:pPr>
              <w:rPr>
                <w:rFonts w:cs="Arial"/>
              </w:rPr>
            </w:pPr>
            <w:r>
              <w:rPr>
                <w:rFonts w:cs="Arial"/>
              </w:rPr>
              <w:t>Other</w:t>
            </w:r>
          </w:p>
        </w:tc>
      </w:tr>
      <w:tr w:rsidR="002E642D" w:rsidTr="002E642D">
        <w:tc>
          <w:tcPr>
            <w:tcW w:w="573" w:type="dxa"/>
          </w:tcPr>
          <w:p w:rsidR="002E642D" w:rsidRDefault="002E642D" w:rsidP="006A5702">
            <w:pPr>
              <w:rPr>
                <w:rFonts w:cs="Arial"/>
              </w:rPr>
            </w:pPr>
            <w:r>
              <w:rPr>
                <w:rFonts w:cs="Arial"/>
              </w:rPr>
              <w:t>Expert</w:t>
            </w:r>
          </w:p>
        </w:tc>
        <w:tc>
          <w:tcPr>
            <w:tcW w:w="874" w:type="dxa"/>
          </w:tcPr>
          <w:p w:rsidR="002E642D" w:rsidRDefault="002E642D" w:rsidP="006A5702">
            <w:pPr>
              <w:rPr>
                <w:rFonts w:cs="Arial"/>
              </w:rPr>
            </w:pPr>
          </w:p>
        </w:tc>
        <w:tc>
          <w:tcPr>
            <w:tcW w:w="1064" w:type="dxa"/>
          </w:tcPr>
          <w:p w:rsidR="002E642D" w:rsidRDefault="002E642D" w:rsidP="006A5702">
            <w:pPr>
              <w:rPr>
                <w:rFonts w:cs="Arial"/>
              </w:rPr>
            </w:pPr>
            <w:r>
              <w:rPr>
                <w:rFonts w:cs="Arial"/>
              </w:rPr>
              <w:t>2</w:t>
            </w:r>
          </w:p>
        </w:tc>
        <w:tc>
          <w:tcPr>
            <w:tcW w:w="1671" w:type="dxa"/>
          </w:tcPr>
          <w:p w:rsidR="002E642D" w:rsidRDefault="000E155B" w:rsidP="006A5702">
            <w:pPr>
              <w:rPr>
                <w:rFonts w:cs="Arial"/>
              </w:rPr>
            </w:pPr>
            <w:r>
              <w:rPr>
                <w:rFonts w:cs="Arial"/>
              </w:rPr>
              <w:t>2</w:t>
            </w:r>
          </w:p>
        </w:tc>
        <w:tc>
          <w:tcPr>
            <w:tcW w:w="1524" w:type="dxa"/>
          </w:tcPr>
          <w:p w:rsidR="002E642D" w:rsidRDefault="002E642D" w:rsidP="006A5702">
            <w:pPr>
              <w:rPr>
                <w:rFonts w:cs="Arial"/>
              </w:rPr>
            </w:pPr>
            <w:r>
              <w:rPr>
                <w:rFonts w:cs="Arial"/>
              </w:rPr>
              <w:t>1</w:t>
            </w:r>
          </w:p>
        </w:tc>
        <w:tc>
          <w:tcPr>
            <w:tcW w:w="1054" w:type="dxa"/>
          </w:tcPr>
          <w:p w:rsidR="002E642D" w:rsidRDefault="002E642D" w:rsidP="006A5702">
            <w:pPr>
              <w:rPr>
                <w:rFonts w:cs="Arial"/>
              </w:rPr>
            </w:pPr>
          </w:p>
        </w:tc>
        <w:tc>
          <w:tcPr>
            <w:tcW w:w="1635" w:type="dxa"/>
          </w:tcPr>
          <w:p w:rsidR="002E642D" w:rsidRDefault="002E642D" w:rsidP="006A5702">
            <w:pPr>
              <w:rPr>
                <w:rFonts w:cs="Arial"/>
              </w:rPr>
            </w:pPr>
          </w:p>
        </w:tc>
        <w:tc>
          <w:tcPr>
            <w:tcW w:w="893" w:type="dxa"/>
          </w:tcPr>
          <w:p w:rsidR="002E642D" w:rsidRDefault="002E642D" w:rsidP="006A5702">
            <w:pPr>
              <w:rPr>
                <w:rFonts w:cs="Arial"/>
              </w:rPr>
            </w:pPr>
            <w:r>
              <w:rPr>
                <w:rFonts w:cs="Arial"/>
              </w:rPr>
              <w:t>2</w:t>
            </w:r>
          </w:p>
        </w:tc>
      </w:tr>
      <w:tr w:rsidR="002E642D" w:rsidTr="002E642D">
        <w:tc>
          <w:tcPr>
            <w:tcW w:w="573" w:type="dxa"/>
          </w:tcPr>
          <w:p w:rsidR="002E642D" w:rsidRDefault="002E642D" w:rsidP="006A5702">
            <w:pPr>
              <w:rPr>
                <w:rFonts w:cs="Arial"/>
              </w:rPr>
            </w:pPr>
            <w:r>
              <w:rPr>
                <w:rFonts w:cs="Arial"/>
              </w:rPr>
              <w:t>Lay</w:t>
            </w:r>
          </w:p>
        </w:tc>
        <w:tc>
          <w:tcPr>
            <w:tcW w:w="874" w:type="dxa"/>
          </w:tcPr>
          <w:p w:rsidR="002E642D" w:rsidRDefault="002E642D" w:rsidP="006A5702">
            <w:pPr>
              <w:rPr>
                <w:rFonts w:cs="Arial"/>
              </w:rPr>
            </w:pPr>
            <w:r>
              <w:rPr>
                <w:rFonts w:cs="Arial"/>
              </w:rPr>
              <w:t>1</w:t>
            </w:r>
          </w:p>
        </w:tc>
        <w:tc>
          <w:tcPr>
            <w:tcW w:w="1064" w:type="dxa"/>
          </w:tcPr>
          <w:p w:rsidR="002E642D" w:rsidRDefault="002E642D" w:rsidP="006A5702">
            <w:pPr>
              <w:rPr>
                <w:rFonts w:cs="Arial"/>
              </w:rPr>
            </w:pPr>
          </w:p>
        </w:tc>
        <w:tc>
          <w:tcPr>
            <w:tcW w:w="1671" w:type="dxa"/>
          </w:tcPr>
          <w:p w:rsidR="002E642D" w:rsidRDefault="002E642D" w:rsidP="006A5702">
            <w:pPr>
              <w:rPr>
                <w:rFonts w:cs="Arial"/>
              </w:rPr>
            </w:pPr>
            <w:r>
              <w:rPr>
                <w:rFonts w:cs="Arial"/>
              </w:rPr>
              <w:t>1</w:t>
            </w:r>
          </w:p>
        </w:tc>
        <w:tc>
          <w:tcPr>
            <w:tcW w:w="1524" w:type="dxa"/>
          </w:tcPr>
          <w:p w:rsidR="002E642D" w:rsidRDefault="002E642D" w:rsidP="006A5702">
            <w:pPr>
              <w:rPr>
                <w:rFonts w:cs="Arial"/>
              </w:rPr>
            </w:pPr>
            <w:r>
              <w:rPr>
                <w:rFonts w:cs="Arial"/>
              </w:rPr>
              <w:t>3</w:t>
            </w:r>
          </w:p>
        </w:tc>
        <w:tc>
          <w:tcPr>
            <w:tcW w:w="1054" w:type="dxa"/>
          </w:tcPr>
          <w:p w:rsidR="002E642D" w:rsidRDefault="002E642D" w:rsidP="006A5702">
            <w:pPr>
              <w:rPr>
                <w:rFonts w:cs="Arial"/>
              </w:rPr>
            </w:pPr>
          </w:p>
        </w:tc>
        <w:tc>
          <w:tcPr>
            <w:tcW w:w="1635" w:type="dxa"/>
          </w:tcPr>
          <w:p w:rsidR="002E642D" w:rsidRDefault="002E642D" w:rsidP="006A5702">
            <w:pPr>
              <w:rPr>
                <w:rFonts w:cs="Arial"/>
              </w:rPr>
            </w:pPr>
          </w:p>
        </w:tc>
        <w:tc>
          <w:tcPr>
            <w:tcW w:w="893" w:type="dxa"/>
          </w:tcPr>
          <w:p w:rsidR="002E642D" w:rsidRDefault="002E642D" w:rsidP="006A5702">
            <w:pPr>
              <w:rPr>
                <w:rFonts w:cs="Arial"/>
              </w:rPr>
            </w:pPr>
          </w:p>
        </w:tc>
      </w:tr>
      <w:tr w:rsidR="002E642D" w:rsidTr="002E642D">
        <w:tc>
          <w:tcPr>
            <w:tcW w:w="573" w:type="dxa"/>
          </w:tcPr>
          <w:p w:rsidR="002E642D" w:rsidRDefault="002E642D" w:rsidP="006A5702">
            <w:pPr>
              <w:rPr>
                <w:rFonts w:cs="Arial"/>
              </w:rPr>
            </w:pPr>
            <w:r>
              <w:rPr>
                <w:rFonts w:cs="Arial"/>
              </w:rPr>
              <w:lastRenderedPageBreak/>
              <w:t>Lay +</w:t>
            </w:r>
          </w:p>
        </w:tc>
        <w:tc>
          <w:tcPr>
            <w:tcW w:w="874" w:type="dxa"/>
          </w:tcPr>
          <w:p w:rsidR="002E642D" w:rsidRDefault="002E642D" w:rsidP="006A5702">
            <w:pPr>
              <w:rPr>
                <w:rFonts w:cs="Arial"/>
              </w:rPr>
            </w:pPr>
          </w:p>
        </w:tc>
        <w:tc>
          <w:tcPr>
            <w:tcW w:w="1064" w:type="dxa"/>
          </w:tcPr>
          <w:p w:rsidR="002E642D" w:rsidRDefault="002E642D" w:rsidP="006A5702">
            <w:pPr>
              <w:rPr>
                <w:rFonts w:cs="Arial"/>
              </w:rPr>
            </w:pPr>
          </w:p>
        </w:tc>
        <w:tc>
          <w:tcPr>
            <w:tcW w:w="1671" w:type="dxa"/>
          </w:tcPr>
          <w:p w:rsidR="002E642D" w:rsidRDefault="002E642D" w:rsidP="006A5702">
            <w:pPr>
              <w:rPr>
                <w:rFonts w:cs="Arial"/>
              </w:rPr>
            </w:pPr>
          </w:p>
        </w:tc>
        <w:tc>
          <w:tcPr>
            <w:tcW w:w="1524" w:type="dxa"/>
          </w:tcPr>
          <w:p w:rsidR="002E642D" w:rsidRDefault="002E642D" w:rsidP="006A5702">
            <w:pPr>
              <w:rPr>
                <w:rFonts w:cs="Arial"/>
              </w:rPr>
            </w:pPr>
            <w:r>
              <w:rPr>
                <w:rFonts w:cs="Arial"/>
              </w:rPr>
              <w:t>2</w:t>
            </w:r>
          </w:p>
        </w:tc>
        <w:tc>
          <w:tcPr>
            <w:tcW w:w="1054" w:type="dxa"/>
          </w:tcPr>
          <w:p w:rsidR="002E642D" w:rsidRDefault="002E642D" w:rsidP="006A5702">
            <w:pPr>
              <w:rPr>
                <w:rFonts w:cs="Arial"/>
              </w:rPr>
            </w:pPr>
          </w:p>
        </w:tc>
        <w:tc>
          <w:tcPr>
            <w:tcW w:w="1635" w:type="dxa"/>
          </w:tcPr>
          <w:p w:rsidR="002E642D" w:rsidRDefault="002E642D" w:rsidP="006A5702">
            <w:pPr>
              <w:rPr>
                <w:rFonts w:cs="Arial"/>
              </w:rPr>
            </w:pPr>
          </w:p>
        </w:tc>
        <w:tc>
          <w:tcPr>
            <w:tcW w:w="893" w:type="dxa"/>
          </w:tcPr>
          <w:p w:rsidR="002E642D" w:rsidRDefault="00A04ACB" w:rsidP="006A5702">
            <w:pPr>
              <w:rPr>
                <w:rFonts w:cs="Arial"/>
              </w:rPr>
            </w:pPr>
            <w:r>
              <w:rPr>
                <w:rFonts w:cs="Arial"/>
              </w:rPr>
              <w:t>1</w:t>
            </w:r>
          </w:p>
        </w:tc>
      </w:tr>
      <w:tr w:rsidR="002E642D" w:rsidTr="002E642D">
        <w:tc>
          <w:tcPr>
            <w:tcW w:w="573" w:type="dxa"/>
            <w:shd w:val="clear" w:color="auto" w:fill="D9D9D9" w:themeFill="background1" w:themeFillShade="D9"/>
          </w:tcPr>
          <w:p w:rsidR="002E642D" w:rsidRDefault="002E642D" w:rsidP="006A5702">
            <w:pPr>
              <w:rPr>
                <w:rFonts w:cs="Arial"/>
              </w:rPr>
            </w:pPr>
            <w:r>
              <w:rPr>
                <w:rFonts w:cs="Arial"/>
              </w:rPr>
              <w:t>Total</w:t>
            </w:r>
          </w:p>
        </w:tc>
        <w:tc>
          <w:tcPr>
            <w:tcW w:w="874" w:type="dxa"/>
            <w:shd w:val="clear" w:color="auto" w:fill="D9D9D9" w:themeFill="background1" w:themeFillShade="D9"/>
          </w:tcPr>
          <w:p w:rsidR="002E642D" w:rsidRDefault="002E642D" w:rsidP="006A5702">
            <w:pPr>
              <w:rPr>
                <w:rFonts w:cs="Arial"/>
              </w:rPr>
            </w:pPr>
            <w:r>
              <w:rPr>
                <w:rFonts w:cs="Arial"/>
              </w:rPr>
              <w:t>1</w:t>
            </w:r>
          </w:p>
        </w:tc>
        <w:tc>
          <w:tcPr>
            <w:tcW w:w="1064" w:type="dxa"/>
            <w:shd w:val="clear" w:color="auto" w:fill="D9D9D9" w:themeFill="background1" w:themeFillShade="D9"/>
          </w:tcPr>
          <w:p w:rsidR="002E642D" w:rsidRDefault="002E642D" w:rsidP="006A5702">
            <w:pPr>
              <w:rPr>
                <w:rFonts w:cs="Arial"/>
              </w:rPr>
            </w:pPr>
            <w:r>
              <w:rPr>
                <w:rFonts w:cs="Arial"/>
              </w:rPr>
              <w:t>2</w:t>
            </w:r>
          </w:p>
        </w:tc>
        <w:tc>
          <w:tcPr>
            <w:tcW w:w="1671" w:type="dxa"/>
            <w:shd w:val="clear" w:color="auto" w:fill="D9D9D9" w:themeFill="background1" w:themeFillShade="D9"/>
          </w:tcPr>
          <w:p w:rsidR="002E642D" w:rsidRDefault="000E155B" w:rsidP="006A5702">
            <w:pPr>
              <w:rPr>
                <w:rFonts w:cs="Arial"/>
              </w:rPr>
            </w:pPr>
            <w:r>
              <w:rPr>
                <w:rFonts w:cs="Arial"/>
              </w:rPr>
              <w:t>3</w:t>
            </w:r>
          </w:p>
        </w:tc>
        <w:tc>
          <w:tcPr>
            <w:tcW w:w="1524" w:type="dxa"/>
            <w:shd w:val="clear" w:color="auto" w:fill="D9D9D9" w:themeFill="background1" w:themeFillShade="D9"/>
          </w:tcPr>
          <w:p w:rsidR="002E642D" w:rsidRDefault="002E642D" w:rsidP="006A5702">
            <w:pPr>
              <w:rPr>
                <w:rFonts w:cs="Arial"/>
              </w:rPr>
            </w:pPr>
            <w:r>
              <w:rPr>
                <w:rFonts w:cs="Arial"/>
              </w:rPr>
              <w:t>6</w:t>
            </w:r>
          </w:p>
        </w:tc>
        <w:tc>
          <w:tcPr>
            <w:tcW w:w="1054" w:type="dxa"/>
            <w:shd w:val="clear" w:color="auto" w:fill="D9D9D9" w:themeFill="background1" w:themeFillShade="D9"/>
          </w:tcPr>
          <w:p w:rsidR="002E642D" w:rsidRDefault="002E642D" w:rsidP="006A5702">
            <w:pPr>
              <w:rPr>
                <w:rFonts w:cs="Arial"/>
              </w:rPr>
            </w:pPr>
          </w:p>
        </w:tc>
        <w:tc>
          <w:tcPr>
            <w:tcW w:w="1635" w:type="dxa"/>
            <w:shd w:val="clear" w:color="auto" w:fill="D9D9D9" w:themeFill="background1" w:themeFillShade="D9"/>
          </w:tcPr>
          <w:p w:rsidR="002E642D" w:rsidRDefault="002E642D" w:rsidP="006A5702">
            <w:pPr>
              <w:rPr>
                <w:rFonts w:cs="Arial"/>
              </w:rPr>
            </w:pPr>
          </w:p>
        </w:tc>
        <w:tc>
          <w:tcPr>
            <w:tcW w:w="893" w:type="dxa"/>
            <w:shd w:val="clear" w:color="auto" w:fill="D9D9D9" w:themeFill="background1" w:themeFillShade="D9"/>
          </w:tcPr>
          <w:p w:rsidR="002E642D" w:rsidRDefault="00A04ACB" w:rsidP="006A5702">
            <w:pPr>
              <w:rPr>
                <w:rFonts w:cs="Arial"/>
              </w:rPr>
            </w:pPr>
            <w:r>
              <w:rPr>
                <w:rFonts w:cs="Arial"/>
              </w:rPr>
              <w:t>3</w:t>
            </w:r>
          </w:p>
        </w:tc>
      </w:tr>
    </w:tbl>
    <w:p w:rsidR="006C2225" w:rsidRDefault="006C2225" w:rsidP="006A5702">
      <w:pPr>
        <w:rPr>
          <w:rFonts w:cs="Arial"/>
        </w:rPr>
      </w:pPr>
    </w:p>
    <w:p w:rsidR="002E642D" w:rsidRDefault="002E642D" w:rsidP="006A5702">
      <w:pPr>
        <w:rPr>
          <w:rFonts w:cs="Arial"/>
          <w:b/>
        </w:rPr>
      </w:pPr>
      <w:r>
        <w:rPr>
          <w:rFonts w:cs="Arial"/>
          <w:b/>
        </w:rPr>
        <w:t>Recruitment</w:t>
      </w:r>
    </w:p>
    <w:p w:rsidR="002E642D" w:rsidRDefault="002E642D" w:rsidP="006A5702">
      <w:pPr>
        <w:rPr>
          <w:rFonts w:cs="Arial"/>
        </w:rPr>
      </w:pPr>
      <w:r>
        <w:rPr>
          <w:rFonts w:cs="Arial"/>
        </w:rPr>
        <w:t xml:space="preserve">From January to March 2015 </w:t>
      </w:r>
      <w:r w:rsidR="003E0F23">
        <w:rPr>
          <w:rFonts w:cs="Arial"/>
        </w:rPr>
        <w:t>thirty three new members were appointed (this included 2 members transferring to other RECs at the end of their term of office). New appointments were across 27 RECs with the largest number of new members to one REC being 4.</w:t>
      </w:r>
    </w:p>
    <w:p w:rsidR="003E0F23" w:rsidRDefault="003E0F23" w:rsidP="006A5702">
      <w:pPr>
        <w:rPr>
          <w:rFonts w:cs="Arial"/>
        </w:rPr>
      </w:pPr>
      <w:r>
        <w:rPr>
          <w:rFonts w:cs="Arial"/>
        </w:rPr>
        <w:t>Classification of members recruited was as follows:</w:t>
      </w:r>
    </w:p>
    <w:tbl>
      <w:tblPr>
        <w:tblStyle w:val="TableGrid"/>
        <w:tblW w:w="0" w:type="auto"/>
        <w:tblLook w:val="04A0" w:firstRow="1" w:lastRow="0" w:firstColumn="1" w:lastColumn="0" w:noHBand="0" w:noVBand="1"/>
      </w:tblPr>
      <w:tblGrid>
        <w:gridCol w:w="3096"/>
        <w:gridCol w:w="3096"/>
        <w:gridCol w:w="3096"/>
      </w:tblGrid>
      <w:tr w:rsidR="003E0F23" w:rsidTr="003E0F23">
        <w:tc>
          <w:tcPr>
            <w:tcW w:w="3096" w:type="dxa"/>
          </w:tcPr>
          <w:p w:rsidR="003E0F23" w:rsidRDefault="003E0F23" w:rsidP="006A5702">
            <w:pPr>
              <w:rPr>
                <w:rFonts w:cs="Arial"/>
              </w:rPr>
            </w:pPr>
            <w:r>
              <w:rPr>
                <w:rFonts w:cs="Arial"/>
              </w:rPr>
              <w:t>Expert</w:t>
            </w:r>
          </w:p>
        </w:tc>
        <w:tc>
          <w:tcPr>
            <w:tcW w:w="3096" w:type="dxa"/>
          </w:tcPr>
          <w:p w:rsidR="003E0F23" w:rsidRDefault="003E0F23" w:rsidP="006A5702">
            <w:pPr>
              <w:rPr>
                <w:rFonts w:cs="Arial"/>
              </w:rPr>
            </w:pPr>
            <w:r>
              <w:rPr>
                <w:rFonts w:cs="Arial"/>
              </w:rPr>
              <w:t>Lay</w:t>
            </w:r>
          </w:p>
        </w:tc>
        <w:tc>
          <w:tcPr>
            <w:tcW w:w="3096" w:type="dxa"/>
          </w:tcPr>
          <w:p w:rsidR="003E0F23" w:rsidRDefault="003E0F23" w:rsidP="006A5702">
            <w:pPr>
              <w:rPr>
                <w:rFonts w:cs="Arial"/>
              </w:rPr>
            </w:pPr>
            <w:r>
              <w:rPr>
                <w:rFonts w:cs="Arial"/>
              </w:rPr>
              <w:t>Lay +</w:t>
            </w:r>
          </w:p>
        </w:tc>
      </w:tr>
      <w:tr w:rsidR="003E0F23" w:rsidTr="003E0F23">
        <w:tc>
          <w:tcPr>
            <w:tcW w:w="3096" w:type="dxa"/>
          </w:tcPr>
          <w:p w:rsidR="003E0F23" w:rsidRDefault="003E0F23" w:rsidP="006A5702">
            <w:pPr>
              <w:rPr>
                <w:rFonts w:cs="Arial"/>
              </w:rPr>
            </w:pPr>
            <w:r>
              <w:rPr>
                <w:rFonts w:cs="Arial"/>
              </w:rPr>
              <w:t>20</w:t>
            </w:r>
          </w:p>
          <w:p w:rsidR="003E0F23" w:rsidRDefault="003E0F23" w:rsidP="003E0F23">
            <w:pPr>
              <w:rPr>
                <w:rFonts w:cs="Arial"/>
              </w:rPr>
            </w:pPr>
            <w:r>
              <w:rPr>
                <w:rFonts w:cs="Arial"/>
              </w:rPr>
              <w:t xml:space="preserve">(4 Doctors, 5 Nurses, 3 Pharmacists, 8 other </w:t>
            </w:r>
            <w:r w:rsidR="00995061">
              <w:rPr>
                <w:rFonts w:cs="Arial"/>
              </w:rPr>
              <w:t>professions allied to health or care and others)</w:t>
            </w:r>
          </w:p>
        </w:tc>
        <w:tc>
          <w:tcPr>
            <w:tcW w:w="3096" w:type="dxa"/>
          </w:tcPr>
          <w:p w:rsidR="003E0F23" w:rsidRDefault="00995061" w:rsidP="006A5702">
            <w:pPr>
              <w:rPr>
                <w:rFonts w:cs="Arial"/>
              </w:rPr>
            </w:pPr>
            <w:r>
              <w:rPr>
                <w:rFonts w:cs="Arial"/>
              </w:rPr>
              <w:t>9</w:t>
            </w:r>
          </w:p>
        </w:tc>
        <w:tc>
          <w:tcPr>
            <w:tcW w:w="3096" w:type="dxa"/>
          </w:tcPr>
          <w:p w:rsidR="003E0F23" w:rsidRDefault="00995061" w:rsidP="006A5702">
            <w:pPr>
              <w:rPr>
                <w:rFonts w:cs="Arial"/>
              </w:rPr>
            </w:pPr>
            <w:r>
              <w:rPr>
                <w:rFonts w:cs="Arial"/>
              </w:rPr>
              <w:t>4</w:t>
            </w:r>
          </w:p>
        </w:tc>
      </w:tr>
    </w:tbl>
    <w:p w:rsidR="003E0F23" w:rsidRDefault="003E0F23" w:rsidP="006A5702">
      <w:pPr>
        <w:rPr>
          <w:rFonts w:cs="Arial"/>
        </w:rPr>
      </w:pPr>
    </w:p>
    <w:p w:rsidR="00995061" w:rsidRDefault="00995061" w:rsidP="006A5702">
      <w:pPr>
        <w:rPr>
          <w:rFonts w:cs="Arial"/>
        </w:rPr>
      </w:pPr>
      <w:r>
        <w:rPr>
          <w:rFonts w:cs="Arial"/>
        </w:rPr>
        <w:t xml:space="preserve">Two successful advertising campaigns have been held in the first quarter, one for Pharmacists and one for Statisticians. </w:t>
      </w:r>
    </w:p>
    <w:p w:rsidR="004D78B3" w:rsidRDefault="004D78B3" w:rsidP="006A5702">
      <w:pPr>
        <w:rPr>
          <w:rFonts w:cs="Arial"/>
        </w:rPr>
      </w:pPr>
      <w:r>
        <w:rPr>
          <w:rFonts w:cs="Arial"/>
        </w:rPr>
        <w:t xml:space="preserve">44 expressions of interest in joining a REC have been received in this quarter, including 23 pharmacists and 2 statisticians.  </w:t>
      </w:r>
    </w:p>
    <w:p w:rsidR="00995061" w:rsidRDefault="004D78B3" w:rsidP="006A5702">
      <w:pPr>
        <w:rPr>
          <w:rFonts w:cs="Arial"/>
          <w:b/>
        </w:rPr>
      </w:pPr>
      <w:r>
        <w:rPr>
          <w:rFonts w:cs="Arial"/>
          <w:b/>
        </w:rPr>
        <w:t>Engagement with REC Chairs and members</w:t>
      </w:r>
    </w:p>
    <w:p w:rsidR="004D78B3" w:rsidRDefault="004D78B3" w:rsidP="006A5702">
      <w:pPr>
        <w:rPr>
          <w:rFonts w:cs="Arial"/>
        </w:rPr>
      </w:pPr>
      <w:r>
        <w:rPr>
          <w:rFonts w:cs="Arial"/>
        </w:rPr>
        <w:t>The main engagement with REC Chairs and members is via the REC Managers at REC meetings. Additionally Regional Managers and Deputy Regional Managers visit each REC annually to undertake a REC review meeting which is a formal part of the Quality Control process.</w:t>
      </w:r>
      <w:r w:rsidR="00AB3927">
        <w:rPr>
          <w:rFonts w:cs="Arial"/>
        </w:rPr>
        <w:t xml:space="preserve"> Operational Managers may also attend REC meetings though this is generally when there is a specific message to deliver.</w:t>
      </w:r>
    </w:p>
    <w:p w:rsidR="004D78B3" w:rsidRDefault="004D78B3" w:rsidP="006A5702">
      <w:pPr>
        <w:rPr>
          <w:rFonts w:cs="Arial"/>
        </w:rPr>
      </w:pPr>
      <w:r>
        <w:rPr>
          <w:rFonts w:cs="Arial"/>
        </w:rPr>
        <w:t xml:space="preserve">Operational Managers engage with REC Chairs and members at training events. In quarter 4 the annual members training event was held in Leeds and attended </w:t>
      </w:r>
      <w:r w:rsidR="00AB3927">
        <w:rPr>
          <w:rFonts w:cs="Arial"/>
        </w:rPr>
        <w:t>by the Director of Operations and Approval and the Head of RES (England). The event was not as well attended as in previous years.</w:t>
      </w:r>
    </w:p>
    <w:p w:rsidR="00AB3927" w:rsidRDefault="00AB3927" w:rsidP="006A5702">
      <w:pPr>
        <w:rPr>
          <w:rFonts w:cs="Arial"/>
        </w:rPr>
      </w:pPr>
      <w:r>
        <w:rPr>
          <w:rFonts w:cs="Arial"/>
        </w:rPr>
        <w:t xml:space="preserve">There is an opportunity for members to feedback via the member feedback survey on the HRA website and through targeted feedback requests from HRA QA. This feedback is reported in the 6 monthly user feedback reports provided to the Board. </w:t>
      </w:r>
    </w:p>
    <w:p w:rsidR="00AB3927" w:rsidRDefault="00AB3927" w:rsidP="006A5702">
      <w:pPr>
        <w:rPr>
          <w:rFonts w:cs="Arial"/>
        </w:rPr>
      </w:pPr>
      <w:r>
        <w:rPr>
          <w:rFonts w:cs="Arial"/>
        </w:rPr>
        <w:t xml:space="preserve">In quarter four issues raised by members </w:t>
      </w:r>
      <w:r w:rsidR="009F1382">
        <w:rPr>
          <w:rFonts w:cs="Arial"/>
        </w:rPr>
        <w:t xml:space="preserve">included some dissatisfaction related to the way in which Proportionate Review Sub Committees are </w:t>
      </w:r>
      <w:r w:rsidR="000E155B">
        <w:rPr>
          <w:rFonts w:cs="Arial"/>
        </w:rPr>
        <w:t>managed and</w:t>
      </w:r>
      <w:r w:rsidR="009F1382">
        <w:rPr>
          <w:rFonts w:cs="Arial"/>
        </w:rPr>
        <w:t xml:space="preserve"> the lack of a Vice Chair in one REC, both issues are being addressed.</w:t>
      </w:r>
    </w:p>
    <w:p w:rsidR="009F1382" w:rsidRDefault="009F1382" w:rsidP="006A5702">
      <w:pPr>
        <w:rPr>
          <w:rFonts w:cs="Arial"/>
        </w:rPr>
      </w:pPr>
      <w:r>
        <w:rPr>
          <w:rFonts w:cs="Arial"/>
        </w:rPr>
        <w:t>Twice yearly NREAP hosted Chairs meetings are held in each region attended by Senior Operations Managers with an opportunity for REC Chairs to discuss issues face to face.</w:t>
      </w:r>
      <w:r w:rsidR="00C17559">
        <w:rPr>
          <w:rFonts w:cs="Arial"/>
        </w:rPr>
        <w:t xml:space="preserve"> The agenda for the meeting has two parts, one focussed on ethical issues and t</w:t>
      </w:r>
      <w:r w:rsidR="00A04ACB">
        <w:rPr>
          <w:rFonts w:cs="Arial"/>
        </w:rPr>
        <w:t xml:space="preserve">he other on operational matters. Chairs and many of the members know, and are well known to, the Senior Operations team; we have an open door policy and it is not unusual to have direct contact either by phone or email and we welcome this approach. </w:t>
      </w:r>
    </w:p>
    <w:p w:rsidR="009F1382" w:rsidRDefault="009F1382" w:rsidP="006A5702">
      <w:pPr>
        <w:rPr>
          <w:rFonts w:cs="Arial"/>
          <w:b/>
        </w:rPr>
      </w:pPr>
      <w:r>
        <w:rPr>
          <w:rFonts w:cs="Arial"/>
          <w:b/>
        </w:rPr>
        <w:lastRenderedPageBreak/>
        <w:t xml:space="preserve">Opportunities for the Board to engage with REC Chairs and members </w:t>
      </w:r>
    </w:p>
    <w:p w:rsidR="009F1382" w:rsidRPr="00A04ACB" w:rsidRDefault="00E524C4" w:rsidP="006A5702">
      <w:pPr>
        <w:rPr>
          <w:rFonts w:cs="Arial"/>
        </w:rPr>
      </w:pPr>
      <w:r>
        <w:rPr>
          <w:rFonts w:cs="Arial"/>
        </w:rPr>
        <w:t xml:space="preserve">The Board may wish to consider opportunities to engage with REC Chairs and Members.  </w:t>
      </w:r>
      <w:r w:rsidR="009F1382" w:rsidRPr="00A04ACB">
        <w:rPr>
          <w:rFonts w:cs="Arial"/>
        </w:rPr>
        <w:t xml:space="preserve">Attendance at REC meetings, </w:t>
      </w:r>
      <w:r>
        <w:rPr>
          <w:rFonts w:cs="Arial"/>
        </w:rPr>
        <w:t xml:space="preserve">member </w:t>
      </w:r>
      <w:r w:rsidR="009F1382" w:rsidRPr="00A04ACB">
        <w:rPr>
          <w:rFonts w:cs="Arial"/>
        </w:rPr>
        <w:t xml:space="preserve">training events, </w:t>
      </w:r>
      <w:r>
        <w:rPr>
          <w:rFonts w:cs="Arial"/>
        </w:rPr>
        <w:t xml:space="preserve">and </w:t>
      </w:r>
      <w:r w:rsidR="009F1382" w:rsidRPr="00A04ACB">
        <w:rPr>
          <w:rFonts w:cs="Arial"/>
        </w:rPr>
        <w:t>NR</w:t>
      </w:r>
      <w:r>
        <w:rPr>
          <w:rFonts w:cs="Arial"/>
        </w:rPr>
        <w:t>E</w:t>
      </w:r>
      <w:r w:rsidR="009F1382" w:rsidRPr="00A04ACB">
        <w:rPr>
          <w:rFonts w:cs="Arial"/>
        </w:rPr>
        <w:t xml:space="preserve">AP hosted </w:t>
      </w:r>
      <w:r>
        <w:rPr>
          <w:rFonts w:cs="Arial"/>
        </w:rPr>
        <w:t>REC Chairs meetings could be arranged.</w:t>
      </w:r>
    </w:p>
    <w:p w:rsidR="006A5702" w:rsidRDefault="006A5702" w:rsidP="006A5702">
      <w:pPr>
        <w:rPr>
          <w:rFonts w:cs="Arial"/>
          <w:b/>
        </w:rPr>
      </w:pPr>
      <w:r w:rsidRPr="00047171">
        <w:rPr>
          <w:rFonts w:cs="Arial"/>
          <w:b/>
        </w:rPr>
        <w:t>Conclusion</w:t>
      </w:r>
    </w:p>
    <w:p w:rsidR="00E524C4" w:rsidRPr="00E524C4" w:rsidRDefault="00E524C4" w:rsidP="006A5702">
      <w:pPr>
        <w:rPr>
          <w:rFonts w:cs="Arial"/>
        </w:rPr>
      </w:pPr>
      <w:r>
        <w:rPr>
          <w:rFonts w:cs="Arial"/>
        </w:rPr>
        <w:t xml:space="preserve">The </w:t>
      </w:r>
      <w:r w:rsidR="000E155B">
        <w:rPr>
          <w:rFonts w:cs="Arial"/>
        </w:rPr>
        <w:t xml:space="preserve">introduction of the member leavers checklist is useful in providing information other than anecdotal about the reasons why members leave the service. Quarterly reporting will allow a better focus on member turnover, recruitment and monitoring of trends. </w:t>
      </w:r>
    </w:p>
    <w:sectPr w:rsidR="00E524C4" w:rsidRPr="00E524C4" w:rsidSect="00C90060">
      <w:headerReference w:type="default" r:id="rId9"/>
      <w:footerReference w:type="default" r:id="rId10"/>
      <w:pgSz w:w="11907" w:h="16840" w:code="9"/>
      <w:pgMar w:top="1134" w:right="1275" w:bottom="1134" w:left="1560" w:header="567" w:footer="7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8CF" w:rsidRDefault="001E58CF" w:rsidP="006B5376">
      <w:pPr>
        <w:spacing w:after="0" w:line="240" w:lineRule="auto"/>
      </w:pPr>
      <w:r>
        <w:separator/>
      </w:r>
    </w:p>
  </w:endnote>
  <w:endnote w:type="continuationSeparator" w:id="0">
    <w:p w:rsidR="001E58CF" w:rsidRDefault="001E58CF" w:rsidP="006B5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060" w:rsidRDefault="00C90060" w:rsidP="00C90060">
    <w:pPr>
      <w:pStyle w:val="Footer"/>
      <w:ind w:left="-142" w:firstLine="862"/>
      <w:rPr>
        <w:sz w:val="18"/>
        <w:szCs w:val="18"/>
      </w:rPr>
    </w:pPr>
    <w:r w:rsidRPr="00C90060">
      <w:rPr>
        <w:rFonts w:asciiTheme="minorHAnsi" w:hAnsiTheme="minorHAnsi" w:cstheme="minorHAnsi"/>
        <w:noProof/>
        <w:sz w:val="18"/>
        <w:szCs w:val="18"/>
        <w:lang w:eastAsia="en-GB"/>
      </w:rPr>
      <w:drawing>
        <wp:anchor distT="0" distB="0" distL="114300" distR="114300" simplePos="0" relativeHeight="251659264" behindDoc="1" locked="0" layoutInCell="1" allowOverlap="1" wp14:anchorId="4B539981" wp14:editId="6134D7C8">
          <wp:simplePos x="0" y="0"/>
          <wp:positionH relativeFrom="column">
            <wp:posOffset>-122237</wp:posOffset>
          </wp:positionH>
          <wp:positionV relativeFrom="paragraph">
            <wp:posOffset>-84773</wp:posOffset>
          </wp:positionV>
          <wp:extent cx="361950" cy="358775"/>
          <wp:effectExtent l="77787" t="74613" r="77788" b="77787"/>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A-Graphic-144.psd"/>
                  <pic:cNvPicPr/>
                </pic:nvPicPr>
                <pic:blipFill>
                  <a:blip r:embed="rId1">
                    <a:extLst>
                      <a:ext uri="{28A0092B-C50C-407E-A947-70E740481C1C}">
                        <a14:useLocalDpi xmlns:a14="http://schemas.microsoft.com/office/drawing/2010/main" val="0"/>
                      </a:ext>
                    </a:extLst>
                  </a:blip>
                  <a:stretch>
                    <a:fillRect/>
                  </a:stretch>
                </pic:blipFill>
                <pic:spPr>
                  <a:xfrm rot="2718273">
                    <a:off x="0" y="0"/>
                    <a:ext cx="361950" cy="358775"/>
                  </a:xfrm>
                  <a:prstGeom prst="rect">
                    <a:avLst/>
                  </a:prstGeom>
                </pic:spPr>
              </pic:pic>
            </a:graphicData>
          </a:graphic>
          <wp14:sizeRelH relativeFrom="page">
            <wp14:pctWidth>0</wp14:pctWidth>
          </wp14:sizeRelH>
          <wp14:sizeRelV relativeFrom="page">
            <wp14:pctHeight>0</wp14:pctHeight>
          </wp14:sizeRelV>
        </wp:anchor>
      </w:drawing>
    </w:r>
    <w:r w:rsidRPr="00C90060">
      <w:rPr>
        <w:rFonts w:asciiTheme="minorHAnsi" w:hAnsiTheme="minorHAnsi" w:cstheme="minorHAnsi"/>
        <w:noProof/>
        <w:sz w:val="18"/>
        <w:szCs w:val="18"/>
        <w:lang w:eastAsia="en-GB"/>
      </w:rPr>
      <mc:AlternateContent>
        <mc:Choice Requires="wps">
          <w:drawing>
            <wp:anchor distT="0" distB="0" distL="114300" distR="114300" simplePos="0" relativeHeight="251660288" behindDoc="0" locked="0" layoutInCell="1" allowOverlap="1" wp14:anchorId="4346FF67" wp14:editId="15C0F3E7">
              <wp:simplePos x="0" y="0"/>
              <wp:positionH relativeFrom="column">
                <wp:posOffset>310515</wp:posOffset>
              </wp:positionH>
              <wp:positionV relativeFrom="paragraph">
                <wp:posOffset>104775</wp:posOffset>
              </wp:positionV>
              <wp:extent cx="56673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5667375" cy="0"/>
                      </a:xfrm>
                      <a:prstGeom prst="line">
                        <a:avLst/>
                      </a:prstGeom>
                      <a:ln>
                        <a:solidFill>
                          <a:schemeClr val="accent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5pt,8.25pt" to="470.7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" strokecolor="#f79646 [3209]"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8CF" w:rsidRDefault="001E58CF" w:rsidP="006B5376">
      <w:pPr>
        <w:spacing w:after="0" w:line="240" w:lineRule="auto"/>
      </w:pPr>
      <w:r>
        <w:separator/>
      </w:r>
    </w:p>
  </w:footnote>
  <w:footnote w:type="continuationSeparator" w:id="0">
    <w:p w:rsidR="001E58CF" w:rsidRDefault="001E58CF" w:rsidP="006B53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E16" w:rsidRDefault="0000688A" w:rsidP="00E068B3">
    <w:pPr>
      <w:pStyle w:val="Header"/>
      <w:ind w:left="-720" w:right="-718"/>
      <w:jc w:val="right"/>
    </w:pPr>
    <w:r>
      <w:rPr>
        <w:rFonts w:cs="Arial"/>
        <w:b/>
        <w:noProof/>
        <w:lang w:eastAsia="en-GB"/>
      </w:rPr>
      <w:drawing>
        <wp:inline distT="0" distB="0" distL="0" distR="0" wp14:anchorId="648A2276" wp14:editId="2258FFA1">
          <wp:extent cx="2964211" cy="581025"/>
          <wp:effectExtent l="0" t="0" r="0" b="0"/>
          <wp:docPr id="4" name="Picture 4" descr="Health Research Authority Nat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Research Authority NatCOL"/>
                  <pic:cNvPicPr>
                    <a:picLocks noChangeAspect="1" noChangeArrowheads="1"/>
                  </pic:cNvPicPr>
                </pic:nvPicPr>
                <pic:blipFill>
                  <a:blip r:embed="rId1" cstate="print"/>
                  <a:srcRect/>
                  <a:stretch>
                    <a:fillRect/>
                  </a:stretch>
                </pic:blipFill>
                <pic:spPr bwMode="auto">
                  <a:xfrm>
                    <a:off x="0" y="0"/>
                    <a:ext cx="2986468" cy="58538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7B93"/>
    <w:multiLevelType w:val="hybridMultilevel"/>
    <w:tmpl w:val="2012BE8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8A6B26"/>
    <w:multiLevelType w:val="hybridMultilevel"/>
    <w:tmpl w:val="9A74B90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3A781E"/>
    <w:multiLevelType w:val="hybridMultilevel"/>
    <w:tmpl w:val="83327C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1100F2"/>
    <w:multiLevelType w:val="hybridMultilevel"/>
    <w:tmpl w:val="0276E586"/>
    <w:lvl w:ilvl="0" w:tplc="F0022F2C">
      <w:start w:val="1"/>
      <w:numFmt w:val="bullet"/>
      <w:lvlText w:val=""/>
      <w:lvlJc w:val="left"/>
      <w:pPr>
        <w:ind w:left="1440" w:hanging="360"/>
      </w:pPr>
      <w:rPr>
        <w:rFonts w:ascii="Symbol" w:hAnsi="Symbol" w:hint="default"/>
        <w:color w:val="1F497D" w:themeColor="text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0374AA6"/>
    <w:multiLevelType w:val="hybridMultilevel"/>
    <w:tmpl w:val="2300080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22401BD4"/>
    <w:multiLevelType w:val="hybridMultilevel"/>
    <w:tmpl w:val="F8B00C20"/>
    <w:lvl w:ilvl="0" w:tplc="7B38A2A4">
      <w:start w:val="1"/>
      <w:numFmt w:val="bullet"/>
      <w:lvlText w:val=""/>
      <w:lvlJc w:val="left"/>
      <w:pPr>
        <w:ind w:left="720" w:hanging="360"/>
      </w:pPr>
      <w:rPr>
        <w:rFonts w:ascii="Symbol" w:hAnsi="Symbol" w:hint="default"/>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72A3539"/>
    <w:multiLevelType w:val="multilevel"/>
    <w:tmpl w:val="0E86A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85439E"/>
    <w:multiLevelType w:val="hybridMultilevel"/>
    <w:tmpl w:val="7A3265A2"/>
    <w:lvl w:ilvl="0" w:tplc="7F683F1E">
      <w:start w:val="1"/>
      <w:numFmt w:val="bullet"/>
      <w:lvlText w:val=""/>
      <w:lvlJc w:val="left"/>
      <w:pPr>
        <w:ind w:left="720" w:hanging="360"/>
      </w:pPr>
      <w:rPr>
        <w:rFonts w:ascii="Symbol" w:hAnsi="Symbol" w:hint="default"/>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7C44695"/>
    <w:multiLevelType w:val="hybridMultilevel"/>
    <w:tmpl w:val="F4C0F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D41D10"/>
    <w:multiLevelType w:val="hybridMultilevel"/>
    <w:tmpl w:val="B49438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F89451B"/>
    <w:multiLevelType w:val="hybridMultilevel"/>
    <w:tmpl w:val="D31EA38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371766"/>
    <w:multiLevelType w:val="hybridMultilevel"/>
    <w:tmpl w:val="C50AB4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3160224"/>
    <w:multiLevelType w:val="hybridMultilevel"/>
    <w:tmpl w:val="5B24E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3422268"/>
    <w:multiLevelType w:val="hybridMultilevel"/>
    <w:tmpl w:val="661A68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654D8E"/>
    <w:multiLevelType w:val="hybridMultilevel"/>
    <w:tmpl w:val="E79E2F4C"/>
    <w:lvl w:ilvl="0" w:tplc="7F683F1E">
      <w:start w:val="1"/>
      <w:numFmt w:val="bullet"/>
      <w:lvlText w:val=""/>
      <w:lvlJc w:val="left"/>
      <w:pPr>
        <w:ind w:left="825" w:hanging="360"/>
      </w:pPr>
      <w:rPr>
        <w:rFonts w:ascii="Symbol" w:hAnsi="Symbol" w:hint="default"/>
        <w:color w:val="1F497D" w:themeColor="text2"/>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5">
    <w:nsid w:val="357F1373"/>
    <w:multiLevelType w:val="multilevel"/>
    <w:tmpl w:val="8CDA0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5E7D30"/>
    <w:multiLevelType w:val="hybridMultilevel"/>
    <w:tmpl w:val="C2F4BA9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AFF1AEC"/>
    <w:multiLevelType w:val="hybridMultilevel"/>
    <w:tmpl w:val="1F9AB3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B6F5D47"/>
    <w:multiLevelType w:val="hybridMultilevel"/>
    <w:tmpl w:val="4E3471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FD05C6F"/>
    <w:multiLevelType w:val="hybridMultilevel"/>
    <w:tmpl w:val="8D847C4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0A838EF"/>
    <w:multiLevelType w:val="hybridMultilevel"/>
    <w:tmpl w:val="DB86213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3E26815"/>
    <w:multiLevelType w:val="multilevel"/>
    <w:tmpl w:val="73C82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941DAC"/>
    <w:multiLevelType w:val="hybridMultilevel"/>
    <w:tmpl w:val="F5C2C8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4C879F0"/>
    <w:multiLevelType w:val="hybridMultilevel"/>
    <w:tmpl w:val="9CD29A98"/>
    <w:lvl w:ilvl="0" w:tplc="7F683F1E">
      <w:start w:val="1"/>
      <w:numFmt w:val="bullet"/>
      <w:lvlText w:val=""/>
      <w:lvlJc w:val="left"/>
      <w:pPr>
        <w:ind w:left="720" w:hanging="360"/>
      </w:pPr>
      <w:rPr>
        <w:rFonts w:ascii="Symbol" w:hAnsi="Symbol" w:hint="default"/>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4DE434C"/>
    <w:multiLevelType w:val="hybridMultilevel"/>
    <w:tmpl w:val="CCD496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6C00A1A"/>
    <w:multiLevelType w:val="hybridMultilevel"/>
    <w:tmpl w:val="5CF20B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725201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7500C2B"/>
    <w:multiLevelType w:val="multilevel"/>
    <w:tmpl w:val="FB882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8035F8E"/>
    <w:multiLevelType w:val="hybridMultilevel"/>
    <w:tmpl w:val="4E98727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8C72CAB"/>
    <w:multiLevelType w:val="hybridMultilevel"/>
    <w:tmpl w:val="CDD8677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496C094C"/>
    <w:multiLevelType w:val="hybridMultilevel"/>
    <w:tmpl w:val="FC32D4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20433AD"/>
    <w:multiLevelType w:val="hybridMultilevel"/>
    <w:tmpl w:val="8806D4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56E1D71"/>
    <w:multiLevelType w:val="hybridMultilevel"/>
    <w:tmpl w:val="B178F988"/>
    <w:lvl w:ilvl="0" w:tplc="60E801E2">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3">
    <w:nsid w:val="560127AC"/>
    <w:multiLevelType w:val="hybridMultilevel"/>
    <w:tmpl w:val="381C07C2"/>
    <w:lvl w:ilvl="0" w:tplc="F24CDA6A">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C41799A"/>
    <w:multiLevelType w:val="hybridMultilevel"/>
    <w:tmpl w:val="9108651E"/>
    <w:lvl w:ilvl="0" w:tplc="08090003">
      <w:start w:val="1"/>
      <w:numFmt w:val="bullet"/>
      <w:lvlText w:val="o"/>
      <w:lvlJc w:val="left"/>
      <w:pPr>
        <w:ind w:left="825" w:hanging="360"/>
      </w:pPr>
      <w:rPr>
        <w:rFonts w:ascii="Courier New" w:hAnsi="Courier New" w:cs="Courier New"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35">
    <w:nsid w:val="5E10605B"/>
    <w:multiLevelType w:val="hybridMultilevel"/>
    <w:tmpl w:val="66A09E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67F6B8C"/>
    <w:multiLevelType w:val="hybridMultilevel"/>
    <w:tmpl w:val="746256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BAB5832"/>
    <w:multiLevelType w:val="hybridMultilevel"/>
    <w:tmpl w:val="9CBA11CE"/>
    <w:lvl w:ilvl="0" w:tplc="F24CDA6A">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C281078"/>
    <w:multiLevelType w:val="hybridMultilevel"/>
    <w:tmpl w:val="1C80BC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177351A"/>
    <w:multiLevelType w:val="hybridMultilevel"/>
    <w:tmpl w:val="DF74FFBC"/>
    <w:lvl w:ilvl="0" w:tplc="7F683F1E">
      <w:start w:val="1"/>
      <w:numFmt w:val="bullet"/>
      <w:lvlText w:val=""/>
      <w:lvlJc w:val="left"/>
      <w:pPr>
        <w:ind w:left="1080" w:hanging="360"/>
      </w:pPr>
      <w:rPr>
        <w:rFonts w:ascii="Symbol" w:hAnsi="Symbol" w:hint="default"/>
        <w:color w:val="1F497D" w:themeColor="text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72BB48A3"/>
    <w:multiLevelType w:val="multilevel"/>
    <w:tmpl w:val="D78ED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60036DD"/>
    <w:multiLevelType w:val="hybridMultilevel"/>
    <w:tmpl w:val="1032D0E8"/>
    <w:lvl w:ilvl="0" w:tplc="CD1AD59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93E0CBD"/>
    <w:multiLevelType w:val="hybridMultilevel"/>
    <w:tmpl w:val="1DDCFDA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A2E0DD3"/>
    <w:multiLevelType w:val="hybridMultilevel"/>
    <w:tmpl w:val="16DEB0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A7649B8"/>
    <w:multiLevelType w:val="hybridMultilevel"/>
    <w:tmpl w:val="C7A833C0"/>
    <w:lvl w:ilvl="0" w:tplc="7F683F1E">
      <w:start w:val="1"/>
      <w:numFmt w:val="bullet"/>
      <w:lvlText w:val=""/>
      <w:lvlJc w:val="left"/>
      <w:pPr>
        <w:ind w:left="720" w:hanging="360"/>
      </w:pPr>
      <w:rPr>
        <w:rFonts w:ascii="Symbol" w:hAnsi="Symbol" w:hint="default"/>
        <w:color w:val="1F497D" w:themeColor="text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37"/>
  </w:num>
  <w:num w:numId="4">
    <w:abstractNumId w:val="12"/>
  </w:num>
  <w:num w:numId="5">
    <w:abstractNumId w:val="24"/>
  </w:num>
  <w:num w:numId="6">
    <w:abstractNumId w:val="2"/>
  </w:num>
  <w:num w:numId="7">
    <w:abstractNumId w:val="31"/>
  </w:num>
  <w:num w:numId="8">
    <w:abstractNumId w:val="33"/>
  </w:num>
  <w:num w:numId="9">
    <w:abstractNumId w:val="35"/>
  </w:num>
  <w:num w:numId="10">
    <w:abstractNumId w:val="30"/>
  </w:num>
  <w:num w:numId="11">
    <w:abstractNumId w:val="0"/>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num>
  <w:num w:numId="14">
    <w:abstractNumId w:val="20"/>
  </w:num>
  <w:num w:numId="15">
    <w:abstractNumId w:val="8"/>
  </w:num>
  <w:num w:numId="16">
    <w:abstractNumId w:val="22"/>
  </w:num>
  <w:num w:numId="17">
    <w:abstractNumId w:val="28"/>
  </w:num>
  <w:num w:numId="18">
    <w:abstractNumId w:val="1"/>
  </w:num>
  <w:num w:numId="19">
    <w:abstractNumId w:val="16"/>
  </w:num>
  <w:num w:numId="20">
    <w:abstractNumId w:val="25"/>
  </w:num>
  <w:num w:numId="21">
    <w:abstractNumId w:val="36"/>
  </w:num>
  <w:num w:numId="22">
    <w:abstractNumId w:val="18"/>
  </w:num>
  <w:num w:numId="23">
    <w:abstractNumId w:val="21"/>
  </w:num>
  <w:num w:numId="24">
    <w:abstractNumId w:val="6"/>
  </w:num>
  <w:num w:numId="25">
    <w:abstractNumId w:val="27"/>
  </w:num>
  <w:num w:numId="26">
    <w:abstractNumId w:val="40"/>
  </w:num>
  <w:num w:numId="27">
    <w:abstractNumId w:val="15"/>
  </w:num>
  <w:num w:numId="28">
    <w:abstractNumId w:val="34"/>
  </w:num>
  <w:num w:numId="29">
    <w:abstractNumId w:val="29"/>
  </w:num>
  <w:num w:numId="30">
    <w:abstractNumId w:val="11"/>
  </w:num>
  <w:num w:numId="31">
    <w:abstractNumId w:val="39"/>
  </w:num>
  <w:num w:numId="32">
    <w:abstractNumId w:val="14"/>
  </w:num>
  <w:num w:numId="33">
    <w:abstractNumId w:val="23"/>
  </w:num>
  <w:num w:numId="34">
    <w:abstractNumId w:val="44"/>
  </w:num>
  <w:num w:numId="35">
    <w:abstractNumId w:val="5"/>
  </w:num>
  <w:num w:numId="36">
    <w:abstractNumId w:val="7"/>
  </w:num>
  <w:num w:numId="37">
    <w:abstractNumId w:val="3"/>
  </w:num>
  <w:num w:numId="38">
    <w:abstractNumId w:val="17"/>
  </w:num>
  <w:num w:numId="39">
    <w:abstractNumId w:val="10"/>
  </w:num>
  <w:num w:numId="40">
    <w:abstractNumId w:val="13"/>
  </w:num>
  <w:num w:numId="41">
    <w:abstractNumId w:val="43"/>
  </w:num>
  <w:num w:numId="4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num>
  <w:num w:numId="44">
    <w:abstractNumId w:val="26"/>
  </w:num>
  <w:num w:numId="45">
    <w:abstractNumId w:val="32"/>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CC2"/>
    <w:rsid w:val="00002037"/>
    <w:rsid w:val="0000688A"/>
    <w:rsid w:val="0001520F"/>
    <w:rsid w:val="0001579B"/>
    <w:rsid w:val="00021714"/>
    <w:rsid w:val="00031E55"/>
    <w:rsid w:val="00032018"/>
    <w:rsid w:val="00034690"/>
    <w:rsid w:val="00077FB8"/>
    <w:rsid w:val="000805FF"/>
    <w:rsid w:val="00080CB0"/>
    <w:rsid w:val="00082E02"/>
    <w:rsid w:val="00087C21"/>
    <w:rsid w:val="000A13D1"/>
    <w:rsid w:val="000A7C2C"/>
    <w:rsid w:val="000C027C"/>
    <w:rsid w:val="000C44EF"/>
    <w:rsid w:val="000C6B29"/>
    <w:rsid w:val="000D0F34"/>
    <w:rsid w:val="000D6A51"/>
    <w:rsid w:val="000E155B"/>
    <w:rsid w:val="000E55E7"/>
    <w:rsid w:val="000E5A1B"/>
    <w:rsid w:val="000E6A39"/>
    <w:rsid w:val="000F2666"/>
    <w:rsid w:val="000F40ED"/>
    <w:rsid w:val="000F5FA5"/>
    <w:rsid w:val="00100687"/>
    <w:rsid w:val="0011564E"/>
    <w:rsid w:val="00116C2D"/>
    <w:rsid w:val="00122C95"/>
    <w:rsid w:val="001459D0"/>
    <w:rsid w:val="00151DBF"/>
    <w:rsid w:val="00156D64"/>
    <w:rsid w:val="00161566"/>
    <w:rsid w:val="00162E33"/>
    <w:rsid w:val="00162EEA"/>
    <w:rsid w:val="00170438"/>
    <w:rsid w:val="00170E54"/>
    <w:rsid w:val="001803BF"/>
    <w:rsid w:val="00187B85"/>
    <w:rsid w:val="001B0E16"/>
    <w:rsid w:val="001C3D40"/>
    <w:rsid w:val="001C3FF9"/>
    <w:rsid w:val="001C5EE1"/>
    <w:rsid w:val="001D0C9D"/>
    <w:rsid w:val="001D339E"/>
    <w:rsid w:val="001D41F3"/>
    <w:rsid w:val="001D451F"/>
    <w:rsid w:val="001D4C53"/>
    <w:rsid w:val="001E58CF"/>
    <w:rsid w:val="002015B9"/>
    <w:rsid w:val="002017F5"/>
    <w:rsid w:val="00202CE8"/>
    <w:rsid w:val="00204034"/>
    <w:rsid w:val="00206BA3"/>
    <w:rsid w:val="00217EFA"/>
    <w:rsid w:val="0022151D"/>
    <w:rsid w:val="002226BE"/>
    <w:rsid w:val="002270EC"/>
    <w:rsid w:val="00236D2B"/>
    <w:rsid w:val="002528F0"/>
    <w:rsid w:val="002551D9"/>
    <w:rsid w:val="00255B6D"/>
    <w:rsid w:val="0026003B"/>
    <w:rsid w:val="00265C95"/>
    <w:rsid w:val="00267CD4"/>
    <w:rsid w:val="0027131C"/>
    <w:rsid w:val="0027616F"/>
    <w:rsid w:val="0028249D"/>
    <w:rsid w:val="002A389A"/>
    <w:rsid w:val="002B1574"/>
    <w:rsid w:val="002B20F2"/>
    <w:rsid w:val="002D06F6"/>
    <w:rsid w:val="002E5F0F"/>
    <w:rsid w:val="002E609D"/>
    <w:rsid w:val="002E642D"/>
    <w:rsid w:val="002F3E34"/>
    <w:rsid w:val="002F3ECA"/>
    <w:rsid w:val="002F6947"/>
    <w:rsid w:val="002F73AF"/>
    <w:rsid w:val="00301A1D"/>
    <w:rsid w:val="00306495"/>
    <w:rsid w:val="003064F9"/>
    <w:rsid w:val="00306B55"/>
    <w:rsid w:val="0031367E"/>
    <w:rsid w:val="0032284B"/>
    <w:rsid w:val="0033263A"/>
    <w:rsid w:val="00336062"/>
    <w:rsid w:val="003447CD"/>
    <w:rsid w:val="00346669"/>
    <w:rsid w:val="00360E64"/>
    <w:rsid w:val="003620D2"/>
    <w:rsid w:val="00362136"/>
    <w:rsid w:val="0036304E"/>
    <w:rsid w:val="00363763"/>
    <w:rsid w:val="00372EDD"/>
    <w:rsid w:val="00374989"/>
    <w:rsid w:val="003858FE"/>
    <w:rsid w:val="003869D0"/>
    <w:rsid w:val="003904AA"/>
    <w:rsid w:val="003A29DC"/>
    <w:rsid w:val="003A5BF1"/>
    <w:rsid w:val="003A7557"/>
    <w:rsid w:val="003A79F8"/>
    <w:rsid w:val="003C1EAC"/>
    <w:rsid w:val="003D39CC"/>
    <w:rsid w:val="003D54B1"/>
    <w:rsid w:val="003E0F23"/>
    <w:rsid w:val="003F6CC2"/>
    <w:rsid w:val="00416CDE"/>
    <w:rsid w:val="0042325B"/>
    <w:rsid w:val="00423CD3"/>
    <w:rsid w:val="00427AD7"/>
    <w:rsid w:val="00433C05"/>
    <w:rsid w:val="00443F1A"/>
    <w:rsid w:val="004562B7"/>
    <w:rsid w:val="00460A2D"/>
    <w:rsid w:val="00460A98"/>
    <w:rsid w:val="00470A31"/>
    <w:rsid w:val="00472A5C"/>
    <w:rsid w:val="004806AB"/>
    <w:rsid w:val="00482B2C"/>
    <w:rsid w:val="00491A07"/>
    <w:rsid w:val="004960CF"/>
    <w:rsid w:val="004B078F"/>
    <w:rsid w:val="004B3B6C"/>
    <w:rsid w:val="004D78B3"/>
    <w:rsid w:val="004E5A9A"/>
    <w:rsid w:val="004F7AF1"/>
    <w:rsid w:val="00502585"/>
    <w:rsid w:val="00510C14"/>
    <w:rsid w:val="00512FBB"/>
    <w:rsid w:val="00521B16"/>
    <w:rsid w:val="00542C0A"/>
    <w:rsid w:val="00547047"/>
    <w:rsid w:val="005476DE"/>
    <w:rsid w:val="00547B8B"/>
    <w:rsid w:val="00564BD1"/>
    <w:rsid w:val="005714D1"/>
    <w:rsid w:val="00575297"/>
    <w:rsid w:val="00580C3F"/>
    <w:rsid w:val="0058409E"/>
    <w:rsid w:val="00595956"/>
    <w:rsid w:val="005A2C41"/>
    <w:rsid w:val="005A3354"/>
    <w:rsid w:val="005A3581"/>
    <w:rsid w:val="005A39BD"/>
    <w:rsid w:val="005B08B2"/>
    <w:rsid w:val="005B0D4A"/>
    <w:rsid w:val="005B2887"/>
    <w:rsid w:val="005B2E0F"/>
    <w:rsid w:val="005B486A"/>
    <w:rsid w:val="005B56AB"/>
    <w:rsid w:val="005B60F8"/>
    <w:rsid w:val="005C7E23"/>
    <w:rsid w:val="005D0C13"/>
    <w:rsid w:val="005D7F75"/>
    <w:rsid w:val="005E241C"/>
    <w:rsid w:val="005E793C"/>
    <w:rsid w:val="005F4D7F"/>
    <w:rsid w:val="00611EC3"/>
    <w:rsid w:val="00631534"/>
    <w:rsid w:val="00632573"/>
    <w:rsid w:val="0063397F"/>
    <w:rsid w:val="006501B4"/>
    <w:rsid w:val="00650770"/>
    <w:rsid w:val="0065384C"/>
    <w:rsid w:val="00657455"/>
    <w:rsid w:val="00661712"/>
    <w:rsid w:val="00662C00"/>
    <w:rsid w:val="006727FE"/>
    <w:rsid w:val="00673D95"/>
    <w:rsid w:val="00676851"/>
    <w:rsid w:val="00683C84"/>
    <w:rsid w:val="006A3631"/>
    <w:rsid w:val="006A5702"/>
    <w:rsid w:val="006A7595"/>
    <w:rsid w:val="006B5376"/>
    <w:rsid w:val="006B7A8D"/>
    <w:rsid w:val="006C2225"/>
    <w:rsid w:val="006C5258"/>
    <w:rsid w:val="006D039A"/>
    <w:rsid w:val="006D1922"/>
    <w:rsid w:val="006D37A9"/>
    <w:rsid w:val="006D515A"/>
    <w:rsid w:val="006E07C7"/>
    <w:rsid w:val="006F0655"/>
    <w:rsid w:val="00702C0A"/>
    <w:rsid w:val="00703B1A"/>
    <w:rsid w:val="00704C22"/>
    <w:rsid w:val="00705F0F"/>
    <w:rsid w:val="00706270"/>
    <w:rsid w:val="00710AEF"/>
    <w:rsid w:val="00717BF6"/>
    <w:rsid w:val="00717E0A"/>
    <w:rsid w:val="00731474"/>
    <w:rsid w:val="0075428A"/>
    <w:rsid w:val="007607A8"/>
    <w:rsid w:val="00767841"/>
    <w:rsid w:val="00780BA3"/>
    <w:rsid w:val="0079459F"/>
    <w:rsid w:val="007958A5"/>
    <w:rsid w:val="0079675F"/>
    <w:rsid w:val="00797B27"/>
    <w:rsid w:val="007A5239"/>
    <w:rsid w:val="007B7BA3"/>
    <w:rsid w:val="007C07BD"/>
    <w:rsid w:val="007C256C"/>
    <w:rsid w:val="007C4842"/>
    <w:rsid w:val="007C7004"/>
    <w:rsid w:val="007D0D13"/>
    <w:rsid w:val="007D276C"/>
    <w:rsid w:val="007E3127"/>
    <w:rsid w:val="007E5587"/>
    <w:rsid w:val="007E74F4"/>
    <w:rsid w:val="007F12BE"/>
    <w:rsid w:val="007F504E"/>
    <w:rsid w:val="007F507E"/>
    <w:rsid w:val="008143C8"/>
    <w:rsid w:val="00816718"/>
    <w:rsid w:val="00816EB4"/>
    <w:rsid w:val="00817A65"/>
    <w:rsid w:val="0082258E"/>
    <w:rsid w:val="00826978"/>
    <w:rsid w:val="00827C28"/>
    <w:rsid w:val="00830C27"/>
    <w:rsid w:val="008323E4"/>
    <w:rsid w:val="008335DB"/>
    <w:rsid w:val="008350EA"/>
    <w:rsid w:val="00836222"/>
    <w:rsid w:val="00840A31"/>
    <w:rsid w:val="008423AA"/>
    <w:rsid w:val="0084279E"/>
    <w:rsid w:val="00843505"/>
    <w:rsid w:val="008535D2"/>
    <w:rsid w:val="008565F8"/>
    <w:rsid w:val="00861F26"/>
    <w:rsid w:val="00863E23"/>
    <w:rsid w:val="00867070"/>
    <w:rsid w:val="0087103D"/>
    <w:rsid w:val="00874ABA"/>
    <w:rsid w:val="00874ECF"/>
    <w:rsid w:val="008835B9"/>
    <w:rsid w:val="008908A6"/>
    <w:rsid w:val="00896585"/>
    <w:rsid w:val="008A46B0"/>
    <w:rsid w:val="008B043D"/>
    <w:rsid w:val="008B1A24"/>
    <w:rsid w:val="008B20CB"/>
    <w:rsid w:val="008B293F"/>
    <w:rsid w:val="008B56B4"/>
    <w:rsid w:val="008C4D96"/>
    <w:rsid w:val="008C747A"/>
    <w:rsid w:val="008D2FE3"/>
    <w:rsid w:val="008D32BF"/>
    <w:rsid w:val="008D4BB4"/>
    <w:rsid w:val="008D7A57"/>
    <w:rsid w:val="008E32BA"/>
    <w:rsid w:val="008E46BD"/>
    <w:rsid w:val="008E5A91"/>
    <w:rsid w:val="00900E09"/>
    <w:rsid w:val="00904D95"/>
    <w:rsid w:val="00913886"/>
    <w:rsid w:val="009202AF"/>
    <w:rsid w:val="00923299"/>
    <w:rsid w:val="00925CE3"/>
    <w:rsid w:val="009262E2"/>
    <w:rsid w:val="00926728"/>
    <w:rsid w:val="0092702E"/>
    <w:rsid w:val="00930E67"/>
    <w:rsid w:val="00933BD8"/>
    <w:rsid w:val="009374AE"/>
    <w:rsid w:val="00944CAC"/>
    <w:rsid w:val="009451B5"/>
    <w:rsid w:val="009467D1"/>
    <w:rsid w:val="00947CF3"/>
    <w:rsid w:val="00947D2C"/>
    <w:rsid w:val="0095537A"/>
    <w:rsid w:val="00962326"/>
    <w:rsid w:val="009708DE"/>
    <w:rsid w:val="0098103F"/>
    <w:rsid w:val="00986DBB"/>
    <w:rsid w:val="00987871"/>
    <w:rsid w:val="00993E04"/>
    <w:rsid w:val="00995061"/>
    <w:rsid w:val="00995D46"/>
    <w:rsid w:val="00996564"/>
    <w:rsid w:val="009A1739"/>
    <w:rsid w:val="009A1D17"/>
    <w:rsid w:val="009A35FA"/>
    <w:rsid w:val="009B7ADC"/>
    <w:rsid w:val="009C7443"/>
    <w:rsid w:val="009D119A"/>
    <w:rsid w:val="009E0F3F"/>
    <w:rsid w:val="009E5183"/>
    <w:rsid w:val="009F1382"/>
    <w:rsid w:val="009F234C"/>
    <w:rsid w:val="009F3946"/>
    <w:rsid w:val="009F44FD"/>
    <w:rsid w:val="00A0218A"/>
    <w:rsid w:val="00A04ACB"/>
    <w:rsid w:val="00A06B20"/>
    <w:rsid w:val="00A10A0A"/>
    <w:rsid w:val="00A13804"/>
    <w:rsid w:val="00A17086"/>
    <w:rsid w:val="00A23F9F"/>
    <w:rsid w:val="00A262B0"/>
    <w:rsid w:val="00A330ED"/>
    <w:rsid w:val="00A34004"/>
    <w:rsid w:val="00A36BA3"/>
    <w:rsid w:val="00A43609"/>
    <w:rsid w:val="00A43714"/>
    <w:rsid w:val="00A469FD"/>
    <w:rsid w:val="00A55FD0"/>
    <w:rsid w:val="00A71B66"/>
    <w:rsid w:val="00A732F1"/>
    <w:rsid w:val="00A73CFB"/>
    <w:rsid w:val="00A85692"/>
    <w:rsid w:val="00A9292C"/>
    <w:rsid w:val="00A95157"/>
    <w:rsid w:val="00AA288A"/>
    <w:rsid w:val="00AA579E"/>
    <w:rsid w:val="00AA5F0C"/>
    <w:rsid w:val="00AB3927"/>
    <w:rsid w:val="00AB7764"/>
    <w:rsid w:val="00AC2BA5"/>
    <w:rsid w:val="00AC3ED9"/>
    <w:rsid w:val="00AC7807"/>
    <w:rsid w:val="00AE59DB"/>
    <w:rsid w:val="00AF2B98"/>
    <w:rsid w:val="00AF3C6E"/>
    <w:rsid w:val="00AF6151"/>
    <w:rsid w:val="00B101D8"/>
    <w:rsid w:val="00B1110F"/>
    <w:rsid w:val="00B12EAF"/>
    <w:rsid w:val="00B14F87"/>
    <w:rsid w:val="00B16BC1"/>
    <w:rsid w:val="00B42EAA"/>
    <w:rsid w:val="00B43424"/>
    <w:rsid w:val="00B463BC"/>
    <w:rsid w:val="00B50AE2"/>
    <w:rsid w:val="00B560AF"/>
    <w:rsid w:val="00B60EB8"/>
    <w:rsid w:val="00B62482"/>
    <w:rsid w:val="00B655F2"/>
    <w:rsid w:val="00B671AF"/>
    <w:rsid w:val="00B711BA"/>
    <w:rsid w:val="00B71708"/>
    <w:rsid w:val="00B75CDC"/>
    <w:rsid w:val="00B83C5D"/>
    <w:rsid w:val="00BA15CF"/>
    <w:rsid w:val="00BA4693"/>
    <w:rsid w:val="00BB19A7"/>
    <w:rsid w:val="00BB245B"/>
    <w:rsid w:val="00BC0B48"/>
    <w:rsid w:val="00BC3A08"/>
    <w:rsid w:val="00BF5379"/>
    <w:rsid w:val="00C04153"/>
    <w:rsid w:val="00C14BEE"/>
    <w:rsid w:val="00C15CC6"/>
    <w:rsid w:val="00C17559"/>
    <w:rsid w:val="00C24C6C"/>
    <w:rsid w:val="00C265FE"/>
    <w:rsid w:val="00C36837"/>
    <w:rsid w:val="00C40072"/>
    <w:rsid w:val="00C42D0D"/>
    <w:rsid w:val="00C458CC"/>
    <w:rsid w:val="00C53126"/>
    <w:rsid w:val="00C56E47"/>
    <w:rsid w:val="00C5789F"/>
    <w:rsid w:val="00C665C4"/>
    <w:rsid w:val="00C8111C"/>
    <w:rsid w:val="00C815C1"/>
    <w:rsid w:val="00C81AD5"/>
    <w:rsid w:val="00C90060"/>
    <w:rsid w:val="00C91983"/>
    <w:rsid w:val="00C928CF"/>
    <w:rsid w:val="00C941B8"/>
    <w:rsid w:val="00CA3A21"/>
    <w:rsid w:val="00CB16AC"/>
    <w:rsid w:val="00CB32FA"/>
    <w:rsid w:val="00CC7EC2"/>
    <w:rsid w:val="00CC7F68"/>
    <w:rsid w:val="00CD103F"/>
    <w:rsid w:val="00CD1056"/>
    <w:rsid w:val="00CD6526"/>
    <w:rsid w:val="00CD7943"/>
    <w:rsid w:val="00CE51E2"/>
    <w:rsid w:val="00CE7EDE"/>
    <w:rsid w:val="00D20297"/>
    <w:rsid w:val="00D244E5"/>
    <w:rsid w:val="00D506D1"/>
    <w:rsid w:val="00D53754"/>
    <w:rsid w:val="00D605E8"/>
    <w:rsid w:val="00D63E02"/>
    <w:rsid w:val="00D64CB6"/>
    <w:rsid w:val="00D87EE4"/>
    <w:rsid w:val="00DA1D6D"/>
    <w:rsid w:val="00DA683A"/>
    <w:rsid w:val="00DA6C5D"/>
    <w:rsid w:val="00DB1E6D"/>
    <w:rsid w:val="00DD4232"/>
    <w:rsid w:val="00DD7F46"/>
    <w:rsid w:val="00DE0B36"/>
    <w:rsid w:val="00DE44FD"/>
    <w:rsid w:val="00DF5E7E"/>
    <w:rsid w:val="00E068B3"/>
    <w:rsid w:val="00E06BF1"/>
    <w:rsid w:val="00E2595E"/>
    <w:rsid w:val="00E3416D"/>
    <w:rsid w:val="00E348B8"/>
    <w:rsid w:val="00E36F0A"/>
    <w:rsid w:val="00E42813"/>
    <w:rsid w:val="00E42F83"/>
    <w:rsid w:val="00E524C4"/>
    <w:rsid w:val="00E57FBC"/>
    <w:rsid w:val="00E64FA8"/>
    <w:rsid w:val="00E75234"/>
    <w:rsid w:val="00E80305"/>
    <w:rsid w:val="00E84A0A"/>
    <w:rsid w:val="00E86368"/>
    <w:rsid w:val="00E87161"/>
    <w:rsid w:val="00E93D47"/>
    <w:rsid w:val="00E9533B"/>
    <w:rsid w:val="00E95521"/>
    <w:rsid w:val="00EA39AC"/>
    <w:rsid w:val="00EA73C0"/>
    <w:rsid w:val="00EB1CFA"/>
    <w:rsid w:val="00EC6545"/>
    <w:rsid w:val="00ED723B"/>
    <w:rsid w:val="00ED7497"/>
    <w:rsid w:val="00EE200F"/>
    <w:rsid w:val="00EE3EEA"/>
    <w:rsid w:val="00EE4784"/>
    <w:rsid w:val="00EF083F"/>
    <w:rsid w:val="00EF1675"/>
    <w:rsid w:val="00EF1E64"/>
    <w:rsid w:val="00EF3A3D"/>
    <w:rsid w:val="00EF66DF"/>
    <w:rsid w:val="00EF727C"/>
    <w:rsid w:val="00F126A6"/>
    <w:rsid w:val="00F13444"/>
    <w:rsid w:val="00F207D7"/>
    <w:rsid w:val="00F227F0"/>
    <w:rsid w:val="00F568DC"/>
    <w:rsid w:val="00F650DF"/>
    <w:rsid w:val="00F76AFA"/>
    <w:rsid w:val="00F87165"/>
    <w:rsid w:val="00F923E9"/>
    <w:rsid w:val="00F93F96"/>
    <w:rsid w:val="00F94FDD"/>
    <w:rsid w:val="00FA23B7"/>
    <w:rsid w:val="00FA75F3"/>
    <w:rsid w:val="00FB340F"/>
    <w:rsid w:val="00FB7CAB"/>
    <w:rsid w:val="00FD3BB3"/>
    <w:rsid w:val="00FD420C"/>
    <w:rsid w:val="00FE1450"/>
    <w:rsid w:val="00FE45C4"/>
    <w:rsid w:val="00FF6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126"/>
    <w:rPr>
      <w:rFonts w:ascii="Arial" w:hAnsi="Arial"/>
      <w:lang w:val="en-GB"/>
    </w:rPr>
  </w:style>
  <w:style w:type="paragraph" w:styleId="Heading1">
    <w:name w:val="heading 1"/>
    <w:basedOn w:val="Normal"/>
    <w:next w:val="Normal"/>
    <w:link w:val="Heading1Char"/>
    <w:uiPriority w:val="9"/>
    <w:qFormat/>
    <w:rsid w:val="00AC7807"/>
    <w:pPr>
      <w:keepNext/>
      <w:keepLines/>
      <w:spacing w:before="480" w:after="24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521B16"/>
    <w:pPr>
      <w:keepNext/>
      <w:keepLines/>
      <w:pBdr>
        <w:top w:val="single" w:sz="8" w:space="3" w:color="FFFFFF" w:themeColor="background1"/>
        <w:left w:val="single" w:sz="8" w:space="4" w:color="FFFFFF" w:themeColor="background1"/>
        <w:bottom w:val="single" w:sz="8" w:space="3" w:color="FFFFFF" w:themeColor="background1"/>
        <w:right w:val="single" w:sz="8" w:space="4" w:color="FFFFFF" w:themeColor="background1"/>
      </w:pBdr>
      <w:shd w:val="clear" w:color="auto" w:fill="D9D9D9" w:themeFill="background1" w:themeFillShade="D9"/>
      <w:spacing w:before="240" w:after="120"/>
      <w:outlineLvl w:val="1"/>
    </w:pPr>
    <w:rPr>
      <w:rFonts w:eastAsiaTheme="majorEastAsia" w:cstheme="majorBidi"/>
      <w:b/>
      <w:bCs/>
      <w:color w:val="1F497D" w:themeColor="text2"/>
      <w:sz w:val="24"/>
      <w:szCs w:val="26"/>
    </w:rPr>
  </w:style>
  <w:style w:type="paragraph" w:styleId="Heading3">
    <w:name w:val="heading 3"/>
    <w:basedOn w:val="Normal"/>
    <w:next w:val="Normal"/>
    <w:link w:val="Heading3Char"/>
    <w:autoRedefine/>
    <w:uiPriority w:val="9"/>
    <w:unhideWhenUsed/>
    <w:qFormat/>
    <w:rsid w:val="007F504E"/>
    <w:pPr>
      <w:keepNext/>
      <w:keepLines/>
      <w:spacing w:before="200"/>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5DB"/>
    <w:rPr>
      <w:rFonts w:ascii="Tahoma" w:hAnsi="Tahoma" w:cs="Tahoma"/>
      <w:sz w:val="16"/>
      <w:szCs w:val="16"/>
    </w:rPr>
  </w:style>
  <w:style w:type="character" w:styleId="CommentReference">
    <w:name w:val="annotation reference"/>
    <w:basedOn w:val="DefaultParagraphFont"/>
    <w:uiPriority w:val="99"/>
    <w:semiHidden/>
    <w:unhideWhenUsed/>
    <w:rsid w:val="006B5376"/>
    <w:rPr>
      <w:sz w:val="16"/>
      <w:szCs w:val="16"/>
    </w:rPr>
  </w:style>
  <w:style w:type="paragraph" w:styleId="CommentText">
    <w:name w:val="annotation text"/>
    <w:basedOn w:val="Normal"/>
    <w:link w:val="CommentTextChar"/>
    <w:uiPriority w:val="99"/>
    <w:semiHidden/>
    <w:unhideWhenUsed/>
    <w:rsid w:val="006B5376"/>
    <w:pPr>
      <w:spacing w:line="240" w:lineRule="auto"/>
    </w:pPr>
    <w:rPr>
      <w:sz w:val="20"/>
      <w:szCs w:val="20"/>
    </w:rPr>
  </w:style>
  <w:style w:type="character" w:customStyle="1" w:styleId="CommentTextChar">
    <w:name w:val="Comment Text Char"/>
    <w:basedOn w:val="DefaultParagraphFont"/>
    <w:link w:val="CommentText"/>
    <w:uiPriority w:val="99"/>
    <w:semiHidden/>
    <w:rsid w:val="006B5376"/>
    <w:rPr>
      <w:sz w:val="20"/>
      <w:szCs w:val="20"/>
    </w:rPr>
  </w:style>
  <w:style w:type="paragraph" w:styleId="CommentSubject">
    <w:name w:val="annotation subject"/>
    <w:basedOn w:val="CommentText"/>
    <w:next w:val="CommentText"/>
    <w:link w:val="CommentSubjectChar"/>
    <w:uiPriority w:val="99"/>
    <w:semiHidden/>
    <w:unhideWhenUsed/>
    <w:rsid w:val="006B5376"/>
    <w:rPr>
      <w:b/>
      <w:bCs/>
    </w:rPr>
  </w:style>
  <w:style w:type="character" w:customStyle="1" w:styleId="CommentSubjectChar">
    <w:name w:val="Comment Subject Char"/>
    <w:basedOn w:val="CommentTextChar"/>
    <w:link w:val="CommentSubject"/>
    <w:uiPriority w:val="99"/>
    <w:semiHidden/>
    <w:rsid w:val="006B5376"/>
    <w:rPr>
      <w:b/>
      <w:bCs/>
      <w:sz w:val="20"/>
      <w:szCs w:val="20"/>
    </w:rPr>
  </w:style>
  <w:style w:type="paragraph" w:styleId="Header">
    <w:name w:val="header"/>
    <w:basedOn w:val="Normal"/>
    <w:link w:val="HeaderChar"/>
    <w:uiPriority w:val="99"/>
    <w:unhideWhenUsed/>
    <w:rsid w:val="006B53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376"/>
  </w:style>
  <w:style w:type="paragraph" w:styleId="Footer">
    <w:name w:val="footer"/>
    <w:basedOn w:val="Normal"/>
    <w:link w:val="FooterChar"/>
    <w:uiPriority w:val="99"/>
    <w:unhideWhenUsed/>
    <w:rsid w:val="006B53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376"/>
  </w:style>
  <w:style w:type="paragraph" w:styleId="ListParagraph">
    <w:name w:val="List Paragraph"/>
    <w:basedOn w:val="Normal"/>
    <w:autoRedefine/>
    <w:uiPriority w:val="34"/>
    <w:qFormat/>
    <w:rsid w:val="008B56B4"/>
    <w:pPr>
      <w:numPr>
        <w:numId w:val="43"/>
      </w:numPr>
      <w:spacing w:before="120" w:after="0"/>
    </w:pPr>
    <w:rPr>
      <w:rFonts w:eastAsia="Calibri" w:cs="Arial"/>
    </w:rPr>
  </w:style>
  <w:style w:type="table" w:styleId="TableGrid">
    <w:name w:val="Table Grid"/>
    <w:basedOn w:val="TableNormal"/>
    <w:uiPriority w:val="59"/>
    <w:rsid w:val="00863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5F0F"/>
    <w:pPr>
      <w:autoSpaceDE w:val="0"/>
      <w:autoSpaceDN w:val="0"/>
      <w:adjustRightInd w:val="0"/>
      <w:spacing w:after="0" w:line="240" w:lineRule="auto"/>
    </w:pPr>
    <w:rPr>
      <w:rFonts w:ascii="Arial" w:hAnsi="Arial" w:cs="Arial"/>
      <w:color w:val="000000"/>
      <w:sz w:val="24"/>
      <w:szCs w:val="24"/>
      <w:lang w:val="en-GB"/>
    </w:rPr>
  </w:style>
  <w:style w:type="character" w:styleId="Hyperlink">
    <w:name w:val="Hyperlink"/>
    <w:basedOn w:val="DefaultParagraphFont"/>
    <w:uiPriority w:val="99"/>
    <w:unhideWhenUsed/>
    <w:rsid w:val="00AC7807"/>
    <w:rPr>
      <w:color w:val="0000FF"/>
      <w:u w:val="single"/>
    </w:rPr>
  </w:style>
  <w:style w:type="character" w:customStyle="1" w:styleId="fm-panel-title">
    <w:name w:val="fm-panel-title"/>
    <w:basedOn w:val="DefaultParagraphFont"/>
    <w:rsid w:val="00AC7807"/>
    <w:rPr>
      <w:vanish w:val="0"/>
      <w:webHidden w:val="0"/>
      <w:specVanish w:val="0"/>
    </w:rPr>
  </w:style>
  <w:style w:type="character" w:customStyle="1" w:styleId="text-smaller">
    <w:name w:val="text-smaller"/>
    <w:basedOn w:val="DefaultParagraphFont"/>
    <w:rsid w:val="00AC7807"/>
  </w:style>
  <w:style w:type="character" w:customStyle="1" w:styleId="text-normal">
    <w:name w:val="text-normal"/>
    <w:basedOn w:val="DefaultParagraphFont"/>
    <w:rsid w:val="00AC7807"/>
  </w:style>
  <w:style w:type="character" w:customStyle="1" w:styleId="text-larger">
    <w:name w:val="text-larger"/>
    <w:basedOn w:val="DefaultParagraphFont"/>
    <w:rsid w:val="00AC7807"/>
  </w:style>
  <w:style w:type="character" w:customStyle="1" w:styleId="hide1">
    <w:name w:val="hide1"/>
    <w:basedOn w:val="DefaultParagraphFont"/>
    <w:rsid w:val="00AC7807"/>
    <w:rPr>
      <w:vanish/>
      <w:webHidden w:val="0"/>
      <w:specVanish w:val="0"/>
    </w:rPr>
  </w:style>
  <w:style w:type="paragraph" w:styleId="z-TopofForm">
    <w:name w:val="HTML Top of Form"/>
    <w:basedOn w:val="Normal"/>
    <w:next w:val="Normal"/>
    <w:link w:val="z-TopofFormChar"/>
    <w:hidden/>
    <w:uiPriority w:val="99"/>
    <w:semiHidden/>
    <w:unhideWhenUsed/>
    <w:rsid w:val="00AC7807"/>
    <w:pPr>
      <w:pBdr>
        <w:bottom w:val="single" w:sz="6" w:space="1" w:color="auto"/>
      </w:pBdr>
      <w:spacing w:after="0" w:line="240" w:lineRule="auto"/>
      <w:jc w:val="center"/>
    </w:pPr>
    <w:rPr>
      <w:rFonts w:eastAsia="Times New Roman" w:cs="Arial"/>
      <w:vanish/>
      <w:sz w:val="16"/>
      <w:szCs w:val="16"/>
      <w:lang w:eastAsia="en-GB"/>
    </w:rPr>
  </w:style>
  <w:style w:type="character" w:customStyle="1" w:styleId="z-TopofFormChar">
    <w:name w:val="z-Top of Form Char"/>
    <w:basedOn w:val="DefaultParagraphFont"/>
    <w:link w:val="z-TopofForm"/>
    <w:uiPriority w:val="99"/>
    <w:semiHidden/>
    <w:rsid w:val="00AC7807"/>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AC7807"/>
    <w:pPr>
      <w:pBdr>
        <w:top w:val="single" w:sz="6" w:space="1" w:color="auto"/>
      </w:pBdr>
      <w:spacing w:after="0" w:line="240" w:lineRule="auto"/>
      <w:jc w:val="center"/>
    </w:pPr>
    <w:rPr>
      <w:rFonts w:eastAsia="Times New Roman" w:cs="Arial"/>
      <w:vanish/>
      <w:sz w:val="16"/>
      <w:szCs w:val="16"/>
      <w:lang w:eastAsia="en-GB"/>
    </w:rPr>
  </w:style>
  <w:style w:type="character" w:customStyle="1" w:styleId="z-BottomofFormChar">
    <w:name w:val="z-Bottom of Form Char"/>
    <w:basedOn w:val="DefaultParagraphFont"/>
    <w:link w:val="z-BottomofForm"/>
    <w:uiPriority w:val="99"/>
    <w:semiHidden/>
    <w:rsid w:val="00AC7807"/>
    <w:rPr>
      <w:rFonts w:ascii="Arial" w:eastAsia="Times New Roman" w:hAnsi="Arial" w:cs="Arial"/>
      <w:vanish/>
      <w:sz w:val="16"/>
      <w:szCs w:val="16"/>
      <w:lang w:val="en-GB" w:eastAsia="en-GB"/>
    </w:rPr>
  </w:style>
  <w:style w:type="character" w:customStyle="1" w:styleId="fm-panel-link-inner">
    <w:name w:val="fm-panel-link-inner"/>
    <w:basedOn w:val="DefaultParagraphFont"/>
    <w:rsid w:val="00AC7807"/>
  </w:style>
  <w:style w:type="paragraph" w:styleId="Title">
    <w:name w:val="Title"/>
    <w:basedOn w:val="Normal"/>
    <w:next w:val="Normal"/>
    <w:link w:val="TitleChar"/>
    <w:uiPriority w:val="10"/>
    <w:qFormat/>
    <w:rsid w:val="00AC78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780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C7807"/>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21B16"/>
    <w:rPr>
      <w:rFonts w:ascii="Arial" w:eastAsiaTheme="majorEastAsia" w:hAnsi="Arial" w:cstheme="majorBidi"/>
      <w:b/>
      <w:bCs/>
      <w:color w:val="1F497D" w:themeColor="text2"/>
      <w:sz w:val="24"/>
      <w:szCs w:val="26"/>
      <w:shd w:val="clear" w:color="auto" w:fill="D9D9D9" w:themeFill="background1" w:themeFillShade="D9"/>
      <w:lang w:val="en-GB"/>
    </w:rPr>
  </w:style>
  <w:style w:type="character" w:customStyle="1" w:styleId="Heading3Char">
    <w:name w:val="Heading 3 Char"/>
    <w:basedOn w:val="DefaultParagraphFont"/>
    <w:link w:val="Heading3"/>
    <w:uiPriority w:val="9"/>
    <w:rsid w:val="007F504E"/>
    <w:rPr>
      <w:rFonts w:ascii="Arial" w:eastAsiaTheme="majorEastAsia" w:hAnsi="Arial" w:cstheme="majorBidi"/>
      <w:bCs/>
      <w:i/>
    </w:rPr>
  </w:style>
  <w:style w:type="paragraph" w:customStyle="1" w:styleId="Listpara2">
    <w:name w:val="List para 2"/>
    <w:basedOn w:val="Normal"/>
    <w:link w:val="Listpara2Char"/>
    <w:qFormat/>
    <w:rsid w:val="00861F26"/>
    <w:pPr>
      <w:spacing w:after="0"/>
    </w:pPr>
  </w:style>
  <w:style w:type="paragraph" w:styleId="BodyTextIndent">
    <w:name w:val="Body Text Indent"/>
    <w:basedOn w:val="Normal"/>
    <w:link w:val="BodyTextIndentChar"/>
    <w:uiPriority w:val="99"/>
    <w:semiHidden/>
    <w:unhideWhenUsed/>
    <w:rsid w:val="00433C05"/>
    <w:pPr>
      <w:tabs>
        <w:tab w:val="left" w:pos="567"/>
        <w:tab w:val="left" w:pos="1134"/>
      </w:tabs>
      <w:spacing w:after="120" w:line="300" w:lineRule="atLeast"/>
      <w:ind w:left="283"/>
    </w:pPr>
    <w:rPr>
      <w:rFonts w:ascii="Calibri" w:eastAsia="Times New Roman" w:hAnsi="Calibri" w:cs="Arial"/>
      <w:lang w:eastAsia="en-GB"/>
    </w:rPr>
  </w:style>
  <w:style w:type="character" w:customStyle="1" w:styleId="Listpara2Char">
    <w:name w:val="List para 2 Char"/>
    <w:basedOn w:val="DefaultParagraphFont"/>
    <w:link w:val="Listpara2"/>
    <w:rsid w:val="00861F26"/>
    <w:rPr>
      <w:rFonts w:ascii="Arial" w:hAnsi="Arial"/>
      <w:lang w:val="en-GB"/>
    </w:rPr>
  </w:style>
  <w:style w:type="character" w:customStyle="1" w:styleId="BodyTextIndentChar">
    <w:name w:val="Body Text Indent Char"/>
    <w:basedOn w:val="DefaultParagraphFont"/>
    <w:link w:val="BodyTextIndent"/>
    <w:uiPriority w:val="99"/>
    <w:semiHidden/>
    <w:rsid w:val="00433C05"/>
    <w:rPr>
      <w:rFonts w:ascii="Calibri" w:eastAsia="Times New Roman" w:hAnsi="Calibri" w:cs="Arial"/>
      <w:lang w:val="en-GB" w:eastAsia="en-GB"/>
    </w:rPr>
  </w:style>
  <w:style w:type="paragraph" w:styleId="TOCHeading">
    <w:name w:val="TOC Heading"/>
    <w:basedOn w:val="Heading1"/>
    <w:next w:val="Normal"/>
    <w:uiPriority w:val="39"/>
    <w:semiHidden/>
    <w:unhideWhenUsed/>
    <w:qFormat/>
    <w:rsid w:val="00482B2C"/>
    <w:pPr>
      <w:spacing w:after="0"/>
      <w:outlineLvl w:val="9"/>
    </w:pPr>
    <w:rPr>
      <w:rFonts w:asciiTheme="majorHAnsi" w:hAnsiTheme="majorHAnsi"/>
      <w:lang w:val="en-US"/>
    </w:rPr>
  </w:style>
  <w:style w:type="paragraph" w:styleId="TOC1">
    <w:name w:val="toc 1"/>
    <w:basedOn w:val="Normal"/>
    <w:next w:val="Normal"/>
    <w:autoRedefine/>
    <w:uiPriority w:val="39"/>
    <w:unhideWhenUsed/>
    <w:rsid w:val="00482B2C"/>
    <w:pPr>
      <w:tabs>
        <w:tab w:val="right" w:leader="dot" w:pos="8722"/>
      </w:tabs>
      <w:spacing w:after="100"/>
    </w:pPr>
    <w:rPr>
      <w:noProof/>
      <w:color w:val="1F497D" w:themeColor="text2"/>
    </w:rPr>
  </w:style>
  <w:style w:type="paragraph" w:styleId="TOC2">
    <w:name w:val="toc 2"/>
    <w:basedOn w:val="Normal"/>
    <w:next w:val="Normal"/>
    <w:autoRedefine/>
    <w:uiPriority w:val="39"/>
    <w:unhideWhenUsed/>
    <w:rsid w:val="00482B2C"/>
    <w:pPr>
      <w:spacing w:after="100"/>
      <w:ind w:left="220"/>
    </w:pPr>
  </w:style>
  <w:style w:type="paragraph" w:styleId="TOC3">
    <w:name w:val="toc 3"/>
    <w:basedOn w:val="Normal"/>
    <w:next w:val="Normal"/>
    <w:autoRedefine/>
    <w:uiPriority w:val="39"/>
    <w:unhideWhenUsed/>
    <w:rsid w:val="00482B2C"/>
    <w:pPr>
      <w:spacing w:after="100"/>
      <w:ind w:left="440"/>
    </w:pPr>
  </w:style>
  <w:style w:type="paragraph" w:styleId="BodyText">
    <w:name w:val="Body Text"/>
    <w:basedOn w:val="Normal"/>
    <w:link w:val="BodyTextChar"/>
    <w:uiPriority w:val="99"/>
    <w:semiHidden/>
    <w:unhideWhenUsed/>
    <w:rsid w:val="0063397F"/>
    <w:pPr>
      <w:spacing w:after="120"/>
    </w:pPr>
  </w:style>
  <w:style w:type="character" w:customStyle="1" w:styleId="BodyTextChar">
    <w:name w:val="Body Text Char"/>
    <w:basedOn w:val="DefaultParagraphFont"/>
    <w:link w:val="BodyText"/>
    <w:uiPriority w:val="99"/>
    <w:semiHidden/>
    <w:rsid w:val="0063397F"/>
    <w:rPr>
      <w:rFonts w:ascii="Arial" w:hAnsi="Arial"/>
      <w:lang w:val="en-GB"/>
    </w:rPr>
  </w:style>
  <w:style w:type="paragraph" w:styleId="NoSpacing">
    <w:name w:val="No Spacing"/>
    <w:uiPriority w:val="99"/>
    <w:qFormat/>
    <w:rsid w:val="0063397F"/>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126"/>
    <w:rPr>
      <w:rFonts w:ascii="Arial" w:hAnsi="Arial"/>
      <w:lang w:val="en-GB"/>
    </w:rPr>
  </w:style>
  <w:style w:type="paragraph" w:styleId="Heading1">
    <w:name w:val="heading 1"/>
    <w:basedOn w:val="Normal"/>
    <w:next w:val="Normal"/>
    <w:link w:val="Heading1Char"/>
    <w:uiPriority w:val="9"/>
    <w:qFormat/>
    <w:rsid w:val="00AC7807"/>
    <w:pPr>
      <w:keepNext/>
      <w:keepLines/>
      <w:spacing w:before="480" w:after="24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521B16"/>
    <w:pPr>
      <w:keepNext/>
      <w:keepLines/>
      <w:pBdr>
        <w:top w:val="single" w:sz="8" w:space="3" w:color="FFFFFF" w:themeColor="background1"/>
        <w:left w:val="single" w:sz="8" w:space="4" w:color="FFFFFF" w:themeColor="background1"/>
        <w:bottom w:val="single" w:sz="8" w:space="3" w:color="FFFFFF" w:themeColor="background1"/>
        <w:right w:val="single" w:sz="8" w:space="4" w:color="FFFFFF" w:themeColor="background1"/>
      </w:pBdr>
      <w:shd w:val="clear" w:color="auto" w:fill="D9D9D9" w:themeFill="background1" w:themeFillShade="D9"/>
      <w:spacing w:before="240" w:after="120"/>
      <w:outlineLvl w:val="1"/>
    </w:pPr>
    <w:rPr>
      <w:rFonts w:eastAsiaTheme="majorEastAsia" w:cstheme="majorBidi"/>
      <w:b/>
      <w:bCs/>
      <w:color w:val="1F497D" w:themeColor="text2"/>
      <w:sz w:val="24"/>
      <w:szCs w:val="26"/>
    </w:rPr>
  </w:style>
  <w:style w:type="paragraph" w:styleId="Heading3">
    <w:name w:val="heading 3"/>
    <w:basedOn w:val="Normal"/>
    <w:next w:val="Normal"/>
    <w:link w:val="Heading3Char"/>
    <w:autoRedefine/>
    <w:uiPriority w:val="9"/>
    <w:unhideWhenUsed/>
    <w:qFormat/>
    <w:rsid w:val="007F504E"/>
    <w:pPr>
      <w:keepNext/>
      <w:keepLines/>
      <w:spacing w:before="200"/>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5DB"/>
    <w:rPr>
      <w:rFonts w:ascii="Tahoma" w:hAnsi="Tahoma" w:cs="Tahoma"/>
      <w:sz w:val="16"/>
      <w:szCs w:val="16"/>
    </w:rPr>
  </w:style>
  <w:style w:type="character" w:styleId="CommentReference">
    <w:name w:val="annotation reference"/>
    <w:basedOn w:val="DefaultParagraphFont"/>
    <w:uiPriority w:val="99"/>
    <w:semiHidden/>
    <w:unhideWhenUsed/>
    <w:rsid w:val="006B5376"/>
    <w:rPr>
      <w:sz w:val="16"/>
      <w:szCs w:val="16"/>
    </w:rPr>
  </w:style>
  <w:style w:type="paragraph" w:styleId="CommentText">
    <w:name w:val="annotation text"/>
    <w:basedOn w:val="Normal"/>
    <w:link w:val="CommentTextChar"/>
    <w:uiPriority w:val="99"/>
    <w:semiHidden/>
    <w:unhideWhenUsed/>
    <w:rsid w:val="006B5376"/>
    <w:pPr>
      <w:spacing w:line="240" w:lineRule="auto"/>
    </w:pPr>
    <w:rPr>
      <w:sz w:val="20"/>
      <w:szCs w:val="20"/>
    </w:rPr>
  </w:style>
  <w:style w:type="character" w:customStyle="1" w:styleId="CommentTextChar">
    <w:name w:val="Comment Text Char"/>
    <w:basedOn w:val="DefaultParagraphFont"/>
    <w:link w:val="CommentText"/>
    <w:uiPriority w:val="99"/>
    <w:semiHidden/>
    <w:rsid w:val="006B5376"/>
    <w:rPr>
      <w:sz w:val="20"/>
      <w:szCs w:val="20"/>
    </w:rPr>
  </w:style>
  <w:style w:type="paragraph" w:styleId="CommentSubject">
    <w:name w:val="annotation subject"/>
    <w:basedOn w:val="CommentText"/>
    <w:next w:val="CommentText"/>
    <w:link w:val="CommentSubjectChar"/>
    <w:uiPriority w:val="99"/>
    <w:semiHidden/>
    <w:unhideWhenUsed/>
    <w:rsid w:val="006B5376"/>
    <w:rPr>
      <w:b/>
      <w:bCs/>
    </w:rPr>
  </w:style>
  <w:style w:type="character" w:customStyle="1" w:styleId="CommentSubjectChar">
    <w:name w:val="Comment Subject Char"/>
    <w:basedOn w:val="CommentTextChar"/>
    <w:link w:val="CommentSubject"/>
    <w:uiPriority w:val="99"/>
    <w:semiHidden/>
    <w:rsid w:val="006B5376"/>
    <w:rPr>
      <w:b/>
      <w:bCs/>
      <w:sz w:val="20"/>
      <w:szCs w:val="20"/>
    </w:rPr>
  </w:style>
  <w:style w:type="paragraph" w:styleId="Header">
    <w:name w:val="header"/>
    <w:basedOn w:val="Normal"/>
    <w:link w:val="HeaderChar"/>
    <w:uiPriority w:val="99"/>
    <w:unhideWhenUsed/>
    <w:rsid w:val="006B53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376"/>
  </w:style>
  <w:style w:type="paragraph" w:styleId="Footer">
    <w:name w:val="footer"/>
    <w:basedOn w:val="Normal"/>
    <w:link w:val="FooterChar"/>
    <w:uiPriority w:val="99"/>
    <w:unhideWhenUsed/>
    <w:rsid w:val="006B53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376"/>
  </w:style>
  <w:style w:type="paragraph" w:styleId="ListParagraph">
    <w:name w:val="List Paragraph"/>
    <w:basedOn w:val="Normal"/>
    <w:autoRedefine/>
    <w:uiPriority w:val="34"/>
    <w:qFormat/>
    <w:rsid w:val="008B56B4"/>
    <w:pPr>
      <w:numPr>
        <w:numId w:val="43"/>
      </w:numPr>
      <w:spacing w:before="120" w:after="0"/>
    </w:pPr>
    <w:rPr>
      <w:rFonts w:eastAsia="Calibri" w:cs="Arial"/>
    </w:rPr>
  </w:style>
  <w:style w:type="table" w:styleId="TableGrid">
    <w:name w:val="Table Grid"/>
    <w:basedOn w:val="TableNormal"/>
    <w:uiPriority w:val="59"/>
    <w:rsid w:val="00863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5F0F"/>
    <w:pPr>
      <w:autoSpaceDE w:val="0"/>
      <w:autoSpaceDN w:val="0"/>
      <w:adjustRightInd w:val="0"/>
      <w:spacing w:after="0" w:line="240" w:lineRule="auto"/>
    </w:pPr>
    <w:rPr>
      <w:rFonts w:ascii="Arial" w:hAnsi="Arial" w:cs="Arial"/>
      <w:color w:val="000000"/>
      <w:sz w:val="24"/>
      <w:szCs w:val="24"/>
      <w:lang w:val="en-GB"/>
    </w:rPr>
  </w:style>
  <w:style w:type="character" w:styleId="Hyperlink">
    <w:name w:val="Hyperlink"/>
    <w:basedOn w:val="DefaultParagraphFont"/>
    <w:uiPriority w:val="99"/>
    <w:unhideWhenUsed/>
    <w:rsid w:val="00AC7807"/>
    <w:rPr>
      <w:color w:val="0000FF"/>
      <w:u w:val="single"/>
    </w:rPr>
  </w:style>
  <w:style w:type="character" w:customStyle="1" w:styleId="fm-panel-title">
    <w:name w:val="fm-panel-title"/>
    <w:basedOn w:val="DefaultParagraphFont"/>
    <w:rsid w:val="00AC7807"/>
    <w:rPr>
      <w:vanish w:val="0"/>
      <w:webHidden w:val="0"/>
      <w:specVanish w:val="0"/>
    </w:rPr>
  </w:style>
  <w:style w:type="character" w:customStyle="1" w:styleId="text-smaller">
    <w:name w:val="text-smaller"/>
    <w:basedOn w:val="DefaultParagraphFont"/>
    <w:rsid w:val="00AC7807"/>
  </w:style>
  <w:style w:type="character" w:customStyle="1" w:styleId="text-normal">
    <w:name w:val="text-normal"/>
    <w:basedOn w:val="DefaultParagraphFont"/>
    <w:rsid w:val="00AC7807"/>
  </w:style>
  <w:style w:type="character" w:customStyle="1" w:styleId="text-larger">
    <w:name w:val="text-larger"/>
    <w:basedOn w:val="DefaultParagraphFont"/>
    <w:rsid w:val="00AC7807"/>
  </w:style>
  <w:style w:type="character" w:customStyle="1" w:styleId="hide1">
    <w:name w:val="hide1"/>
    <w:basedOn w:val="DefaultParagraphFont"/>
    <w:rsid w:val="00AC7807"/>
    <w:rPr>
      <w:vanish/>
      <w:webHidden w:val="0"/>
      <w:specVanish w:val="0"/>
    </w:rPr>
  </w:style>
  <w:style w:type="paragraph" w:styleId="z-TopofForm">
    <w:name w:val="HTML Top of Form"/>
    <w:basedOn w:val="Normal"/>
    <w:next w:val="Normal"/>
    <w:link w:val="z-TopofFormChar"/>
    <w:hidden/>
    <w:uiPriority w:val="99"/>
    <w:semiHidden/>
    <w:unhideWhenUsed/>
    <w:rsid w:val="00AC7807"/>
    <w:pPr>
      <w:pBdr>
        <w:bottom w:val="single" w:sz="6" w:space="1" w:color="auto"/>
      </w:pBdr>
      <w:spacing w:after="0" w:line="240" w:lineRule="auto"/>
      <w:jc w:val="center"/>
    </w:pPr>
    <w:rPr>
      <w:rFonts w:eastAsia="Times New Roman" w:cs="Arial"/>
      <w:vanish/>
      <w:sz w:val="16"/>
      <w:szCs w:val="16"/>
      <w:lang w:eastAsia="en-GB"/>
    </w:rPr>
  </w:style>
  <w:style w:type="character" w:customStyle="1" w:styleId="z-TopofFormChar">
    <w:name w:val="z-Top of Form Char"/>
    <w:basedOn w:val="DefaultParagraphFont"/>
    <w:link w:val="z-TopofForm"/>
    <w:uiPriority w:val="99"/>
    <w:semiHidden/>
    <w:rsid w:val="00AC7807"/>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AC7807"/>
    <w:pPr>
      <w:pBdr>
        <w:top w:val="single" w:sz="6" w:space="1" w:color="auto"/>
      </w:pBdr>
      <w:spacing w:after="0" w:line="240" w:lineRule="auto"/>
      <w:jc w:val="center"/>
    </w:pPr>
    <w:rPr>
      <w:rFonts w:eastAsia="Times New Roman" w:cs="Arial"/>
      <w:vanish/>
      <w:sz w:val="16"/>
      <w:szCs w:val="16"/>
      <w:lang w:eastAsia="en-GB"/>
    </w:rPr>
  </w:style>
  <w:style w:type="character" w:customStyle="1" w:styleId="z-BottomofFormChar">
    <w:name w:val="z-Bottom of Form Char"/>
    <w:basedOn w:val="DefaultParagraphFont"/>
    <w:link w:val="z-BottomofForm"/>
    <w:uiPriority w:val="99"/>
    <w:semiHidden/>
    <w:rsid w:val="00AC7807"/>
    <w:rPr>
      <w:rFonts w:ascii="Arial" w:eastAsia="Times New Roman" w:hAnsi="Arial" w:cs="Arial"/>
      <w:vanish/>
      <w:sz w:val="16"/>
      <w:szCs w:val="16"/>
      <w:lang w:val="en-GB" w:eastAsia="en-GB"/>
    </w:rPr>
  </w:style>
  <w:style w:type="character" w:customStyle="1" w:styleId="fm-panel-link-inner">
    <w:name w:val="fm-panel-link-inner"/>
    <w:basedOn w:val="DefaultParagraphFont"/>
    <w:rsid w:val="00AC7807"/>
  </w:style>
  <w:style w:type="paragraph" w:styleId="Title">
    <w:name w:val="Title"/>
    <w:basedOn w:val="Normal"/>
    <w:next w:val="Normal"/>
    <w:link w:val="TitleChar"/>
    <w:uiPriority w:val="10"/>
    <w:qFormat/>
    <w:rsid w:val="00AC78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780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C7807"/>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21B16"/>
    <w:rPr>
      <w:rFonts w:ascii="Arial" w:eastAsiaTheme="majorEastAsia" w:hAnsi="Arial" w:cstheme="majorBidi"/>
      <w:b/>
      <w:bCs/>
      <w:color w:val="1F497D" w:themeColor="text2"/>
      <w:sz w:val="24"/>
      <w:szCs w:val="26"/>
      <w:shd w:val="clear" w:color="auto" w:fill="D9D9D9" w:themeFill="background1" w:themeFillShade="D9"/>
      <w:lang w:val="en-GB"/>
    </w:rPr>
  </w:style>
  <w:style w:type="character" w:customStyle="1" w:styleId="Heading3Char">
    <w:name w:val="Heading 3 Char"/>
    <w:basedOn w:val="DefaultParagraphFont"/>
    <w:link w:val="Heading3"/>
    <w:uiPriority w:val="9"/>
    <w:rsid w:val="007F504E"/>
    <w:rPr>
      <w:rFonts w:ascii="Arial" w:eastAsiaTheme="majorEastAsia" w:hAnsi="Arial" w:cstheme="majorBidi"/>
      <w:bCs/>
      <w:i/>
    </w:rPr>
  </w:style>
  <w:style w:type="paragraph" w:customStyle="1" w:styleId="Listpara2">
    <w:name w:val="List para 2"/>
    <w:basedOn w:val="Normal"/>
    <w:link w:val="Listpara2Char"/>
    <w:qFormat/>
    <w:rsid w:val="00861F26"/>
    <w:pPr>
      <w:spacing w:after="0"/>
    </w:pPr>
  </w:style>
  <w:style w:type="paragraph" w:styleId="BodyTextIndent">
    <w:name w:val="Body Text Indent"/>
    <w:basedOn w:val="Normal"/>
    <w:link w:val="BodyTextIndentChar"/>
    <w:uiPriority w:val="99"/>
    <w:semiHidden/>
    <w:unhideWhenUsed/>
    <w:rsid w:val="00433C05"/>
    <w:pPr>
      <w:tabs>
        <w:tab w:val="left" w:pos="567"/>
        <w:tab w:val="left" w:pos="1134"/>
      </w:tabs>
      <w:spacing w:after="120" w:line="300" w:lineRule="atLeast"/>
      <w:ind w:left="283"/>
    </w:pPr>
    <w:rPr>
      <w:rFonts w:ascii="Calibri" w:eastAsia="Times New Roman" w:hAnsi="Calibri" w:cs="Arial"/>
      <w:lang w:eastAsia="en-GB"/>
    </w:rPr>
  </w:style>
  <w:style w:type="character" w:customStyle="1" w:styleId="Listpara2Char">
    <w:name w:val="List para 2 Char"/>
    <w:basedOn w:val="DefaultParagraphFont"/>
    <w:link w:val="Listpara2"/>
    <w:rsid w:val="00861F26"/>
    <w:rPr>
      <w:rFonts w:ascii="Arial" w:hAnsi="Arial"/>
      <w:lang w:val="en-GB"/>
    </w:rPr>
  </w:style>
  <w:style w:type="character" w:customStyle="1" w:styleId="BodyTextIndentChar">
    <w:name w:val="Body Text Indent Char"/>
    <w:basedOn w:val="DefaultParagraphFont"/>
    <w:link w:val="BodyTextIndent"/>
    <w:uiPriority w:val="99"/>
    <w:semiHidden/>
    <w:rsid w:val="00433C05"/>
    <w:rPr>
      <w:rFonts w:ascii="Calibri" w:eastAsia="Times New Roman" w:hAnsi="Calibri" w:cs="Arial"/>
      <w:lang w:val="en-GB" w:eastAsia="en-GB"/>
    </w:rPr>
  </w:style>
  <w:style w:type="paragraph" w:styleId="TOCHeading">
    <w:name w:val="TOC Heading"/>
    <w:basedOn w:val="Heading1"/>
    <w:next w:val="Normal"/>
    <w:uiPriority w:val="39"/>
    <w:semiHidden/>
    <w:unhideWhenUsed/>
    <w:qFormat/>
    <w:rsid w:val="00482B2C"/>
    <w:pPr>
      <w:spacing w:after="0"/>
      <w:outlineLvl w:val="9"/>
    </w:pPr>
    <w:rPr>
      <w:rFonts w:asciiTheme="majorHAnsi" w:hAnsiTheme="majorHAnsi"/>
      <w:lang w:val="en-US"/>
    </w:rPr>
  </w:style>
  <w:style w:type="paragraph" w:styleId="TOC1">
    <w:name w:val="toc 1"/>
    <w:basedOn w:val="Normal"/>
    <w:next w:val="Normal"/>
    <w:autoRedefine/>
    <w:uiPriority w:val="39"/>
    <w:unhideWhenUsed/>
    <w:rsid w:val="00482B2C"/>
    <w:pPr>
      <w:tabs>
        <w:tab w:val="right" w:leader="dot" w:pos="8722"/>
      </w:tabs>
      <w:spacing w:after="100"/>
    </w:pPr>
    <w:rPr>
      <w:noProof/>
      <w:color w:val="1F497D" w:themeColor="text2"/>
    </w:rPr>
  </w:style>
  <w:style w:type="paragraph" w:styleId="TOC2">
    <w:name w:val="toc 2"/>
    <w:basedOn w:val="Normal"/>
    <w:next w:val="Normal"/>
    <w:autoRedefine/>
    <w:uiPriority w:val="39"/>
    <w:unhideWhenUsed/>
    <w:rsid w:val="00482B2C"/>
    <w:pPr>
      <w:spacing w:after="100"/>
      <w:ind w:left="220"/>
    </w:pPr>
  </w:style>
  <w:style w:type="paragraph" w:styleId="TOC3">
    <w:name w:val="toc 3"/>
    <w:basedOn w:val="Normal"/>
    <w:next w:val="Normal"/>
    <w:autoRedefine/>
    <w:uiPriority w:val="39"/>
    <w:unhideWhenUsed/>
    <w:rsid w:val="00482B2C"/>
    <w:pPr>
      <w:spacing w:after="100"/>
      <w:ind w:left="440"/>
    </w:pPr>
  </w:style>
  <w:style w:type="paragraph" w:styleId="BodyText">
    <w:name w:val="Body Text"/>
    <w:basedOn w:val="Normal"/>
    <w:link w:val="BodyTextChar"/>
    <w:uiPriority w:val="99"/>
    <w:semiHidden/>
    <w:unhideWhenUsed/>
    <w:rsid w:val="0063397F"/>
    <w:pPr>
      <w:spacing w:after="120"/>
    </w:pPr>
  </w:style>
  <w:style w:type="character" w:customStyle="1" w:styleId="BodyTextChar">
    <w:name w:val="Body Text Char"/>
    <w:basedOn w:val="DefaultParagraphFont"/>
    <w:link w:val="BodyText"/>
    <w:uiPriority w:val="99"/>
    <w:semiHidden/>
    <w:rsid w:val="0063397F"/>
    <w:rPr>
      <w:rFonts w:ascii="Arial" w:hAnsi="Arial"/>
      <w:lang w:val="en-GB"/>
    </w:rPr>
  </w:style>
  <w:style w:type="paragraph" w:styleId="NoSpacing">
    <w:name w:val="No Spacing"/>
    <w:uiPriority w:val="99"/>
    <w:qFormat/>
    <w:rsid w:val="0063397F"/>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41197">
      <w:bodyDiv w:val="1"/>
      <w:marLeft w:val="0"/>
      <w:marRight w:val="0"/>
      <w:marTop w:val="0"/>
      <w:marBottom w:val="0"/>
      <w:divBdr>
        <w:top w:val="none" w:sz="0" w:space="0" w:color="auto"/>
        <w:left w:val="none" w:sz="0" w:space="0" w:color="auto"/>
        <w:bottom w:val="none" w:sz="0" w:space="0" w:color="auto"/>
        <w:right w:val="none" w:sz="0" w:space="0" w:color="auto"/>
      </w:divBdr>
    </w:div>
    <w:div w:id="269239466">
      <w:bodyDiv w:val="1"/>
      <w:marLeft w:val="0"/>
      <w:marRight w:val="0"/>
      <w:marTop w:val="0"/>
      <w:marBottom w:val="0"/>
      <w:divBdr>
        <w:top w:val="none" w:sz="0" w:space="0" w:color="auto"/>
        <w:left w:val="none" w:sz="0" w:space="0" w:color="auto"/>
        <w:bottom w:val="none" w:sz="0" w:space="0" w:color="auto"/>
        <w:right w:val="none" w:sz="0" w:space="0" w:color="auto"/>
      </w:divBdr>
    </w:div>
    <w:div w:id="682364509">
      <w:bodyDiv w:val="1"/>
      <w:marLeft w:val="0"/>
      <w:marRight w:val="0"/>
      <w:marTop w:val="0"/>
      <w:marBottom w:val="0"/>
      <w:divBdr>
        <w:top w:val="none" w:sz="0" w:space="0" w:color="auto"/>
        <w:left w:val="none" w:sz="0" w:space="0" w:color="auto"/>
        <w:bottom w:val="none" w:sz="0" w:space="0" w:color="auto"/>
        <w:right w:val="none" w:sz="0" w:space="0" w:color="auto"/>
      </w:divBdr>
    </w:div>
    <w:div w:id="1024139145">
      <w:bodyDiv w:val="1"/>
      <w:marLeft w:val="0"/>
      <w:marRight w:val="0"/>
      <w:marTop w:val="0"/>
      <w:marBottom w:val="0"/>
      <w:divBdr>
        <w:top w:val="none" w:sz="0" w:space="0" w:color="auto"/>
        <w:left w:val="none" w:sz="0" w:space="0" w:color="auto"/>
        <w:bottom w:val="none" w:sz="0" w:space="0" w:color="auto"/>
        <w:right w:val="none" w:sz="0" w:space="0" w:color="auto"/>
      </w:divBdr>
      <w:divsChild>
        <w:div w:id="1180660519">
          <w:marLeft w:val="0"/>
          <w:marRight w:val="0"/>
          <w:marTop w:val="100"/>
          <w:marBottom w:val="100"/>
          <w:divBdr>
            <w:top w:val="none" w:sz="0" w:space="0" w:color="auto"/>
            <w:left w:val="none" w:sz="0" w:space="0" w:color="auto"/>
            <w:bottom w:val="none" w:sz="0" w:space="0" w:color="auto"/>
            <w:right w:val="none" w:sz="0" w:space="0" w:color="auto"/>
          </w:divBdr>
          <w:divsChild>
            <w:div w:id="980573089">
              <w:marLeft w:val="0"/>
              <w:marRight w:val="0"/>
              <w:marTop w:val="0"/>
              <w:marBottom w:val="150"/>
              <w:divBdr>
                <w:top w:val="none" w:sz="0" w:space="0" w:color="auto"/>
                <w:left w:val="none" w:sz="0" w:space="0" w:color="auto"/>
                <w:bottom w:val="none" w:sz="0" w:space="0" w:color="auto"/>
                <w:right w:val="none" w:sz="0" w:space="0" w:color="auto"/>
              </w:divBdr>
              <w:divsChild>
                <w:div w:id="624430045">
                  <w:marLeft w:val="0"/>
                  <w:marRight w:val="0"/>
                  <w:marTop w:val="390"/>
                  <w:marBottom w:val="0"/>
                  <w:divBdr>
                    <w:top w:val="none" w:sz="0" w:space="0" w:color="auto"/>
                    <w:left w:val="none" w:sz="0" w:space="0" w:color="auto"/>
                    <w:bottom w:val="none" w:sz="0" w:space="0" w:color="auto"/>
                    <w:right w:val="none" w:sz="0" w:space="0" w:color="auto"/>
                  </w:divBdr>
                  <w:divsChild>
                    <w:div w:id="897207759">
                      <w:marLeft w:val="0"/>
                      <w:marRight w:val="0"/>
                      <w:marTop w:val="0"/>
                      <w:marBottom w:val="0"/>
                      <w:divBdr>
                        <w:top w:val="none" w:sz="0" w:space="0" w:color="auto"/>
                        <w:left w:val="none" w:sz="0" w:space="0" w:color="auto"/>
                        <w:bottom w:val="none" w:sz="0" w:space="0" w:color="auto"/>
                        <w:right w:val="none" w:sz="0" w:space="0" w:color="auto"/>
                      </w:divBdr>
                      <w:divsChild>
                        <w:div w:id="1265847326">
                          <w:marLeft w:val="0"/>
                          <w:marRight w:val="0"/>
                          <w:marTop w:val="0"/>
                          <w:marBottom w:val="0"/>
                          <w:divBdr>
                            <w:top w:val="none" w:sz="0" w:space="0" w:color="auto"/>
                            <w:left w:val="none" w:sz="0" w:space="0" w:color="auto"/>
                            <w:bottom w:val="none" w:sz="0" w:space="0" w:color="auto"/>
                            <w:right w:val="none" w:sz="0" w:space="0" w:color="auto"/>
                          </w:divBdr>
                          <w:divsChild>
                            <w:div w:id="1970817110">
                              <w:marLeft w:val="0"/>
                              <w:marRight w:val="0"/>
                              <w:marTop w:val="0"/>
                              <w:marBottom w:val="0"/>
                              <w:divBdr>
                                <w:top w:val="none" w:sz="0" w:space="0" w:color="auto"/>
                                <w:left w:val="none" w:sz="0" w:space="0" w:color="auto"/>
                                <w:bottom w:val="none" w:sz="0" w:space="0" w:color="auto"/>
                                <w:right w:val="none" w:sz="0" w:space="0" w:color="auto"/>
                              </w:divBdr>
                            </w:div>
                            <w:div w:id="816725865">
                              <w:marLeft w:val="0"/>
                              <w:marRight w:val="0"/>
                              <w:marTop w:val="0"/>
                              <w:marBottom w:val="0"/>
                              <w:divBdr>
                                <w:top w:val="none" w:sz="0" w:space="0" w:color="auto"/>
                                <w:left w:val="none" w:sz="0" w:space="0" w:color="auto"/>
                                <w:bottom w:val="none" w:sz="0" w:space="0" w:color="auto"/>
                                <w:right w:val="none" w:sz="0" w:space="0" w:color="auto"/>
                              </w:divBdr>
                            </w:div>
                          </w:divsChild>
                        </w:div>
                        <w:div w:id="267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661659">
                  <w:marLeft w:val="0"/>
                  <w:marRight w:val="0"/>
                  <w:marTop w:val="225"/>
                  <w:marBottom w:val="225"/>
                  <w:divBdr>
                    <w:top w:val="none" w:sz="0" w:space="0" w:color="auto"/>
                    <w:left w:val="none" w:sz="0" w:space="0" w:color="auto"/>
                    <w:bottom w:val="none" w:sz="0" w:space="0" w:color="auto"/>
                    <w:right w:val="none" w:sz="0" w:space="0" w:color="auto"/>
                  </w:divBdr>
                  <w:divsChild>
                    <w:div w:id="1619601053">
                      <w:marLeft w:val="0"/>
                      <w:marRight w:val="0"/>
                      <w:marTop w:val="0"/>
                      <w:marBottom w:val="0"/>
                      <w:divBdr>
                        <w:top w:val="none" w:sz="0" w:space="0" w:color="auto"/>
                        <w:left w:val="none" w:sz="0" w:space="0" w:color="auto"/>
                        <w:bottom w:val="none" w:sz="0" w:space="0" w:color="auto"/>
                        <w:right w:val="none" w:sz="0" w:space="0" w:color="auto"/>
                      </w:divBdr>
                      <w:divsChild>
                        <w:div w:id="214463462">
                          <w:marLeft w:val="0"/>
                          <w:marRight w:val="0"/>
                          <w:marTop w:val="0"/>
                          <w:marBottom w:val="0"/>
                          <w:divBdr>
                            <w:top w:val="none" w:sz="0" w:space="0" w:color="auto"/>
                            <w:left w:val="none" w:sz="0" w:space="0" w:color="auto"/>
                            <w:bottom w:val="none" w:sz="0" w:space="0" w:color="auto"/>
                            <w:right w:val="none" w:sz="0" w:space="0" w:color="auto"/>
                          </w:divBdr>
                          <w:divsChild>
                            <w:div w:id="1956592608">
                              <w:marLeft w:val="0"/>
                              <w:marRight w:val="0"/>
                              <w:marTop w:val="0"/>
                              <w:marBottom w:val="0"/>
                              <w:divBdr>
                                <w:top w:val="none" w:sz="0" w:space="0" w:color="auto"/>
                                <w:left w:val="none" w:sz="0" w:space="0" w:color="auto"/>
                                <w:bottom w:val="none" w:sz="0" w:space="0" w:color="auto"/>
                                <w:right w:val="none" w:sz="0" w:space="0" w:color="auto"/>
                              </w:divBdr>
                              <w:divsChild>
                                <w:div w:id="224489956">
                                  <w:marLeft w:val="0"/>
                                  <w:marRight w:val="0"/>
                                  <w:marTop w:val="0"/>
                                  <w:marBottom w:val="0"/>
                                  <w:divBdr>
                                    <w:top w:val="none" w:sz="0" w:space="0" w:color="auto"/>
                                    <w:left w:val="none" w:sz="0" w:space="0" w:color="auto"/>
                                    <w:bottom w:val="none" w:sz="0" w:space="0" w:color="auto"/>
                                    <w:right w:val="none" w:sz="0" w:space="0" w:color="auto"/>
                                  </w:divBdr>
                                  <w:divsChild>
                                    <w:div w:id="738601335">
                                      <w:marLeft w:val="0"/>
                                      <w:marRight w:val="0"/>
                                      <w:marTop w:val="0"/>
                                      <w:marBottom w:val="0"/>
                                      <w:divBdr>
                                        <w:top w:val="none" w:sz="0" w:space="0" w:color="auto"/>
                                        <w:left w:val="none" w:sz="0" w:space="0" w:color="auto"/>
                                        <w:bottom w:val="none" w:sz="0" w:space="0" w:color="auto"/>
                                        <w:right w:val="none" w:sz="0" w:space="0" w:color="auto"/>
                                      </w:divBdr>
                                    </w:div>
                                    <w:div w:id="632564722">
                                      <w:marLeft w:val="0"/>
                                      <w:marRight w:val="0"/>
                                      <w:marTop w:val="0"/>
                                      <w:marBottom w:val="0"/>
                                      <w:divBdr>
                                        <w:top w:val="none" w:sz="0" w:space="0" w:color="auto"/>
                                        <w:left w:val="none" w:sz="0" w:space="0" w:color="auto"/>
                                        <w:bottom w:val="none" w:sz="0" w:space="0" w:color="auto"/>
                                        <w:right w:val="none" w:sz="0" w:space="0" w:color="auto"/>
                                      </w:divBdr>
                                    </w:div>
                                    <w:div w:id="2122139571">
                                      <w:marLeft w:val="0"/>
                                      <w:marRight w:val="0"/>
                                      <w:marTop w:val="0"/>
                                      <w:marBottom w:val="0"/>
                                      <w:divBdr>
                                        <w:top w:val="none" w:sz="0" w:space="0" w:color="auto"/>
                                        <w:left w:val="none" w:sz="0" w:space="0" w:color="auto"/>
                                        <w:bottom w:val="none" w:sz="0" w:space="0" w:color="auto"/>
                                        <w:right w:val="none" w:sz="0" w:space="0" w:color="auto"/>
                                      </w:divBdr>
                                    </w:div>
                                    <w:div w:id="117611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9160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130829205">
      <w:bodyDiv w:val="1"/>
      <w:marLeft w:val="0"/>
      <w:marRight w:val="0"/>
      <w:marTop w:val="0"/>
      <w:marBottom w:val="0"/>
      <w:divBdr>
        <w:top w:val="none" w:sz="0" w:space="0" w:color="auto"/>
        <w:left w:val="none" w:sz="0" w:space="0" w:color="auto"/>
        <w:bottom w:val="none" w:sz="0" w:space="0" w:color="auto"/>
        <w:right w:val="none" w:sz="0" w:space="0" w:color="auto"/>
      </w:divBdr>
    </w:div>
    <w:div w:id="1461873307">
      <w:bodyDiv w:val="1"/>
      <w:marLeft w:val="0"/>
      <w:marRight w:val="0"/>
      <w:marTop w:val="0"/>
      <w:marBottom w:val="0"/>
      <w:divBdr>
        <w:top w:val="none" w:sz="0" w:space="0" w:color="auto"/>
        <w:left w:val="none" w:sz="0" w:space="0" w:color="auto"/>
        <w:bottom w:val="none" w:sz="0" w:space="0" w:color="auto"/>
        <w:right w:val="none" w:sz="0" w:space="0" w:color="auto"/>
      </w:divBdr>
    </w:div>
    <w:div w:id="1513031427">
      <w:bodyDiv w:val="1"/>
      <w:marLeft w:val="0"/>
      <w:marRight w:val="0"/>
      <w:marTop w:val="0"/>
      <w:marBottom w:val="0"/>
      <w:divBdr>
        <w:top w:val="none" w:sz="0" w:space="0" w:color="auto"/>
        <w:left w:val="none" w:sz="0" w:space="0" w:color="auto"/>
        <w:bottom w:val="none" w:sz="0" w:space="0" w:color="auto"/>
        <w:right w:val="none" w:sz="0" w:space="0" w:color="auto"/>
      </w:divBdr>
    </w:div>
    <w:div w:id="1845050945">
      <w:bodyDiv w:val="1"/>
      <w:marLeft w:val="0"/>
      <w:marRight w:val="0"/>
      <w:marTop w:val="0"/>
      <w:marBottom w:val="0"/>
      <w:divBdr>
        <w:top w:val="none" w:sz="0" w:space="0" w:color="auto"/>
        <w:left w:val="none" w:sz="0" w:space="0" w:color="auto"/>
        <w:bottom w:val="none" w:sz="0" w:space="0" w:color="auto"/>
        <w:right w:val="none" w:sz="0" w:space="0" w:color="auto"/>
      </w:divBdr>
    </w:div>
    <w:div w:id="186308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D8CAAF2-BA3B-4879-96EA-D987EFE69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NPSA</Company>
  <LinksUpToDate>false</LinksUpToDate>
  <CharactersWithSpaces>6826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Wisely</dc:creator>
  <cp:lastModifiedBy>Steve Tebbutt</cp:lastModifiedBy>
  <cp:revision>9</cp:revision>
  <cp:lastPrinted>2013-01-08T15:55:00Z</cp:lastPrinted>
  <dcterms:created xsi:type="dcterms:W3CDTF">2015-04-07T11:17:00Z</dcterms:created>
  <dcterms:modified xsi:type="dcterms:W3CDTF">2015-04-08T14:22:00Z</dcterms:modified>
</cp:coreProperties>
</file>