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8A" w:rsidRPr="0044078A" w:rsidRDefault="0044078A" w:rsidP="0044078A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44078A" w:rsidRPr="0044078A" w:rsidTr="001F747A">
        <w:tc>
          <w:tcPr>
            <w:tcW w:w="3420" w:type="dxa"/>
          </w:tcPr>
          <w:p w:rsidR="0044078A" w:rsidRPr="0044078A" w:rsidRDefault="0044078A" w:rsidP="0044078A">
            <w:pPr>
              <w:jc w:val="right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 w:rsidRPr="0044078A">
              <w:rPr>
                <w:rFonts w:ascii="Calibri" w:eastAsia="Times New Roman" w:hAnsi="Calibri" w:cs="Calibri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44078A" w:rsidRPr="0044078A" w:rsidRDefault="00927932" w:rsidP="0044078A">
            <w:pPr>
              <w:jc w:val="center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sz w:val="44"/>
                <w:szCs w:val="44"/>
              </w:rPr>
              <w:t>11</w:t>
            </w:r>
          </w:p>
        </w:tc>
      </w:tr>
      <w:tr w:rsidR="0044078A" w:rsidRPr="0044078A" w:rsidTr="001F747A">
        <w:tc>
          <w:tcPr>
            <w:tcW w:w="3420" w:type="dxa"/>
          </w:tcPr>
          <w:p w:rsidR="0044078A" w:rsidRPr="0044078A" w:rsidRDefault="0044078A" w:rsidP="0044078A">
            <w:pPr>
              <w:jc w:val="right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 w:rsidRPr="0044078A">
              <w:rPr>
                <w:rFonts w:ascii="Calibri" w:eastAsia="Times New Roman" w:hAnsi="Calibri" w:cs="Calibri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44078A" w:rsidRPr="0044078A" w:rsidRDefault="00927932" w:rsidP="00927932">
            <w:pPr>
              <w:jc w:val="center"/>
              <w:rPr>
                <w:rFonts w:ascii="Calibri" w:eastAsia="Times New Roman" w:hAnsi="Calibri" w:cs="Calibri"/>
                <w:b/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sz w:val="44"/>
                <w:szCs w:val="44"/>
              </w:rPr>
              <w:t>D</w:t>
            </w:r>
          </w:p>
        </w:tc>
      </w:tr>
    </w:tbl>
    <w:p w:rsidR="0044078A" w:rsidRPr="0044078A" w:rsidRDefault="0044078A" w:rsidP="0044078A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78A" w:rsidRPr="0044078A" w:rsidRDefault="0044078A" w:rsidP="0044078A">
      <w:pPr>
        <w:spacing w:after="0"/>
        <w:jc w:val="center"/>
        <w:rPr>
          <w:rFonts w:ascii="Calibri" w:eastAsia="Calibri" w:hAnsi="Calibri" w:cs="Calibri"/>
          <w:b/>
          <w:sz w:val="40"/>
          <w:szCs w:val="40"/>
        </w:rPr>
      </w:pPr>
    </w:p>
    <w:p w:rsidR="0044078A" w:rsidRPr="0044078A" w:rsidRDefault="0044078A" w:rsidP="0044078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78A" w:rsidRPr="0044078A" w:rsidRDefault="0044078A" w:rsidP="0044078A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78A" w:rsidRPr="0044078A" w:rsidRDefault="0044078A" w:rsidP="0044078A">
      <w:pPr>
        <w:spacing w:after="0" w:line="240" w:lineRule="auto"/>
        <w:jc w:val="center"/>
        <w:rPr>
          <w:rFonts w:ascii="Calibri" w:eastAsia="Calibri" w:hAnsi="Calibri" w:cs="Calibri"/>
          <w:b/>
          <w:sz w:val="44"/>
          <w:szCs w:val="44"/>
        </w:rPr>
      </w:pPr>
      <w:r w:rsidRPr="0044078A">
        <w:rPr>
          <w:rFonts w:ascii="Calibri" w:eastAsia="Calibri" w:hAnsi="Calibri" w:cs="Calibri"/>
          <w:b/>
          <w:sz w:val="44"/>
          <w:szCs w:val="44"/>
        </w:rPr>
        <w:t xml:space="preserve">HRA </w:t>
      </w:r>
      <w:r w:rsidR="00DA3A2D">
        <w:rPr>
          <w:rFonts w:ascii="Calibri" w:eastAsia="Calibri" w:hAnsi="Calibri" w:cs="Calibri"/>
          <w:b/>
          <w:sz w:val="44"/>
          <w:szCs w:val="44"/>
        </w:rPr>
        <w:t xml:space="preserve">BOARD </w:t>
      </w:r>
      <w:r w:rsidRPr="0044078A">
        <w:rPr>
          <w:rFonts w:ascii="Calibri" w:eastAsia="Calibri" w:hAnsi="Calibri" w:cs="Calibri"/>
          <w:b/>
          <w:sz w:val="44"/>
          <w:szCs w:val="44"/>
        </w:rPr>
        <w:t>COVER SHEET</w:t>
      </w:r>
    </w:p>
    <w:p w:rsidR="0044078A" w:rsidRPr="0044078A" w:rsidRDefault="0044078A" w:rsidP="0044078A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7"/>
        <w:gridCol w:w="6324"/>
      </w:tblGrid>
      <w:tr w:rsidR="0044078A" w:rsidRPr="0044078A" w:rsidTr="001858A5">
        <w:tc>
          <w:tcPr>
            <w:tcW w:w="3117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Date of Meeting: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24" w:type="dxa"/>
          </w:tcPr>
          <w:p w:rsidR="0044078A" w:rsidRPr="0044078A" w:rsidRDefault="00053932" w:rsidP="00D6380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 April 2015</w:t>
            </w:r>
          </w:p>
        </w:tc>
      </w:tr>
    </w:tbl>
    <w:p w:rsidR="0044078A" w:rsidRPr="0044078A" w:rsidRDefault="0044078A" w:rsidP="0044078A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44078A" w:rsidRPr="0044078A" w:rsidRDefault="0044078A" w:rsidP="0044078A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117"/>
        <w:gridCol w:w="6324"/>
      </w:tblGrid>
      <w:tr w:rsidR="0044078A" w:rsidRPr="0044078A" w:rsidTr="001858A5">
        <w:tc>
          <w:tcPr>
            <w:tcW w:w="3117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Title of Paper: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24" w:type="dxa"/>
          </w:tcPr>
          <w:p w:rsidR="0044078A" w:rsidRDefault="00CA4D2F" w:rsidP="00440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Extension of Chair/</w:t>
            </w:r>
            <w:r w:rsidR="00373FBB">
              <w:rPr>
                <w:rFonts w:ascii="Calibri" w:eastAsia="Calibri" w:hAnsi="Calibri" w:cs="Calibri"/>
                <w:sz w:val="24"/>
                <w:szCs w:val="24"/>
              </w:rPr>
              <w:t xml:space="preserve">membership </w:t>
            </w:r>
            <w:r w:rsidR="00F26621">
              <w:rPr>
                <w:rFonts w:ascii="Calibri" w:eastAsia="Calibri" w:hAnsi="Calibri" w:cs="Calibri"/>
                <w:sz w:val="24"/>
                <w:szCs w:val="24"/>
              </w:rPr>
              <w:t>to enable</w:t>
            </w:r>
            <w:r w:rsidR="00373FBB">
              <w:rPr>
                <w:rFonts w:ascii="Calibri" w:eastAsia="Calibri" w:hAnsi="Calibri" w:cs="Calibri"/>
                <w:sz w:val="24"/>
                <w:szCs w:val="24"/>
              </w:rPr>
              <w:t xml:space="preserve"> broader </w:t>
            </w:r>
            <w:r w:rsidR="00F26621">
              <w:rPr>
                <w:rFonts w:ascii="Calibri" w:eastAsia="Calibri" w:hAnsi="Calibri" w:cs="Calibri"/>
                <w:sz w:val="24"/>
                <w:szCs w:val="24"/>
              </w:rPr>
              <w:t xml:space="preserve">member </w:t>
            </w:r>
            <w:r w:rsidR="00373FBB">
              <w:rPr>
                <w:rFonts w:ascii="Calibri" w:eastAsia="Calibri" w:hAnsi="Calibri" w:cs="Calibri"/>
                <w:sz w:val="24"/>
                <w:szCs w:val="24"/>
              </w:rPr>
              <w:t>recruitment</w:t>
            </w:r>
            <w:r w:rsidR="00602DF0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373FBB" w:rsidRDefault="00373FBB" w:rsidP="00373FB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CAG</w:t>
            </w:r>
            <w:r w:rsidR="00A07060">
              <w:rPr>
                <w:rFonts w:ascii="Calibri" w:eastAsia="Calibri" w:hAnsi="Calibri" w:cs="Calibri"/>
                <w:sz w:val="24"/>
                <w:szCs w:val="24"/>
              </w:rPr>
              <w:t xml:space="preserve"> and CAG 2 – Chairs, Officers and Members</w:t>
            </w:r>
          </w:p>
          <w:p w:rsidR="00373FBB" w:rsidRPr="00373FBB" w:rsidRDefault="00373FBB" w:rsidP="00373FBB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NREAP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078A" w:rsidRPr="0044078A" w:rsidTr="001858A5">
        <w:tc>
          <w:tcPr>
            <w:tcW w:w="3117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Purpose of Paper: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24" w:type="dxa"/>
          </w:tcPr>
          <w:p w:rsidR="00CA4D2F" w:rsidRDefault="00BC2351" w:rsidP="00CA4D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To consider and seek approval from </w:t>
            </w:r>
            <w:r w:rsidR="0073731E">
              <w:rPr>
                <w:rFonts w:ascii="Calibri" w:eastAsia="Calibri" w:hAnsi="Calibri" w:cs="Calibri"/>
                <w:sz w:val="24"/>
                <w:szCs w:val="24"/>
              </w:rPr>
              <w:t xml:space="preserve">the Board for </w:t>
            </w:r>
            <w:r w:rsidR="00053932">
              <w:rPr>
                <w:rFonts w:ascii="Calibri" w:eastAsia="Calibri" w:hAnsi="Calibri" w:cs="Calibri"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A4D2F">
              <w:rPr>
                <w:rFonts w:ascii="Calibri" w:eastAsia="Calibri" w:hAnsi="Calibri" w:cs="Calibri"/>
                <w:sz w:val="24"/>
                <w:szCs w:val="24"/>
              </w:rPr>
              <w:t>extension of current Chair/</w:t>
            </w:r>
            <w:r w:rsidR="00373FBB">
              <w:rPr>
                <w:rFonts w:ascii="Calibri" w:eastAsia="Calibri" w:hAnsi="Calibri" w:cs="Calibri"/>
                <w:sz w:val="24"/>
                <w:szCs w:val="24"/>
              </w:rPr>
              <w:t xml:space="preserve">membership for </w:t>
            </w:r>
          </w:p>
          <w:p w:rsidR="00DA2325" w:rsidRDefault="00053932" w:rsidP="00DA232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Confidentiality Advisory Group (</w:t>
            </w:r>
            <w:r w:rsidR="00DA2325">
              <w:rPr>
                <w:rFonts w:ascii="Calibri" w:eastAsia="Calibri" w:hAnsi="Calibri" w:cs="Calibri"/>
                <w:sz w:val="24"/>
                <w:szCs w:val="24"/>
              </w:rPr>
              <w:t>CAG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8F6AC1" w:rsidRPr="00DA2325" w:rsidRDefault="00DA2325" w:rsidP="00DA2325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NREAP</w:t>
            </w:r>
          </w:p>
        </w:tc>
      </w:tr>
      <w:tr w:rsidR="0044078A" w:rsidRPr="0044078A" w:rsidTr="001858A5">
        <w:tc>
          <w:tcPr>
            <w:tcW w:w="3117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Reason for Submission: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24" w:type="dxa"/>
          </w:tcPr>
          <w:p w:rsidR="0044078A" w:rsidRPr="0044078A" w:rsidRDefault="00BC2351" w:rsidP="008332F9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For review and approval </w:t>
            </w:r>
          </w:p>
        </w:tc>
      </w:tr>
      <w:tr w:rsidR="0044078A" w:rsidRPr="0044078A" w:rsidTr="001858A5">
        <w:tc>
          <w:tcPr>
            <w:tcW w:w="3117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Details: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24" w:type="dxa"/>
          </w:tcPr>
          <w:p w:rsidR="007B7954" w:rsidRDefault="00BC2351" w:rsidP="00BC23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See supporting information</w:t>
            </w:r>
            <w:r w:rsidR="0073731E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73731E" w:rsidRDefault="0073731E" w:rsidP="00BC2351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EMT approved the proposal at its meeting on 1</w:t>
            </w:r>
            <w:r w:rsidRPr="0073731E">
              <w:rPr>
                <w:rFonts w:ascii="Calibri" w:eastAsia="Calibri" w:hAnsi="Calibri" w:cs="Calibri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April 15.</w:t>
            </w:r>
          </w:p>
          <w:p w:rsidR="0073731E" w:rsidRPr="00BC2351" w:rsidRDefault="0073731E" w:rsidP="00BC235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4078A" w:rsidRPr="0044078A" w:rsidTr="001858A5">
        <w:tc>
          <w:tcPr>
            <w:tcW w:w="3117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Suitable for wider circulation?</w:t>
            </w:r>
          </w:p>
        </w:tc>
        <w:tc>
          <w:tcPr>
            <w:tcW w:w="6324" w:type="dxa"/>
          </w:tcPr>
          <w:p w:rsidR="0044078A" w:rsidRPr="00BC48FF" w:rsidRDefault="008332F9" w:rsidP="0044078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</w:tbl>
    <w:p w:rsidR="0044078A" w:rsidRPr="0044078A" w:rsidRDefault="0044078A" w:rsidP="0044078A">
      <w:pPr>
        <w:spacing w:after="0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14"/>
        <w:gridCol w:w="1344"/>
        <w:gridCol w:w="3294"/>
        <w:gridCol w:w="2389"/>
      </w:tblGrid>
      <w:tr w:rsidR="0044078A" w:rsidRPr="0044078A" w:rsidTr="001858A5">
        <w:tc>
          <w:tcPr>
            <w:tcW w:w="2414" w:type="dxa"/>
            <w:vMerge w:val="restart"/>
            <w:shd w:val="clear" w:color="auto" w:fill="D9D9D9" w:themeFill="background1" w:themeFillShade="D9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Recommendation / Proposed Actions: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shd w:val="clear" w:color="auto" w:fill="D9D9D9" w:themeFill="background1" w:themeFillShade="D9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To Approve</w:t>
            </w:r>
          </w:p>
        </w:tc>
        <w:tc>
          <w:tcPr>
            <w:tcW w:w="2389" w:type="dxa"/>
            <w:shd w:val="clear" w:color="auto" w:fill="auto"/>
          </w:tcPr>
          <w:p w:rsidR="0044078A" w:rsidRPr="0044078A" w:rsidRDefault="008332F9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Yes</w:t>
            </w:r>
          </w:p>
        </w:tc>
      </w:tr>
      <w:tr w:rsidR="0044078A" w:rsidRPr="0044078A" w:rsidTr="001858A5">
        <w:tc>
          <w:tcPr>
            <w:tcW w:w="2414" w:type="dxa"/>
            <w:vMerge/>
            <w:shd w:val="clear" w:color="auto" w:fill="D9D9D9" w:themeFill="background1" w:themeFillShade="D9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shd w:val="clear" w:color="auto" w:fill="D9D9D9" w:themeFill="background1" w:themeFillShade="D9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To Note</w:t>
            </w:r>
          </w:p>
        </w:tc>
        <w:tc>
          <w:tcPr>
            <w:tcW w:w="2389" w:type="dxa"/>
            <w:shd w:val="clear" w:color="auto" w:fill="auto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44078A" w:rsidRPr="0044078A" w:rsidTr="001858A5">
        <w:trPr>
          <w:trHeight w:val="840"/>
        </w:trPr>
        <w:tc>
          <w:tcPr>
            <w:tcW w:w="2414" w:type="dxa"/>
            <w:vMerge/>
            <w:shd w:val="clear" w:color="auto" w:fill="D9D9D9" w:themeFill="background1" w:themeFillShade="D9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Comments</w:t>
            </w:r>
          </w:p>
        </w:tc>
        <w:tc>
          <w:tcPr>
            <w:tcW w:w="5683" w:type="dxa"/>
            <w:gridSpan w:val="2"/>
            <w:shd w:val="clear" w:color="auto" w:fill="auto"/>
          </w:tcPr>
          <w:p w:rsidR="0044078A" w:rsidRPr="0044078A" w:rsidRDefault="0044078A" w:rsidP="00373FBB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:rsidR="0044078A" w:rsidRPr="0044078A" w:rsidRDefault="0044078A" w:rsidP="0044078A">
      <w:pPr>
        <w:tabs>
          <w:tab w:val="left" w:pos="1980"/>
        </w:tabs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088"/>
        <w:gridCol w:w="6353"/>
      </w:tblGrid>
      <w:tr w:rsidR="0044078A" w:rsidRPr="0044078A" w:rsidTr="001858A5">
        <w:tc>
          <w:tcPr>
            <w:tcW w:w="3088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Name: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53" w:type="dxa"/>
          </w:tcPr>
          <w:p w:rsidR="0044078A" w:rsidRPr="0044078A" w:rsidRDefault="004D0E19" w:rsidP="00D6380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Natasha Dunkley</w:t>
            </w:r>
            <w:r w:rsidR="00373FBB">
              <w:rPr>
                <w:rFonts w:ascii="Calibri" w:eastAsia="Calibri" w:hAnsi="Calibri" w:cs="Calibri"/>
                <w:sz w:val="24"/>
                <w:szCs w:val="24"/>
              </w:rPr>
              <w:t xml:space="preserve"> &amp; Clive Collett</w:t>
            </w:r>
          </w:p>
        </w:tc>
      </w:tr>
      <w:tr w:rsidR="0044078A" w:rsidRPr="0044078A" w:rsidTr="001858A5">
        <w:tc>
          <w:tcPr>
            <w:tcW w:w="3088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Job Title: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53" w:type="dxa"/>
          </w:tcPr>
          <w:p w:rsidR="0044078A" w:rsidRPr="0044078A" w:rsidRDefault="004D0E19" w:rsidP="00CA4D2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Confidentiality Advice Manager</w:t>
            </w:r>
            <w:r w:rsidR="00DA2325"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 w:rsidR="00ED0C1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CA4D2F">
              <w:rPr>
                <w:rFonts w:ascii="Calibri" w:eastAsia="Calibri" w:hAnsi="Calibri" w:cs="Calibri"/>
                <w:sz w:val="24"/>
                <w:szCs w:val="24"/>
              </w:rPr>
              <w:t>HRA Ethics Guidance &amp; Strategy Manager</w:t>
            </w:r>
          </w:p>
        </w:tc>
      </w:tr>
      <w:tr w:rsidR="0044078A" w:rsidRPr="0044078A" w:rsidTr="001858A5">
        <w:tc>
          <w:tcPr>
            <w:tcW w:w="3088" w:type="dxa"/>
          </w:tcPr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4078A">
              <w:rPr>
                <w:rFonts w:ascii="Calibri" w:eastAsia="Calibri" w:hAnsi="Calibri" w:cs="Calibri"/>
                <w:b/>
                <w:sz w:val="24"/>
                <w:szCs w:val="24"/>
              </w:rPr>
              <w:t>Date:</w:t>
            </w:r>
          </w:p>
          <w:p w:rsidR="0044078A" w:rsidRPr="0044078A" w:rsidRDefault="0044078A" w:rsidP="0044078A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353" w:type="dxa"/>
          </w:tcPr>
          <w:p w:rsidR="0044078A" w:rsidRPr="0044078A" w:rsidRDefault="00602DF0" w:rsidP="00D6380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March</w:t>
            </w:r>
            <w:r w:rsidR="00373FBB">
              <w:rPr>
                <w:rFonts w:ascii="Calibri" w:eastAsia="Calibri" w:hAnsi="Calibri" w:cs="Calibri"/>
                <w:sz w:val="24"/>
                <w:szCs w:val="24"/>
              </w:rPr>
              <w:t xml:space="preserve"> 2015</w:t>
            </w:r>
          </w:p>
        </w:tc>
      </w:tr>
    </w:tbl>
    <w:p w:rsidR="008F6AC1" w:rsidRDefault="008F6AC1" w:rsidP="0043702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:rsidR="001F1380" w:rsidRDefault="001F1380" w:rsidP="0043702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:rsidR="00957285" w:rsidRDefault="00957285" w:rsidP="0043702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:rsidR="00957285" w:rsidRDefault="00957285" w:rsidP="0043702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:rsidR="00373FBB" w:rsidRPr="007E2676" w:rsidRDefault="00373FBB" w:rsidP="001858A5">
      <w:pPr>
        <w:pStyle w:val="ListParagraph"/>
        <w:numPr>
          <w:ilvl w:val="0"/>
          <w:numId w:val="20"/>
        </w:numPr>
        <w:shd w:val="clear" w:color="auto" w:fill="D9D9D9" w:themeFill="background1" w:themeFillShade="D9"/>
        <w:ind w:left="426"/>
        <w:rPr>
          <w:rFonts w:ascii="Arial" w:hAnsi="Arial" w:cs="Arial"/>
          <w:b/>
        </w:rPr>
      </w:pPr>
      <w:r w:rsidRPr="007E2676">
        <w:rPr>
          <w:rFonts w:ascii="Arial" w:hAnsi="Arial" w:cs="Arial"/>
          <w:b/>
        </w:rPr>
        <w:lastRenderedPageBreak/>
        <w:t>Confidentiality Advisory Group</w:t>
      </w:r>
    </w:p>
    <w:p w:rsidR="002E5139" w:rsidRDefault="002E5139" w:rsidP="002E5139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  <w:color w:val="000000"/>
          <w:u w:val="single"/>
          <w:lang w:eastAsia="en-GB"/>
        </w:rPr>
      </w:pPr>
    </w:p>
    <w:p w:rsidR="002E5139" w:rsidRPr="002E5139" w:rsidRDefault="002E5139" w:rsidP="000C431D">
      <w:pPr>
        <w:spacing w:after="0" w:line="240" w:lineRule="auto"/>
        <w:ind w:firstLine="426"/>
        <w:rPr>
          <w:rFonts w:ascii="Arial" w:eastAsia="Times New Roman" w:hAnsi="Arial" w:cs="Arial"/>
          <w:b/>
          <w:color w:val="000000"/>
          <w:lang w:eastAsia="en-GB"/>
        </w:rPr>
      </w:pPr>
      <w:r w:rsidRPr="002E5139">
        <w:rPr>
          <w:rFonts w:ascii="Arial" w:eastAsia="Times New Roman" w:hAnsi="Arial" w:cs="Arial"/>
          <w:b/>
          <w:color w:val="000000"/>
          <w:lang w:eastAsia="en-GB"/>
        </w:rPr>
        <w:t>Background information</w:t>
      </w:r>
    </w:p>
    <w:p w:rsidR="007E2676" w:rsidRDefault="007E2676" w:rsidP="001858A5">
      <w:pPr>
        <w:pStyle w:val="ListParagraph"/>
        <w:ind w:left="426"/>
        <w:rPr>
          <w:rFonts w:ascii="Arial" w:hAnsi="Arial" w:cs="Arial"/>
        </w:rPr>
      </w:pPr>
    </w:p>
    <w:p w:rsidR="00D43B25" w:rsidRPr="00ED0C1F" w:rsidRDefault="00D43B25" w:rsidP="001858A5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ED0C1F">
        <w:rPr>
          <w:rFonts w:ascii="Arial" w:hAnsi="Arial" w:cs="Arial"/>
        </w:rPr>
        <w:t xml:space="preserve">Dr Mark Taylor is currently </w:t>
      </w:r>
      <w:r w:rsidR="00053932">
        <w:rPr>
          <w:rFonts w:ascii="Arial" w:hAnsi="Arial" w:cs="Arial"/>
        </w:rPr>
        <w:t xml:space="preserve">a member and </w:t>
      </w:r>
      <w:r w:rsidRPr="00ED0C1F">
        <w:rPr>
          <w:rFonts w:ascii="Arial" w:hAnsi="Arial" w:cs="Arial"/>
        </w:rPr>
        <w:t xml:space="preserve">the establishing Chair for CAG and his term of appointment expires 31 March 2015. </w:t>
      </w:r>
      <w:r w:rsidR="00ED0C1F" w:rsidRPr="00ED0C1F">
        <w:rPr>
          <w:rFonts w:ascii="Arial" w:hAnsi="Arial" w:cs="Arial"/>
        </w:rPr>
        <w:t>He will have held the position of CAG Establishing Chair for two years upon term expiry</w:t>
      </w:r>
      <w:r w:rsidR="00ED0C1F">
        <w:rPr>
          <w:rFonts w:ascii="Arial" w:hAnsi="Arial" w:cs="Arial"/>
        </w:rPr>
        <w:t>.</w:t>
      </w:r>
      <w:r w:rsidR="00ED0C1F" w:rsidRPr="00ED0C1F">
        <w:rPr>
          <w:rFonts w:ascii="Arial" w:hAnsi="Arial" w:cs="Arial"/>
        </w:rPr>
        <w:t xml:space="preserve"> </w:t>
      </w:r>
      <w:r w:rsidR="00A07060">
        <w:rPr>
          <w:rFonts w:ascii="Arial" w:hAnsi="Arial" w:cs="Arial"/>
        </w:rPr>
        <w:t xml:space="preserve">At that time the post was not subject to open competition.  </w:t>
      </w:r>
      <w:r w:rsidRPr="00ED0C1F">
        <w:rPr>
          <w:rFonts w:ascii="Arial" w:hAnsi="Arial" w:cs="Arial"/>
        </w:rPr>
        <w:t>He is separately seconded to the HRA as Data Policy Advisor, supporting the HRA Approval IG work programme</w:t>
      </w:r>
      <w:r w:rsidR="0091610B" w:rsidRPr="00ED0C1F">
        <w:rPr>
          <w:rFonts w:ascii="Arial" w:hAnsi="Arial" w:cs="Arial"/>
        </w:rPr>
        <w:t xml:space="preserve"> until at least September 2015</w:t>
      </w:r>
      <w:r w:rsidR="009F39B7" w:rsidRPr="00ED0C1F">
        <w:rPr>
          <w:rFonts w:ascii="Arial" w:hAnsi="Arial" w:cs="Arial"/>
        </w:rPr>
        <w:t xml:space="preserve">. </w:t>
      </w:r>
    </w:p>
    <w:p w:rsidR="00053932" w:rsidRDefault="00D43B25" w:rsidP="00053932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A07060">
        <w:rPr>
          <w:rFonts w:ascii="Arial" w:hAnsi="Arial" w:cs="Arial"/>
        </w:rPr>
        <w:t xml:space="preserve">Under the Care Act 2014 the </w:t>
      </w:r>
      <w:r w:rsidR="00602DF0" w:rsidRPr="00A07060">
        <w:rPr>
          <w:rFonts w:ascii="Arial" w:hAnsi="Arial" w:cs="Arial"/>
        </w:rPr>
        <w:t>HRA must appoint a committee for the purposes of prov</w:t>
      </w:r>
      <w:r w:rsidR="0091610B" w:rsidRPr="00A07060">
        <w:rPr>
          <w:rFonts w:ascii="Arial" w:hAnsi="Arial" w:cs="Arial"/>
        </w:rPr>
        <w:t>i</w:t>
      </w:r>
      <w:r w:rsidR="00602DF0" w:rsidRPr="00A07060">
        <w:rPr>
          <w:rFonts w:ascii="Arial" w:hAnsi="Arial" w:cs="Arial"/>
        </w:rPr>
        <w:t xml:space="preserve">ding advice </w:t>
      </w:r>
      <w:r w:rsidR="0091610B" w:rsidRPr="00A07060">
        <w:rPr>
          <w:rFonts w:ascii="Arial" w:hAnsi="Arial" w:cs="Arial"/>
        </w:rPr>
        <w:t xml:space="preserve">to the </w:t>
      </w:r>
      <w:r w:rsidR="00ED0C1F" w:rsidRPr="00A07060">
        <w:rPr>
          <w:rFonts w:ascii="Arial" w:hAnsi="Arial" w:cs="Arial"/>
        </w:rPr>
        <w:t xml:space="preserve">HRA and </w:t>
      </w:r>
      <w:r w:rsidR="0091610B" w:rsidRPr="00A07060">
        <w:rPr>
          <w:rFonts w:ascii="Arial" w:hAnsi="Arial" w:cs="Arial"/>
        </w:rPr>
        <w:t>SofS (via the Department of Health)</w:t>
      </w:r>
      <w:r w:rsidR="00ED0C1F" w:rsidRPr="00A07060">
        <w:rPr>
          <w:rFonts w:ascii="Arial" w:hAnsi="Arial" w:cs="Arial"/>
        </w:rPr>
        <w:t xml:space="preserve"> on access to patient information without consent</w:t>
      </w:r>
      <w:r w:rsidR="0091610B" w:rsidRPr="00A07060">
        <w:rPr>
          <w:rFonts w:ascii="Arial" w:hAnsi="Arial" w:cs="Arial"/>
        </w:rPr>
        <w:t>.</w:t>
      </w:r>
      <w:r w:rsidR="00A07060" w:rsidRPr="00A07060">
        <w:rPr>
          <w:rFonts w:ascii="Arial" w:hAnsi="Arial" w:cs="Arial"/>
        </w:rPr>
        <w:t xml:space="preserve"> </w:t>
      </w:r>
      <w:r w:rsidR="00A07060">
        <w:rPr>
          <w:rFonts w:ascii="Arial" w:hAnsi="Arial" w:cs="Arial"/>
        </w:rPr>
        <w:t>The HRA may also appoint additional committees/sub committees.</w:t>
      </w:r>
    </w:p>
    <w:p w:rsidR="00053932" w:rsidRDefault="00D43B25" w:rsidP="00053932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053932">
        <w:rPr>
          <w:rFonts w:ascii="Arial" w:hAnsi="Arial" w:cs="Arial"/>
        </w:rPr>
        <w:t xml:space="preserve">CAG </w:t>
      </w:r>
      <w:r w:rsidR="0091610B" w:rsidRPr="00053932">
        <w:rPr>
          <w:rFonts w:ascii="Arial" w:hAnsi="Arial" w:cs="Arial"/>
        </w:rPr>
        <w:t xml:space="preserve">has new statutory responsibilities </w:t>
      </w:r>
      <w:r w:rsidRPr="00053932">
        <w:rPr>
          <w:rFonts w:ascii="Arial" w:hAnsi="Arial" w:cs="Arial"/>
        </w:rPr>
        <w:t>to advise the HSCIC on their data dissemination policies and will provide specific advice on ‘edge cases’ including developing</w:t>
      </w:r>
      <w:r w:rsidR="0091610B" w:rsidRPr="00053932">
        <w:rPr>
          <w:rFonts w:ascii="Arial" w:hAnsi="Arial" w:cs="Arial"/>
        </w:rPr>
        <w:t xml:space="preserve"> advice on </w:t>
      </w:r>
      <w:r w:rsidRPr="00053932">
        <w:rPr>
          <w:rFonts w:ascii="Arial" w:hAnsi="Arial" w:cs="Arial"/>
        </w:rPr>
        <w:t>areas such as disclosure to commercial entities</w:t>
      </w:r>
      <w:r w:rsidR="001E1E9A" w:rsidRPr="00053932">
        <w:rPr>
          <w:rFonts w:ascii="Arial" w:hAnsi="Arial" w:cs="Arial"/>
        </w:rPr>
        <w:t xml:space="preserve">, </w:t>
      </w:r>
      <w:r w:rsidRPr="00053932">
        <w:rPr>
          <w:rFonts w:ascii="Arial" w:hAnsi="Arial" w:cs="Arial"/>
        </w:rPr>
        <w:t>information intermediaries</w:t>
      </w:r>
      <w:r w:rsidR="001E1E9A" w:rsidRPr="00053932">
        <w:rPr>
          <w:rFonts w:ascii="Arial" w:hAnsi="Arial" w:cs="Arial"/>
        </w:rPr>
        <w:t xml:space="preserve"> and where there has been poor organisational track record in handling patient data</w:t>
      </w:r>
      <w:r w:rsidRPr="00053932">
        <w:rPr>
          <w:rFonts w:ascii="Arial" w:hAnsi="Arial" w:cs="Arial"/>
        </w:rPr>
        <w:t>.</w:t>
      </w:r>
      <w:r w:rsidR="00ED0C1F" w:rsidRPr="00053932">
        <w:rPr>
          <w:rFonts w:ascii="Arial" w:hAnsi="Arial" w:cs="Arial"/>
        </w:rPr>
        <w:t xml:space="preserve"> These aspects are likely to attract external scrutiny. </w:t>
      </w:r>
      <w:r w:rsidRPr="00053932">
        <w:rPr>
          <w:rFonts w:ascii="Arial" w:hAnsi="Arial" w:cs="Arial"/>
        </w:rPr>
        <w:t xml:space="preserve">New legislation, the HRA CAG Regulations 2015 </w:t>
      </w:r>
      <w:r w:rsidR="0091610B" w:rsidRPr="00053932">
        <w:rPr>
          <w:rFonts w:ascii="Arial" w:hAnsi="Arial" w:cs="Arial"/>
        </w:rPr>
        <w:t xml:space="preserve">are expected to be </w:t>
      </w:r>
      <w:r w:rsidRPr="00053932">
        <w:rPr>
          <w:rFonts w:ascii="Arial" w:hAnsi="Arial" w:cs="Arial"/>
        </w:rPr>
        <w:t xml:space="preserve"> developed in parallel; these will set out factors and matters the CAG must have regard to when providing advice to the SofS, HRA and the HSCIC. </w:t>
      </w:r>
      <w:r w:rsidR="00A07060" w:rsidRPr="00053932">
        <w:rPr>
          <w:rFonts w:ascii="Arial" w:hAnsi="Arial" w:cs="Arial"/>
        </w:rPr>
        <w:t xml:space="preserve"> This new function is not </w:t>
      </w:r>
      <w:r w:rsidR="00053932" w:rsidRPr="00053932">
        <w:rPr>
          <w:rFonts w:ascii="Arial" w:hAnsi="Arial" w:cs="Arial"/>
        </w:rPr>
        <w:t xml:space="preserve">expected to be </w:t>
      </w:r>
      <w:r w:rsidR="00A07060" w:rsidRPr="00053932">
        <w:rPr>
          <w:rFonts w:ascii="Arial" w:hAnsi="Arial" w:cs="Arial"/>
        </w:rPr>
        <w:t>operational until October 2015.</w:t>
      </w:r>
    </w:p>
    <w:p w:rsidR="0001371A" w:rsidRDefault="00A07060" w:rsidP="00053932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053932">
        <w:rPr>
          <w:rFonts w:ascii="Arial" w:hAnsi="Arial" w:cs="Arial"/>
        </w:rPr>
        <w:t>The additional responsibilities</w:t>
      </w:r>
      <w:r w:rsidR="00053932">
        <w:rPr>
          <w:rFonts w:ascii="Arial" w:hAnsi="Arial" w:cs="Arial"/>
        </w:rPr>
        <w:t xml:space="preserve"> will be</w:t>
      </w:r>
      <w:r w:rsidRPr="00053932">
        <w:rPr>
          <w:rFonts w:ascii="Arial" w:hAnsi="Arial" w:cs="Arial"/>
        </w:rPr>
        <w:t xml:space="preserve"> provide</w:t>
      </w:r>
      <w:r w:rsidR="00053932">
        <w:rPr>
          <w:rFonts w:ascii="Arial" w:hAnsi="Arial" w:cs="Arial"/>
        </w:rPr>
        <w:t>d</w:t>
      </w:r>
      <w:r w:rsidRPr="00053932">
        <w:rPr>
          <w:rFonts w:ascii="Arial" w:hAnsi="Arial" w:cs="Arial"/>
        </w:rPr>
        <w:t xml:space="preserve"> a</w:t>
      </w:r>
      <w:r w:rsidR="0001371A" w:rsidRPr="00053932">
        <w:rPr>
          <w:rFonts w:ascii="Arial" w:hAnsi="Arial" w:cs="Arial"/>
        </w:rPr>
        <w:t>s part of</w:t>
      </w:r>
      <w:r w:rsidR="00D43B25" w:rsidRPr="00053932">
        <w:rPr>
          <w:rFonts w:ascii="Arial" w:hAnsi="Arial" w:cs="Arial"/>
        </w:rPr>
        <w:t xml:space="preserve"> a package of </w:t>
      </w:r>
      <w:r w:rsidR="0001371A" w:rsidRPr="00053932">
        <w:rPr>
          <w:rFonts w:ascii="Arial" w:hAnsi="Arial" w:cs="Arial"/>
        </w:rPr>
        <w:t>safeguards</w:t>
      </w:r>
      <w:r w:rsidR="00D43B25" w:rsidRPr="00053932">
        <w:rPr>
          <w:rFonts w:ascii="Arial" w:hAnsi="Arial" w:cs="Arial"/>
        </w:rPr>
        <w:t xml:space="preserve"> </w:t>
      </w:r>
      <w:r w:rsidR="001E1E9A" w:rsidRPr="00053932">
        <w:rPr>
          <w:rFonts w:ascii="Arial" w:hAnsi="Arial" w:cs="Arial"/>
        </w:rPr>
        <w:t>over discl</w:t>
      </w:r>
      <w:r w:rsidR="0001371A" w:rsidRPr="00053932">
        <w:rPr>
          <w:rFonts w:ascii="Arial" w:hAnsi="Arial" w:cs="Arial"/>
        </w:rPr>
        <w:t>o</w:t>
      </w:r>
      <w:r w:rsidR="001E1E9A" w:rsidRPr="00053932">
        <w:rPr>
          <w:rFonts w:ascii="Arial" w:hAnsi="Arial" w:cs="Arial"/>
        </w:rPr>
        <w:t>s</w:t>
      </w:r>
      <w:r w:rsidR="0001371A" w:rsidRPr="00053932">
        <w:rPr>
          <w:rFonts w:ascii="Arial" w:hAnsi="Arial" w:cs="Arial"/>
        </w:rPr>
        <w:t xml:space="preserve">ures made by the </w:t>
      </w:r>
      <w:r w:rsidR="00D43B25" w:rsidRPr="00053932">
        <w:rPr>
          <w:rFonts w:ascii="Arial" w:hAnsi="Arial" w:cs="Arial"/>
        </w:rPr>
        <w:t>HSCIC</w:t>
      </w:r>
      <w:r w:rsidR="0001371A" w:rsidRPr="00053932">
        <w:rPr>
          <w:rFonts w:ascii="Arial" w:hAnsi="Arial" w:cs="Arial"/>
        </w:rPr>
        <w:t xml:space="preserve"> </w:t>
      </w:r>
      <w:r w:rsidR="00053932">
        <w:rPr>
          <w:rFonts w:ascii="Arial" w:hAnsi="Arial" w:cs="Arial"/>
        </w:rPr>
        <w:t>and w</w:t>
      </w:r>
      <w:r w:rsidRPr="00053932">
        <w:rPr>
          <w:rFonts w:ascii="Arial" w:hAnsi="Arial" w:cs="Arial"/>
        </w:rPr>
        <w:t>ill require an increase in CAG and CAT resources.</w:t>
      </w:r>
    </w:p>
    <w:p w:rsidR="00053932" w:rsidRPr="00053932" w:rsidRDefault="00053932" w:rsidP="00053932">
      <w:pPr>
        <w:pStyle w:val="ListParagraph"/>
        <w:ind w:left="426"/>
        <w:rPr>
          <w:rFonts w:ascii="Arial" w:hAnsi="Arial" w:cs="Arial"/>
        </w:rPr>
      </w:pPr>
    </w:p>
    <w:p w:rsidR="006D51FA" w:rsidRDefault="006D51FA" w:rsidP="006D51FA">
      <w:pPr>
        <w:pStyle w:val="ListParagraph"/>
        <w:numPr>
          <w:ilvl w:val="1"/>
          <w:numId w:val="20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6D51FA">
        <w:rPr>
          <w:rFonts w:ascii="Arial" w:hAnsi="Arial" w:cs="Arial"/>
          <w:b/>
        </w:rPr>
        <w:t>Case for extension</w:t>
      </w:r>
    </w:p>
    <w:p w:rsidR="001858A5" w:rsidRDefault="001858A5" w:rsidP="001858A5">
      <w:pPr>
        <w:pStyle w:val="ListParagraph"/>
        <w:ind w:left="426"/>
        <w:rPr>
          <w:rFonts w:ascii="Arial" w:hAnsi="Arial" w:cs="Arial"/>
        </w:rPr>
      </w:pPr>
    </w:p>
    <w:p w:rsidR="00D43B25" w:rsidRPr="00ED0C1F" w:rsidRDefault="00D43B25" w:rsidP="001858A5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ED0C1F">
        <w:rPr>
          <w:rFonts w:ascii="Arial" w:hAnsi="Arial" w:cs="Arial"/>
        </w:rPr>
        <w:t>The intention is to recruit ten new CAG members</w:t>
      </w:r>
      <w:r w:rsidR="009F39B7" w:rsidRPr="00ED0C1F">
        <w:rPr>
          <w:rFonts w:ascii="Arial" w:hAnsi="Arial" w:cs="Arial"/>
        </w:rPr>
        <w:t xml:space="preserve"> and also to undertake public recruitment for t</w:t>
      </w:r>
      <w:r w:rsidR="00A07060">
        <w:rPr>
          <w:rFonts w:ascii="Arial" w:hAnsi="Arial" w:cs="Arial"/>
        </w:rPr>
        <w:t>wo</w:t>
      </w:r>
      <w:r w:rsidR="009F39B7" w:rsidRPr="00ED0C1F">
        <w:rPr>
          <w:rFonts w:ascii="Arial" w:hAnsi="Arial" w:cs="Arial"/>
        </w:rPr>
        <w:t xml:space="preserve"> CAG Chair</w:t>
      </w:r>
      <w:r w:rsidR="00A07060">
        <w:rPr>
          <w:rFonts w:ascii="Arial" w:hAnsi="Arial" w:cs="Arial"/>
        </w:rPr>
        <w:t>s</w:t>
      </w:r>
      <w:r w:rsidR="009F39B7" w:rsidRPr="00ED0C1F">
        <w:rPr>
          <w:rFonts w:ascii="Arial" w:hAnsi="Arial" w:cs="Arial"/>
        </w:rPr>
        <w:t xml:space="preserve"> at the same time</w:t>
      </w:r>
      <w:r w:rsidR="00ED0C1F">
        <w:rPr>
          <w:rFonts w:ascii="Arial" w:hAnsi="Arial" w:cs="Arial"/>
        </w:rPr>
        <w:t xml:space="preserve"> to enable full transparency</w:t>
      </w:r>
      <w:r w:rsidR="009F39B7" w:rsidRPr="00ED0C1F">
        <w:rPr>
          <w:rFonts w:ascii="Arial" w:hAnsi="Arial" w:cs="Arial"/>
        </w:rPr>
        <w:t xml:space="preserve">.  Public appointment of the CAG Chair is the preferred option due to the high profile </w:t>
      </w:r>
      <w:r w:rsidR="0091610B" w:rsidRPr="00ED0C1F">
        <w:rPr>
          <w:rFonts w:ascii="Arial" w:hAnsi="Arial" w:cs="Arial"/>
        </w:rPr>
        <w:t xml:space="preserve">and complex </w:t>
      </w:r>
      <w:r w:rsidR="009F39B7" w:rsidRPr="00ED0C1F">
        <w:rPr>
          <w:rFonts w:ascii="Arial" w:hAnsi="Arial" w:cs="Arial"/>
        </w:rPr>
        <w:t>nature of the role and it is preferred that the current Chair appointment is not conti</w:t>
      </w:r>
      <w:r w:rsidR="0091610B" w:rsidRPr="00ED0C1F">
        <w:rPr>
          <w:rFonts w:ascii="Arial" w:hAnsi="Arial" w:cs="Arial"/>
        </w:rPr>
        <w:t>nued without open competition. The</w:t>
      </w:r>
      <w:r w:rsidR="009F39B7" w:rsidRPr="00ED0C1F">
        <w:rPr>
          <w:rFonts w:ascii="Arial" w:hAnsi="Arial" w:cs="Arial"/>
        </w:rPr>
        <w:t xml:space="preserve"> high level timetable set out below means that due to </w:t>
      </w:r>
      <w:r w:rsidR="0091610B" w:rsidRPr="00ED0C1F">
        <w:rPr>
          <w:rFonts w:ascii="Arial" w:hAnsi="Arial" w:cs="Arial"/>
        </w:rPr>
        <w:t>the need to recruit new member</w:t>
      </w:r>
      <w:r w:rsidR="00053932">
        <w:rPr>
          <w:rFonts w:ascii="Arial" w:hAnsi="Arial" w:cs="Arial"/>
        </w:rPr>
        <w:t>s and</w:t>
      </w:r>
      <w:r w:rsidR="00ED0C1F">
        <w:rPr>
          <w:rFonts w:ascii="Arial" w:hAnsi="Arial" w:cs="Arial"/>
        </w:rPr>
        <w:t xml:space="preserve"> Chair</w:t>
      </w:r>
      <w:r w:rsidR="00053932">
        <w:rPr>
          <w:rFonts w:ascii="Arial" w:hAnsi="Arial" w:cs="Arial"/>
        </w:rPr>
        <w:t xml:space="preserve"> </w:t>
      </w:r>
      <w:r w:rsidR="009F39B7" w:rsidRPr="00ED0C1F">
        <w:rPr>
          <w:rFonts w:ascii="Arial" w:hAnsi="Arial" w:cs="Arial"/>
        </w:rPr>
        <w:t>ther</w:t>
      </w:r>
      <w:r w:rsidR="0091610B" w:rsidRPr="00ED0C1F">
        <w:rPr>
          <w:rFonts w:ascii="Arial" w:hAnsi="Arial" w:cs="Arial"/>
        </w:rPr>
        <w:t xml:space="preserve">e will </w:t>
      </w:r>
      <w:r w:rsidR="009F39B7" w:rsidRPr="00ED0C1F">
        <w:rPr>
          <w:rFonts w:ascii="Arial" w:hAnsi="Arial" w:cs="Arial"/>
        </w:rPr>
        <w:t>b</w:t>
      </w:r>
      <w:r w:rsidR="0091610B" w:rsidRPr="00ED0C1F">
        <w:rPr>
          <w:rFonts w:ascii="Arial" w:hAnsi="Arial" w:cs="Arial"/>
        </w:rPr>
        <w:t>e</w:t>
      </w:r>
      <w:r w:rsidR="009F39B7" w:rsidRPr="00ED0C1F">
        <w:rPr>
          <w:rFonts w:ascii="Arial" w:hAnsi="Arial" w:cs="Arial"/>
        </w:rPr>
        <w:t xml:space="preserve"> a</w:t>
      </w:r>
      <w:r w:rsidR="00ED0C1F">
        <w:rPr>
          <w:rFonts w:ascii="Arial" w:hAnsi="Arial" w:cs="Arial"/>
        </w:rPr>
        <w:t>n intervening</w:t>
      </w:r>
      <w:r w:rsidR="009F39B7" w:rsidRPr="00ED0C1F">
        <w:rPr>
          <w:rFonts w:ascii="Arial" w:hAnsi="Arial" w:cs="Arial"/>
        </w:rPr>
        <w:t xml:space="preserve"> period where </w:t>
      </w:r>
      <w:r w:rsidR="00ED0C1F">
        <w:rPr>
          <w:rFonts w:ascii="Arial" w:hAnsi="Arial" w:cs="Arial"/>
        </w:rPr>
        <w:t xml:space="preserve">Chair </w:t>
      </w:r>
      <w:r w:rsidR="009F39B7" w:rsidRPr="00ED0C1F">
        <w:rPr>
          <w:rFonts w:ascii="Arial" w:hAnsi="Arial" w:cs="Arial"/>
        </w:rPr>
        <w:t>involvement will be needed</w:t>
      </w:r>
      <w:r w:rsidR="001E1E9A" w:rsidRPr="00ED0C1F">
        <w:rPr>
          <w:rFonts w:ascii="Arial" w:hAnsi="Arial" w:cs="Arial"/>
        </w:rPr>
        <w:t xml:space="preserve"> to </w:t>
      </w:r>
      <w:r w:rsidR="00ED0C1F">
        <w:rPr>
          <w:rFonts w:ascii="Arial" w:hAnsi="Arial" w:cs="Arial"/>
        </w:rPr>
        <w:t xml:space="preserve">maintain continuity without destabilising the existing CAG, </w:t>
      </w:r>
      <w:r w:rsidR="001E1E9A" w:rsidRPr="00ED0C1F">
        <w:rPr>
          <w:rFonts w:ascii="Arial" w:hAnsi="Arial" w:cs="Arial"/>
        </w:rPr>
        <w:t xml:space="preserve">support </w:t>
      </w:r>
      <w:r w:rsidR="00ED0C1F">
        <w:rPr>
          <w:rFonts w:ascii="Arial" w:hAnsi="Arial" w:cs="Arial"/>
        </w:rPr>
        <w:t>ongoing application activity, contentious national application activity and support the changes needed to develop the new CAG advisory function</w:t>
      </w:r>
      <w:r w:rsidR="0001371A" w:rsidRPr="00ED0C1F">
        <w:rPr>
          <w:rFonts w:ascii="Arial" w:hAnsi="Arial" w:cs="Arial"/>
        </w:rPr>
        <w:t>.</w:t>
      </w:r>
    </w:p>
    <w:p w:rsidR="00F26621" w:rsidRPr="00ED0C1F" w:rsidRDefault="0001371A" w:rsidP="001858A5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 w:rsidRPr="00ED0C1F">
        <w:rPr>
          <w:rFonts w:ascii="Arial" w:hAnsi="Arial" w:cs="Arial"/>
        </w:rPr>
        <w:t>It is important to maintain stability in the short term to support the people, knowledge and procedural changes required to support development of the CAG role.  It is expected that there will</w:t>
      </w:r>
      <w:r w:rsidR="00ED0C1F">
        <w:rPr>
          <w:rFonts w:ascii="Arial" w:hAnsi="Arial" w:cs="Arial"/>
        </w:rPr>
        <w:t xml:space="preserve"> be considerable scrutiny of CAG</w:t>
      </w:r>
      <w:r w:rsidRPr="00ED0C1F">
        <w:rPr>
          <w:rFonts w:ascii="Arial" w:hAnsi="Arial" w:cs="Arial"/>
        </w:rPr>
        <w:t xml:space="preserve"> processes and advice as the function prepares to deliver</w:t>
      </w:r>
      <w:r w:rsidR="00A07060">
        <w:rPr>
          <w:rFonts w:ascii="Arial" w:hAnsi="Arial" w:cs="Arial"/>
        </w:rPr>
        <w:t xml:space="preserve"> the new service</w:t>
      </w:r>
      <w:r w:rsidRPr="00ED0C1F">
        <w:rPr>
          <w:rFonts w:ascii="Arial" w:hAnsi="Arial" w:cs="Arial"/>
        </w:rPr>
        <w:t xml:space="preserve">, and in the subsequent advice. The current nature of the HSCIC </w:t>
      </w:r>
      <w:r w:rsidR="00A07060">
        <w:rPr>
          <w:rFonts w:ascii="Arial" w:hAnsi="Arial" w:cs="Arial"/>
        </w:rPr>
        <w:t>data releases</w:t>
      </w:r>
      <w:r w:rsidR="00053932">
        <w:rPr>
          <w:rFonts w:ascii="Arial" w:hAnsi="Arial" w:cs="Arial"/>
        </w:rPr>
        <w:t xml:space="preserve"> </w:t>
      </w:r>
      <w:r w:rsidRPr="00ED0C1F">
        <w:rPr>
          <w:rFonts w:ascii="Arial" w:hAnsi="Arial" w:cs="Arial"/>
        </w:rPr>
        <w:t xml:space="preserve">means that this activity poses risks to CAG advice credibility and the current Chair is well-respected within </w:t>
      </w:r>
      <w:r w:rsidR="00ED0C1F">
        <w:rPr>
          <w:rFonts w:ascii="Arial" w:hAnsi="Arial" w:cs="Arial"/>
        </w:rPr>
        <w:t>this environment and contributes significantly to this development.</w:t>
      </w:r>
      <w:r w:rsidRPr="00ED0C1F">
        <w:rPr>
          <w:rFonts w:ascii="Arial" w:hAnsi="Arial" w:cs="Arial"/>
        </w:rPr>
        <w:t xml:space="preserve"> </w:t>
      </w:r>
      <w:r w:rsidR="00F26621" w:rsidRPr="00ED0C1F">
        <w:rPr>
          <w:rFonts w:ascii="Arial" w:hAnsi="Arial" w:cs="Arial"/>
        </w:rPr>
        <w:t>This is a challenging time for the CAG in that there is increased externa</w:t>
      </w:r>
      <w:r w:rsidR="00D43B25" w:rsidRPr="00ED0C1F">
        <w:rPr>
          <w:rFonts w:ascii="Arial" w:hAnsi="Arial" w:cs="Arial"/>
        </w:rPr>
        <w:t>l scrutiny e.g. through Health S</w:t>
      </w:r>
      <w:r w:rsidR="00F26621" w:rsidRPr="00ED0C1F">
        <w:rPr>
          <w:rFonts w:ascii="Arial" w:hAnsi="Arial" w:cs="Arial"/>
        </w:rPr>
        <w:t>elect Committee</w:t>
      </w:r>
      <w:r w:rsidR="00ED0C1F">
        <w:rPr>
          <w:rFonts w:ascii="Arial" w:hAnsi="Arial" w:cs="Arial"/>
        </w:rPr>
        <w:t xml:space="preserve"> meetings</w:t>
      </w:r>
      <w:r w:rsidR="00F26621" w:rsidRPr="00ED0C1F">
        <w:rPr>
          <w:rFonts w:ascii="Arial" w:hAnsi="Arial" w:cs="Arial"/>
        </w:rPr>
        <w:t xml:space="preserve">, and broader researcher interest in potential streamlining of processes within the HSCIC. </w:t>
      </w:r>
    </w:p>
    <w:p w:rsidR="00D43B25" w:rsidRPr="00ED0C1F" w:rsidRDefault="00D43B25" w:rsidP="00B46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B46C9A">
        <w:rPr>
          <w:rFonts w:ascii="Arial" w:hAnsi="Arial" w:cs="Arial"/>
          <w:b/>
        </w:rPr>
        <w:t xml:space="preserve">The request is for the Establishing CAG Chair term to be extended until </w:t>
      </w:r>
      <w:proofErr w:type="gramStart"/>
      <w:r w:rsidR="000D2ADB">
        <w:rPr>
          <w:rFonts w:ascii="Arial" w:hAnsi="Arial" w:cs="Arial"/>
          <w:b/>
        </w:rPr>
        <w:t>Spring</w:t>
      </w:r>
      <w:proofErr w:type="gramEnd"/>
      <w:r w:rsidR="000D2ADB">
        <w:rPr>
          <w:rFonts w:ascii="Arial" w:hAnsi="Arial" w:cs="Arial"/>
          <w:b/>
        </w:rPr>
        <w:t xml:space="preserve"> 2016</w:t>
      </w:r>
      <w:r w:rsidRPr="00ED0C1F">
        <w:rPr>
          <w:rFonts w:ascii="Arial" w:hAnsi="Arial" w:cs="Arial"/>
        </w:rPr>
        <w:t xml:space="preserve"> to allow sufficient time for recruitment and</w:t>
      </w:r>
      <w:r w:rsidR="001E1E9A" w:rsidRPr="00ED0C1F">
        <w:rPr>
          <w:rFonts w:ascii="Arial" w:hAnsi="Arial" w:cs="Arial"/>
        </w:rPr>
        <w:t xml:space="preserve"> appointment of the Chair via a</w:t>
      </w:r>
      <w:r w:rsidRPr="00ED0C1F">
        <w:rPr>
          <w:rFonts w:ascii="Arial" w:hAnsi="Arial" w:cs="Arial"/>
        </w:rPr>
        <w:t xml:space="preserve"> public recruitment process, and to allow continuity of the appointme</w:t>
      </w:r>
      <w:r w:rsidR="009771A1">
        <w:rPr>
          <w:rFonts w:ascii="Arial" w:hAnsi="Arial" w:cs="Arial"/>
        </w:rPr>
        <w:t>nt panel for new CAG members.</w:t>
      </w:r>
    </w:p>
    <w:p w:rsidR="00957285" w:rsidRDefault="00957285" w:rsidP="00B46C9A">
      <w:pPr>
        <w:rPr>
          <w:rFonts w:ascii="Arial" w:hAnsi="Arial" w:cs="Arial"/>
          <w:u w:val="single"/>
        </w:rPr>
      </w:pPr>
    </w:p>
    <w:p w:rsidR="002105A7" w:rsidRPr="002105A7" w:rsidRDefault="002105A7" w:rsidP="00B46C9A">
      <w:pPr>
        <w:rPr>
          <w:rFonts w:ascii="Arial" w:hAnsi="Arial" w:cs="Arial"/>
          <w:u w:val="single"/>
        </w:rPr>
      </w:pPr>
      <w:r w:rsidRPr="002105A7">
        <w:rPr>
          <w:rFonts w:ascii="Arial" w:hAnsi="Arial" w:cs="Arial"/>
          <w:u w:val="single"/>
        </w:rPr>
        <w:lastRenderedPageBreak/>
        <w:t>CAG high-level recruitment timetable</w:t>
      </w:r>
    </w:p>
    <w:p w:rsidR="001C3F0A" w:rsidRPr="00ED0C1F" w:rsidRDefault="001C3F0A" w:rsidP="00B46C9A">
      <w:pPr>
        <w:ind w:left="142" w:firstLine="578"/>
        <w:rPr>
          <w:rFonts w:ascii="Arial" w:hAnsi="Arial" w:cs="Arial"/>
        </w:rPr>
      </w:pPr>
      <w:r w:rsidRPr="00ED0C1F">
        <w:rPr>
          <w:rFonts w:ascii="Arial" w:hAnsi="Arial" w:cs="Arial"/>
        </w:rPr>
        <w:t>Recruitment advert placed</w:t>
      </w:r>
      <w:r w:rsidRPr="00ED0C1F">
        <w:rPr>
          <w:rFonts w:ascii="Arial" w:hAnsi="Arial" w:cs="Arial"/>
        </w:rPr>
        <w:tab/>
      </w:r>
      <w:r w:rsidRPr="00ED0C1F">
        <w:rPr>
          <w:rFonts w:ascii="Arial" w:hAnsi="Arial" w:cs="Arial"/>
        </w:rPr>
        <w:tab/>
      </w:r>
      <w:r w:rsidR="0091610B" w:rsidRPr="00ED0C1F">
        <w:rPr>
          <w:rFonts w:ascii="Arial" w:hAnsi="Arial" w:cs="Arial"/>
        </w:rPr>
        <w:t xml:space="preserve"> April 2015</w:t>
      </w:r>
    </w:p>
    <w:p w:rsidR="001C3F0A" w:rsidRPr="00ED0C1F" w:rsidRDefault="001C3F0A" w:rsidP="00B46C9A">
      <w:pPr>
        <w:ind w:left="142"/>
        <w:rPr>
          <w:rFonts w:ascii="Arial" w:hAnsi="Arial" w:cs="Arial"/>
        </w:rPr>
      </w:pPr>
      <w:r w:rsidRPr="00ED0C1F">
        <w:rPr>
          <w:rFonts w:ascii="Arial" w:hAnsi="Arial" w:cs="Arial"/>
        </w:rPr>
        <w:tab/>
        <w:t>Interviews for CAG Chair</w:t>
      </w:r>
      <w:r w:rsidRPr="00ED0C1F">
        <w:rPr>
          <w:rFonts w:ascii="Arial" w:hAnsi="Arial" w:cs="Arial"/>
        </w:rPr>
        <w:tab/>
      </w:r>
      <w:r w:rsidRPr="00ED0C1F">
        <w:rPr>
          <w:rFonts w:ascii="Arial" w:hAnsi="Arial" w:cs="Arial"/>
        </w:rPr>
        <w:tab/>
      </w:r>
      <w:r w:rsidR="00ED0C1F">
        <w:rPr>
          <w:rFonts w:ascii="Arial" w:hAnsi="Arial" w:cs="Arial"/>
        </w:rPr>
        <w:t>June</w:t>
      </w:r>
      <w:r w:rsidRPr="00ED0C1F">
        <w:rPr>
          <w:rFonts w:ascii="Arial" w:hAnsi="Arial" w:cs="Arial"/>
        </w:rPr>
        <w:t xml:space="preserve"> 2015</w:t>
      </w:r>
    </w:p>
    <w:p w:rsidR="00062A18" w:rsidRPr="00E00C3A" w:rsidRDefault="001C3F0A" w:rsidP="00B46C9A">
      <w:pPr>
        <w:ind w:left="142"/>
      </w:pPr>
      <w:r w:rsidRPr="00ED0C1F">
        <w:rPr>
          <w:rFonts w:ascii="Arial" w:hAnsi="Arial" w:cs="Arial"/>
        </w:rPr>
        <w:tab/>
        <w:t>Interviews for CAG membership</w:t>
      </w:r>
      <w:r w:rsidRPr="00ED0C1F">
        <w:rPr>
          <w:rFonts w:ascii="Arial" w:hAnsi="Arial" w:cs="Arial"/>
        </w:rPr>
        <w:tab/>
      </w:r>
      <w:r w:rsidR="00ED0C1F">
        <w:rPr>
          <w:rFonts w:ascii="Arial" w:hAnsi="Arial" w:cs="Arial"/>
        </w:rPr>
        <w:t>June 2015</w:t>
      </w:r>
      <w:r w:rsidRPr="00ED0C1F">
        <w:rPr>
          <w:rFonts w:ascii="Arial" w:hAnsi="Arial" w:cs="Arial"/>
        </w:rPr>
        <w:tab/>
      </w:r>
      <w:r w:rsidRPr="00ED0C1F">
        <w:rPr>
          <w:rFonts w:ascii="Arial" w:hAnsi="Arial" w:cs="Arial"/>
        </w:rPr>
        <w:tab/>
      </w:r>
      <w:r>
        <w:tab/>
      </w:r>
      <w:r>
        <w:tab/>
      </w:r>
    </w:p>
    <w:p w:rsidR="00965D79" w:rsidRPr="0073731E" w:rsidRDefault="00965D79" w:rsidP="00965D7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</w:pPr>
      <w:proofErr w:type="gramStart"/>
      <w:r w:rsidRPr="0073731E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>N.B.</w:t>
      </w:r>
      <w:proofErr w:type="gramEnd"/>
      <w:r w:rsidRPr="0073731E">
        <w:rPr>
          <w:rFonts w:eastAsia="Times New Roman" w:cstheme="minorHAnsi"/>
          <w:color w:val="000000"/>
          <w:sz w:val="24"/>
          <w:szCs w:val="24"/>
          <w:u w:val="single"/>
          <w:lang w:eastAsia="en-GB"/>
        </w:rPr>
        <w:t xml:space="preserve"> Please note the HRA already has a process in place for the appointment of members and Chair / Vice Chair to CAG which is consistent with the process for Research Ethics Committees. The Board do not need to approve this process.</w:t>
      </w:r>
    </w:p>
    <w:p w:rsidR="00965D79" w:rsidRDefault="00965D79" w:rsidP="00437021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en-GB"/>
        </w:rPr>
      </w:pPr>
    </w:p>
    <w:p w:rsidR="009771A1" w:rsidRPr="009771A1" w:rsidRDefault="009771A1" w:rsidP="006D2D91">
      <w:pPr>
        <w:pStyle w:val="ListParagraph"/>
        <w:numPr>
          <w:ilvl w:val="0"/>
          <w:numId w:val="20"/>
        </w:numPr>
        <w:shd w:val="clear" w:color="auto" w:fill="D9D9D9" w:themeFill="background1" w:themeFillShade="D9"/>
        <w:ind w:left="426"/>
        <w:rPr>
          <w:rFonts w:ascii="Arial" w:hAnsi="Arial" w:cs="Arial"/>
          <w:b/>
        </w:rPr>
      </w:pPr>
      <w:r w:rsidRPr="009771A1">
        <w:rPr>
          <w:rFonts w:ascii="Arial" w:hAnsi="Arial" w:cs="Arial"/>
          <w:b/>
        </w:rPr>
        <w:t>National Research Ethics Advisors’ Panel (NREAP)</w:t>
      </w:r>
    </w:p>
    <w:p w:rsidR="002E5139" w:rsidRPr="002E5139" w:rsidRDefault="002E5139" w:rsidP="000C431D">
      <w:pPr>
        <w:spacing w:after="0" w:line="240" w:lineRule="auto"/>
        <w:ind w:firstLine="426"/>
        <w:rPr>
          <w:rFonts w:ascii="Arial" w:eastAsia="Times New Roman" w:hAnsi="Arial" w:cs="Arial"/>
          <w:b/>
          <w:color w:val="000000"/>
          <w:lang w:eastAsia="en-GB"/>
        </w:rPr>
      </w:pPr>
      <w:r w:rsidRPr="002E5139">
        <w:rPr>
          <w:rFonts w:ascii="Arial" w:eastAsia="Times New Roman" w:hAnsi="Arial" w:cs="Arial"/>
          <w:b/>
          <w:color w:val="000000"/>
          <w:lang w:eastAsia="en-GB"/>
        </w:rPr>
        <w:t>Background information</w:t>
      </w:r>
      <w:r w:rsidR="000C431D">
        <w:rPr>
          <w:rFonts w:ascii="Arial" w:eastAsia="Times New Roman" w:hAnsi="Arial" w:cs="Arial"/>
          <w:b/>
          <w:color w:val="000000"/>
          <w:lang w:eastAsia="en-GB"/>
        </w:rPr>
        <w:t>:</w:t>
      </w:r>
    </w:p>
    <w:p w:rsidR="002E5139" w:rsidRDefault="002E5139" w:rsidP="0069440F">
      <w:pPr>
        <w:pStyle w:val="ListParagraph"/>
        <w:ind w:left="1440"/>
        <w:rPr>
          <w:rFonts w:ascii="Arial" w:hAnsi="Arial" w:cs="Arial"/>
        </w:rPr>
      </w:pPr>
    </w:p>
    <w:p w:rsidR="00E44D62" w:rsidRPr="0069440F" w:rsidRDefault="003262FE" w:rsidP="0069440F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proofErr w:type="spellStart"/>
      <w:r w:rsidRPr="0069440F">
        <w:rPr>
          <w:rFonts w:ascii="Arial" w:hAnsi="Arial" w:cs="Arial"/>
        </w:rPr>
        <w:t>Prof</w:t>
      </w:r>
      <w:r w:rsidR="004E5985" w:rsidRPr="0069440F">
        <w:rPr>
          <w:rFonts w:ascii="Arial" w:hAnsi="Arial" w:cs="Arial"/>
        </w:rPr>
        <w:t>.</w:t>
      </w:r>
      <w:proofErr w:type="spellEnd"/>
      <w:r w:rsidR="009771A1" w:rsidRPr="0069440F">
        <w:rPr>
          <w:rFonts w:ascii="Arial" w:hAnsi="Arial" w:cs="Arial"/>
        </w:rPr>
        <w:t xml:space="preserve"> </w:t>
      </w:r>
      <w:r w:rsidRPr="0069440F">
        <w:rPr>
          <w:rFonts w:ascii="Arial" w:hAnsi="Arial" w:cs="Arial"/>
        </w:rPr>
        <w:t>Andrew George</w:t>
      </w:r>
      <w:r w:rsidR="009771A1" w:rsidRPr="0069440F">
        <w:rPr>
          <w:rFonts w:ascii="Arial" w:hAnsi="Arial" w:cs="Arial"/>
        </w:rPr>
        <w:t xml:space="preserve"> is </w:t>
      </w:r>
      <w:r w:rsidRPr="0069440F">
        <w:rPr>
          <w:rFonts w:ascii="Arial" w:hAnsi="Arial" w:cs="Arial"/>
        </w:rPr>
        <w:t>the</w:t>
      </w:r>
      <w:r w:rsidR="009771A1" w:rsidRPr="0069440F">
        <w:rPr>
          <w:rFonts w:ascii="Arial" w:hAnsi="Arial" w:cs="Arial"/>
        </w:rPr>
        <w:t xml:space="preserve"> Chair </w:t>
      </w:r>
      <w:r w:rsidR="00E00C3A" w:rsidRPr="0069440F">
        <w:rPr>
          <w:rFonts w:ascii="Arial" w:hAnsi="Arial" w:cs="Arial"/>
        </w:rPr>
        <w:t>of</w:t>
      </w:r>
      <w:r w:rsidR="009771A1" w:rsidRPr="0069440F">
        <w:rPr>
          <w:rFonts w:ascii="Arial" w:hAnsi="Arial" w:cs="Arial"/>
        </w:rPr>
        <w:t xml:space="preserve"> </w:t>
      </w:r>
      <w:r w:rsidRPr="0069440F">
        <w:rPr>
          <w:rFonts w:ascii="Arial" w:hAnsi="Arial" w:cs="Arial"/>
        </w:rPr>
        <w:t>NREAP</w:t>
      </w:r>
      <w:r w:rsidR="009771A1" w:rsidRPr="0069440F">
        <w:rPr>
          <w:rFonts w:ascii="Arial" w:hAnsi="Arial" w:cs="Arial"/>
        </w:rPr>
        <w:t xml:space="preserve"> and his term of appointment expires </w:t>
      </w:r>
      <w:r w:rsidRPr="0069440F">
        <w:rPr>
          <w:rFonts w:ascii="Arial" w:hAnsi="Arial" w:cs="Arial"/>
          <w:b/>
        </w:rPr>
        <w:t>30</w:t>
      </w:r>
      <w:r w:rsidR="009771A1" w:rsidRPr="0069440F">
        <w:rPr>
          <w:rFonts w:ascii="Arial" w:hAnsi="Arial" w:cs="Arial"/>
          <w:b/>
        </w:rPr>
        <w:t xml:space="preserve"> </w:t>
      </w:r>
      <w:r w:rsidRPr="0069440F">
        <w:rPr>
          <w:rFonts w:ascii="Arial" w:hAnsi="Arial" w:cs="Arial"/>
          <w:b/>
        </w:rPr>
        <w:t>September</w:t>
      </w:r>
      <w:r w:rsidR="009771A1" w:rsidRPr="0069440F">
        <w:rPr>
          <w:rFonts w:ascii="Arial" w:hAnsi="Arial" w:cs="Arial"/>
          <w:b/>
        </w:rPr>
        <w:t xml:space="preserve"> 2015</w:t>
      </w:r>
      <w:r w:rsidR="009771A1" w:rsidRPr="0069440F">
        <w:rPr>
          <w:rFonts w:ascii="Arial" w:hAnsi="Arial" w:cs="Arial"/>
        </w:rPr>
        <w:t xml:space="preserve">. He will have held the position of </w:t>
      </w:r>
      <w:r w:rsidR="00E44D62" w:rsidRPr="0069440F">
        <w:rPr>
          <w:rFonts w:ascii="Arial" w:hAnsi="Arial" w:cs="Arial"/>
        </w:rPr>
        <w:t>NREAP</w:t>
      </w:r>
      <w:r w:rsidR="009771A1" w:rsidRPr="0069440F">
        <w:rPr>
          <w:rFonts w:ascii="Arial" w:hAnsi="Arial" w:cs="Arial"/>
        </w:rPr>
        <w:t xml:space="preserve"> Chair for </w:t>
      </w:r>
      <w:r w:rsidR="00C960DC" w:rsidRPr="0069440F">
        <w:rPr>
          <w:rFonts w:ascii="Arial" w:hAnsi="Arial" w:cs="Arial"/>
        </w:rPr>
        <w:t>six</w:t>
      </w:r>
      <w:r w:rsidR="009771A1" w:rsidRPr="0069440F">
        <w:rPr>
          <w:rFonts w:ascii="Arial" w:hAnsi="Arial" w:cs="Arial"/>
        </w:rPr>
        <w:t xml:space="preserve"> years upon term expiry. </w:t>
      </w:r>
    </w:p>
    <w:p w:rsidR="009771A1" w:rsidRDefault="004E5985" w:rsidP="00053932">
      <w:pPr>
        <w:pStyle w:val="ListParagraph"/>
        <w:numPr>
          <w:ilvl w:val="0"/>
          <w:numId w:val="18"/>
        </w:numPr>
        <w:ind w:left="426"/>
        <w:rPr>
          <w:rFonts w:ascii="Arial" w:hAnsi="Arial" w:cs="Arial"/>
          <w:b/>
        </w:rPr>
      </w:pPr>
      <w:proofErr w:type="spellStart"/>
      <w:r w:rsidRPr="00C960DC">
        <w:rPr>
          <w:rFonts w:ascii="Arial" w:hAnsi="Arial" w:cs="Arial"/>
        </w:rPr>
        <w:t>Prof.</w:t>
      </w:r>
      <w:proofErr w:type="spellEnd"/>
      <w:r w:rsidRPr="00C960DC">
        <w:rPr>
          <w:rFonts w:ascii="Arial" w:hAnsi="Arial" w:cs="Arial"/>
        </w:rPr>
        <w:t xml:space="preserve"> Peter Heasman and Dr Simon Woods are both National Research Ethics Advisors (NREAs)</w:t>
      </w:r>
      <w:r w:rsidR="00EB1293" w:rsidRPr="00C960DC">
        <w:rPr>
          <w:rFonts w:ascii="Arial" w:hAnsi="Arial" w:cs="Arial"/>
        </w:rPr>
        <w:t xml:space="preserve"> and both their </w:t>
      </w:r>
      <w:r w:rsidR="009C3CE8">
        <w:rPr>
          <w:rFonts w:ascii="Arial" w:hAnsi="Arial" w:cs="Arial"/>
        </w:rPr>
        <w:t xml:space="preserve">original </w:t>
      </w:r>
      <w:r w:rsidR="00EB1293" w:rsidRPr="00C960DC">
        <w:rPr>
          <w:rFonts w:ascii="Arial" w:hAnsi="Arial" w:cs="Arial"/>
        </w:rPr>
        <w:t xml:space="preserve">terms of appointment </w:t>
      </w:r>
      <w:r w:rsidR="003113C6" w:rsidRPr="00C960DC">
        <w:rPr>
          <w:rFonts w:ascii="Arial" w:hAnsi="Arial" w:cs="Arial"/>
        </w:rPr>
        <w:t>expire</w:t>
      </w:r>
      <w:r w:rsidR="00EB1293" w:rsidRPr="00C960DC">
        <w:rPr>
          <w:rFonts w:ascii="Arial" w:hAnsi="Arial" w:cs="Arial"/>
        </w:rPr>
        <w:t xml:space="preserve"> </w:t>
      </w:r>
      <w:r w:rsidR="00EB1293" w:rsidRPr="00C960DC">
        <w:rPr>
          <w:rFonts w:ascii="Arial" w:hAnsi="Arial" w:cs="Arial"/>
          <w:b/>
        </w:rPr>
        <w:t>23 September 2015</w:t>
      </w:r>
      <w:r w:rsidR="00C960DC" w:rsidRPr="00C960DC">
        <w:rPr>
          <w:rFonts w:ascii="Arial" w:hAnsi="Arial" w:cs="Arial"/>
          <w:b/>
        </w:rPr>
        <w:t xml:space="preserve">. </w:t>
      </w:r>
      <w:r w:rsidR="0095014F">
        <w:rPr>
          <w:rFonts w:ascii="Arial" w:hAnsi="Arial" w:cs="Arial"/>
          <w:b/>
        </w:rPr>
        <w:t xml:space="preserve">(N.B. </w:t>
      </w:r>
      <w:r w:rsidR="009C3CE8">
        <w:rPr>
          <w:rFonts w:ascii="Arial" w:hAnsi="Arial" w:cs="Arial"/>
          <w:b/>
        </w:rPr>
        <w:t xml:space="preserve">Peter Heasman </w:t>
      </w:r>
      <w:r w:rsidR="0095014F">
        <w:rPr>
          <w:rFonts w:ascii="Arial" w:hAnsi="Arial" w:cs="Arial"/>
          <w:b/>
        </w:rPr>
        <w:t>was</w:t>
      </w:r>
      <w:r w:rsidR="009C3CE8">
        <w:rPr>
          <w:rFonts w:ascii="Arial" w:hAnsi="Arial" w:cs="Arial"/>
          <w:b/>
        </w:rPr>
        <w:t xml:space="preserve"> granted </w:t>
      </w:r>
      <w:r w:rsidR="00F37705" w:rsidRPr="00F37705">
        <w:rPr>
          <w:rFonts w:ascii="Arial" w:hAnsi="Arial" w:cs="Arial"/>
          <w:b/>
        </w:rPr>
        <w:t xml:space="preserve">formal leave of absence for a period of six months </w:t>
      </w:r>
      <w:r w:rsidR="0095014F">
        <w:rPr>
          <w:rFonts w:ascii="Arial" w:hAnsi="Arial" w:cs="Arial"/>
          <w:b/>
        </w:rPr>
        <w:t>from</w:t>
      </w:r>
      <w:r w:rsidR="00F37705" w:rsidRPr="00F37705">
        <w:rPr>
          <w:rFonts w:ascii="Arial" w:hAnsi="Arial" w:cs="Arial"/>
          <w:b/>
        </w:rPr>
        <w:t xml:space="preserve"> 1 September 2014</w:t>
      </w:r>
      <w:r w:rsidR="00F37705">
        <w:rPr>
          <w:rFonts w:ascii="Arial" w:hAnsi="Arial" w:cs="Arial"/>
          <w:b/>
        </w:rPr>
        <w:t xml:space="preserve">, thus his term has been </w:t>
      </w:r>
      <w:r w:rsidR="0095014F">
        <w:rPr>
          <w:rFonts w:ascii="Arial" w:hAnsi="Arial" w:cs="Arial"/>
          <w:b/>
        </w:rPr>
        <w:t>extended</w:t>
      </w:r>
      <w:r w:rsidR="00F37705">
        <w:rPr>
          <w:rFonts w:ascii="Arial" w:hAnsi="Arial" w:cs="Arial"/>
          <w:b/>
        </w:rPr>
        <w:t xml:space="preserve"> until 1</w:t>
      </w:r>
      <w:r w:rsidR="00F37705" w:rsidRPr="00053932">
        <w:rPr>
          <w:rFonts w:ascii="Arial" w:hAnsi="Arial" w:cs="Arial"/>
          <w:b/>
          <w:vertAlign w:val="superscript"/>
        </w:rPr>
        <w:t>st</w:t>
      </w:r>
      <w:r w:rsidR="00F37705">
        <w:rPr>
          <w:rFonts w:ascii="Arial" w:hAnsi="Arial" w:cs="Arial"/>
          <w:b/>
        </w:rPr>
        <w:t xml:space="preserve"> March 2016. </w:t>
      </w:r>
      <w:r w:rsidR="00C960DC" w:rsidRPr="00E00C3A">
        <w:rPr>
          <w:rFonts w:ascii="Arial" w:hAnsi="Arial" w:cs="Arial"/>
        </w:rPr>
        <w:t>They</w:t>
      </w:r>
      <w:r w:rsidR="00C960DC" w:rsidRPr="00E00C3A">
        <w:t xml:space="preserve"> </w:t>
      </w:r>
      <w:r w:rsidR="00C960DC" w:rsidRPr="00E00C3A">
        <w:rPr>
          <w:rFonts w:ascii="Arial" w:hAnsi="Arial" w:cs="Arial"/>
        </w:rPr>
        <w:t>will both have held the position of NREA for six years upon term expiry.</w:t>
      </w:r>
      <w:r w:rsidR="00C960DC" w:rsidRPr="00C960DC">
        <w:rPr>
          <w:rFonts w:ascii="Arial" w:hAnsi="Arial" w:cs="Arial"/>
          <w:b/>
        </w:rPr>
        <w:t xml:space="preserve"> </w:t>
      </w:r>
    </w:p>
    <w:p w:rsidR="00F37705" w:rsidRPr="00EB7290" w:rsidRDefault="00F37705" w:rsidP="002F1D37">
      <w:pPr>
        <w:pStyle w:val="ListParagraph"/>
        <w:ind w:left="1440"/>
        <w:rPr>
          <w:rFonts w:ascii="Arial" w:hAnsi="Arial" w:cs="Arial"/>
          <w:b/>
        </w:rPr>
      </w:pPr>
    </w:p>
    <w:p w:rsidR="009771A1" w:rsidRPr="006D2D91" w:rsidRDefault="009771A1" w:rsidP="006D51FA">
      <w:pPr>
        <w:pStyle w:val="ListParagraph"/>
        <w:numPr>
          <w:ilvl w:val="1"/>
          <w:numId w:val="20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6D2D91">
        <w:rPr>
          <w:rFonts w:ascii="Arial" w:hAnsi="Arial" w:cs="Arial"/>
          <w:b/>
        </w:rPr>
        <w:t>Case for extension</w:t>
      </w:r>
      <w:r w:rsidR="00BD5FAB" w:rsidRPr="006D2D91">
        <w:rPr>
          <w:rFonts w:ascii="Arial" w:hAnsi="Arial" w:cs="Arial"/>
          <w:b/>
        </w:rPr>
        <w:t>:</w:t>
      </w:r>
    </w:p>
    <w:p w:rsidR="002F1D37" w:rsidRDefault="002F1D37" w:rsidP="0069440F">
      <w:pPr>
        <w:pStyle w:val="ListParagraph"/>
        <w:ind w:left="426"/>
        <w:rPr>
          <w:rFonts w:ascii="Arial" w:hAnsi="Arial" w:cs="Arial"/>
        </w:rPr>
      </w:pPr>
    </w:p>
    <w:p w:rsidR="00BD5FAB" w:rsidRDefault="00E00C3A" w:rsidP="0069440F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In light of the </w:t>
      </w:r>
      <w:r w:rsidR="00CD275F">
        <w:rPr>
          <w:rFonts w:ascii="Arial" w:hAnsi="Arial" w:cs="Arial"/>
        </w:rPr>
        <w:t xml:space="preserve">extension of HRA remit as </w:t>
      </w:r>
      <w:r w:rsidR="009E1B70">
        <w:rPr>
          <w:rFonts w:ascii="Arial" w:hAnsi="Arial" w:cs="Arial"/>
        </w:rPr>
        <w:t xml:space="preserve">an </w:t>
      </w:r>
      <w:r w:rsidR="00CD275F">
        <w:rPr>
          <w:rFonts w:ascii="Arial" w:hAnsi="Arial" w:cs="Arial"/>
        </w:rPr>
        <w:t xml:space="preserve">NDPB </w:t>
      </w:r>
      <w:r w:rsidR="006F7303">
        <w:rPr>
          <w:rFonts w:ascii="Arial" w:hAnsi="Arial" w:cs="Arial"/>
        </w:rPr>
        <w:t xml:space="preserve">to include Adult Social Care, </w:t>
      </w:r>
      <w:r w:rsidR="00FF1E2B">
        <w:rPr>
          <w:rFonts w:ascii="Arial" w:hAnsi="Arial" w:cs="Arial"/>
        </w:rPr>
        <w:t xml:space="preserve">and </w:t>
      </w:r>
      <w:r w:rsidR="00CD275F">
        <w:rPr>
          <w:rFonts w:ascii="Arial" w:hAnsi="Arial" w:cs="Arial"/>
        </w:rPr>
        <w:t>horizon scanning functions</w:t>
      </w:r>
      <w:r w:rsidR="00957AE1">
        <w:rPr>
          <w:rFonts w:ascii="Arial" w:hAnsi="Arial" w:cs="Arial"/>
        </w:rPr>
        <w:t>,</w:t>
      </w:r>
      <w:r w:rsidR="00C20859">
        <w:rPr>
          <w:rFonts w:ascii="Arial" w:hAnsi="Arial" w:cs="Arial"/>
        </w:rPr>
        <w:t xml:space="preserve"> </w:t>
      </w:r>
      <w:r w:rsidR="00BD65AC">
        <w:rPr>
          <w:rFonts w:ascii="Arial" w:hAnsi="Arial" w:cs="Arial"/>
        </w:rPr>
        <w:t xml:space="preserve">together with </w:t>
      </w:r>
      <w:r w:rsidR="00005911">
        <w:rPr>
          <w:rFonts w:ascii="Arial" w:hAnsi="Arial" w:cs="Arial"/>
        </w:rPr>
        <w:t>need to deliver HRA assessment and approval</w:t>
      </w:r>
      <w:r w:rsidR="00957AE1">
        <w:rPr>
          <w:rFonts w:ascii="Arial" w:hAnsi="Arial" w:cs="Arial"/>
        </w:rPr>
        <w:t>,</w:t>
      </w:r>
      <w:r w:rsidR="00005911">
        <w:rPr>
          <w:rFonts w:ascii="Arial" w:hAnsi="Arial" w:cs="Arial"/>
        </w:rPr>
        <w:t xml:space="preserve"> </w:t>
      </w:r>
      <w:r w:rsidR="00251A68">
        <w:rPr>
          <w:rFonts w:ascii="Arial" w:hAnsi="Arial" w:cs="Arial"/>
        </w:rPr>
        <w:t xml:space="preserve">changes </w:t>
      </w:r>
      <w:r w:rsidR="008954E9">
        <w:rPr>
          <w:rFonts w:ascii="Arial" w:hAnsi="Arial" w:cs="Arial"/>
        </w:rPr>
        <w:t>are likely to</w:t>
      </w:r>
      <w:r w:rsidR="00251A68">
        <w:rPr>
          <w:rFonts w:ascii="Arial" w:hAnsi="Arial" w:cs="Arial"/>
        </w:rPr>
        <w:t xml:space="preserve"> be required to both NREAP membership and </w:t>
      </w:r>
      <w:r w:rsidR="008954E9">
        <w:rPr>
          <w:rFonts w:ascii="Arial" w:hAnsi="Arial" w:cs="Arial"/>
        </w:rPr>
        <w:t>terms of reference</w:t>
      </w:r>
      <w:r w:rsidR="00E77F22">
        <w:rPr>
          <w:rFonts w:ascii="Arial" w:hAnsi="Arial" w:cs="Arial"/>
        </w:rPr>
        <w:t>. T</w:t>
      </w:r>
      <w:r w:rsidR="00251A68">
        <w:rPr>
          <w:rFonts w:ascii="Arial" w:hAnsi="Arial" w:cs="Arial"/>
        </w:rPr>
        <w:t xml:space="preserve">hese </w:t>
      </w:r>
      <w:r w:rsidR="00E77F22">
        <w:rPr>
          <w:rFonts w:ascii="Arial" w:hAnsi="Arial" w:cs="Arial"/>
        </w:rPr>
        <w:t xml:space="preserve">changes </w:t>
      </w:r>
      <w:r w:rsidR="00B61C10">
        <w:rPr>
          <w:rFonts w:ascii="Arial" w:hAnsi="Arial" w:cs="Arial"/>
        </w:rPr>
        <w:t xml:space="preserve">will </w:t>
      </w:r>
      <w:r w:rsidR="00251A68">
        <w:rPr>
          <w:rFonts w:ascii="Arial" w:hAnsi="Arial" w:cs="Arial"/>
        </w:rPr>
        <w:t>need to be considered thoroughly</w:t>
      </w:r>
      <w:r w:rsidR="007E3F2E">
        <w:rPr>
          <w:rFonts w:ascii="Arial" w:hAnsi="Arial" w:cs="Arial"/>
        </w:rPr>
        <w:t xml:space="preserve">, </w:t>
      </w:r>
      <w:r w:rsidR="00015950">
        <w:rPr>
          <w:rFonts w:ascii="Arial" w:hAnsi="Arial" w:cs="Arial"/>
        </w:rPr>
        <w:t xml:space="preserve">informed by experience as the HRA </w:t>
      </w:r>
      <w:r w:rsidR="000B6277">
        <w:rPr>
          <w:rFonts w:ascii="Arial" w:hAnsi="Arial" w:cs="Arial"/>
        </w:rPr>
        <w:t xml:space="preserve">moves forward and </w:t>
      </w:r>
      <w:r w:rsidR="004C1B47">
        <w:rPr>
          <w:rFonts w:ascii="Arial" w:hAnsi="Arial" w:cs="Arial"/>
        </w:rPr>
        <w:t>not pressured by NREA membership timelines.</w:t>
      </w:r>
      <w:r w:rsidR="00FC0D6F">
        <w:rPr>
          <w:rFonts w:ascii="Arial" w:hAnsi="Arial" w:cs="Arial"/>
        </w:rPr>
        <w:t xml:space="preserve"> </w:t>
      </w:r>
    </w:p>
    <w:p w:rsidR="000D2ADB" w:rsidRDefault="000D2ADB" w:rsidP="0069440F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Recruitment of an additional member to cover the new HRA remit with regard to Adult Social Care will likely be required however the HRA is currently conducting a listening exercise and will be able to consider NREAPs requirements after this stage. Therefore to keep recruitment costs to a minimum it would be beneficial to recruit to the expiring posts and the potential new position at a similar time.</w:t>
      </w:r>
    </w:p>
    <w:p w:rsidR="00780A34" w:rsidRDefault="00A83F7E" w:rsidP="0069440F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The loss</w:t>
      </w:r>
      <w:r w:rsidR="00BD5FAB">
        <w:rPr>
          <w:rFonts w:ascii="Arial" w:hAnsi="Arial" w:cs="Arial"/>
        </w:rPr>
        <w:t xml:space="preserve"> of three highly experienced and valued NREAs</w:t>
      </w:r>
      <w:r w:rsidR="007D6F79">
        <w:rPr>
          <w:rFonts w:ascii="Arial" w:hAnsi="Arial" w:cs="Arial"/>
        </w:rPr>
        <w:t>, including the Chair,</w:t>
      </w:r>
      <w:r w:rsidR="00BD5FAB">
        <w:rPr>
          <w:rFonts w:ascii="Arial" w:hAnsi="Arial" w:cs="Arial"/>
        </w:rPr>
        <w:t xml:space="preserve"> at this time would potentially threaten</w:t>
      </w:r>
      <w:r w:rsidR="007D6F79">
        <w:rPr>
          <w:rFonts w:ascii="Arial" w:hAnsi="Arial" w:cs="Arial"/>
        </w:rPr>
        <w:t xml:space="preserve"> the effective functioning of NREAP</w:t>
      </w:r>
      <w:r w:rsidR="000B6277">
        <w:rPr>
          <w:rFonts w:ascii="Arial" w:hAnsi="Arial" w:cs="Arial"/>
        </w:rPr>
        <w:t xml:space="preserve"> and the advice it provides to the HRA</w:t>
      </w:r>
      <w:r w:rsidR="007D6F79">
        <w:rPr>
          <w:rFonts w:ascii="Arial" w:hAnsi="Arial" w:cs="Arial"/>
        </w:rPr>
        <w:t>.</w:t>
      </w:r>
    </w:p>
    <w:p w:rsidR="00E00C3A" w:rsidRPr="003273F1" w:rsidRDefault="00120610" w:rsidP="0069440F">
      <w:pPr>
        <w:pStyle w:val="ListParagraph"/>
        <w:numPr>
          <w:ilvl w:val="0"/>
          <w:numId w:val="18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In addition,</w:t>
      </w:r>
      <w:r w:rsidRPr="001206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statutory basis for HRA guidance</w:t>
      </w:r>
      <w:r w:rsidR="009E74D4" w:rsidRPr="009E74D4">
        <w:rPr>
          <w:rFonts w:ascii="Arial" w:hAnsi="Arial" w:cs="Arial"/>
        </w:rPr>
        <w:t xml:space="preserve"> </w:t>
      </w:r>
      <w:r w:rsidR="009E74D4">
        <w:rPr>
          <w:rFonts w:ascii="Arial" w:hAnsi="Arial" w:cs="Arial"/>
        </w:rPr>
        <w:t>provided by the Care Act</w:t>
      </w:r>
      <w:r w:rsidR="007D0FAD">
        <w:rPr>
          <w:rFonts w:ascii="Arial" w:hAnsi="Arial" w:cs="Arial"/>
        </w:rPr>
        <w:t xml:space="preserve">, much of which will need to be developed through NREAP, </w:t>
      </w:r>
      <w:r w:rsidR="00CB4863">
        <w:rPr>
          <w:rFonts w:ascii="Arial" w:hAnsi="Arial" w:cs="Arial"/>
        </w:rPr>
        <w:t xml:space="preserve">will </w:t>
      </w:r>
      <w:r w:rsidR="00E52EBA">
        <w:rPr>
          <w:rFonts w:ascii="Arial" w:hAnsi="Arial" w:cs="Arial"/>
        </w:rPr>
        <w:t>be subject to</w:t>
      </w:r>
      <w:r w:rsidR="00CB4863">
        <w:rPr>
          <w:rFonts w:ascii="Arial" w:hAnsi="Arial" w:cs="Arial"/>
        </w:rPr>
        <w:t xml:space="preserve"> greater external scrutiny</w:t>
      </w:r>
      <w:r w:rsidR="00A30BA9">
        <w:rPr>
          <w:rFonts w:ascii="Arial" w:hAnsi="Arial" w:cs="Arial"/>
        </w:rPr>
        <w:t xml:space="preserve"> </w:t>
      </w:r>
      <w:r w:rsidR="006068AC">
        <w:rPr>
          <w:rFonts w:ascii="Arial" w:hAnsi="Arial" w:cs="Arial"/>
        </w:rPr>
        <w:t>together</w:t>
      </w:r>
      <w:r w:rsidR="00E52EBA">
        <w:rPr>
          <w:rFonts w:ascii="Arial" w:hAnsi="Arial" w:cs="Arial"/>
        </w:rPr>
        <w:t xml:space="preserve"> with</w:t>
      </w:r>
      <w:r w:rsidR="00A30BA9">
        <w:rPr>
          <w:rFonts w:ascii="Arial" w:hAnsi="Arial" w:cs="Arial"/>
        </w:rPr>
        <w:t xml:space="preserve"> the processes by which </w:t>
      </w:r>
      <w:r w:rsidR="006068AC">
        <w:rPr>
          <w:rFonts w:ascii="Arial" w:hAnsi="Arial" w:cs="Arial"/>
        </w:rPr>
        <w:t>that guidance</w:t>
      </w:r>
      <w:r w:rsidR="00A30BA9">
        <w:rPr>
          <w:rFonts w:ascii="Arial" w:hAnsi="Arial" w:cs="Arial"/>
        </w:rPr>
        <w:t xml:space="preserve"> has been </w:t>
      </w:r>
      <w:r w:rsidR="00E52EBA">
        <w:rPr>
          <w:rFonts w:ascii="Arial" w:hAnsi="Arial" w:cs="Arial"/>
        </w:rPr>
        <w:t>developed</w:t>
      </w:r>
      <w:r w:rsidR="00A30BA9">
        <w:rPr>
          <w:rFonts w:ascii="Arial" w:hAnsi="Arial" w:cs="Arial"/>
        </w:rPr>
        <w:t xml:space="preserve">. Thus, the retention of </w:t>
      </w:r>
      <w:r w:rsidR="003273F1">
        <w:rPr>
          <w:rFonts w:ascii="Arial" w:hAnsi="Arial" w:cs="Arial"/>
        </w:rPr>
        <w:t>And</w:t>
      </w:r>
      <w:r w:rsidR="00780A34">
        <w:rPr>
          <w:rFonts w:ascii="Arial" w:hAnsi="Arial" w:cs="Arial"/>
        </w:rPr>
        <w:t>rew</w:t>
      </w:r>
      <w:r w:rsidR="0065560F">
        <w:rPr>
          <w:rFonts w:ascii="Arial" w:hAnsi="Arial" w:cs="Arial"/>
        </w:rPr>
        <w:t xml:space="preserve"> as Chair along with</w:t>
      </w:r>
      <w:r w:rsidR="00780A34">
        <w:rPr>
          <w:rFonts w:ascii="Arial" w:hAnsi="Arial" w:cs="Arial"/>
        </w:rPr>
        <w:t xml:space="preserve"> Peter and Simon will allow</w:t>
      </w:r>
      <w:r w:rsidR="003273F1">
        <w:rPr>
          <w:rFonts w:ascii="Arial" w:hAnsi="Arial" w:cs="Arial"/>
        </w:rPr>
        <w:t xml:space="preserve"> for </w:t>
      </w:r>
      <w:r w:rsidR="00005911" w:rsidRPr="003273F1">
        <w:rPr>
          <w:rFonts w:ascii="Arial" w:hAnsi="Arial" w:cs="Arial"/>
        </w:rPr>
        <w:t xml:space="preserve">continuity and stability of NREAP over this </w:t>
      </w:r>
      <w:r w:rsidR="003303A8">
        <w:rPr>
          <w:rFonts w:ascii="Arial" w:hAnsi="Arial" w:cs="Arial"/>
        </w:rPr>
        <w:t xml:space="preserve">challenging </w:t>
      </w:r>
      <w:r w:rsidR="00005911" w:rsidRPr="003273F1">
        <w:rPr>
          <w:rFonts w:ascii="Arial" w:hAnsi="Arial" w:cs="Arial"/>
        </w:rPr>
        <w:t>period</w:t>
      </w:r>
      <w:r w:rsidR="001B3A56">
        <w:rPr>
          <w:rFonts w:ascii="Arial" w:hAnsi="Arial" w:cs="Arial"/>
        </w:rPr>
        <w:t xml:space="preserve">, retain </w:t>
      </w:r>
      <w:r w:rsidR="006068AC">
        <w:rPr>
          <w:rFonts w:ascii="Arial" w:hAnsi="Arial" w:cs="Arial"/>
        </w:rPr>
        <w:t xml:space="preserve">their considerable </w:t>
      </w:r>
      <w:r w:rsidR="001B3A56">
        <w:rPr>
          <w:rFonts w:ascii="Arial" w:hAnsi="Arial" w:cs="Arial"/>
        </w:rPr>
        <w:t>experience and expertise</w:t>
      </w:r>
      <w:r w:rsidR="006068AC">
        <w:rPr>
          <w:rFonts w:ascii="Arial" w:hAnsi="Arial" w:cs="Arial"/>
        </w:rPr>
        <w:t xml:space="preserve"> (both with regards their academic </w:t>
      </w:r>
      <w:r w:rsidR="005A68BB">
        <w:rPr>
          <w:rFonts w:ascii="Arial" w:hAnsi="Arial" w:cs="Arial"/>
        </w:rPr>
        <w:t>fields</w:t>
      </w:r>
      <w:r w:rsidR="006068AC">
        <w:rPr>
          <w:rFonts w:ascii="Arial" w:hAnsi="Arial" w:cs="Arial"/>
        </w:rPr>
        <w:t xml:space="preserve"> and </w:t>
      </w:r>
      <w:r w:rsidR="005A68BB">
        <w:rPr>
          <w:rFonts w:ascii="Arial" w:hAnsi="Arial" w:cs="Arial"/>
        </w:rPr>
        <w:t>knowledge of the context within which the HRA and RECs operate)</w:t>
      </w:r>
      <w:r w:rsidR="001B3A56">
        <w:rPr>
          <w:rFonts w:ascii="Arial" w:hAnsi="Arial" w:cs="Arial"/>
        </w:rPr>
        <w:t xml:space="preserve"> at </w:t>
      </w:r>
      <w:r w:rsidR="005A68BB">
        <w:rPr>
          <w:rFonts w:ascii="Arial" w:hAnsi="Arial" w:cs="Arial"/>
        </w:rPr>
        <w:t>this</w:t>
      </w:r>
      <w:r w:rsidR="001B3A56">
        <w:rPr>
          <w:rFonts w:ascii="Arial" w:hAnsi="Arial" w:cs="Arial"/>
        </w:rPr>
        <w:t xml:space="preserve"> crucial time</w:t>
      </w:r>
      <w:r w:rsidR="003273F1">
        <w:rPr>
          <w:rFonts w:ascii="Arial" w:hAnsi="Arial" w:cs="Arial"/>
        </w:rPr>
        <w:t xml:space="preserve"> </w:t>
      </w:r>
      <w:r w:rsidR="00085780">
        <w:rPr>
          <w:rFonts w:ascii="Arial" w:hAnsi="Arial" w:cs="Arial"/>
        </w:rPr>
        <w:t xml:space="preserve">and will </w:t>
      </w:r>
      <w:r w:rsidR="005A68BB">
        <w:rPr>
          <w:rFonts w:ascii="Arial" w:hAnsi="Arial" w:cs="Arial"/>
        </w:rPr>
        <w:t xml:space="preserve">help </w:t>
      </w:r>
      <w:r w:rsidR="00085780">
        <w:rPr>
          <w:rFonts w:ascii="Arial" w:hAnsi="Arial" w:cs="Arial"/>
        </w:rPr>
        <w:t>facilitate a smooth</w:t>
      </w:r>
      <w:r w:rsidR="003273F1">
        <w:rPr>
          <w:rFonts w:ascii="Arial" w:hAnsi="Arial" w:cs="Arial"/>
        </w:rPr>
        <w:t xml:space="preserve"> transition to</w:t>
      </w:r>
      <w:r w:rsidR="005E67A8">
        <w:rPr>
          <w:rFonts w:ascii="Arial" w:hAnsi="Arial" w:cs="Arial"/>
        </w:rPr>
        <w:t xml:space="preserve"> </w:t>
      </w:r>
      <w:r w:rsidR="00780A34">
        <w:rPr>
          <w:rFonts w:ascii="Arial" w:hAnsi="Arial" w:cs="Arial"/>
        </w:rPr>
        <w:t xml:space="preserve">a revised </w:t>
      </w:r>
      <w:r w:rsidR="00F35573">
        <w:rPr>
          <w:rFonts w:ascii="Arial" w:hAnsi="Arial" w:cs="Arial"/>
        </w:rPr>
        <w:t>panel</w:t>
      </w:r>
      <w:r w:rsidR="003303A8">
        <w:rPr>
          <w:rFonts w:ascii="Arial" w:hAnsi="Arial" w:cs="Arial"/>
        </w:rPr>
        <w:t xml:space="preserve"> (in terms of membership and remit)</w:t>
      </w:r>
      <w:r w:rsidR="00780A34">
        <w:rPr>
          <w:rFonts w:ascii="Arial" w:hAnsi="Arial" w:cs="Arial"/>
        </w:rPr>
        <w:t xml:space="preserve"> </w:t>
      </w:r>
      <w:r w:rsidR="0065560F">
        <w:rPr>
          <w:rFonts w:ascii="Arial" w:hAnsi="Arial" w:cs="Arial"/>
        </w:rPr>
        <w:t xml:space="preserve">better </w:t>
      </w:r>
      <w:r w:rsidR="00DE32AA">
        <w:rPr>
          <w:rFonts w:ascii="Arial" w:hAnsi="Arial" w:cs="Arial"/>
        </w:rPr>
        <w:t xml:space="preserve">able to </w:t>
      </w:r>
      <w:r w:rsidR="0065560F">
        <w:rPr>
          <w:rFonts w:ascii="Arial" w:hAnsi="Arial" w:cs="Arial"/>
        </w:rPr>
        <w:t xml:space="preserve">meet the needs of the HRA </w:t>
      </w:r>
      <w:r w:rsidR="00AB0DE7">
        <w:rPr>
          <w:rFonts w:ascii="Arial" w:hAnsi="Arial" w:cs="Arial"/>
        </w:rPr>
        <w:t xml:space="preserve">in carrying out its statutory duties </w:t>
      </w:r>
      <w:r w:rsidR="0065560F">
        <w:rPr>
          <w:rFonts w:ascii="Arial" w:hAnsi="Arial" w:cs="Arial"/>
        </w:rPr>
        <w:t>as an NDPB</w:t>
      </w:r>
      <w:r w:rsidR="003273F1">
        <w:rPr>
          <w:rFonts w:ascii="Arial" w:hAnsi="Arial" w:cs="Arial"/>
        </w:rPr>
        <w:t>.</w:t>
      </w:r>
    </w:p>
    <w:p w:rsidR="00957285" w:rsidRPr="00957285" w:rsidRDefault="00957285" w:rsidP="00957285">
      <w:pPr>
        <w:pStyle w:val="ListParagraph"/>
        <w:ind w:left="426"/>
        <w:rPr>
          <w:rFonts w:ascii="Arial" w:hAnsi="Arial" w:cs="Arial"/>
        </w:rPr>
      </w:pPr>
    </w:p>
    <w:p w:rsidR="00A15B35" w:rsidRDefault="00C82D9E" w:rsidP="007E26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82D9E">
        <w:rPr>
          <w:rFonts w:ascii="Arial" w:hAnsi="Arial" w:cs="Arial"/>
          <w:b/>
        </w:rPr>
        <w:lastRenderedPageBreak/>
        <w:t xml:space="preserve">The request is for Andrew George, Peter Heasman and Simon Woods’ </w:t>
      </w:r>
      <w:r w:rsidR="009771A1" w:rsidRPr="00C82D9E">
        <w:rPr>
          <w:rFonts w:ascii="Arial" w:hAnsi="Arial" w:cs="Arial"/>
          <w:b/>
        </w:rPr>
        <w:t>term</w:t>
      </w:r>
      <w:r w:rsidRPr="00C82D9E">
        <w:rPr>
          <w:rFonts w:ascii="Arial" w:hAnsi="Arial" w:cs="Arial"/>
          <w:b/>
        </w:rPr>
        <w:t>s</w:t>
      </w:r>
      <w:r w:rsidR="009771A1" w:rsidRPr="00C82D9E">
        <w:rPr>
          <w:rFonts w:ascii="Arial" w:hAnsi="Arial" w:cs="Arial"/>
          <w:b/>
        </w:rPr>
        <w:t xml:space="preserve"> to be extended </w:t>
      </w:r>
      <w:r>
        <w:rPr>
          <w:rFonts w:ascii="Arial" w:hAnsi="Arial" w:cs="Arial"/>
          <w:b/>
        </w:rPr>
        <w:t xml:space="preserve">until </w:t>
      </w:r>
      <w:r w:rsidR="009771A1" w:rsidRPr="00C82D9E">
        <w:rPr>
          <w:rFonts w:ascii="Arial" w:hAnsi="Arial" w:cs="Arial"/>
          <w:b/>
        </w:rPr>
        <w:t xml:space="preserve">end </w:t>
      </w:r>
      <w:r w:rsidRPr="00C82D9E">
        <w:rPr>
          <w:rFonts w:ascii="Arial" w:hAnsi="Arial" w:cs="Arial"/>
          <w:b/>
        </w:rPr>
        <w:t>September 2016</w:t>
      </w:r>
      <w:r>
        <w:rPr>
          <w:rFonts w:ascii="Arial" w:hAnsi="Arial" w:cs="Arial"/>
        </w:rPr>
        <w:t xml:space="preserve"> </w:t>
      </w:r>
      <w:r w:rsidR="009771A1" w:rsidRPr="00ED0C1F">
        <w:rPr>
          <w:rFonts w:ascii="Arial" w:hAnsi="Arial" w:cs="Arial"/>
        </w:rPr>
        <w:t xml:space="preserve">to allow continuity </w:t>
      </w:r>
      <w:r w:rsidR="00EC0926">
        <w:rPr>
          <w:rFonts w:ascii="Arial" w:hAnsi="Arial" w:cs="Arial"/>
        </w:rPr>
        <w:t>business during the challenging year ahead</w:t>
      </w:r>
      <w:r w:rsidR="0023619D">
        <w:rPr>
          <w:rFonts w:ascii="Arial" w:hAnsi="Arial" w:cs="Arial"/>
        </w:rPr>
        <w:t xml:space="preserve"> and </w:t>
      </w:r>
      <w:r w:rsidR="0023619D" w:rsidRPr="0023619D">
        <w:rPr>
          <w:rFonts w:ascii="Arial" w:hAnsi="Arial" w:cs="Arial"/>
        </w:rPr>
        <w:t xml:space="preserve">to allow sufficient time for </w:t>
      </w:r>
      <w:r w:rsidR="0023619D">
        <w:rPr>
          <w:rFonts w:ascii="Arial" w:hAnsi="Arial" w:cs="Arial"/>
        </w:rPr>
        <w:t xml:space="preserve">review of membership and terms of reference and subsequent </w:t>
      </w:r>
      <w:r w:rsidR="0023619D" w:rsidRPr="0023619D">
        <w:rPr>
          <w:rFonts w:ascii="Arial" w:hAnsi="Arial" w:cs="Arial"/>
        </w:rPr>
        <w:t xml:space="preserve">recruitment and appointment of </w:t>
      </w:r>
      <w:r w:rsidR="0023619D">
        <w:rPr>
          <w:rFonts w:ascii="Arial" w:hAnsi="Arial" w:cs="Arial"/>
        </w:rPr>
        <w:t xml:space="preserve">new NREAs including a </w:t>
      </w:r>
      <w:r w:rsidR="0023619D" w:rsidRPr="0023619D">
        <w:rPr>
          <w:rFonts w:ascii="Arial" w:hAnsi="Arial" w:cs="Arial"/>
        </w:rPr>
        <w:t>Chair via a public rec</w:t>
      </w:r>
      <w:r w:rsidR="00E67568">
        <w:rPr>
          <w:rFonts w:ascii="Arial" w:hAnsi="Arial" w:cs="Arial"/>
        </w:rPr>
        <w:t xml:space="preserve">ruitment process (summer 2016). </w:t>
      </w:r>
    </w:p>
    <w:p w:rsidR="007E2676" w:rsidRDefault="00E16E3C" w:rsidP="00957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2793A">
        <w:rPr>
          <w:rFonts w:ascii="Arial" w:hAnsi="Arial" w:cs="Arial"/>
          <w:b/>
        </w:rPr>
        <w:t xml:space="preserve">It is </w:t>
      </w:r>
      <w:r w:rsidR="00A15B35" w:rsidRPr="0062793A">
        <w:rPr>
          <w:rFonts w:ascii="Arial" w:hAnsi="Arial" w:cs="Arial"/>
          <w:b/>
        </w:rPr>
        <w:t xml:space="preserve">further </w:t>
      </w:r>
      <w:r w:rsidR="0062793A" w:rsidRPr="0062793A">
        <w:rPr>
          <w:rFonts w:ascii="Arial" w:hAnsi="Arial" w:cs="Arial"/>
          <w:b/>
        </w:rPr>
        <w:t>requested</w:t>
      </w:r>
      <w:r w:rsidRPr="0062793A">
        <w:rPr>
          <w:rFonts w:ascii="Arial" w:hAnsi="Arial" w:cs="Arial"/>
          <w:b/>
        </w:rPr>
        <w:t xml:space="preserve"> that all three NREAs would be eligible to reapply to join the panel</w:t>
      </w:r>
      <w:r>
        <w:rPr>
          <w:rFonts w:ascii="Arial" w:hAnsi="Arial" w:cs="Arial"/>
        </w:rPr>
        <w:t xml:space="preserve"> (and </w:t>
      </w:r>
      <w:r w:rsidR="00CC7777">
        <w:rPr>
          <w:rFonts w:ascii="Arial" w:hAnsi="Arial" w:cs="Arial"/>
        </w:rPr>
        <w:t>(re)</w:t>
      </w:r>
      <w:r w:rsidR="00C478E2">
        <w:rPr>
          <w:rFonts w:ascii="Arial" w:hAnsi="Arial" w:cs="Arial"/>
        </w:rPr>
        <w:t xml:space="preserve">apply for the Chair) at </w:t>
      </w:r>
      <w:r w:rsidR="00E67568">
        <w:rPr>
          <w:rFonts w:ascii="Arial" w:hAnsi="Arial" w:cs="Arial"/>
        </w:rPr>
        <w:t>such time as new members/Chair are sought</w:t>
      </w:r>
      <w:r w:rsidR="00C478E2">
        <w:rPr>
          <w:rFonts w:ascii="Arial" w:hAnsi="Arial" w:cs="Arial"/>
        </w:rPr>
        <w:t xml:space="preserve"> </w:t>
      </w:r>
      <w:r w:rsidR="00E67568">
        <w:rPr>
          <w:rFonts w:ascii="Arial" w:hAnsi="Arial" w:cs="Arial"/>
        </w:rPr>
        <w:t>and,</w:t>
      </w:r>
      <w:r w:rsidR="00C478E2">
        <w:rPr>
          <w:rFonts w:ascii="Arial" w:hAnsi="Arial" w:cs="Arial"/>
        </w:rPr>
        <w:t xml:space="preserve"> if successful, would be appointed to a term </w:t>
      </w:r>
      <w:r w:rsidR="00CC7777">
        <w:rPr>
          <w:rFonts w:ascii="Arial" w:hAnsi="Arial" w:cs="Arial"/>
        </w:rPr>
        <w:t>adjusted</w:t>
      </w:r>
      <w:r w:rsidR="00C478E2">
        <w:rPr>
          <w:rFonts w:ascii="Arial" w:hAnsi="Arial" w:cs="Arial"/>
        </w:rPr>
        <w:t xml:space="preserve"> to bring their total time </w:t>
      </w:r>
      <w:r w:rsidR="00CC7777">
        <w:rPr>
          <w:rFonts w:ascii="Arial" w:hAnsi="Arial" w:cs="Arial"/>
        </w:rPr>
        <w:t>as an</w:t>
      </w:r>
      <w:r w:rsidR="00C478E2">
        <w:rPr>
          <w:rFonts w:ascii="Arial" w:hAnsi="Arial" w:cs="Arial"/>
        </w:rPr>
        <w:t xml:space="preserve"> NREA to 10 years</w:t>
      </w:r>
      <w:r w:rsidR="00261D6E">
        <w:rPr>
          <w:rFonts w:ascii="Arial" w:hAnsi="Arial" w:cs="Arial"/>
        </w:rPr>
        <w:t>.</w:t>
      </w:r>
      <w:r w:rsidR="00CC7777">
        <w:rPr>
          <w:rFonts w:ascii="Arial" w:hAnsi="Arial" w:cs="Arial"/>
        </w:rPr>
        <w:t xml:space="preserve"> </w:t>
      </w:r>
    </w:p>
    <w:p w:rsidR="00957285" w:rsidRDefault="00957285" w:rsidP="009771A1">
      <w:pPr>
        <w:rPr>
          <w:rFonts w:ascii="Arial" w:hAnsi="Arial" w:cs="Arial"/>
          <w:b/>
        </w:rPr>
      </w:pPr>
    </w:p>
    <w:p w:rsidR="008E3E7B" w:rsidRPr="008E3E7B" w:rsidRDefault="008E3E7B" w:rsidP="009771A1">
      <w:pPr>
        <w:rPr>
          <w:rFonts w:ascii="Arial" w:hAnsi="Arial" w:cs="Arial"/>
          <w:b/>
        </w:rPr>
      </w:pPr>
      <w:r w:rsidRPr="008E3E7B">
        <w:rPr>
          <w:rFonts w:ascii="Arial" w:hAnsi="Arial" w:cs="Arial"/>
          <w:b/>
        </w:rPr>
        <w:t>Current NREAs and Terms: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127"/>
      </w:tblGrid>
      <w:tr w:rsidR="00F27265" w:rsidRPr="008E3E7B" w:rsidTr="00A32D53">
        <w:tc>
          <w:tcPr>
            <w:tcW w:w="2660" w:type="dxa"/>
            <w:shd w:val="clear" w:color="auto" w:fill="D9D9D9" w:themeFill="background1" w:themeFillShade="D9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NREA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Term End Date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Appointment date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Andrew George</w:t>
            </w:r>
            <w:r w:rsidR="00A32D53">
              <w:rPr>
                <w:rFonts w:ascii="Arial" w:hAnsi="Arial" w:cs="Arial"/>
                <w:b/>
              </w:rPr>
              <w:t xml:space="preserve"> (Chair)</w:t>
            </w:r>
          </w:p>
        </w:tc>
        <w:tc>
          <w:tcPr>
            <w:tcW w:w="2551" w:type="dxa"/>
            <w:shd w:val="clear" w:color="auto" w:fill="FFC000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30th September 2015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</w:rPr>
            </w:pPr>
            <w:r w:rsidRPr="00F27265">
              <w:rPr>
                <w:rFonts w:ascii="Arial" w:hAnsi="Arial" w:cs="Arial"/>
              </w:rPr>
              <w:t>September 2009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 xml:space="preserve">Peter Heasman </w:t>
            </w:r>
          </w:p>
        </w:tc>
        <w:tc>
          <w:tcPr>
            <w:tcW w:w="2551" w:type="dxa"/>
            <w:shd w:val="clear" w:color="auto" w:fill="FFC000"/>
          </w:tcPr>
          <w:p w:rsidR="00F27265" w:rsidRPr="008E3E7B" w:rsidRDefault="009C3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1st</w:t>
            </w:r>
            <w:r w:rsidRPr="008E3E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March</w:t>
            </w:r>
            <w:r w:rsidRPr="008E3E7B">
              <w:rPr>
                <w:rFonts w:ascii="Arial" w:hAnsi="Arial" w:cs="Arial"/>
                <w:b/>
              </w:rPr>
              <w:t xml:space="preserve"> </w:t>
            </w:r>
            <w:r w:rsidR="00F27265" w:rsidRPr="008E3E7B">
              <w:rPr>
                <w:rFonts w:ascii="Arial" w:hAnsi="Arial" w:cs="Arial"/>
                <w:b/>
              </w:rPr>
              <w:t>201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</w:rPr>
            </w:pPr>
            <w:r w:rsidRPr="00F27265">
              <w:rPr>
                <w:rFonts w:ascii="Arial" w:hAnsi="Arial" w:cs="Arial"/>
              </w:rPr>
              <w:t>September 2009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Simon Woods</w:t>
            </w:r>
          </w:p>
        </w:tc>
        <w:tc>
          <w:tcPr>
            <w:tcW w:w="2551" w:type="dxa"/>
            <w:shd w:val="clear" w:color="auto" w:fill="FFC000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23rd September 2015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</w:rPr>
            </w:pPr>
            <w:r w:rsidRPr="00F27265">
              <w:rPr>
                <w:rFonts w:ascii="Arial" w:hAnsi="Arial" w:cs="Arial"/>
              </w:rPr>
              <w:t>September 2009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 xml:space="preserve">Søren Holm 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23rd September 2017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F272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2012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 xml:space="preserve">Ros Levenson 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23rd September 2017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</w:rPr>
            </w:pPr>
            <w:r w:rsidRPr="00F27265">
              <w:rPr>
                <w:rFonts w:ascii="Arial" w:hAnsi="Arial" w:cs="Arial"/>
              </w:rPr>
              <w:t>September 2012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 xml:space="preserve">Mark Sheehan 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23rd September 2017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</w:rPr>
            </w:pPr>
            <w:r w:rsidRPr="00F27265">
              <w:rPr>
                <w:rFonts w:ascii="Arial" w:hAnsi="Arial" w:cs="Arial"/>
              </w:rPr>
              <w:t>September 2012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 xml:space="preserve">John Keen </w:t>
            </w:r>
          </w:p>
        </w:tc>
        <w:tc>
          <w:tcPr>
            <w:tcW w:w="2551" w:type="dxa"/>
            <w:shd w:val="clear" w:color="auto" w:fill="C2D69B" w:themeFill="accent3" w:themeFillTint="99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23rd September 2017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</w:rPr>
            </w:pPr>
            <w:r w:rsidRPr="00F27265">
              <w:rPr>
                <w:rFonts w:ascii="Arial" w:hAnsi="Arial" w:cs="Arial"/>
              </w:rPr>
              <w:t>September 2012</w:t>
            </w:r>
          </w:p>
        </w:tc>
      </w:tr>
      <w:tr w:rsidR="00F27265" w:rsidRPr="008E3E7B" w:rsidTr="00A32D53">
        <w:tc>
          <w:tcPr>
            <w:tcW w:w="2660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Malcolm Boyce</w:t>
            </w:r>
          </w:p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:rsidR="00F27265" w:rsidRPr="008E3E7B" w:rsidRDefault="00F27265" w:rsidP="008E3E7B">
            <w:pPr>
              <w:rPr>
                <w:rFonts w:ascii="Arial" w:hAnsi="Arial" w:cs="Arial"/>
                <w:b/>
              </w:rPr>
            </w:pPr>
            <w:r w:rsidRPr="008E3E7B">
              <w:rPr>
                <w:rFonts w:ascii="Arial" w:hAnsi="Arial" w:cs="Arial"/>
                <w:b/>
              </w:rPr>
              <w:t>31st December 2018</w:t>
            </w:r>
          </w:p>
        </w:tc>
        <w:tc>
          <w:tcPr>
            <w:tcW w:w="2127" w:type="dxa"/>
            <w:shd w:val="clear" w:color="auto" w:fill="FFFFFF" w:themeFill="background1"/>
          </w:tcPr>
          <w:p w:rsidR="00F27265" w:rsidRPr="008E3E7B" w:rsidRDefault="00F27265" w:rsidP="008E3E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2013</w:t>
            </w:r>
          </w:p>
        </w:tc>
      </w:tr>
    </w:tbl>
    <w:p w:rsidR="008E3E7B" w:rsidRPr="00ED0C1F" w:rsidRDefault="008E3E7B" w:rsidP="009771A1">
      <w:pPr>
        <w:rPr>
          <w:rFonts w:ascii="Arial" w:hAnsi="Arial" w:cs="Arial"/>
        </w:rPr>
      </w:pPr>
    </w:p>
    <w:sectPr w:rsidR="008E3E7B" w:rsidRPr="00ED0C1F" w:rsidSect="00957285">
      <w:headerReference w:type="first" r:id="rId9"/>
      <w:pgSz w:w="11906" w:h="16838"/>
      <w:pgMar w:top="1276" w:right="849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5A" w:rsidRDefault="008D6E5A" w:rsidP="00BA1472">
      <w:pPr>
        <w:spacing w:after="0" w:line="240" w:lineRule="auto"/>
      </w:pPr>
      <w:r>
        <w:separator/>
      </w:r>
    </w:p>
  </w:endnote>
  <w:endnote w:type="continuationSeparator" w:id="0">
    <w:p w:rsidR="008D6E5A" w:rsidRDefault="008D6E5A" w:rsidP="00BA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5A" w:rsidRDefault="008D6E5A" w:rsidP="00BA1472">
      <w:pPr>
        <w:spacing w:after="0" w:line="240" w:lineRule="auto"/>
      </w:pPr>
      <w:r>
        <w:separator/>
      </w:r>
    </w:p>
  </w:footnote>
  <w:footnote w:type="continuationSeparator" w:id="0">
    <w:p w:rsidR="008D6E5A" w:rsidRDefault="008D6E5A" w:rsidP="00BA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79" w:rsidRDefault="00965D79" w:rsidP="00965D79">
    <w:pPr>
      <w:pStyle w:val="Header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6DACAF6E" wp14:editId="14D2F564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493"/>
    <w:multiLevelType w:val="hybridMultilevel"/>
    <w:tmpl w:val="F5987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31F43"/>
    <w:multiLevelType w:val="multilevel"/>
    <w:tmpl w:val="FC74B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075A1"/>
    <w:multiLevelType w:val="hybridMultilevel"/>
    <w:tmpl w:val="C442C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B05B9"/>
    <w:multiLevelType w:val="multilevel"/>
    <w:tmpl w:val="91C2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84BE1"/>
    <w:multiLevelType w:val="hybridMultilevel"/>
    <w:tmpl w:val="7D54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6528"/>
    <w:multiLevelType w:val="hybridMultilevel"/>
    <w:tmpl w:val="7CBA6786"/>
    <w:lvl w:ilvl="0" w:tplc="353A66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B4F96"/>
    <w:multiLevelType w:val="hybridMultilevel"/>
    <w:tmpl w:val="049AC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562A3"/>
    <w:multiLevelType w:val="hybridMultilevel"/>
    <w:tmpl w:val="9D4E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A6D32"/>
    <w:multiLevelType w:val="hybridMultilevel"/>
    <w:tmpl w:val="AF246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45F28"/>
    <w:multiLevelType w:val="multilevel"/>
    <w:tmpl w:val="8AF6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9831FE"/>
    <w:multiLevelType w:val="hybridMultilevel"/>
    <w:tmpl w:val="45C64D70"/>
    <w:lvl w:ilvl="0" w:tplc="500422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0491A"/>
    <w:multiLevelType w:val="hybridMultilevel"/>
    <w:tmpl w:val="62167E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FA43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3E572B"/>
    <w:multiLevelType w:val="multilevel"/>
    <w:tmpl w:val="9FC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BBA50F2"/>
    <w:multiLevelType w:val="hybridMultilevel"/>
    <w:tmpl w:val="49FCC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34BB3"/>
    <w:multiLevelType w:val="multilevel"/>
    <w:tmpl w:val="9702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2627D3"/>
    <w:multiLevelType w:val="multilevel"/>
    <w:tmpl w:val="EDAA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706"/>
    <w:multiLevelType w:val="hybridMultilevel"/>
    <w:tmpl w:val="AD66B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2351"/>
    <w:multiLevelType w:val="multilevel"/>
    <w:tmpl w:val="0E8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0E2A48"/>
    <w:multiLevelType w:val="multilevel"/>
    <w:tmpl w:val="DD50D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7275501A"/>
    <w:multiLevelType w:val="hybridMultilevel"/>
    <w:tmpl w:val="F5987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6"/>
  </w:num>
  <w:num w:numId="5">
    <w:abstractNumId w:val="17"/>
  </w:num>
  <w:num w:numId="6">
    <w:abstractNumId w:val="8"/>
  </w:num>
  <w:num w:numId="7">
    <w:abstractNumId w:val="18"/>
  </w:num>
  <w:num w:numId="8">
    <w:abstractNumId w:val="9"/>
  </w:num>
  <w:num w:numId="9">
    <w:abstractNumId w:val="16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19"/>
  </w:num>
  <w:num w:numId="15">
    <w:abstractNumId w:val="0"/>
  </w:num>
  <w:num w:numId="16">
    <w:abstractNumId w:val="10"/>
  </w:num>
  <w:num w:numId="17">
    <w:abstractNumId w:val="5"/>
  </w:num>
  <w:num w:numId="18">
    <w:abstractNumId w:val="2"/>
  </w:num>
  <w:num w:numId="19">
    <w:abstractNumId w:val="7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A8"/>
    <w:rsid w:val="00005911"/>
    <w:rsid w:val="00005FD5"/>
    <w:rsid w:val="0001371A"/>
    <w:rsid w:val="00015950"/>
    <w:rsid w:val="0001611D"/>
    <w:rsid w:val="00025693"/>
    <w:rsid w:val="00025D46"/>
    <w:rsid w:val="00036EF9"/>
    <w:rsid w:val="000414A1"/>
    <w:rsid w:val="000461DE"/>
    <w:rsid w:val="00050DD9"/>
    <w:rsid w:val="00053932"/>
    <w:rsid w:val="00054918"/>
    <w:rsid w:val="000626CC"/>
    <w:rsid w:val="00062A18"/>
    <w:rsid w:val="00062E0F"/>
    <w:rsid w:val="0006622C"/>
    <w:rsid w:val="00067103"/>
    <w:rsid w:val="00067F73"/>
    <w:rsid w:val="00073BE1"/>
    <w:rsid w:val="00085780"/>
    <w:rsid w:val="000935B1"/>
    <w:rsid w:val="00097A07"/>
    <w:rsid w:val="000B4A29"/>
    <w:rsid w:val="000B6277"/>
    <w:rsid w:val="000C431D"/>
    <w:rsid w:val="000D2ADB"/>
    <w:rsid w:val="000F3566"/>
    <w:rsid w:val="001067B1"/>
    <w:rsid w:val="00106EE8"/>
    <w:rsid w:val="001135B0"/>
    <w:rsid w:val="00120610"/>
    <w:rsid w:val="00145CB0"/>
    <w:rsid w:val="00174E65"/>
    <w:rsid w:val="001858A5"/>
    <w:rsid w:val="00185D81"/>
    <w:rsid w:val="00191DD0"/>
    <w:rsid w:val="001B3A56"/>
    <w:rsid w:val="001C3F0A"/>
    <w:rsid w:val="001D6B99"/>
    <w:rsid w:val="001E1E9A"/>
    <w:rsid w:val="001E25F1"/>
    <w:rsid w:val="001F1380"/>
    <w:rsid w:val="001F747A"/>
    <w:rsid w:val="00206B50"/>
    <w:rsid w:val="002105A7"/>
    <w:rsid w:val="00213CA9"/>
    <w:rsid w:val="0023619D"/>
    <w:rsid w:val="00251A68"/>
    <w:rsid w:val="00261D6E"/>
    <w:rsid w:val="002A0D60"/>
    <w:rsid w:val="002A57D2"/>
    <w:rsid w:val="002C41FD"/>
    <w:rsid w:val="002D678C"/>
    <w:rsid w:val="002E50B9"/>
    <w:rsid w:val="002E5139"/>
    <w:rsid w:val="002E584A"/>
    <w:rsid w:val="002F1D37"/>
    <w:rsid w:val="002F1F16"/>
    <w:rsid w:val="003113C6"/>
    <w:rsid w:val="00322737"/>
    <w:rsid w:val="003262FE"/>
    <w:rsid w:val="003273F1"/>
    <w:rsid w:val="003303A8"/>
    <w:rsid w:val="003349A8"/>
    <w:rsid w:val="003657D8"/>
    <w:rsid w:val="00373FBB"/>
    <w:rsid w:val="003F231C"/>
    <w:rsid w:val="0040787C"/>
    <w:rsid w:val="00437021"/>
    <w:rsid w:val="0044078A"/>
    <w:rsid w:val="00465ABA"/>
    <w:rsid w:val="00465FC2"/>
    <w:rsid w:val="00490D29"/>
    <w:rsid w:val="00495EE7"/>
    <w:rsid w:val="004A0AE1"/>
    <w:rsid w:val="004A657A"/>
    <w:rsid w:val="004C0444"/>
    <w:rsid w:val="004C1B47"/>
    <w:rsid w:val="004C38C0"/>
    <w:rsid w:val="004C592D"/>
    <w:rsid w:val="004D0E19"/>
    <w:rsid w:val="004E3C0E"/>
    <w:rsid w:val="004E5985"/>
    <w:rsid w:val="004F1903"/>
    <w:rsid w:val="00531A52"/>
    <w:rsid w:val="00536BD7"/>
    <w:rsid w:val="00537188"/>
    <w:rsid w:val="00542116"/>
    <w:rsid w:val="005450B2"/>
    <w:rsid w:val="00564E31"/>
    <w:rsid w:val="00577187"/>
    <w:rsid w:val="00580F40"/>
    <w:rsid w:val="005924F0"/>
    <w:rsid w:val="00595360"/>
    <w:rsid w:val="00595D5E"/>
    <w:rsid w:val="005A3BC5"/>
    <w:rsid w:val="005A68BB"/>
    <w:rsid w:val="005E67A8"/>
    <w:rsid w:val="005F3DC6"/>
    <w:rsid w:val="005F4134"/>
    <w:rsid w:val="005F6DB0"/>
    <w:rsid w:val="00602DF0"/>
    <w:rsid w:val="006068AC"/>
    <w:rsid w:val="006247A0"/>
    <w:rsid w:val="0062793A"/>
    <w:rsid w:val="0064101A"/>
    <w:rsid w:val="0065560F"/>
    <w:rsid w:val="0069440F"/>
    <w:rsid w:val="00694D75"/>
    <w:rsid w:val="00697BA3"/>
    <w:rsid w:val="006D2D91"/>
    <w:rsid w:val="006D31B0"/>
    <w:rsid w:val="006D51FA"/>
    <w:rsid w:val="006E4C1C"/>
    <w:rsid w:val="006F1188"/>
    <w:rsid w:val="006F2299"/>
    <w:rsid w:val="006F7303"/>
    <w:rsid w:val="00702F28"/>
    <w:rsid w:val="0071245D"/>
    <w:rsid w:val="00713CE7"/>
    <w:rsid w:val="0072443B"/>
    <w:rsid w:val="0073731E"/>
    <w:rsid w:val="00747146"/>
    <w:rsid w:val="00751485"/>
    <w:rsid w:val="00780A34"/>
    <w:rsid w:val="00793DE7"/>
    <w:rsid w:val="007952B5"/>
    <w:rsid w:val="0079788F"/>
    <w:rsid w:val="00797AC8"/>
    <w:rsid w:val="007A5E26"/>
    <w:rsid w:val="007A68D4"/>
    <w:rsid w:val="007A699B"/>
    <w:rsid w:val="007A77FC"/>
    <w:rsid w:val="007B7833"/>
    <w:rsid w:val="007B7954"/>
    <w:rsid w:val="007C491F"/>
    <w:rsid w:val="007C58F7"/>
    <w:rsid w:val="007D0FAD"/>
    <w:rsid w:val="007D6F79"/>
    <w:rsid w:val="007E2676"/>
    <w:rsid w:val="007E3F2E"/>
    <w:rsid w:val="007F56B7"/>
    <w:rsid w:val="00801886"/>
    <w:rsid w:val="00806F44"/>
    <w:rsid w:val="00825305"/>
    <w:rsid w:val="008332F9"/>
    <w:rsid w:val="00883958"/>
    <w:rsid w:val="0088738D"/>
    <w:rsid w:val="008954E9"/>
    <w:rsid w:val="008A6634"/>
    <w:rsid w:val="008C44CB"/>
    <w:rsid w:val="008D1B20"/>
    <w:rsid w:val="008D6E5A"/>
    <w:rsid w:val="008E3E7B"/>
    <w:rsid w:val="008E7EFF"/>
    <w:rsid w:val="008F1CB7"/>
    <w:rsid w:val="008F6AC1"/>
    <w:rsid w:val="00901BA2"/>
    <w:rsid w:val="00904F25"/>
    <w:rsid w:val="0091610B"/>
    <w:rsid w:val="00927932"/>
    <w:rsid w:val="0095014F"/>
    <w:rsid w:val="00957285"/>
    <w:rsid w:val="00957AE1"/>
    <w:rsid w:val="00965D79"/>
    <w:rsid w:val="009771A1"/>
    <w:rsid w:val="009A1F00"/>
    <w:rsid w:val="009A3A03"/>
    <w:rsid w:val="009A4E1F"/>
    <w:rsid w:val="009C1EB6"/>
    <w:rsid w:val="009C3CE8"/>
    <w:rsid w:val="009C6559"/>
    <w:rsid w:val="009D3900"/>
    <w:rsid w:val="009E0F04"/>
    <w:rsid w:val="009E1B70"/>
    <w:rsid w:val="009E1BE3"/>
    <w:rsid w:val="009E5708"/>
    <w:rsid w:val="009E74D4"/>
    <w:rsid w:val="009F39B7"/>
    <w:rsid w:val="009F69DA"/>
    <w:rsid w:val="00A05AD9"/>
    <w:rsid w:val="00A07060"/>
    <w:rsid w:val="00A071A7"/>
    <w:rsid w:val="00A15B35"/>
    <w:rsid w:val="00A21F92"/>
    <w:rsid w:val="00A26815"/>
    <w:rsid w:val="00A2717B"/>
    <w:rsid w:val="00A30BA9"/>
    <w:rsid w:val="00A32D53"/>
    <w:rsid w:val="00A33219"/>
    <w:rsid w:val="00A83423"/>
    <w:rsid w:val="00A83F7E"/>
    <w:rsid w:val="00AA300C"/>
    <w:rsid w:val="00AB0DE7"/>
    <w:rsid w:val="00AB370A"/>
    <w:rsid w:val="00AC4244"/>
    <w:rsid w:val="00AD2D54"/>
    <w:rsid w:val="00B01733"/>
    <w:rsid w:val="00B04B23"/>
    <w:rsid w:val="00B278A3"/>
    <w:rsid w:val="00B4630C"/>
    <w:rsid w:val="00B46C9A"/>
    <w:rsid w:val="00B51E9A"/>
    <w:rsid w:val="00B55A4F"/>
    <w:rsid w:val="00B61C10"/>
    <w:rsid w:val="00B65AE0"/>
    <w:rsid w:val="00B91472"/>
    <w:rsid w:val="00BA1472"/>
    <w:rsid w:val="00BB5FEA"/>
    <w:rsid w:val="00BB6745"/>
    <w:rsid w:val="00BC2351"/>
    <w:rsid w:val="00BC48FF"/>
    <w:rsid w:val="00BD49F6"/>
    <w:rsid w:val="00BD5FAB"/>
    <w:rsid w:val="00BD65AC"/>
    <w:rsid w:val="00BF0DC2"/>
    <w:rsid w:val="00C15A12"/>
    <w:rsid w:val="00C20859"/>
    <w:rsid w:val="00C34BEE"/>
    <w:rsid w:val="00C478E2"/>
    <w:rsid w:val="00C60359"/>
    <w:rsid w:val="00C70626"/>
    <w:rsid w:val="00C82D9E"/>
    <w:rsid w:val="00C8587F"/>
    <w:rsid w:val="00C960DC"/>
    <w:rsid w:val="00CA2BC7"/>
    <w:rsid w:val="00CA4D2F"/>
    <w:rsid w:val="00CA717D"/>
    <w:rsid w:val="00CB4863"/>
    <w:rsid w:val="00CB6382"/>
    <w:rsid w:val="00CC7777"/>
    <w:rsid w:val="00CD275F"/>
    <w:rsid w:val="00D15EAA"/>
    <w:rsid w:val="00D16D45"/>
    <w:rsid w:val="00D25FE2"/>
    <w:rsid w:val="00D27C8C"/>
    <w:rsid w:val="00D43B25"/>
    <w:rsid w:val="00D623DD"/>
    <w:rsid w:val="00D63807"/>
    <w:rsid w:val="00D660A8"/>
    <w:rsid w:val="00DA2325"/>
    <w:rsid w:val="00DA352F"/>
    <w:rsid w:val="00DA3A2D"/>
    <w:rsid w:val="00DC6DCF"/>
    <w:rsid w:val="00DE32AA"/>
    <w:rsid w:val="00DF7BC9"/>
    <w:rsid w:val="00E00C3A"/>
    <w:rsid w:val="00E0517D"/>
    <w:rsid w:val="00E160B9"/>
    <w:rsid w:val="00E16E3C"/>
    <w:rsid w:val="00E17DC7"/>
    <w:rsid w:val="00E37CCD"/>
    <w:rsid w:val="00E44D62"/>
    <w:rsid w:val="00E5186D"/>
    <w:rsid w:val="00E52EBA"/>
    <w:rsid w:val="00E67568"/>
    <w:rsid w:val="00E77F22"/>
    <w:rsid w:val="00E90598"/>
    <w:rsid w:val="00EB1145"/>
    <w:rsid w:val="00EB1293"/>
    <w:rsid w:val="00EB7290"/>
    <w:rsid w:val="00EC0926"/>
    <w:rsid w:val="00EC4156"/>
    <w:rsid w:val="00ED0C1F"/>
    <w:rsid w:val="00EF43F8"/>
    <w:rsid w:val="00F26621"/>
    <w:rsid w:val="00F27265"/>
    <w:rsid w:val="00F35573"/>
    <w:rsid w:val="00F37705"/>
    <w:rsid w:val="00F40AC9"/>
    <w:rsid w:val="00F62C2F"/>
    <w:rsid w:val="00F70DA5"/>
    <w:rsid w:val="00F91C05"/>
    <w:rsid w:val="00FB4877"/>
    <w:rsid w:val="00FC00E6"/>
    <w:rsid w:val="00FC0D6F"/>
    <w:rsid w:val="00FC1142"/>
    <w:rsid w:val="00FD4A67"/>
    <w:rsid w:val="00FF1A5D"/>
    <w:rsid w:val="00FF1E2B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2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72"/>
  </w:style>
  <w:style w:type="paragraph" w:styleId="Footer">
    <w:name w:val="footer"/>
    <w:basedOn w:val="Normal"/>
    <w:link w:val="FooterChar"/>
    <w:uiPriority w:val="99"/>
    <w:unhideWhenUsed/>
    <w:rsid w:val="00BA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72"/>
  </w:style>
  <w:style w:type="paragraph" w:styleId="BalloonText">
    <w:name w:val="Balloon Text"/>
    <w:basedOn w:val="Normal"/>
    <w:link w:val="BalloonTextChar"/>
    <w:uiPriority w:val="99"/>
    <w:semiHidden/>
    <w:unhideWhenUsed/>
    <w:rsid w:val="00B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17DC7"/>
    <w:rPr>
      <w:b/>
      <w:bCs/>
    </w:rPr>
  </w:style>
  <w:style w:type="paragraph" w:customStyle="1" w:styleId="EntInstit">
    <w:name w:val="EntInstit"/>
    <w:basedOn w:val="Normal"/>
    <w:rsid w:val="00A2681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fr-BE"/>
    </w:rPr>
  </w:style>
  <w:style w:type="character" w:styleId="FootnoteReference">
    <w:name w:val="footnote reference"/>
    <w:aliases w:val="Footnote Reference Superscript,Footnote symbol"/>
    <w:rsid w:val="00A26815"/>
    <w:rPr>
      <w:b/>
      <w:vertAlign w:val="superscript"/>
    </w:rPr>
  </w:style>
  <w:style w:type="paragraph" w:customStyle="1" w:styleId="Text1">
    <w:name w:val="Text 1"/>
    <w:basedOn w:val="Normal"/>
    <w:uiPriority w:val="99"/>
    <w:rsid w:val="00A26815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fr-FR" w:eastAsia="fr-BE"/>
    </w:rPr>
  </w:style>
  <w:style w:type="paragraph" w:customStyle="1" w:styleId="FooterConseil">
    <w:name w:val="FooterConseil"/>
    <w:basedOn w:val="Normal"/>
    <w:rsid w:val="007A699B"/>
    <w:pPr>
      <w:tabs>
        <w:tab w:val="center" w:pos="4820"/>
        <w:tab w:val="center" w:pos="7371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E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E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2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472"/>
  </w:style>
  <w:style w:type="paragraph" w:styleId="Footer">
    <w:name w:val="footer"/>
    <w:basedOn w:val="Normal"/>
    <w:link w:val="FooterChar"/>
    <w:uiPriority w:val="99"/>
    <w:unhideWhenUsed/>
    <w:rsid w:val="00BA1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472"/>
  </w:style>
  <w:style w:type="paragraph" w:styleId="BalloonText">
    <w:name w:val="Balloon Text"/>
    <w:basedOn w:val="Normal"/>
    <w:link w:val="BalloonTextChar"/>
    <w:uiPriority w:val="99"/>
    <w:semiHidden/>
    <w:unhideWhenUsed/>
    <w:rsid w:val="00BA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1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E17DC7"/>
    <w:rPr>
      <w:b/>
      <w:bCs/>
    </w:rPr>
  </w:style>
  <w:style w:type="paragraph" w:customStyle="1" w:styleId="EntInstit">
    <w:name w:val="EntInstit"/>
    <w:basedOn w:val="Normal"/>
    <w:rsid w:val="00A26815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fr-BE"/>
    </w:rPr>
  </w:style>
  <w:style w:type="character" w:styleId="FootnoteReference">
    <w:name w:val="footnote reference"/>
    <w:aliases w:val="Footnote Reference Superscript,Footnote symbol"/>
    <w:rsid w:val="00A26815"/>
    <w:rPr>
      <w:b/>
      <w:vertAlign w:val="superscript"/>
    </w:rPr>
  </w:style>
  <w:style w:type="paragraph" w:customStyle="1" w:styleId="Text1">
    <w:name w:val="Text 1"/>
    <w:basedOn w:val="Normal"/>
    <w:uiPriority w:val="99"/>
    <w:rsid w:val="00A26815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val="fr-FR" w:eastAsia="fr-BE"/>
    </w:rPr>
  </w:style>
  <w:style w:type="paragraph" w:customStyle="1" w:styleId="FooterConseil">
    <w:name w:val="FooterConseil"/>
    <w:basedOn w:val="Normal"/>
    <w:rsid w:val="007A699B"/>
    <w:pPr>
      <w:tabs>
        <w:tab w:val="center" w:pos="4820"/>
        <w:tab w:val="center" w:pos="7371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9E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E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07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0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178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1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28820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8409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9277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6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705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08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658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20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8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8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34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9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65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8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71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56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816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3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56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9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DA721-42BF-40E3-9860-55A149C6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</dc:creator>
  <cp:lastModifiedBy>Steve Tebbutt</cp:lastModifiedBy>
  <cp:revision>4</cp:revision>
  <cp:lastPrinted>2014-01-13T16:47:00Z</cp:lastPrinted>
  <dcterms:created xsi:type="dcterms:W3CDTF">2015-04-07T15:15:00Z</dcterms:created>
  <dcterms:modified xsi:type="dcterms:W3CDTF">2015-04-08T14:21:00Z</dcterms:modified>
</cp:coreProperties>
</file>