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AE78D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10</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AE78D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421CE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FB054B">
        <w:tc>
          <w:tcPr>
            <w:tcW w:w="2628" w:type="dxa"/>
          </w:tcPr>
          <w:p w:rsidR="00151DBF" w:rsidRPr="00C90060" w:rsidRDefault="00151DBF" w:rsidP="00FB054B">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FB054B">
            <w:pPr>
              <w:rPr>
                <w:rFonts w:asciiTheme="minorHAnsi" w:hAnsiTheme="minorHAnsi" w:cstheme="minorHAnsi"/>
                <w:b/>
              </w:rPr>
            </w:pPr>
          </w:p>
        </w:tc>
        <w:tc>
          <w:tcPr>
            <w:tcW w:w="6320" w:type="dxa"/>
          </w:tcPr>
          <w:p w:rsidR="00151DBF" w:rsidRDefault="00E4086D" w:rsidP="00FB054B">
            <w:pPr>
              <w:rPr>
                <w:rFonts w:asciiTheme="minorHAnsi" w:hAnsiTheme="minorHAnsi" w:cstheme="minorHAnsi"/>
              </w:rPr>
            </w:pPr>
            <w:r>
              <w:rPr>
                <w:rFonts w:asciiTheme="minorHAnsi" w:hAnsiTheme="minorHAnsi" w:cstheme="minorHAnsi"/>
              </w:rPr>
              <w:t>15/</w:t>
            </w:r>
            <w:r w:rsidR="001A0B28">
              <w:rPr>
                <w:rFonts w:asciiTheme="minorHAnsi" w:hAnsiTheme="minorHAnsi" w:cstheme="minorHAnsi"/>
              </w:rPr>
              <w:t>03/2015</w:t>
            </w:r>
            <w:bookmarkStart w:id="0" w:name="_GoBack"/>
            <w:bookmarkEnd w:id="0"/>
          </w:p>
          <w:p w:rsidR="00C90060" w:rsidRPr="00C90060" w:rsidRDefault="00C90060" w:rsidP="00FB054B">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Pr="00C90060" w:rsidRDefault="00C90060" w:rsidP="00C90060">
            <w:pPr>
              <w:rPr>
                <w:rFonts w:asciiTheme="minorHAnsi" w:hAnsiTheme="minorHAnsi" w:cstheme="minorHAnsi"/>
                <w:b/>
              </w:rPr>
            </w:pPr>
          </w:p>
        </w:tc>
        <w:tc>
          <w:tcPr>
            <w:tcW w:w="6320" w:type="dxa"/>
          </w:tcPr>
          <w:p w:rsidR="0000688A" w:rsidRPr="00C90060" w:rsidRDefault="001A0B28" w:rsidP="00FB054B">
            <w:pPr>
              <w:rPr>
                <w:rFonts w:asciiTheme="minorHAnsi" w:hAnsiTheme="minorHAnsi" w:cstheme="minorHAnsi"/>
              </w:rPr>
            </w:pPr>
            <w:r>
              <w:rPr>
                <w:rFonts w:asciiTheme="minorHAnsi" w:hAnsiTheme="minorHAnsi" w:cstheme="minorHAnsi"/>
              </w:rPr>
              <w:t>NED Portfolios</w:t>
            </w:r>
          </w:p>
        </w:tc>
      </w:tr>
      <w:tr w:rsidR="0082258E" w:rsidRPr="00C90060" w:rsidTr="00151DBF">
        <w:tc>
          <w:tcPr>
            <w:tcW w:w="2628" w:type="dxa"/>
          </w:tcPr>
          <w:p w:rsidR="0082258E" w:rsidRDefault="0082258E" w:rsidP="00FB054B">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FB054B">
            <w:pPr>
              <w:rPr>
                <w:rFonts w:asciiTheme="minorHAnsi" w:hAnsiTheme="minorHAnsi" w:cstheme="minorHAnsi"/>
                <w:b/>
              </w:rPr>
            </w:pPr>
          </w:p>
          <w:p w:rsidR="0082258E" w:rsidRPr="00C90060" w:rsidRDefault="0082258E" w:rsidP="00FB054B">
            <w:pPr>
              <w:rPr>
                <w:rFonts w:asciiTheme="minorHAnsi" w:hAnsiTheme="minorHAnsi" w:cstheme="minorHAnsi"/>
                <w:b/>
              </w:rPr>
            </w:pPr>
          </w:p>
        </w:tc>
        <w:tc>
          <w:tcPr>
            <w:tcW w:w="6320" w:type="dxa"/>
          </w:tcPr>
          <w:p w:rsidR="00AB25CA" w:rsidRDefault="00AB25CA" w:rsidP="00FB054B">
            <w:pPr>
              <w:rPr>
                <w:rFonts w:asciiTheme="minorHAnsi" w:hAnsiTheme="minorHAnsi" w:cstheme="minorHAnsi"/>
              </w:rPr>
            </w:pPr>
            <w:r>
              <w:rPr>
                <w:rFonts w:asciiTheme="minorHAnsi" w:hAnsiTheme="minorHAnsi" w:cstheme="minorHAnsi"/>
              </w:rPr>
              <w:t xml:space="preserve">The purpose of this paper is to </w:t>
            </w:r>
            <w:r w:rsidR="00421CEF">
              <w:rPr>
                <w:rFonts w:asciiTheme="minorHAnsi" w:hAnsiTheme="minorHAnsi" w:cstheme="minorHAnsi"/>
              </w:rPr>
              <w:t xml:space="preserve">facilitate a discussion regarding possible </w:t>
            </w:r>
            <w:r>
              <w:rPr>
                <w:rFonts w:asciiTheme="minorHAnsi" w:hAnsiTheme="minorHAnsi" w:cstheme="minorHAnsi"/>
              </w:rPr>
              <w:t xml:space="preserve">portfolios </w:t>
            </w:r>
            <w:r w:rsidR="001C6E4E">
              <w:rPr>
                <w:rFonts w:asciiTheme="minorHAnsi" w:hAnsiTheme="minorHAnsi" w:cstheme="minorHAnsi"/>
              </w:rPr>
              <w:t>for</w:t>
            </w:r>
            <w:r>
              <w:rPr>
                <w:rFonts w:asciiTheme="minorHAnsi" w:hAnsiTheme="minorHAnsi" w:cstheme="minorHAnsi"/>
              </w:rPr>
              <w:t xml:space="preserve"> the Non-Executive Directors.</w:t>
            </w:r>
          </w:p>
          <w:p w:rsidR="0000688A" w:rsidRPr="00C90060" w:rsidRDefault="0000688A" w:rsidP="00AB25CA">
            <w:pPr>
              <w:rPr>
                <w:rFonts w:asciiTheme="minorHAnsi" w:hAnsiTheme="minorHAnsi" w:cstheme="minorHAnsi"/>
              </w:rPr>
            </w:pPr>
          </w:p>
        </w:tc>
      </w:tr>
      <w:tr w:rsidR="0082258E" w:rsidRPr="00C90060" w:rsidTr="00151DBF">
        <w:tc>
          <w:tcPr>
            <w:tcW w:w="2628" w:type="dxa"/>
          </w:tcPr>
          <w:p w:rsidR="0082258E" w:rsidRDefault="0082258E" w:rsidP="00FB054B">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FB054B">
            <w:pPr>
              <w:rPr>
                <w:rFonts w:asciiTheme="minorHAnsi" w:hAnsiTheme="minorHAnsi" w:cstheme="minorHAnsi"/>
                <w:b/>
              </w:rPr>
            </w:pPr>
          </w:p>
          <w:p w:rsidR="0082258E" w:rsidRPr="00C90060" w:rsidRDefault="0082258E" w:rsidP="00FB054B">
            <w:pPr>
              <w:rPr>
                <w:rFonts w:asciiTheme="minorHAnsi" w:hAnsiTheme="minorHAnsi" w:cstheme="minorHAnsi"/>
                <w:b/>
              </w:rPr>
            </w:pPr>
          </w:p>
        </w:tc>
        <w:tc>
          <w:tcPr>
            <w:tcW w:w="6320" w:type="dxa"/>
          </w:tcPr>
          <w:p w:rsidR="00AB25CA" w:rsidRDefault="00AB25CA" w:rsidP="00AB25CA">
            <w:pPr>
              <w:rPr>
                <w:rFonts w:asciiTheme="minorHAnsi" w:hAnsiTheme="minorHAnsi" w:cstheme="minorHAnsi"/>
              </w:rPr>
            </w:pPr>
            <w:r>
              <w:rPr>
                <w:rFonts w:asciiTheme="minorHAnsi" w:hAnsiTheme="minorHAnsi" w:cstheme="minorHAnsi"/>
              </w:rPr>
              <w:t>At the seminar on 2</w:t>
            </w:r>
            <w:r w:rsidRPr="001A0B28">
              <w:rPr>
                <w:rFonts w:asciiTheme="minorHAnsi" w:hAnsiTheme="minorHAnsi" w:cstheme="minorHAnsi"/>
                <w:vertAlign w:val="superscript"/>
              </w:rPr>
              <w:t>nd</w:t>
            </w:r>
            <w:r>
              <w:rPr>
                <w:rFonts w:asciiTheme="minorHAnsi" w:hAnsiTheme="minorHAnsi" w:cstheme="minorHAnsi"/>
              </w:rPr>
              <w:t xml:space="preserve"> February, the Board agreed to develop portfolios for the Non-Executive Directors. This involves the allocation of key areas of business to each NED to have a focused interest upon. </w:t>
            </w:r>
          </w:p>
          <w:p w:rsidR="00421CEF" w:rsidRDefault="00421CEF" w:rsidP="00AB25CA">
            <w:pPr>
              <w:rPr>
                <w:rFonts w:asciiTheme="minorHAnsi" w:hAnsiTheme="minorHAnsi" w:cstheme="minorHAnsi"/>
              </w:rPr>
            </w:pPr>
          </w:p>
          <w:p w:rsidR="00421CEF" w:rsidRDefault="00421CEF" w:rsidP="00AB25CA">
            <w:pPr>
              <w:rPr>
                <w:rFonts w:asciiTheme="minorHAnsi" w:hAnsiTheme="minorHAnsi" w:cstheme="minorHAnsi"/>
              </w:rPr>
            </w:pPr>
            <w:r>
              <w:rPr>
                <w:rFonts w:asciiTheme="minorHAnsi" w:hAnsiTheme="minorHAnsi" w:cstheme="minorHAnsi"/>
              </w:rPr>
              <w:t>EMT has reviewed the paper and provided recommendations and options of possible areas for the NEDs to consider.</w:t>
            </w:r>
          </w:p>
          <w:p w:rsidR="004E0A19" w:rsidRDefault="004E0A19" w:rsidP="00AB25CA">
            <w:pPr>
              <w:rPr>
                <w:rFonts w:asciiTheme="minorHAnsi" w:hAnsiTheme="minorHAnsi" w:cstheme="minorHAnsi"/>
              </w:rPr>
            </w:pPr>
          </w:p>
          <w:p w:rsidR="004E0A19" w:rsidRDefault="004E0A19" w:rsidP="00AB25CA">
            <w:pPr>
              <w:rPr>
                <w:rFonts w:asciiTheme="minorHAnsi" w:hAnsiTheme="minorHAnsi" w:cstheme="minorHAnsi"/>
              </w:rPr>
            </w:pPr>
            <w:r>
              <w:rPr>
                <w:rFonts w:asciiTheme="minorHAnsi" w:hAnsiTheme="minorHAnsi" w:cstheme="minorHAnsi"/>
              </w:rPr>
              <w:t>The Board is asked to agree the key area</w:t>
            </w:r>
            <w:r w:rsidR="005A5B35">
              <w:rPr>
                <w:rFonts w:asciiTheme="minorHAnsi" w:hAnsiTheme="minorHAnsi" w:cstheme="minorHAnsi"/>
              </w:rPr>
              <w:t>s</w:t>
            </w:r>
            <w:r>
              <w:rPr>
                <w:rFonts w:asciiTheme="minorHAnsi" w:hAnsiTheme="minorHAnsi" w:cstheme="minorHAnsi"/>
              </w:rPr>
              <w:t xml:space="preserve"> to be included and assign a NED to each portfolio.</w:t>
            </w:r>
          </w:p>
          <w:p w:rsidR="00D0148A" w:rsidRPr="00C90060" w:rsidRDefault="00D0148A" w:rsidP="00421CEF">
            <w:pPr>
              <w:rPr>
                <w:rFonts w:asciiTheme="minorHAnsi" w:hAnsiTheme="minorHAnsi" w:cstheme="minorHAnsi"/>
              </w:rPr>
            </w:pPr>
          </w:p>
        </w:tc>
      </w:tr>
      <w:tr w:rsidR="0082258E" w:rsidRPr="00C90060" w:rsidTr="00151DBF">
        <w:tc>
          <w:tcPr>
            <w:tcW w:w="2628" w:type="dxa"/>
          </w:tcPr>
          <w:p w:rsidR="0082258E" w:rsidRDefault="0082258E" w:rsidP="00FB054B">
            <w:pPr>
              <w:rPr>
                <w:rFonts w:asciiTheme="minorHAnsi" w:hAnsiTheme="minorHAnsi" w:cstheme="minorHAnsi"/>
                <w:b/>
              </w:rPr>
            </w:pPr>
            <w:r w:rsidRPr="00C90060">
              <w:rPr>
                <w:rFonts w:asciiTheme="minorHAnsi" w:hAnsiTheme="minorHAnsi" w:cstheme="minorHAnsi"/>
                <w:b/>
              </w:rPr>
              <w:t>Details:</w:t>
            </w:r>
          </w:p>
          <w:p w:rsidR="00C90060" w:rsidRDefault="00C90060" w:rsidP="00FB054B">
            <w:pPr>
              <w:rPr>
                <w:rFonts w:asciiTheme="minorHAnsi" w:hAnsiTheme="minorHAnsi" w:cstheme="minorHAnsi"/>
                <w:b/>
              </w:rPr>
            </w:pPr>
          </w:p>
          <w:p w:rsidR="00C90060" w:rsidRPr="00C90060" w:rsidRDefault="00C90060" w:rsidP="00FB054B">
            <w:pPr>
              <w:rPr>
                <w:rFonts w:asciiTheme="minorHAnsi" w:hAnsiTheme="minorHAnsi" w:cstheme="minorHAnsi"/>
                <w:b/>
              </w:rPr>
            </w:pPr>
          </w:p>
        </w:tc>
        <w:tc>
          <w:tcPr>
            <w:tcW w:w="6320" w:type="dxa"/>
          </w:tcPr>
          <w:p w:rsidR="00682629" w:rsidRDefault="00682629" w:rsidP="00682629">
            <w:pPr>
              <w:rPr>
                <w:rFonts w:asciiTheme="minorHAnsi" w:hAnsiTheme="minorHAnsi" w:cstheme="minorHAnsi"/>
              </w:rPr>
            </w:pPr>
            <w:r>
              <w:rPr>
                <w:rFonts w:asciiTheme="minorHAnsi" w:hAnsiTheme="minorHAnsi" w:cstheme="minorHAnsi"/>
              </w:rPr>
              <w:t>The intention is to have internal and external facing portfolios for NEDs:</w:t>
            </w:r>
          </w:p>
          <w:p w:rsidR="00682629" w:rsidRDefault="00682629" w:rsidP="00682629">
            <w:pPr>
              <w:rPr>
                <w:rFonts w:asciiTheme="minorHAnsi" w:hAnsiTheme="minorHAnsi" w:cstheme="minorHAnsi"/>
              </w:rPr>
            </w:pPr>
          </w:p>
          <w:p w:rsidR="0000688A" w:rsidRDefault="00421CEF" w:rsidP="00682629">
            <w:pPr>
              <w:rPr>
                <w:rFonts w:asciiTheme="minorHAnsi" w:hAnsiTheme="minorHAnsi" w:cstheme="minorHAnsi"/>
              </w:rPr>
            </w:pPr>
            <w:r>
              <w:rPr>
                <w:rFonts w:asciiTheme="minorHAnsi" w:hAnsiTheme="minorHAnsi" w:cstheme="minorHAnsi"/>
              </w:rPr>
              <w:t>Internally:</w:t>
            </w:r>
            <w:r w:rsidR="00682629">
              <w:rPr>
                <w:rFonts w:asciiTheme="minorHAnsi" w:hAnsiTheme="minorHAnsi" w:cstheme="minorHAnsi"/>
              </w:rPr>
              <w:t xml:space="preserve"> </w:t>
            </w:r>
            <w:r w:rsidR="00682629" w:rsidRPr="00682629">
              <w:rPr>
                <w:rFonts w:asciiTheme="minorHAnsi" w:hAnsiTheme="minorHAnsi" w:cstheme="minorHAnsi"/>
              </w:rPr>
              <w:t>Each NED</w:t>
            </w:r>
            <w:r w:rsidR="00682629">
              <w:rPr>
                <w:rFonts w:asciiTheme="minorHAnsi" w:hAnsiTheme="minorHAnsi" w:cstheme="minorHAnsi"/>
              </w:rPr>
              <w:t>, including Jonathan,</w:t>
            </w:r>
            <w:r w:rsidR="00682629" w:rsidRPr="00682629">
              <w:rPr>
                <w:rFonts w:asciiTheme="minorHAnsi" w:hAnsiTheme="minorHAnsi" w:cstheme="minorHAnsi"/>
              </w:rPr>
              <w:t xml:space="preserve"> will have one area of business </w:t>
            </w:r>
            <w:r w:rsidR="00682629">
              <w:rPr>
                <w:rFonts w:asciiTheme="minorHAnsi" w:hAnsiTheme="minorHAnsi" w:cstheme="minorHAnsi"/>
              </w:rPr>
              <w:t>to work closely with a Director as detailed in this paper.</w:t>
            </w:r>
          </w:p>
          <w:p w:rsidR="00682629" w:rsidRDefault="00682629" w:rsidP="00682629">
            <w:pPr>
              <w:rPr>
                <w:rFonts w:asciiTheme="minorHAnsi" w:hAnsiTheme="minorHAnsi" w:cstheme="minorHAnsi"/>
              </w:rPr>
            </w:pPr>
          </w:p>
          <w:p w:rsidR="00682629" w:rsidRDefault="00682629" w:rsidP="00682629">
            <w:pPr>
              <w:rPr>
                <w:rFonts w:asciiTheme="minorHAnsi" w:hAnsiTheme="minorHAnsi" w:cstheme="minorHAnsi"/>
              </w:rPr>
            </w:pPr>
            <w:r>
              <w:rPr>
                <w:rFonts w:asciiTheme="minorHAnsi" w:hAnsiTheme="minorHAnsi" w:cstheme="minorHAnsi"/>
              </w:rPr>
              <w:t>Externally</w:t>
            </w:r>
            <w:r w:rsidR="00421CEF">
              <w:rPr>
                <w:rFonts w:asciiTheme="minorHAnsi" w:hAnsiTheme="minorHAnsi" w:cstheme="minorHAnsi"/>
              </w:rPr>
              <w:t xml:space="preserve">: </w:t>
            </w:r>
            <w:r>
              <w:rPr>
                <w:rFonts w:asciiTheme="minorHAnsi" w:hAnsiTheme="minorHAnsi" w:cstheme="minorHAnsi"/>
              </w:rPr>
              <w:t xml:space="preserve">Following the seminar in May, relevant stakeholders or stakeholder groups will be </w:t>
            </w:r>
            <w:r w:rsidR="002037EB">
              <w:rPr>
                <w:rFonts w:asciiTheme="minorHAnsi" w:hAnsiTheme="minorHAnsi" w:cstheme="minorHAnsi"/>
              </w:rPr>
              <w:t>discussed</w:t>
            </w:r>
            <w:r>
              <w:rPr>
                <w:rFonts w:asciiTheme="minorHAnsi" w:hAnsiTheme="minorHAnsi" w:cstheme="minorHAnsi"/>
              </w:rPr>
              <w:t xml:space="preserve"> for each NED. </w:t>
            </w:r>
          </w:p>
          <w:p w:rsidR="00682629" w:rsidRDefault="00682629" w:rsidP="00682629">
            <w:pPr>
              <w:rPr>
                <w:rFonts w:asciiTheme="minorHAnsi" w:hAnsiTheme="minorHAnsi" w:cstheme="minorHAnsi"/>
              </w:rPr>
            </w:pPr>
          </w:p>
          <w:p w:rsidR="00682629" w:rsidRPr="00682629" w:rsidRDefault="00682629" w:rsidP="00682629">
            <w:pPr>
              <w:rPr>
                <w:rFonts w:asciiTheme="minorHAnsi" w:hAnsiTheme="minorHAnsi" w:cstheme="minorHAnsi"/>
              </w:rPr>
            </w:pPr>
            <w:r>
              <w:rPr>
                <w:rFonts w:asciiTheme="minorHAnsi" w:hAnsiTheme="minorHAnsi" w:cstheme="minorHAnsi"/>
              </w:rPr>
              <w:t>This will be in addition to the required Audit and Risk Committee Chair / member roles, Pay and Remuneration Committee membership and Vice Chair role.</w:t>
            </w:r>
          </w:p>
          <w:p w:rsidR="0000688A" w:rsidRPr="00C90060" w:rsidRDefault="0000688A" w:rsidP="00FB054B">
            <w:pPr>
              <w:rPr>
                <w:rFonts w:asciiTheme="minorHAnsi" w:hAnsiTheme="minorHAnsi" w:cstheme="minorHAnsi"/>
              </w:rPr>
            </w:pPr>
          </w:p>
        </w:tc>
      </w:tr>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t>Suitable for wider circulation?</w:t>
            </w:r>
          </w:p>
          <w:p w:rsidR="00C90060" w:rsidRPr="00C90060" w:rsidRDefault="00C90060" w:rsidP="00C90060">
            <w:pPr>
              <w:rPr>
                <w:rFonts w:asciiTheme="minorHAnsi" w:hAnsiTheme="minorHAnsi" w:cstheme="minorHAnsi"/>
                <w:b/>
              </w:rPr>
            </w:pPr>
          </w:p>
        </w:tc>
        <w:tc>
          <w:tcPr>
            <w:tcW w:w="6320" w:type="dxa"/>
          </w:tcPr>
          <w:p w:rsidR="0000688A" w:rsidRPr="001A0B28" w:rsidRDefault="001A0B28" w:rsidP="00FB054B">
            <w:pPr>
              <w:rPr>
                <w:rFonts w:asciiTheme="minorHAnsi" w:hAnsiTheme="minorHAnsi" w:cstheme="minorHAnsi"/>
              </w:rPr>
            </w:pPr>
            <w:r>
              <w:rPr>
                <w:rFonts w:asciiTheme="minorHAnsi" w:hAnsiTheme="minorHAnsi" w:cstheme="minorHAnsi"/>
              </w:rPr>
              <w:t>Once approved</w:t>
            </w:r>
          </w:p>
        </w:tc>
      </w:tr>
      <w:tr w:rsidR="00C90060" w:rsidRPr="00C90060" w:rsidTr="00FB054B">
        <w:trPr>
          <w:trHeight w:val="301"/>
        </w:trPr>
        <w:tc>
          <w:tcPr>
            <w:tcW w:w="2628" w:type="dxa"/>
          </w:tcPr>
          <w:p w:rsidR="00C90060" w:rsidRDefault="00C90060" w:rsidP="00FB054B">
            <w:pPr>
              <w:rPr>
                <w:rFonts w:asciiTheme="minorHAnsi" w:hAnsiTheme="minorHAnsi" w:cstheme="minorHAnsi"/>
                <w:b/>
              </w:rPr>
            </w:pPr>
            <w:r>
              <w:rPr>
                <w:rFonts w:asciiTheme="minorHAnsi" w:hAnsiTheme="minorHAnsi" w:cstheme="minorHAnsi"/>
                <w:b/>
              </w:rPr>
              <w:t>Time required for item:</w:t>
            </w:r>
          </w:p>
          <w:p w:rsidR="00C90060" w:rsidRPr="00C90060" w:rsidRDefault="00C90060" w:rsidP="00FB054B">
            <w:pPr>
              <w:rPr>
                <w:rFonts w:asciiTheme="minorHAnsi" w:hAnsiTheme="minorHAnsi" w:cstheme="minorHAnsi"/>
                <w:b/>
              </w:rPr>
            </w:pPr>
          </w:p>
        </w:tc>
        <w:tc>
          <w:tcPr>
            <w:tcW w:w="6320" w:type="dxa"/>
          </w:tcPr>
          <w:p w:rsidR="00C90060" w:rsidRPr="00C90060" w:rsidRDefault="002037EB" w:rsidP="00FB054B">
            <w:pPr>
              <w:rPr>
                <w:rFonts w:asciiTheme="minorHAnsi" w:hAnsiTheme="minorHAnsi" w:cstheme="minorHAnsi"/>
                <w:b/>
              </w:rPr>
            </w:pPr>
            <w:r>
              <w:rPr>
                <w:rFonts w:asciiTheme="minorHAnsi" w:hAnsiTheme="minorHAnsi" w:cstheme="minorHAnsi"/>
                <w:b/>
              </w:rPr>
              <w:t>20</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FB054B">
        <w:tc>
          <w:tcPr>
            <w:tcW w:w="2628" w:type="dxa"/>
            <w:vMerge w:val="restart"/>
            <w:shd w:val="clear" w:color="auto" w:fill="D9D9D9" w:themeFill="background1" w:themeFillShade="D9"/>
          </w:tcPr>
          <w:p w:rsidR="00E93D47" w:rsidRPr="00C90060" w:rsidRDefault="00E93D47" w:rsidP="00FB054B">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FB054B">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FB054B">
            <w:pPr>
              <w:rPr>
                <w:rFonts w:asciiTheme="minorHAnsi" w:hAnsiTheme="minorHAnsi" w:cstheme="minorHAnsi"/>
                <w:b/>
              </w:rPr>
            </w:pPr>
            <w:r w:rsidRPr="00C90060">
              <w:rPr>
                <w:rFonts w:asciiTheme="minorHAnsi" w:hAnsiTheme="minorHAnsi" w:cstheme="minorHAnsi"/>
                <w:b/>
              </w:rPr>
              <w:lastRenderedPageBreak/>
              <w:t>To Approve</w:t>
            </w:r>
          </w:p>
        </w:tc>
        <w:tc>
          <w:tcPr>
            <w:tcW w:w="1280" w:type="dxa"/>
            <w:shd w:val="clear" w:color="auto" w:fill="auto"/>
          </w:tcPr>
          <w:p w:rsidR="00E93D47" w:rsidRPr="00C90060" w:rsidRDefault="001A0B28" w:rsidP="00FB054B">
            <w:pPr>
              <w:rPr>
                <w:rFonts w:asciiTheme="minorHAnsi" w:hAnsiTheme="minorHAnsi" w:cstheme="minorHAnsi"/>
                <w:b/>
              </w:rPr>
            </w:pPr>
            <w:r>
              <w:rPr>
                <w:rFonts w:asciiTheme="minorHAnsi" w:hAnsiTheme="minorHAnsi" w:cstheme="minorHAnsi"/>
                <w:b/>
              </w:rPr>
              <w:t>x</w:t>
            </w:r>
          </w:p>
        </w:tc>
      </w:tr>
      <w:tr w:rsidR="00E93D47" w:rsidRPr="00C90060" w:rsidTr="00FB054B">
        <w:tc>
          <w:tcPr>
            <w:tcW w:w="2628" w:type="dxa"/>
            <w:vMerge/>
            <w:shd w:val="clear" w:color="auto" w:fill="D9D9D9" w:themeFill="background1" w:themeFillShade="D9"/>
          </w:tcPr>
          <w:p w:rsidR="00E93D47" w:rsidRPr="00C90060" w:rsidRDefault="00E93D47" w:rsidP="00FB054B">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FB054B">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FB054B">
            <w:pPr>
              <w:rPr>
                <w:rFonts w:asciiTheme="minorHAnsi" w:hAnsiTheme="minorHAnsi" w:cstheme="minorHAnsi"/>
                <w:b/>
              </w:rPr>
            </w:pPr>
          </w:p>
        </w:tc>
      </w:tr>
      <w:tr w:rsidR="008B043D" w:rsidRPr="00C90060" w:rsidTr="00FB054B">
        <w:tc>
          <w:tcPr>
            <w:tcW w:w="2628" w:type="dxa"/>
            <w:vMerge/>
            <w:shd w:val="clear" w:color="auto" w:fill="D9D9D9" w:themeFill="background1" w:themeFillShade="D9"/>
          </w:tcPr>
          <w:p w:rsidR="008B043D" w:rsidRPr="00C90060" w:rsidRDefault="008B043D" w:rsidP="00FB054B">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FB054B">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1A0B28" w:rsidP="00FB054B">
            <w:pPr>
              <w:rPr>
                <w:rFonts w:asciiTheme="minorHAnsi" w:hAnsiTheme="minorHAnsi" w:cstheme="minorHAnsi"/>
                <w:b/>
              </w:rPr>
            </w:pPr>
            <w:r>
              <w:rPr>
                <w:rFonts w:asciiTheme="minorHAnsi" w:hAnsiTheme="minorHAnsi" w:cstheme="minorHAnsi"/>
                <w:b/>
              </w:rPr>
              <w:t>x</w:t>
            </w:r>
          </w:p>
        </w:tc>
      </w:tr>
      <w:tr w:rsidR="00E93D47" w:rsidRPr="00C90060" w:rsidTr="00FB054B">
        <w:trPr>
          <w:trHeight w:val="70"/>
        </w:trPr>
        <w:tc>
          <w:tcPr>
            <w:tcW w:w="2628" w:type="dxa"/>
            <w:vMerge/>
            <w:shd w:val="clear" w:color="auto" w:fill="D9D9D9" w:themeFill="background1" w:themeFillShade="D9"/>
          </w:tcPr>
          <w:p w:rsidR="00E93D47" w:rsidRPr="00C90060" w:rsidRDefault="00E93D47" w:rsidP="00FB054B">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FB054B">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FB054B">
            <w:pPr>
              <w:rPr>
                <w:rFonts w:asciiTheme="minorHAnsi" w:hAnsiTheme="minorHAnsi" w:cstheme="minorHAnsi"/>
                <w:b/>
              </w:rPr>
            </w:pPr>
          </w:p>
          <w:p w:rsidR="00E93D47" w:rsidRPr="00C90060" w:rsidRDefault="00E93D47" w:rsidP="00FB054B">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FB054B">
        <w:tc>
          <w:tcPr>
            <w:tcW w:w="2628" w:type="dxa"/>
          </w:tcPr>
          <w:p w:rsidR="00151DBF" w:rsidRPr="00C90060" w:rsidRDefault="00151DBF" w:rsidP="00D0148A">
            <w:pPr>
              <w:rPr>
                <w:rFonts w:asciiTheme="minorHAnsi" w:hAnsiTheme="minorHAnsi" w:cstheme="minorHAnsi"/>
                <w:b/>
              </w:rPr>
            </w:pPr>
            <w:r w:rsidRPr="00C90060">
              <w:rPr>
                <w:rFonts w:asciiTheme="minorHAnsi" w:hAnsiTheme="minorHAnsi" w:cstheme="minorHAnsi"/>
                <w:b/>
              </w:rPr>
              <w:t>Name:</w:t>
            </w:r>
          </w:p>
        </w:tc>
        <w:tc>
          <w:tcPr>
            <w:tcW w:w="6320" w:type="dxa"/>
          </w:tcPr>
          <w:p w:rsidR="00151DBF" w:rsidRPr="00C90060" w:rsidRDefault="001A0B28" w:rsidP="00D0148A">
            <w:pPr>
              <w:rPr>
                <w:rFonts w:asciiTheme="minorHAnsi" w:hAnsiTheme="minorHAnsi" w:cstheme="minorHAnsi"/>
              </w:rPr>
            </w:pPr>
            <w:r>
              <w:rPr>
                <w:rFonts w:asciiTheme="minorHAnsi" w:hAnsiTheme="minorHAnsi" w:cstheme="minorHAnsi"/>
              </w:rPr>
              <w:t>Stephen Tebbutt</w:t>
            </w:r>
          </w:p>
        </w:tc>
      </w:tr>
      <w:tr w:rsidR="00151DBF" w:rsidRPr="00C90060" w:rsidTr="00FB054B">
        <w:tc>
          <w:tcPr>
            <w:tcW w:w="2628" w:type="dxa"/>
          </w:tcPr>
          <w:p w:rsidR="00151DBF" w:rsidRPr="00C90060" w:rsidRDefault="00151DBF" w:rsidP="00D0148A">
            <w:pPr>
              <w:rPr>
                <w:rFonts w:asciiTheme="minorHAnsi" w:hAnsiTheme="minorHAnsi" w:cstheme="minorHAnsi"/>
                <w:b/>
              </w:rPr>
            </w:pPr>
            <w:r w:rsidRPr="00C90060">
              <w:rPr>
                <w:rFonts w:asciiTheme="minorHAnsi" w:hAnsiTheme="minorHAnsi" w:cstheme="minorHAnsi"/>
                <w:b/>
              </w:rPr>
              <w:t>Job Title:</w:t>
            </w:r>
          </w:p>
        </w:tc>
        <w:tc>
          <w:tcPr>
            <w:tcW w:w="6320" w:type="dxa"/>
          </w:tcPr>
          <w:p w:rsidR="00151DBF" w:rsidRPr="00C90060" w:rsidRDefault="001A0B28" w:rsidP="00D0148A">
            <w:pPr>
              <w:rPr>
                <w:rFonts w:asciiTheme="minorHAnsi" w:hAnsiTheme="minorHAnsi" w:cstheme="minorHAnsi"/>
              </w:rPr>
            </w:pPr>
            <w:r>
              <w:rPr>
                <w:rFonts w:asciiTheme="minorHAnsi" w:hAnsiTheme="minorHAnsi" w:cstheme="minorHAnsi"/>
              </w:rPr>
              <w:t>Board Secretary and Chief Executive Business Manager</w:t>
            </w:r>
          </w:p>
        </w:tc>
      </w:tr>
      <w:tr w:rsidR="00151DBF" w:rsidRPr="00C90060" w:rsidTr="00FB054B">
        <w:tc>
          <w:tcPr>
            <w:tcW w:w="2628" w:type="dxa"/>
          </w:tcPr>
          <w:p w:rsidR="00151DBF" w:rsidRPr="00C90060" w:rsidRDefault="00151DBF" w:rsidP="00D0148A">
            <w:pPr>
              <w:rPr>
                <w:rFonts w:asciiTheme="minorHAnsi" w:hAnsiTheme="minorHAnsi" w:cstheme="minorHAnsi"/>
                <w:b/>
              </w:rPr>
            </w:pPr>
            <w:r w:rsidRPr="00C90060">
              <w:rPr>
                <w:rFonts w:asciiTheme="minorHAnsi" w:hAnsiTheme="minorHAnsi" w:cstheme="minorHAnsi"/>
                <w:b/>
              </w:rPr>
              <w:t>Date:</w:t>
            </w:r>
          </w:p>
        </w:tc>
        <w:tc>
          <w:tcPr>
            <w:tcW w:w="6320" w:type="dxa"/>
          </w:tcPr>
          <w:p w:rsidR="00151DBF" w:rsidRPr="00C90060" w:rsidRDefault="002037EB" w:rsidP="00D0148A">
            <w:pPr>
              <w:rPr>
                <w:rFonts w:asciiTheme="minorHAnsi" w:hAnsiTheme="minorHAnsi" w:cstheme="minorHAnsi"/>
              </w:rPr>
            </w:pPr>
            <w:r>
              <w:rPr>
                <w:rFonts w:asciiTheme="minorHAnsi" w:hAnsiTheme="minorHAnsi" w:cstheme="minorHAnsi"/>
              </w:rPr>
              <w:t>08/04</w:t>
            </w:r>
            <w:r w:rsidR="001A0B28">
              <w:rPr>
                <w:rFonts w:asciiTheme="minorHAnsi" w:hAnsiTheme="minorHAnsi" w:cstheme="minorHAnsi"/>
              </w:rPr>
              <w:t>/2015</w:t>
            </w:r>
          </w:p>
        </w:tc>
      </w:tr>
    </w:tbl>
    <w:p w:rsidR="00AB25CA" w:rsidRDefault="00AB25CA" w:rsidP="001A0B28">
      <w:pPr>
        <w:tabs>
          <w:tab w:val="left" w:pos="1980"/>
        </w:tabs>
        <w:spacing w:after="0" w:line="240" w:lineRule="auto"/>
        <w:jc w:val="center"/>
        <w:rPr>
          <w:rFonts w:asciiTheme="minorHAnsi" w:hAnsiTheme="minorHAnsi" w:cstheme="minorHAnsi"/>
          <w:b/>
        </w:rPr>
      </w:pPr>
      <w:r>
        <w:rPr>
          <w:rFonts w:asciiTheme="minorHAnsi" w:hAnsiTheme="minorHAnsi" w:cstheme="minorHAnsi"/>
          <w:b/>
        </w:rPr>
        <w:br w:type="page"/>
      </w:r>
    </w:p>
    <w:p w:rsidR="001A0B28" w:rsidRPr="005A5B35" w:rsidRDefault="001A0B28" w:rsidP="005A5B35">
      <w:pPr>
        <w:tabs>
          <w:tab w:val="left" w:pos="1980"/>
        </w:tabs>
        <w:spacing w:after="0" w:line="360" w:lineRule="auto"/>
        <w:jc w:val="center"/>
        <w:rPr>
          <w:rFonts w:asciiTheme="minorHAnsi" w:hAnsiTheme="minorHAnsi" w:cstheme="minorHAnsi"/>
          <w:b/>
          <w:sz w:val="28"/>
        </w:rPr>
      </w:pPr>
      <w:r w:rsidRPr="005A5B35">
        <w:rPr>
          <w:rFonts w:asciiTheme="minorHAnsi" w:hAnsiTheme="minorHAnsi" w:cstheme="minorHAnsi"/>
          <w:b/>
          <w:sz w:val="28"/>
        </w:rPr>
        <w:lastRenderedPageBreak/>
        <w:t>Non-Executive Director Portfolios</w:t>
      </w:r>
    </w:p>
    <w:p w:rsidR="001A0B28" w:rsidRDefault="001A0B28" w:rsidP="005A5B35">
      <w:pPr>
        <w:tabs>
          <w:tab w:val="left" w:pos="1980"/>
        </w:tabs>
        <w:spacing w:after="0" w:line="360" w:lineRule="auto"/>
        <w:jc w:val="center"/>
        <w:rPr>
          <w:rFonts w:asciiTheme="minorHAnsi" w:hAnsiTheme="minorHAnsi" w:cstheme="minorHAnsi"/>
          <w:b/>
        </w:rPr>
      </w:pPr>
    </w:p>
    <w:p w:rsidR="00AB25CA" w:rsidRDefault="001A0B28" w:rsidP="005A5B35">
      <w:pPr>
        <w:tabs>
          <w:tab w:val="left" w:pos="1980"/>
        </w:tabs>
        <w:spacing w:after="0" w:line="360" w:lineRule="auto"/>
        <w:rPr>
          <w:rFonts w:asciiTheme="minorHAnsi" w:hAnsiTheme="minorHAnsi" w:cstheme="minorHAnsi"/>
        </w:rPr>
      </w:pPr>
      <w:r>
        <w:rPr>
          <w:rFonts w:asciiTheme="minorHAnsi" w:hAnsiTheme="minorHAnsi" w:cstheme="minorHAnsi"/>
        </w:rPr>
        <w:t>The Board agreed to</w:t>
      </w:r>
      <w:r w:rsidR="00AB25CA">
        <w:rPr>
          <w:rFonts w:asciiTheme="minorHAnsi" w:hAnsiTheme="minorHAnsi" w:cstheme="minorHAnsi"/>
        </w:rPr>
        <w:t xml:space="preserve"> identify and develop</w:t>
      </w:r>
      <w:r>
        <w:rPr>
          <w:rFonts w:asciiTheme="minorHAnsi" w:hAnsiTheme="minorHAnsi" w:cstheme="minorHAnsi"/>
        </w:rPr>
        <w:t xml:space="preserve"> portfolios </w:t>
      </w:r>
      <w:r w:rsidR="00AB25CA">
        <w:rPr>
          <w:rFonts w:asciiTheme="minorHAnsi" w:hAnsiTheme="minorHAnsi" w:cstheme="minorHAnsi"/>
        </w:rPr>
        <w:t xml:space="preserve">for its NEDs </w:t>
      </w:r>
      <w:r>
        <w:rPr>
          <w:rFonts w:asciiTheme="minorHAnsi" w:hAnsiTheme="minorHAnsi" w:cstheme="minorHAnsi"/>
        </w:rPr>
        <w:t>at the seminar on 2</w:t>
      </w:r>
      <w:r w:rsidRPr="001A0B28">
        <w:rPr>
          <w:rFonts w:asciiTheme="minorHAnsi" w:hAnsiTheme="minorHAnsi" w:cstheme="minorHAnsi"/>
          <w:vertAlign w:val="superscript"/>
        </w:rPr>
        <w:t>nd</w:t>
      </w:r>
      <w:r w:rsidR="00A50900">
        <w:rPr>
          <w:rFonts w:asciiTheme="minorHAnsi" w:hAnsiTheme="minorHAnsi" w:cstheme="minorHAnsi"/>
        </w:rPr>
        <w:t xml:space="preserve"> February 2015. </w:t>
      </w:r>
      <w:r w:rsidR="00AB25CA">
        <w:rPr>
          <w:rFonts w:asciiTheme="minorHAnsi" w:hAnsiTheme="minorHAnsi" w:cstheme="minorHAnsi"/>
        </w:rPr>
        <w:t>This involves the allocation of key areas of business to each NED to consider in detail. The NED would work closely with the relevant member of the Executive Management Team to understand the issues and offer relevant support as required.</w:t>
      </w:r>
      <w:r w:rsidR="005A5B35">
        <w:rPr>
          <w:rFonts w:asciiTheme="minorHAnsi" w:hAnsiTheme="minorHAnsi" w:cstheme="minorHAnsi"/>
        </w:rPr>
        <w:t xml:space="preserve"> This will allow NEDs a deeper knowledge and see ‘in action’ issues which are likely to come to the Board for a significant decision in the medium term. </w:t>
      </w:r>
    </w:p>
    <w:p w:rsidR="00AB25CA" w:rsidRDefault="00AB25CA" w:rsidP="005A5B35">
      <w:pPr>
        <w:tabs>
          <w:tab w:val="left" w:pos="1980"/>
        </w:tabs>
        <w:spacing w:after="0" w:line="360" w:lineRule="auto"/>
        <w:rPr>
          <w:rFonts w:asciiTheme="minorHAnsi" w:hAnsiTheme="minorHAnsi" w:cstheme="minorHAnsi"/>
        </w:rPr>
      </w:pPr>
    </w:p>
    <w:p w:rsidR="00A50900" w:rsidRDefault="00AB25CA" w:rsidP="005A5B35">
      <w:pPr>
        <w:tabs>
          <w:tab w:val="left" w:pos="1980"/>
        </w:tabs>
        <w:spacing w:after="0" w:line="360" w:lineRule="auto"/>
        <w:rPr>
          <w:rFonts w:asciiTheme="minorHAnsi" w:hAnsiTheme="minorHAnsi" w:cstheme="minorHAnsi"/>
        </w:rPr>
      </w:pPr>
      <w:r>
        <w:rPr>
          <w:rFonts w:asciiTheme="minorHAnsi" w:hAnsiTheme="minorHAnsi" w:cstheme="minorHAnsi"/>
        </w:rPr>
        <w:t xml:space="preserve">A list of the key areas </w:t>
      </w:r>
      <w:r w:rsidR="00A50900">
        <w:rPr>
          <w:rFonts w:asciiTheme="minorHAnsi" w:hAnsiTheme="minorHAnsi" w:cstheme="minorHAnsi"/>
        </w:rPr>
        <w:t xml:space="preserve">each Director </w:t>
      </w:r>
      <w:r>
        <w:rPr>
          <w:rFonts w:asciiTheme="minorHAnsi" w:hAnsiTheme="minorHAnsi" w:cstheme="minorHAnsi"/>
        </w:rPr>
        <w:t xml:space="preserve">is responsible for </w:t>
      </w:r>
      <w:r w:rsidR="00A50900">
        <w:rPr>
          <w:rFonts w:asciiTheme="minorHAnsi" w:hAnsiTheme="minorHAnsi" w:cstheme="minorHAnsi"/>
        </w:rPr>
        <w:t>is</w:t>
      </w:r>
      <w:r>
        <w:rPr>
          <w:rFonts w:asciiTheme="minorHAnsi" w:hAnsiTheme="minorHAnsi" w:cstheme="minorHAnsi"/>
        </w:rPr>
        <w:t xml:space="preserve"> detailed below. </w:t>
      </w:r>
      <w:r w:rsidR="00A50900">
        <w:rPr>
          <w:rFonts w:asciiTheme="minorHAnsi" w:hAnsiTheme="minorHAnsi" w:cstheme="minorHAnsi"/>
        </w:rPr>
        <w:t xml:space="preserve">Whilst the Board will have a developing understanding of the areas highlighted below, it is recommended that the assigned </w:t>
      </w:r>
      <w:r w:rsidR="00A50900" w:rsidRPr="00E15D35">
        <w:rPr>
          <w:rFonts w:asciiTheme="minorHAnsi" w:hAnsiTheme="minorHAnsi" w:cstheme="minorHAnsi"/>
        </w:rPr>
        <w:t>portfolios focus on areas of business which</w:t>
      </w:r>
      <w:r w:rsidR="00E15D35" w:rsidRPr="00E15D35">
        <w:rPr>
          <w:rFonts w:asciiTheme="minorHAnsi" w:hAnsiTheme="minorHAnsi" w:cstheme="minorHAnsi"/>
        </w:rPr>
        <w:t xml:space="preserve"> may require</w:t>
      </w:r>
      <w:r w:rsidR="00A50900" w:rsidRPr="00E15D35">
        <w:rPr>
          <w:rFonts w:asciiTheme="minorHAnsi" w:hAnsiTheme="minorHAnsi" w:cstheme="minorHAnsi"/>
        </w:rPr>
        <w:t xml:space="preserve"> strategic level thinking by the Board in the near future</w:t>
      </w:r>
      <w:r w:rsidR="00E15D35" w:rsidRPr="00E15D35">
        <w:rPr>
          <w:rFonts w:asciiTheme="minorHAnsi" w:hAnsiTheme="minorHAnsi" w:cstheme="minorHAnsi"/>
        </w:rPr>
        <w:t xml:space="preserve">, </w:t>
      </w:r>
      <w:r w:rsidR="00E15D35">
        <w:rPr>
          <w:rFonts w:asciiTheme="minorHAnsi" w:hAnsiTheme="minorHAnsi" w:cstheme="minorHAnsi"/>
        </w:rPr>
        <w:t>a</w:t>
      </w:r>
      <w:r w:rsidR="00A50900" w:rsidRPr="00E15D35">
        <w:rPr>
          <w:rFonts w:asciiTheme="minorHAnsi" w:hAnsiTheme="minorHAnsi" w:cstheme="minorHAnsi"/>
        </w:rPr>
        <w:t>re a new service or program o</w:t>
      </w:r>
      <w:r w:rsidR="00E15D35" w:rsidRPr="00E15D35">
        <w:rPr>
          <w:rFonts w:asciiTheme="minorHAnsi" w:hAnsiTheme="minorHAnsi" w:cstheme="minorHAnsi"/>
        </w:rPr>
        <w:t>f key importance to the development of the organisation</w:t>
      </w:r>
      <w:r w:rsidR="00E15D35">
        <w:rPr>
          <w:rFonts w:asciiTheme="minorHAnsi" w:hAnsiTheme="minorHAnsi" w:cstheme="minorHAnsi"/>
        </w:rPr>
        <w:t xml:space="preserve"> or could have an impact on the culture of the HRA.</w:t>
      </w:r>
    </w:p>
    <w:p w:rsidR="00C91B82" w:rsidRDefault="00C91B82" w:rsidP="005A5B35">
      <w:pPr>
        <w:tabs>
          <w:tab w:val="left" w:pos="1980"/>
        </w:tabs>
        <w:spacing w:after="0" w:line="360" w:lineRule="auto"/>
        <w:rPr>
          <w:rFonts w:asciiTheme="minorHAnsi" w:hAnsiTheme="minorHAnsi" w:cstheme="minorHAnsi"/>
        </w:rPr>
      </w:pPr>
    </w:p>
    <w:p w:rsidR="00E15D35" w:rsidRDefault="00C91B82" w:rsidP="005A5B35">
      <w:pPr>
        <w:tabs>
          <w:tab w:val="left" w:pos="1980"/>
        </w:tabs>
        <w:spacing w:after="0" w:line="360" w:lineRule="auto"/>
        <w:rPr>
          <w:rFonts w:asciiTheme="minorHAnsi" w:hAnsiTheme="minorHAnsi" w:cstheme="minorHAnsi"/>
        </w:rPr>
      </w:pPr>
      <w:r>
        <w:rPr>
          <w:rFonts w:asciiTheme="minorHAnsi" w:hAnsiTheme="minorHAnsi" w:cstheme="minorHAnsi"/>
        </w:rPr>
        <w:t xml:space="preserve">Each member of EMT has made one or two recommendations of the key areas which they believe would most benefit the organisation and be of relevance to each NED. The Board is asked to consider these recommendations, but also the other areas of business for each Director, and agree which topics should be assigned to the portfolios and also to which NED </w:t>
      </w:r>
      <w:r w:rsidR="000F3845">
        <w:rPr>
          <w:rFonts w:asciiTheme="minorHAnsi" w:hAnsiTheme="minorHAnsi" w:cstheme="minorHAnsi"/>
        </w:rPr>
        <w:t xml:space="preserve">depending on expertise and understanding of the challenges faced. </w:t>
      </w:r>
    </w:p>
    <w:p w:rsidR="00E15D35" w:rsidRDefault="00E15D35" w:rsidP="005A5B35">
      <w:pPr>
        <w:tabs>
          <w:tab w:val="left" w:pos="1980"/>
        </w:tabs>
        <w:spacing w:after="0" w:line="360" w:lineRule="auto"/>
        <w:rPr>
          <w:rFonts w:asciiTheme="minorHAnsi" w:hAnsiTheme="minorHAnsi" w:cstheme="minorHAnsi"/>
        </w:rPr>
      </w:pPr>
    </w:p>
    <w:p w:rsidR="005A5B35" w:rsidRPr="005A5B35" w:rsidRDefault="005A5B35" w:rsidP="005A5B35">
      <w:pPr>
        <w:tabs>
          <w:tab w:val="left" w:pos="1980"/>
        </w:tabs>
        <w:spacing w:after="0" w:line="360" w:lineRule="auto"/>
        <w:rPr>
          <w:rFonts w:asciiTheme="minorHAnsi" w:hAnsiTheme="minorHAnsi" w:cstheme="minorHAnsi"/>
          <w:b/>
          <w:sz w:val="28"/>
          <w:u w:val="single"/>
        </w:rPr>
      </w:pPr>
      <w:r w:rsidRPr="005A5B35">
        <w:rPr>
          <w:rFonts w:asciiTheme="minorHAnsi" w:hAnsiTheme="minorHAnsi" w:cstheme="minorHAnsi"/>
          <w:b/>
          <w:sz w:val="28"/>
          <w:u w:val="single"/>
        </w:rPr>
        <w:t>Finance – Debbie Corrigan</w:t>
      </w:r>
    </w:p>
    <w:tbl>
      <w:tblPr>
        <w:tblStyle w:val="TableGrid"/>
        <w:tblW w:w="0" w:type="auto"/>
        <w:tblLook w:val="04A0" w:firstRow="1" w:lastRow="0" w:firstColumn="1" w:lastColumn="0" w:noHBand="0" w:noVBand="1"/>
      </w:tblPr>
      <w:tblGrid>
        <w:gridCol w:w="4644"/>
        <w:gridCol w:w="4644"/>
      </w:tblGrid>
      <w:tr w:rsidR="00E15D35" w:rsidTr="00E15D35">
        <w:tc>
          <w:tcPr>
            <w:tcW w:w="4644" w:type="dxa"/>
          </w:tcPr>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Financial governance Incl. Standing Financial Instructions and scheme of financial delegations</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Financial management information</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Financial accounts and statutory annual accounts</w:t>
            </w:r>
          </w:p>
          <w:p w:rsid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Budget setting and monitoring</w:t>
            </w:r>
          </w:p>
          <w:p w:rsidR="00E15D35" w:rsidRPr="00E15D35" w:rsidRDefault="00E15D35" w:rsidP="005A5B35">
            <w:pPr>
              <w:textAlignment w:val="baseline"/>
              <w:rPr>
                <w:rFonts w:eastAsia="Times New Roman"/>
                <w:lang w:eastAsia="en-GB"/>
              </w:rPr>
            </w:pPr>
          </w:p>
        </w:tc>
        <w:tc>
          <w:tcPr>
            <w:tcW w:w="4644" w:type="dxa"/>
          </w:tcPr>
          <w:p w:rsid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 xml:space="preserve">Payroll </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Capital planning</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Internal audit</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Estates</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Counter Fraud</w:t>
            </w:r>
          </w:p>
          <w:p w:rsidR="00E15D35" w:rsidRPr="00E15D35" w:rsidRDefault="00E15D35" w:rsidP="005A5B35">
            <w:pPr>
              <w:pStyle w:val="ListParagraph"/>
              <w:numPr>
                <w:ilvl w:val="0"/>
                <w:numId w:val="46"/>
              </w:numPr>
            </w:pPr>
            <w:r w:rsidRPr="00E15D35">
              <w:rPr>
                <w:rFonts w:eastAsia="Times New Roman"/>
                <w:lang w:eastAsia="en-GB"/>
              </w:rPr>
              <w:t>Procurement</w:t>
            </w:r>
          </w:p>
        </w:tc>
      </w:tr>
    </w:tbl>
    <w:p w:rsidR="005A5B35" w:rsidRDefault="005A5B35" w:rsidP="005A5B35">
      <w:pPr>
        <w:tabs>
          <w:tab w:val="left" w:pos="1980"/>
        </w:tabs>
        <w:spacing w:after="0" w:line="360" w:lineRule="auto"/>
        <w:rPr>
          <w:rFonts w:asciiTheme="minorHAnsi" w:hAnsiTheme="minorHAnsi" w:cstheme="minorHAnsi"/>
          <w:u w:val="single"/>
        </w:rPr>
      </w:pPr>
    </w:p>
    <w:p w:rsidR="004E2905" w:rsidRPr="005A5B35" w:rsidRDefault="004E2905" w:rsidP="005A5B35">
      <w:pPr>
        <w:tabs>
          <w:tab w:val="left" w:pos="1980"/>
        </w:tabs>
        <w:spacing w:after="0" w:line="360" w:lineRule="auto"/>
        <w:rPr>
          <w:rFonts w:asciiTheme="minorHAnsi" w:hAnsiTheme="minorHAnsi" w:cstheme="minorHAnsi"/>
          <w:u w:val="single"/>
        </w:rPr>
      </w:pPr>
      <w:r w:rsidRPr="005A5B35">
        <w:rPr>
          <w:rFonts w:asciiTheme="minorHAnsi" w:hAnsiTheme="minorHAnsi" w:cstheme="minorHAnsi"/>
          <w:u w:val="single"/>
        </w:rPr>
        <w:t>Recommended area for portfolio</w:t>
      </w:r>
      <w:r w:rsidR="00FC4844" w:rsidRPr="005A5B35">
        <w:rPr>
          <w:rFonts w:asciiTheme="minorHAnsi" w:hAnsiTheme="minorHAnsi" w:cstheme="minorHAnsi"/>
          <w:u w:val="single"/>
        </w:rPr>
        <w:t>:</w:t>
      </w:r>
      <w:r w:rsidRPr="005A5B35">
        <w:rPr>
          <w:rFonts w:asciiTheme="minorHAnsi" w:hAnsiTheme="minorHAnsi" w:cstheme="minorHAnsi"/>
          <w:u w:val="single"/>
        </w:rPr>
        <w:t xml:space="preserve"> </w:t>
      </w:r>
      <w:r w:rsidR="005A5B35" w:rsidRPr="005A5B35">
        <w:rPr>
          <w:rFonts w:asciiTheme="minorHAnsi" w:hAnsiTheme="minorHAnsi" w:cstheme="minorHAnsi"/>
          <w:u w:val="single"/>
        </w:rPr>
        <w:t xml:space="preserve"> </w:t>
      </w:r>
      <w:r w:rsidRPr="005A5B35">
        <w:rPr>
          <w:rFonts w:asciiTheme="minorHAnsi" w:hAnsiTheme="minorHAnsi" w:cstheme="minorHAnsi"/>
          <w:u w:val="single"/>
        </w:rPr>
        <w:t>Estates</w:t>
      </w:r>
    </w:p>
    <w:p w:rsidR="00FC4844" w:rsidRDefault="00FC4844" w:rsidP="005A5B35">
      <w:pPr>
        <w:tabs>
          <w:tab w:val="left" w:pos="1980"/>
        </w:tabs>
        <w:spacing w:after="0" w:line="360" w:lineRule="auto"/>
        <w:rPr>
          <w:rFonts w:asciiTheme="minorHAnsi" w:hAnsiTheme="minorHAnsi" w:cstheme="minorHAnsi"/>
        </w:rPr>
      </w:pPr>
      <w:r>
        <w:rPr>
          <w:rFonts w:asciiTheme="minorHAnsi" w:hAnsiTheme="minorHAnsi" w:cstheme="minorHAnsi"/>
        </w:rPr>
        <w:t xml:space="preserve">The Estates strategy is an important piece of work with a number of high level risks. The estates piece has a strong link with </w:t>
      </w:r>
      <w:r w:rsidR="00E15D35">
        <w:rPr>
          <w:rFonts w:asciiTheme="minorHAnsi" w:hAnsiTheme="minorHAnsi" w:cstheme="minorHAnsi"/>
        </w:rPr>
        <w:t xml:space="preserve">the culture of the organisation </w:t>
      </w:r>
      <w:r w:rsidR="00A235CC">
        <w:rPr>
          <w:rFonts w:asciiTheme="minorHAnsi" w:hAnsiTheme="minorHAnsi" w:cstheme="minorHAnsi"/>
        </w:rPr>
        <w:t>and the way the HRA operates</w:t>
      </w:r>
      <w:r w:rsidR="00F177A3">
        <w:rPr>
          <w:rFonts w:asciiTheme="minorHAnsi" w:hAnsiTheme="minorHAnsi" w:cstheme="minorHAnsi"/>
        </w:rPr>
        <w:t xml:space="preserve"> will require strategic consideration in the future.</w:t>
      </w:r>
    </w:p>
    <w:p w:rsidR="00E15D35" w:rsidRDefault="00E15D35" w:rsidP="005A5B35">
      <w:pPr>
        <w:tabs>
          <w:tab w:val="left" w:pos="1980"/>
        </w:tabs>
        <w:spacing w:after="0" w:line="360" w:lineRule="auto"/>
        <w:rPr>
          <w:rFonts w:asciiTheme="minorHAnsi" w:hAnsiTheme="minorHAnsi" w:cstheme="minorHAnsi"/>
        </w:rPr>
      </w:pPr>
    </w:p>
    <w:p w:rsidR="005A5B35" w:rsidRDefault="005A5B35" w:rsidP="005A5B35">
      <w:pPr>
        <w:tabs>
          <w:tab w:val="left" w:pos="1980"/>
        </w:tabs>
        <w:spacing w:after="0" w:line="360" w:lineRule="auto"/>
        <w:rPr>
          <w:rFonts w:asciiTheme="minorHAnsi" w:hAnsiTheme="minorHAnsi" w:cstheme="minorHAnsi"/>
        </w:rPr>
      </w:pPr>
    </w:p>
    <w:p w:rsidR="005A5B35" w:rsidRDefault="005A5B35" w:rsidP="005A5B35">
      <w:pPr>
        <w:tabs>
          <w:tab w:val="left" w:pos="1980"/>
        </w:tabs>
        <w:spacing w:after="0" w:line="360" w:lineRule="auto"/>
        <w:rPr>
          <w:rFonts w:asciiTheme="minorHAnsi" w:hAnsiTheme="minorHAnsi" w:cstheme="minorHAnsi"/>
        </w:rPr>
      </w:pPr>
    </w:p>
    <w:p w:rsidR="004E2905" w:rsidRPr="005A5B35" w:rsidRDefault="005A5B35" w:rsidP="005A5B35">
      <w:pPr>
        <w:tabs>
          <w:tab w:val="left" w:pos="1980"/>
        </w:tabs>
        <w:spacing w:after="0" w:line="360" w:lineRule="auto"/>
        <w:rPr>
          <w:rFonts w:asciiTheme="minorHAnsi" w:hAnsiTheme="minorHAnsi" w:cstheme="minorHAnsi"/>
          <w:b/>
          <w:sz w:val="28"/>
          <w:u w:val="single"/>
        </w:rPr>
      </w:pPr>
      <w:r w:rsidRPr="005A5B35">
        <w:rPr>
          <w:rFonts w:asciiTheme="minorHAnsi" w:hAnsiTheme="minorHAnsi" w:cstheme="minorHAnsi"/>
          <w:b/>
          <w:sz w:val="28"/>
          <w:u w:val="single"/>
        </w:rPr>
        <w:lastRenderedPageBreak/>
        <w:t>Operations and Approval – Joan Kirkbride</w:t>
      </w:r>
    </w:p>
    <w:tbl>
      <w:tblPr>
        <w:tblStyle w:val="TableGrid"/>
        <w:tblW w:w="0" w:type="auto"/>
        <w:tblLook w:val="04A0" w:firstRow="1" w:lastRow="0" w:firstColumn="1" w:lastColumn="0" w:noHBand="0" w:noVBand="1"/>
      </w:tblPr>
      <w:tblGrid>
        <w:gridCol w:w="4644"/>
        <w:gridCol w:w="4644"/>
      </w:tblGrid>
      <w:tr w:rsidR="004E0A19" w:rsidTr="002B7A3D">
        <w:tc>
          <w:tcPr>
            <w:tcW w:w="4644" w:type="dxa"/>
          </w:tcPr>
          <w:p w:rsidR="004E0A19" w:rsidRPr="00E15D35" w:rsidRDefault="004E0A19" w:rsidP="005A5B35">
            <w:pPr>
              <w:pStyle w:val="ListParagraph"/>
              <w:numPr>
                <w:ilvl w:val="0"/>
                <w:numId w:val="46"/>
              </w:numPr>
              <w:textAlignment w:val="baseline"/>
              <w:rPr>
                <w:rFonts w:eastAsia="Times New Roman"/>
                <w:lang w:eastAsia="en-GB"/>
              </w:rPr>
            </w:pPr>
            <w:r w:rsidRPr="00E15D35">
              <w:rPr>
                <w:rFonts w:eastAsia="Times New Roman"/>
                <w:lang w:eastAsia="en-GB"/>
              </w:rPr>
              <w:t xml:space="preserve">Research Ethics Committees (REC) </w:t>
            </w:r>
          </w:p>
          <w:p w:rsidR="004E0A19" w:rsidRPr="00E15D35" w:rsidRDefault="004E0A19" w:rsidP="005A5B35">
            <w:pPr>
              <w:pStyle w:val="ListParagraph"/>
              <w:numPr>
                <w:ilvl w:val="0"/>
                <w:numId w:val="46"/>
              </w:numPr>
              <w:textAlignment w:val="baseline"/>
              <w:rPr>
                <w:rFonts w:eastAsia="Times New Roman"/>
                <w:lang w:eastAsia="en-GB"/>
              </w:rPr>
            </w:pPr>
            <w:r w:rsidRPr="00E15D35">
              <w:rPr>
                <w:rFonts w:eastAsia="Times New Roman"/>
                <w:lang w:eastAsia="en-GB"/>
              </w:rPr>
              <w:t>REC: Improvement &amp; Quality</w:t>
            </w:r>
            <w:r>
              <w:rPr>
                <w:rFonts w:eastAsia="Times New Roman"/>
                <w:lang w:eastAsia="en-GB"/>
              </w:rPr>
              <w:t xml:space="preserve"> Assurance and Control</w:t>
            </w:r>
          </w:p>
          <w:p w:rsidR="004E0A19" w:rsidRPr="00E15D35" w:rsidRDefault="004E0A19" w:rsidP="005A5B35">
            <w:pPr>
              <w:pStyle w:val="ListParagraph"/>
              <w:numPr>
                <w:ilvl w:val="0"/>
                <w:numId w:val="46"/>
              </w:numPr>
              <w:textAlignment w:val="baseline"/>
              <w:rPr>
                <w:rFonts w:eastAsia="Times New Roman"/>
                <w:lang w:eastAsia="en-GB"/>
              </w:rPr>
            </w:pPr>
            <w:r w:rsidRPr="00E15D35">
              <w:rPr>
                <w:rFonts w:eastAsia="Times New Roman"/>
                <w:lang w:eastAsia="en-GB"/>
              </w:rPr>
              <w:t>REC Standing Operating Procedures</w:t>
            </w:r>
          </w:p>
          <w:p w:rsidR="004E0A19" w:rsidRPr="00E15D35" w:rsidRDefault="004E0A19" w:rsidP="005A5B35">
            <w:pPr>
              <w:pStyle w:val="ListParagraph"/>
              <w:numPr>
                <w:ilvl w:val="0"/>
                <w:numId w:val="46"/>
              </w:numPr>
              <w:textAlignment w:val="baseline"/>
            </w:pPr>
            <w:r w:rsidRPr="00E15D35">
              <w:rPr>
                <w:rFonts w:eastAsia="Times New Roman"/>
                <w:lang w:eastAsia="en-GB"/>
              </w:rPr>
              <w:t>The Over Volunteering Protection System (TOPs) management</w:t>
            </w:r>
          </w:p>
          <w:p w:rsidR="004E0A19" w:rsidRPr="00E15D35" w:rsidRDefault="004E0A19" w:rsidP="005A5B35">
            <w:pPr>
              <w:textAlignment w:val="baseline"/>
            </w:pPr>
          </w:p>
        </w:tc>
        <w:tc>
          <w:tcPr>
            <w:tcW w:w="4644" w:type="dxa"/>
          </w:tcPr>
          <w:p w:rsidR="004E0A19" w:rsidRPr="00E15D35" w:rsidRDefault="004E0A19" w:rsidP="005A5B35">
            <w:pPr>
              <w:pStyle w:val="ListParagraph"/>
              <w:numPr>
                <w:ilvl w:val="0"/>
                <w:numId w:val="46"/>
              </w:numPr>
              <w:textAlignment w:val="baseline"/>
              <w:rPr>
                <w:rFonts w:eastAsia="Times New Roman"/>
                <w:lang w:eastAsia="en-GB"/>
              </w:rPr>
            </w:pPr>
            <w:r>
              <w:rPr>
                <w:rFonts w:eastAsia="Times New Roman"/>
                <w:lang w:eastAsia="en-GB"/>
              </w:rPr>
              <w:t xml:space="preserve">Confidentiality Advisory Group </w:t>
            </w:r>
            <w:r w:rsidRPr="00E15D35">
              <w:rPr>
                <w:rFonts w:eastAsia="Times New Roman"/>
                <w:lang w:eastAsia="en-GB"/>
              </w:rPr>
              <w:t xml:space="preserve">including Confidentiality Advice </w:t>
            </w:r>
            <w:r>
              <w:rPr>
                <w:rFonts w:eastAsia="Times New Roman"/>
                <w:lang w:eastAsia="en-GB"/>
              </w:rPr>
              <w:t>Team</w:t>
            </w:r>
            <w:r w:rsidRPr="00E15D35">
              <w:rPr>
                <w:rFonts w:eastAsia="Times New Roman"/>
                <w:lang w:eastAsia="en-GB"/>
              </w:rPr>
              <w:t xml:space="preserve"> (CA</w:t>
            </w:r>
            <w:r>
              <w:rPr>
                <w:rFonts w:eastAsia="Times New Roman"/>
                <w:lang w:eastAsia="en-GB"/>
              </w:rPr>
              <w:t>T</w:t>
            </w:r>
            <w:r w:rsidRPr="00E15D35">
              <w:rPr>
                <w:rFonts w:eastAsia="Times New Roman"/>
                <w:lang w:eastAsia="en-GB"/>
              </w:rPr>
              <w:t>) support</w:t>
            </w:r>
          </w:p>
          <w:p w:rsidR="004E0A19" w:rsidRPr="00E15D35" w:rsidRDefault="004E0A19" w:rsidP="005A5B35">
            <w:pPr>
              <w:pStyle w:val="ListParagraph"/>
              <w:numPr>
                <w:ilvl w:val="0"/>
                <w:numId w:val="46"/>
              </w:numPr>
              <w:textAlignment w:val="baseline"/>
              <w:rPr>
                <w:rFonts w:eastAsia="Times New Roman"/>
                <w:lang w:eastAsia="en-GB"/>
              </w:rPr>
            </w:pPr>
            <w:r w:rsidRPr="00E15D35">
              <w:rPr>
                <w:rFonts w:eastAsia="Times New Roman"/>
                <w:lang w:eastAsia="en-GB"/>
              </w:rPr>
              <w:t>CAG: Improvement &amp; Quality</w:t>
            </w:r>
          </w:p>
          <w:p w:rsidR="004E0A19" w:rsidRPr="00E15D35" w:rsidRDefault="004E0A19" w:rsidP="005A5B35">
            <w:pPr>
              <w:pStyle w:val="ListParagraph"/>
              <w:numPr>
                <w:ilvl w:val="0"/>
                <w:numId w:val="46"/>
              </w:numPr>
              <w:textAlignment w:val="baseline"/>
              <w:rPr>
                <w:rFonts w:eastAsia="Times New Roman"/>
                <w:lang w:eastAsia="en-GB"/>
              </w:rPr>
            </w:pPr>
            <w:r w:rsidRPr="00E15D35">
              <w:rPr>
                <w:rFonts w:eastAsia="Times New Roman"/>
                <w:lang w:eastAsia="en-GB"/>
              </w:rPr>
              <w:t>CAG Standing Operating Procedures</w:t>
            </w:r>
          </w:p>
          <w:p w:rsidR="004E0A19" w:rsidRPr="00E15D35" w:rsidRDefault="004E0A19" w:rsidP="005A5B35"/>
        </w:tc>
      </w:tr>
    </w:tbl>
    <w:p w:rsidR="00E15D35" w:rsidRDefault="00E15D35" w:rsidP="005A5B35">
      <w:pPr>
        <w:tabs>
          <w:tab w:val="left" w:pos="1980"/>
        </w:tabs>
        <w:spacing w:after="0" w:line="360" w:lineRule="auto"/>
        <w:rPr>
          <w:rFonts w:asciiTheme="minorHAnsi" w:hAnsiTheme="minorHAnsi" w:cstheme="minorHAnsi"/>
        </w:rPr>
      </w:pPr>
    </w:p>
    <w:p w:rsidR="004E2905" w:rsidRPr="005A5B35" w:rsidRDefault="004E2905" w:rsidP="005A5B35">
      <w:pPr>
        <w:tabs>
          <w:tab w:val="left" w:pos="1980"/>
        </w:tabs>
        <w:spacing w:after="0" w:line="360" w:lineRule="auto"/>
        <w:rPr>
          <w:rFonts w:asciiTheme="minorHAnsi" w:hAnsiTheme="minorHAnsi" w:cstheme="minorHAnsi"/>
          <w:u w:val="single"/>
        </w:rPr>
      </w:pPr>
      <w:r w:rsidRPr="005A5B35">
        <w:rPr>
          <w:rFonts w:asciiTheme="minorHAnsi" w:hAnsiTheme="minorHAnsi" w:cstheme="minorHAnsi"/>
          <w:u w:val="single"/>
        </w:rPr>
        <w:t>Recommended area for</w:t>
      </w:r>
      <w:r w:rsidR="00FC4844" w:rsidRPr="005A5B35">
        <w:rPr>
          <w:rFonts w:asciiTheme="minorHAnsi" w:hAnsiTheme="minorHAnsi" w:cstheme="minorHAnsi"/>
          <w:u w:val="single"/>
        </w:rPr>
        <w:t xml:space="preserve"> NED</w:t>
      </w:r>
      <w:r w:rsidRPr="005A5B35">
        <w:rPr>
          <w:rFonts w:asciiTheme="minorHAnsi" w:hAnsiTheme="minorHAnsi" w:cstheme="minorHAnsi"/>
          <w:u w:val="single"/>
        </w:rPr>
        <w:t xml:space="preserve"> portfolio</w:t>
      </w:r>
      <w:r w:rsidR="00FC4844" w:rsidRPr="005A5B35">
        <w:rPr>
          <w:rFonts w:asciiTheme="minorHAnsi" w:hAnsiTheme="minorHAnsi" w:cstheme="minorHAnsi"/>
          <w:u w:val="single"/>
        </w:rPr>
        <w:t>:</w:t>
      </w:r>
      <w:r w:rsidRPr="005A5B35">
        <w:rPr>
          <w:rFonts w:asciiTheme="minorHAnsi" w:hAnsiTheme="minorHAnsi" w:cstheme="minorHAnsi"/>
          <w:u w:val="single"/>
        </w:rPr>
        <w:t xml:space="preserve"> </w:t>
      </w:r>
      <w:r w:rsidR="00874CD2" w:rsidRPr="005A5B35">
        <w:rPr>
          <w:rFonts w:asciiTheme="minorHAnsi" w:hAnsiTheme="minorHAnsi" w:cstheme="minorHAnsi"/>
          <w:u w:val="single"/>
        </w:rPr>
        <w:t>Consistency of Ethical Review</w:t>
      </w:r>
    </w:p>
    <w:p w:rsidR="009E2990" w:rsidRDefault="00F177A3" w:rsidP="005A5B35">
      <w:pPr>
        <w:tabs>
          <w:tab w:val="left" w:pos="1980"/>
        </w:tabs>
        <w:spacing w:after="0" w:line="360" w:lineRule="auto"/>
        <w:rPr>
          <w:rFonts w:asciiTheme="minorHAnsi" w:hAnsiTheme="minorHAnsi" w:cstheme="minorHAnsi"/>
        </w:rPr>
      </w:pPr>
      <w:r>
        <w:rPr>
          <w:rFonts w:asciiTheme="minorHAnsi" w:hAnsiTheme="minorHAnsi" w:cstheme="minorHAnsi"/>
        </w:rPr>
        <w:t xml:space="preserve">A consideration of the implications surrounding </w:t>
      </w:r>
      <w:r w:rsidR="00227350">
        <w:rPr>
          <w:rFonts w:asciiTheme="minorHAnsi" w:hAnsiTheme="minorHAnsi" w:cstheme="minorHAnsi"/>
        </w:rPr>
        <w:t>the consistency of ethical review</w:t>
      </w:r>
      <w:r>
        <w:rPr>
          <w:rFonts w:asciiTheme="minorHAnsi" w:hAnsiTheme="minorHAnsi" w:cstheme="minorHAnsi"/>
        </w:rPr>
        <w:t xml:space="preserve"> </w:t>
      </w:r>
      <w:r w:rsidR="00227350">
        <w:rPr>
          <w:rFonts w:asciiTheme="minorHAnsi" w:hAnsiTheme="minorHAnsi" w:cstheme="minorHAnsi"/>
        </w:rPr>
        <w:t xml:space="preserve">and the way RECs operate </w:t>
      </w:r>
      <w:r>
        <w:rPr>
          <w:rFonts w:asciiTheme="minorHAnsi" w:hAnsiTheme="minorHAnsi" w:cstheme="minorHAnsi"/>
        </w:rPr>
        <w:t>is</w:t>
      </w:r>
      <w:r w:rsidR="009E2990">
        <w:rPr>
          <w:rFonts w:asciiTheme="minorHAnsi" w:hAnsiTheme="minorHAnsi" w:cstheme="minorHAnsi"/>
        </w:rPr>
        <w:t xml:space="preserve"> an area which the H</w:t>
      </w:r>
      <w:r w:rsidR="00227350">
        <w:rPr>
          <w:rFonts w:asciiTheme="minorHAnsi" w:hAnsiTheme="minorHAnsi" w:cstheme="minorHAnsi"/>
        </w:rPr>
        <w:t xml:space="preserve">RA will likely </w:t>
      </w:r>
      <w:r w:rsidR="000B77AA">
        <w:rPr>
          <w:rFonts w:asciiTheme="minorHAnsi" w:hAnsiTheme="minorHAnsi" w:cstheme="minorHAnsi"/>
        </w:rPr>
        <w:t>assess</w:t>
      </w:r>
      <w:r w:rsidR="00227350">
        <w:rPr>
          <w:rFonts w:asciiTheme="minorHAnsi" w:hAnsiTheme="minorHAnsi" w:cstheme="minorHAnsi"/>
        </w:rPr>
        <w:t xml:space="preserve"> in more detail in the future with important decisions to be made.</w:t>
      </w:r>
    </w:p>
    <w:p w:rsidR="000F3845" w:rsidRDefault="000F3845" w:rsidP="005A5B35">
      <w:pPr>
        <w:tabs>
          <w:tab w:val="left" w:pos="1980"/>
        </w:tabs>
        <w:spacing w:after="0" w:line="360" w:lineRule="auto"/>
        <w:rPr>
          <w:rFonts w:asciiTheme="minorHAnsi" w:hAnsiTheme="minorHAnsi" w:cstheme="minorHAnsi"/>
        </w:rPr>
      </w:pPr>
    </w:p>
    <w:p w:rsidR="005A5B35" w:rsidRPr="005A5B35" w:rsidRDefault="005A5B35" w:rsidP="005A5B35">
      <w:pPr>
        <w:tabs>
          <w:tab w:val="left" w:pos="1980"/>
        </w:tabs>
        <w:spacing w:after="0" w:line="360" w:lineRule="auto"/>
        <w:rPr>
          <w:rFonts w:asciiTheme="minorHAnsi" w:hAnsiTheme="minorHAnsi" w:cstheme="minorHAnsi"/>
          <w:b/>
          <w:sz w:val="28"/>
          <w:u w:val="single"/>
        </w:rPr>
      </w:pPr>
      <w:r w:rsidRPr="005A5B35">
        <w:rPr>
          <w:rFonts w:asciiTheme="minorHAnsi" w:hAnsiTheme="minorHAnsi" w:cstheme="minorHAnsi"/>
          <w:b/>
          <w:sz w:val="28"/>
          <w:u w:val="single"/>
        </w:rPr>
        <w:t>Corporate Services – Ian Cook</w:t>
      </w:r>
    </w:p>
    <w:tbl>
      <w:tblPr>
        <w:tblStyle w:val="TableGrid"/>
        <w:tblW w:w="0" w:type="auto"/>
        <w:tblLook w:val="04A0" w:firstRow="1" w:lastRow="0" w:firstColumn="1" w:lastColumn="0" w:noHBand="0" w:noVBand="1"/>
      </w:tblPr>
      <w:tblGrid>
        <w:gridCol w:w="4644"/>
        <w:gridCol w:w="4644"/>
      </w:tblGrid>
      <w:tr w:rsidR="00E15D35" w:rsidTr="002B7A3D">
        <w:tc>
          <w:tcPr>
            <w:tcW w:w="4644" w:type="dxa"/>
          </w:tcPr>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Human Resources</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Organisational Development</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Training &amp; Development</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Internal communications</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External communications incl. Public Relations</w:t>
            </w:r>
          </w:p>
          <w:p w:rsidR="00E15D35" w:rsidRDefault="00E15D35" w:rsidP="005A5B35">
            <w:pPr>
              <w:textAlignment w:val="baseline"/>
              <w:rPr>
                <w:rFonts w:asciiTheme="minorHAnsi" w:hAnsiTheme="minorHAnsi" w:cstheme="minorHAnsi"/>
              </w:rPr>
            </w:pPr>
          </w:p>
        </w:tc>
        <w:tc>
          <w:tcPr>
            <w:tcW w:w="4644" w:type="dxa"/>
          </w:tcPr>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Information Technology (The Open Service IT Platform, Video Conferencing, Infrastructure)</w:t>
            </w:r>
          </w:p>
          <w:p w:rsidR="00E15D35" w:rsidRPr="00E15D35" w:rsidRDefault="00050BAB" w:rsidP="005A5B35">
            <w:pPr>
              <w:pStyle w:val="ListParagraph"/>
              <w:numPr>
                <w:ilvl w:val="0"/>
                <w:numId w:val="46"/>
              </w:numPr>
              <w:textAlignment w:val="baseline"/>
              <w:rPr>
                <w:rFonts w:eastAsia="Times New Roman"/>
                <w:lang w:eastAsia="en-GB"/>
              </w:rPr>
            </w:pPr>
            <w:r>
              <w:rPr>
                <w:rFonts w:eastAsia="Times New Roman"/>
                <w:lang w:eastAsia="en-GB"/>
              </w:rPr>
              <w:t>Patient and Public</w:t>
            </w:r>
            <w:r w:rsidR="00E15D35" w:rsidRPr="00E15D35">
              <w:rPr>
                <w:rFonts w:eastAsia="Times New Roman"/>
                <w:lang w:eastAsia="en-GB"/>
              </w:rPr>
              <w:t xml:space="preserve"> Involvement</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Business Intelligence</w:t>
            </w:r>
          </w:p>
          <w:p w:rsidR="00E15D35" w:rsidRPr="00E15D35" w:rsidRDefault="00E15D35" w:rsidP="005A5B35">
            <w:pPr>
              <w:pStyle w:val="ListParagraph"/>
              <w:numPr>
                <w:ilvl w:val="0"/>
                <w:numId w:val="46"/>
              </w:numPr>
            </w:pPr>
            <w:r w:rsidRPr="00E15D35">
              <w:rPr>
                <w:rFonts w:eastAsia="Times New Roman"/>
                <w:lang w:eastAsia="en-GB"/>
              </w:rPr>
              <w:t>Programme Office</w:t>
            </w:r>
          </w:p>
        </w:tc>
      </w:tr>
    </w:tbl>
    <w:p w:rsidR="004E2905" w:rsidRPr="00E15D35" w:rsidRDefault="004E2905" w:rsidP="005A5B35">
      <w:pPr>
        <w:tabs>
          <w:tab w:val="left" w:pos="1980"/>
        </w:tabs>
        <w:spacing w:after="0" w:line="360" w:lineRule="auto"/>
        <w:rPr>
          <w:rFonts w:asciiTheme="minorHAnsi" w:hAnsiTheme="minorHAnsi" w:cstheme="minorHAnsi"/>
          <w:b/>
        </w:rPr>
      </w:pPr>
    </w:p>
    <w:p w:rsidR="004E2905" w:rsidRPr="005A5B35" w:rsidRDefault="004E2905" w:rsidP="005A5B35">
      <w:pPr>
        <w:tabs>
          <w:tab w:val="left" w:pos="1980"/>
        </w:tabs>
        <w:spacing w:after="0" w:line="360" w:lineRule="auto"/>
        <w:rPr>
          <w:rFonts w:asciiTheme="minorHAnsi" w:hAnsiTheme="minorHAnsi" w:cstheme="minorHAnsi"/>
          <w:u w:val="single"/>
        </w:rPr>
      </w:pPr>
      <w:r w:rsidRPr="005A5B35">
        <w:rPr>
          <w:rFonts w:asciiTheme="minorHAnsi" w:hAnsiTheme="minorHAnsi" w:cstheme="minorHAnsi"/>
          <w:u w:val="single"/>
        </w:rPr>
        <w:t xml:space="preserve">Recommended area for NED portfolio: </w:t>
      </w:r>
      <w:r w:rsidR="005A5B35" w:rsidRPr="005A5B35">
        <w:rPr>
          <w:rFonts w:asciiTheme="minorHAnsi" w:hAnsiTheme="minorHAnsi" w:cstheme="minorHAnsi"/>
          <w:u w:val="single"/>
        </w:rPr>
        <w:t xml:space="preserve"> </w:t>
      </w:r>
      <w:r w:rsidRPr="005A5B35">
        <w:rPr>
          <w:rFonts w:asciiTheme="minorHAnsi" w:hAnsiTheme="minorHAnsi" w:cstheme="minorHAnsi"/>
          <w:u w:val="single"/>
        </w:rPr>
        <w:t xml:space="preserve">Programme </w:t>
      </w:r>
      <w:r w:rsidR="009E2990" w:rsidRPr="005A5B35">
        <w:rPr>
          <w:rFonts w:asciiTheme="minorHAnsi" w:hAnsiTheme="minorHAnsi" w:cstheme="minorHAnsi"/>
          <w:u w:val="single"/>
        </w:rPr>
        <w:t xml:space="preserve">Management </w:t>
      </w:r>
      <w:r w:rsidRPr="005A5B35">
        <w:rPr>
          <w:rFonts w:asciiTheme="minorHAnsi" w:hAnsiTheme="minorHAnsi" w:cstheme="minorHAnsi"/>
          <w:u w:val="single"/>
        </w:rPr>
        <w:t>Office</w:t>
      </w:r>
      <w:r w:rsidR="00050BAB" w:rsidRPr="005A5B35">
        <w:rPr>
          <w:rFonts w:asciiTheme="minorHAnsi" w:hAnsiTheme="minorHAnsi" w:cstheme="minorHAnsi"/>
          <w:u w:val="single"/>
        </w:rPr>
        <w:t xml:space="preserve"> or Patient and Public Involvement</w:t>
      </w:r>
    </w:p>
    <w:p w:rsidR="009E2990" w:rsidRPr="009E2990" w:rsidRDefault="009E2990" w:rsidP="005A5B35">
      <w:pPr>
        <w:tabs>
          <w:tab w:val="left" w:pos="1980"/>
        </w:tabs>
        <w:spacing w:after="0" w:line="360" w:lineRule="auto"/>
        <w:rPr>
          <w:rFonts w:asciiTheme="minorHAnsi" w:hAnsiTheme="minorHAnsi" w:cstheme="minorHAnsi"/>
        </w:rPr>
      </w:pPr>
      <w:r>
        <w:rPr>
          <w:rFonts w:asciiTheme="minorHAnsi" w:hAnsiTheme="minorHAnsi" w:cstheme="minorHAnsi"/>
        </w:rPr>
        <w:t xml:space="preserve">The Programme Management Office is a relatively new team within the Corporate Services directorate which </w:t>
      </w:r>
      <w:r w:rsidR="000F3845">
        <w:rPr>
          <w:rFonts w:asciiTheme="minorHAnsi" w:hAnsiTheme="minorHAnsi" w:cstheme="minorHAnsi"/>
        </w:rPr>
        <w:t>operates</w:t>
      </w:r>
      <w:r>
        <w:rPr>
          <w:rFonts w:asciiTheme="minorHAnsi" w:hAnsiTheme="minorHAnsi" w:cstheme="minorHAnsi"/>
        </w:rPr>
        <w:t xml:space="preserve"> across all areas of the HRA. Consideration regarding </w:t>
      </w:r>
      <w:r w:rsidR="005A5B35">
        <w:rPr>
          <w:rFonts w:asciiTheme="minorHAnsi" w:hAnsiTheme="minorHAnsi" w:cstheme="minorHAnsi"/>
        </w:rPr>
        <w:t xml:space="preserve">potential future roles of the PMO and </w:t>
      </w:r>
      <w:r>
        <w:rPr>
          <w:rFonts w:asciiTheme="minorHAnsi" w:hAnsiTheme="minorHAnsi" w:cstheme="minorHAnsi"/>
        </w:rPr>
        <w:t>how the PMO can best add value to the HRA will be required.</w:t>
      </w:r>
      <w:r w:rsidR="00050BAB">
        <w:rPr>
          <w:rFonts w:asciiTheme="minorHAnsi" w:hAnsiTheme="minorHAnsi" w:cstheme="minorHAnsi"/>
        </w:rPr>
        <w:t xml:space="preserve"> Alternatively, Patient and Public Involvement is an important area reputationally for the HRA and should also be considered.</w:t>
      </w:r>
    </w:p>
    <w:p w:rsidR="004E2905" w:rsidRPr="005A5B35" w:rsidRDefault="004E2905" w:rsidP="005A5B35">
      <w:pPr>
        <w:tabs>
          <w:tab w:val="left" w:pos="1980"/>
        </w:tabs>
        <w:spacing w:after="0" w:line="360" w:lineRule="auto"/>
        <w:rPr>
          <w:rFonts w:asciiTheme="minorHAnsi" w:hAnsiTheme="minorHAnsi" w:cstheme="minorHAnsi"/>
          <w:sz w:val="28"/>
        </w:rPr>
      </w:pPr>
    </w:p>
    <w:p w:rsidR="005A5B35" w:rsidRPr="005A5B35" w:rsidRDefault="005A5B35" w:rsidP="005A5B35">
      <w:pPr>
        <w:tabs>
          <w:tab w:val="left" w:pos="1980"/>
        </w:tabs>
        <w:spacing w:after="0" w:line="360" w:lineRule="auto"/>
        <w:rPr>
          <w:rFonts w:asciiTheme="minorHAnsi" w:hAnsiTheme="minorHAnsi" w:cstheme="minorHAnsi"/>
          <w:b/>
          <w:sz w:val="28"/>
          <w:u w:val="single"/>
        </w:rPr>
      </w:pPr>
      <w:r w:rsidRPr="005A5B35">
        <w:rPr>
          <w:rFonts w:asciiTheme="minorHAnsi" w:hAnsiTheme="minorHAnsi" w:cstheme="minorHAnsi"/>
          <w:b/>
          <w:sz w:val="28"/>
          <w:u w:val="single"/>
        </w:rPr>
        <w:t>Quality, Standards &amp; Information – Tom Smith</w:t>
      </w:r>
    </w:p>
    <w:tbl>
      <w:tblPr>
        <w:tblStyle w:val="TableGrid"/>
        <w:tblW w:w="0" w:type="auto"/>
        <w:tblLook w:val="04A0" w:firstRow="1" w:lastRow="0" w:firstColumn="1" w:lastColumn="0" w:noHBand="0" w:noVBand="1"/>
      </w:tblPr>
      <w:tblGrid>
        <w:gridCol w:w="4644"/>
        <w:gridCol w:w="4644"/>
      </w:tblGrid>
      <w:tr w:rsidR="00E15D35" w:rsidTr="002B7A3D">
        <w:tc>
          <w:tcPr>
            <w:tcW w:w="4644" w:type="dxa"/>
          </w:tcPr>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Quality assurance</w:t>
            </w:r>
          </w:p>
          <w:p w:rsidR="00050BAB" w:rsidRPr="00E15D35" w:rsidRDefault="00050BAB" w:rsidP="005A5B35">
            <w:pPr>
              <w:pStyle w:val="ListParagraph"/>
              <w:numPr>
                <w:ilvl w:val="0"/>
                <w:numId w:val="46"/>
              </w:numPr>
              <w:textAlignment w:val="baseline"/>
              <w:rPr>
                <w:rFonts w:eastAsia="Times New Roman"/>
                <w:lang w:eastAsia="en-GB"/>
              </w:rPr>
            </w:pPr>
            <w:r w:rsidRPr="00E15D35">
              <w:rPr>
                <w:rFonts w:eastAsia="Times New Roman"/>
                <w:lang w:eastAsia="en-GB"/>
              </w:rPr>
              <w:t>ISO 9001</w:t>
            </w:r>
          </w:p>
          <w:p w:rsidR="00E15D35" w:rsidRPr="00050BAB" w:rsidRDefault="00E15D35" w:rsidP="005A5B35">
            <w:pPr>
              <w:ind w:left="360"/>
              <w:textAlignment w:val="baseline"/>
              <w:rPr>
                <w:rFonts w:eastAsia="Times New Roman"/>
                <w:lang w:eastAsia="en-GB"/>
              </w:rPr>
            </w:pPr>
          </w:p>
        </w:tc>
        <w:tc>
          <w:tcPr>
            <w:tcW w:w="4644" w:type="dxa"/>
          </w:tcPr>
          <w:p w:rsidR="00050BAB" w:rsidRPr="00E15D35" w:rsidRDefault="00050BAB" w:rsidP="005A5B35">
            <w:pPr>
              <w:pStyle w:val="ListParagraph"/>
              <w:numPr>
                <w:ilvl w:val="0"/>
                <w:numId w:val="46"/>
              </w:numPr>
              <w:textAlignment w:val="baseline"/>
              <w:rPr>
                <w:rFonts w:eastAsia="Times New Roman"/>
                <w:lang w:eastAsia="en-GB"/>
              </w:rPr>
            </w:pPr>
            <w:r w:rsidRPr="00E15D35">
              <w:rPr>
                <w:rFonts w:eastAsia="Times New Roman"/>
                <w:lang w:eastAsia="en-GB"/>
              </w:rPr>
              <w:t>Advice and Guidance</w:t>
            </w:r>
          </w:p>
          <w:p w:rsidR="00E15D35" w:rsidRPr="00E15D35" w:rsidRDefault="00E15D35" w:rsidP="005A5B35">
            <w:pPr>
              <w:pStyle w:val="ListParagraph"/>
              <w:numPr>
                <w:ilvl w:val="0"/>
                <w:numId w:val="46"/>
              </w:numPr>
            </w:pPr>
            <w:r w:rsidRPr="00E15D35">
              <w:rPr>
                <w:rFonts w:eastAsia="Times New Roman"/>
                <w:lang w:eastAsia="en-GB"/>
              </w:rPr>
              <w:t>Transparency</w:t>
            </w:r>
          </w:p>
        </w:tc>
      </w:tr>
    </w:tbl>
    <w:p w:rsidR="00E15D35" w:rsidRDefault="00E15D35" w:rsidP="005A5B35">
      <w:pPr>
        <w:tabs>
          <w:tab w:val="left" w:pos="1980"/>
        </w:tabs>
        <w:spacing w:after="0" w:line="360" w:lineRule="auto"/>
        <w:rPr>
          <w:rFonts w:asciiTheme="minorHAnsi" w:hAnsiTheme="minorHAnsi" w:cstheme="minorHAnsi"/>
        </w:rPr>
      </w:pPr>
    </w:p>
    <w:p w:rsidR="004E2905" w:rsidRPr="005A5B35" w:rsidRDefault="004E2905" w:rsidP="005A5B35">
      <w:pPr>
        <w:tabs>
          <w:tab w:val="left" w:pos="1980"/>
        </w:tabs>
        <w:spacing w:after="0" w:line="360" w:lineRule="auto"/>
        <w:rPr>
          <w:rFonts w:asciiTheme="minorHAnsi" w:hAnsiTheme="minorHAnsi" w:cstheme="minorHAnsi"/>
          <w:u w:val="single"/>
        </w:rPr>
      </w:pPr>
      <w:r w:rsidRPr="005A5B35">
        <w:rPr>
          <w:rFonts w:asciiTheme="minorHAnsi" w:hAnsiTheme="minorHAnsi" w:cstheme="minorHAnsi"/>
          <w:u w:val="single"/>
        </w:rPr>
        <w:t>Recommended area for NED portfolio: Transparency</w:t>
      </w:r>
      <w:r w:rsidR="000B77AA" w:rsidRPr="005A5B35">
        <w:rPr>
          <w:rFonts w:asciiTheme="minorHAnsi" w:hAnsiTheme="minorHAnsi" w:cstheme="minorHAnsi"/>
          <w:u w:val="single"/>
        </w:rPr>
        <w:t xml:space="preserve"> or ISO 9001</w:t>
      </w:r>
    </w:p>
    <w:p w:rsidR="009E2990" w:rsidRDefault="009E2990" w:rsidP="005A5B35">
      <w:pPr>
        <w:tabs>
          <w:tab w:val="left" w:pos="1980"/>
        </w:tabs>
        <w:spacing w:after="0" w:line="360" w:lineRule="auto"/>
        <w:rPr>
          <w:rFonts w:asciiTheme="minorHAnsi" w:hAnsiTheme="minorHAnsi" w:cstheme="minorHAnsi"/>
        </w:rPr>
      </w:pPr>
      <w:r>
        <w:rPr>
          <w:rFonts w:asciiTheme="minorHAnsi" w:hAnsiTheme="minorHAnsi" w:cstheme="minorHAnsi"/>
        </w:rPr>
        <w:lastRenderedPageBreak/>
        <w:t>Transparency is a key agenda for the HRA and one which is fundamental to the HRA’s overall objective to make the UK a great place to do health research.</w:t>
      </w:r>
      <w:r w:rsidR="000B77AA">
        <w:rPr>
          <w:rFonts w:asciiTheme="minorHAnsi" w:hAnsiTheme="minorHAnsi" w:cstheme="minorHAnsi"/>
        </w:rPr>
        <w:t xml:space="preserve"> Alternatively, the HRA’s commitment to ISO 9001</w:t>
      </w:r>
      <w:r w:rsidR="005A5B35">
        <w:rPr>
          <w:rFonts w:asciiTheme="minorHAnsi" w:hAnsiTheme="minorHAnsi" w:cstheme="minorHAnsi"/>
        </w:rPr>
        <w:t xml:space="preserve"> </w:t>
      </w:r>
      <w:r w:rsidR="000B77AA">
        <w:rPr>
          <w:rFonts w:asciiTheme="minorHAnsi" w:hAnsiTheme="minorHAnsi" w:cstheme="minorHAnsi"/>
        </w:rPr>
        <w:t xml:space="preserve">and widening its scope across the HRA is an important work stream for the Board to consider. </w:t>
      </w:r>
    </w:p>
    <w:p w:rsidR="009E2990" w:rsidRDefault="009E2990" w:rsidP="005A5B35">
      <w:pPr>
        <w:tabs>
          <w:tab w:val="left" w:pos="1980"/>
        </w:tabs>
        <w:spacing w:after="0" w:line="360" w:lineRule="auto"/>
        <w:rPr>
          <w:rFonts w:asciiTheme="minorHAnsi" w:hAnsiTheme="minorHAnsi" w:cstheme="minorHAnsi"/>
        </w:rPr>
      </w:pPr>
    </w:p>
    <w:p w:rsidR="005A5B35" w:rsidRPr="005A5B35" w:rsidRDefault="005A5B35" w:rsidP="005A5B35">
      <w:pPr>
        <w:tabs>
          <w:tab w:val="left" w:pos="1980"/>
        </w:tabs>
        <w:spacing w:after="0" w:line="360" w:lineRule="auto"/>
        <w:rPr>
          <w:rFonts w:asciiTheme="minorHAnsi" w:hAnsiTheme="minorHAnsi" w:cstheme="minorHAnsi"/>
          <w:b/>
          <w:sz w:val="28"/>
          <w:u w:val="single"/>
        </w:rPr>
      </w:pPr>
      <w:r w:rsidRPr="005A5B35">
        <w:rPr>
          <w:rFonts w:asciiTheme="minorHAnsi" w:hAnsiTheme="minorHAnsi" w:cstheme="minorHAnsi"/>
          <w:b/>
          <w:sz w:val="28"/>
          <w:u w:val="single"/>
        </w:rPr>
        <w:t>Systems and Development – Janet Messer</w:t>
      </w:r>
    </w:p>
    <w:tbl>
      <w:tblPr>
        <w:tblStyle w:val="TableGrid"/>
        <w:tblW w:w="0" w:type="auto"/>
        <w:tblLook w:val="04A0" w:firstRow="1" w:lastRow="0" w:firstColumn="1" w:lastColumn="0" w:noHBand="0" w:noVBand="1"/>
      </w:tblPr>
      <w:tblGrid>
        <w:gridCol w:w="4644"/>
        <w:gridCol w:w="4644"/>
      </w:tblGrid>
      <w:tr w:rsidR="00E15D35" w:rsidTr="002B7A3D">
        <w:tc>
          <w:tcPr>
            <w:tcW w:w="4644" w:type="dxa"/>
          </w:tcPr>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HRA Approval Programme</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Research Systems (IRAS, HARP)</w:t>
            </w:r>
          </w:p>
          <w:p w:rsid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Collaboration &amp; Development (C&amp;D) programme management</w:t>
            </w:r>
          </w:p>
          <w:p w:rsidR="00E15D35" w:rsidRPr="00E15D35" w:rsidRDefault="00E15D35" w:rsidP="005A5B35">
            <w:pPr>
              <w:ind w:left="360"/>
              <w:textAlignment w:val="baseline"/>
              <w:rPr>
                <w:rFonts w:eastAsia="Times New Roman"/>
                <w:lang w:eastAsia="en-GB"/>
              </w:rPr>
            </w:pPr>
          </w:p>
        </w:tc>
        <w:tc>
          <w:tcPr>
            <w:tcW w:w="4644" w:type="dxa"/>
          </w:tcPr>
          <w:p w:rsidR="00E15D35" w:rsidRPr="00E15D35" w:rsidRDefault="00E15D35" w:rsidP="005A5B35">
            <w:pPr>
              <w:pStyle w:val="ListParagraph"/>
              <w:numPr>
                <w:ilvl w:val="0"/>
                <w:numId w:val="46"/>
              </w:numPr>
            </w:pPr>
            <w:r w:rsidRPr="00E15D35">
              <w:rPr>
                <w:rFonts w:eastAsia="Times New Roman"/>
                <w:lang w:eastAsia="en-GB"/>
              </w:rPr>
              <w:t>Quality, Standards &amp; Information also sits within this Directorate</w:t>
            </w:r>
          </w:p>
        </w:tc>
      </w:tr>
    </w:tbl>
    <w:p w:rsidR="00E15D35" w:rsidRPr="005A5B35" w:rsidRDefault="00E15D35" w:rsidP="005A5B35">
      <w:pPr>
        <w:tabs>
          <w:tab w:val="left" w:pos="1980"/>
        </w:tabs>
        <w:spacing w:after="0" w:line="360" w:lineRule="auto"/>
        <w:rPr>
          <w:rFonts w:asciiTheme="minorHAnsi" w:hAnsiTheme="minorHAnsi" w:cstheme="minorHAnsi"/>
        </w:rPr>
      </w:pPr>
    </w:p>
    <w:p w:rsidR="004E2905" w:rsidRPr="005A5B35" w:rsidRDefault="004E2905" w:rsidP="005A5B35">
      <w:pPr>
        <w:tabs>
          <w:tab w:val="left" w:pos="1980"/>
        </w:tabs>
        <w:spacing w:after="0" w:line="360" w:lineRule="auto"/>
        <w:rPr>
          <w:rFonts w:asciiTheme="minorHAnsi" w:hAnsiTheme="minorHAnsi" w:cstheme="minorHAnsi"/>
          <w:u w:val="single"/>
        </w:rPr>
      </w:pPr>
      <w:r w:rsidRPr="005A5B35">
        <w:rPr>
          <w:rFonts w:asciiTheme="minorHAnsi" w:hAnsiTheme="minorHAnsi" w:cstheme="minorHAnsi"/>
          <w:u w:val="single"/>
        </w:rPr>
        <w:t>Recommended area for NED portfolio: Advice and Guidance</w:t>
      </w:r>
    </w:p>
    <w:p w:rsidR="009E2990" w:rsidRDefault="00A235CC" w:rsidP="005A5B35">
      <w:pPr>
        <w:tabs>
          <w:tab w:val="left" w:pos="1980"/>
        </w:tabs>
        <w:spacing w:after="0" w:line="360" w:lineRule="auto"/>
        <w:rPr>
          <w:rFonts w:asciiTheme="minorHAnsi" w:hAnsiTheme="minorHAnsi" w:cstheme="minorHAnsi"/>
        </w:rPr>
      </w:pPr>
      <w:r>
        <w:rPr>
          <w:rFonts w:asciiTheme="minorHAnsi" w:hAnsiTheme="minorHAnsi" w:cstheme="minorHAnsi"/>
        </w:rPr>
        <w:t xml:space="preserve">Whilst the HRA Approval Programme is a key piece of work, this has appropriate Board oversight and governance through the Programme Board. Advice and Guidance however will require strategic thinking and </w:t>
      </w:r>
      <w:r w:rsidR="000F3845">
        <w:rPr>
          <w:rFonts w:asciiTheme="minorHAnsi" w:hAnsiTheme="minorHAnsi" w:cstheme="minorHAnsi"/>
        </w:rPr>
        <w:t>Board discussions on areas to develop in the future.</w:t>
      </w:r>
      <w:r w:rsidR="00050BAB">
        <w:rPr>
          <w:rFonts w:asciiTheme="minorHAnsi" w:hAnsiTheme="minorHAnsi" w:cstheme="minorHAnsi"/>
        </w:rPr>
        <w:t xml:space="preserve"> Whilst Quality, Standards &amp; Information sit within Janet</w:t>
      </w:r>
      <w:r w:rsidR="000B77AA">
        <w:rPr>
          <w:rFonts w:asciiTheme="minorHAnsi" w:hAnsiTheme="minorHAnsi" w:cstheme="minorHAnsi"/>
        </w:rPr>
        <w:t xml:space="preserve"> Messer’</w:t>
      </w:r>
      <w:r w:rsidR="00050BAB">
        <w:rPr>
          <w:rFonts w:asciiTheme="minorHAnsi" w:hAnsiTheme="minorHAnsi" w:cstheme="minorHAnsi"/>
        </w:rPr>
        <w:t>s Directorate, Advice and Guidance sits directly under Tom, however Janet would be the EMT link for the NED.</w:t>
      </w:r>
    </w:p>
    <w:p w:rsidR="00A235CC" w:rsidRDefault="00A235CC" w:rsidP="005A5B35">
      <w:pPr>
        <w:tabs>
          <w:tab w:val="left" w:pos="1980"/>
        </w:tabs>
        <w:spacing w:after="0" w:line="360" w:lineRule="auto"/>
        <w:rPr>
          <w:rFonts w:asciiTheme="minorHAnsi" w:hAnsiTheme="minorHAnsi" w:cstheme="minorHAnsi"/>
        </w:rPr>
      </w:pPr>
    </w:p>
    <w:p w:rsidR="00E15D35" w:rsidRPr="005A5B35" w:rsidRDefault="005A5B35" w:rsidP="005A5B35">
      <w:pPr>
        <w:tabs>
          <w:tab w:val="left" w:pos="1980"/>
        </w:tabs>
        <w:spacing w:after="0" w:line="360" w:lineRule="auto"/>
        <w:rPr>
          <w:rFonts w:asciiTheme="minorHAnsi" w:hAnsiTheme="minorHAnsi" w:cstheme="minorHAnsi"/>
          <w:b/>
          <w:sz w:val="28"/>
          <w:u w:val="single"/>
        </w:rPr>
      </w:pPr>
      <w:r w:rsidRPr="005A5B35">
        <w:rPr>
          <w:rFonts w:asciiTheme="minorHAnsi" w:hAnsiTheme="minorHAnsi" w:cstheme="minorHAnsi"/>
          <w:b/>
          <w:sz w:val="28"/>
          <w:u w:val="single"/>
        </w:rPr>
        <w:t>Corporate Secretary – Stephen Robinson</w:t>
      </w:r>
    </w:p>
    <w:tbl>
      <w:tblPr>
        <w:tblStyle w:val="TableGrid"/>
        <w:tblW w:w="0" w:type="auto"/>
        <w:tblLook w:val="04A0" w:firstRow="1" w:lastRow="0" w:firstColumn="1" w:lastColumn="0" w:noHBand="0" w:noVBand="1"/>
      </w:tblPr>
      <w:tblGrid>
        <w:gridCol w:w="4644"/>
        <w:gridCol w:w="4644"/>
      </w:tblGrid>
      <w:tr w:rsidR="00E15D35" w:rsidTr="002B7A3D">
        <w:tc>
          <w:tcPr>
            <w:tcW w:w="4644" w:type="dxa"/>
          </w:tcPr>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Business planning</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Policy Development</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Board support</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Corporate and Information Governance</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Risk management</w:t>
            </w:r>
          </w:p>
          <w:p w:rsid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Standing Orders / Scheme of Delegation</w:t>
            </w:r>
          </w:p>
          <w:p w:rsidR="00E15D35" w:rsidRPr="00E15D35" w:rsidRDefault="00E15D35" w:rsidP="005A5B35">
            <w:pPr>
              <w:ind w:left="360"/>
              <w:textAlignment w:val="baseline"/>
              <w:rPr>
                <w:rFonts w:eastAsia="Times New Roman"/>
                <w:lang w:eastAsia="en-GB"/>
              </w:rPr>
            </w:pPr>
          </w:p>
        </w:tc>
        <w:tc>
          <w:tcPr>
            <w:tcW w:w="4644" w:type="dxa"/>
          </w:tcPr>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Health &amp; Safety, Business Continuity Planning, Equality &amp; Diversity</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Freedom of Information / Complaints</w:t>
            </w:r>
          </w:p>
          <w:p w:rsidR="00E15D35" w:rsidRPr="00E15D35" w:rsidRDefault="00E15D35" w:rsidP="005A5B35">
            <w:pPr>
              <w:pStyle w:val="ListParagraph"/>
              <w:numPr>
                <w:ilvl w:val="0"/>
                <w:numId w:val="46"/>
              </w:numPr>
              <w:textAlignment w:val="baseline"/>
              <w:rPr>
                <w:rFonts w:eastAsia="Times New Roman"/>
                <w:lang w:eastAsia="en-GB"/>
              </w:rPr>
            </w:pPr>
            <w:r w:rsidRPr="00E15D35">
              <w:rPr>
                <w:rFonts w:eastAsia="Times New Roman"/>
                <w:lang w:eastAsia="en-GB"/>
              </w:rPr>
              <w:t>Non Departmental Public Body transition</w:t>
            </w:r>
          </w:p>
          <w:p w:rsidR="00E15D35" w:rsidRPr="00E15D35" w:rsidRDefault="00E15D35" w:rsidP="005A5B35">
            <w:pPr>
              <w:pStyle w:val="ListParagraph"/>
              <w:numPr>
                <w:ilvl w:val="0"/>
                <w:numId w:val="46"/>
              </w:numPr>
            </w:pPr>
            <w:r w:rsidRPr="00E15D35">
              <w:rPr>
                <w:rFonts w:eastAsia="Times New Roman"/>
                <w:lang w:eastAsia="en-GB"/>
              </w:rPr>
              <w:t>Appointing authority RECs, CAG and NREAP</w:t>
            </w:r>
          </w:p>
        </w:tc>
      </w:tr>
    </w:tbl>
    <w:p w:rsidR="00E15D35" w:rsidRDefault="00E15D35" w:rsidP="005A5B35">
      <w:pPr>
        <w:tabs>
          <w:tab w:val="left" w:pos="1980"/>
        </w:tabs>
        <w:spacing w:after="0" w:line="360" w:lineRule="auto"/>
        <w:rPr>
          <w:rFonts w:asciiTheme="minorHAnsi" w:hAnsiTheme="minorHAnsi" w:cstheme="minorHAnsi"/>
        </w:rPr>
      </w:pPr>
    </w:p>
    <w:p w:rsidR="005A5B35" w:rsidRPr="005A5B35" w:rsidRDefault="005A5B35" w:rsidP="005A5B35">
      <w:pPr>
        <w:tabs>
          <w:tab w:val="left" w:pos="1980"/>
        </w:tabs>
        <w:spacing w:after="0" w:line="360" w:lineRule="auto"/>
        <w:rPr>
          <w:rFonts w:asciiTheme="minorHAnsi" w:hAnsiTheme="minorHAnsi" w:cstheme="minorHAnsi"/>
          <w:u w:val="single"/>
        </w:rPr>
      </w:pPr>
      <w:r w:rsidRPr="005A5B35">
        <w:rPr>
          <w:rFonts w:asciiTheme="minorHAnsi" w:hAnsiTheme="minorHAnsi" w:cstheme="minorHAnsi"/>
          <w:u w:val="single"/>
        </w:rPr>
        <w:t>No recommended area for NED portfolio</w:t>
      </w:r>
    </w:p>
    <w:p w:rsidR="004E2905" w:rsidRDefault="004E2905" w:rsidP="005A5B35">
      <w:pPr>
        <w:tabs>
          <w:tab w:val="left" w:pos="1980"/>
        </w:tabs>
        <w:spacing w:after="0" w:line="360" w:lineRule="auto"/>
        <w:rPr>
          <w:rFonts w:asciiTheme="minorHAnsi" w:hAnsiTheme="minorHAnsi" w:cstheme="minorHAnsi"/>
        </w:rPr>
      </w:pPr>
      <w:r>
        <w:rPr>
          <w:rFonts w:asciiTheme="minorHAnsi" w:hAnsiTheme="minorHAnsi" w:cstheme="minorHAnsi"/>
        </w:rPr>
        <w:t>For completeness the above</w:t>
      </w:r>
      <w:r w:rsidR="000F3845">
        <w:rPr>
          <w:rFonts w:asciiTheme="minorHAnsi" w:hAnsiTheme="minorHAnsi" w:cstheme="minorHAnsi"/>
        </w:rPr>
        <w:t xml:space="preserve"> list</w:t>
      </w:r>
      <w:r>
        <w:rPr>
          <w:rFonts w:asciiTheme="minorHAnsi" w:hAnsiTheme="minorHAnsi" w:cstheme="minorHAnsi"/>
        </w:rPr>
        <w:t xml:space="preserve"> details the remaining areas of business </w:t>
      </w:r>
      <w:r w:rsidR="00682629">
        <w:rPr>
          <w:rFonts w:asciiTheme="minorHAnsi" w:hAnsiTheme="minorHAnsi" w:cstheme="minorHAnsi"/>
        </w:rPr>
        <w:t>of the HRA</w:t>
      </w:r>
      <w:r w:rsidR="00E4086D">
        <w:rPr>
          <w:rFonts w:asciiTheme="minorHAnsi" w:hAnsiTheme="minorHAnsi" w:cstheme="minorHAnsi"/>
        </w:rPr>
        <w:t>,</w:t>
      </w:r>
      <w:r w:rsidR="00682629">
        <w:rPr>
          <w:rFonts w:asciiTheme="minorHAnsi" w:hAnsiTheme="minorHAnsi" w:cstheme="minorHAnsi"/>
        </w:rPr>
        <w:t xml:space="preserve"> </w:t>
      </w:r>
      <w:r>
        <w:rPr>
          <w:rFonts w:asciiTheme="minorHAnsi" w:hAnsiTheme="minorHAnsi" w:cstheme="minorHAnsi"/>
        </w:rPr>
        <w:t xml:space="preserve">which the Corporate Secretary has responsibility for. </w:t>
      </w:r>
      <w:r w:rsidR="00682629">
        <w:rPr>
          <w:rFonts w:asciiTheme="minorHAnsi" w:hAnsiTheme="minorHAnsi" w:cstheme="minorHAnsi"/>
        </w:rPr>
        <w:t xml:space="preserve">Complaints and the Business Planning process were considered </w:t>
      </w:r>
      <w:r w:rsidR="00050BAB">
        <w:rPr>
          <w:rFonts w:asciiTheme="minorHAnsi" w:hAnsiTheme="minorHAnsi" w:cstheme="minorHAnsi"/>
        </w:rPr>
        <w:t>as potential areas for a NED portfolio. H</w:t>
      </w:r>
      <w:r w:rsidR="00682629">
        <w:rPr>
          <w:rFonts w:asciiTheme="minorHAnsi" w:hAnsiTheme="minorHAnsi" w:cstheme="minorHAnsi"/>
        </w:rPr>
        <w:t xml:space="preserve">owever </w:t>
      </w:r>
      <w:r w:rsidR="00A87AD9">
        <w:rPr>
          <w:rFonts w:asciiTheme="minorHAnsi" w:hAnsiTheme="minorHAnsi" w:cstheme="minorHAnsi"/>
        </w:rPr>
        <w:t>as t</w:t>
      </w:r>
      <w:r>
        <w:rPr>
          <w:rFonts w:asciiTheme="minorHAnsi" w:hAnsiTheme="minorHAnsi" w:cstheme="minorHAnsi"/>
        </w:rPr>
        <w:t>he Board has</w:t>
      </w:r>
      <w:r w:rsidR="00050BAB">
        <w:rPr>
          <w:rFonts w:asciiTheme="minorHAnsi" w:hAnsiTheme="minorHAnsi" w:cstheme="minorHAnsi"/>
        </w:rPr>
        <w:t xml:space="preserve"> general</w:t>
      </w:r>
      <w:r>
        <w:rPr>
          <w:rFonts w:asciiTheme="minorHAnsi" w:hAnsiTheme="minorHAnsi" w:cstheme="minorHAnsi"/>
        </w:rPr>
        <w:t xml:space="preserve"> oversight </w:t>
      </w:r>
      <w:r w:rsidR="00A87AD9">
        <w:rPr>
          <w:rFonts w:asciiTheme="minorHAnsi" w:hAnsiTheme="minorHAnsi" w:cstheme="minorHAnsi"/>
        </w:rPr>
        <w:t xml:space="preserve">of these </w:t>
      </w:r>
      <w:r w:rsidR="00050BAB">
        <w:rPr>
          <w:rFonts w:asciiTheme="minorHAnsi" w:hAnsiTheme="minorHAnsi" w:cstheme="minorHAnsi"/>
        </w:rPr>
        <w:t xml:space="preserve">as part of its regular business </w:t>
      </w:r>
      <w:r w:rsidR="000F3845">
        <w:rPr>
          <w:rFonts w:asciiTheme="minorHAnsi" w:hAnsiTheme="minorHAnsi" w:cstheme="minorHAnsi"/>
        </w:rPr>
        <w:t xml:space="preserve">it is </w:t>
      </w:r>
      <w:r>
        <w:rPr>
          <w:rFonts w:asciiTheme="minorHAnsi" w:hAnsiTheme="minorHAnsi" w:cstheme="minorHAnsi"/>
        </w:rPr>
        <w:t>therefore recommended not to include any o</w:t>
      </w:r>
      <w:r w:rsidR="00F177A3">
        <w:rPr>
          <w:rFonts w:asciiTheme="minorHAnsi" w:hAnsiTheme="minorHAnsi" w:cstheme="minorHAnsi"/>
        </w:rPr>
        <w:t xml:space="preserve">f these areas in a NED </w:t>
      </w:r>
      <w:r w:rsidR="00682629">
        <w:rPr>
          <w:rFonts w:asciiTheme="minorHAnsi" w:hAnsiTheme="minorHAnsi" w:cstheme="minorHAnsi"/>
        </w:rPr>
        <w:t>portfolio</w:t>
      </w:r>
      <w:r w:rsidR="00A87AD9">
        <w:rPr>
          <w:rFonts w:asciiTheme="minorHAnsi" w:hAnsiTheme="minorHAnsi" w:cstheme="minorHAnsi"/>
        </w:rPr>
        <w:t xml:space="preserve"> at this stage.</w:t>
      </w:r>
      <w:r w:rsidR="00682629">
        <w:rPr>
          <w:rFonts w:asciiTheme="minorHAnsi" w:hAnsiTheme="minorHAnsi" w:cstheme="minorHAnsi"/>
        </w:rPr>
        <w:t xml:space="preserve"> </w:t>
      </w:r>
    </w:p>
    <w:p w:rsidR="00F177A3" w:rsidRDefault="00F177A3" w:rsidP="005A5B35">
      <w:pPr>
        <w:tabs>
          <w:tab w:val="left" w:pos="1980"/>
        </w:tabs>
        <w:spacing w:after="0" w:line="360" w:lineRule="auto"/>
        <w:rPr>
          <w:rFonts w:asciiTheme="minorHAnsi" w:hAnsiTheme="minorHAnsi" w:cstheme="minorHAnsi"/>
          <w:sz w:val="28"/>
        </w:rPr>
      </w:pPr>
    </w:p>
    <w:p w:rsidR="005A5B35" w:rsidRPr="005A5B35" w:rsidRDefault="005A5B35" w:rsidP="005A5B35">
      <w:pPr>
        <w:tabs>
          <w:tab w:val="left" w:pos="1980"/>
        </w:tabs>
        <w:spacing w:after="0" w:line="360" w:lineRule="auto"/>
        <w:rPr>
          <w:rFonts w:asciiTheme="minorHAnsi" w:hAnsiTheme="minorHAnsi" w:cstheme="minorHAnsi"/>
          <w:sz w:val="28"/>
        </w:rPr>
      </w:pPr>
    </w:p>
    <w:p w:rsidR="00F177A3" w:rsidRPr="005A5B35" w:rsidRDefault="00F177A3" w:rsidP="005A5B35">
      <w:pPr>
        <w:tabs>
          <w:tab w:val="left" w:pos="1980"/>
        </w:tabs>
        <w:spacing w:after="0" w:line="360" w:lineRule="auto"/>
        <w:rPr>
          <w:rFonts w:asciiTheme="minorHAnsi" w:hAnsiTheme="minorHAnsi" w:cstheme="minorHAnsi"/>
          <w:sz w:val="28"/>
        </w:rPr>
      </w:pPr>
      <w:r w:rsidRPr="005A5B35">
        <w:rPr>
          <w:rFonts w:asciiTheme="minorHAnsi" w:hAnsiTheme="minorHAnsi" w:cstheme="minorHAnsi"/>
          <w:b/>
          <w:sz w:val="28"/>
        </w:rPr>
        <w:lastRenderedPageBreak/>
        <w:t>Review</w:t>
      </w:r>
    </w:p>
    <w:p w:rsidR="00F177A3" w:rsidRDefault="00F177A3" w:rsidP="005A5B35">
      <w:pPr>
        <w:tabs>
          <w:tab w:val="left" w:pos="1980"/>
        </w:tabs>
        <w:spacing w:after="0" w:line="360" w:lineRule="auto"/>
        <w:rPr>
          <w:rFonts w:asciiTheme="minorHAnsi" w:hAnsiTheme="minorHAnsi" w:cstheme="minorHAnsi"/>
        </w:rPr>
      </w:pPr>
      <w:r>
        <w:rPr>
          <w:rFonts w:asciiTheme="minorHAnsi" w:hAnsiTheme="minorHAnsi" w:cstheme="minorHAnsi"/>
        </w:rPr>
        <w:t xml:space="preserve">As part of good practice, it is proposed the portfolios for each NED are consider on a 6-12 month basis to check they are relevant, with any new areas of importance assigned. It may be appropriate to exchange portfolios between NEDs to give fresh oversight and </w:t>
      </w:r>
      <w:r w:rsidR="000F3845">
        <w:rPr>
          <w:rFonts w:asciiTheme="minorHAnsi" w:hAnsiTheme="minorHAnsi" w:cstheme="minorHAnsi"/>
        </w:rPr>
        <w:t>ensure a good understanding of key HRA business is maintained across the Board.</w:t>
      </w:r>
    </w:p>
    <w:p w:rsidR="00F177A3" w:rsidRDefault="00F177A3" w:rsidP="005A5B35">
      <w:pPr>
        <w:tabs>
          <w:tab w:val="left" w:pos="1980"/>
        </w:tabs>
        <w:spacing w:after="0" w:line="360" w:lineRule="auto"/>
        <w:rPr>
          <w:rFonts w:asciiTheme="minorHAnsi" w:hAnsiTheme="minorHAnsi" w:cstheme="minorHAnsi"/>
        </w:rPr>
      </w:pPr>
    </w:p>
    <w:sectPr w:rsidR="00F177A3" w:rsidSect="00E15D35">
      <w:headerReference w:type="default" r:id="rId9"/>
      <w:footerReference w:type="default" r:id="rId10"/>
      <w:headerReference w:type="first" r:id="rId11"/>
      <w:footerReference w:type="first" r:id="rId12"/>
      <w:pgSz w:w="11907" w:h="16840" w:code="9"/>
      <w:pgMar w:top="1134" w:right="1275" w:bottom="1134" w:left="156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4B" w:rsidRDefault="00FB054B" w:rsidP="006B5376">
      <w:pPr>
        <w:spacing w:after="0" w:line="240" w:lineRule="auto"/>
      </w:pPr>
      <w:r>
        <w:separator/>
      </w:r>
    </w:p>
  </w:endnote>
  <w:endnote w:type="continuationSeparator" w:id="0">
    <w:p w:rsidR="00FB054B" w:rsidRDefault="00FB054B"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4B" w:rsidRDefault="00FB054B"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72AD1278" wp14:editId="74AA863E">
          <wp:simplePos x="0" y="0"/>
          <wp:positionH relativeFrom="column">
            <wp:posOffset>-122237</wp:posOffset>
          </wp:positionH>
          <wp:positionV relativeFrom="paragraph">
            <wp:posOffset>-84773</wp:posOffset>
          </wp:positionV>
          <wp:extent cx="361950" cy="358775"/>
          <wp:effectExtent l="77787" t="74613" r="77788" b="7778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4CECF414" wp14:editId="395C9156">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FB054B" w:rsidRPr="00C90060" w:rsidRDefault="00050BAB"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NED Portfolios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24370"/>
      <w:docPartObj>
        <w:docPartGallery w:val="Page Numbers (Bottom of Page)"/>
        <w:docPartUnique/>
      </w:docPartObj>
    </w:sdtPr>
    <w:sdtEndPr/>
    <w:sdtContent>
      <w:sdt>
        <w:sdtPr>
          <w:id w:val="860082579"/>
          <w:docPartObj>
            <w:docPartGallery w:val="Page Numbers (Top of Page)"/>
            <w:docPartUnique/>
          </w:docPartObj>
        </w:sdtPr>
        <w:sdtEndPr/>
        <w:sdtContent>
          <w:p w:rsidR="0001023E" w:rsidRDefault="0001023E">
            <w:pPr>
              <w:pStyle w:val="Footer"/>
              <w:jc w:val="right"/>
              <w:rPr>
                <w:rFonts w:asciiTheme="minorHAnsi" w:hAnsiTheme="minorHAnsi" w:cstheme="minorHAnsi"/>
                <w:b/>
                <w:bCs/>
                <w:sz w:val="18"/>
                <w:szCs w:val="18"/>
              </w:rPr>
            </w:pPr>
            <w:r w:rsidRPr="0001023E">
              <w:rPr>
                <w:rFonts w:asciiTheme="minorHAnsi" w:hAnsiTheme="minorHAnsi" w:cstheme="minorHAnsi"/>
                <w:sz w:val="18"/>
                <w:szCs w:val="18"/>
              </w:rPr>
              <w:t xml:space="preserve">Page </w:t>
            </w:r>
            <w:r w:rsidRPr="0001023E">
              <w:rPr>
                <w:rFonts w:asciiTheme="minorHAnsi" w:hAnsiTheme="minorHAnsi" w:cstheme="minorHAnsi"/>
                <w:b/>
                <w:bCs/>
                <w:sz w:val="18"/>
                <w:szCs w:val="18"/>
              </w:rPr>
              <w:fldChar w:fldCharType="begin"/>
            </w:r>
            <w:r w:rsidRPr="0001023E">
              <w:rPr>
                <w:rFonts w:asciiTheme="minorHAnsi" w:hAnsiTheme="minorHAnsi" w:cstheme="minorHAnsi"/>
                <w:b/>
                <w:bCs/>
                <w:sz w:val="18"/>
                <w:szCs w:val="18"/>
              </w:rPr>
              <w:instrText xml:space="preserve"> PAGE </w:instrText>
            </w:r>
            <w:r w:rsidRPr="0001023E">
              <w:rPr>
                <w:rFonts w:asciiTheme="minorHAnsi" w:hAnsiTheme="minorHAnsi" w:cstheme="minorHAnsi"/>
                <w:b/>
                <w:bCs/>
                <w:sz w:val="18"/>
                <w:szCs w:val="18"/>
              </w:rPr>
              <w:fldChar w:fldCharType="separate"/>
            </w:r>
            <w:r w:rsidR="00AE78D3">
              <w:rPr>
                <w:rFonts w:asciiTheme="minorHAnsi" w:hAnsiTheme="minorHAnsi" w:cstheme="minorHAnsi"/>
                <w:b/>
                <w:bCs/>
                <w:noProof/>
                <w:sz w:val="18"/>
                <w:szCs w:val="18"/>
              </w:rPr>
              <w:t>1</w:t>
            </w:r>
            <w:r w:rsidRPr="0001023E">
              <w:rPr>
                <w:rFonts w:asciiTheme="minorHAnsi" w:hAnsiTheme="minorHAnsi" w:cstheme="minorHAnsi"/>
                <w:b/>
                <w:bCs/>
                <w:sz w:val="18"/>
                <w:szCs w:val="18"/>
              </w:rPr>
              <w:fldChar w:fldCharType="end"/>
            </w:r>
            <w:r w:rsidRPr="0001023E">
              <w:rPr>
                <w:rFonts w:asciiTheme="minorHAnsi" w:hAnsiTheme="minorHAnsi" w:cstheme="minorHAnsi"/>
                <w:sz w:val="18"/>
                <w:szCs w:val="18"/>
              </w:rPr>
              <w:t xml:space="preserve"> of </w:t>
            </w:r>
            <w:r w:rsidRPr="0001023E">
              <w:rPr>
                <w:rFonts w:asciiTheme="minorHAnsi" w:hAnsiTheme="minorHAnsi" w:cstheme="minorHAnsi"/>
                <w:b/>
                <w:bCs/>
                <w:sz w:val="18"/>
                <w:szCs w:val="18"/>
              </w:rPr>
              <w:fldChar w:fldCharType="begin"/>
            </w:r>
            <w:r w:rsidRPr="0001023E">
              <w:rPr>
                <w:rFonts w:asciiTheme="minorHAnsi" w:hAnsiTheme="minorHAnsi" w:cstheme="minorHAnsi"/>
                <w:b/>
                <w:bCs/>
                <w:sz w:val="18"/>
                <w:szCs w:val="18"/>
              </w:rPr>
              <w:instrText xml:space="preserve"> NUMPAGES  </w:instrText>
            </w:r>
            <w:r w:rsidRPr="0001023E">
              <w:rPr>
                <w:rFonts w:asciiTheme="minorHAnsi" w:hAnsiTheme="minorHAnsi" w:cstheme="minorHAnsi"/>
                <w:b/>
                <w:bCs/>
                <w:sz w:val="18"/>
                <w:szCs w:val="18"/>
              </w:rPr>
              <w:fldChar w:fldCharType="separate"/>
            </w:r>
            <w:r w:rsidR="00AE78D3">
              <w:rPr>
                <w:rFonts w:asciiTheme="minorHAnsi" w:hAnsiTheme="minorHAnsi" w:cstheme="minorHAnsi"/>
                <w:b/>
                <w:bCs/>
                <w:noProof/>
                <w:sz w:val="18"/>
                <w:szCs w:val="18"/>
              </w:rPr>
              <w:t>6</w:t>
            </w:r>
            <w:r w:rsidRPr="0001023E">
              <w:rPr>
                <w:rFonts w:asciiTheme="minorHAnsi" w:hAnsiTheme="minorHAnsi" w:cstheme="minorHAnsi"/>
                <w:b/>
                <w:bCs/>
                <w:sz w:val="18"/>
                <w:szCs w:val="18"/>
              </w:rPr>
              <w:fldChar w:fldCharType="end"/>
            </w:r>
          </w:p>
          <w:p w:rsidR="0001023E" w:rsidRDefault="0001023E" w:rsidP="0001023E">
            <w:pPr>
              <w:pStyle w:val="Footer"/>
            </w:pPr>
            <w:r>
              <w:rPr>
                <w:rFonts w:asciiTheme="minorHAnsi" w:hAnsiTheme="minorHAnsi" w:cstheme="minorHAnsi"/>
                <w:bCs/>
                <w:sz w:val="18"/>
                <w:szCs w:val="18"/>
              </w:rPr>
              <w:t>NED Portfolios</w:t>
            </w:r>
          </w:p>
        </w:sdtContent>
      </w:sdt>
    </w:sdtContent>
  </w:sdt>
  <w:p w:rsidR="0001023E" w:rsidRDefault="0001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4B" w:rsidRDefault="00FB054B" w:rsidP="006B5376">
      <w:pPr>
        <w:spacing w:after="0" w:line="240" w:lineRule="auto"/>
      </w:pPr>
      <w:r>
        <w:separator/>
      </w:r>
    </w:p>
  </w:footnote>
  <w:footnote w:type="continuationSeparator" w:id="0">
    <w:p w:rsidR="00FB054B" w:rsidRDefault="00FB054B"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4B" w:rsidRDefault="00FB054B"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35" w:rsidRDefault="00E15D35" w:rsidP="00E15D35">
    <w:pPr>
      <w:pStyle w:val="Header"/>
      <w:tabs>
        <w:tab w:val="clear" w:pos="9026"/>
        <w:tab w:val="right" w:pos="9498"/>
      </w:tabs>
      <w:ind w:right="-426"/>
      <w:jc w:val="right"/>
    </w:pPr>
    <w:r>
      <w:rPr>
        <w:rFonts w:cs="Arial"/>
        <w:b/>
        <w:noProof/>
        <w:lang w:eastAsia="en-GB"/>
      </w:rPr>
      <w:drawing>
        <wp:inline distT="0" distB="0" distL="0" distR="0" wp14:anchorId="50E365C1" wp14:editId="3EC3851E">
          <wp:extent cx="2964211" cy="581025"/>
          <wp:effectExtent l="0" t="0" r="0" b="0"/>
          <wp:docPr id="3" name="Picture 3"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598"/>
    <w:multiLevelType w:val="hybridMultilevel"/>
    <w:tmpl w:val="715EA7F6"/>
    <w:lvl w:ilvl="0" w:tplc="0BD071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46993"/>
    <w:multiLevelType w:val="hybridMultilevel"/>
    <w:tmpl w:val="84DC8DEC"/>
    <w:lvl w:ilvl="0" w:tplc="7C5C503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3FC53C3"/>
    <w:multiLevelType w:val="hybridMultilevel"/>
    <w:tmpl w:val="1D4A239E"/>
    <w:lvl w:ilvl="0" w:tplc="44F61F5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486413"/>
    <w:multiLevelType w:val="hybridMultilevel"/>
    <w:tmpl w:val="05A61956"/>
    <w:lvl w:ilvl="0" w:tplc="37CAAB5C">
      <w:start w:val="1"/>
      <w:numFmt w:val="bullet"/>
      <w:pStyle w:val="ListParagraph"/>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7">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9"/>
  </w:num>
  <w:num w:numId="4">
    <w:abstractNumId w:val="15"/>
  </w:num>
  <w:num w:numId="5">
    <w:abstractNumId w:val="28"/>
  </w:num>
  <w:num w:numId="6">
    <w:abstractNumId w:val="4"/>
  </w:num>
  <w:num w:numId="7">
    <w:abstractNumId w:val="34"/>
  </w:num>
  <w:num w:numId="8">
    <w:abstractNumId w:val="35"/>
  </w:num>
  <w:num w:numId="9">
    <w:abstractNumId w:val="37"/>
  </w:num>
  <w:num w:numId="10">
    <w:abstractNumId w:val="33"/>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3"/>
  </w:num>
  <w:num w:numId="15">
    <w:abstractNumId w:val="11"/>
  </w:num>
  <w:num w:numId="16">
    <w:abstractNumId w:val="26"/>
  </w:num>
  <w:num w:numId="17">
    <w:abstractNumId w:val="31"/>
  </w:num>
  <w:num w:numId="18">
    <w:abstractNumId w:val="3"/>
  </w:num>
  <w:num w:numId="19">
    <w:abstractNumId w:val="19"/>
  </w:num>
  <w:num w:numId="20">
    <w:abstractNumId w:val="29"/>
  </w:num>
  <w:num w:numId="21">
    <w:abstractNumId w:val="38"/>
  </w:num>
  <w:num w:numId="22">
    <w:abstractNumId w:val="21"/>
  </w:num>
  <w:num w:numId="23">
    <w:abstractNumId w:val="25"/>
  </w:num>
  <w:num w:numId="24">
    <w:abstractNumId w:val="9"/>
  </w:num>
  <w:num w:numId="25">
    <w:abstractNumId w:val="30"/>
  </w:num>
  <w:num w:numId="26">
    <w:abstractNumId w:val="41"/>
  </w:num>
  <w:num w:numId="27">
    <w:abstractNumId w:val="18"/>
  </w:num>
  <w:num w:numId="28">
    <w:abstractNumId w:val="36"/>
  </w:num>
  <w:num w:numId="29">
    <w:abstractNumId w:val="32"/>
  </w:num>
  <w:num w:numId="30">
    <w:abstractNumId w:val="14"/>
  </w:num>
  <w:num w:numId="31">
    <w:abstractNumId w:val="40"/>
  </w:num>
  <w:num w:numId="32">
    <w:abstractNumId w:val="17"/>
  </w:num>
  <w:num w:numId="33">
    <w:abstractNumId w:val="27"/>
  </w:num>
  <w:num w:numId="34">
    <w:abstractNumId w:val="45"/>
  </w:num>
  <w:num w:numId="35">
    <w:abstractNumId w:val="8"/>
  </w:num>
  <w:num w:numId="36">
    <w:abstractNumId w:val="10"/>
  </w:num>
  <w:num w:numId="37">
    <w:abstractNumId w:val="5"/>
  </w:num>
  <w:num w:numId="38">
    <w:abstractNumId w:val="20"/>
  </w:num>
  <w:num w:numId="39">
    <w:abstractNumId w:val="13"/>
  </w:num>
  <w:num w:numId="40">
    <w:abstractNumId w:val="16"/>
  </w:num>
  <w:num w:numId="41">
    <w:abstractNumId w:val="44"/>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0"/>
  </w:num>
  <w:num w:numId="45">
    <w:abstractNumId w:val="24"/>
  </w:num>
  <w:num w:numId="46">
    <w:abstractNumId w:val="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023E"/>
    <w:rsid w:val="0001460F"/>
    <w:rsid w:val="0001520F"/>
    <w:rsid w:val="0001579B"/>
    <w:rsid w:val="00031E55"/>
    <w:rsid w:val="00032018"/>
    <w:rsid w:val="00034690"/>
    <w:rsid w:val="00050BAB"/>
    <w:rsid w:val="00077FB8"/>
    <w:rsid w:val="000805FF"/>
    <w:rsid w:val="00080CB0"/>
    <w:rsid w:val="00082E02"/>
    <w:rsid w:val="00087C21"/>
    <w:rsid w:val="000A13D1"/>
    <w:rsid w:val="000A7C2C"/>
    <w:rsid w:val="000B77AA"/>
    <w:rsid w:val="000C027C"/>
    <w:rsid w:val="000C44EF"/>
    <w:rsid w:val="000C6B29"/>
    <w:rsid w:val="000D0F34"/>
    <w:rsid w:val="000D6A51"/>
    <w:rsid w:val="000E55E7"/>
    <w:rsid w:val="000E5A1B"/>
    <w:rsid w:val="000E6A39"/>
    <w:rsid w:val="000F2666"/>
    <w:rsid w:val="000F3845"/>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A0B28"/>
    <w:rsid w:val="001B0E16"/>
    <w:rsid w:val="001C3D40"/>
    <w:rsid w:val="001C3FF9"/>
    <w:rsid w:val="001C5EE1"/>
    <w:rsid w:val="001C6E4E"/>
    <w:rsid w:val="001D0C9D"/>
    <w:rsid w:val="001D339E"/>
    <w:rsid w:val="001D41F3"/>
    <w:rsid w:val="001D451F"/>
    <w:rsid w:val="001D4C53"/>
    <w:rsid w:val="002015B9"/>
    <w:rsid w:val="002017F5"/>
    <w:rsid w:val="00202CE8"/>
    <w:rsid w:val="002037EB"/>
    <w:rsid w:val="00204034"/>
    <w:rsid w:val="00217EFA"/>
    <w:rsid w:val="0022151D"/>
    <w:rsid w:val="002226BE"/>
    <w:rsid w:val="00223ECC"/>
    <w:rsid w:val="002270EC"/>
    <w:rsid w:val="00227350"/>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1CEF"/>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0A19"/>
    <w:rsid w:val="004E2905"/>
    <w:rsid w:val="004E5A9A"/>
    <w:rsid w:val="004F7AF1"/>
    <w:rsid w:val="00502585"/>
    <w:rsid w:val="00510C14"/>
    <w:rsid w:val="00512FBB"/>
    <w:rsid w:val="00521B16"/>
    <w:rsid w:val="00527946"/>
    <w:rsid w:val="00542C0A"/>
    <w:rsid w:val="005476DE"/>
    <w:rsid w:val="00547B8B"/>
    <w:rsid w:val="00564BD1"/>
    <w:rsid w:val="005714D1"/>
    <w:rsid w:val="00575297"/>
    <w:rsid w:val="00580C3F"/>
    <w:rsid w:val="0058409E"/>
    <w:rsid w:val="00595956"/>
    <w:rsid w:val="005A2C41"/>
    <w:rsid w:val="005A3354"/>
    <w:rsid w:val="005A3581"/>
    <w:rsid w:val="005A39BD"/>
    <w:rsid w:val="005A5B35"/>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2629"/>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CD2"/>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2990"/>
    <w:rsid w:val="009E5183"/>
    <w:rsid w:val="009F234C"/>
    <w:rsid w:val="009F3946"/>
    <w:rsid w:val="009F44FD"/>
    <w:rsid w:val="00A0218A"/>
    <w:rsid w:val="00A06B20"/>
    <w:rsid w:val="00A10A0A"/>
    <w:rsid w:val="00A13804"/>
    <w:rsid w:val="00A235CC"/>
    <w:rsid w:val="00A262B0"/>
    <w:rsid w:val="00A330ED"/>
    <w:rsid w:val="00A34004"/>
    <w:rsid w:val="00A43609"/>
    <w:rsid w:val="00A43714"/>
    <w:rsid w:val="00A469FD"/>
    <w:rsid w:val="00A50900"/>
    <w:rsid w:val="00A55FD0"/>
    <w:rsid w:val="00A71B66"/>
    <w:rsid w:val="00A732F1"/>
    <w:rsid w:val="00A73CFB"/>
    <w:rsid w:val="00A85692"/>
    <w:rsid w:val="00A87AD9"/>
    <w:rsid w:val="00A9292C"/>
    <w:rsid w:val="00A95157"/>
    <w:rsid w:val="00AA288A"/>
    <w:rsid w:val="00AA5F0C"/>
    <w:rsid w:val="00AB25CA"/>
    <w:rsid w:val="00AB7764"/>
    <w:rsid w:val="00AC2BA5"/>
    <w:rsid w:val="00AC3ED9"/>
    <w:rsid w:val="00AC7807"/>
    <w:rsid w:val="00AE78D3"/>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4CAC"/>
    <w:rsid w:val="00C36837"/>
    <w:rsid w:val="00C40072"/>
    <w:rsid w:val="00C42D0D"/>
    <w:rsid w:val="00C458CC"/>
    <w:rsid w:val="00C53126"/>
    <w:rsid w:val="00C56E47"/>
    <w:rsid w:val="00C5789F"/>
    <w:rsid w:val="00C665C4"/>
    <w:rsid w:val="00C8111C"/>
    <w:rsid w:val="00C815C1"/>
    <w:rsid w:val="00C81AD5"/>
    <w:rsid w:val="00C90060"/>
    <w:rsid w:val="00C91983"/>
    <w:rsid w:val="00C91B82"/>
    <w:rsid w:val="00C928CF"/>
    <w:rsid w:val="00C941B8"/>
    <w:rsid w:val="00CA3A21"/>
    <w:rsid w:val="00CB16AC"/>
    <w:rsid w:val="00CB32FA"/>
    <w:rsid w:val="00CC7EC2"/>
    <w:rsid w:val="00CC7F68"/>
    <w:rsid w:val="00CD103F"/>
    <w:rsid w:val="00CD6526"/>
    <w:rsid w:val="00CD7943"/>
    <w:rsid w:val="00CE51E2"/>
    <w:rsid w:val="00CE7EDE"/>
    <w:rsid w:val="00D0148A"/>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11B46"/>
    <w:rsid w:val="00E15D35"/>
    <w:rsid w:val="00E2595E"/>
    <w:rsid w:val="00E348B8"/>
    <w:rsid w:val="00E36F0A"/>
    <w:rsid w:val="00E4086D"/>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1675"/>
    <w:rsid w:val="00EF1E64"/>
    <w:rsid w:val="00EF2F97"/>
    <w:rsid w:val="00EF3A3D"/>
    <w:rsid w:val="00EF727C"/>
    <w:rsid w:val="00F126A6"/>
    <w:rsid w:val="00F13444"/>
    <w:rsid w:val="00F177A3"/>
    <w:rsid w:val="00F207D7"/>
    <w:rsid w:val="00F227F0"/>
    <w:rsid w:val="00F568DC"/>
    <w:rsid w:val="00F650DF"/>
    <w:rsid w:val="00F76AFA"/>
    <w:rsid w:val="00F87165"/>
    <w:rsid w:val="00F923E9"/>
    <w:rsid w:val="00F93F96"/>
    <w:rsid w:val="00F94FDD"/>
    <w:rsid w:val="00F96C25"/>
    <w:rsid w:val="00FA23B7"/>
    <w:rsid w:val="00FB054B"/>
    <w:rsid w:val="00FB340F"/>
    <w:rsid w:val="00FB7CAB"/>
    <w:rsid w:val="00FC4844"/>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A50900"/>
    <w:pPr>
      <w:numPr>
        <w:numId w:val="45"/>
      </w:numPr>
      <w:tabs>
        <w:tab w:val="left" w:pos="1980"/>
      </w:tabs>
      <w:spacing w:before="120" w:after="0" w:line="240" w:lineRule="auto"/>
    </w:pPr>
    <w:rPr>
      <w:rFonts w:asciiTheme="minorHAnsi" w:eastAsia="Calibri" w:hAnsiTheme="minorHAnsi" w:cstheme="minorHAnsi"/>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A50900"/>
    <w:pPr>
      <w:numPr>
        <w:numId w:val="45"/>
      </w:numPr>
      <w:tabs>
        <w:tab w:val="left" w:pos="1980"/>
      </w:tabs>
      <w:spacing w:before="120" w:after="0" w:line="240" w:lineRule="auto"/>
    </w:pPr>
    <w:rPr>
      <w:rFonts w:asciiTheme="minorHAnsi" w:eastAsia="Calibri" w:hAnsiTheme="minorHAnsi" w:cstheme="minorHAnsi"/>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2723F7-D229-4932-9690-92373D55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21</cp:revision>
  <cp:lastPrinted>2015-04-08T10:48:00Z</cp:lastPrinted>
  <dcterms:created xsi:type="dcterms:W3CDTF">2015-02-23T12:06:00Z</dcterms:created>
  <dcterms:modified xsi:type="dcterms:W3CDTF">2015-04-08T14:19:00Z</dcterms:modified>
</cp:coreProperties>
</file>