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84" w:rsidRPr="00207C9F" w:rsidRDefault="009C32F0" w:rsidP="00F225CF">
      <w:pPr>
        <w:pStyle w:val="RouteTitle"/>
        <w:ind w:left="2517" w:right="390"/>
        <w:jc w:val="right"/>
        <w:rPr>
          <w:rFonts w:ascii="Arial" w:hAnsi="Arial"/>
          <w:b w:val="0"/>
          <w:sz w:val="22"/>
        </w:rPr>
      </w:pPr>
      <w:r>
        <w:rPr>
          <w:noProof/>
        </w:rPr>
        <w:drawing>
          <wp:anchor distT="0" distB="0" distL="114300" distR="114300" simplePos="0" relativeHeight="251660288" behindDoc="1" locked="0" layoutInCell="1" allowOverlap="1">
            <wp:simplePos x="0" y="0"/>
            <wp:positionH relativeFrom="column">
              <wp:posOffset>3268980</wp:posOffset>
            </wp:positionH>
            <wp:positionV relativeFrom="paragraph">
              <wp:posOffset>-1270</wp:posOffset>
            </wp:positionV>
            <wp:extent cx="3133725" cy="619125"/>
            <wp:effectExtent l="19050" t="0" r="9525" b="0"/>
            <wp:wrapTight wrapText="bothSides">
              <wp:wrapPolygon edited="0">
                <wp:start x="-131" y="0"/>
                <wp:lineTo x="-131" y="21268"/>
                <wp:lineTo x="21666" y="21268"/>
                <wp:lineTo x="21666" y="0"/>
                <wp:lineTo x="-131" y="0"/>
              </wp:wrapPolygon>
            </wp:wrapTight>
            <wp:docPr id="124" name="Picture 124"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9"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p>
    <w:p w:rsidR="00207C9F" w:rsidRPr="00207C9F" w:rsidRDefault="00207C9F" w:rsidP="00207C9F">
      <w:pPr>
        <w:pStyle w:val="RouteTitle"/>
        <w:tabs>
          <w:tab w:val="left" w:pos="5220"/>
          <w:tab w:val="left" w:pos="6820"/>
          <w:tab w:val="left" w:pos="8560"/>
          <w:tab w:val="left" w:pos="8820"/>
          <w:tab w:val="left" w:pos="10800"/>
          <w:tab w:val="right" w:pos="13778"/>
        </w:tabs>
        <w:ind w:left="2517"/>
        <w:rPr>
          <w:b w:val="0"/>
          <w:sz w:val="22"/>
          <w:szCs w:val="22"/>
        </w:rPr>
      </w:pPr>
      <w:r w:rsidRPr="00207C9F">
        <w:rPr>
          <w:b w:val="0"/>
          <w:sz w:val="22"/>
          <w:szCs w:val="22"/>
        </w:rPr>
        <w:tab/>
      </w:r>
    </w:p>
    <w:p w:rsidR="00207C9F" w:rsidRPr="00545FDA" w:rsidRDefault="00207C9F" w:rsidP="00207C9F">
      <w:pPr>
        <w:pStyle w:val="Subtitle"/>
        <w:rPr>
          <w:rFonts w:ascii="Arial" w:hAnsi="Arial"/>
          <w:b w:val="0"/>
          <w:sz w:val="22"/>
          <w:szCs w:val="22"/>
        </w:rPr>
      </w:pPr>
    </w:p>
    <w:p w:rsidR="00250178" w:rsidRDefault="00250178" w:rsidP="00E661D3">
      <w:pPr>
        <w:pStyle w:val="RouteTitle"/>
        <w:rPr>
          <w:rFonts w:ascii="Arial" w:hAnsi="Arial"/>
          <w:b w:val="0"/>
          <w:sz w:val="32"/>
          <w:szCs w:val="32"/>
        </w:rPr>
      </w:pPr>
    </w:p>
    <w:p w:rsidR="00BB5784" w:rsidRPr="00E44BDA" w:rsidRDefault="005174DC" w:rsidP="00085597">
      <w:pPr>
        <w:pStyle w:val="Title"/>
        <w:ind w:left="0"/>
        <w:jc w:val="center"/>
        <w:rPr>
          <w:rFonts w:ascii="Arial" w:hAnsi="Arial"/>
          <w:sz w:val="28"/>
        </w:rPr>
      </w:pPr>
      <w:r w:rsidRPr="00E44BDA">
        <w:rPr>
          <w:rFonts w:ascii="Arial" w:hAnsi="Arial"/>
          <w:sz w:val="28"/>
        </w:rPr>
        <w:t>Risk Management and Corporate Assurance Policy</w:t>
      </w:r>
    </w:p>
    <w:p w:rsidR="00215A15" w:rsidRPr="00215A15" w:rsidRDefault="00215A15" w:rsidP="00085597">
      <w:pPr>
        <w:pStyle w:val="Title"/>
        <w:ind w:left="0"/>
        <w:jc w:val="center"/>
        <w:rPr>
          <w:rFonts w:ascii="Arial" w:hAnsi="Arial"/>
          <w:color w:val="808080"/>
          <w:sz w:val="24"/>
          <w:szCs w:val="24"/>
        </w:rPr>
      </w:pPr>
    </w:p>
    <w:p w:rsidR="00BB5784" w:rsidRPr="002D2DF8" w:rsidRDefault="00BB5784" w:rsidP="00BB5784">
      <w:pPr>
        <w:pStyle w:val="BodyText"/>
        <w:rPr>
          <w:color w:val="FF0000"/>
          <w:sz w:val="24"/>
        </w:rPr>
      </w:pPr>
    </w:p>
    <w:p w:rsidR="00BB5784" w:rsidRDefault="00BB5784" w:rsidP="00BB5784">
      <w:pPr>
        <w:pStyle w:val="BodyText"/>
        <w:rPr>
          <w:sz w:val="24"/>
        </w:rPr>
      </w:pPr>
    </w:p>
    <w:p w:rsidR="00CA59C7" w:rsidRDefault="00CA59C7" w:rsidP="00BB5784">
      <w:pPr>
        <w:pStyle w:val="BodyText"/>
        <w:rPr>
          <w:sz w:val="24"/>
        </w:rPr>
      </w:pPr>
    </w:p>
    <w:p w:rsidR="00CA59C7" w:rsidRPr="00BB26AE" w:rsidRDefault="00CA59C7" w:rsidP="00BB5784">
      <w:pPr>
        <w:pStyle w:val="BodyText"/>
        <w:rPr>
          <w:sz w:val="24"/>
        </w:rPr>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175458" w:rsidRPr="00900D38" w:rsidRDefault="00282233" w:rsidP="00966190">
      <w:pPr>
        <w:pStyle w:val="BodyText"/>
        <w:tabs>
          <w:tab w:val="left" w:pos="3420"/>
        </w:tabs>
        <w:spacing w:after="0"/>
        <w:ind w:firstLine="513"/>
      </w:pPr>
      <w:r>
        <w:rPr>
          <w:b/>
        </w:rPr>
        <w:t>Author</w:t>
      </w:r>
      <w:r w:rsidR="00175458" w:rsidRPr="00966190">
        <w:rPr>
          <w:b/>
        </w:rPr>
        <w:t>:</w:t>
      </w:r>
      <w:r w:rsidR="007A31E2">
        <w:rPr>
          <w:b/>
        </w:rPr>
        <w:t xml:space="preserve"> </w:t>
      </w:r>
      <w:r w:rsidR="005174DC">
        <w:rPr>
          <w:b/>
        </w:rPr>
        <w:tab/>
      </w:r>
      <w:r w:rsidR="005174DC" w:rsidRPr="005174DC">
        <w:t>Stephen Tebbutt</w:t>
      </w:r>
    </w:p>
    <w:p w:rsidR="00175458" w:rsidRPr="00900D38" w:rsidRDefault="00175458" w:rsidP="00966190">
      <w:pPr>
        <w:pStyle w:val="BodyText"/>
        <w:tabs>
          <w:tab w:val="left" w:pos="3420"/>
        </w:tabs>
        <w:spacing w:after="0"/>
        <w:ind w:left="3420" w:hanging="2340"/>
      </w:pPr>
      <w:r w:rsidRPr="00966190">
        <w:rPr>
          <w:b/>
        </w:rPr>
        <w:t>Date</w:t>
      </w:r>
      <w:r w:rsidR="00545FDA" w:rsidRPr="00966190">
        <w:rPr>
          <w:b/>
        </w:rPr>
        <w:t xml:space="preserve"> of Release</w:t>
      </w:r>
      <w:r w:rsidRPr="00966190">
        <w:rPr>
          <w:b/>
        </w:rPr>
        <w:t>:</w:t>
      </w:r>
      <w:r w:rsidR="005174DC">
        <w:rPr>
          <w:b/>
        </w:rPr>
        <w:tab/>
      </w:r>
      <w:r w:rsidRPr="0022017A">
        <w:tab/>
      </w:r>
    </w:p>
    <w:p w:rsidR="00215A15" w:rsidRDefault="00175458" w:rsidP="00966190">
      <w:pPr>
        <w:pStyle w:val="BodyText"/>
        <w:tabs>
          <w:tab w:val="left" w:pos="3420"/>
        </w:tabs>
        <w:ind w:left="3420" w:hanging="2340"/>
        <w:rPr>
          <w:b/>
        </w:rPr>
      </w:pPr>
      <w:proofErr w:type="gramStart"/>
      <w:r w:rsidRPr="00966190">
        <w:rPr>
          <w:b/>
        </w:rPr>
        <w:t>Version</w:t>
      </w:r>
      <w:r w:rsidR="003644C7" w:rsidRPr="00966190">
        <w:rPr>
          <w:b/>
        </w:rPr>
        <w:t xml:space="preserve"> No.</w:t>
      </w:r>
      <w:proofErr w:type="gramEnd"/>
      <w:r w:rsidR="003644C7" w:rsidRPr="00966190">
        <w:rPr>
          <w:b/>
        </w:rPr>
        <w:t xml:space="preserve"> &amp; Status</w:t>
      </w:r>
      <w:r w:rsidRPr="00966190">
        <w:rPr>
          <w:b/>
        </w:rPr>
        <w:t>:</w:t>
      </w:r>
      <w:r w:rsidRPr="00966190">
        <w:rPr>
          <w:b/>
        </w:rPr>
        <w:tab/>
      </w:r>
      <w:r w:rsidR="005174DC" w:rsidRPr="005174DC">
        <w:t>3.</w:t>
      </w:r>
      <w:r w:rsidR="0093562D">
        <w:t>3 11/01/2015 (FINAL)</w:t>
      </w:r>
    </w:p>
    <w:p w:rsidR="00175458" w:rsidRDefault="00175458" w:rsidP="00966190">
      <w:pPr>
        <w:pStyle w:val="BodyText"/>
        <w:tabs>
          <w:tab w:val="left" w:pos="3420"/>
        </w:tabs>
        <w:ind w:left="3420" w:hanging="2340"/>
      </w:pPr>
      <w:r w:rsidRPr="00966190">
        <w:rPr>
          <w:b/>
        </w:rPr>
        <w:t>Approved By:</w:t>
      </w:r>
      <w:r w:rsidRPr="00F84660">
        <w:t xml:space="preserve">  </w:t>
      </w:r>
      <w:r w:rsidR="00085597">
        <w:tab/>
        <w:t xml:space="preserve"> </w:t>
      </w:r>
    </w:p>
    <w:p w:rsidR="00085597" w:rsidRDefault="003644C7" w:rsidP="00966190">
      <w:pPr>
        <w:pStyle w:val="BodyText"/>
        <w:tabs>
          <w:tab w:val="left" w:pos="3420"/>
        </w:tabs>
        <w:ind w:left="3420" w:hanging="2340"/>
      </w:pPr>
      <w:r w:rsidRPr="00966190">
        <w:rPr>
          <w:b/>
        </w:rPr>
        <w:t xml:space="preserve">Supersedes Version: </w:t>
      </w:r>
      <w:r w:rsidR="00966190">
        <w:rPr>
          <w:b/>
        </w:rPr>
        <w:t xml:space="preserve"> </w:t>
      </w:r>
      <w:r w:rsidR="00085597">
        <w:t xml:space="preserve"> </w:t>
      </w:r>
      <w:r w:rsidR="0093562D">
        <w:t>3.2</w:t>
      </w:r>
    </w:p>
    <w:p w:rsidR="003644C7" w:rsidRDefault="003644C7" w:rsidP="00966190">
      <w:pPr>
        <w:pStyle w:val="BodyText"/>
        <w:tabs>
          <w:tab w:val="left" w:pos="3420"/>
        </w:tabs>
        <w:ind w:left="3420" w:hanging="2340"/>
      </w:pPr>
      <w:r w:rsidRPr="00966190">
        <w:rPr>
          <w:b/>
        </w:rPr>
        <w:t>Review Date:</w:t>
      </w:r>
      <w:r w:rsidR="00085597">
        <w:t xml:space="preserve"> </w:t>
      </w:r>
      <w:r w:rsidR="00085597">
        <w:tab/>
        <w:t xml:space="preserve"> </w:t>
      </w:r>
      <w:bookmarkStart w:id="0" w:name="_GoBack"/>
      <w:bookmarkEnd w:id="0"/>
    </w:p>
    <w:p w:rsidR="003644C7" w:rsidRPr="00F84660" w:rsidRDefault="003644C7" w:rsidP="00966190">
      <w:pPr>
        <w:pStyle w:val="BodyText"/>
        <w:tabs>
          <w:tab w:val="left" w:pos="3420"/>
        </w:tabs>
        <w:ind w:left="3420" w:hanging="2340"/>
      </w:pPr>
      <w:r w:rsidRPr="00966190">
        <w:rPr>
          <w:b/>
        </w:rPr>
        <w:t>Owner:</w:t>
      </w:r>
      <w:r w:rsidR="00085597">
        <w:tab/>
      </w:r>
      <w:r w:rsidR="005174DC">
        <w:t>Janet Wisely</w:t>
      </w:r>
      <w:r w:rsidR="00085597">
        <w:t xml:space="preserve"> </w:t>
      </w:r>
    </w:p>
    <w:p w:rsidR="00BB5784" w:rsidRPr="00BB26AE" w:rsidRDefault="00BB5784" w:rsidP="00BB5784">
      <w:pPr>
        <w:pStyle w:val="BodyText"/>
        <w:rPr>
          <w:sz w:val="24"/>
        </w:rPr>
      </w:pPr>
    </w:p>
    <w:p w:rsidR="00175458" w:rsidRDefault="00175458" w:rsidP="00207C9F">
      <w:pPr>
        <w:pStyle w:val="BodyText"/>
        <w:tabs>
          <w:tab w:val="left" w:pos="3420"/>
        </w:tabs>
        <w:ind w:left="3420" w:hanging="2160"/>
        <w:sectPr w:rsidR="00175458" w:rsidSect="006B6596">
          <w:headerReference w:type="default" r:id="rId10"/>
          <w:footerReference w:type="default" r:id="rId11"/>
          <w:headerReference w:type="first" r:id="rId12"/>
          <w:footerReference w:type="first" r:id="rId13"/>
          <w:pgSz w:w="11907" w:h="16834" w:code="9"/>
          <w:pgMar w:top="902" w:right="720" w:bottom="1077" w:left="720" w:header="431" w:footer="431" w:gutter="357"/>
          <w:cols w:space="720"/>
          <w:titlePg/>
        </w:sectPr>
      </w:pPr>
    </w:p>
    <w:p w:rsidR="00CF1279" w:rsidRDefault="00750059" w:rsidP="00BF0608">
      <w:pPr>
        <w:pStyle w:val="Heading1"/>
        <w:numPr>
          <w:ilvl w:val="0"/>
          <w:numId w:val="23"/>
        </w:numPr>
      </w:pPr>
      <w:bookmarkStart w:id="1" w:name="_Toc45088285"/>
      <w:bookmarkStart w:id="2" w:name="_Toc106689789"/>
      <w:r>
        <w:lastRenderedPageBreak/>
        <w:t>Purpose</w:t>
      </w:r>
    </w:p>
    <w:p w:rsidR="00C66081" w:rsidRDefault="00750059" w:rsidP="00C66081">
      <w:pPr>
        <w:pStyle w:val="StyleBodyText12pt"/>
        <w:numPr>
          <w:ilvl w:val="1"/>
          <w:numId w:val="23"/>
        </w:numPr>
        <w:spacing w:before="0" w:after="0"/>
        <w:ind w:left="788" w:hanging="431"/>
      </w:pPr>
      <w:r>
        <w:t xml:space="preserve">This policy sets out </w:t>
      </w:r>
      <w:r w:rsidR="00C3689C">
        <w:t>the risk management principles and systems the HRA will use to underpin its risk management strategy.</w:t>
      </w:r>
    </w:p>
    <w:p w:rsidR="00C66081" w:rsidRDefault="00C66081" w:rsidP="00C66081">
      <w:pPr>
        <w:pStyle w:val="StyleBodyText12pt"/>
        <w:spacing w:before="0" w:after="0"/>
        <w:ind w:left="788"/>
      </w:pPr>
    </w:p>
    <w:p w:rsidR="00C66081" w:rsidRPr="00C66081" w:rsidRDefault="00C66081" w:rsidP="00C66081">
      <w:pPr>
        <w:pStyle w:val="StyleBodyText12pt"/>
        <w:numPr>
          <w:ilvl w:val="1"/>
          <w:numId w:val="23"/>
        </w:numPr>
        <w:spacing w:before="0" w:after="0"/>
        <w:ind w:left="788" w:hanging="431"/>
        <w:rPr>
          <w:szCs w:val="22"/>
        </w:rPr>
      </w:pPr>
      <w:r>
        <w:rPr>
          <w:color w:val="000000"/>
          <w:szCs w:val="22"/>
        </w:rPr>
        <w:t>The</w:t>
      </w:r>
      <w:r w:rsidRPr="00C66081">
        <w:rPr>
          <w:color w:val="000000"/>
          <w:szCs w:val="22"/>
        </w:rPr>
        <w:t xml:space="preserve"> programme of risk management shall include: </w:t>
      </w:r>
    </w:p>
    <w:p w:rsidR="00C66081" w:rsidRPr="00C66081" w:rsidRDefault="00C66081" w:rsidP="00C66081">
      <w:pPr>
        <w:pStyle w:val="StyleBodyText12pt"/>
        <w:spacing w:before="0" w:after="0"/>
        <w:ind w:left="788"/>
        <w:rPr>
          <w:szCs w:val="22"/>
        </w:rPr>
      </w:pP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a process for identifying and quantifying risks and potential liabilities; </w:t>
      </w:r>
    </w:p>
    <w:p w:rsidR="00C66081" w:rsidRPr="00C66081" w:rsidRDefault="00C66081" w:rsidP="00C66081">
      <w:pPr>
        <w:pStyle w:val="ListParagraph"/>
        <w:ind w:left="1361"/>
        <w:rPr>
          <w:rFonts w:ascii="Arial" w:hAnsi="Arial" w:cs="Arial"/>
          <w:color w:val="000000"/>
          <w:sz w:val="22"/>
          <w:szCs w:val="22"/>
        </w:rPr>
      </w:pP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engendering among all levels of staff a positive attitude towards the control of risk; </w:t>
      </w:r>
    </w:p>
    <w:p w:rsidR="00C66081" w:rsidRPr="00C66081" w:rsidRDefault="00C66081" w:rsidP="00C66081">
      <w:pPr>
        <w:pStyle w:val="ListParagraph"/>
        <w:ind w:left="1361"/>
        <w:rPr>
          <w:rFonts w:ascii="Arial" w:hAnsi="Arial" w:cs="Arial"/>
          <w:color w:val="000000"/>
          <w:sz w:val="22"/>
          <w:szCs w:val="22"/>
        </w:rPr>
      </w:pP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management processes to ensure all significant risks and potential liabilities are addressed </w:t>
      </w: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including effective systems of internal control/governance, cost effective insurance cover, and decisions on the acceptable level of retained risk; </w:t>
      </w:r>
    </w:p>
    <w:p w:rsidR="00C66081" w:rsidRPr="00C66081" w:rsidRDefault="00C66081" w:rsidP="00C66081">
      <w:pPr>
        <w:pStyle w:val="ListParagraph"/>
        <w:ind w:left="1361"/>
        <w:rPr>
          <w:rFonts w:ascii="Arial" w:hAnsi="Arial" w:cs="Arial"/>
          <w:color w:val="000000"/>
          <w:sz w:val="22"/>
          <w:szCs w:val="22"/>
        </w:rPr>
      </w:pP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contingency plans to offset the impact of adverse events; </w:t>
      </w:r>
    </w:p>
    <w:p w:rsidR="00C66081" w:rsidRPr="00C66081" w:rsidRDefault="00C66081" w:rsidP="00C66081">
      <w:pPr>
        <w:pStyle w:val="ListParagraph"/>
        <w:ind w:left="1361"/>
        <w:rPr>
          <w:rFonts w:ascii="Arial" w:hAnsi="Arial" w:cs="Arial"/>
          <w:color w:val="000000"/>
          <w:sz w:val="22"/>
          <w:szCs w:val="22"/>
        </w:rPr>
      </w:pP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audit arrangements including; internal audit, and health and safety reviews; </w:t>
      </w:r>
    </w:p>
    <w:p w:rsidR="00C66081" w:rsidRPr="00C66081" w:rsidRDefault="00C66081" w:rsidP="00C66081">
      <w:pPr>
        <w:pStyle w:val="ListParagraph"/>
        <w:ind w:left="1361"/>
        <w:rPr>
          <w:rFonts w:ascii="Arial" w:hAnsi="Arial" w:cs="Arial"/>
          <w:color w:val="000000"/>
          <w:sz w:val="22"/>
          <w:szCs w:val="22"/>
        </w:rPr>
      </w:pPr>
    </w:p>
    <w:p w:rsidR="00C66081" w:rsidRPr="00C66081" w:rsidRDefault="00C66081" w:rsidP="00C66081">
      <w:pPr>
        <w:pStyle w:val="ListParagraph"/>
        <w:numPr>
          <w:ilvl w:val="2"/>
          <w:numId w:val="23"/>
        </w:numPr>
        <w:rPr>
          <w:rFonts w:ascii="Arial" w:hAnsi="Arial" w:cs="Arial"/>
          <w:color w:val="000000"/>
          <w:sz w:val="22"/>
          <w:szCs w:val="22"/>
        </w:rPr>
      </w:pPr>
      <w:r w:rsidRPr="00C66081">
        <w:rPr>
          <w:rFonts w:ascii="Arial" w:hAnsi="Arial" w:cs="Arial"/>
          <w:color w:val="000000"/>
          <w:sz w:val="22"/>
          <w:szCs w:val="22"/>
        </w:rPr>
        <w:t xml:space="preserve">a clear indication of which risks shall be insured; </w:t>
      </w:r>
    </w:p>
    <w:p w:rsidR="00C66081" w:rsidRPr="00C66081" w:rsidRDefault="00C66081" w:rsidP="00C66081">
      <w:pPr>
        <w:pStyle w:val="ListParagraph"/>
        <w:ind w:left="1361"/>
        <w:rPr>
          <w:rFonts w:ascii="Arial" w:hAnsi="Arial" w:cs="Arial"/>
          <w:color w:val="000000"/>
          <w:sz w:val="22"/>
          <w:szCs w:val="22"/>
        </w:rPr>
      </w:pPr>
    </w:p>
    <w:p w:rsidR="00C66081" w:rsidRPr="00C66081" w:rsidRDefault="00C66081" w:rsidP="00C66081">
      <w:pPr>
        <w:pStyle w:val="ListParagraph"/>
        <w:numPr>
          <w:ilvl w:val="2"/>
          <w:numId w:val="23"/>
        </w:numPr>
        <w:rPr>
          <w:rFonts w:ascii="Arial" w:hAnsi="Arial" w:cs="Arial"/>
          <w:color w:val="000000"/>
          <w:sz w:val="22"/>
          <w:szCs w:val="22"/>
        </w:rPr>
      </w:pPr>
      <w:proofErr w:type="gramStart"/>
      <w:r w:rsidRPr="00C66081">
        <w:rPr>
          <w:rFonts w:ascii="Arial" w:hAnsi="Arial" w:cs="Arial"/>
          <w:color w:val="000000"/>
          <w:sz w:val="22"/>
          <w:szCs w:val="22"/>
        </w:rPr>
        <w:t>arrangements</w:t>
      </w:r>
      <w:proofErr w:type="gramEnd"/>
      <w:r w:rsidRPr="00C66081">
        <w:rPr>
          <w:rFonts w:ascii="Arial" w:hAnsi="Arial" w:cs="Arial"/>
          <w:color w:val="000000"/>
          <w:sz w:val="22"/>
          <w:szCs w:val="22"/>
        </w:rPr>
        <w:t xml:space="preserve"> to review the risk management programme. </w:t>
      </w:r>
    </w:p>
    <w:p w:rsidR="00750059" w:rsidRDefault="00750059" w:rsidP="00750059">
      <w:pPr>
        <w:pStyle w:val="StyleBodyText12pt"/>
        <w:spacing w:before="0" w:after="0"/>
        <w:ind w:left="788"/>
      </w:pPr>
    </w:p>
    <w:p w:rsidR="00750059" w:rsidRDefault="00750059" w:rsidP="00750059">
      <w:pPr>
        <w:pStyle w:val="StyleBodyText12pt"/>
        <w:numPr>
          <w:ilvl w:val="1"/>
          <w:numId w:val="23"/>
        </w:numPr>
        <w:spacing w:before="0" w:after="0"/>
        <w:ind w:left="788" w:hanging="431"/>
      </w:pPr>
      <w:r w:rsidRPr="009717D6">
        <w:t xml:space="preserve">The </w:t>
      </w:r>
      <w:r>
        <w:t>HRA</w:t>
      </w:r>
      <w:r w:rsidRPr="009717D6">
        <w:t xml:space="preserve"> </w:t>
      </w:r>
      <w:r>
        <w:t xml:space="preserve">aims to maximise the impact </w:t>
      </w:r>
      <w:r w:rsidRPr="009717D6">
        <w:t>of its operations within the resources available to it. I</w:t>
      </w:r>
      <w:r>
        <w:t>n so doing i</w:t>
      </w:r>
      <w:r w:rsidRPr="009717D6">
        <w:t xml:space="preserve">t aims to manage risks </w:t>
      </w:r>
      <w:r>
        <w:t xml:space="preserve">at all levels in the organisation from the top strategic level to the bottom operational / project levels without dampening innovation, including the projects delivered by partner organisations.  This requires consideration of a full cross section of risks to the organisation including; reputation risks, financial risks, organisational risks, health and safety risks and risks to the achievement of the organisation’s objectives.  </w:t>
      </w:r>
    </w:p>
    <w:p w:rsidR="00750059" w:rsidRDefault="00750059" w:rsidP="00750059">
      <w:pPr>
        <w:pStyle w:val="StyleBodyText12pt"/>
        <w:spacing w:before="0" w:after="0"/>
        <w:ind w:left="788"/>
      </w:pPr>
    </w:p>
    <w:p w:rsidR="00750059" w:rsidRDefault="00750059" w:rsidP="00016201">
      <w:pPr>
        <w:pStyle w:val="StyleBodyText12pt"/>
        <w:numPr>
          <w:ilvl w:val="1"/>
          <w:numId w:val="23"/>
        </w:numPr>
        <w:spacing w:before="0" w:after="0"/>
        <w:ind w:left="788" w:hanging="431"/>
      </w:pPr>
      <w:r w:rsidRPr="009717D6">
        <w:t xml:space="preserve">In addressing issues relating to risk, the </w:t>
      </w:r>
      <w:r>
        <w:t>HRA</w:t>
      </w:r>
      <w:r w:rsidRPr="009717D6">
        <w:t xml:space="preserve"> will seek to be as transparent and open as possible and, through this approach, </w:t>
      </w:r>
      <w:r>
        <w:t>aims to</w:t>
      </w:r>
      <w:r w:rsidRPr="009717D6">
        <w:t xml:space="preserve"> identify and address </w:t>
      </w:r>
      <w:r>
        <w:t>those</w:t>
      </w:r>
      <w:r w:rsidRPr="009717D6">
        <w:t xml:space="preserve"> areas where there </w:t>
      </w:r>
      <w:r>
        <w:t>is a need</w:t>
      </w:r>
      <w:r w:rsidRPr="009717D6">
        <w:t xml:space="preserve"> for improvement in</w:t>
      </w:r>
      <w:r>
        <w:t xml:space="preserve"> the</w:t>
      </w:r>
      <w:r w:rsidRPr="009717D6">
        <w:t xml:space="preserve"> risk management </w:t>
      </w:r>
      <w:r>
        <w:t>processes and/or controls and contingencies</w:t>
      </w:r>
      <w:r w:rsidRPr="009717D6">
        <w:t>.</w:t>
      </w:r>
    </w:p>
    <w:p w:rsidR="00750059" w:rsidRDefault="00750059" w:rsidP="008372A3">
      <w:pPr>
        <w:pStyle w:val="StyleBodyText12pt"/>
        <w:spacing w:before="0" w:after="0"/>
        <w:ind w:left="788"/>
      </w:pPr>
    </w:p>
    <w:p w:rsidR="00914474" w:rsidRDefault="00914474" w:rsidP="008372A3">
      <w:pPr>
        <w:pStyle w:val="Heading1"/>
        <w:numPr>
          <w:ilvl w:val="0"/>
          <w:numId w:val="23"/>
        </w:numPr>
        <w:spacing w:after="0"/>
      </w:pPr>
      <w:r>
        <w:t>Scope</w:t>
      </w:r>
    </w:p>
    <w:p w:rsidR="008372A3" w:rsidRPr="008372A3" w:rsidRDefault="008372A3" w:rsidP="008372A3">
      <w:pPr>
        <w:pStyle w:val="BodyText"/>
        <w:spacing w:before="0" w:after="0"/>
        <w:ind w:left="0"/>
      </w:pPr>
    </w:p>
    <w:p w:rsidR="00C66081" w:rsidRDefault="00C3689C" w:rsidP="00C66081">
      <w:pPr>
        <w:pStyle w:val="StyleBodyText12pt"/>
        <w:numPr>
          <w:ilvl w:val="1"/>
          <w:numId w:val="23"/>
        </w:numPr>
        <w:spacing w:before="0" w:after="0"/>
        <w:ind w:left="788" w:hanging="431"/>
      </w:pPr>
      <w:r w:rsidRPr="009717D6">
        <w:t xml:space="preserve">The </w:t>
      </w:r>
      <w:r>
        <w:t>HRA</w:t>
      </w:r>
      <w:r w:rsidRPr="009717D6">
        <w:t xml:space="preserve"> recognises that risk management is an integral part of the management </w:t>
      </w:r>
      <w:r>
        <w:t>and working p</w:t>
      </w:r>
      <w:r w:rsidRPr="009717D6">
        <w:t>rocess</w:t>
      </w:r>
      <w:r>
        <w:t>es of the organisation.</w:t>
      </w:r>
      <w:r w:rsidR="00C66081" w:rsidRPr="00C66081">
        <w:t xml:space="preserve"> </w:t>
      </w:r>
      <w:r w:rsidR="00C66081">
        <w:t>Risk management</w:t>
      </w:r>
      <w:r w:rsidR="00C66081" w:rsidRPr="009717D6">
        <w:t xml:space="preserve"> </w:t>
      </w:r>
      <w:r w:rsidR="00C66081">
        <w:t>is</w:t>
      </w:r>
      <w:r w:rsidR="00C66081" w:rsidRPr="009717D6">
        <w:t xml:space="preserve"> part of the culture of the </w:t>
      </w:r>
      <w:r w:rsidR="00C66081">
        <w:t>HRA and will be continually evaluated</w:t>
      </w:r>
      <w:r w:rsidR="00C66081" w:rsidRPr="009717D6">
        <w:t>.</w:t>
      </w:r>
    </w:p>
    <w:p w:rsidR="00C3689C" w:rsidRDefault="00C3689C" w:rsidP="00016201">
      <w:pPr>
        <w:pStyle w:val="StyleBodyText12pt"/>
        <w:spacing w:before="0" w:after="0"/>
        <w:ind w:left="788"/>
      </w:pPr>
    </w:p>
    <w:p w:rsidR="00C3689C" w:rsidRDefault="00C3689C" w:rsidP="00016201">
      <w:pPr>
        <w:pStyle w:val="StyleBodyText12pt"/>
        <w:numPr>
          <w:ilvl w:val="1"/>
          <w:numId w:val="23"/>
        </w:numPr>
        <w:spacing w:before="0" w:after="0"/>
        <w:ind w:left="788" w:hanging="431"/>
      </w:pPr>
      <w:r w:rsidRPr="009717D6">
        <w:t xml:space="preserve">The </w:t>
      </w:r>
      <w:r>
        <w:t>HRA</w:t>
      </w:r>
      <w:r w:rsidRPr="009717D6">
        <w:t xml:space="preserve"> </w:t>
      </w:r>
      <w:r>
        <w:t>will</w:t>
      </w:r>
      <w:r w:rsidRPr="009717D6">
        <w:t xml:space="preserve"> </w:t>
      </w:r>
      <w:r>
        <w:t>communicate</w:t>
      </w:r>
      <w:r w:rsidRPr="009717D6">
        <w:t xml:space="preserve"> the message that all staff </w:t>
      </w:r>
      <w:proofErr w:type="gramStart"/>
      <w:r w:rsidRPr="009717D6">
        <w:t>have</w:t>
      </w:r>
      <w:proofErr w:type="gramEnd"/>
      <w:r w:rsidRPr="009717D6">
        <w:t xml:space="preserve"> a role to play in </w:t>
      </w:r>
      <w:r>
        <w:t xml:space="preserve">managing </w:t>
      </w:r>
      <w:r w:rsidRPr="009717D6">
        <w:t>risk throughout the whole organisation, and provid</w:t>
      </w:r>
      <w:r>
        <w:t>e</w:t>
      </w:r>
      <w:r w:rsidRPr="009717D6">
        <w:t xml:space="preserve"> the means for them to play that role</w:t>
      </w:r>
      <w:r w:rsidR="00C66081">
        <w:t xml:space="preserve"> through the dissemination of relevant information and training</w:t>
      </w:r>
      <w:r w:rsidR="00C66081" w:rsidRPr="009717D6">
        <w:t>.</w:t>
      </w:r>
    </w:p>
    <w:p w:rsidR="00C3689C" w:rsidRDefault="00C3689C" w:rsidP="00016201">
      <w:pPr>
        <w:pStyle w:val="StyleBodyText12pt"/>
        <w:spacing w:before="0" w:after="0"/>
        <w:ind w:left="788"/>
      </w:pPr>
    </w:p>
    <w:p w:rsidR="00097397" w:rsidRPr="006C775A" w:rsidRDefault="00097397" w:rsidP="00097397">
      <w:pPr>
        <w:pStyle w:val="StyleBodyText12pt"/>
        <w:numPr>
          <w:ilvl w:val="1"/>
          <w:numId w:val="23"/>
        </w:numPr>
        <w:spacing w:before="0" w:after="0"/>
        <w:ind w:left="788" w:hanging="431"/>
      </w:pPr>
      <w:r w:rsidRPr="006C775A">
        <w:t xml:space="preserve">The HRA, when working with other partners in the NHS and in the wider health environment, will </w:t>
      </w:r>
      <w:r>
        <w:t>seek to develop</w:t>
      </w:r>
      <w:r w:rsidRPr="006C775A">
        <w:t xml:space="preserve"> collaborative risk management arrangements</w:t>
      </w:r>
      <w:r>
        <w:t xml:space="preserve">, recognising that integrating risk with partner organisations can be complex. </w:t>
      </w:r>
      <w:r w:rsidRPr="006C775A">
        <w:t xml:space="preserve">The HRA will </w:t>
      </w:r>
      <w:r>
        <w:t xml:space="preserve">endeavour to </w:t>
      </w:r>
      <w:r w:rsidRPr="006C775A">
        <w:t>ensure that ownership of the risk is confirmed at the outset with a forum agreed for the communication and management of the risk.</w:t>
      </w:r>
    </w:p>
    <w:p w:rsidR="00D33140" w:rsidRDefault="00D33140" w:rsidP="008372A3">
      <w:pPr>
        <w:pStyle w:val="BodyText"/>
        <w:spacing w:before="0" w:after="0"/>
      </w:pPr>
    </w:p>
    <w:p w:rsidR="00261F98" w:rsidRDefault="00261F98" w:rsidP="008372A3">
      <w:pPr>
        <w:pStyle w:val="Heading1"/>
        <w:numPr>
          <w:ilvl w:val="0"/>
          <w:numId w:val="23"/>
        </w:numPr>
        <w:spacing w:after="0"/>
      </w:pPr>
      <w:r w:rsidRPr="00C3689C">
        <w:t>Reference Documents</w:t>
      </w:r>
    </w:p>
    <w:p w:rsidR="008372A3" w:rsidRPr="008372A3" w:rsidRDefault="008372A3" w:rsidP="008372A3">
      <w:pPr>
        <w:pStyle w:val="BodyText"/>
        <w:spacing w:before="0" w:after="0"/>
        <w:ind w:left="0"/>
      </w:pPr>
    </w:p>
    <w:p w:rsidR="00C3689C" w:rsidRPr="00C3689C" w:rsidRDefault="00C3689C" w:rsidP="00016201">
      <w:pPr>
        <w:pStyle w:val="BodyText"/>
        <w:numPr>
          <w:ilvl w:val="1"/>
          <w:numId w:val="23"/>
        </w:numPr>
        <w:spacing w:before="0" w:after="0"/>
      </w:pPr>
      <w:r w:rsidRPr="00C3689C">
        <w:t>This policy should be read in conjunction with the HRA Risk Management and Corporate Assurance Procedure document which sets out guidance regarding how risks are managed by the HRA.</w:t>
      </w:r>
    </w:p>
    <w:p w:rsidR="00A925E0" w:rsidRDefault="00A925E0" w:rsidP="00016201">
      <w:pPr>
        <w:pStyle w:val="BodyText"/>
        <w:spacing w:before="0" w:after="0"/>
      </w:pPr>
    </w:p>
    <w:p w:rsidR="00CB57B8" w:rsidRDefault="00CB57B8" w:rsidP="00016201">
      <w:pPr>
        <w:pStyle w:val="Heading1"/>
        <w:numPr>
          <w:ilvl w:val="0"/>
          <w:numId w:val="23"/>
        </w:numPr>
        <w:spacing w:after="0"/>
      </w:pPr>
      <w:r>
        <w:lastRenderedPageBreak/>
        <w:t>Risk Management principles</w:t>
      </w:r>
    </w:p>
    <w:p w:rsidR="00A925E0" w:rsidRPr="00A925E0" w:rsidRDefault="00A925E0" w:rsidP="00016201">
      <w:pPr>
        <w:pStyle w:val="BodyText"/>
        <w:spacing w:before="0" w:after="0"/>
        <w:ind w:left="0"/>
      </w:pPr>
    </w:p>
    <w:p w:rsidR="00CB57B8" w:rsidRDefault="00A925E0" w:rsidP="00016201">
      <w:pPr>
        <w:pStyle w:val="StyleBodyText12pt"/>
        <w:numPr>
          <w:ilvl w:val="1"/>
          <w:numId w:val="23"/>
        </w:numPr>
        <w:spacing w:before="0" w:after="0"/>
      </w:pPr>
      <w:r>
        <w:t xml:space="preserve">The following </w:t>
      </w:r>
      <w:r w:rsidR="009F33DD">
        <w:t>six</w:t>
      </w:r>
      <w:r w:rsidR="00CB57B8">
        <w:t xml:space="preserve"> principles underpin the HRA’s risk management strategy:</w:t>
      </w:r>
      <w:bookmarkStart w:id="3" w:name="_Toc214255624"/>
    </w:p>
    <w:p w:rsidR="00A925E0" w:rsidRDefault="00A925E0" w:rsidP="00016201">
      <w:pPr>
        <w:pStyle w:val="StyleBodyText12pt"/>
        <w:spacing w:before="0" w:after="0"/>
        <w:ind w:left="792"/>
      </w:pPr>
    </w:p>
    <w:p w:rsidR="00A925E0" w:rsidRDefault="00A925E0" w:rsidP="00016201">
      <w:pPr>
        <w:pStyle w:val="StyleBodyText12pt"/>
        <w:numPr>
          <w:ilvl w:val="2"/>
          <w:numId w:val="23"/>
        </w:numPr>
        <w:spacing w:before="0" w:after="0"/>
      </w:pPr>
      <w:r>
        <w:t>Leadership and Board Commitment</w:t>
      </w:r>
    </w:p>
    <w:p w:rsidR="00A925E0" w:rsidRDefault="00A925E0" w:rsidP="00016201">
      <w:pPr>
        <w:pStyle w:val="StyleBodyText12pt"/>
        <w:spacing w:before="0" w:after="0"/>
        <w:ind w:left="1361"/>
      </w:pPr>
    </w:p>
    <w:p w:rsidR="00A925E0" w:rsidRDefault="00C66081" w:rsidP="00016201">
      <w:pPr>
        <w:pStyle w:val="StyleBodyText12pt"/>
        <w:numPr>
          <w:ilvl w:val="3"/>
          <w:numId w:val="23"/>
        </w:numPr>
        <w:spacing w:before="0" w:after="0"/>
      </w:pPr>
      <w:r>
        <w:t>Under the Standing Financial Instructions, t</w:t>
      </w:r>
      <w:r w:rsidR="00A925E0" w:rsidRPr="009717D6">
        <w:t xml:space="preserve">he Board of the </w:t>
      </w:r>
      <w:r w:rsidR="00A925E0">
        <w:t>HRA</w:t>
      </w:r>
      <w:r w:rsidR="00A925E0" w:rsidRPr="009717D6">
        <w:t xml:space="preserve"> has overall responsibility for delivering an effective risk management strategy</w:t>
      </w:r>
      <w:r w:rsidR="00A925E0">
        <w:t xml:space="preserve"> and </w:t>
      </w:r>
      <w:r w:rsidR="00A925E0" w:rsidRPr="009717D6">
        <w:t xml:space="preserve">has the responsibility to oversee the approval of the Risk Management Policy and Strategy, and </w:t>
      </w:r>
      <w:r w:rsidR="00A925E0">
        <w:t xml:space="preserve">to keep it under regular </w:t>
      </w:r>
      <w:r w:rsidR="00A925E0" w:rsidRPr="009717D6">
        <w:t>review.</w:t>
      </w:r>
      <w:r w:rsidR="00A925E0">
        <w:t xml:space="preserve"> The focal point for risk management within the HRA is the </w:t>
      </w:r>
      <w:r>
        <w:t>Audit and Risk Committee</w:t>
      </w:r>
      <w:r w:rsidR="00A925E0">
        <w:t xml:space="preserve"> supported by the HRA Board Secretary and </w:t>
      </w:r>
      <w:r w:rsidR="00C3689C">
        <w:t xml:space="preserve">Chief Executive </w:t>
      </w:r>
      <w:r w:rsidR="00A925E0">
        <w:t>Business Manager and</w:t>
      </w:r>
      <w:r w:rsidR="00C3689C">
        <w:t xml:space="preserve"> the Executive Management Team (EMT).</w:t>
      </w:r>
    </w:p>
    <w:p w:rsidR="00A925E0" w:rsidRDefault="00A925E0" w:rsidP="00A925E0">
      <w:pPr>
        <w:pStyle w:val="StyleBodyText12pt"/>
        <w:spacing w:before="0" w:after="0"/>
        <w:ind w:left="1361"/>
      </w:pPr>
    </w:p>
    <w:p w:rsidR="00A925E0" w:rsidRDefault="00A925E0" w:rsidP="00A925E0">
      <w:pPr>
        <w:pStyle w:val="StyleBodyText12pt"/>
        <w:numPr>
          <w:ilvl w:val="2"/>
          <w:numId w:val="23"/>
        </w:numPr>
        <w:spacing w:before="0" w:after="0"/>
      </w:pPr>
      <w:r>
        <w:t>Staff and Participant Involvement</w:t>
      </w:r>
    </w:p>
    <w:p w:rsidR="00A925E0" w:rsidRDefault="00A925E0" w:rsidP="00A925E0">
      <w:pPr>
        <w:pStyle w:val="StyleBodyText12pt"/>
        <w:spacing w:before="0" w:after="0"/>
        <w:ind w:left="1361"/>
      </w:pPr>
    </w:p>
    <w:p w:rsidR="00A925E0" w:rsidRDefault="00A925E0" w:rsidP="00A925E0">
      <w:pPr>
        <w:pStyle w:val="StyleBodyText12pt"/>
        <w:numPr>
          <w:ilvl w:val="3"/>
          <w:numId w:val="23"/>
        </w:numPr>
        <w:spacing w:before="0" w:after="0"/>
      </w:pPr>
      <w:r w:rsidRPr="009717D6">
        <w:t xml:space="preserve">The </w:t>
      </w:r>
      <w:r>
        <w:t xml:space="preserve">HRA will </w:t>
      </w:r>
      <w:r w:rsidRPr="009717D6">
        <w:t xml:space="preserve">engage all staff in </w:t>
      </w:r>
      <w:r>
        <w:t>its</w:t>
      </w:r>
      <w:r w:rsidRPr="009717D6">
        <w:t xml:space="preserve"> risk management </w:t>
      </w:r>
      <w:r>
        <w:t xml:space="preserve">activities; </w:t>
      </w:r>
      <w:r w:rsidRPr="002F23FE">
        <w:t xml:space="preserve">along with other participants and contractors where </w:t>
      </w:r>
      <w:r w:rsidRPr="0059610F">
        <w:t xml:space="preserve">appropriate, </w:t>
      </w:r>
      <w:r>
        <w:t>e</w:t>
      </w:r>
      <w:r w:rsidRPr="0059610F">
        <w:t>mbedding a culture of risk awareness and reporting.</w:t>
      </w:r>
      <w:r w:rsidR="00C3689C">
        <w:t xml:space="preserve"> </w:t>
      </w:r>
    </w:p>
    <w:p w:rsidR="00A925E0" w:rsidRDefault="00A925E0" w:rsidP="00A925E0">
      <w:pPr>
        <w:pStyle w:val="StyleBodyText12pt"/>
        <w:spacing w:before="0" w:after="0"/>
        <w:ind w:left="1361"/>
      </w:pPr>
    </w:p>
    <w:p w:rsidR="00A925E0" w:rsidRDefault="00A925E0" w:rsidP="00A925E0">
      <w:pPr>
        <w:pStyle w:val="StyleBodyText12pt"/>
        <w:numPr>
          <w:ilvl w:val="2"/>
          <w:numId w:val="23"/>
        </w:numPr>
        <w:spacing w:before="0" w:after="0"/>
      </w:pPr>
      <w:r>
        <w:t>Hierarchy of Risk</w:t>
      </w:r>
    </w:p>
    <w:p w:rsidR="00A925E0" w:rsidRDefault="00A925E0" w:rsidP="00A925E0">
      <w:pPr>
        <w:pStyle w:val="StyleBodyText12pt"/>
        <w:spacing w:before="0" w:after="0"/>
        <w:ind w:left="1361"/>
      </w:pPr>
    </w:p>
    <w:p w:rsidR="00A925E0" w:rsidRDefault="00A925E0" w:rsidP="00A925E0">
      <w:pPr>
        <w:pStyle w:val="StyleBodyText12pt"/>
        <w:numPr>
          <w:ilvl w:val="3"/>
          <w:numId w:val="23"/>
        </w:numPr>
        <w:spacing w:before="0" w:after="0"/>
      </w:pPr>
      <w:r w:rsidRPr="007472CC">
        <w:t xml:space="preserve">The </w:t>
      </w:r>
      <w:r>
        <w:t>HRA</w:t>
      </w:r>
      <w:r w:rsidRPr="007472CC">
        <w:t xml:space="preserve">’s Risk Management </w:t>
      </w:r>
      <w:proofErr w:type="gramStart"/>
      <w:r w:rsidRPr="007472CC">
        <w:t xml:space="preserve">Strategy </w:t>
      </w:r>
      <w:r>
        <w:t xml:space="preserve"> covers</w:t>
      </w:r>
      <w:proofErr w:type="gramEnd"/>
      <w:r>
        <w:t xml:space="preserve"> all levels of the organisation’s activities from strategic to </w:t>
      </w:r>
      <w:r w:rsidRPr="0059610F">
        <w:t>operational (see</w:t>
      </w:r>
      <w:r w:rsidR="00141188">
        <w:t xml:space="preserve"> figure 1)</w:t>
      </w:r>
      <w:r w:rsidR="00FC6677">
        <w:t>.</w:t>
      </w:r>
    </w:p>
    <w:p w:rsidR="002C740F" w:rsidRDefault="002C740F" w:rsidP="002C740F">
      <w:pPr>
        <w:pStyle w:val="StyleBodyText12pt"/>
        <w:spacing w:before="0" w:after="0"/>
        <w:ind w:left="1871"/>
      </w:pPr>
    </w:p>
    <w:p w:rsidR="00A925E0" w:rsidRDefault="00A925E0" w:rsidP="00A925E0">
      <w:pPr>
        <w:pStyle w:val="StyleBodyText12pt"/>
        <w:spacing w:before="0" w:after="0"/>
        <w:ind w:left="1361"/>
      </w:pPr>
      <w:r>
        <w:rPr>
          <w:noProof/>
        </w:rPr>
        <w:drawing>
          <wp:inline distT="0" distB="0" distL="0" distR="0" wp14:anchorId="49A76CE4" wp14:editId="37094A1C">
            <wp:extent cx="5476875" cy="16954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1695450"/>
                    </a:xfrm>
                    <a:prstGeom prst="rect">
                      <a:avLst/>
                    </a:prstGeom>
                    <a:noFill/>
                    <a:ln>
                      <a:solidFill>
                        <a:schemeClr val="tx1"/>
                      </a:solidFill>
                    </a:ln>
                  </pic:spPr>
                </pic:pic>
              </a:graphicData>
            </a:graphic>
          </wp:inline>
        </w:drawing>
      </w:r>
    </w:p>
    <w:p w:rsidR="00A925E0" w:rsidRDefault="00141188" w:rsidP="00141188">
      <w:pPr>
        <w:pStyle w:val="StyleBodyText12pt"/>
        <w:spacing w:before="0" w:after="0"/>
        <w:ind w:left="1361"/>
        <w:jc w:val="right"/>
      </w:pPr>
      <w:r>
        <w:t>Figure 1</w:t>
      </w:r>
    </w:p>
    <w:bookmarkEnd w:id="3"/>
    <w:p w:rsidR="00A925E0" w:rsidRDefault="00A925E0" w:rsidP="00A925E0">
      <w:pPr>
        <w:pStyle w:val="StyleBodyText12pt"/>
        <w:numPr>
          <w:ilvl w:val="2"/>
          <w:numId w:val="23"/>
        </w:numPr>
        <w:spacing w:before="0" w:after="0"/>
      </w:pPr>
      <w:r w:rsidRPr="000C057D">
        <w:t xml:space="preserve">Integrated into Normal Working Processes </w:t>
      </w:r>
    </w:p>
    <w:p w:rsidR="00A925E0" w:rsidRDefault="00A925E0" w:rsidP="00A925E0">
      <w:pPr>
        <w:pStyle w:val="StyleBodyText12pt"/>
        <w:spacing w:before="0" w:after="0"/>
        <w:ind w:left="792"/>
      </w:pPr>
    </w:p>
    <w:p w:rsidR="00A925E0" w:rsidRPr="00A925E0" w:rsidRDefault="00A925E0" w:rsidP="00A925E0">
      <w:pPr>
        <w:pStyle w:val="StyleBodyText12pt"/>
        <w:numPr>
          <w:ilvl w:val="3"/>
          <w:numId w:val="23"/>
        </w:numPr>
        <w:spacing w:before="0" w:after="0"/>
      </w:pPr>
      <w:r w:rsidRPr="00A925E0">
        <w:rPr>
          <w:bCs/>
        </w:rPr>
        <w:t>The HRA will look to integrate risk management into its normal working processes to ensure that it is supportive of the organisation’s activities and is not an add-on. All planning, operational processes and procedures and project activities will consider risk.</w:t>
      </w:r>
    </w:p>
    <w:p w:rsidR="00A925E0" w:rsidRPr="00A925E0" w:rsidRDefault="00A925E0" w:rsidP="00A925E0">
      <w:pPr>
        <w:pStyle w:val="StyleBodyText12pt"/>
        <w:spacing w:before="0" w:after="0"/>
        <w:ind w:left="1871"/>
      </w:pPr>
    </w:p>
    <w:p w:rsidR="00A925E0" w:rsidRDefault="00A925E0" w:rsidP="00A925E0">
      <w:pPr>
        <w:pStyle w:val="StyleBodyText12pt"/>
        <w:numPr>
          <w:ilvl w:val="2"/>
          <w:numId w:val="23"/>
        </w:numPr>
        <w:spacing w:before="0" w:after="0"/>
      </w:pPr>
      <w:r w:rsidRPr="000C057D">
        <w:t>Practical and Proportionate Risk Management</w:t>
      </w:r>
    </w:p>
    <w:p w:rsidR="00A925E0" w:rsidRDefault="00A925E0" w:rsidP="00A925E0">
      <w:pPr>
        <w:pStyle w:val="StyleBodyText12pt"/>
        <w:spacing w:before="0" w:after="0"/>
        <w:ind w:left="792"/>
      </w:pPr>
    </w:p>
    <w:p w:rsidR="00A925E0" w:rsidRDefault="00A925E0" w:rsidP="00A925E0">
      <w:pPr>
        <w:pStyle w:val="StyleBodyText12pt"/>
        <w:numPr>
          <w:ilvl w:val="3"/>
          <w:numId w:val="23"/>
        </w:numPr>
        <w:spacing w:before="0" w:after="0"/>
      </w:pPr>
      <w:r w:rsidRPr="00A925E0">
        <w:rPr>
          <w:bCs/>
        </w:rPr>
        <w:t xml:space="preserve">The HRA will </w:t>
      </w:r>
      <w:r>
        <w:t>ensure that risks are managed in a practical and appropriate manner (i.e. proportionate to the magnitude of the risk).</w:t>
      </w:r>
    </w:p>
    <w:p w:rsidR="009F33DD" w:rsidRDefault="009F33DD" w:rsidP="009F33DD">
      <w:pPr>
        <w:pStyle w:val="StyleBodyText12pt"/>
        <w:spacing w:before="0" w:after="0"/>
        <w:ind w:left="1871"/>
      </w:pPr>
    </w:p>
    <w:p w:rsidR="009F33DD" w:rsidRDefault="00160ED7" w:rsidP="009F33DD">
      <w:pPr>
        <w:pStyle w:val="StyleBodyText12pt"/>
        <w:numPr>
          <w:ilvl w:val="2"/>
          <w:numId w:val="23"/>
        </w:numPr>
        <w:spacing w:before="0" w:after="0"/>
      </w:pPr>
      <w:r>
        <w:t>Risks across the organisation and externally</w:t>
      </w:r>
    </w:p>
    <w:p w:rsidR="009F33DD" w:rsidRDefault="009F33DD" w:rsidP="009F33DD">
      <w:pPr>
        <w:pStyle w:val="StyleBodyText12pt"/>
        <w:spacing w:before="0" w:after="0"/>
        <w:ind w:left="1361"/>
      </w:pPr>
    </w:p>
    <w:p w:rsidR="009F33DD" w:rsidRDefault="009F33DD" w:rsidP="009F33DD">
      <w:pPr>
        <w:pStyle w:val="StyleBodyText12pt"/>
        <w:numPr>
          <w:ilvl w:val="3"/>
          <w:numId w:val="23"/>
        </w:numPr>
        <w:spacing w:before="0" w:after="0"/>
      </w:pPr>
      <w:r>
        <w:t xml:space="preserve">The HRA recognises that many of its risks will </w:t>
      </w:r>
      <w:r w:rsidR="00B53D1B">
        <w:t>be shared between</w:t>
      </w:r>
      <w:r>
        <w:t xml:space="preserve"> different directorates within the organisation and also across external stakeholders.</w:t>
      </w:r>
      <w:r w:rsidR="00097397">
        <w:t xml:space="preserve"> Nevertheless it is important to assign a single Risk Owner, who shall always be a Director, to ensure clarity of responsibility.</w:t>
      </w:r>
    </w:p>
    <w:p w:rsidR="008E2DC2" w:rsidRDefault="008E2DC2" w:rsidP="008E2DC2">
      <w:pPr>
        <w:pStyle w:val="StyleBodyText12pt"/>
        <w:spacing w:before="0" w:after="0"/>
        <w:ind w:left="1871"/>
      </w:pPr>
    </w:p>
    <w:p w:rsidR="008E2DC2" w:rsidRDefault="008E2DC2" w:rsidP="009F33DD">
      <w:pPr>
        <w:pStyle w:val="StyleBodyText12pt"/>
        <w:numPr>
          <w:ilvl w:val="3"/>
          <w:numId w:val="23"/>
        </w:numPr>
        <w:spacing w:before="0" w:after="0"/>
      </w:pPr>
      <w:r>
        <w:t xml:space="preserve">For internal directorate </w:t>
      </w:r>
      <w:r w:rsidR="00B53D1B">
        <w:t>shared</w:t>
      </w:r>
      <w:r>
        <w:t xml:space="preserve"> risks, the HRA will ensure that a clear decision is made regarding which Director is ultimately responsible for the overall management and coordination of the risk.</w:t>
      </w:r>
    </w:p>
    <w:p w:rsidR="008E2DC2" w:rsidRDefault="008E2DC2" w:rsidP="008E2DC2">
      <w:pPr>
        <w:pStyle w:val="StyleBodyText12pt"/>
        <w:spacing w:before="0" w:after="0"/>
        <w:ind w:left="1871"/>
      </w:pPr>
    </w:p>
    <w:p w:rsidR="008E2DC2" w:rsidRDefault="008E2DC2" w:rsidP="009F33DD">
      <w:pPr>
        <w:pStyle w:val="StyleBodyText12pt"/>
        <w:numPr>
          <w:ilvl w:val="3"/>
          <w:numId w:val="23"/>
        </w:numPr>
        <w:spacing w:before="0" w:after="0"/>
      </w:pPr>
      <w:r>
        <w:t>For risks which involve external stakeholders, the HRA will ensure that a decision is taken regarding who will assume the overall responsibility for the risk and the communication mechanism for the management of the risk. The HRA would normally look for the risk to be managed by the originating organisation or the organisation which has the primary mandate for the management of the activity.</w:t>
      </w:r>
    </w:p>
    <w:p w:rsidR="00160ED7" w:rsidRDefault="00160ED7" w:rsidP="00160ED7">
      <w:pPr>
        <w:pStyle w:val="StyleBodyText12pt"/>
        <w:spacing w:before="0" w:after="0"/>
        <w:ind w:left="1871"/>
      </w:pPr>
    </w:p>
    <w:p w:rsidR="00914474" w:rsidRDefault="00914474" w:rsidP="00E679E7">
      <w:pPr>
        <w:pStyle w:val="Heading1"/>
        <w:numPr>
          <w:ilvl w:val="0"/>
          <w:numId w:val="23"/>
        </w:numPr>
      </w:pPr>
      <w:r>
        <w:t>Responsibilities</w:t>
      </w:r>
    </w:p>
    <w:p w:rsidR="002C740F" w:rsidRDefault="00E679E7" w:rsidP="002C740F">
      <w:pPr>
        <w:pStyle w:val="StyleStyleBodyText12ptLeft571cm"/>
        <w:numPr>
          <w:ilvl w:val="1"/>
          <w:numId w:val="23"/>
        </w:numPr>
        <w:spacing w:before="0" w:after="0"/>
      </w:pPr>
      <w:r w:rsidRPr="002563FD">
        <w:t xml:space="preserve">Responsibilities for risk management lie at all levels in the organisation and should be built into </w:t>
      </w:r>
      <w:r>
        <w:t xml:space="preserve">terms of reference for governing groups; and </w:t>
      </w:r>
      <w:r w:rsidRPr="002563FD">
        <w:t xml:space="preserve">individuals’ objectives </w:t>
      </w:r>
      <w:r>
        <w:t xml:space="preserve">in job descriptions and </w:t>
      </w:r>
      <w:r w:rsidRPr="002563FD">
        <w:t>personal development plans where necessary.</w:t>
      </w:r>
      <w:r>
        <w:t xml:space="preserve"> </w:t>
      </w:r>
      <w:r w:rsidR="008529A2" w:rsidRPr="008529A2">
        <w:rPr>
          <w:i/>
        </w:rPr>
        <w:t>For detailed descriptions of rol</w:t>
      </w:r>
      <w:r w:rsidR="008372A3">
        <w:rPr>
          <w:i/>
        </w:rPr>
        <w:t>es and responsibilities, see section 5</w:t>
      </w:r>
      <w:r w:rsidR="008529A2" w:rsidRPr="008529A2">
        <w:rPr>
          <w:i/>
        </w:rPr>
        <w:t xml:space="preserve"> </w:t>
      </w:r>
      <w:r w:rsidR="008372A3">
        <w:rPr>
          <w:i/>
        </w:rPr>
        <w:t>‘</w:t>
      </w:r>
      <w:r w:rsidR="008529A2" w:rsidRPr="008529A2">
        <w:rPr>
          <w:i/>
        </w:rPr>
        <w:t>Responsibilities</w:t>
      </w:r>
      <w:r w:rsidR="008372A3">
        <w:rPr>
          <w:i/>
        </w:rPr>
        <w:t>’</w:t>
      </w:r>
      <w:r w:rsidR="008529A2" w:rsidRPr="008529A2">
        <w:rPr>
          <w:i/>
        </w:rPr>
        <w:t xml:space="preserve"> section of the “Risk Management Guidance” document.</w:t>
      </w:r>
    </w:p>
    <w:p w:rsidR="002C740F" w:rsidRDefault="002C740F" w:rsidP="002C740F">
      <w:pPr>
        <w:pStyle w:val="StyleStyleBodyText12ptLeft571cm"/>
        <w:spacing w:before="0" w:after="0"/>
        <w:ind w:left="792"/>
      </w:pPr>
    </w:p>
    <w:p w:rsidR="002C740F" w:rsidRPr="002C740F" w:rsidRDefault="002C740F" w:rsidP="002C740F">
      <w:pPr>
        <w:pStyle w:val="StyleStyleBodyText12ptLeft571cm"/>
        <w:numPr>
          <w:ilvl w:val="1"/>
          <w:numId w:val="23"/>
        </w:numPr>
        <w:spacing w:before="0" w:after="0"/>
      </w:pPr>
      <w:r w:rsidRPr="002C740F">
        <w:rPr>
          <w:rFonts w:ascii="ArialMT" w:hAnsi="ArialMT" w:cs="ArialMT"/>
          <w:szCs w:val="22"/>
        </w:rPr>
        <w:t>The Board has overall responsibility for risk management and for clear lines of individual</w:t>
      </w:r>
      <w:r>
        <w:rPr>
          <w:rFonts w:ascii="ArialMT" w:hAnsi="ArialMT" w:cs="ArialMT"/>
          <w:szCs w:val="22"/>
        </w:rPr>
        <w:t xml:space="preserve"> </w:t>
      </w:r>
      <w:r w:rsidRPr="002C740F">
        <w:rPr>
          <w:rFonts w:ascii="ArialMT" w:hAnsi="ArialMT" w:cs="ArialMT"/>
          <w:szCs w:val="22"/>
        </w:rPr>
        <w:t>accountability for managing risk throughout the organisation, leading up to the Board.</w:t>
      </w:r>
      <w:r>
        <w:rPr>
          <w:rFonts w:ascii="ArialMT" w:hAnsi="ArialMT" w:cs="ArialMT"/>
          <w:szCs w:val="22"/>
        </w:rPr>
        <w:t xml:space="preserve"> The Board will review the Corporate Risk register on a quarterly basis.</w:t>
      </w:r>
    </w:p>
    <w:p w:rsidR="002C740F" w:rsidRPr="002C740F" w:rsidRDefault="002C740F" w:rsidP="002C740F">
      <w:pPr>
        <w:pStyle w:val="StyleStyleBodyText12ptLeft571cm"/>
        <w:spacing w:before="0" w:after="0"/>
        <w:ind w:left="792"/>
      </w:pPr>
    </w:p>
    <w:p w:rsidR="002C740F" w:rsidRPr="00E679E7" w:rsidRDefault="008529A2" w:rsidP="002C740F">
      <w:pPr>
        <w:pStyle w:val="StyleStyleBodyText12ptLeft571cm"/>
        <w:numPr>
          <w:ilvl w:val="1"/>
          <w:numId w:val="23"/>
        </w:numPr>
        <w:spacing w:before="0" w:after="0"/>
      </w:pPr>
      <w:r w:rsidRPr="00E679E7">
        <w:rPr>
          <w:szCs w:val="22"/>
        </w:rPr>
        <w:t xml:space="preserve">The </w:t>
      </w:r>
      <w:r w:rsidR="00C66081">
        <w:rPr>
          <w:szCs w:val="22"/>
        </w:rPr>
        <w:t>Audit and Risk Committee</w:t>
      </w:r>
      <w:r w:rsidRPr="00E679E7">
        <w:rPr>
          <w:szCs w:val="22"/>
        </w:rPr>
        <w:t xml:space="preserve"> is the sub-committee of the Board that overviews and ensures that appropriate systems and activities are taking place to ensure effective risk management. </w:t>
      </w:r>
      <w:r w:rsidR="002C740F" w:rsidRPr="002563FD">
        <w:t xml:space="preserve">The </w:t>
      </w:r>
      <w:r w:rsidR="00C66081">
        <w:t>Audit and Risk Committee</w:t>
      </w:r>
      <w:r w:rsidR="002C740F" w:rsidRPr="002563FD">
        <w:t xml:space="preserve"> receive</w:t>
      </w:r>
      <w:r>
        <w:t>s</w:t>
      </w:r>
      <w:r w:rsidR="002C740F" w:rsidRPr="002563FD">
        <w:t xml:space="preserve"> regular reports on achievement against the business plan from the </w:t>
      </w:r>
      <w:r w:rsidR="002C740F">
        <w:t>E</w:t>
      </w:r>
      <w:r>
        <w:t>xecutive Management Team (EMT)</w:t>
      </w:r>
      <w:r w:rsidR="002C740F" w:rsidRPr="002563FD">
        <w:t xml:space="preserve">. The </w:t>
      </w:r>
      <w:r w:rsidR="00C66081">
        <w:t>Audit and Risk Committee</w:t>
      </w:r>
      <w:r w:rsidR="002C740F" w:rsidRPr="002563FD">
        <w:t xml:space="preserve"> draws together any system wide risk issues and make</w:t>
      </w:r>
      <w:r>
        <w:t xml:space="preserve">s appropriate recommendations. </w:t>
      </w:r>
      <w:r w:rsidR="002C740F" w:rsidRPr="002563FD">
        <w:t>It also reports to the Board on progress and draw</w:t>
      </w:r>
      <w:r>
        <w:t>s</w:t>
      </w:r>
      <w:r w:rsidR="002C740F" w:rsidRPr="002563FD">
        <w:t xml:space="preserve"> to the Board’s attent</w:t>
      </w:r>
      <w:r>
        <w:t xml:space="preserve">ion any unresolved risk issues. </w:t>
      </w:r>
      <w:r w:rsidR="002C740F" w:rsidRPr="00E679E7">
        <w:rPr>
          <w:szCs w:val="22"/>
        </w:rPr>
        <w:t xml:space="preserve">The </w:t>
      </w:r>
      <w:r w:rsidR="00C66081">
        <w:rPr>
          <w:szCs w:val="22"/>
        </w:rPr>
        <w:t>Audit and Risk Committee</w:t>
      </w:r>
      <w:r w:rsidR="002C740F" w:rsidRPr="00E679E7">
        <w:rPr>
          <w:szCs w:val="22"/>
        </w:rPr>
        <w:t xml:space="preserve"> ensures, via Internal and External Audits that the Board and Accountable Officer receive assurance that the HRA’s risk management activities are in line with its risk management responsibilities and objectives.</w:t>
      </w:r>
    </w:p>
    <w:p w:rsidR="002C740F" w:rsidRDefault="002C740F" w:rsidP="002C740F">
      <w:pPr>
        <w:pStyle w:val="StyleStyleBodyText12ptLeft571cm"/>
        <w:spacing w:before="0" w:after="0"/>
        <w:ind w:left="792"/>
      </w:pPr>
    </w:p>
    <w:p w:rsidR="002C740F" w:rsidRDefault="002C740F" w:rsidP="002C740F">
      <w:pPr>
        <w:pStyle w:val="StyleStyleBodyText12ptLeft571cm"/>
        <w:numPr>
          <w:ilvl w:val="1"/>
          <w:numId w:val="23"/>
        </w:numPr>
        <w:spacing w:before="0" w:after="0"/>
      </w:pPr>
      <w:r w:rsidRPr="002563FD">
        <w:t xml:space="preserve">The </w:t>
      </w:r>
      <w:r w:rsidR="00C66081">
        <w:t>Audit and Risk Committee</w:t>
      </w:r>
      <w:r w:rsidRPr="002563FD">
        <w:t xml:space="preserve"> ensures that all </w:t>
      </w:r>
      <w:r>
        <w:t>HRA</w:t>
      </w:r>
      <w:r w:rsidRPr="002563FD">
        <w:t xml:space="preserve"> staff and other relevant stakeholders including the general public are made aware of relevant risk issues and any action which it wishes them to take. This process also forms part of the risk identification process by affording an opportunity for those not directly involved in risk management to make a contribution and, in doing so, complete the cycle of risk management.</w:t>
      </w:r>
    </w:p>
    <w:p w:rsidR="002C740F" w:rsidRDefault="002C740F" w:rsidP="002C740F">
      <w:pPr>
        <w:pStyle w:val="StyleStyleBodyText12ptLeft571cm"/>
        <w:spacing w:before="0" w:after="0"/>
        <w:ind w:left="792"/>
      </w:pPr>
    </w:p>
    <w:p w:rsidR="002C740F" w:rsidRPr="002C740F" w:rsidRDefault="002C740F" w:rsidP="002C740F">
      <w:pPr>
        <w:pStyle w:val="StyleStyleBodyText12ptLeft571cm"/>
        <w:numPr>
          <w:ilvl w:val="1"/>
          <w:numId w:val="23"/>
        </w:numPr>
        <w:spacing w:before="0" w:after="0"/>
      </w:pPr>
      <w:r w:rsidRPr="00E679E7">
        <w:rPr>
          <w:szCs w:val="22"/>
        </w:rPr>
        <w:t xml:space="preserve">The Internal Audit opinion provides part of the evidence base for the organisation to complete its </w:t>
      </w:r>
      <w:r w:rsidR="00C66081">
        <w:rPr>
          <w:szCs w:val="22"/>
        </w:rPr>
        <w:t>Governance Statement</w:t>
      </w:r>
      <w:r w:rsidRPr="00E679E7">
        <w:rPr>
          <w:szCs w:val="22"/>
        </w:rPr>
        <w:t xml:space="preserve">. The Internal Auditors advise the </w:t>
      </w:r>
      <w:r w:rsidR="00C66081">
        <w:rPr>
          <w:szCs w:val="22"/>
        </w:rPr>
        <w:t>Audit and Risk Committee</w:t>
      </w:r>
      <w:r w:rsidRPr="00E679E7">
        <w:rPr>
          <w:szCs w:val="22"/>
        </w:rPr>
        <w:t xml:space="preserve"> and the Accounting Officer accordingly. </w:t>
      </w:r>
    </w:p>
    <w:p w:rsidR="002C740F" w:rsidRPr="00E679E7" w:rsidRDefault="002C740F" w:rsidP="002C740F">
      <w:pPr>
        <w:pStyle w:val="StyleStyleBodyText12ptLeft571cm"/>
        <w:spacing w:before="0" w:after="0"/>
        <w:ind w:left="792"/>
      </w:pPr>
    </w:p>
    <w:p w:rsidR="008529A2" w:rsidRDefault="008529A2" w:rsidP="008529A2">
      <w:pPr>
        <w:pStyle w:val="StyleStyleBodyTextLatin12ptCharCharCharCharCharChar3"/>
        <w:numPr>
          <w:ilvl w:val="1"/>
          <w:numId w:val="23"/>
        </w:numPr>
        <w:spacing w:before="0" w:after="0"/>
      </w:pPr>
      <w:r>
        <w:t xml:space="preserve">The EMT is the group which undertakes the </w:t>
      </w:r>
      <w:r w:rsidR="00097397">
        <w:t>high</w:t>
      </w:r>
      <w:r>
        <w:t xml:space="preserve"> level risk assessment</w:t>
      </w:r>
      <w:r w:rsidR="00097397">
        <w:t xml:space="preserve"> by reviewing all risks scored as 12 and over</w:t>
      </w:r>
      <w:r>
        <w:t xml:space="preserve"> and oversees the directorate level risk management activities and progress. EMT members will be responsible for </w:t>
      </w:r>
      <w:r w:rsidR="00097397">
        <w:t>overseeing</w:t>
      </w:r>
      <w:r>
        <w:t xml:space="preserve"> risks and the controls, contingencies and actions in place or developed to ensure these risk levels are acceptable to the organisation.  EMT members will also be managing their own specific directorate risks through Directorate Risk Registers. </w:t>
      </w:r>
    </w:p>
    <w:p w:rsidR="008529A2" w:rsidRDefault="008529A2" w:rsidP="008529A2">
      <w:pPr>
        <w:pStyle w:val="StyleStyleBodyText12ptLeft571cm"/>
        <w:spacing w:before="0" w:after="0"/>
        <w:ind w:left="792"/>
      </w:pPr>
    </w:p>
    <w:p w:rsidR="008529A2" w:rsidRDefault="008529A2" w:rsidP="002C740F">
      <w:pPr>
        <w:pStyle w:val="StyleStyleBodyText12ptLeft571cm"/>
        <w:numPr>
          <w:ilvl w:val="1"/>
          <w:numId w:val="23"/>
        </w:numPr>
        <w:spacing w:before="0" w:after="0"/>
      </w:pPr>
      <w:r>
        <w:t xml:space="preserve">The day to day responsibility for </w:t>
      </w:r>
      <w:r w:rsidRPr="008529A2">
        <w:t xml:space="preserve">undertaking risk management activities </w:t>
      </w:r>
      <w:r>
        <w:t>and maintaining the system of risk management and risk reporting has been delegated from the Chief Executive to t</w:t>
      </w:r>
      <w:r w:rsidR="00E679E7" w:rsidRPr="002563FD">
        <w:t xml:space="preserve">he </w:t>
      </w:r>
      <w:r w:rsidR="00E679E7">
        <w:t>Board Secretary and Chief Executive Business Manager</w:t>
      </w:r>
      <w:r>
        <w:t>.</w:t>
      </w:r>
      <w:r w:rsidR="00E679E7">
        <w:t xml:space="preserve"> </w:t>
      </w:r>
    </w:p>
    <w:p w:rsidR="008529A2" w:rsidRDefault="008529A2" w:rsidP="008529A2">
      <w:pPr>
        <w:pStyle w:val="StyleStyleBodyText12ptLeft571cm"/>
        <w:spacing w:before="0" w:after="0"/>
        <w:ind w:left="792"/>
      </w:pPr>
    </w:p>
    <w:p w:rsidR="00890C0B" w:rsidRDefault="00E679E7" w:rsidP="00F21D83">
      <w:pPr>
        <w:pStyle w:val="Heading1"/>
        <w:numPr>
          <w:ilvl w:val="0"/>
          <w:numId w:val="23"/>
        </w:numPr>
        <w:spacing w:after="0"/>
      </w:pPr>
      <w:r>
        <w:t xml:space="preserve">Risk Management </w:t>
      </w:r>
      <w:r w:rsidR="00CB57B8">
        <w:t>System</w:t>
      </w:r>
    </w:p>
    <w:p w:rsidR="00CB57B8" w:rsidRDefault="00CB57B8" w:rsidP="00F21D83">
      <w:pPr>
        <w:pStyle w:val="BodyText"/>
        <w:spacing w:before="0" w:after="0"/>
      </w:pPr>
    </w:p>
    <w:p w:rsidR="00CB57B8" w:rsidRDefault="00CB57B8" w:rsidP="00F21D83">
      <w:pPr>
        <w:pStyle w:val="StyleBodyText12pt"/>
        <w:numPr>
          <w:ilvl w:val="1"/>
          <w:numId w:val="23"/>
        </w:numPr>
        <w:spacing w:before="0" w:after="0"/>
        <w:rPr>
          <w:szCs w:val="22"/>
        </w:rPr>
      </w:pPr>
      <w:r w:rsidRPr="009717D6">
        <w:rPr>
          <w:szCs w:val="22"/>
        </w:rPr>
        <w:t xml:space="preserve">Risk Management is the identification, </w:t>
      </w:r>
      <w:r>
        <w:rPr>
          <w:szCs w:val="22"/>
        </w:rPr>
        <w:t>assessment</w:t>
      </w:r>
      <w:r w:rsidRPr="009717D6">
        <w:rPr>
          <w:szCs w:val="22"/>
        </w:rPr>
        <w:t xml:space="preserve"> and control of events to which the </w:t>
      </w:r>
      <w:r>
        <w:rPr>
          <w:szCs w:val="22"/>
        </w:rPr>
        <w:t xml:space="preserve">HRA is exposed.  This process is </w:t>
      </w:r>
      <w:r w:rsidRPr="009717D6">
        <w:rPr>
          <w:szCs w:val="22"/>
        </w:rPr>
        <w:t xml:space="preserve">carried out in order to </w:t>
      </w:r>
      <w:r>
        <w:rPr>
          <w:szCs w:val="22"/>
        </w:rPr>
        <w:t>manage</w:t>
      </w:r>
      <w:r w:rsidRPr="009717D6">
        <w:rPr>
          <w:szCs w:val="22"/>
        </w:rPr>
        <w:t xml:space="preserve"> the </w:t>
      </w:r>
      <w:r>
        <w:rPr>
          <w:szCs w:val="22"/>
        </w:rPr>
        <w:t xml:space="preserve">likelihood and </w:t>
      </w:r>
      <w:r w:rsidRPr="009717D6">
        <w:rPr>
          <w:szCs w:val="22"/>
        </w:rPr>
        <w:t xml:space="preserve">impact of </w:t>
      </w:r>
      <w:r>
        <w:rPr>
          <w:szCs w:val="22"/>
        </w:rPr>
        <w:t>adverse</w:t>
      </w:r>
      <w:r w:rsidRPr="009717D6">
        <w:rPr>
          <w:szCs w:val="22"/>
        </w:rPr>
        <w:t xml:space="preserve"> events</w:t>
      </w:r>
      <w:r>
        <w:rPr>
          <w:szCs w:val="22"/>
        </w:rPr>
        <w:t>, of all types.</w:t>
      </w:r>
    </w:p>
    <w:p w:rsidR="00CB57B8" w:rsidRDefault="00CB57B8" w:rsidP="00CB57B8">
      <w:pPr>
        <w:pStyle w:val="StyleBodyText12pt"/>
        <w:spacing w:before="0" w:after="0"/>
        <w:ind w:left="360"/>
        <w:rPr>
          <w:szCs w:val="22"/>
        </w:rPr>
      </w:pPr>
    </w:p>
    <w:p w:rsidR="00CB57B8" w:rsidRDefault="00CB57B8" w:rsidP="002C740F">
      <w:pPr>
        <w:pStyle w:val="Heading2"/>
        <w:numPr>
          <w:ilvl w:val="1"/>
          <w:numId w:val="23"/>
        </w:numPr>
        <w:spacing w:before="0" w:after="0"/>
        <w:rPr>
          <w:b w:val="0"/>
          <w:sz w:val="22"/>
          <w:szCs w:val="22"/>
        </w:rPr>
      </w:pPr>
      <w:r w:rsidRPr="00CB57B8">
        <w:rPr>
          <w:b w:val="0"/>
          <w:sz w:val="22"/>
          <w:szCs w:val="22"/>
        </w:rPr>
        <w:lastRenderedPageBreak/>
        <w:t>Risk Management Process</w:t>
      </w:r>
    </w:p>
    <w:p w:rsidR="00CB57B8" w:rsidRPr="00CB57B8" w:rsidRDefault="00CB57B8" w:rsidP="00F57D3E">
      <w:pPr>
        <w:pStyle w:val="BodyText"/>
        <w:spacing w:before="0" w:after="0"/>
      </w:pPr>
    </w:p>
    <w:p w:rsidR="00016201" w:rsidRPr="00016201" w:rsidRDefault="00016201" w:rsidP="00016201">
      <w:pPr>
        <w:pStyle w:val="Heading2"/>
        <w:numPr>
          <w:ilvl w:val="2"/>
          <w:numId w:val="23"/>
        </w:numPr>
        <w:spacing w:before="0" w:after="0"/>
        <w:rPr>
          <w:b w:val="0"/>
        </w:rPr>
      </w:pPr>
      <w:r w:rsidRPr="00016201">
        <w:rPr>
          <w:b w:val="0"/>
          <w:sz w:val="22"/>
          <w:szCs w:val="22"/>
        </w:rPr>
        <w:t>The system operates through a series of linked activities which form a cycle of risk management procedures. The following flow chart describes the risk management process:</w:t>
      </w:r>
    </w:p>
    <w:p w:rsidR="00CB57B8" w:rsidRPr="00CB57B8" w:rsidRDefault="00CB57B8" w:rsidP="00F57D3E">
      <w:pPr>
        <w:pStyle w:val="BodyText"/>
        <w:spacing w:before="0" w:after="0"/>
      </w:pPr>
    </w:p>
    <w:p w:rsidR="00F57D3E" w:rsidRPr="00F57D3E" w:rsidRDefault="00016201" w:rsidP="00016201">
      <w:pPr>
        <w:pStyle w:val="BodyText"/>
        <w:spacing w:before="0" w:after="0"/>
        <w:ind w:left="0"/>
        <w:jc w:val="center"/>
      </w:pPr>
      <w:r>
        <w:rPr>
          <w:noProof/>
        </w:rPr>
        <w:drawing>
          <wp:inline distT="0" distB="0" distL="0" distR="0" wp14:anchorId="7A6CE17F" wp14:editId="3E13B05C">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57B8" w:rsidRDefault="00CB57B8" w:rsidP="00CB57B8">
      <w:pPr>
        <w:pStyle w:val="BodyText"/>
        <w:spacing w:before="0" w:after="0"/>
        <w:ind w:left="0"/>
        <w:jc w:val="center"/>
        <w:rPr>
          <w:sz w:val="18"/>
          <w:szCs w:val="18"/>
        </w:rPr>
      </w:pPr>
      <w:r w:rsidRPr="00016201">
        <w:rPr>
          <w:sz w:val="18"/>
          <w:szCs w:val="18"/>
        </w:rPr>
        <w:t xml:space="preserve">PLEASE SEE: </w:t>
      </w:r>
      <w:r w:rsidRPr="00016201">
        <w:rPr>
          <w:i/>
          <w:sz w:val="18"/>
          <w:szCs w:val="18"/>
        </w:rPr>
        <w:t>Risk Management Guidance</w:t>
      </w:r>
      <w:r w:rsidRPr="00016201">
        <w:rPr>
          <w:sz w:val="18"/>
          <w:szCs w:val="18"/>
        </w:rPr>
        <w:t xml:space="preserve"> “Section </w:t>
      </w:r>
      <w:r w:rsidR="00016201" w:rsidRPr="00016201">
        <w:rPr>
          <w:sz w:val="18"/>
          <w:szCs w:val="18"/>
        </w:rPr>
        <w:t>6</w:t>
      </w:r>
      <w:r w:rsidRPr="00016201">
        <w:rPr>
          <w:sz w:val="18"/>
          <w:szCs w:val="18"/>
        </w:rPr>
        <w:t>” for further explanation.</w:t>
      </w:r>
    </w:p>
    <w:p w:rsidR="00CB57B8" w:rsidRDefault="00CB57B8" w:rsidP="00CB57B8">
      <w:pPr>
        <w:pStyle w:val="StyleStyleBodyText12ptLeft571cm"/>
        <w:spacing w:before="0" w:after="0"/>
        <w:ind w:left="540"/>
      </w:pPr>
    </w:p>
    <w:p w:rsidR="00CB57B8" w:rsidRDefault="00CB57B8" w:rsidP="002C740F">
      <w:pPr>
        <w:pStyle w:val="StyleStyleBodyText12ptLeft571cm"/>
        <w:numPr>
          <w:ilvl w:val="2"/>
          <w:numId w:val="23"/>
        </w:numPr>
        <w:spacing w:before="0" w:after="0"/>
      </w:pPr>
      <w:r w:rsidRPr="00F67F49">
        <w:t xml:space="preserve">As part of the annual planning cycle the </w:t>
      </w:r>
      <w:r>
        <w:t>HRA</w:t>
      </w:r>
      <w:r w:rsidRPr="00F67F49">
        <w:t xml:space="preserve"> formally assess</w:t>
      </w:r>
      <w:r>
        <w:t>es</w:t>
      </w:r>
      <w:r w:rsidRPr="00F67F49">
        <w:t xml:space="preserve"> the strategic and programme risks to the achievement of their core purpose and objectives during the development of the business plans.  In this way the business plans </w:t>
      </w:r>
      <w:r w:rsidR="00097397">
        <w:t xml:space="preserve">can </w:t>
      </w:r>
      <w:r w:rsidRPr="00F67F49">
        <w:t>include within them appropriate risk management controls and contingencies.</w:t>
      </w:r>
    </w:p>
    <w:p w:rsidR="00CB57B8" w:rsidRDefault="00CB57B8" w:rsidP="00CB57B8">
      <w:pPr>
        <w:pStyle w:val="StyleStyleBodyText12ptLeft571cm"/>
        <w:spacing w:before="0" w:after="0"/>
        <w:ind w:left="1361"/>
      </w:pPr>
    </w:p>
    <w:p w:rsidR="00CB57B8" w:rsidRDefault="00CB57B8" w:rsidP="002C740F">
      <w:pPr>
        <w:pStyle w:val="StyleStyleBodyText12ptLeft571cm"/>
        <w:numPr>
          <w:ilvl w:val="2"/>
          <w:numId w:val="23"/>
        </w:numPr>
        <w:spacing w:before="0" w:after="0"/>
      </w:pPr>
      <w:r w:rsidRPr="00F67F49">
        <w:t xml:space="preserve">For all </w:t>
      </w:r>
      <w:r>
        <w:t>HRA</w:t>
      </w:r>
      <w:r w:rsidRPr="00F67F49">
        <w:t xml:space="preserve">’s projects, project plans </w:t>
      </w:r>
      <w:r>
        <w:t xml:space="preserve">are </w:t>
      </w:r>
      <w:r w:rsidRPr="00F67F49">
        <w:t xml:space="preserve">risk assessed during their development and finalised with appropriate risk management controls and contingencies included.  Throughout the lifecycle of a project risks </w:t>
      </w:r>
      <w:r>
        <w:t>are</w:t>
      </w:r>
      <w:r w:rsidRPr="00F67F49">
        <w:t xml:space="preserve"> assessed </w:t>
      </w:r>
      <w:r>
        <w:t>and managed on an ongoing basis.</w:t>
      </w:r>
      <w:r w:rsidR="00F57D3E">
        <w:t xml:space="preserve"> </w:t>
      </w:r>
      <w:r w:rsidR="008372A3">
        <w:t>The Programme Management office will be responsible for this function.</w:t>
      </w:r>
    </w:p>
    <w:p w:rsidR="00CB57B8" w:rsidRDefault="00CB57B8" w:rsidP="00CB57B8">
      <w:pPr>
        <w:pStyle w:val="StyleStyleBodyText12ptLeft571cm"/>
        <w:spacing w:before="0" w:after="0"/>
        <w:ind w:left="1361"/>
      </w:pPr>
    </w:p>
    <w:p w:rsidR="00CB57B8" w:rsidRDefault="00CB57B8" w:rsidP="002C740F">
      <w:pPr>
        <w:pStyle w:val="StyleStyleBodyText12ptLeft571cm"/>
        <w:numPr>
          <w:ilvl w:val="2"/>
          <w:numId w:val="23"/>
        </w:numPr>
        <w:spacing w:before="0" w:after="0"/>
      </w:pPr>
      <w:r w:rsidRPr="00F67F49">
        <w:t xml:space="preserve">The </w:t>
      </w:r>
      <w:r>
        <w:t>HRA</w:t>
      </w:r>
      <w:r w:rsidRPr="00F67F49">
        <w:t xml:space="preserve"> </w:t>
      </w:r>
      <w:r>
        <w:t xml:space="preserve">should regularly conduct </w:t>
      </w:r>
      <w:r w:rsidRPr="00F67F49">
        <w:t>risk assess</w:t>
      </w:r>
      <w:r>
        <w:t xml:space="preserve">ment for </w:t>
      </w:r>
      <w:r w:rsidRPr="00F67F49">
        <w:t xml:space="preserve">its every day operational activities </w:t>
      </w:r>
      <w:r>
        <w:t>during change management to e</w:t>
      </w:r>
      <w:r w:rsidRPr="00F67F49">
        <w:t xml:space="preserve">nsure that </w:t>
      </w:r>
      <w:r>
        <w:t xml:space="preserve">we </w:t>
      </w:r>
      <w:r w:rsidRPr="00F67F49">
        <w:t xml:space="preserve">have </w:t>
      </w:r>
      <w:r>
        <w:t>a</w:t>
      </w:r>
      <w:r w:rsidRPr="00F67F49">
        <w:t>ppropriate risk management controls and contingencies</w:t>
      </w:r>
      <w:r>
        <w:t xml:space="preserve"> in place.</w:t>
      </w:r>
    </w:p>
    <w:p w:rsidR="00CB57B8" w:rsidRDefault="00CB57B8" w:rsidP="00CB57B8">
      <w:pPr>
        <w:pStyle w:val="StyleStyleBodyText12ptLeft571cm"/>
        <w:spacing w:before="0" w:after="0"/>
        <w:ind w:left="1361"/>
      </w:pPr>
    </w:p>
    <w:p w:rsidR="00CB57B8" w:rsidRPr="00CB57B8" w:rsidRDefault="00CB57B8" w:rsidP="002C740F">
      <w:pPr>
        <w:pStyle w:val="StyleStyleBodyText12ptLeft571cm"/>
        <w:numPr>
          <w:ilvl w:val="2"/>
          <w:numId w:val="23"/>
        </w:numPr>
        <w:spacing w:before="0" w:after="0"/>
      </w:pPr>
      <w:r>
        <w:t xml:space="preserve">The HRA uses a risk matrix to assess the relative magnitude of the risks to the organisation.  The system considers both the likelihood of the risk happening and the impact should it </w:t>
      </w:r>
      <w:r w:rsidRPr="00A4580C">
        <w:t>occur (</w:t>
      </w:r>
      <w:r w:rsidRPr="008F0B76">
        <w:t xml:space="preserve">see </w:t>
      </w:r>
      <w:r w:rsidR="008372A3">
        <w:t xml:space="preserve">section 6.5 of </w:t>
      </w:r>
      <w:r w:rsidRPr="008F0B76">
        <w:t>the</w:t>
      </w:r>
      <w:r w:rsidRPr="00CB57B8">
        <w:rPr>
          <w:i/>
        </w:rPr>
        <w:t xml:space="preserve"> “</w:t>
      </w:r>
      <w:r w:rsidRPr="00CB57B8">
        <w:rPr>
          <w:i/>
          <w:szCs w:val="22"/>
        </w:rPr>
        <w:t xml:space="preserve">Risk Management Guidance” </w:t>
      </w:r>
      <w:r w:rsidRPr="00CB57B8">
        <w:rPr>
          <w:szCs w:val="22"/>
        </w:rPr>
        <w:t>document).</w:t>
      </w:r>
      <w:bookmarkStart w:id="4" w:name="_Toc214255631"/>
    </w:p>
    <w:p w:rsidR="00CB57B8" w:rsidRPr="00CB57B8" w:rsidRDefault="00CB57B8" w:rsidP="00CB57B8">
      <w:pPr>
        <w:pStyle w:val="StyleStyleBodyText12ptLeft571cm"/>
        <w:spacing w:before="0" w:after="0"/>
        <w:ind w:left="1361"/>
      </w:pPr>
    </w:p>
    <w:p w:rsidR="00CB57B8" w:rsidRDefault="00CB57B8" w:rsidP="002C740F">
      <w:pPr>
        <w:pStyle w:val="StyleStyleBodyText12ptLeft571cm"/>
        <w:numPr>
          <w:ilvl w:val="1"/>
          <w:numId w:val="23"/>
        </w:numPr>
        <w:spacing w:before="0" w:after="0"/>
      </w:pPr>
      <w:r w:rsidRPr="000C057D">
        <w:t>Monitoring and Reviewing Risks</w:t>
      </w:r>
      <w:bookmarkEnd w:id="4"/>
    </w:p>
    <w:p w:rsidR="00CB57B8" w:rsidRDefault="00CB57B8" w:rsidP="00CB57B8">
      <w:pPr>
        <w:pStyle w:val="StyleStyleBodyText12ptLeft571cm"/>
        <w:spacing w:before="0" w:after="0"/>
        <w:ind w:left="792"/>
      </w:pPr>
    </w:p>
    <w:p w:rsidR="00CB57B8" w:rsidRDefault="00CB57B8" w:rsidP="002C740F">
      <w:pPr>
        <w:pStyle w:val="StyleStyleBodyText12ptLeft571cm"/>
        <w:numPr>
          <w:ilvl w:val="2"/>
          <w:numId w:val="23"/>
        </w:numPr>
        <w:spacing w:before="0" w:after="0"/>
      </w:pPr>
      <w:r w:rsidRPr="00CB57B8">
        <w:t>As part of monitoring and reviewing risks, the following takes place:</w:t>
      </w:r>
    </w:p>
    <w:p w:rsidR="00CB57B8" w:rsidRDefault="00CB57B8" w:rsidP="00CB57B8">
      <w:pPr>
        <w:pStyle w:val="StyleStyleBodyText12ptLeft571cm"/>
        <w:spacing w:before="0" w:after="0"/>
        <w:ind w:left="1361"/>
      </w:pPr>
    </w:p>
    <w:p w:rsidR="00CB57B8" w:rsidRDefault="00CB57B8" w:rsidP="002C740F">
      <w:pPr>
        <w:pStyle w:val="StyleStyleBodyText12ptLeft571cm"/>
        <w:numPr>
          <w:ilvl w:val="3"/>
          <w:numId w:val="23"/>
        </w:numPr>
        <w:spacing w:before="0" w:after="0"/>
      </w:pPr>
      <w:r w:rsidRPr="002563FD">
        <w:t xml:space="preserve">There is a </w:t>
      </w:r>
      <w:r w:rsidR="008758CF">
        <w:t>Directorate</w:t>
      </w:r>
      <w:r>
        <w:t xml:space="preserve"> R</w:t>
      </w:r>
      <w:r w:rsidRPr="002563FD">
        <w:t>isk</w:t>
      </w:r>
      <w:r w:rsidRPr="00CD1954">
        <w:t xml:space="preserve"> </w:t>
      </w:r>
      <w:r>
        <w:t>R</w:t>
      </w:r>
      <w:r w:rsidRPr="00CD1954">
        <w:t>egister</w:t>
      </w:r>
      <w:r>
        <w:t xml:space="preserve"> for each </w:t>
      </w:r>
      <w:r w:rsidR="008758CF">
        <w:t>director</w:t>
      </w:r>
      <w:r>
        <w:t xml:space="preserve"> to capture and monitor relevant risks</w:t>
      </w:r>
      <w:r w:rsidRPr="00CD1954">
        <w:t>.</w:t>
      </w:r>
    </w:p>
    <w:p w:rsidR="00CB57B8" w:rsidRDefault="00CB57B8" w:rsidP="00CB57B8">
      <w:pPr>
        <w:pStyle w:val="StyleStyleBodyText12ptLeft571cm"/>
        <w:spacing w:before="0" w:after="0"/>
        <w:ind w:left="1871"/>
      </w:pPr>
    </w:p>
    <w:p w:rsidR="00CB57B8" w:rsidRDefault="00CB57B8" w:rsidP="002C740F">
      <w:pPr>
        <w:pStyle w:val="StyleStyleBodyText12ptLeft571cm"/>
        <w:numPr>
          <w:ilvl w:val="3"/>
          <w:numId w:val="23"/>
        </w:numPr>
        <w:spacing w:before="0" w:after="0"/>
      </w:pPr>
      <w:r w:rsidRPr="00C12B57">
        <w:t>Each risk</w:t>
      </w:r>
      <w:r>
        <w:t xml:space="preserve"> raised</w:t>
      </w:r>
      <w:r w:rsidRPr="00C12B57">
        <w:t xml:space="preserve">, its controls, contingencies and actions are allocated to a responsible member of staff within each </w:t>
      </w:r>
      <w:r w:rsidR="008758CF">
        <w:t>directorate</w:t>
      </w:r>
      <w:r w:rsidRPr="00C12B57">
        <w:t>.</w:t>
      </w:r>
    </w:p>
    <w:p w:rsidR="00CB57B8" w:rsidRDefault="00CB57B8" w:rsidP="00CB57B8">
      <w:pPr>
        <w:pStyle w:val="StyleStyleBodyText12ptLeft571cm"/>
        <w:spacing w:before="0" w:after="0"/>
        <w:ind w:left="1871"/>
      </w:pPr>
    </w:p>
    <w:p w:rsidR="00CB57B8" w:rsidRDefault="00CB57B8" w:rsidP="002C740F">
      <w:pPr>
        <w:pStyle w:val="StyleStyleBodyText12ptLeft571cm"/>
        <w:numPr>
          <w:ilvl w:val="3"/>
          <w:numId w:val="23"/>
        </w:numPr>
        <w:spacing w:before="0" w:after="0"/>
      </w:pPr>
      <w:r>
        <w:t xml:space="preserve">Risks on the </w:t>
      </w:r>
      <w:r w:rsidR="008758CF">
        <w:t>Directorate</w:t>
      </w:r>
      <w:r>
        <w:t xml:space="preserve"> Risk Register are assessed according to the impact on delivering operational activities/projects and </w:t>
      </w:r>
      <w:r w:rsidR="008758CF">
        <w:t xml:space="preserve">strategic objectives and </w:t>
      </w:r>
      <w:r>
        <w:t xml:space="preserve">are reviewed by </w:t>
      </w:r>
      <w:r w:rsidR="008758CF">
        <w:lastRenderedPageBreak/>
        <w:t>the director, with the most appropriate management group,</w:t>
      </w:r>
      <w:r>
        <w:t xml:space="preserve"> on a </w:t>
      </w:r>
      <w:r w:rsidR="008758CF">
        <w:t>frequent</w:t>
      </w:r>
      <w:r>
        <w:t xml:space="preserve"> basis. </w:t>
      </w:r>
      <w:r w:rsidR="008758CF">
        <w:t xml:space="preserve">The </w:t>
      </w:r>
      <w:proofErr w:type="gramStart"/>
      <w:r w:rsidR="008758CF">
        <w:t>status of the risks are</w:t>
      </w:r>
      <w:proofErr w:type="gramEnd"/>
      <w:r w:rsidR="008758CF">
        <w:t xml:space="preserve"> reviewed </w:t>
      </w:r>
      <w:r>
        <w:t xml:space="preserve">at a corporate and operational level and the progress of control implementation, contingencies and action plans. </w:t>
      </w:r>
    </w:p>
    <w:p w:rsidR="008758CF" w:rsidRDefault="008758CF" w:rsidP="008758CF">
      <w:pPr>
        <w:pStyle w:val="StyleStyleBodyText12ptLeft571cm"/>
        <w:spacing w:before="0" w:after="0"/>
        <w:ind w:left="1871"/>
      </w:pPr>
    </w:p>
    <w:p w:rsidR="008758CF" w:rsidRDefault="008758CF" w:rsidP="002C740F">
      <w:pPr>
        <w:pStyle w:val="StyleStyleBodyText12ptLeft571cm"/>
        <w:numPr>
          <w:ilvl w:val="3"/>
          <w:numId w:val="23"/>
        </w:numPr>
        <w:spacing w:before="0" w:after="0"/>
      </w:pPr>
      <w:r>
        <w:t xml:space="preserve">On a quarterly basis, any risks on directorate risk registers with a rating of 12 and over will be considered by EMT and added to the </w:t>
      </w:r>
      <w:proofErr w:type="gramStart"/>
      <w:r>
        <w:t>Corporate</w:t>
      </w:r>
      <w:proofErr w:type="gramEnd"/>
      <w:r>
        <w:t xml:space="preserve"> risk register if EMT deem applicable. These </w:t>
      </w:r>
      <w:r w:rsidR="004F558D">
        <w:t>will relate to risks which may impact on the delivery of the organisations strategic objectives and be escalated to the Board and the Department of Health</w:t>
      </w:r>
      <w:r w:rsidR="007A38AA">
        <w:t xml:space="preserve"> (DH)</w:t>
      </w:r>
      <w:r w:rsidR="004F558D">
        <w:t xml:space="preserve"> Sponsor Team.</w:t>
      </w:r>
      <w:r w:rsidR="007A38AA">
        <w:t xml:space="preserve"> Any risks which are rated as 20 and over will be raised to the DH</w:t>
      </w:r>
      <w:r w:rsidR="00F25644">
        <w:t xml:space="preserve"> </w:t>
      </w:r>
      <w:r w:rsidR="007A38AA">
        <w:t>sponsors team for further escalation as required.</w:t>
      </w:r>
    </w:p>
    <w:p w:rsidR="00CB57B8" w:rsidRDefault="00CB57B8" w:rsidP="00CB57B8">
      <w:pPr>
        <w:pStyle w:val="StyleStyleBodyText12ptLeft571cm"/>
        <w:spacing w:before="0" w:after="0"/>
        <w:ind w:left="1871"/>
      </w:pPr>
    </w:p>
    <w:p w:rsidR="00CB57B8" w:rsidRDefault="004F558D" w:rsidP="002C740F">
      <w:pPr>
        <w:pStyle w:val="StyleStyleBodyText12ptLeft571cm"/>
        <w:numPr>
          <w:ilvl w:val="3"/>
          <w:numId w:val="23"/>
        </w:numPr>
        <w:spacing w:before="0" w:after="0"/>
      </w:pPr>
      <w:r>
        <w:t>The corporate risk register will be monitored by the EMT</w:t>
      </w:r>
      <w:r w:rsidR="00CB57B8" w:rsidRPr="00CD1954">
        <w:t xml:space="preserve">, </w:t>
      </w:r>
      <w:r w:rsidR="00C66081">
        <w:t>Audit and Risk Committee</w:t>
      </w:r>
      <w:r w:rsidR="00CB57B8">
        <w:t xml:space="preserve"> and the Board as a mechanism for monitoring the effective management of </w:t>
      </w:r>
      <w:r w:rsidR="00197D30">
        <w:t>significant</w:t>
      </w:r>
      <w:r w:rsidR="00CB57B8">
        <w:t xml:space="preserve"> risks </w:t>
      </w:r>
      <w:r w:rsidR="00CB57B8" w:rsidRPr="007A38AA">
        <w:t xml:space="preserve">and as a basis for considering the public declarations required in the </w:t>
      </w:r>
      <w:r w:rsidR="00C66081">
        <w:t>Governance Statement</w:t>
      </w:r>
      <w:r w:rsidR="00CB57B8" w:rsidRPr="007A38AA">
        <w:t>.</w:t>
      </w:r>
    </w:p>
    <w:p w:rsidR="00CB57B8" w:rsidRDefault="00CB57B8" w:rsidP="00CB57B8">
      <w:pPr>
        <w:pStyle w:val="StyleStyleBodyText12ptLeft571cm"/>
        <w:spacing w:before="0" w:after="0"/>
        <w:ind w:left="1871"/>
      </w:pPr>
    </w:p>
    <w:p w:rsidR="00CB57B8" w:rsidRDefault="00CB57B8" w:rsidP="002C740F">
      <w:pPr>
        <w:pStyle w:val="StyleStyleBodyText12ptLeft571cm"/>
        <w:numPr>
          <w:ilvl w:val="3"/>
          <w:numId w:val="23"/>
        </w:numPr>
        <w:spacing w:before="0" w:after="0"/>
      </w:pPr>
      <w:r w:rsidRPr="007A38AA">
        <w:t>Responsibilities for monitoring and review are presented in the document “</w:t>
      </w:r>
      <w:r w:rsidRPr="007A38AA">
        <w:rPr>
          <w:i/>
        </w:rPr>
        <w:t>Risk Management Guidance</w:t>
      </w:r>
      <w:r w:rsidRPr="007A38AA">
        <w:t>”.</w:t>
      </w:r>
      <w:r>
        <w:t xml:space="preserve">  Note that the regular reviews may raise new risks and these will be assessed and managed as in this step and the ones above.</w:t>
      </w:r>
    </w:p>
    <w:p w:rsidR="00CB57B8" w:rsidRPr="008372A3" w:rsidRDefault="00CB57B8" w:rsidP="00CB57B8">
      <w:pPr>
        <w:pStyle w:val="StyleStyleBodyText12ptLeft571cm"/>
        <w:spacing w:before="0" w:after="0"/>
        <w:ind w:left="1871"/>
      </w:pPr>
    </w:p>
    <w:p w:rsidR="00CB57B8" w:rsidRPr="008372A3" w:rsidRDefault="00CB57B8" w:rsidP="002C740F">
      <w:pPr>
        <w:pStyle w:val="StyleStyleBodyText12ptLeft571cm"/>
        <w:numPr>
          <w:ilvl w:val="1"/>
          <w:numId w:val="23"/>
        </w:numPr>
        <w:spacing w:before="0" w:after="0"/>
        <w:rPr>
          <w:szCs w:val="22"/>
        </w:rPr>
      </w:pPr>
      <w:r w:rsidRPr="008372A3">
        <w:rPr>
          <w:szCs w:val="22"/>
        </w:rPr>
        <w:t>Management of Fraud</w:t>
      </w:r>
    </w:p>
    <w:p w:rsidR="00CB57B8" w:rsidRPr="00CB57B8" w:rsidRDefault="00CB57B8" w:rsidP="00CB57B8">
      <w:pPr>
        <w:pStyle w:val="StyleStyleBodyText12ptLeft571cm"/>
        <w:spacing w:before="0" w:after="0"/>
        <w:ind w:left="792"/>
        <w:rPr>
          <w:szCs w:val="22"/>
        </w:rPr>
      </w:pPr>
    </w:p>
    <w:p w:rsidR="00CB57B8" w:rsidRDefault="00CB57B8" w:rsidP="002C740F">
      <w:pPr>
        <w:pStyle w:val="ListParagraph"/>
        <w:numPr>
          <w:ilvl w:val="2"/>
          <w:numId w:val="23"/>
        </w:numPr>
        <w:rPr>
          <w:rFonts w:ascii="Arial" w:hAnsi="Arial" w:cs="Arial"/>
          <w:sz w:val="22"/>
          <w:szCs w:val="22"/>
          <w:lang w:val="en-US"/>
        </w:rPr>
      </w:pPr>
      <w:r w:rsidRPr="00CB57B8">
        <w:rPr>
          <w:rFonts w:ascii="Arial" w:hAnsi="Arial" w:cs="Arial"/>
          <w:sz w:val="22"/>
          <w:szCs w:val="22"/>
          <w:lang w:val="en-US"/>
        </w:rPr>
        <w:t>The Board is absolutely committed to maintaining an honest, open and well-intentioned atmosphere within the Authority. It is therefore committed to the elimination of any fraud and corruption within the Authority, and to the rigorous investigation of any such cases.</w:t>
      </w:r>
    </w:p>
    <w:p w:rsidR="00C66081" w:rsidRDefault="00C66081" w:rsidP="00C66081">
      <w:pPr>
        <w:pStyle w:val="ListParagraph"/>
        <w:ind w:left="1361"/>
        <w:rPr>
          <w:rFonts w:ascii="Arial" w:hAnsi="Arial" w:cs="Arial"/>
          <w:sz w:val="22"/>
          <w:szCs w:val="22"/>
          <w:lang w:val="en-US"/>
        </w:rPr>
      </w:pPr>
    </w:p>
    <w:p w:rsidR="00C66081" w:rsidRDefault="00C66081" w:rsidP="002C740F">
      <w:pPr>
        <w:pStyle w:val="ListParagraph"/>
        <w:numPr>
          <w:ilvl w:val="2"/>
          <w:numId w:val="23"/>
        </w:numPr>
        <w:rPr>
          <w:rFonts w:ascii="Arial" w:hAnsi="Arial" w:cs="Arial"/>
          <w:sz w:val="22"/>
          <w:szCs w:val="22"/>
          <w:lang w:val="en-US"/>
        </w:rPr>
      </w:pPr>
      <w:r>
        <w:rPr>
          <w:rFonts w:ascii="Arial" w:hAnsi="Arial" w:cs="Arial"/>
          <w:sz w:val="22"/>
          <w:szCs w:val="22"/>
          <w:lang w:val="en-US"/>
        </w:rPr>
        <w:t>Periodic training on Fraud Awareness will be provided with all staff encouraged to attend.</w:t>
      </w:r>
    </w:p>
    <w:p w:rsidR="00CB57B8" w:rsidRDefault="00CB57B8" w:rsidP="00CB57B8">
      <w:pPr>
        <w:pStyle w:val="ListParagraph"/>
        <w:ind w:left="1361"/>
        <w:rPr>
          <w:rFonts w:ascii="Arial" w:hAnsi="Arial" w:cs="Arial"/>
          <w:sz w:val="22"/>
          <w:szCs w:val="22"/>
          <w:lang w:val="en-US"/>
        </w:rPr>
      </w:pPr>
    </w:p>
    <w:p w:rsidR="00CB57B8" w:rsidRPr="008372A3" w:rsidRDefault="00CB57B8" w:rsidP="002C740F">
      <w:pPr>
        <w:pStyle w:val="ListParagraph"/>
        <w:numPr>
          <w:ilvl w:val="2"/>
          <w:numId w:val="23"/>
        </w:numPr>
        <w:rPr>
          <w:rFonts w:ascii="Arial" w:hAnsi="Arial" w:cs="Arial"/>
          <w:sz w:val="22"/>
          <w:szCs w:val="22"/>
          <w:lang w:val="en-US"/>
        </w:rPr>
      </w:pPr>
      <w:r w:rsidRPr="00CB57B8">
        <w:rPr>
          <w:rFonts w:ascii="Arial" w:hAnsi="Arial" w:cs="Arial"/>
          <w:sz w:val="22"/>
          <w:szCs w:val="22"/>
        </w:rPr>
        <w:t xml:space="preserve">All staff </w:t>
      </w:r>
      <w:proofErr w:type="gramStart"/>
      <w:r w:rsidRPr="00CB57B8">
        <w:rPr>
          <w:rFonts w:ascii="Arial" w:hAnsi="Arial" w:cs="Arial"/>
          <w:sz w:val="22"/>
          <w:szCs w:val="22"/>
        </w:rPr>
        <w:t>have</w:t>
      </w:r>
      <w:proofErr w:type="gramEnd"/>
      <w:r w:rsidRPr="00CB57B8">
        <w:rPr>
          <w:rFonts w:ascii="Arial" w:hAnsi="Arial" w:cs="Arial"/>
          <w:sz w:val="22"/>
          <w:szCs w:val="22"/>
        </w:rPr>
        <w:t xml:space="preserve"> a responsibility to remain vigilant to the potential for fraud to occur and must </w:t>
      </w:r>
      <w:r w:rsidRPr="008372A3">
        <w:rPr>
          <w:rFonts w:ascii="Arial" w:hAnsi="Arial" w:cs="Arial"/>
          <w:sz w:val="22"/>
          <w:szCs w:val="22"/>
        </w:rPr>
        <w:t>report any suspicions where these arise. Resources lost to fraud and corruption restrict the ability of the Authority to deliver its strategic objectives and the Authority will not accept any level of fraud or corruption and is committed to ensuring that opportunities for fraud and corruption are reduced to the lowest possible level of risk. Any case will be thoroughly investigated and dealt with appropriately.</w:t>
      </w:r>
    </w:p>
    <w:p w:rsidR="00CB57B8" w:rsidRPr="008372A3" w:rsidRDefault="00CB57B8" w:rsidP="00CB57B8">
      <w:pPr>
        <w:pStyle w:val="ListParagraph"/>
        <w:ind w:left="1361"/>
        <w:rPr>
          <w:rFonts w:ascii="Arial" w:hAnsi="Arial" w:cs="Arial"/>
          <w:sz w:val="22"/>
          <w:szCs w:val="22"/>
          <w:lang w:val="en-US"/>
        </w:rPr>
      </w:pPr>
    </w:p>
    <w:p w:rsidR="00CB57B8" w:rsidRPr="008372A3" w:rsidRDefault="00CB57B8" w:rsidP="002C740F">
      <w:pPr>
        <w:pStyle w:val="ListParagraph"/>
        <w:numPr>
          <w:ilvl w:val="2"/>
          <w:numId w:val="23"/>
        </w:numPr>
        <w:rPr>
          <w:rFonts w:ascii="Arial" w:hAnsi="Arial" w:cs="Arial"/>
          <w:sz w:val="22"/>
          <w:szCs w:val="22"/>
          <w:lang w:val="en-US"/>
        </w:rPr>
      </w:pPr>
      <w:r w:rsidRPr="008372A3">
        <w:rPr>
          <w:rFonts w:ascii="Arial" w:hAnsi="Arial" w:cs="Arial"/>
          <w:sz w:val="22"/>
          <w:szCs w:val="22"/>
        </w:rPr>
        <w:t xml:space="preserve">More information on the management of fraud, including the HRA’s roles and responsibilities, and the HRA’s response plan, can be found in the </w:t>
      </w:r>
      <w:r w:rsidRPr="008372A3">
        <w:rPr>
          <w:rFonts w:ascii="Arial" w:hAnsi="Arial" w:cs="Arial"/>
          <w:i/>
          <w:sz w:val="22"/>
          <w:szCs w:val="22"/>
        </w:rPr>
        <w:t>HRA’</w:t>
      </w:r>
      <w:r w:rsidR="008372A3" w:rsidRPr="008372A3">
        <w:rPr>
          <w:rFonts w:ascii="Arial" w:hAnsi="Arial" w:cs="Arial"/>
          <w:i/>
          <w:sz w:val="22"/>
          <w:szCs w:val="22"/>
        </w:rPr>
        <w:t>s Anti-fraud, theft and bribery policy and response plan.</w:t>
      </w:r>
    </w:p>
    <w:p w:rsidR="00CB57B8" w:rsidRPr="00CB57B8" w:rsidRDefault="00CB57B8" w:rsidP="00CB57B8">
      <w:pPr>
        <w:pStyle w:val="ListParagraph"/>
        <w:ind w:left="1361"/>
        <w:rPr>
          <w:rFonts w:ascii="Arial" w:hAnsi="Arial" w:cs="Arial"/>
          <w:sz w:val="22"/>
          <w:szCs w:val="22"/>
          <w:lang w:val="en-US"/>
        </w:rPr>
      </w:pPr>
    </w:p>
    <w:p w:rsidR="00CB57B8" w:rsidRPr="00CB57B8" w:rsidRDefault="00CB57B8" w:rsidP="002C740F">
      <w:pPr>
        <w:pStyle w:val="ListParagraph"/>
        <w:numPr>
          <w:ilvl w:val="1"/>
          <w:numId w:val="23"/>
        </w:numPr>
        <w:rPr>
          <w:rFonts w:ascii="Arial" w:hAnsi="Arial" w:cs="Arial"/>
          <w:sz w:val="22"/>
          <w:szCs w:val="22"/>
          <w:lang w:val="en-US"/>
        </w:rPr>
      </w:pPr>
      <w:r w:rsidRPr="00CB57B8">
        <w:rPr>
          <w:rFonts w:ascii="Arial" w:hAnsi="Arial" w:cs="Arial"/>
          <w:sz w:val="22"/>
          <w:szCs w:val="22"/>
        </w:rPr>
        <w:t>Reputational Risk</w:t>
      </w:r>
    </w:p>
    <w:p w:rsidR="00CB57B8" w:rsidRPr="00CB57B8" w:rsidRDefault="00CB57B8" w:rsidP="00CB57B8">
      <w:pPr>
        <w:pStyle w:val="ListParagraph"/>
        <w:ind w:left="792"/>
        <w:rPr>
          <w:rFonts w:ascii="Arial" w:hAnsi="Arial" w:cs="Arial"/>
          <w:sz w:val="22"/>
          <w:szCs w:val="22"/>
          <w:lang w:val="en-US"/>
        </w:rPr>
      </w:pPr>
    </w:p>
    <w:p w:rsidR="00CB57B8" w:rsidRPr="00CB57B8" w:rsidRDefault="00CB57B8" w:rsidP="002C740F">
      <w:pPr>
        <w:pStyle w:val="ListParagraph"/>
        <w:numPr>
          <w:ilvl w:val="2"/>
          <w:numId w:val="23"/>
        </w:numPr>
        <w:rPr>
          <w:rFonts w:ascii="Arial" w:hAnsi="Arial" w:cs="Arial"/>
          <w:sz w:val="22"/>
          <w:szCs w:val="22"/>
          <w:lang w:val="en-US"/>
        </w:rPr>
      </w:pPr>
      <w:r w:rsidRPr="00CB57B8">
        <w:rPr>
          <w:rFonts w:ascii="Arial" w:hAnsi="Arial" w:cs="Arial"/>
          <w:color w:val="000000"/>
          <w:sz w:val="22"/>
          <w:szCs w:val="22"/>
        </w:rPr>
        <w:t xml:space="preserve">The HRA board has a responsibility to identify and understand what the potential risks are to its reputation and proactively manage the risks and </w:t>
      </w:r>
      <w:r w:rsidR="00E94458">
        <w:rPr>
          <w:rFonts w:ascii="Arial" w:hAnsi="Arial" w:cs="Arial"/>
          <w:color w:val="000000"/>
          <w:sz w:val="22"/>
          <w:szCs w:val="22"/>
        </w:rPr>
        <w:t xml:space="preserve">identify possible solutions. </w:t>
      </w:r>
      <w:r w:rsidRPr="00CB57B8">
        <w:rPr>
          <w:rFonts w:ascii="Arial" w:hAnsi="Arial" w:cs="Arial"/>
          <w:color w:val="000000"/>
          <w:sz w:val="22"/>
          <w:szCs w:val="22"/>
        </w:rPr>
        <w:t xml:space="preserve">Reputational risks cannot be the responsibility of a single individual or department and all HRA staff </w:t>
      </w:r>
      <w:proofErr w:type="gramStart"/>
      <w:r w:rsidRPr="00CB57B8">
        <w:rPr>
          <w:rFonts w:ascii="Arial" w:hAnsi="Arial" w:cs="Arial"/>
          <w:color w:val="000000"/>
          <w:sz w:val="22"/>
          <w:szCs w:val="22"/>
        </w:rPr>
        <w:t>have</w:t>
      </w:r>
      <w:proofErr w:type="gramEnd"/>
      <w:r w:rsidRPr="00CB57B8">
        <w:rPr>
          <w:rFonts w:ascii="Arial" w:hAnsi="Arial" w:cs="Arial"/>
          <w:color w:val="000000"/>
          <w:sz w:val="22"/>
          <w:szCs w:val="22"/>
        </w:rPr>
        <w:t xml:space="preserve"> a responsibility to protect and enhance the HRA’s reputation.</w:t>
      </w:r>
    </w:p>
    <w:p w:rsidR="00CB57B8" w:rsidRPr="00CB57B8" w:rsidRDefault="00CB57B8" w:rsidP="00CB57B8">
      <w:pPr>
        <w:pStyle w:val="ListParagraph"/>
        <w:ind w:left="1361"/>
        <w:rPr>
          <w:rFonts w:ascii="Arial" w:hAnsi="Arial" w:cs="Arial"/>
          <w:sz w:val="22"/>
          <w:szCs w:val="22"/>
          <w:lang w:val="en-US"/>
        </w:rPr>
      </w:pPr>
    </w:p>
    <w:p w:rsidR="00CB57B8" w:rsidRPr="00E94458" w:rsidRDefault="00CB57B8" w:rsidP="002C740F">
      <w:pPr>
        <w:pStyle w:val="ListParagraph"/>
        <w:numPr>
          <w:ilvl w:val="1"/>
          <w:numId w:val="23"/>
        </w:numPr>
        <w:rPr>
          <w:rFonts w:ascii="Arial" w:hAnsi="Arial" w:cs="Arial"/>
          <w:sz w:val="22"/>
          <w:szCs w:val="22"/>
          <w:lang w:val="en-US"/>
        </w:rPr>
      </w:pPr>
      <w:r w:rsidRPr="00CB57B8">
        <w:rPr>
          <w:rFonts w:ascii="Arial" w:hAnsi="Arial" w:cs="Arial"/>
          <w:sz w:val="22"/>
          <w:szCs w:val="22"/>
        </w:rPr>
        <w:t xml:space="preserve">Whistleblowing </w:t>
      </w:r>
    </w:p>
    <w:p w:rsidR="00E94458" w:rsidRPr="00CB57B8" w:rsidRDefault="00E94458" w:rsidP="00E94458">
      <w:pPr>
        <w:pStyle w:val="ListParagraph"/>
        <w:ind w:left="792"/>
        <w:rPr>
          <w:rFonts w:ascii="Arial" w:hAnsi="Arial" w:cs="Arial"/>
          <w:sz w:val="22"/>
          <w:szCs w:val="22"/>
          <w:lang w:val="en-US"/>
        </w:rPr>
      </w:pPr>
    </w:p>
    <w:p w:rsidR="00CB57B8" w:rsidRPr="008372A3" w:rsidRDefault="00CB57B8" w:rsidP="002C740F">
      <w:pPr>
        <w:pStyle w:val="ListParagraph"/>
        <w:numPr>
          <w:ilvl w:val="2"/>
          <w:numId w:val="23"/>
        </w:numPr>
        <w:rPr>
          <w:rFonts w:ascii="Arial" w:hAnsi="Arial" w:cs="Arial"/>
          <w:sz w:val="22"/>
          <w:szCs w:val="22"/>
          <w:lang w:val="en-US"/>
        </w:rPr>
      </w:pPr>
      <w:r w:rsidRPr="00CB57B8">
        <w:rPr>
          <w:rFonts w:ascii="Arial" w:hAnsi="Arial" w:cs="Arial"/>
          <w:sz w:val="22"/>
          <w:szCs w:val="22"/>
        </w:rPr>
        <w:t>Th</w:t>
      </w:r>
      <w:r w:rsidR="00E94458">
        <w:rPr>
          <w:rFonts w:ascii="Arial" w:hAnsi="Arial" w:cs="Arial"/>
          <w:sz w:val="22"/>
          <w:szCs w:val="22"/>
        </w:rPr>
        <w:t xml:space="preserve">e HRA’s </w:t>
      </w:r>
      <w:r w:rsidR="00C66081">
        <w:rPr>
          <w:rFonts w:ascii="Arial" w:hAnsi="Arial" w:cs="Arial"/>
          <w:sz w:val="22"/>
          <w:szCs w:val="22"/>
        </w:rPr>
        <w:t>W</w:t>
      </w:r>
      <w:r w:rsidRPr="00CB57B8">
        <w:rPr>
          <w:rFonts w:ascii="Arial" w:hAnsi="Arial" w:cs="Arial"/>
          <w:sz w:val="22"/>
          <w:szCs w:val="22"/>
        </w:rPr>
        <w:t xml:space="preserve">histleblowing </w:t>
      </w:r>
      <w:r w:rsidR="000E2EEC">
        <w:rPr>
          <w:rFonts w:ascii="Arial" w:hAnsi="Arial" w:cs="Arial"/>
          <w:sz w:val="22"/>
          <w:szCs w:val="22"/>
        </w:rPr>
        <w:t>Policy and Procedure</w:t>
      </w:r>
      <w:r w:rsidR="00E94458">
        <w:rPr>
          <w:rFonts w:ascii="Arial" w:hAnsi="Arial" w:cs="Arial"/>
          <w:sz w:val="22"/>
          <w:szCs w:val="22"/>
        </w:rPr>
        <w:t xml:space="preserve"> </w:t>
      </w:r>
      <w:r w:rsidRPr="00CB57B8">
        <w:rPr>
          <w:rFonts w:ascii="Arial" w:hAnsi="Arial" w:cs="Arial"/>
          <w:sz w:val="22"/>
          <w:szCs w:val="22"/>
        </w:rPr>
        <w:t xml:space="preserve">is primarily for concerns where the interests of others or of the HRA are at risk. It applies to wrongdoing for which the HRA is responsible. The HRA will assess any concerns raised to decide how they should be managed. This may involve an informal </w:t>
      </w:r>
      <w:r w:rsidRPr="008372A3">
        <w:rPr>
          <w:rFonts w:ascii="Arial" w:hAnsi="Arial" w:cs="Arial"/>
          <w:sz w:val="22"/>
          <w:szCs w:val="22"/>
        </w:rPr>
        <w:t>review, an internal inquiry or an investigation.</w:t>
      </w:r>
      <w:r w:rsidRPr="008372A3">
        <w:t xml:space="preserve">  </w:t>
      </w:r>
    </w:p>
    <w:p w:rsidR="00CB57B8" w:rsidRPr="008372A3" w:rsidRDefault="00CB57B8" w:rsidP="00CB57B8">
      <w:pPr>
        <w:pStyle w:val="ListParagraph"/>
        <w:ind w:left="1361"/>
        <w:rPr>
          <w:rFonts w:ascii="Arial" w:hAnsi="Arial" w:cs="Arial"/>
          <w:sz w:val="22"/>
          <w:szCs w:val="22"/>
          <w:lang w:val="en-US"/>
        </w:rPr>
      </w:pPr>
    </w:p>
    <w:p w:rsidR="00CB57B8" w:rsidRPr="008372A3" w:rsidRDefault="00CB57B8" w:rsidP="00A804FF">
      <w:pPr>
        <w:pStyle w:val="ListParagraph"/>
        <w:numPr>
          <w:ilvl w:val="2"/>
          <w:numId w:val="23"/>
        </w:numPr>
      </w:pPr>
      <w:r w:rsidRPr="008372A3">
        <w:rPr>
          <w:rFonts w:ascii="Arial" w:hAnsi="Arial" w:cs="Arial"/>
          <w:sz w:val="22"/>
          <w:szCs w:val="22"/>
        </w:rPr>
        <w:t xml:space="preserve">More information on whistleblowing, including how staff should raise a concern , how the HRA will address these concerns  and the responsibilities for staff in the HRA can be found in the </w:t>
      </w:r>
      <w:r w:rsidRPr="008372A3">
        <w:rPr>
          <w:rFonts w:ascii="Arial" w:hAnsi="Arial" w:cs="Arial"/>
          <w:i/>
          <w:sz w:val="22"/>
          <w:szCs w:val="22"/>
        </w:rPr>
        <w:t>HRA’s Freedom of Speech Policy</w:t>
      </w:r>
      <w:r w:rsidRPr="008372A3">
        <w:rPr>
          <w:rFonts w:ascii="Arial" w:hAnsi="Arial" w:cs="Arial"/>
          <w:sz w:val="22"/>
          <w:szCs w:val="22"/>
        </w:rPr>
        <w:t>.</w:t>
      </w:r>
    </w:p>
    <w:p w:rsidR="00E94458" w:rsidRPr="00CB57B8" w:rsidRDefault="00E94458" w:rsidP="00A804FF">
      <w:pPr>
        <w:pStyle w:val="ListParagraph"/>
        <w:ind w:left="1361"/>
        <w:rPr>
          <w:highlight w:val="yellow"/>
        </w:rPr>
      </w:pPr>
    </w:p>
    <w:p w:rsidR="00890C0B" w:rsidRPr="00E679E7" w:rsidRDefault="00890C0B" w:rsidP="00A804FF">
      <w:pPr>
        <w:pStyle w:val="ListParagraph"/>
        <w:numPr>
          <w:ilvl w:val="0"/>
          <w:numId w:val="23"/>
        </w:numPr>
        <w:rPr>
          <w:rFonts w:ascii="Arial" w:hAnsi="Arial" w:cs="Arial"/>
        </w:rPr>
      </w:pPr>
      <w:r w:rsidRPr="00890C0B">
        <w:rPr>
          <w:rStyle w:val="Heading1Char"/>
        </w:rPr>
        <w:t>Monitoring of activit</w:t>
      </w:r>
      <w:r>
        <w:rPr>
          <w:rStyle w:val="Heading1Char"/>
        </w:rPr>
        <w:t xml:space="preserve">ies covered by the </w:t>
      </w:r>
      <w:r w:rsidR="00E94458">
        <w:rPr>
          <w:rStyle w:val="Heading1Char"/>
        </w:rPr>
        <w:t>policy</w:t>
      </w:r>
      <w:r w:rsidR="007E10D6">
        <w:rPr>
          <w:rStyle w:val="Heading1Char"/>
        </w:rPr>
        <w:t xml:space="preserve"> </w:t>
      </w:r>
    </w:p>
    <w:p w:rsidR="00890C0B" w:rsidRDefault="00890C0B" w:rsidP="00A804FF">
      <w:pPr>
        <w:overflowPunct/>
        <w:autoSpaceDE/>
        <w:autoSpaceDN/>
        <w:adjustRightInd/>
        <w:textAlignment w:val="auto"/>
        <w:rPr>
          <w:rFonts w:ascii="Arial" w:hAnsi="Arial" w:cs="Arial"/>
          <w:sz w:val="24"/>
          <w:szCs w:val="24"/>
        </w:rPr>
      </w:pPr>
    </w:p>
    <w:p w:rsidR="00E679E7" w:rsidRDefault="00E679E7" w:rsidP="00A804FF">
      <w:pPr>
        <w:pStyle w:val="StyleStyleBodyText12ptLeft571cm"/>
        <w:numPr>
          <w:ilvl w:val="1"/>
          <w:numId w:val="23"/>
        </w:numPr>
        <w:spacing w:before="0" w:after="0"/>
        <w:ind w:left="788" w:hanging="431"/>
        <w:rPr>
          <w:szCs w:val="22"/>
        </w:rPr>
      </w:pPr>
      <w:r w:rsidRPr="00CD1954">
        <w:t xml:space="preserve">The involvement of staff in the management of risk is central to successfully implementing a risk management culture.  </w:t>
      </w:r>
      <w:r w:rsidRPr="00CD1954">
        <w:rPr>
          <w:szCs w:val="22"/>
        </w:rPr>
        <w:t xml:space="preserve">The </w:t>
      </w:r>
      <w:r>
        <w:rPr>
          <w:szCs w:val="22"/>
        </w:rPr>
        <w:t>HRA</w:t>
      </w:r>
      <w:r w:rsidRPr="00CD1954">
        <w:rPr>
          <w:szCs w:val="22"/>
        </w:rPr>
        <w:t xml:space="preserve">’s Risk Management Policy </w:t>
      </w:r>
      <w:r>
        <w:rPr>
          <w:szCs w:val="22"/>
        </w:rPr>
        <w:t xml:space="preserve">is </w:t>
      </w:r>
      <w:r w:rsidRPr="00CD1954">
        <w:rPr>
          <w:szCs w:val="22"/>
        </w:rPr>
        <w:t xml:space="preserve">communicated to all staff. Staff closely involved in the risk management process </w:t>
      </w:r>
      <w:r>
        <w:rPr>
          <w:szCs w:val="22"/>
        </w:rPr>
        <w:t>are</w:t>
      </w:r>
      <w:r w:rsidRPr="00CD1954">
        <w:rPr>
          <w:szCs w:val="22"/>
        </w:rPr>
        <w:t xml:space="preserve"> given access to information, support and advice, and where relevant, training. </w:t>
      </w:r>
    </w:p>
    <w:p w:rsidR="00E679E7" w:rsidRDefault="00E679E7" w:rsidP="00A804FF">
      <w:pPr>
        <w:pStyle w:val="StyleStyleBodyText12ptLeft571cm"/>
        <w:spacing w:before="0" w:after="0"/>
        <w:ind w:left="788"/>
        <w:rPr>
          <w:szCs w:val="22"/>
        </w:rPr>
      </w:pPr>
    </w:p>
    <w:p w:rsidR="00890C0B" w:rsidRDefault="00890C0B" w:rsidP="00A804FF">
      <w:pPr>
        <w:pStyle w:val="Heading1"/>
        <w:numPr>
          <w:ilvl w:val="0"/>
          <w:numId w:val="23"/>
        </w:numPr>
        <w:spacing w:after="0"/>
      </w:pPr>
      <w:r w:rsidRPr="00890C0B">
        <w:t xml:space="preserve">How lessons </w:t>
      </w:r>
      <w:r w:rsidR="00BC03BC">
        <w:t xml:space="preserve">are </w:t>
      </w:r>
      <w:r w:rsidRPr="00890C0B">
        <w:t>l</w:t>
      </w:r>
      <w:r w:rsidR="00AF0127">
        <w:t xml:space="preserve">earnt and incorporated into the </w:t>
      </w:r>
      <w:r w:rsidRPr="0041182A">
        <w:t>proc</w:t>
      </w:r>
      <w:r w:rsidR="007E10D6" w:rsidRPr="0041182A">
        <w:t xml:space="preserve">edure </w:t>
      </w:r>
    </w:p>
    <w:p w:rsidR="00A804FF" w:rsidRPr="00A804FF" w:rsidRDefault="00A804FF" w:rsidP="00A804FF">
      <w:pPr>
        <w:pStyle w:val="BodyText"/>
        <w:spacing w:before="0" w:after="0"/>
        <w:ind w:left="0"/>
      </w:pPr>
    </w:p>
    <w:p w:rsidR="0041182A" w:rsidRDefault="0041182A" w:rsidP="00A804FF">
      <w:pPr>
        <w:pStyle w:val="BodyText"/>
        <w:numPr>
          <w:ilvl w:val="1"/>
          <w:numId w:val="23"/>
        </w:numPr>
        <w:spacing w:before="0" w:after="0"/>
      </w:pPr>
      <w:r w:rsidRPr="0041182A">
        <w:t>The HRA seeks to be transparent and open as possible and through this approach will aim to identify and address those area where is there is a need for improvement in the risk management process and or controls or contingencies.</w:t>
      </w:r>
    </w:p>
    <w:p w:rsidR="00A804FF" w:rsidRDefault="00A804FF" w:rsidP="00A804FF">
      <w:pPr>
        <w:pStyle w:val="BodyText"/>
        <w:spacing w:before="0" w:after="0"/>
        <w:ind w:left="792"/>
      </w:pPr>
    </w:p>
    <w:p w:rsidR="001C2E78" w:rsidRDefault="001C2E78" w:rsidP="00A804FF">
      <w:pPr>
        <w:pStyle w:val="Heading1"/>
        <w:numPr>
          <w:ilvl w:val="0"/>
          <w:numId w:val="23"/>
        </w:numPr>
        <w:spacing w:after="0"/>
      </w:pPr>
      <w:r>
        <w:t xml:space="preserve">Management of </w:t>
      </w:r>
      <w:r w:rsidR="00F3123C">
        <w:t xml:space="preserve">Documents and </w:t>
      </w:r>
      <w:r w:rsidRPr="003E033D">
        <w:t>Records</w:t>
      </w:r>
    </w:p>
    <w:p w:rsidR="00A804FF" w:rsidRPr="00A804FF" w:rsidRDefault="00A804FF" w:rsidP="00A804FF">
      <w:pPr>
        <w:pStyle w:val="BodyText"/>
        <w:spacing w:before="0" w:after="0"/>
        <w:ind w:left="0"/>
      </w:pPr>
    </w:p>
    <w:p w:rsidR="0041182A" w:rsidRDefault="0041182A" w:rsidP="00A804FF">
      <w:pPr>
        <w:pStyle w:val="BodyText"/>
        <w:numPr>
          <w:ilvl w:val="1"/>
          <w:numId w:val="23"/>
        </w:numPr>
        <w:spacing w:before="0" w:after="0"/>
        <w:ind w:left="851" w:hanging="491"/>
      </w:pPr>
      <w:r>
        <w:t>This Risk Management and corporate assurance policy along with the Risk Management guidance document will be available on the staff intranet.</w:t>
      </w:r>
    </w:p>
    <w:p w:rsidR="0041182A" w:rsidRDefault="0041182A" w:rsidP="00A804FF">
      <w:pPr>
        <w:pStyle w:val="BodyText"/>
        <w:spacing w:before="0" w:after="0"/>
        <w:ind w:left="851"/>
      </w:pPr>
    </w:p>
    <w:p w:rsidR="0041182A" w:rsidRDefault="0041182A" w:rsidP="00A804FF">
      <w:pPr>
        <w:pStyle w:val="BodyText"/>
        <w:numPr>
          <w:ilvl w:val="1"/>
          <w:numId w:val="23"/>
        </w:numPr>
        <w:spacing w:before="0" w:after="0"/>
        <w:ind w:left="851" w:hanging="491"/>
      </w:pPr>
      <w:r>
        <w:t xml:space="preserve">The combined corporate and directorate risk registers are held on the shared drive at: </w:t>
      </w:r>
      <w:hyperlink r:id="rId20" w:history="1">
        <w:r w:rsidRPr="00C92CE0">
          <w:rPr>
            <w:rStyle w:val="Hyperlink"/>
          </w:rPr>
          <w:t>G:\Shared Drive\HRA Management\Risk Registers\NEW – 2014</w:t>
        </w:r>
      </w:hyperlink>
      <w:r>
        <w:t>.</w:t>
      </w:r>
    </w:p>
    <w:p w:rsidR="0041182A" w:rsidRDefault="0041182A" w:rsidP="00A804FF">
      <w:pPr>
        <w:pStyle w:val="BodyText"/>
        <w:spacing w:before="0" w:after="0"/>
        <w:ind w:left="851"/>
      </w:pPr>
    </w:p>
    <w:p w:rsidR="0041182A" w:rsidRDefault="0041182A" w:rsidP="00A804FF">
      <w:pPr>
        <w:pStyle w:val="BodyText"/>
        <w:numPr>
          <w:ilvl w:val="1"/>
          <w:numId w:val="23"/>
        </w:numPr>
        <w:spacing w:before="0" w:after="0"/>
        <w:ind w:left="851" w:hanging="491"/>
      </w:pPr>
      <w:r>
        <w:t>The corporate and directorate risk register will be a moving and dynamic document which will be updated on an ad hoc basis. A snapshot of the risk register will be taken and archived on a quarterly basis by the Board Secretary.</w:t>
      </w:r>
    </w:p>
    <w:p w:rsidR="0041182A" w:rsidRDefault="0041182A" w:rsidP="00A804FF">
      <w:pPr>
        <w:pStyle w:val="BodyText"/>
        <w:spacing w:before="0" w:after="0"/>
        <w:ind w:left="851"/>
      </w:pPr>
    </w:p>
    <w:p w:rsidR="0041182A" w:rsidRDefault="0041182A" w:rsidP="00A804FF">
      <w:pPr>
        <w:pStyle w:val="BodyText"/>
        <w:numPr>
          <w:ilvl w:val="1"/>
          <w:numId w:val="23"/>
        </w:numPr>
        <w:spacing w:before="0" w:after="0"/>
        <w:ind w:left="851" w:hanging="491"/>
      </w:pPr>
      <w:r w:rsidRPr="0041182A">
        <w:t xml:space="preserve">The Risk Management and Corporate Assurance Policy will be reviewed every two years. It will be reviewed by all management groups, EMT, the </w:t>
      </w:r>
      <w:r w:rsidR="00C66081">
        <w:t>Audit and Risk Committee</w:t>
      </w:r>
      <w:r w:rsidRPr="0041182A">
        <w:t xml:space="preserve"> and approved by the Board.</w:t>
      </w:r>
    </w:p>
    <w:p w:rsidR="0041182A" w:rsidRPr="0041182A" w:rsidRDefault="0041182A" w:rsidP="00A804FF">
      <w:pPr>
        <w:pStyle w:val="BodyText"/>
        <w:spacing w:before="0" w:after="0"/>
        <w:ind w:left="851"/>
      </w:pPr>
    </w:p>
    <w:p w:rsidR="0041182A" w:rsidRDefault="0041182A" w:rsidP="00A804FF">
      <w:pPr>
        <w:overflowPunct/>
        <w:autoSpaceDE/>
        <w:autoSpaceDN/>
        <w:adjustRightInd/>
        <w:textAlignment w:val="auto"/>
        <w:rPr>
          <w:rFonts w:ascii="Arial" w:hAnsi="Arial" w:cs="Arial"/>
          <w:sz w:val="22"/>
          <w:szCs w:val="22"/>
        </w:rPr>
      </w:pPr>
      <w:r>
        <w:br w:type="page"/>
      </w:r>
    </w:p>
    <w:p w:rsidR="00AC5F8E" w:rsidRDefault="00AC5F8E" w:rsidP="00AC5F8E">
      <w:pPr>
        <w:pStyle w:val="Heading1"/>
      </w:pPr>
      <w:bookmarkStart w:id="5" w:name="_Toc181522117"/>
      <w:bookmarkEnd w:id="1"/>
      <w:bookmarkEnd w:id="2"/>
      <w:r>
        <w:lastRenderedPageBreak/>
        <w:t>Document Control</w:t>
      </w:r>
      <w:bookmarkEnd w:id="5"/>
    </w:p>
    <w:p w:rsidR="00AC5F8E" w:rsidRDefault="00AC5F8E" w:rsidP="00AC5F8E">
      <w:pPr>
        <w:keepNext/>
        <w:keepLines/>
        <w:spacing w:before="120" w:after="120"/>
        <w:rPr>
          <w:rFonts w:ascii="Arial" w:hAnsi="Arial"/>
          <w:b/>
          <w:sz w:val="22"/>
        </w:rPr>
      </w:pPr>
      <w:r>
        <w:rPr>
          <w:rFonts w:ascii="Arial" w:hAnsi="Arial"/>
          <w:b/>
          <w:sz w:val="22"/>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A67D33" w:rsidTr="00393BC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A67D33" w:rsidRDefault="00A67D33" w:rsidP="00C821BB">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A67D33" w:rsidRDefault="00A67D33" w:rsidP="00C821BB">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rsidR="00A67D33" w:rsidRDefault="00A67D33" w:rsidP="00C821BB">
            <w:pPr>
              <w:pStyle w:val="TableHeading"/>
              <w:rPr>
                <w:sz w:val="22"/>
              </w:rPr>
            </w:pPr>
            <w:r>
              <w:rPr>
                <w:sz w:val="22"/>
              </w:rPr>
              <w:t>Reason for Change</w:t>
            </w:r>
          </w:p>
        </w:tc>
      </w:tr>
      <w:tr w:rsidR="00A67D33" w:rsidTr="00393BC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A67D33" w:rsidRDefault="00A67D33" w:rsidP="00C821BB">
            <w:pPr>
              <w:pStyle w:val="TableText"/>
              <w:rPr>
                <w:sz w:val="22"/>
              </w:rPr>
            </w:pPr>
          </w:p>
        </w:tc>
        <w:tc>
          <w:tcPr>
            <w:tcW w:w="2079" w:type="dxa"/>
            <w:tcBorders>
              <w:top w:val="single" w:sz="6" w:space="0" w:color="auto"/>
              <w:left w:val="nil"/>
              <w:bottom w:val="single" w:sz="6" w:space="0" w:color="auto"/>
              <w:right w:val="nil"/>
            </w:tcBorders>
            <w:shd w:val="pct50" w:color="auto" w:fill="auto"/>
          </w:tcPr>
          <w:p w:rsidR="00A67D33" w:rsidRDefault="00A67D33" w:rsidP="00C821BB">
            <w:pPr>
              <w:pStyle w:val="TableText"/>
              <w:rPr>
                <w:sz w:val="22"/>
              </w:rPr>
            </w:pPr>
          </w:p>
        </w:tc>
        <w:tc>
          <w:tcPr>
            <w:tcW w:w="5841" w:type="dxa"/>
            <w:tcBorders>
              <w:top w:val="single" w:sz="6" w:space="0" w:color="auto"/>
              <w:left w:val="nil"/>
              <w:bottom w:val="single" w:sz="6" w:space="0" w:color="auto"/>
              <w:right w:val="nil"/>
            </w:tcBorders>
            <w:shd w:val="pct50" w:color="auto" w:fill="auto"/>
          </w:tcPr>
          <w:p w:rsidR="00A67D33" w:rsidRDefault="00A67D33" w:rsidP="00C821BB">
            <w:pPr>
              <w:pStyle w:val="TableText"/>
              <w:rPr>
                <w:sz w:val="22"/>
              </w:rPr>
            </w:pPr>
          </w:p>
        </w:tc>
      </w:tr>
      <w:tr w:rsidR="00A67D33" w:rsidTr="00393BCB">
        <w:trPr>
          <w:cantSplit/>
        </w:trPr>
        <w:tc>
          <w:tcPr>
            <w:tcW w:w="2160" w:type="dxa"/>
            <w:tcBorders>
              <w:top w:val="nil"/>
              <w:left w:val="single" w:sz="12" w:space="0" w:color="auto"/>
              <w:bottom w:val="single" w:sz="6" w:space="0" w:color="auto"/>
              <w:right w:val="single" w:sz="6" w:space="0" w:color="auto"/>
            </w:tcBorders>
          </w:tcPr>
          <w:p w:rsidR="00A67D33" w:rsidRPr="00E77331" w:rsidRDefault="00A804FF" w:rsidP="00B2079A">
            <w:pPr>
              <w:pStyle w:val="TableText"/>
              <w:rPr>
                <w:color w:val="999999"/>
                <w:szCs w:val="20"/>
              </w:rPr>
            </w:pPr>
            <w:r>
              <w:rPr>
                <w:color w:val="999999"/>
                <w:szCs w:val="20"/>
              </w:rPr>
              <w:t>3.1</w:t>
            </w:r>
          </w:p>
        </w:tc>
        <w:tc>
          <w:tcPr>
            <w:tcW w:w="2079" w:type="dxa"/>
            <w:tcBorders>
              <w:top w:val="nil"/>
              <w:left w:val="single" w:sz="6" w:space="0" w:color="auto"/>
              <w:bottom w:val="single" w:sz="6" w:space="0" w:color="auto"/>
              <w:right w:val="single" w:sz="6" w:space="0" w:color="auto"/>
            </w:tcBorders>
          </w:tcPr>
          <w:p w:rsidR="00A67D33" w:rsidRPr="00E77331" w:rsidRDefault="00A804FF" w:rsidP="00B2079A">
            <w:pPr>
              <w:pStyle w:val="TableText"/>
              <w:rPr>
                <w:color w:val="999999"/>
                <w:szCs w:val="20"/>
              </w:rPr>
            </w:pPr>
            <w:r>
              <w:rPr>
                <w:color w:val="999999"/>
                <w:szCs w:val="20"/>
              </w:rPr>
              <w:t>2012.06.08</w:t>
            </w:r>
          </w:p>
        </w:tc>
        <w:tc>
          <w:tcPr>
            <w:tcW w:w="5841" w:type="dxa"/>
            <w:tcBorders>
              <w:top w:val="nil"/>
              <w:left w:val="single" w:sz="6" w:space="0" w:color="auto"/>
              <w:bottom w:val="single" w:sz="6" w:space="0" w:color="auto"/>
              <w:right w:val="single" w:sz="12" w:space="0" w:color="auto"/>
            </w:tcBorders>
          </w:tcPr>
          <w:p w:rsidR="00A67D33" w:rsidRPr="00E77331" w:rsidRDefault="00A804FF" w:rsidP="00B2079A">
            <w:pPr>
              <w:pStyle w:val="TableText"/>
              <w:rPr>
                <w:color w:val="999999"/>
                <w:szCs w:val="20"/>
              </w:rPr>
            </w:pPr>
            <w:r>
              <w:rPr>
                <w:color w:val="999999"/>
                <w:szCs w:val="20"/>
              </w:rPr>
              <w:t>Working draft</w:t>
            </w: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A804FF" w:rsidP="00B2079A">
            <w:pPr>
              <w:pStyle w:val="TableText"/>
              <w:rPr>
                <w:color w:val="999999"/>
                <w:szCs w:val="20"/>
              </w:rPr>
            </w:pPr>
            <w:r>
              <w:rPr>
                <w:color w:val="999999"/>
                <w:szCs w:val="20"/>
              </w:rPr>
              <w:t>3.2</w:t>
            </w: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A804FF" w:rsidP="00B2079A">
            <w:pPr>
              <w:pStyle w:val="TableText"/>
              <w:rPr>
                <w:color w:val="999999"/>
                <w:szCs w:val="20"/>
              </w:rPr>
            </w:pPr>
            <w:r>
              <w:rPr>
                <w:color w:val="999999"/>
                <w:szCs w:val="20"/>
              </w:rPr>
              <w:t>2014.10.15</w:t>
            </w: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A804FF" w:rsidP="00B2079A">
            <w:pPr>
              <w:pStyle w:val="TableText"/>
              <w:rPr>
                <w:color w:val="999999"/>
                <w:szCs w:val="20"/>
              </w:rPr>
            </w:pPr>
            <w:r>
              <w:rPr>
                <w:color w:val="999999"/>
                <w:szCs w:val="20"/>
              </w:rPr>
              <w:t>Updated to include findings from DH internal audit assurance review and HRA internal audit</w:t>
            </w: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93562D" w:rsidP="00B2079A">
            <w:pPr>
              <w:pStyle w:val="TableText"/>
              <w:rPr>
                <w:color w:val="999999"/>
                <w:szCs w:val="20"/>
              </w:rPr>
            </w:pPr>
            <w:r>
              <w:rPr>
                <w:color w:val="999999"/>
                <w:szCs w:val="20"/>
              </w:rPr>
              <w:t>3.3</w:t>
            </w: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93562D" w:rsidP="00B2079A">
            <w:pPr>
              <w:pStyle w:val="TableText"/>
              <w:rPr>
                <w:color w:val="999999"/>
                <w:szCs w:val="20"/>
              </w:rPr>
            </w:pPr>
            <w:r>
              <w:rPr>
                <w:color w:val="999999"/>
                <w:szCs w:val="20"/>
              </w:rPr>
              <w:t>2014.12.03</w:t>
            </w: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93562D" w:rsidP="00B2079A">
            <w:pPr>
              <w:pStyle w:val="TableText"/>
              <w:rPr>
                <w:color w:val="999999"/>
                <w:szCs w:val="20"/>
              </w:rPr>
            </w:pPr>
            <w:r>
              <w:rPr>
                <w:color w:val="999999"/>
                <w:szCs w:val="20"/>
              </w:rPr>
              <w:t>Updated with CMG comments</w:t>
            </w: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A67D33" w:rsidP="00B2079A">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A67D33" w:rsidP="00B2079A">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A67D33" w:rsidP="00B2079A">
            <w:pPr>
              <w:pStyle w:val="TableText"/>
              <w:rPr>
                <w:color w:val="999999"/>
                <w:szCs w:val="20"/>
              </w:rPr>
            </w:pP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A67D33" w:rsidP="00B2079A">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A67D33" w:rsidP="00B2079A">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A67D33" w:rsidP="00B2079A">
            <w:pPr>
              <w:pStyle w:val="TableText"/>
              <w:rPr>
                <w:color w:val="999999"/>
                <w:szCs w:val="20"/>
              </w:rPr>
            </w:pPr>
          </w:p>
        </w:tc>
      </w:tr>
      <w:tr w:rsidR="00A67D33" w:rsidTr="00393BCB">
        <w:trPr>
          <w:cantSplit/>
        </w:trPr>
        <w:tc>
          <w:tcPr>
            <w:tcW w:w="2160" w:type="dxa"/>
            <w:tcBorders>
              <w:top w:val="single" w:sz="6" w:space="0" w:color="auto"/>
              <w:left w:val="single" w:sz="12" w:space="0" w:color="auto"/>
              <w:bottom w:val="single" w:sz="4" w:space="0" w:color="auto"/>
              <w:right w:val="single" w:sz="6" w:space="0" w:color="auto"/>
            </w:tcBorders>
          </w:tcPr>
          <w:p w:rsidR="00A67D33" w:rsidRPr="00E77331" w:rsidRDefault="00A67D33" w:rsidP="00B2079A">
            <w:pPr>
              <w:pStyle w:val="TableText"/>
              <w:rPr>
                <w:szCs w:val="20"/>
              </w:rPr>
            </w:pPr>
          </w:p>
        </w:tc>
        <w:tc>
          <w:tcPr>
            <w:tcW w:w="2079" w:type="dxa"/>
            <w:tcBorders>
              <w:top w:val="single" w:sz="6" w:space="0" w:color="auto"/>
              <w:left w:val="single" w:sz="6" w:space="0" w:color="auto"/>
              <w:bottom w:val="single" w:sz="4" w:space="0" w:color="auto"/>
              <w:right w:val="single" w:sz="6" w:space="0" w:color="auto"/>
            </w:tcBorders>
          </w:tcPr>
          <w:p w:rsidR="00A67D33" w:rsidRPr="00E77331" w:rsidRDefault="00A67D33" w:rsidP="00B2079A">
            <w:pPr>
              <w:pStyle w:val="TableText"/>
              <w:rPr>
                <w:szCs w:val="20"/>
              </w:rPr>
            </w:pPr>
          </w:p>
        </w:tc>
        <w:tc>
          <w:tcPr>
            <w:tcW w:w="5841" w:type="dxa"/>
            <w:tcBorders>
              <w:top w:val="single" w:sz="6" w:space="0" w:color="auto"/>
              <w:left w:val="single" w:sz="6" w:space="0" w:color="auto"/>
              <w:bottom w:val="single" w:sz="4" w:space="0" w:color="auto"/>
              <w:right w:val="single" w:sz="12" w:space="0" w:color="auto"/>
            </w:tcBorders>
          </w:tcPr>
          <w:p w:rsidR="00A67D33" w:rsidRPr="00E77331" w:rsidRDefault="00A67D33" w:rsidP="00B2079A">
            <w:pPr>
              <w:pStyle w:val="TableText"/>
              <w:rPr>
                <w:szCs w:val="20"/>
              </w:rPr>
            </w:pPr>
          </w:p>
        </w:tc>
      </w:tr>
      <w:tr w:rsidR="00A67D33" w:rsidTr="00393BCB">
        <w:trPr>
          <w:cantSplit/>
        </w:trPr>
        <w:tc>
          <w:tcPr>
            <w:tcW w:w="2160" w:type="dxa"/>
            <w:tcBorders>
              <w:top w:val="single" w:sz="4" w:space="0" w:color="auto"/>
              <w:left w:val="single" w:sz="12" w:space="0" w:color="auto"/>
              <w:bottom w:val="single" w:sz="12" w:space="0" w:color="auto"/>
              <w:right w:val="single" w:sz="6" w:space="0" w:color="auto"/>
            </w:tcBorders>
          </w:tcPr>
          <w:p w:rsidR="00A67D33" w:rsidRPr="00E77331" w:rsidRDefault="00A67D33" w:rsidP="00B2079A">
            <w:pPr>
              <w:pStyle w:val="TableText"/>
              <w:rPr>
                <w:szCs w:val="20"/>
              </w:rPr>
            </w:pPr>
          </w:p>
        </w:tc>
        <w:tc>
          <w:tcPr>
            <w:tcW w:w="2079" w:type="dxa"/>
            <w:tcBorders>
              <w:top w:val="single" w:sz="4" w:space="0" w:color="auto"/>
              <w:left w:val="single" w:sz="6" w:space="0" w:color="auto"/>
              <w:bottom w:val="single" w:sz="12" w:space="0" w:color="auto"/>
              <w:right w:val="single" w:sz="6" w:space="0" w:color="auto"/>
            </w:tcBorders>
          </w:tcPr>
          <w:p w:rsidR="00A67D33" w:rsidRPr="00E77331" w:rsidRDefault="00A67D33" w:rsidP="00B2079A">
            <w:pPr>
              <w:pStyle w:val="TableText"/>
              <w:rPr>
                <w:szCs w:val="20"/>
              </w:rPr>
            </w:pPr>
          </w:p>
        </w:tc>
        <w:tc>
          <w:tcPr>
            <w:tcW w:w="5841" w:type="dxa"/>
            <w:tcBorders>
              <w:top w:val="single" w:sz="4" w:space="0" w:color="auto"/>
              <w:left w:val="single" w:sz="6" w:space="0" w:color="auto"/>
              <w:bottom w:val="single" w:sz="12" w:space="0" w:color="auto"/>
              <w:right w:val="single" w:sz="12" w:space="0" w:color="auto"/>
            </w:tcBorders>
          </w:tcPr>
          <w:p w:rsidR="00A67D33" w:rsidRPr="00E77331" w:rsidRDefault="00A67D33" w:rsidP="00B2079A">
            <w:pPr>
              <w:pStyle w:val="TableText"/>
              <w:rPr>
                <w:szCs w:val="20"/>
              </w:rPr>
            </w:pPr>
          </w:p>
        </w:tc>
      </w:tr>
    </w:tbl>
    <w:p w:rsidR="00D16A5E" w:rsidRDefault="00D16A5E" w:rsidP="00AC5F8E">
      <w:pPr>
        <w:keepNext/>
        <w:keepLines/>
        <w:spacing w:before="120" w:after="120"/>
        <w:rPr>
          <w:rFonts w:ascii="Arial" w:hAnsi="Arial"/>
          <w:b/>
          <w:sz w:val="22"/>
        </w:rPr>
      </w:pPr>
    </w:p>
    <w:p w:rsidR="00AC5F8E" w:rsidRDefault="00AC5F8E" w:rsidP="00AC5F8E">
      <w:pPr>
        <w:keepNext/>
        <w:keepLines/>
        <w:spacing w:before="120" w:after="120"/>
        <w:rPr>
          <w:rFonts w:ascii="Arial" w:hAnsi="Arial"/>
          <w:b/>
          <w:sz w:val="22"/>
        </w:rPr>
      </w:pPr>
      <w:r>
        <w:rPr>
          <w:rFonts w:ascii="Arial" w:hAnsi="Arial"/>
          <w:b/>
          <w:sz w:val="22"/>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AC5F8E" w:rsidTr="0096619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AC5F8E" w:rsidRDefault="00AC5F8E" w:rsidP="00C821BB">
            <w:pPr>
              <w:pStyle w:val="TableHeading"/>
              <w:rPr>
                <w:sz w:val="22"/>
              </w:rPr>
            </w:pPr>
            <w:r>
              <w:rPr>
                <w:sz w:val="22"/>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AC5F8E" w:rsidRDefault="00AC5F8E" w:rsidP="00C821BB">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rsidR="00AC5F8E" w:rsidRDefault="00AC5F8E" w:rsidP="00C821BB">
            <w:pPr>
              <w:pStyle w:val="TableHeading"/>
              <w:rPr>
                <w:sz w:val="22"/>
              </w:rPr>
            </w:pPr>
            <w:r>
              <w:rPr>
                <w:sz w:val="22"/>
              </w:rPr>
              <w:t>Version Reviewed</w:t>
            </w:r>
          </w:p>
        </w:tc>
      </w:tr>
      <w:tr w:rsidR="00AC5F8E" w:rsidTr="00966190">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AC5F8E" w:rsidRDefault="00AC5F8E" w:rsidP="00C821BB">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AC5F8E" w:rsidRDefault="00AC5F8E" w:rsidP="00C821BB">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AC5F8E" w:rsidRDefault="00AC5F8E" w:rsidP="00C821BB">
            <w:pPr>
              <w:pStyle w:val="TableText"/>
              <w:rPr>
                <w:sz w:val="22"/>
              </w:rPr>
            </w:pPr>
          </w:p>
        </w:tc>
      </w:tr>
      <w:tr w:rsidR="00AC5F8E" w:rsidTr="00966190">
        <w:trPr>
          <w:cantSplit/>
        </w:trPr>
        <w:tc>
          <w:tcPr>
            <w:tcW w:w="3686" w:type="dxa"/>
            <w:tcBorders>
              <w:top w:val="nil"/>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nil"/>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12"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AC5F8E" w:rsidRPr="00E77331" w:rsidRDefault="00AC5F8E" w:rsidP="00C821BB">
            <w:pPr>
              <w:pStyle w:val="TableText"/>
              <w:rPr>
                <w:szCs w:val="20"/>
              </w:rPr>
            </w:pPr>
          </w:p>
        </w:tc>
      </w:tr>
    </w:tbl>
    <w:p w:rsidR="00D16A5E" w:rsidRDefault="00D16A5E" w:rsidP="00AC5F8E">
      <w:pPr>
        <w:keepNext/>
        <w:keepLines/>
        <w:spacing w:before="120" w:after="120"/>
        <w:rPr>
          <w:rFonts w:ascii="Arial" w:hAnsi="Arial"/>
          <w:b/>
          <w:sz w:val="22"/>
        </w:rPr>
      </w:pPr>
    </w:p>
    <w:p w:rsidR="00AC5F8E" w:rsidRDefault="00AC5F8E" w:rsidP="00AC5F8E">
      <w:pPr>
        <w:keepNext/>
        <w:keepLines/>
        <w:spacing w:before="120" w:after="120"/>
        <w:rPr>
          <w:rFonts w:ascii="Arial" w:hAnsi="Arial"/>
          <w:b/>
          <w:sz w:val="22"/>
        </w:rPr>
      </w:pPr>
      <w:r>
        <w:rPr>
          <w:rFonts w:ascii="Arial" w:hAnsi="Arial"/>
          <w:b/>
          <w:sz w:val="22"/>
        </w:rPr>
        <w:t>Distribution</w:t>
      </w:r>
      <w:r w:rsidR="00966190">
        <w:rPr>
          <w:rFonts w:ascii="Arial" w:hAnsi="Arial"/>
          <w:b/>
          <w:sz w:val="22"/>
        </w:rPr>
        <w:t xml:space="preserve">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966190" w:rsidTr="0096619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966190" w:rsidRDefault="00966190" w:rsidP="009945C9">
            <w:pPr>
              <w:pStyle w:val="TableHeading"/>
              <w:rPr>
                <w:sz w:val="22"/>
              </w:rPr>
            </w:pPr>
            <w:r>
              <w:rPr>
                <w:sz w:val="22"/>
              </w:rPr>
              <w:t>Name of Person/Group</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966190" w:rsidRDefault="00966190" w:rsidP="009945C9">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rsidR="00966190" w:rsidRDefault="00966190" w:rsidP="009945C9">
            <w:pPr>
              <w:pStyle w:val="TableHeading"/>
              <w:rPr>
                <w:sz w:val="22"/>
              </w:rPr>
            </w:pPr>
            <w:r>
              <w:rPr>
                <w:sz w:val="22"/>
              </w:rPr>
              <w:t>Version Released</w:t>
            </w:r>
          </w:p>
        </w:tc>
      </w:tr>
      <w:tr w:rsidR="00966190" w:rsidTr="00966190">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966190" w:rsidRDefault="00966190" w:rsidP="009945C9">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966190" w:rsidRDefault="00966190" w:rsidP="009945C9">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966190" w:rsidRDefault="00966190" w:rsidP="009945C9">
            <w:pPr>
              <w:pStyle w:val="TableText"/>
              <w:rPr>
                <w:sz w:val="22"/>
              </w:rPr>
            </w:pPr>
          </w:p>
        </w:tc>
      </w:tr>
      <w:tr w:rsidR="00966190" w:rsidTr="00966190">
        <w:trPr>
          <w:cantSplit/>
        </w:trPr>
        <w:tc>
          <w:tcPr>
            <w:tcW w:w="3686" w:type="dxa"/>
            <w:tcBorders>
              <w:top w:val="nil"/>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nil"/>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12"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966190" w:rsidRPr="00E77331" w:rsidRDefault="00966190" w:rsidP="009945C9">
            <w:pPr>
              <w:pStyle w:val="TableText"/>
              <w:rPr>
                <w:szCs w:val="20"/>
              </w:rPr>
            </w:pPr>
          </w:p>
        </w:tc>
      </w:tr>
    </w:tbl>
    <w:p w:rsidR="00120371" w:rsidRPr="00120371" w:rsidRDefault="00120371" w:rsidP="00120371">
      <w:pPr>
        <w:pStyle w:val="BodyText"/>
        <w:jc w:val="right"/>
        <w:rPr>
          <w:sz w:val="12"/>
          <w:szCs w:val="12"/>
        </w:rPr>
      </w:pPr>
    </w:p>
    <w:sectPr w:rsidR="00120371" w:rsidRPr="00120371" w:rsidSect="006B6596">
      <w:footerReference w:type="first" r:id="rId21"/>
      <w:pgSz w:w="11907" w:h="16834" w:code="9"/>
      <w:pgMar w:top="902" w:right="720" w:bottom="1077" w:left="720" w:header="431" w:footer="431" w:gutter="3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CF" w:rsidRDefault="008758CF">
      <w:r>
        <w:separator/>
      </w:r>
    </w:p>
  </w:endnote>
  <w:endnote w:type="continuationSeparator" w:id="0">
    <w:p w:rsidR="008758CF" w:rsidRDefault="008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58" w:rsidRDefault="00E94458" w:rsidP="00E94458">
    <w:pPr>
      <w:pStyle w:val="Footer"/>
      <w:pBdr>
        <w:top w:val="single" w:sz="4" w:space="1" w:color="auto"/>
      </w:pBdr>
      <w:tabs>
        <w:tab w:val="clear" w:pos="10080"/>
        <w:tab w:val="right" w:pos="14400"/>
      </w:tabs>
      <w:rPr>
        <w:rFonts w:ascii="Arial" w:hAnsi="Arial"/>
        <w:noProof/>
      </w:rPr>
    </w:pPr>
    <w:r>
      <w:rPr>
        <w:rFonts w:ascii="Arial" w:hAnsi="Arial"/>
      </w:rPr>
      <w:fldChar w:fldCharType="begin"/>
    </w:r>
    <w:r>
      <w:rPr>
        <w:rFonts w:ascii="Arial" w:hAnsi="Arial"/>
      </w:rPr>
      <w:instrText xml:space="preserve"> if "</w:instrText>
    </w:r>
    <w:r>
      <w:rPr>
        <w:rFonts w:ascii="Arial" w:hAnsi="Arial"/>
      </w:rPr>
      <w:fldChar w:fldCharType="begin"/>
    </w:r>
    <w:r>
      <w:rPr>
        <w:rFonts w:ascii="Arial" w:hAnsi="Arial"/>
      </w:rPr>
      <w:instrText xml:space="preserve"> REF DocVersion  \* MERGEFORMAT </w:instrText>
    </w:r>
    <w:r>
      <w:rPr>
        <w:rFonts w:ascii="Arial" w:hAnsi="Arial"/>
      </w:rPr>
      <w:fldChar w:fldCharType="separate"/>
    </w:r>
    <w:r w:rsidR="008372A3">
      <w:rPr>
        <w:rFonts w:ascii="Arial" w:hAnsi="Arial"/>
        <w:b/>
        <w:bCs/>
        <w:lang w:val="en-US"/>
      </w:rPr>
      <w:instrText>Error! Reference source not found.</w:instrText>
    </w:r>
    <w:r>
      <w:rPr>
        <w:rFonts w:ascii="Arial" w:hAnsi="Arial"/>
      </w:rPr>
      <w:fldChar w:fldCharType="end"/>
    </w:r>
    <w:r>
      <w:rPr>
        <w:rFonts w:ascii="Arial" w:hAnsi="Arial"/>
      </w:rPr>
      <w:instrText>" = "Error! Reference source not found." ""</w:instrText>
    </w:r>
    <w:r>
      <w:rPr>
        <w:rFonts w:ascii="Arial" w:hAnsi="Arial"/>
        <w:b/>
      </w:rPr>
      <w:instrText xml:space="preserve"> </w:instrText>
    </w:r>
    <w:r>
      <w:rPr>
        <w:rFonts w:ascii="Arial" w:hAnsi="Arial"/>
      </w:rPr>
      <w:instrText xml:space="preserve"> "(v. </w:instrText>
    </w:r>
    <w:r w:rsidR="008E6185">
      <w:fldChar w:fldCharType="begin"/>
    </w:r>
    <w:r w:rsidR="008E6185">
      <w:instrText xml:space="preserve"> REF DocVersion  \* MERGEFORMAT </w:instrText>
    </w:r>
    <w:r w:rsidR="008E6185">
      <w:fldChar w:fldCharType="separate"/>
    </w:r>
    <w:r>
      <w:rPr>
        <w:rFonts w:ascii="Arial" w:hAnsi="Arial"/>
      </w:rPr>
      <w:instrText xml:space="preserve">1 </w:instrText>
    </w:r>
    <w:r w:rsidR="008E6185">
      <w:rPr>
        <w:rFonts w:ascii="Arial" w:hAnsi="Arial"/>
      </w:rPr>
      <w:fldChar w:fldCharType="end"/>
    </w:r>
    <w:r>
      <w:rPr>
        <w:rFonts w:ascii="Arial" w:hAnsi="Arial"/>
      </w:rPr>
      <w:instrText xml:space="preserve">)" </w:instrText>
    </w:r>
    <w:r>
      <w:rPr>
        <w:rFonts w:ascii="Arial" w:hAnsi="Arial"/>
      </w:rPr>
      <w:fldChar w:fldCharType="end"/>
    </w:r>
    <w:r w:rsidRPr="005174DC">
      <w:rPr>
        <w:rFonts w:ascii="Arial" w:hAnsi="Arial"/>
        <w:noProof/>
        <w:color w:val="808080"/>
      </w:rPr>
      <w:t xml:space="preserve"> </w:t>
    </w:r>
    <w:r>
      <w:rPr>
        <w:rFonts w:ascii="Arial" w:hAnsi="Arial"/>
        <w:noProof/>
        <w:color w:val="808080"/>
      </w:rPr>
      <w:t>Risk Management and Corpora</w:t>
    </w:r>
    <w:r w:rsidR="0093562D">
      <w:rPr>
        <w:rFonts w:ascii="Arial" w:hAnsi="Arial"/>
        <w:noProof/>
        <w:color w:val="808080"/>
      </w:rPr>
      <w:t>te Assurance Policy, version 3.3</w:t>
    </w:r>
    <w:r>
      <w:rPr>
        <w:rFonts w:ascii="Arial" w:hAnsi="Arial"/>
        <w:noProof/>
        <w:color w:val="808080"/>
      </w:rPr>
      <w:t xml:space="preserve">, </w:t>
    </w:r>
    <w:r w:rsidR="0093562D">
      <w:rPr>
        <w:rFonts w:ascii="Arial" w:hAnsi="Arial"/>
        <w:noProof/>
        <w:color w:val="808080"/>
      </w:rPr>
      <w:t>FINAL</w:t>
    </w:r>
    <w:r>
      <w:rPr>
        <w:rFonts w:ascii="Arial" w:hAnsi="Arial"/>
        <w:noProof/>
        <w:color w:val="808080"/>
      </w:rPr>
      <w:t xml:space="preserve">                       </w:t>
    </w:r>
    <w:r w:rsidRPr="00B84B02">
      <w:rPr>
        <w:rFonts w:ascii="Arial" w:hAnsi="Arial"/>
        <w:noProof/>
      </w:rPr>
      <w:t>Note: This document is uncontrolled when printed</w:t>
    </w:r>
  </w:p>
  <w:p w:rsidR="00E94458" w:rsidRPr="00B84B02" w:rsidRDefault="00E94458" w:rsidP="00E94458">
    <w:pPr>
      <w:pStyle w:val="Footer"/>
      <w:pBdr>
        <w:top w:val="single" w:sz="4" w:space="1" w:color="auto"/>
      </w:pBdr>
      <w:tabs>
        <w:tab w:val="clear" w:pos="10080"/>
        <w:tab w:val="right" w:pos="14400"/>
      </w:tabs>
      <w:jc w:val="right"/>
      <w:rPr>
        <w:rFonts w:ascii="Arial" w:hAnsi="Arial"/>
        <w:noProof/>
      </w:rPr>
    </w:pPr>
    <w:r w:rsidRPr="00B84B02">
      <w:rPr>
        <w:rFonts w:ascii="Arial" w:hAnsi="Arial"/>
        <w:noProof/>
      </w:rPr>
      <w:t xml:space="preserve">Page </w:t>
    </w:r>
    <w:r w:rsidRPr="00B84B02">
      <w:rPr>
        <w:rFonts w:ascii="Arial" w:hAnsi="Arial"/>
        <w:noProof/>
      </w:rPr>
      <w:fldChar w:fldCharType="begin"/>
    </w:r>
    <w:r w:rsidRPr="00B84B02">
      <w:rPr>
        <w:rFonts w:ascii="Arial" w:hAnsi="Arial"/>
        <w:noProof/>
      </w:rPr>
      <w:instrText xml:space="preserve"> PAGE </w:instrText>
    </w:r>
    <w:r w:rsidRPr="00B84B02">
      <w:rPr>
        <w:rFonts w:ascii="Arial" w:hAnsi="Arial"/>
        <w:noProof/>
      </w:rPr>
      <w:fldChar w:fldCharType="separate"/>
    </w:r>
    <w:r w:rsidR="008E6185">
      <w:rPr>
        <w:rFonts w:ascii="Arial" w:hAnsi="Arial"/>
        <w:noProof/>
      </w:rPr>
      <w:t>8</w:t>
    </w:r>
    <w:r w:rsidRPr="00B84B02">
      <w:rPr>
        <w:rFonts w:ascii="Arial" w:hAnsi="Arial"/>
        <w:noProof/>
      </w:rPr>
      <w:fldChar w:fldCharType="end"/>
    </w:r>
    <w:r w:rsidRPr="00B84B02">
      <w:rPr>
        <w:rFonts w:ascii="Arial" w:hAnsi="Arial"/>
        <w:noProof/>
      </w:rPr>
      <w:t xml:space="preserve"> of </w:t>
    </w:r>
    <w:r w:rsidRPr="00B84B02">
      <w:rPr>
        <w:rFonts w:ascii="Arial" w:hAnsi="Arial"/>
        <w:noProof/>
      </w:rPr>
      <w:fldChar w:fldCharType="begin"/>
    </w:r>
    <w:r w:rsidRPr="00B84B02">
      <w:rPr>
        <w:rFonts w:ascii="Arial" w:hAnsi="Arial"/>
        <w:noProof/>
      </w:rPr>
      <w:instrText xml:space="preserve"> NUMPAGES </w:instrText>
    </w:r>
    <w:r w:rsidRPr="00B84B02">
      <w:rPr>
        <w:rFonts w:ascii="Arial" w:hAnsi="Arial"/>
        <w:noProof/>
      </w:rPr>
      <w:fldChar w:fldCharType="separate"/>
    </w:r>
    <w:r w:rsidR="008E6185">
      <w:rPr>
        <w:rFonts w:ascii="Arial" w:hAnsi="Arial"/>
        <w:noProof/>
      </w:rPr>
      <w:t>8</w:t>
    </w:r>
    <w:r w:rsidRPr="00B84B02">
      <w:rPr>
        <w:rFonts w:ascii="Arial" w:hAnsi="Arial"/>
        <w:noProof/>
      </w:rPr>
      <w:fldChar w:fldCharType="end"/>
    </w:r>
  </w:p>
  <w:p w:rsidR="008758CF" w:rsidRDefault="008758CF" w:rsidP="00207C9F">
    <w:pPr>
      <w:pStyle w:val="Footer"/>
      <w:pBdr>
        <w:top w:val="single" w:sz="4" w:space="1" w:color="auto"/>
      </w:pBdr>
      <w:tabs>
        <w:tab w:val="clear" w:pos="10080"/>
        <w:tab w:val="right" w:pos="14400"/>
      </w:tabs>
      <w:rPr>
        <w:rFonts w:ascii="Arial" w:hAnsi="Arial"/>
      </w:rPr>
    </w:pPr>
    <w:r>
      <w:rPr>
        <w:rFonts w:ascii="Arial" w:hAnsi="Arial"/>
        <w:color w:val="0000FF"/>
      </w:rPr>
      <w:t xml:space="preserve">                                                                                                                                </w:t>
    </w:r>
    <w:r>
      <w:rPr>
        <w:rFonts w:ascii="Arial" w:hAnsi="Arial"/>
      </w:rPr>
      <w:tab/>
    </w:r>
    <w:r w:rsidRPr="00FC5C04">
      <w:rPr>
        <w:rFonts w:ascii="Arial" w:hAnsi="Arial"/>
      </w:rPr>
      <w:t xml:space="preserve">Page </w:t>
    </w:r>
    <w:r w:rsidRPr="00FC5C04">
      <w:rPr>
        <w:rFonts w:ascii="Arial" w:hAnsi="Arial"/>
      </w:rPr>
      <w:fldChar w:fldCharType="begin"/>
    </w:r>
    <w:r w:rsidRPr="00FC5C04">
      <w:rPr>
        <w:rFonts w:ascii="Arial" w:hAnsi="Arial"/>
      </w:rPr>
      <w:instrText xml:space="preserve"> PAGE </w:instrText>
    </w:r>
    <w:r w:rsidRPr="00FC5C04">
      <w:rPr>
        <w:rFonts w:ascii="Arial" w:hAnsi="Arial"/>
      </w:rPr>
      <w:fldChar w:fldCharType="separate"/>
    </w:r>
    <w:r w:rsidR="008E6185">
      <w:rPr>
        <w:rFonts w:ascii="Arial" w:hAnsi="Arial"/>
        <w:noProof/>
      </w:rPr>
      <w:t>8</w:t>
    </w:r>
    <w:r w:rsidRPr="00FC5C04">
      <w:rPr>
        <w:rFonts w:ascii="Arial" w:hAnsi="Arial"/>
      </w:rPr>
      <w:fldChar w:fldCharType="end"/>
    </w:r>
    <w:r w:rsidRPr="00FC5C04">
      <w:rPr>
        <w:rFonts w:ascii="Arial" w:hAnsi="Arial"/>
      </w:rPr>
      <w:t xml:space="preserve"> of </w:t>
    </w:r>
    <w:r w:rsidRPr="00FC5C04">
      <w:rPr>
        <w:rFonts w:ascii="Arial" w:hAnsi="Arial"/>
      </w:rPr>
      <w:fldChar w:fldCharType="begin"/>
    </w:r>
    <w:r w:rsidRPr="00FC5C04">
      <w:rPr>
        <w:rFonts w:ascii="Arial" w:hAnsi="Arial"/>
      </w:rPr>
      <w:instrText xml:space="preserve"> NUMPAGES </w:instrText>
    </w:r>
    <w:r w:rsidRPr="00FC5C04">
      <w:rPr>
        <w:rFonts w:ascii="Arial" w:hAnsi="Arial"/>
      </w:rPr>
      <w:fldChar w:fldCharType="separate"/>
    </w:r>
    <w:r w:rsidR="008E6185">
      <w:rPr>
        <w:rFonts w:ascii="Arial" w:hAnsi="Arial"/>
        <w:noProof/>
      </w:rPr>
      <w:t>8</w:t>
    </w:r>
    <w:r w:rsidRPr="00FC5C04">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CF" w:rsidRDefault="008758CF" w:rsidP="005174DC">
    <w:pPr>
      <w:pStyle w:val="Footer"/>
      <w:pBdr>
        <w:top w:val="single" w:sz="4" w:space="1" w:color="auto"/>
      </w:pBdr>
      <w:tabs>
        <w:tab w:val="clear" w:pos="10080"/>
        <w:tab w:val="right" w:pos="14400"/>
      </w:tabs>
      <w:rPr>
        <w:rFonts w:ascii="Arial" w:hAnsi="Arial"/>
        <w:noProof/>
      </w:rPr>
    </w:pPr>
    <w:r>
      <w:rPr>
        <w:rFonts w:ascii="Arial" w:hAnsi="Arial"/>
        <w:noProof/>
        <w:color w:val="808080"/>
      </w:rPr>
      <w:t>Risk Management and Corporate Assurance Policy, version 3.</w:t>
    </w:r>
    <w:r w:rsidR="0093562D">
      <w:rPr>
        <w:rFonts w:ascii="Arial" w:hAnsi="Arial"/>
        <w:noProof/>
        <w:color w:val="808080"/>
      </w:rPr>
      <w:t>3, FINAL</w:t>
    </w:r>
    <w:r>
      <w:rPr>
        <w:rFonts w:ascii="Arial" w:hAnsi="Arial"/>
        <w:noProof/>
        <w:color w:val="808080"/>
      </w:rPr>
      <w:t xml:space="preserve">                       </w:t>
    </w:r>
    <w:r w:rsidRPr="00B84B02">
      <w:rPr>
        <w:rFonts w:ascii="Arial" w:hAnsi="Arial"/>
        <w:noProof/>
      </w:rPr>
      <w:t>Note: This document is uncontrolled when printed</w:t>
    </w:r>
  </w:p>
  <w:p w:rsidR="008758CF" w:rsidRPr="00B84B02" w:rsidRDefault="008758CF" w:rsidP="005174DC">
    <w:pPr>
      <w:pStyle w:val="Footer"/>
      <w:pBdr>
        <w:top w:val="single" w:sz="4" w:space="1" w:color="auto"/>
      </w:pBdr>
      <w:tabs>
        <w:tab w:val="clear" w:pos="10080"/>
        <w:tab w:val="right" w:pos="14400"/>
      </w:tabs>
      <w:jc w:val="right"/>
      <w:rPr>
        <w:rFonts w:ascii="Arial" w:hAnsi="Arial"/>
        <w:noProof/>
      </w:rPr>
    </w:pPr>
    <w:r w:rsidRPr="00B84B02">
      <w:rPr>
        <w:rFonts w:ascii="Arial" w:hAnsi="Arial"/>
        <w:noProof/>
      </w:rPr>
      <w:t xml:space="preserve">Page </w:t>
    </w:r>
    <w:r w:rsidRPr="00B84B02">
      <w:rPr>
        <w:rFonts w:ascii="Arial" w:hAnsi="Arial"/>
        <w:noProof/>
      </w:rPr>
      <w:fldChar w:fldCharType="begin"/>
    </w:r>
    <w:r w:rsidRPr="00B84B02">
      <w:rPr>
        <w:rFonts w:ascii="Arial" w:hAnsi="Arial"/>
        <w:noProof/>
      </w:rPr>
      <w:instrText xml:space="preserve"> PAGE </w:instrText>
    </w:r>
    <w:r w:rsidRPr="00B84B02">
      <w:rPr>
        <w:rFonts w:ascii="Arial" w:hAnsi="Arial"/>
        <w:noProof/>
      </w:rPr>
      <w:fldChar w:fldCharType="separate"/>
    </w:r>
    <w:r w:rsidR="008E6185">
      <w:rPr>
        <w:rFonts w:ascii="Arial" w:hAnsi="Arial"/>
        <w:noProof/>
      </w:rPr>
      <w:t>1</w:t>
    </w:r>
    <w:r w:rsidRPr="00B84B02">
      <w:rPr>
        <w:rFonts w:ascii="Arial" w:hAnsi="Arial"/>
        <w:noProof/>
      </w:rPr>
      <w:fldChar w:fldCharType="end"/>
    </w:r>
    <w:r w:rsidRPr="00B84B02">
      <w:rPr>
        <w:rFonts w:ascii="Arial" w:hAnsi="Arial"/>
        <w:noProof/>
      </w:rPr>
      <w:t xml:space="preserve"> of </w:t>
    </w:r>
    <w:r w:rsidRPr="00B84B02">
      <w:rPr>
        <w:rFonts w:ascii="Arial" w:hAnsi="Arial"/>
        <w:noProof/>
      </w:rPr>
      <w:fldChar w:fldCharType="begin"/>
    </w:r>
    <w:r w:rsidRPr="00B84B02">
      <w:rPr>
        <w:rFonts w:ascii="Arial" w:hAnsi="Arial"/>
        <w:noProof/>
      </w:rPr>
      <w:instrText xml:space="preserve"> NUMPAGES </w:instrText>
    </w:r>
    <w:r w:rsidRPr="00B84B02">
      <w:rPr>
        <w:rFonts w:ascii="Arial" w:hAnsi="Arial"/>
        <w:noProof/>
      </w:rPr>
      <w:fldChar w:fldCharType="separate"/>
    </w:r>
    <w:r w:rsidR="008E6185">
      <w:rPr>
        <w:rFonts w:ascii="Arial" w:hAnsi="Arial"/>
        <w:noProof/>
      </w:rPr>
      <w:t>8</w:t>
    </w:r>
    <w:r w:rsidRPr="00B84B02">
      <w:rPr>
        <w:rFonts w:ascii="Arial" w:hAnsi="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CF" w:rsidRDefault="008758CF">
    <w:pPr>
      <w:pStyle w:val="Footer"/>
      <w:tabs>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CF" w:rsidRDefault="008758CF">
      <w:r>
        <w:separator/>
      </w:r>
    </w:p>
  </w:footnote>
  <w:footnote w:type="continuationSeparator" w:id="0">
    <w:p w:rsidR="008758CF" w:rsidRDefault="0087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CF" w:rsidRPr="00E94458" w:rsidRDefault="00E94458" w:rsidP="00215A15">
    <w:pPr>
      <w:pStyle w:val="Header"/>
      <w:rPr>
        <w:rFonts w:ascii="Arial" w:hAnsi="Arial" w:cs="Arial"/>
        <w:color w:val="808080"/>
      </w:rPr>
    </w:pPr>
    <w:r>
      <w:rPr>
        <w:rFonts w:ascii="Arial" w:hAnsi="Arial" w:cs="Arial"/>
        <w:color w:val="808080"/>
      </w:rPr>
      <w:t>Risk Management and Corporate Assurance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CF" w:rsidRPr="00215A15" w:rsidRDefault="008758CF">
    <w:pPr>
      <w:pStyle w:val="Header"/>
      <w:rPr>
        <w:rFonts w:ascii="Arial" w:hAnsi="Arial" w:cs="Arial"/>
        <w:color w:val="808080"/>
      </w:rPr>
    </w:pPr>
    <w:r>
      <w:rPr>
        <w:rFonts w:ascii="Arial" w:hAnsi="Arial" w:cs="Arial"/>
        <w:color w:val="808080"/>
      </w:rPr>
      <w:t>Risk Management and Corporate Assurance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E6F"/>
    <w:multiLevelType w:val="hybridMultilevel"/>
    <w:tmpl w:val="27EE2E9E"/>
    <w:lvl w:ilvl="0" w:tplc="2C90E4AC">
      <w:start w:val="1"/>
      <w:numFmt w:val="bullet"/>
      <w:lvlText w:val=""/>
      <w:lvlJc w:val="left"/>
      <w:pPr>
        <w:tabs>
          <w:tab w:val="num" w:pos="793"/>
        </w:tabs>
        <w:ind w:left="793" w:hanging="360"/>
      </w:pPr>
      <w:rPr>
        <w:rFonts w:ascii="Symbol" w:hAnsi="Symbol" w:hint="default"/>
        <w:sz w:val="22"/>
        <w:szCs w:val="22"/>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1">
    <w:nsid w:val="07CD734F"/>
    <w:multiLevelType w:val="multilevel"/>
    <w:tmpl w:val="8E8C3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5F636C"/>
    <w:multiLevelType w:val="multilevel"/>
    <w:tmpl w:val="14DC9F2C"/>
    <w:lvl w:ilvl="0">
      <w:start w:val="1"/>
      <w:numFmt w:val="decimal"/>
      <w:lvlText w:val="%1."/>
      <w:lvlJc w:val="left"/>
      <w:pPr>
        <w:ind w:left="454" w:hanging="454"/>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ascii="Arial" w:hAnsi="Arial" w:cs="Arial" w:hint="default"/>
        <w:sz w:val="22"/>
        <w:szCs w:val="22"/>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9B6B79"/>
    <w:multiLevelType w:val="hybridMultilevel"/>
    <w:tmpl w:val="213A038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4D44A9F"/>
    <w:multiLevelType w:val="multilevel"/>
    <w:tmpl w:val="C24EB21A"/>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ascii="Arial" w:hAnsi="Arial" w:cs="Arial" w:hint="default"/>
        <w:sz w:val="22"/>
        <w:szCs w:val="22"/>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5B6A82"/>
    <w:multiLevelType w:val="hybridMultilevel"/>
    <w:tmpl w:val="A81E2D1A"/>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20081C79"/>
    <w:multiLevelType w:val="multilevel"/>
    <w:tmpl w:val="23409DB2"/>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7F649E"/>
    <w:multiLevelType w:val="hybridMultilevel"/>
    <w:tmpl w:val="AEB856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3401605"/>
    <w:multiLevelType w:val="hybridMultilevel"/>
    <w:tmpl w:val="32F6828C"/>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F46177"/>
    <w:multiLevelType w:val="multilevel"/>
    <w:tmpl w:val="92985844"/>
    <w:lvl w:ilvl="0">
      <w:start w:val="1"/>
      <w:numFmt w:val="decimal"/>
      <w:lvlText w:val="%1.0"/>
      <w:lvlJc w:val="left"/>
      <w:pPr>
        <w:tabs>
          <w:tab w:val="num" w:pos="540"/>
        </w:tabs>
        <w:ind w:left="540" w:hanging="540"/>
      </w:pPr>
      <w:rPr>
        <w:rFonts w:hint="default"/>
        <w:b/>
      </w:rPr>
    </w:lvl>
    <w:lvl w:ilvl="1">
      <w:start w:val="1"/>
      <w:numFmt w:val="decimal"/>
      <w:lvlText w:val="%1.%2"/>
      <w:lvlJc w:val="left"/>
      <w:pPr>
        <w:tabs>
          <w:tab w:val="num" w:pos="720"/>
        </w:tabs>
        <w:ind w:left="720" w:hanging="540"/>
      </w:pPr>
      <w:rPr>
        <w:rFonts w:hint="default"/>
        <w:b w:val="0"/>
        <w:sz w:val="22"/>
        <w:szCs w:val="22"/>
      </w:rPr>
    </w:lvl>
    <w:lvl w:ilvl="2">
      <w:start w:val="1"/>
      <w:numFmt w:val="decimal"/>
      <w:lvlText w:val="%1.%2.%3"/>
      <w:lvlJc w:val="left"/>
      <w:pPr>
        <w:tabs>
          <w:tab w:val="num" w:pos="1620"/>
        </w:tabs>
        <w:ind w:left="1440" w:hanging="720"/>
      </w:pPr>
      <w:rPr>
        <w:rFonts w:hint="default"/>
        <w:b w:val="0"/>
        <w:sz w:val="22"/>
        <w:szCs w:val="22"/>
      </w:rPr>
    </w:lvl>
    <w:lvl w:ilvl="3">
      <w:start w:val="1"/>
      <w:numFmt w:val="decimal"/>
      <w:lvlText w:val="%1.%2.%3.%4"/>
      <w:lvlJc w:val="left"/>
      <w:pPr>
        <w:tabs>
          <w:tab w:val="num" w:pos="2340"/>
        </w:tabs>
        <w:ind w:left="2340" w:hanging="720"/>
      </w:pPr>
      <w:rPr>
        <w:rFonts w:ascii="Calibri" w:hAnsi="Calibri" w:hint="default"/>
        <w:b w:val="0"/>
        <w:i w:val="0"/>
        <w:sz w:val="22"/>
      </w:rPr>
    </w:lvl>
    <w:lvl w:ilvl="4">
      <w:start w:val="1"/>
      <w:numFmt w:val="lowerRoman"/>
      <w:lvlText w:val="%5."/>
      <w:lvlJc w:val="right"/>
      <w:pPr>
        <w:tabs>
          <w:tab w:val="num" w:pos="3420"/>
        </w:tabs>
        <w:ind w:left="3420" w:hanging="301"/>
      </w:pPr>
      <w:rPr>
        <w:rFonts w:hint="default"/>
        <w:b w:val="0"/>
        <w:sz w:val="22"/>
        <w:szCs w:val="22"/>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7020"/>
        </w:tabs>
        <w:ind w:left="7020" w:hanging="1800"/>
      </w:pPr>
      <w:rPr>
        <w:rFonts w:hint="default"/>
      </w:rPr>
    </w:lvl>
  </w:abstractNum>
  <w:abstractNum w:abstractNumId="10">
    <w:nsid w:val="26607848"/>
    <w:multiLevelType w:val="hybridMultilevel"/>
    <w:tmpl w:val="8D9AF61C"/>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2B2C65D0"/>
    <w:multiLevelType w:val="multilevel"/>
    <w:tmpl w:val="14DC9F2C"/>
    <w:lvl w:ilvl="0">
      <w:start w:val="1"/>
      <w:numFmt w:val="decimal"/>
      <w:lvlText w:val="%1."/>
      <w:lvlJc w:val="left"/>
      <w:pPr>
        <w:ind w:left="454" w:hanging="454"/>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ascii="Arial" w:hAnsi="Arial" w:cs="Arial" w:hint="default"/>
        <w:sz w:val="22"/>
        <w:szCs w:val="22"/>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2F651F"/>
    <w:multiLevelType w:val="hybridMultilevel"/>
    <w:tmpl w:val="4B963C3C"/>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6D5802"/>
    <w:multiLevelType w:val="hybridMultilevel"/>
    <w:tmpl w:val="0C2A1D9E"/>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nsid w:val="3B974366"/>
    <w:multiLevelType w:val="hybridMultilevel"/>
    <w:tmpl w:val="A008BD48"/>
    <w:lvl w:ilvl="0" w:tplc="CFFEC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D4CD7"/>
    <w:multiLevelType w:val="hybridMultilevel"/>
    <w:tmpl w:val="3EE2D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22E109B"/>
    <w:multiLevelType w:val="hybridMultilevel"/>
    <w:tmpl w:val="5C443A2C"/>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42C010D6"/>
    <w:multiLevelType w:val="hybridMultilevel"/>
    <w:tmpl w:val="41CEDBBE"/>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135AF5"/>
    <w:multiLevelType w:val="hybridMultilevel"/>
    <w:tmpl w:val="4C7A73C0"/>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47455A3C"/>
    <w:multiLevelType w:val="hybridMultilevel"/>
    <w:tmpl w:val="B8007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EC6DEF"/>
    <w:multiLevelType w:val="hybridMultilevel"/>
    <w:tmpl w:val="671C0722"/>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2D3EBC"/>
    <w:multiLevelType w:val="multilevel"/>
    <w:tmpl w:val="8E8C3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5F309B"/>
    <w:multiLevelType w:val="hybridMultilevel"/>
    <w:tmpl w:val="AA646BDE"/>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52567CB7"/>
    <w:multiLevelType w:val="hybridMultilevel"/>
    <w:tmpl w:val="79508A64"/>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nsid w:val="527E7723"/>
    <w:multiLevelType w:val="hybridMultilevel"/>
    <w:tmpl w:val="94FE5DA2"/>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nsid w:val="54446FC8"/>
    <w:multiLevelType w:val="hybridMultilevel"/>
    <w:tmpl w:val="58C889E0"/>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nsid w:val="54A04A95"/>
    <w:multiLevelType w:val="hybridMultilevel"/>
    <w:tmpl w:val="11FA070C"/>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55085A69"/>
    <w:multiLevelType w:val="hybridMultilevel"/>
    <w:tmpl w:val="8B526246"/>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nsid w:val="5A8574CE"/>
    <w:multiLevelType w:val="hybridMultilevel"/>
    <w:tmpl w:val="5F22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771E8"/>
    <w:multiLevelType w:val="hybridMultilevel"/>
    <w:tmpl w:val="3EEEB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69D2736"/>
    <w:multiLevelType w:val="hybridMultilevel"/>
    <w:tmpl w:val="464C5702"/>
    <w:lvl w:ilvl="0" w:tplc="08A4D1A0">
      <w:start w:val="1"/>
      <w:numFmt w:val="bullet"/>
      <w:lvlText w:val=""/>
      <w:lvlJc w:val="left"/>
      <w:pPr>
        <w:tabs>
          <w:tab w:val="num" w:pos="360"/>
        </w:tabs>
        <w:ind w:left="360" w:hanging="360"/>
      </w:pPr>
      <w:rPr>
        <w:rFonts w:ascii="Symbol" w:hAnsi="Symbol" w:hint="default"/>
        <w:color w:val="auto"/>
      </w:rPr>
    </w:lvl>
    <w:lvl w:ilvl="1" w:tplc="5842510E">
      <w:start w:val="1"/>
      <w:numFmt w:val="decimal"/>
      <w:lvlText w:val="%2."/>
      <w:lvlJc w:val="left"/>
      <w:pPr>
        <w:tabs>
          <w:tab w:val="num" w:pos="1440"/>
        </w:tabs>
        <w:ind w:left="1440" w:hanging="360"/>
      </w:pPr>
      <w:rPr>
        <w:rFonts w:ascii="Arial" w:eastAsia="Times New Roman" w:hAnsi="Arial" w:cs="Arial"/>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D305F5"/>
    <w:multiLevelType w:val="hybridMultilevel"/>
    <w:tmpl w:val="40CC4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444A26"/>
    <w:multiLevelType w:val="hybridMultilevel"/>
    <w:tmpl w:val="8998FAA4"/>
    <w:lvl w:ilvl="0" w:tplc="2C88E1A8">
      <w:start w:val="1"/>
      <w:numFmt w:val="bullet"/>
      <w:pStyle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5"/>
  </w:num>
  <w:num w:numId="3">
    <w:abstractNumId w:val="22"/>
  </w:num>
  <w:num w:numId="4">
    <w:abstractNumId w:val="13"/>
  </w:num>
  <w:num w:numId="5">
    <w:abstractNumId w:val="0"/>
  </w:num>
  <w:num w:numId="6">
    <w:abstractNumId w:val="10"/>
  </w:num>
  <w:num w:numId="7">
    <w:abstractNumId w:val="27"/>
  </w:num>
  <w:num w:numId="8">
    <w:abstractNumId w:val="26"/>
  </w:num>
  <w:num w:numId="9">
    <w:abstractNumId w:val="23"/>
  </w:num>
  <w:num w:numId="10">
    <w:abstractNumId w:val="16"/>
  </w:num>
  <w:num w:numId="11">
    <w:abstractNumId w:val="5"/>
  </w:num>
  <w:num w:numId="12">
    <w:abstractNumId w:val="18"/>
  </w:num>
  <w:num w:numId="13">
    <w:abstractNumId w:val="24"/>
  </w:num>
  <w:num w:numId="14">
    <w:abstractNumId w:val="8"/>
  </w:num>
  <w:num w:numId="15">
    <w:abstractNumId w:val="20"/>
  </w:num>
  <w:num w:numId="16">
    <w:abstractNumId w:val="17"/>
  </w:num>
  <w:num w:numId="17">
    <w:abstractNumId w:val="31"/>
  </w:num>
  <w:num w:numId="18">
    <w:abstractNumId w:val="12"/>
  </w:num>
  <w:num w:numId="19">
    <w:abstractNumId w:val="3"/>
  </w:num>
  <w:num w:numId="20">
    <w:abstractNumId w:val="28"/>
  </w:num>
  <w:num w:numId="21">
    <w:abstractNumId w:val="19"/>
  </w:num>
  <w:num w:numId="22">
    <w:abstractNumId w:val="15"/>
  </w:num>
  <w:num w:numId="23">
    <w:abstractNumId w:val="2"/>
  </w:num>
  <w:num w:numId="24">
    <w:abstractNumId w:val="29"/>
  </w:num>
  <w:num w:numId="25">
    <w:abstractNumId w:val="9"/>
  </w:num>
  <w:num w:numId="26">
    <w:abstractNumId w:val="21"/>
  </w:num>
  <w:num w:numId="27">
    <w:abstractNumId w:val="14"/>
  </w:num>
  <w:num w:numId="28">
    <w:abstractNumId w:val="1"/>
  </w:num>
  <w:num w:numId="29">
    <w:abstractNumId w:val="7"/>
  </w:num>
  <w:num w:numId="30">
    <w:abstractNumId w:val="30"/>
  </w:num>
  <w:num w:numId="31">
    <w:abstractNumId w:val="6"/>
  </w:num>
  <w:num w:numId="32">
    <w:abstractNumId w:val="4"/>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58"/>
    <w:rsid w:val="000074F7"/>
    <w:rsid w:val="000133D0"/>
    <w:rsid w:val="00013A56"/>
    <w:rsid w:val="00016201"/>
    <w:rsid w:val="00033320"/>
    <w:rsid w:val="00035A01"/>
    <w:rsid w:val="00043DE6"/>
    <w:rsid w:val="00044B8A"/>
    <w:rsid w:val="00050990"/>
    <w:rsid w:val="000557F4"/>
    <w:rsid w:val="00066642"/>
    <w:rsid w:val="000701A6"/>
    <w:rsid w:val="00072929"/>
    <w:rsid w:val="00074C01"/>
    <w:rsid w:val="00075A56"/>
    <w:rsid w:val="000809AF"/>
    <w:rsid w:val="00083EF8"/>
    <w:rsid w:val="00085597"/>
    <w:rsid w:val="0008751B"/>
    <w:rsid w:val="00091862"/>
    <w:rsid w:val="00097397"/>
    <w:rsid w:val="000B2695"/>
    <w:rsid w:val="000E09E1"/>
    <w:rsid w:val="000E2EEC"/>
    <w:rsid w:val="000E4F30"/>
    <w:rsid w:val="000F5823"/>
    <w:rsid w:val="000F78C2"/>
    <w:rsid w:val="001035A7"/>
    <w:rsid w:val="001128E1"/>
    <w:rsid w:val="00120371"/>
    <w:rsid w:val="00127F73"/>
    <w:rsid w:val="001355ED"/>
    <w:rsid w:val="00140325"/>
    <w:rsid w:val="00141188"/>
    <w:rsid w:val="001424AA"/>
    <w:rsid w:val="00160ED7"/>
    <w:rsid w:val="00160FFE"/>
    <w:rsid w:val="001744D9"/>
    <w:rsid w:val="001753F1"/>
    <w:rsid w:val="00175458"/>
    <w:rsid w:val="00182DF0"/>
    <w:rsid w:val="001936C2"/>
    <w:rsid w:val="001941BD"/>
    <w:rsid w:val="00197D30"/>
    <w:rsid w:val="001A14A7"/>
    <w:rsid w:val="001B01AF"/>
    <w:rsid w:val="001C2E78"/>
    <w:rsid w:val="001D3B77"/>
    <w:rsid w:val="001D52AE"/>
    <w:rsid w:val="001D65BF"/>
    <w:rsid w:val="001D7F58"/>
    <w:rsid w:val="001E42D5"/>
    <w:rsid w:val="00207C9F"/>
    <w:rsid w:val="00215A15"/>
    <w:rsid w:val="00217713"/>
    <w:rsid w:val="00222478"/>
    <w:rsid w:val="00237FBE"/>
    <w:rsid w:val="00250178"/>
    <w:rsid w:val="00257557"/>
    <w:rsid w:val="00257D15"/>
    <w:rsid w:val="00261F98"/>
    <w:rsid w:val="00266D26"/>
    <w:rsid w:val="00273CA3"/>
    <w:rsid w:val="00282233"/>
    <w:rsid w:val="002B0845"/>
    <w:rsid w:val="002B4E11"/>
    <w:rsid w:val="002C02BB"/>
    <w:rsid w:val="002C535A"/>
    <w:rsid w:val="002C740F"/>
    <w:rsid w:val="002D18EC"/>
    <w:rsid w:val="002D1BEC"/>
    <w:rsid w:val="002D1F93"/>
    <w:rsid w:val="002D2DF8"/>
    <w:rsid w:val="002D6ADB"/>
    <w:rsid w:val="002D7BC4"/>
    <w:rsid w:val="002F0310"/>
    <w:rsid w:val="00306F0B"/>
    <w:rsid w:val="00322792"/>
    <w:rsid w:val="00340A9F"/>
    <w:rsid w:val="003467AE"/>
    <w:rsid w:val="00353945"/>
    <w:rsid w:val="00355ED3"/>
    <w:rsid w:val="0036178D"/>
    <w:rsid w:val="003644C7"/>
    <w:rsid w:val="00364579"/>
    <w:rsid w:val="0036475F"/>
    <w:rsid w:val="003657F7"/>
    <w:rsid w:val="00372CD3"/>
    <w:rsid w:val="00373F17"/>
    <w:rsid w:val="003823D1"/>
    <w:rsid w:val="00393BCB"/>
    <w:rsid w:val="003B0246"/>
    <w:rsid w:val="003C18AB"/>
    <w:rsid w:val="003D1EBA"/>
    <w:rsid w:val="003D2384"/>
    <w:rsid w:val="003D5E3B"/>
    <w:rsid w:val="003E6DDD"/>
    <w:rsid w:val="004041A4"/>
    <w:rsid w:val="004043BD"/>
    <w:rsid w:val="004045AE"/>
    <w:rsid w:val="0041182A"/>
    <w:rsid w:val="00427FE2"/>
    <w:rsid w:val="00431ABC"/>
    <w:rsid w:val="00442C56"/>
    <w:rsid w:val="0045521A"/>
    <w:rsid w:val="00456832"/>
    <w:rsid w:val="00457583"/>
    <w:rsid w:val="00460BB5"/>
    <w:rsid w:val="00463B4C"/>
    <w:rsid w:val="00487FC3"/>
    <w:rsid w:val="004A5451"/>
    <w:rsid w:val="004C134C"/>
    <w:rsid w:val="004D54A1"/>
    <w:rsid w:val="004E33B8"/>
    <w:rsid w:val="004F558D"/>
    <w:rsid w:val="00511238"/>
    <w:rsid w:val="005174DC"/>
    <w:rsid w:val="005312B1"/>
    <w:rsid w:val="005323F0"/>
    <w:rsid w:val="0054228F"/>
    <w:rsid w:val="00545FDA"/>
    <w:rsid w:val="00552992"/>
    <w:rsid w:val="00573F79"/>
    <w:rsid w:val="00577F6D"/>
    <w:rsid w:val="005A2666"/>
    <w:rsid w:val="005B0A79"/>
    <w:rsid w:val="005C5C7C"/>
    <w:rsid w:val="005D0FDE"/>
    <w:rsid w:val="005D2129"/>
    <w:rsid w:val="005E239B"/>
    <w:rsid w:val="005E2F7D"/>
    <w:rsid w:val="005E3810"/>
    <w:rsid w:val="005F00AC"/>
    <w:rsid w:val="005F4AC0"/>
    <w:rsid w:val="00613359"/>
    <w:rsid w:val="00625C72"/>
    <w:rsid w:val="006364F1"/>
    <w:rsid w:val="006606D7"/>
    <w:rsid w:val="006617CE"/>
    <w:rsid w:val="00682C5D"/>
    <w:rsid w:val="006901B3"/>
    <w:rsid w:val="006B0473"/>
    <w:rsid w:val="006B422E"/>
    <w:rsid w:val="006B6596"/>
    <w:rsid w:val="006C1A34"/>
    <w:rsid w:val="006C775A"/>
    <w:rsid w:val="006E07C8"/>
    <w:rsid w:val="006E3DF4"/>
    <w:rsid w:val="006E7137"/>
    <w:rsid w:val="006E7321"/>
    <w:rsid w:val="006F0ABA"/>
    <w:rsid w:val="006F7598"/>
    <w:rsid w:val="00700287"/>
    <w:rsid w:val="0070212D"/>
    <w:rsid w:val="00705DC9"/>
    <w:rsid w:val="00713FEF"/>
    <w:rsid w:val="00715220"/>
    <w:rsid w:val="00715778"/>
    <w:rsid w:val="007178D6"/>
    <w:rsid w:val="007226F3"/>
    <w:rsid w:val="00725509"/>
    <w:rsid w:val="007350FA"/>
    <w:rsid w:val="007357CD"/>
    <w:rsid w:val="0074672A"/>
    <w:rsid w:val="007474F4"/>
    <w:rsid w:val="00750059"/>
    <w:rsid w:val="00750233"/>
    <w:rsid w:val="007503F2"/>
    <w:rsid w:val="00750B56"/>
    <w:rsid w:val="00752A13"/>
    <w:rsid w:val="00753A48"/>
    <w:rsid w:val="00753C06"/>
    <w:rsid w:val="007613CE"/>
    <w:rsid w:val="00775165"/>
    <w:rsid w:val="007862F9"/>
    <w:rsid w:val="00790A5A"/>
    <w:rsid w:val="00794967"/>
    <w:rsid w:val="007A31E2"/>
    <w:rsid w:val="007A38AA"/>
    <w:rsid w:val="007A7903"/>
    <w:rsid w:val="007B3804"/>
    <w:rsid w:val="007C3F07"/>
    <w:rsid w:val="007E10D6"/>
    <w:rsid w:val="007E2A39"/>
    <w:rsid w:val="007E53D2"/>
    <w:rsid w:val="007F19BB"/>
    <w:rsid w:val="007F4CBF"/>
    <w:rsid w:val="007F55C4"/>
    <w:rsid w:val="00807FAE"/>
    <w:rsid w:val="00820DA6"/>
    <w:rsid w:val="00821AF9"/>
    <w:rsid w:val="008361BF"/>
    <w:rsid w:val="008372A3"/>
    <w:rsid w:val="008453D4"/>
    <w:rsid w:val="008507C0"/>
    <w:rsid w:val="008529A2"/>
    <w:rsid w:val="008538B4"/>
    <w:rsid w:val="0085772D"/>
    <w:rsid w:val="00872263"/>
    <w:rsid w:val="00874D5B"/>
    <w:rsid w:val="008758CF"/>
    <w:rsid w:val="008858F8"/>
    <w:rsid w:val="00890C0B"/>
    <w:rsid w:val="00895EDE"/>
    <w:rsid w:val="008A5B44"/>
    <w:rsid w:val="008B05D2"/>
    <w:rsid w:val="008B71B6"/>
    <w:rsid w:val="008C219E"/>
    <w:rsid w:val="008C2C65"/>
    <w:rsid w:val="008D2CBA"/>
    <w:rsid w:val="008D33F7"/>
    <w:rsid w:val="008D5331"/>
    <w:rsid w:val="008E2DC2"/>
    <w:rsid w:val="008E40D7"/>
    <w:rsid w:val="008E6185"/>
    <w:rsid w:val="00905B8E"/>
    <w:rsid w:val="00913920"/>
    <w:rsid w:val="00914474"/>
    <w:rsid w:val="00920F41"/>
    <w:rsid w:val="00930B3E"/>
    <w:rsid w:val="0093562D"/>
    <w:rsid w:val="00950074"/>
    <w:rsid w:val="00956448"/>
    <w:rsid w:val="00956866"/>
    <w:rsid w:val="00966190"/>
    <w:rsid w:val="00966D54"/>
    <w:rsid w:val="0097657F"/>
    <w:rsid w:val="00980F93"/>
    <w:rsid w:val="00985BCF"/>
    <w:rsid w:val="00991521"/>
    <w:rsid w:val="00992417"/>
    <w:rsid w:val="009945C9"/>
    <w:rsid w:val="009A2000"/>
    <w:rsid w:val="009A2F8D"/>
    <w:rsid w:val="009A4F96"/>
    <w:rsid w:val="009C0073"/>
    <w:rsid w:val="009C1BE1"/>
    <w:rsid w:val="009C32F0"/>
    <w:rsid w:val="009D179C"/>
    <w:rsid w:val="009E36D1"/>
    <w:rsid w:val="009F0F1C"/>
    <w:rsid w:val="009F1CAC"/>
    <w:rsid w:val="009F33DD"/>
    <w:rsid w:val="00A0232D"/>
    <w:rsid w:val="00A02A8B"/>
    <w:rsid w:val="00A144E3"/>
    <w:rsid w:val="00A20011"/>
    <w:rsid w:val="00A240B7"/>
    <w:rsid w:val="00A37D8D"/>
    <w:rsid w:val="00A41127"/>
    <w:rsid w:val="00A55E2C"/>
    <w:rsid w:val="00A574D0"/>
    <w:rsid w:val="00A62BEF"/>
    <w:rsid w:val="00A67D33"/>
    <w:rsid w:val="00A74654"/>
    <w:rsid w:val="00A804FF"/>
    <w:rsid w:val="00A925E0"/>
    <w:rsid w:val="00A93A7F"/>
    <w:rsid w:val="00A953EC"/>
    <w:rsid w:val="00AA0EF4"/>
    <w:rsid w:val="00AA67BB"/>
    <w:rsid w:val="00AA7AC8"/>
    <w:rsid w:val="00AB38C1"/>
    <w:rsid w:val="00AB5BFC"/>
    <w:rsid w:val="00AC5F8E"/>
    <w:rsid w:val="00AE1327"/>
    <w:rsid w:val="00AE326D"/>
    <w:rsid w:val="00AF0127"/>
    <w:rsid w:val="00B1361B"/>
    <w:rsid w:val="00B17ED8"/>
    <w:rsid w:val="00B2008D"/>
    <w:rsid w:val="00B2079A"/>
    <w:rsid w:val="00B22631"/>
    <w:rsid w:val="00B52D3A"/>
    <w:rsid w:val="00B53D1B"/>
    <w:rsid w:val="00B84B02"/>
    <w:rsid w:val="00BA0A2F"/>
    <w:rsid w:val="00BA296E"/>
    <w:rsid w:val="00BA66D4"/>
    <w:rsid w:val="00BB313F"/>
    <w:rsid w:val="00BB5784"/>
    <w:rsid w:val="00BB74C8"/>
    <w:rsid w:val="00BC03BC"/>
    <w:rsid w:val="00BC7440"/>
    <w:rsid w:val="00BD7579"/>
    <w:rsid w:val="00BD7E81"/>
    <w:rsid w:val="00BE2126"/>
    <w:rsid w:val="00BE45DA"/>
    <w:rsid w:val="00BF0608"/>
    <w:rsid w:val="00C1555E"/>
    <w:rsid w:val="00C3689C"/>
    <w:rsid w:val="00C418BE"/>
    <w:rsid w:val="00C50943"/>
    <w:rsid w:val="00C56654"/>
    <w:rsid w:val="00C57FF3"/>
    <w:rsid w:val="00C66081"/>
    <w:rsid w:val="00C71BD4"/>
    <w:rsid w:val="00C821BB"/>
    <w:rsid w:val="00C83A7C"/>
    <w:rsid w:val="00C919D0"/>
    <w:rsid w:val="00CA59C7"/>
    <w:rsid w:val="00CB57B8"/>
    <w:rsid w:val="00CE01DD"/>
    <w:rsid w:val="00CE646B"/>
    <w:rsid w:val="00CF1279"/>
    <w:rsid w:val="00CF61B3"/>
    <w:rsid w:val="00D15F72"/>
    <w:rsid w:val="00D16A5E"/>
    <w:rsid w:val="00D33140"/>
    <w:rsid w:val="00D35314"/>
    <w:rsid w:val="00D36465"/>
    <w:rsid w:val="00D4648D"/>
    <w:rsid w:val="00D54A87"/>
    <w:rsid w:val="00D574A3"/>
    <w:rsid w:val="00D878E9"/>
    <w:rsid w:val="00DC0227"/>
    <w:rsid w:val="00DC5141"/>
    <w:rsid w:val="00DC79BF"/>
    <w:rsid w:val="00DE758E"/>
    <w:rsid w:val="00DF3438"/>
    <w:rsid w:val="00DF6621"/>
    <w:rsid w:val="00E007FD"/>
    <w:rsid w:val="00E0109C"/>
    <w:rsid w:val="00E12629"/>
    <w:rsid w:val="00E346D0"/>
    <w:rsid w:val="00E35A34"/>
    <w:rsid w:val="00E44BDA"/>
    <w:rsid w:val="00E539F3"/>
    <w:rsid w:val="00E661D3"/>
    <w:rsid w:val="00E679E7"/>
    <w:rsid w:val="00E77331"/>
    <w:rsid w:val="00E8315F"/>
    <w:rsid w:val="00E94458"/>
    <w:rsid w:val="00EA1CE2"/>
    <w:rsid w:val="00ED1E6A"/>
    <w:rsid w:val="00ED2C26"/>
    <w:rsid w:val="00EE0337"/>
    <w:rsid w:val="00EE3108"/>
    <w:rsid w:val="00EE3B3B"/>
    <w:rsid w:val="00EF726D"/>
    <w:rsid w:val="00EF799C"/>
    <w:rsid w:val="00F07E66"/>
    <w:rsid w:val="00F21D83"/>
    <w:rsid w:val="00F225CF"/>
    <w:rsid w:val="00F25644"/>
    <w:rsid w:val="00F2569B"/>
    <w:rsid w:val="00F3123C"/>
    <w:rsid w:val="00F4189E"/>
    <w:rsid w:val="00F533AB"/>
    <w:rsid w:val="00F57D3E"/>
    <w:rsid w:val="00F620B3"/>
    <w:rsid w:val="00F73177"/>
    <w:rsid w:val="00F7334E"/>
    <w:rsid w:val="00F77229"/>
    <w:rsid w:val="00F843F9"/>
    <w:rsid w:val="00F87128"/>
    <w:rsid w:val="00F872BC"/>
    <w:rsid w:val="00F90FC1"/>
    <w:rsid w:val="00F93082"/>
    <w:rsid w:val="00FC388D"/>
    <w:rsid w:val="00FC6677"/>
    <w:rsid w:val="00FC6758"/>
    <w:rsid w:val="00FD162C"/>
    <w:rsid w:val="00FE1DDF"/>
    <w:rsid w:val="00FE58E8"/>
    <w:rsid w:val="00FE5D6B"/>
    <w:rsid w:val="00FF4C64"/>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8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qFormat/>
    <w:rsid w:val="009C1BE1"/>
    <w:pPr>
      <w:keepNext/>
      <w:keepLines/>
      <w:spacing w:after="240"/>
      <w:ind w:right="720"/>
      <w:outlineLvl w:val="0"/>
    </w:pPr>
    <w:rPr>
      <w:rFonts w:ascii="Arial" w:hAnsi="Arial"/>
      <w:b/>
      <w:sz w:val="32"/>
    </w:rPr>
  </w:style>
  <w:style w:type="paragraph" w:styleId="Heading2">
    <w:name w:val="heading 2"/>
    <w:basedOn w:val="BodyText"/>
    <w:next w:val="BodyText"/>
    <w:qFormat/>
    <w:rsid w:val="006901B3"/>
    <w:pPr>
      <w:keepNext/>
      <w:keepLines/>
      <w:ind w:left="0"/>
      <w:outlineLvl w:val="1"/>
    </w:pPr>
    <w:rPr>
      <w:b/>
      <w:bCs/>
      <w:sz w:val="28"/>
      <w:szCs w:val="28"/>
    </w:rPr>
  </w:style>
  <w:style w:type="paragraph" w:styleId="Heading3">
    <w:name w:val="heading 3"/>
    <w:basedOn w:val="Heading4"/>
    <w:next w:val="BodyText"/>
    <w:qFormat/>
    <w:rsid w:val="00992417"/>
    <w:pPr>
      <w:keepLines/>
      <w:outlineLvl w:val="2"/>
    </w:pPr>
    <w:rPr>
      <w:rFonts w:ascii="Arial" w:hAnsi="Arial" w:cs="Arial"/>
      <w:sz w:val="24"/>
      <w:szCs w:val="22"/>
    </w:rPr>
  </w:style>
  <w:style w:type="paragraph" w:styleId="Heading4">
    <w:name w:val="heading 4"/>
    <w:basedOn w:val="Normal"/>
    <w:next w:val="Normal"/>
    <w:qFormat/>
    <w:rsid w:val="006901B3"/>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BE1"/>
    <w:pPr>
      <w:spacing w:before="120" w:after="120"/>
      <w:ind w:left="567"/>
    </w:pPr>
    <w:rPr>
      <w:rFonts w:ascii="Arial" w:hAnsi="Arial" w:cs="Arial"/>
      <w:sz w:val="22"/>
      <w:szCs w:val="22"/>
    </w:rPr>
  </w:style>
  <w:style w:type="character" w:customStyle="1" w:styleId="BodyTextChar">
    <w:name w:val="Body Text Char"/>
    <w:basedOn w:val="DefaultParagraphFont"/>
    <w:link w:val="BodyText"/>
    <w:rsid w:val="009C1BE1"/>
    <w:rPr>
      <w:rFonts w:ascii="Arial" w:hAnsi="Arial" w:cs="Arial"/>
      <w:sz w:val="22"/>
      <w:szCs w:val="22"/>
      <w:lang w:val="en-GB" w:eastAsia="en-GB" w:bidi="ar-SA"/>
    </w:rPr>
  </w:style>
  <w:style w:type="paragraph" w:customStyle="1" w:styleId="Style1">
    <w:name w:val="Style1"/>
    <w:basedOn w:val="Normal"/>
    <w:rsid w:val="00083EF8"/>
    <w:rPr>
      <w:rFonts w:ascii="Arial" w:hAnsi="Arial"/>
    </w:rPr>
  </w:style>
  <w:style w:type="paragraph" w:styleId="FootnoteText">
    <w:name w:val="footnote text"/>
    <w:basedOn w:val="Normal"/>
    <w:semiHidden/>
    <w:rsid w:val="007862F9"/>
    <w:pPr>
      <w:spacing w:after="60"/>
      <w:ind w:hanging="720"/>
    </w:pPr>
  </w:style>
  <w:style w:type="paragraph" w:customStyle="1" w:styleId="TableHeading">
    <w:name w:val="Table Heading"/>
    <w:basedOn w:val="Normal"/>
    <w:rsid w:val="007F55C4"/>
    <w:pPr>
      <w:keepLines/>
      <w:spacing w:before="60" w:after="60"/>
      <w:jc w:val="center"/>
    </w:pPr>
    <w:rPr>
      <w:rFonts w:ascii="Arial" w:hAnsi="Arial"/>
      <w:b/>
    </w:rPr>
  </w:style>
  <w:style w:type="paragraph" w:styleId="Subtitle">
    <w:name w:val="Subtitle"/>
    <w:basedOn w:val="Normal"/>
    <w:qFormat/>
    <w:rsid w:val="00F872BC"/>
    <w:pPr>
      <w:ind w:left="1134"/>
      <w:outlineLvl w:val="1"/>
    </w:pPr>
    <w:rPr>
      <w:rFonts w:cs="Arial"/>
      <w:b/>
      <w:sz w:val="32"/>
    </w:rPr>
  </w:style>
  <w:style w:type="paragraph" w:customStyle="1" w:styleId="Bullet">
    <w:name w:val="Bullet"/>
    <w:basedOn w:val="BodyText"/>
    <w:rsid w:val="009C1BE1"/>
    <w:pPr>
      <w:keepLines/>
      <w:numPr>
        <w:numId w:val="1"/>
      </w:numPr>
      <w:spacing w:before="60" w:after="60"/>
    </w:pPr>
    <w:rPr>
      <w:rFonts w:cs="Times New Roman"/>
      <w:szCs w:val="20"/>
    </w:rPr>
  </w:style>
  <w:style w:type="paragraph" w:customStyle="1" w:styleId="RouteTitle">
    <w:name w:val="Route Title"/>
    <w:basedOn w:val="Normal"/>
    <w:next w:val="Subtitle"/>
    <w:rsid w:val="006901B3"/>
    <w:pPr>
      <w:keepLines/>
      <w:spacing w:after="360"/>
      <w:ind w:left="1134" w:right="720"/>
    </w:pPr>
    <w:rPr>
      <w:b/>
      <w:sz w:val="40"/>
      <w:szCs w:val="36"/>
    </w:rPr>
  </w:style>
  <w:style w:type="paragraph" w:styleId="TOC2">
    <w:name w:val="toc 2"/>
    <w:basedOn w:val="Normal"/>
    <w:next w:val="Normal"/>
    <w:semiHidden/>
    <w:rsid w:val="00750B56"/>
    <w:pPr>
      <w:spacing w:before="120"/>
    </w:pPr>
    <w:rPr>
      <w:rFonts w:ascii="Arial" w:hAnsi="Arial"/>
      <w:bCs/>
      <w:sz w:val="20"/>
      <w:szCs w:val="20"/>
    </w:rPr>
  </w:style>
  <w:style w:type="paragraph" w:customStyle="1" w:styleId="Checklist">
    <w:name w:val="Checklist"/>
    <w:basedOn w:val="Bullet"/>
    <w:rsid w:val="00BB5784"/>
    <w:pPr>
      <w:ind w:left="3427" w:hanging="547"/>
    </w:pPr>
    <w:rPr>
      <w:rFonts w:cs="Arial"/>
      <w:szCs w:val="22"/>
    </w:rPr>
  </w:style>
  <w:style w:type="paragraph" w:styleId="TOC1">
    <w:name w:val="toc 1"/>
    <w:basedOn w:val="Normal"/>
    <w:next w:val="Normal"/>
    <w:semiHidden/>
    <w:rsid w:val="00BB5784"/>
    <w:pPr>
      <w:spacing w:before="360"/>
    </w:pPr>
    <w:rPr>
      <w:rFonts w:ascii="Arial (W1)" w:hAnsi="Arial (W1)" w:cs="Arial"/>
      <w:b/>
      <w:bCs/>
      <w:caps/>
      <w:sz w:val="22"/>
      <w:szCs w:val="22"/>
    </w:rPr>
  </w:style>
  <w:style w:type="paragraph" w:styleId="Footer">
    <w:name w:val="footer"/>
    <w:basedOn w:val="Normal"/>
    <w:link w:val="FooterChar"/>
    <w:uiPriority w:val="99"/>
    <w:rsid w:val="00BB5784"/>
    <w:pPr>
      <w:tabs>
        <w:tab w:val="right" w:pos="10080"/>
      </w:tabs>
    </w:pPr>
  </w:style>
  <w:style w:type="paragraph" w:styleId="Header">
    <w:name w:val="header"/>
    <w:basedOn w:val="Normal"/>
    <w:rsid w:val="00BB5784"/>
    <w:pPr>
      <w:tabs>
        <w:tab w:val="right" w:pos="10080"/>
      </w:tabs>
    </w:pPr>
  </w:style>
  <w:style w:type="character" w:styleId="FootnoteReference">
    <w:name w:val="footnote reference"/>
    <w:basedOn w:val="DefaultParagraphFont"/>
    <w:semiHidden/>
    <w:rsid w:val="00BB5784"/>
    <w:rPr>
      <w:position w:val="6"/>
      <w:sz w:val="16"/>
      <w:szCs w:val="16"/>
    </w:rPr>
  </w:style>
  <w:style w:type="paragraph" w:styleId="Title">
    <w:name w:val="Title"/>
    <w:basedOn w:val="Normal"/>
    <w:qFormat/>
    <w:rsid w:val="00BB5784"/>
    <w:pPr>
      <w:keepLines/>
      <w:spacing w:after="120"/>
      <w:ind w:left="2520" w:right="720"/>
    </w:pPr>
    <w:rPr>
      <w:rFonts w:ascii="Book Antiqua" w:hAnsi="Book Antiqua"/>
      <w:sz w:val="48"/>
      <w:szCs w:val="48"/>
      <w:lang w:val="en-US"/>
    </w:rPr>
  </w:style>
  <w:style w:type="paragraph" w:customStyle="1" w:styleId="TableText">
    <w:name w:val="Table Text"/>
    <w:basedOn w:val="Normal"/>
    <w:rsid w:val="00BB5784"/>
    <w:pPr>
      <w:keepLines/>
    </w:pPr>
    <w:rPr>
      <w:rFonts w:ascii="Arial" w:hAnsi="Arial" w:cs="Arial"/>
      <w:sz w:val="20"/>
    </w:rPr>
  </w:style>
  <w:style w:type="paragraph" w:customStyle="1" w:styleId="TitleBar">
    <w:name w:val="Title Bar"/>
    <w:basedOn w:val="Normal"/>
    <w:rsid w:val="00BB5784"/>
    <w:pPr>
      <w:keepNext/>
      <w:pageBreakBefore/>
      <w:shd w:val="solid" w:color="auto" w:fill="auto"/>
      <w:spacing w:before="1680"/>
      <w:ind w:left="2520" w:right="720"/>
    </w:pPr>
    <w:rPr>
      <w:sz w:val="36"/>
      <w:szCs w:val="36"/>
    </w:rPr>
  </w:style>
  <w:style w:type="character" w:customStyle="1" w:styleId="HighlightedVariable">
    <w:name w:val="Highlighted Variable"/>
    <w:basedOn w:val="DefaultParagraphFont"/>
    <w:rsid w:val="00BB5784"/>
    <w:rPr>
      <w:color w:val="0000FF"/>
    </w:rPr>
  </w:style>
  <w:style w:type="paragraph" w:customStyle="1" w:styleId="ChapNumber">
    <w:name w:val="Chap Number"/>
    <w:basedOn w:val="Normal"/>
    <w:rsid w:val="00BB5784"/>
  </w:style>
  <w:style w:type="paragraph" w:styleId="EndnoteText">
    <w:name w:val="endnote text"/>
    <w:basedOn w:val="Normal"/>
    <w:semiHidden/>
    <w:rsid w:val="00BB5784"/>
    <w:rPr>
      <w:rFonts w:ascii="Tahoma" w:hAnsi="Tahoma" w:cs="Tahoma"/>
      <w:sz w:val="20"/>
      <w:szCs w:val="20"/>
    </w:rPr>
  </w:style>
  <w:style w:type="character" w:styleId="Hyperlink">
    <w:name w:val="Hyperlink"/>
    <w:basedOn w:val="DefaultParagraphFont"/>
    <w:rsid w:val="00BB5784"/>
    <w:rPr>
      <w:color w:val="0000FF"/>
      <w:u w:val="single"/>
    </w:rPr>
  </w:style>
  <w:style w:type="paragraph" w:customStyle="1" w:styleId="StyleBodyText12ptBoldBlue">
    <w:name w:val="Style Body Text + 12 pt Bold Blue"/>
    <w:basedOn w:val="BodyText"/>
    <w:link w:val="StyleBodyText12ptBoldBlueChar"/>
    <w:rsid w:val="00BB5784"/>
    <w:pPr>
      <w:ind w:left="2520"/>
    </w:pPr>
    <w:rPr>
      <w:rFonts w:ascii="Arial (W1)" w:hAnsi="Arial (W1)"/>
      <w:bCs/>
    </w:rPr>
  </w:style>
  <w:style w:type="character" w:customStyle="1" w:styleId="StyleBodyText12ptBoldBlueChar">
    <w:name w:val="Style Body Text + 12 pt Bold Blue Char"/>
    <w:basedOn w:val="BodyTextChar"/>
    <w:link w:val="StyleBodyText12ptBoldBlue"/>
    <w:rsid w:val="00BB5784"/>
    <w:rPr>
      <w:rFonts w:ascii="Arial (W1)" w:hAnsi="Arial (W1)" w:cs="Arial"/>
      <w:bCs/>
      <w:sz w:val="22"/>
      <w:szCs w:val="22"/>
      <w:lang w:val="en-GB" w:eastAsia="en-GB" w:bidi="ar-SA"/>
    </w:rPr>
  </w:style>
  <w:style w:type="table" w:styleId="TableGrid">
    <w:name w:val="Table Grid"/>
    <w:basedOn w:val="TableNormal"/>
    <w:rsid w:val="00A953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C1BE1"/>
    <w:pPr>
      <w:spacing w:after="120" w:line="480" w:lineRule="auto"/>
    </w:pPr>
  </w:style>
  <w:style w:type="paragraph" w:styleId="CommentText">
    <w:name w:val="annotation text"/>
    <w:basedOn w:val="Normal"/>
    <w:semiHidden/>
    <w:rsid w:val="00E346D0"/>
    <w:rPr>
      <w:sz w:val="20"/>
      <w:szCs w:val="20"/>
    </w:rPr>
  </w:style>
  <w:style w:type="character" w:styleId="CommentReference">
    <w:name w:val="annotation reference"/>
    <w:basedOn w:val="DefaultParagraphFont"/>
    <w:semiHidden/>
    <w:rsid w:val="003E6DDD"/>
    <w:rPr>
      <w:sz w:val="16"/>
      <w:szCs w:val="16"/>
    </w:rPr>
  </w:style>
  <w:style w:type="paragraph" w:styleId="CommentSubject">
    <w:name w:val="annotation subject"/>
    <w:basedOn w:val="CommentText"/>
    <w:next w:val="CommentText"/>
    <w:semiHidden/>
    <w:rsid w:val="003E6DDD"/>
    <w:rPr>
      <w:b/>
      <w:bCs/>
    </w:rPr>
  </w:style>
  <w:style w:type="paragraph" w:styleId="BalloonText">
    <w:name w:val="Balloon Text"/>
    <w:basedOn w:val="Normal"/>
    <w:semiHidden/>
    <w:rsid w:val="003E6DDD"/>
    <w:rPr>
      <w:rFonts w:ascii="Tahoma" w:hAnsi="Tahoma" w:cs="Tahoma"/>
    </w:rPr>
  </w:style>
  <w:style w:type="character" w:styleId="PageNumber">
    <w:name w:val="page number"/>
    <w:basedOn w:val="DefaultParagraphFont"/>
    <w:rsid w:val="00D16A5E"/>
  </w:style>
  <w:style w:type="character" w:customStyle="1" w:styleId="Heading1Char">
    <w:name w:val="Heading 1 Char"/>
    <w:basedOn w:val="DefaultParagraphFont"/>
    <w:link w:val="Heading1"/>
    <w:rsid w:val="00890C0B"/>
    <w:rPr>
      <w:rFonts w:ascii="Arial" w:hAnsi="Arial"/>
      <w:b/>
      <w:sz w:val="32"/>
      <w:szCs w:val="16"/>
      <w:lang w:val="en-GB" w:eastAsia="en-GB" w:bidi="ar-SA"/>
    </w:rPr>
  </w:style>
  <w:style w:type="paragraph" w:styleId="BodyTextIndent">
    <w:name w:val="Body Text Indent"/>
    <w:basedOn w:val="Normal"/>
    <w:rsid w:val="001C2E78"/>
    <w:pPr>
      <w:spacing w:after="120"/>
      <w:ind w:left="283"/>
    </w:pPr>
  </w:style>
  <w:style w:type="character" w:customStyle="1" w:styleId="FooterChar">
    <w:name w:val="Footer Char"/>
    <w:basedOn w:val="DefaultParagraphFont"/>
    <w:link w:val="Footer"/>
    <w:uiPriority w:val="99"/>
    <w:rsid w:val="00D33140"/>
    <w:rPr>
      <w:sz w:val="16"/>
      <w:szCs w:val="16"/>
      <w:lang w:val="en-GB" w:eastAsia="en-GB"/>
    </w:rPr>
  </w:style>
  <w:style w:type="paragraph" w:customStyle="1" w:styleId="Default">
    <w:name w:val="Default"/>
    <w:rsid w:val="00750059"/>
    <w:pPr>
      <w:autoSpaceDE w:val="0"/>
      <w:autoSpaceDN w:val="0"/>
      <w:adjustRightInd w:val="0"/>
    </w:pPr>
    <w:rPr>
      <w:rFonts w:ascii="Arial" w:hAnsi="Arial" w:cs="Arial"/>
      <w:color w:val="000000"/>
      <w:sz w:val="24"/>
      <w:szCs w:val="24"/>
    </w:rPr>
  </w:style>
  <w:style w:type="paragraph" w:customStyle="1" w:styleId="StyleBodyText12pt">
    <w:name w:val="Style Body Text + 12 pt"/>
    <w:basedOn w:val="BodyText"/>
    <w:link w:val="StyleBodyText12ptChar"/>
    <w:rsid w:val="00750059"/>
    <w:pPr>
      <w:ind w:left="0"/>
    </w:pPr>
    <w:rPr>
      <w:szCs w:val="24"/>
    </w:rPr>
  </w:style>
  <w:style w:type="paragraph" w:customStyle="1" w:styleId="StyleStyleBodyText12ptLeft444cm">
    <w:name w:val="Style Style Body Text + 12 pt + Left:  4.44 cm"/>
    <w:basedOn w:val="StyleBodyText12pt"/>
    <w:rsid w:val="00750059"/>
    <w:rPr>
      <w:rFonts w:cs="Times New Roman"/>
      <w:szCs w:val="20"/>
    </w:rPr>
  </w:style>
  <w:style w:type="character" w:customStyle="1" w:styleId="StyleBodyText12ptChar">
    <w:name w:val="Style Body Text + 12 pt Char"/>
    <w:link w:val="StyleBodyText12pt"/>
    <w:rsid w:val="00750059"/>
    <w:rPr>
      <w:rFonts w:ascii="Arial" w:hAnsi="Arial" w:cs="Arial"/>
      <w:sz w:val="22"/>
      <w:szCs w:val="24"/>
    </w:rPr>
  </w:style>
  <w:style w:type="paragraph" w:styleId="NormalWeb">
    <w:name w:val="Normal (Web)"/>
    <w:basedOn w:val="Normal"/>
    <w:rsid w:val="00750059"/>
    <w:pPr>
      <w:overflowPunct/>
      <w:autoSpaceDE/>
      <w:autoSpaceDN/>
      <w:adjustRightInd/>
      <w:textAlignment w:val="auto"/>
    </w:pPr>
    <w:rPr>
      <w:sz w:val="24"/>
      <w:szCs w:val="24"/>
      <w:lang w:val="en-US" w:eastAsia="en-US"/>
    </w:rPr>
  </w:style>
  <w:style w:type="paragraph" w:styleId="ListParagraph">
    <w:name w:val="List Paragraph"/>
    <w:basedOn w:val="Normal"/>
    <w:uiPriority w:val="34"/>
    <w:qFormat/>
    <w:rsid w:val="00750059"/>
    <w:pPr>
      <w:overflowPunct/>
      <w:autoSpaceDE/>
      <w:autoSpaceDN/>
      <w:adjustRightInd/>
      <w:ind w:left="720"/>
      <w:contextualSpacing/>
      <w:textAlignment w:val="auto"/>
    </w:pPr>
    <w:rPr>
      <w:sz w:val="24"/>
      <w:szCs w:val="24"/>
    </w:rPr>
  </w:style>
  <w:style w:type="paragraph" w:customStyle="1" w:styleId="StyleStyleBodyTextLatin12ptCharCharCharCharCharChar7">
    <w:name w:val="Style Style Body Text + (Latin) 12 pt Char Char Char Char Char Char...7"/>
    <w:basedOn w:val="Normal"/>
    <w:rsid w:val="00750059"/>
    <w:pPr>
      <w:spacing w:before="120" w:after="120"/>
    </w:pPr>
    <w:rPr>
      <w:rFonts w:ascii="Arial" w:hAnsi="Arial"/>
      <w:sz w:val="22"/>
      <w:szCs w:val="20"/>
    </w:rPr>
  </w:style>
  <w:style w:type="paragraph" w:customStyle="1" w:styleId="StyleStyleBodyText12ptLeft571cm">
    <w:name w:val="Style Style Body Text + 12 pt + Left:  5.71 cm"/>
    <w:basedOn w:val="StyleBodyText12pt"/>
    <w:rsid w:val="00E679E7"/>
    <w:pPr>
      <w:ind w:left="720"/>
    </w:pPr>
    <w:rPr>
      <w:rFonts w:cs="Times New Roman"/>
      <w:szCs w:val="20"/>
    </w:rPr>
  </w:style>
  <w:style w:type="paragraph" w:customStyle="1" w:styleId="StyleStyleBodyText12ptBold">
    <w:name w:val="Style Style Body Text + 12 pt + Bold"/>
    <w:basedOn w:val="StyleBodyText12pt"/>
    <w:link w:val="StyleStyleBodyText12ptBoldChar"/>
    <w:rsid w:val="00CB57B8"/>
    <w:rPr>
      <w:b/>
      <w:bCs/>
    </w:rPr>
  </w:style>
  <w:style w:type="character" w:customStyle="1" w:styleId="StyleStyleBodyText12ptBoldChar">
    <w:name w:val="Style Style Body Text + 12 pt + Bold Char"/>
    <w:link w:val="StyleStyleBodyText12ptBold"/>
    <w:rsid w:val="00CB57B8"/>
    <w:rPr>
      <w:rFonts w:ascii="Arial" w:hAnsi="Arial" w:cs="Arial"/>
      <w:b/>
      <w:bCs/>
      <w:sz w:val="22"/>
      <w:szCs w:val="24"/>
    </w:rPr>
  </w:style>
  <w:style w:type="paragraph" w:customStyle="1" w:styleId="StyleStyleBodyText12ptLeft571cm1">
    <w:name w:val="Style Style Body Text + 12 pt + Left:  5.71 cm1"/>
    <w:basedOn w:val="StyleBodyText12pt"/>
    <w:rsid w:val="00CB57B8"/>
    <w:pPr>
      <w:ind w:left="720"/>
    </w:pPr>
    <w:rPr>
      <w:rFonts w:cs="Times New Roman"/>
      <w:szCs w:val="20"/>
    </w:rPr>
  </w:style>
  <w:style w:type="paragraph" w:customStyle="1" w:styleId="StyleStyleBodyTextLatin12ptCharCharCharCharCharChar3">
    <w:name w:val="Style Style Body Text + (Latin) 12 pt Char Char Char Char Char Char...3"/>
    <w:basedOn w:val="Normal"/>
    <w:rsid w:val="008529A2"/>
    <w:pPr>
      <w:spacing w:before="120" w:after="1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8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qFormat/>
    <w:rsid w:val="009C1BE1"/>
    <w:pPr>
      <w:keepNext/>
      <w:keepLines/>
      <w:spacing w:after="240"/>
      <w:ind w:right="720"/>
      <w:outlineLvl w:val="0"/>
    </w:pPr>
    <w:rPr>
      <w:rFonts w:ascii="Arial" w:hAnsi="Arial"/>
      <w:b/>
      <w:sz w:val="32"/>
    </w:rPr>
  </w:style>
  <w:style w:type="paragraph" w:styleId="Heading2">
    <w:name w:val="heading 2"/>
    <w:basedOn w:val="BodyText"/>
    <w:next w:val="BodyText"/>
    <w:qFormat/>
    <w:rsid w:val="006901B3"/>
    <w:pPr>
      <w:keepNext/>
      <w:keepLines/>
      <w:ind w:left="0"/>
      <w:outlineLvl w:val="1"/>
    </w:pPr>
    <w:rPr>
      <w:b/>
      <w:bCs/>
      <w:sz w:val="28"/>
      <w:szCs w:val="28"/>
    </w:rPr>
  </w:style>
  <w:style w:type="paragraph" w:styleId="Heading3">
    <w:name w:val="heading 3"/>
    <w:basedOn w:val="Heading4"/>
    <w:next w:val="BodyText"/>
    <w:qFormat/>
    <w:rsid w:val="00992417"/>
    <w:pPr>
      <w:keepLines/>
      <w:outlineLvl w:val="2"/>
    </w:pPr>
    <w:rPr>
      <w:rFonts w:ascii="Arial" w:hAnsi="Arial" w:cs="Arial"/>
      <w:sz w:val="24"/>
      <w:szCs w:val="22"/>
    </w:rPr>
  </w:style>
  <w:style w:type="paragraph" w:styleId="Heading4">
    <w:name w:val="heading 4"/>
    <w:basedOn w:val="Normal"/>
    <w:next w:val="Normal"/>
    <w:qFormat/>
    <w:rsid w:val="006901B3"/>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BE1"/>
    <w:pPr>
      <w:spacing w:before="120" w:after="120"/>
      <w:ind w:left="567"/>
    </w:pPr>
    <w:rPr>
      <w:rFonts w:ascii="Arial" w:hAnsi="Arial" w:cs="Arial"/>
      <w:sz w:val="22"/>
      <w:szCs w:val="22"/>
    </w:rPr>
  </w:style>
  <w:style w:type="character" w:customStyle="1" w:styleId="BodyTextChar">
    <w:name w:val="Body Text Char"/>
    <w:basedOn w:val="DefaultParagraphFont"/>
    <w:link w:val="BodyText"/>
    <w:rsid w:val="009C1BE1"/>
    <w:rPr>
      <w:rFonts w:ascii="Arial" w:hAnsi="Arial" w:cs="Arial"/>
      <w:sz w:val="22"/>
      <w:szCs w:val="22"/>
      <w:lang w:val="en-GB" w:eastAsia="en-GB" w:bidi="ar-SA"/>
    </w:rPr>
  </w:style>
  <w:style w:type="paragraph" w:customStyle="1" w:styleId="Style1">
    <w:name w:val="Style1"/>
    <w:basedOn w:val="Normal"/>
    <w:rsid w:val="00083EF8"/>
    <w:rPr>
      <w:rFonts w:ascii="Arial" w:hAnsi="Arial"/>
    </w:rPr>
  </w:style>
  <w:style w:type="paragraph" w:styleId="FootnoteText">
    <w:name w:val="footnote text"/>
    <w:basedOn w:val="Normal"/>
    <w:semiHidden/>
    <w:rsid w:val="007862F9"/>
    <w:pPr>
      <w:spacing w:after="60"/>
      <w:ind w:hanging="720"/>
    </w:pPr>
  </w:style>
  <w:style w:type="paragraph" w:customStyle="1" w:styleId="TableHeading">
    <w:name w:val="Table Heading"/>
    <w:basedOn w:val="Normal"/>
    <w:rsid w:val="007F55C4"/>
    <w:pPr>
      <w:keepLines/>
      <w:spacing w:before="60" w:after="60"/>
      <w:jc w:val="center"/>
    </w:pPr>
    <w:rPr>
      <w:rFonts w:ascii="Arial" w:hAnsi="Arial"/>
      <w:b/>
    </w:rPr>
  </w:style>
  <w:style w:type="paragraph" w:styleId="Subtitle">
    <w:name w:val="Subtitle"/>
    <w:basedOn w:val="Normal"/>
    <w:qFormat/>
    <w:rsid w:val="00F872BC"/>
    <w:pPr>
      <w:ind w:left="1134"/>
      <w:outlineLvl w:val="1"/>
    </w:pPr>
    <w:rPr>
      <w:rFonts w:cs="Arial"/>
      <w:b/>
      <w:sz w:val="32"/>
    </w:rPr>
  </w:style>
  <w:style w:type="paragraph" w:customStyle="1" w:styleId="Bullet">
    <w:name w:val="Bullet"/>
    <w:basedOn w:val="BodyText"/>
    <w:rsid w:val="009C1BE1"/>
    <w:pPr>
      <w:keepLines/>
      <w:numPr>
        <w:numId w:val="1"/>
      </w:numPr>
      <w:spacing w:before="60" w:after="60"/>
    </w:pPr>
    <w:rPr>
      <w:rFonts w:cs="Times New Roman"/>
      <w:szCs w:val="20"/>
    </w:rPr>
  </w:style>
  <w:style w:type="paragraph" w:customStyle="1" w:styleId="RouteTitle">
    <w:name w:val="Route Title"/>
    <w:basedOn w:val="Normal"/>
    <w:next w:val="Subtitle"/>
    <w:rsid w:val="006901B3"/>
    <w:pPr>
      <w:keepLines/>
      <w:spacing w:after="360"/>
      <w:ind w:left="1134" w:right="720"/>
    </w:pPr>
    <w:rPr>
      <w:b/>
      <w:sz w:val="40"/>
      <w:szCs w:val="36"/>
    </w:rPr>
  </w:style>
  <w:style w:type="paragraph" w:styleId="TOC2">
    <w:name w:val="toc 2"/>
    <w:basedOn w:val="Normal"/>
    <w:next w:val="Normal"/>
    <w:semiHidden/>
    <w:rsid w:val="00750B56"/>
    <w:pPr>
      <w:spacing w:before="120"/>
    </w:pPr>
    <w:rPr>
      <w:rFonts w:ascii="Arial" w:hAnsi="Arial"/>
      <w:bCs/>
      <w:sz w:val="20"/>
      <w:szCs w:val="20"/>
    </w:rPr>
  </w:style>
  <w:style w:type="paragraph" w:customStyle="1" w:styleId="Checklist">
    <w:name w:val="Checklist"/>
    <w:basedOn w:val="Bullet"/>
    <w:rsid w:val="00BB5784"/>
    <w:pPr>
      <w:ind w:left="3427" w:hanging="547"/>
    </w:pPr>
    <w:rPr>
      <w:rFonts w:cs="Arial"/>
      <w:szCs w:val="22"/>
    </w:rPr>
  </w:style>
  <w:style w:type="paragraph" w:styleId="TOC1">
    <w:name w:val="toc 1"/>
    <w:basedOn w:val="Normal"/>
    <w:next w:val="Normal"/>
    <w:semiHidden/>
    <w:rsid w:val="00BB5784"/>
    <w:pPr>
      <w:spacing w:before="360"/>
    </w:pPr>
    <w:rPr>
      <w:rFonts w:ascii="Arial (W1)" w:hAnsi="Arial (W1)" w:cs="Arial"/>
      <w:b/>
      <w:bCs/>
      <w:caps/>
      <w:sz w:val="22"/>
      <w:szCs w:val="22"/>
    </w:rPr>
  </w:style>
  <w:style w:type="paragraph" w:styleId="Footer">
    <w:name w:val="footer"/>
    <w:basedOn w:val="Normal"/>
    <w:link w:val="FooterChar"/>
    <w:uiPriority w:val="99"/>
    <w:rsid w:val="00BB5784"/>
    <w:pPr>
      <w:tabs>
        <w:tab w:val="right" w:pos="10080"/>
      </w:tabs>
    </w:pPr>
  </w:style>
  <w:style w:type="paragraph" w:styleId="Header">
    <w:name w:val="header"/>
    <w:basedOn w:val="Normal"/>
    <w:rsid w:val="00BB5784"/>
    <w:pPr>
      <w:tabs>
        <w:tab w:val="right" w:pos="10080"/>
      </w:tabs>
    </w:pPr>
  </w:style>
  <w:style w:type="character" w:styleId="FootnoteReference">
    <w:name w:val="footnote reference"/>
    <w:basedOn w:val="DefaultParagraphFont"/>
    <w:semiHidden/>
    <w:rsid w:val="00BB5784"/>
    <w:rPr>
      <w:position w:val="6"/>
      <w:sz w:val="16"/>
      <w:szCs w:val="16"/>
    </w:rPr>
  </w:style>
  <w:style w:type="paragraph" w:styleId="Title">
    <w:name w:val="Title"/>
    <w:basedOn w:val="Normal"/>
    <w:qFormat/>
    <w:rsid w:val="00BB5784"/>
    <w:pPr>
      <w:keepLines/>
      <w:spacing w:after="120"/>
      <w:ind w:left="2520" w:right="720"/>
    </w:pPr>
    <w:rPr>
      <w:rFonts w:ascii="Book Antiqua" w:hAnsi="Book Antiqua"/>
      <w:sz w:val="48"/>
      <w:szCs w:val="48"/>
      <w:lang w:val="en-US"/>
    </w:rPr>
  </w:style>
  <w:style w:type="paragraph" w:customStyle="1" w:styleId="TableText">
    <w:name w:val="Table Text"/>
    <w:basedOn w:val="Normal"/>
    <w:rsid w:val="00BB5784"/>
    <w:pPr>
      <w:keepLines/>
    </w:pPr>
    <w:rPr>
      <w:rFonts w:ascii="Arial" w:hAnsi="Arial" w:cs="Arial"/>
      <w:sz w:val="20"/>
    </w:rPr>
  </w:style>
  <w:style w:type="paragraph" w:customStyle="1" w:styleId="TitleBar">
    <w:name w:val="Title Bar"/>
    <w:basedOn w:val="Normal"/>
    <w:rsid w:val="00BB5784"/>
    <w:pPr>
      <w:keepNext/>
      <w:pageBreakBefore/>
      <w:shd w:val="solid" w:color="auto" w:fill="auto"/>
      <w:spacing w:before="1680"/>
      <w:ind w:left="2520" w:right="720"/>
    </w:pPr>
    <w:rPr>
      <w:sz w:val="36"/>
      <w:szCs w:val="36"/>
    </w:rPr>
  </w:style>
  <w:style w:type="character" w:customStyle="1" w:styleId="HighlightedVariable">
    <w:name w:val="Highlighted Variable"/>
    <w:basedOn w:val="DefaultParagraphFont"/>
    <w:rsid w:val="00BB5784"/>
    <w:rPr>
      <w:color w:val="0000FF"/>
    </w:rPr>
  </w:style>
  <w:style w:type="paragraph" w:customStyle="1" w:styleId="ChapNumber">
    <w:name w:val="Chap Number"/>
    <w:basedOn w:val="Normal"/>
    <w:rsid w:val="00BB5784"/>
  </w:style>
  <w:style w:type="paragraph" w:styleId="EndnoteText">
    <w:name w:val="endnote text"/>
    <w:basedOn w:val="Normal"/>
    <w:semiHidden/>
    <w:rsid w:val="00BB5784"/>
    <w:rPr>
      <w:rFonts w:ascii="Tahoma" w:hAnsi="Tahoma" w:cs="Tahoma"/>
      <w:sz w:val="20"/>
      <w:szCs w:val="20"/>
    </w:rPr>
  </w:style>
  <w:style w:type="character" w:styleId="Hyperlink">
    <w:name w:val="Hyperlink"/>
    <w:basedOn w:val="DefaultParagraphFont"/>
    <w:rsid w:val="00BB5784"/>
    <w:rPr>
      <w:color w:val="0000FF"/>
      <w:u w:val="single"/>
    </w:rPr>
  </w:style>
  <w:style w:type="paragraph" w:customStyle="1" w:styleId="StyleBodyText12ptBoldBlue">
    <w:name w:val="Style Body Text + 12 pt Bold Blue"/>
    <w:basedOn w:val="BodyText"/>
    <w:link w:val="StyleBodyText12ptBoldBlueChar"/>
    <w:rsid w:val="00BB5784"/>
    <w:pPr>
      <w:ind w:left="2520"/>
    </w:pPr>
    <w:rPr>
      <w:rFonts w:ascii="Arial (W1)" w:hAnsi="Arial (W1)"/>
      <w:bCs/>
    </w:rPr>
  </w:style>
  <w:style w:type="character" w:customStyle="1" w:styleId="StyleBodyText12ptBoldBlueChar">
    <w:name w:val="Style Body Text + 12 pt Bold Blue Char"/>
    <w:basedOn w:val="BodyTextChar"/>
    <w:link w:val="StyleBodyText12ptBoldBlue"/>
    <w:rsid w:val="00BB5784"/>
    <w:rPr>
      <w:rFonts w:ascii="Arial (W1)" w:hAnsi="Arial (W1)" w:cs="Arial"/>
      <w:bCs/>
      <w:sz w:val="22"/>
      <w:szCs w:val="22"/>
      <w:lang w:val="en-GB" w:eastAsia="en-GB" w:bidi="ar-SA"/>
    </w:rPr>
  </w:style>
  <w:style w:type="table" w:styleId="TableGrid">
    <w:name w:val="Table Grid"/>
    <w:basedOn w:val="TableNormal"/>
    <w:rsid w:val="00A953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C1BE1"/>
    <w:pPr>
      <w:spacing w:after="120" w:line="480" w:lineRule="auto"/>
    </w:pPr>
  </w:style>
  <w:style w:type="paragraph" w:styleId="CommentText">
    <w:name w:val="annotation text"/>
    <w:basedOn w:val="Normal"/>
    <w:semiHidden/>
    <w:rsid w:val="00E346D0"/>
    <w:rPr>
      <w:sz w:val="20"/>
      <w:szCs w:val="20"/>
    </w:rPr>
  </w:style>
  <w:style w:type="character" w:styleId="CommentReference">
    <w:name w:val="annotation reference"/>
    <w:basedOn w:val="DefaultParagraphFont"/>
    <w:semiHidden/>
    <w:rsid w:val="003E6DDD"/>
    <w:rPr>
      <w:sz w:val="16"/>
      <w:szCs w:val="16"/>
    </w:rPr>
  </w:style>
  <w:style w:type="paragraph" w:styleId="CommentSubject">
    <w:name w:val="annotation subject"/>
    <w:basedOn w:val="CommentText"/>
    <w:next w:val="CommentText"/>
    <w:semiHidden/>
    <w:rsid w:val="003E6DDD"/>
    <w:rPr>
      <w:b/>
      <w:bCs/>
    </w:rPr>
  </w:style>
  <w:style w:type="paragraph" w:styleId="BalloonText">
    <w:name w:val="Balloon Text"/>
    <w:basedOn w:val="Normal"/>
    <w:semiHidden/>
    <w:rsid w:val="003E6DDD"/>
    <w:rPr>
      <w:rFonts w:ascii="Tahoma" w:hAnsi="Tahoma" w:cs="Tahoma"/>
    </w:rPr>
  </w:style>
  <w:style w:type="character" w:styleId="PageNumber">
    <w:name w:val="page number"/>
    <w:basedOn w:val="DefaultParagraphFont"/>
    <w:rsid w:val="00D16A5E"/>
  </w:style>
  <w:style w:type="character" w:customStyle="1" w:styleId="Heading1Char">
    <w:name w:val="Heading 1 Char"/>
    <w:basedOn w:val="DefaultParagraphFont"/>
    <w:link w:val="Heading1"/>
    <w:rsid w:val="00890C0B"/>
    <w:rPr>
      <w:rFonts w:ascii="Arial" w:hAnsi="Arial"/>
      <w:b/>
      <w:sz w:val="32"/>
      <w:szCs w:val="16"/>
      <w:lang w:val="en-GB" w:eastAsia="en-GB" w:bidi="ar-SA"/>
    </w:rPr>
  </w:style>
  <w:style w:type="paragraph" w:styleId="BodyTextIndent">
    <w:name w:val="Body Text Indent"/>
    <w:basedOn w:val="Normal"/>
    <w:rsid w:val="001C2E78"/>
    <w:pPr>
      <w:spacing w:after="120"/>
      <w:ind w:left="283"/>
    </w:pPr>
  </w:style>
  <w:style w:type="character" w:customStyle="1" w:styleId="FooterChar">
    <w:name w:val="Footer Char"/>
    <w:basedOn w:val="DefaultParagraphFont"/>
    <w:link w:val="Footer"/>
    <w:uiPriority w:val="99"/>
    <w:rsid w:val="00D33140"/>
    <w:rPr>
      <w:sz w:val="16"/>
      <w:szCs w:val="16"/>
      <w:lang w:val="en-GB" w:eastAsia="en-GB"/>
    </w:rPr>
  </w:style>
  <w:style w:type="paragraph" w:customStyle="1" w:styleId="Default">
    <w:name w:val="Default"/>
    <w:rsid w:val="00750059"/>
    <w:pPr>
      <w:autoSpaceDE w:val="0"/>
      <w:autoSpaceDN w:val="0"/>
      <w:adjustRightInd w:val="0"/>
    </w:pPr>
    <w:rPr>
      <w:rFonts w:ascii="Arial" w:hAnsi="Arial" w:cs="Arial"/>
      <w:color w:val="000000"/>
      <w:sz w:val="24"/>
      <w:szCs w:val="24"/>
    </w:rPr>
  </w:style>
  <w:style w:type="paragraph" w:customStyle="1" w:styleId="StyleBodyText12pt">
    <w:name w:val="Style Body Text + 12 pt"/>
    <w:basedOn w:val="BodyText"/>
    <w:link w:val="StyleBodyText12ptChar"/>
    <w:rsid w:val="00750059"/>
    <w:pPr>
      <w:ind w:left="0"/>
    </w:pPr>
    <w:rPr>
      <w:szCs w:val="24"/>
    </w:rPr>
  </w:style>
  <w:style w:type="paragraph" w:customStyle="1" w:styleId="StyleStyleBodyText12ptLeft444cm">
    <w:name w:val="Style Style Body Text + 12 pt + Left:  4.44 cm"/>
    <w:basedOn w:val="StyleBodyText12pt"/>
    <w:rsid w:val="00750059"/>
    <w:rPr>
      <w:rFonts w:cs="Times New Roman"/>
      <w:szCs w:val="20"/>
    </w:rPr>
  </w:style>
  <w:style w:type="character" w:customStyle="1" w:styleId="StyleBodyText12ptChar">
    <w:name w:val="Style Body Text + 12 pt Char"/>
    <w:link w:val="StyleBodyText12pt"/>
    <w:rsid w:val="00750059"/>
    <w:rPr>
      <w:rFonts w:ascii="Arial" w:hAnsi="Arial" w:cs="Arial"/>
      <w:sz w:val="22"/>
      <w:szCs w:val="24"/>
    </w:rPr>
  </w:style>
  <w:style w:type="paragraph" w:styleId="NormalWeb">
    <w:name w:val="Normal (Web)"/>
    <w:basedOn w:val="Normal"/>
    <w:rsid w:val="00750059"/>
    <w:pPr>
      <w:overflowPunct/>
      <w:autoSpaceDE/>
      <w:autoSpaceDN/>
      <w:adjustRightInd/>
      <w:textAlignment w:val="auto"/>
    </w:pPr>
    <w:rPr>
      <w:sz w:val="24"/>
      <w:szCs w:val="24"/>
      <w:lang w:val="en-US" w:eastAsia="en-US"/>
    </w:rPr>
  </w:style>
  <w:style w:type="paragraph" w:styleId="ListParagraph">
    <w:name w:val="List Paragraph"/>
    <w:basedOn w:val="Normal"/>
    <w:uiPriority w:val="34"/>
    <w:qFormat/>
    <w:rsid w:val="00750059"/>
    <w:pPr>
      <w:overflowPunct/>
      <w:autoSpaceDE/>
      <w:autoSpaceDN/>
      <w:adjustRightInd/>
      <w:ind w:left="720"/>
      <w:contextualSpacing/>
      <w:textAlignment w:val="auto"/>
    </w:pPr>
    <w:rPr>
      <w:sz w:val="24"/>
      <w:szCs w:val="24"/>
    </w:rPr>
  </w:style>
  <w:style w:type="paragraph" w:customStyle="1" w:styleId="StyleStyleBodyTextLatin12ptCharCharCharCharCharChar7">
    <w:name w:val="Style Style Body Text + (Latin) 12 pt Char Char Char Char Char Char...7"/>
    <w:basedOn w:val="Normal"/>
    <w:rsid w:val="00750059"/>
    <w:pPr>
      <w:spacing w:before="120" w:after="120"/>
    </w:pPr>
    <w:rPr>
      <w:rFonts w:ascii="Arial" w:hAnsi="Arial"/>
      <w:sz w:val="22"/>
      <w:szCs w:val="20"/>
    </w:rPr>
  </w:style>
  <w:style w:type="paragraph" w:customStyle="1" w:styleId="StyleStyleBodyText12ptLeft571cm">
    <w:name w:val="Style Style Body Text + 12 pt + Left:  5.71 cm"/>
    <w:basedOn w:val="StyleBodyText12pt"/>
    <w:rsid w:val="00E679E7"/>
    <w:pPr>
      <w:ind w:left="720"/>
    </w:pPr>
    <w:rPr>
      <w:rFonts w:cs="Times New Roman"/>
      <w:szCs w:val="20"/>
    </w:rPr>
  </w:style>
  <w:style w:type="paragraph" w:customStyle="1" w:styleId="StyleStyleBodyText12ptBold">
    <w:name w:val="Style Style Body Text + 12 pt + Bold"/>
    <w:basedOn w:val="StyleBodyText12pt"/>
    <w:link w:val="StyleStyleBodyText12ptBoldChar"/>
    <w:rsid w:val="00CB57B8"/>
    <w:rPr>
      <w:b/>
      <w:bCs/>
    </w:rPr>
  </w:style>
  <w:style w:type="character" w:customStyle="1" w:styleId="StyleStyleBodyText12ptBoldChar">
    <w:name w:val="Style Style Body Text + 12 pt + Bold Char"/>
    <w:link w:val="StyleStyleBodyText12ptBold"/>
    <w:rsid w:val="00CB57B8"/>
    <w:rPr>
      <w:rFonts w:ascii="Arial" w:hAnsi="Arial" w:cs="Arial"/>
      <w:b/>
      <w:bCs/>
      <w:sz w:val="22"/>
      <w:szCs w:val="24"/>
    </w:rPr>
  </w:style>
  <w:style w:type="paragraph" w:customStyle="1" w:styleId="StyleStyleBodyText12ptLeft571cm1">
    <w:name w:val="Style Style Body Text + 12 pt + Left:  5.71 cm1"/>
    <w:basedOn w:val="StyleBodyText12pt"/>
    <w:rsid w:val="00CB57B8"/>
    <w:pPr>
      <w:ind w:left="720"/>
    </w:pPr>
    <w:rPr>
      <w:rFonts w:cs="Times New Roman"/>
      <w:szCs w:val="20"/>
    </w:rPr>
  </w:style>
  <w:style w:type="paragraph" w:customStyle="1" w:styleId="StyleStyleBodyTextLatin12ptCharCharCharCharCharChar3">
    <w:name w:val="Style Style Body Text + (Latin) 12 pt Char Char Char Char Char Char...3"/>
    <w:basedOn w:val="Normal"/>
    <w:rsid w:val="008529A2"/>
    <w:pPr>
      <w:spacing w:before="120" w:after="1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file:///G:\Shared%20Drive\HRA%20Management\Risk%20Registers\NEW%20&#8211;%20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eader" Target="head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CA50E-C0A2-4C34-91FD-1ACC483B9B6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11A4B7DC-BC7C-48B8-8DD7-A4786EA6A3B5}">
      <dgm:prSet phldrT="[Text]"/>
      <dgm:spPr/>
      <dgm:t>
        <a:bodyPr/>
        <a:lstStyle/>
        <a:p>
          <a:r>
            <a:rPr lang="en-GB"/>
            <a:t>Identify</a:t>
          </a:r>
        </a:p>
      </dgm:t>
    </dgm:pt>
    <dgm:pt modelId="{D5E5B467-44C7-4ED7-893A-4749879B105C}" type="parTrans" cxnId="{C9E37578-C25D-4B90-89E9-E1622E334CCF}">
      <dgm:prSet/>
      <dgm:spPr/>
      <dgm:t>
        <a:bodyPr/>
        <a:lstStyle/>
        <a:p>
          <a:endParaRPr lang="en-GB"/>
        </a:p>
      </dgm:t>
    </dgm:pt>
    <dgm:pt modelId="{7B339209-31BB-47B4-A65E-FA9B74CE20E5}" type="sibTrans" cxnId="{C9E37578-C25D-4B90-89E9-E1622E334CCF}">
      <dgm:prSet/>
      <dgm:spPr/>
      <dgm:t>
        <a:bodyPr/>
        <a:lstStyle/>
        <a:p>
          <a:endParaRPr lang="en-GB"/>
        </a:p>
      </dgm:t>
    </dgm:pt>
    <dgm:pt modelId="{F930DD37-5572-42A7-8E3F-4277706E0D73}">
      <dgm:prSet phldrT="[Text]"/>
      <dgm:spPr/>
      <dgm:t>
        <a:bodyPr/>
        <a:lstStyle/>
        <a:p>
          <a:r>
            <a:rPr lang="en-GB"/>
            <a:t>Investigate</a:t>
          </a:r>
        </a:p>
      </dgm:t>
    </dgm:pt>
    <dgm:pt modelId="{767F0E79-E7AD-49AC-9A7C-851F103BEB12}" type="parTrans" cxnId="{F82A7CE7-E66B-4E7A-B22E-55779081BDC4}">
      <dgm:prSet/>
      <dgm:spPr/>
      <dgm:t>
        <a:bodyPr/>
        <a:lstStyle/>
        <a:p>
          <a:endParaRPr lang="en-GB"/>
        </a:p>
      </dgm:t>
    </dgm:pt>
    <dgm:pt modelId="{FC0FE196-7019-44F0-AD6C-D60134A3A740}" type="sibTrans" cxnId="{F82A7CE7-E66B-4E7A-B22E-55779081BDC4}">
      <dgm:prSet/>
      <dgm:spPr/>
      <dgm:t>
        <a:bodyPr/>
        <a:lstStyle/>
        <a:p>
          <a:endParaRPr lang="en-GB"/>
        </a:p>
      </dgm:t>
    </dgm:pt>
    <dgm:pt modelId="{FA745F69-125F-4E48-91F1-85E69AD20911}">
      <dgm:prSet phldrT="[Text]"/>
      <dgm:spPr/>
      <dgm:t>
        <a:bodyPr/>
        <a:lstStyle/>
        <a:p>
          <a:r>
            <a:rPr lang="en-GB"/>
            <a:t>Evaluate</a:t>
          </a:r>
        </a:p>
      </dgm:t>
    </dgm:pt>
    <dgm:pt modelId="{F62E2718-111E-4E80-9C65-C7294990B2F8}" type="parTrans" cxnId="{4C358F22-1CDC-4C18-A90E-645FE334C1B8}">
      <dgm:prSet/>
      <dgm:spPr/>
      <dgm:t>
        <a:bodyPr/>
        <a:lstStyle/>
        <a:p>
          <a:endParaRPr lang="en-GB"/>
        </a:p>
      </dgm:t>
    </dgm:pt>
    <dgm:pt modelId="{ECFF5ECE-6461-4423-BAEC-BDDCB43E7EB6}" type="sibTrans" cxnId="{4C358F22-1CDC-4C18-A90E-645FE334C1B8}">
      <dgm:prSet/>
      <dgm:spPr/>
      <dgm:t>
        <a:bodyPr/>
        <a:lstStyle/>
        <a:p>
          <a:endParaRPr lang="en-GB"/>
        </a:p>
      </dgm:t>
    </dgm:pt>
    <dgm:pt modelId="{9C77B547-1532-4ABD-B8F2-538B1D6BB778}">
      <dgm:prSet phldrT="[Text]"/>
      <dgm:spPr/>
      <dgm:t>
        <a:bodyPr/>
        <a:lstStyle/>
        <a:p>
          <a:r>
            <a:rPr lang="en-GB"/>
            <a:t>Manage</a:t>
          </a:r>
        </a:p>
      </dgm:t>
    </dgm:pt>
    <dgm:pt modelId="{120583C0-A60F-49DC-9074-DB0A10F1545F}" type="parTrans" cxnId="{06056B48-376B-4FFF-932A-F37198778392}">
      <dgm:prSet/>
      <dgm:spPr/>
      <dgm:t>
        <a:bodyPr/>
        <a:lstStyle/>
        <a:p>
          <a:endParaRPr lang="en-GB"/>
        </a:p>
      </dgm:t>
    </dgm:pt>
    <dgm:pt modelId="{4D9A6A88-56E8-4ECB-9D94-258DD9650F44}" type="sibTrans" cxnId="{06056B48-376B-4FFF-932A-F37198778392}">
      <dgm:prSet/>
      <dgm:spPr/>
      <dgm:t>
        <a:bodyPr/>
        <a:lstStyle/>
        <a:p>
          <a:endParaRPr lang="en-GB"/>
        </a:p>
      </dgm:t>
    </dgm:pt>
    <dgm:pt modelId="{60708F39-4F04-42B5-AC8D-79B9B005E25C}">
      <dgm:prSet phldrT="[Text]"/>
      <dgm:spPr/>
      <dgm:t>
        <a:bodyPr/>
        <a:lstStyle/>
        <a:p>
          <a:r>
            <a:rPr lang="en-GB"/>
            <a:t>Monitor</a:t>
          </a:r>
        </a:p>
      </dgm:t>
    </dgm:pt>
    <dgm:pt modelId="{917ACF1F-C580-4E15-B49F-067303910A09}" type="parTrans" cxnId="{0B421E16-DE43-4C01-A2DF-282429A1570C}">
      <dgm:prSet/>
      <dgm:spPr/>
      <dgm:t>
        <a:bodyPr/>
        <a:lstStyle/>
        <a:p>
          <a:endParaRPr lang="en-GB"/>
        </a:p>
      </dgm:t>
    </dgm:pt>
    <dgm:pt modelId="{FCA0AC69-B8D9-4AA9-9821-BA2DD70EB827}" type="sibTrans" cxnId="{0B421E16-DE43-4C01-A2DF-282429A1570C}">
      <dgm:prSet/>
      <dgm:spPr/>
      <dgm:t>
        <a:bodyPr/>
        <a:lstStyle/>
        <a:p>
          <a:endParaRPr lang="en-GB"/>
        </a:p>
      </dgm:t>
    </dgm:pt>
    <dgm:pt modelId="{36008A33-34F1-4448-95A5-FACDBDC5EA49}" type="pres">
      <dgm:prSet presAssocID="{C75CA50E-C0A2-4C34-91FD-1ACC483B9B60}" presName="cycle" presStyleCnt="0">
        <dgm:presLayoutVars>
          <dgm:dir/>
          <dgm:resizeHandles val="exact"/>
        </dgm:presLayoutVars>
      </dgm:prSet>
      <dgm:spPr/>
      <dgm:t>
        <a:bodyPr/>
        <a:lstStyle/>
        <a:p>
          <a:endParaRPr lang="en-GB"/>
        </a:p>
      </dgm:t>
    </dgm:pt>
    <dgm:pt modelId="{79200314-BD4D-4709-9555-4D8B239882CA}" type="pres">
      <dgm:prSet presAssocID="{11A4B7DC-BC7C-48B8-8DD7-A4786EA6A3B5}" presName="node" presStyleLbl="node1" presStyleIdx="0" presStyleCnt="5">
        <dgm:presLayoutVars>
          <dgm:bulletEnabled val="1"/>
        </dgm:presLayoutVars>
      </dgm:prSet>
      <dgm:spPr/>
      <dgm:t>
        <a:bodyPr/>
        <a:lstStyle/>
        <a:p>
          <a:endParaRPr lang="en-GB"/>
        </a:p>
      </dgm:t>
    </dgm:pt>
    <dgm:pt modelId="{D6E02F17-616E-473F-B6D9-1FEEBE115596}" type="pres">
      <dgm:prSet presAssocID="{11A4B7DC-BC7C-48B8-8DD7-A4786EA6A3B5}" presName="spNode" presStyleCnt="0"/>
      <dgm:spPr/>
    </dgm:pt>
    <dgm:pt modelId="{0676D24E-E008-4576-994B-7124F2B8F287}" type="pres">
      <dgm:prSet presAssocID="{7B339209-31BB-47B4-A65E-FA9B74CE20E5}" presName="sibTrans" presStyleLbl="sibTrans1D1" presStyleIdx="0" presStyleCnt="5"/>
      <dgm:spPr/>
      <dgm:t>
        <a:bodyPr/>
        <a:lstStyle/>
        <a:p>
          <a:endParaRPr lang="en-GB"/>
        </a:p>
      </dgm:t>
    </dgm:pt>
    <dgm:pt modelId="{8648E682-F647-467C-91AE-56E7B0198192}" type="pres">
      <dgm:prSet presAssocID="{F930DD37-5572-42A7-8E3F-4277706E0D73}" presName="node" presStyleLbl="node1" presStyleIdx="1" presStyleCnt="5">
        <dgm:presLayoutVars>
          <dgm:bulletEnabled val="1"/>
        </dgm:presLayoutVars>
      </dgm:prSet>
      <dgm:spPr/>
      <dgm:t>
        <a:bodyPr/>
        <a:lstStyle/>
        <a:p>
          <a:endParaRPr lang="en-GB"/>
        </a:p>
      </dgm:t>
    </dgm:pt>
    <dgm:pt modelId="{841C6AC1-D675-4491-AD6C-CEE1C0E29B6C}" type="pres">
      <dgm:prSet presAssocID="{F930DD37-5572-42A7-8E3F-4277706E0D73}" presName="spNode" presStyleCnt="0"/>
      <dgm:spPr/>
    </dgm:pt>
    <dgm:pt modelId="{335FCD04-42BA-4AF4-89A6-23B1F648756A}" type="pres">
      <dgm:prSet presAssocID="{FC0FE196-7019-44F0-AD6C-D60134A3A740}" presName="sibTrans" presStyleLbl="sibTrans1D1" presStyleIdx="1" presStyleCnt="5"/>
      <dgm:spPr/>
      <dgm:t>
        <a:bodyPr/>
        <a:lstStyle/>
        <a:p>
          <a:endParaRPr lang="en-GB"/>
        </a:p>
      </dgm:t>
    </dgm:pt>
    <dgm:pt modelId="{7F46F158-1083-416E-BF89-D0E71FD7552B}" type="pres">
      <dgm:prSet presAssocID="{FA745F69-125F-4E48-91F1-85E69AD20911}" presName="node" presStyleLbl="node1" presStyleIdx="2" presStyleCnt="5">
        <dgm:presLayoutVars>
          <dgm:bulletEnabled val="1"/>
        </dgm:presLayoutVars>
      </dgm:prSet>
      <dgm:spPr/>
      <dgm:t>
        <a:bodyPr/>
        <a:lstStyle/>
        <a:p>
          <a:endParaRPr lang="en-GB"/>
        </a:p>
      </dgm:t>
    </dgm:pt>
    <dgm:pt modelId="{F2138058-BC26-4CCF-8CEF-3343A16C0B3F}" type="pres">
      <dgm:prSet presAssocID="{FA745F69-125F-4E48-91F1-85E69AD20911}" presName="spNode" presStyleCnt="0"/>
      <dgm:spPr/>
    </dgm:pt>
    <dgm:pt modelId="{5CE392F3-4C83-494C-B525-D28119F9B93A}" type="pres">
      <dgm:prSet presAssocID="{ECFF5ECE-6461-4423-BAEC-BDDCB43E7EB6}" presName="sibTrans" presStyleLbl="sibTrans1D1" presStyleIdx="2" presStyleCnt="5"/>
      <dgm:spPr/>
      <dgm:t>
        <a:bodyPr/>
        <a:lstStyle/>
        <a:p>
          <a:endParaRPr lang="en-GB"/>
        </a:p>
      </dgm:t>
    </dgm:pt>
    <dgm:pt modelId="{96242093-49BB-423C-B91A-38D23695E698}" type="pres">
      <dgm:prSet presAssocID="{9C77B547-1532-4ABD-B8F2-538B1D6BB778}" presName="node" presStyleLbl="node1" presStyleIdx="3" presStyleCnt="5">
        <dgm:presLayoutVars>
          <dgm:bulletEnabled val="1"/>
        </dgm:presLayoutVars>
      </dgm:prSet>
      <dgm:spPr/>
      <dgm:t>
        <a:bodyPr/>
        <a:lstStyle/>
        <a:p>
          <a:endParaRPr lang="en-GB"/>
        </a:p>
      </dgm:t>
    </dgm:pt>
    <dgm:pt modelId="{6D9E0E3F-07D7-4AC1-B72C-8096B86F3D4F}" type="pres">
      <dgm:prSet presAssocID="{9C77B547-1532-4ABD-B8F2-538B1D6BB778}" presName="spNode" presStyleCnt="0"/>
      <dgm:spPr/>
    </dgm:pt>
    <dgm:pt modelId="{1191B3C9-C75F-4E8E-8A59-2B5A5F60C0FE}" type="pres">
      <dgm:prSet presAssocID="{4D9A6A88-56E8-4ECB-9D94-258DD9650F44}" presName="sibTrans" presStyleLbl="sibTrans1D1" presStyleIdx="3" presStyleCnt="5"/>
      <dgm:spPr/>
      <dgm:t>
        <a:bodyPr/>
        <a:lstStyle/>
        <a:p>
          <a:endParaRPr lang="en-GB"/>
        </a:p>
      </dgm:t>
    </dgm:pt>
    <dgm:pt modelId="{383C75C7-2813-4376-BD19-D41889994E20}" type="pres">
      <dgm:prSet presAssocID="{60708F39-4F04-42B5-AC8D-79B9B005E25C}" presName="node" presStyleLbl="node1" presStyleIdx="4" presStyleCnt="5">
        <dgm:presLayoutVars>
          <dgm:bulletEnabled val="1"/>
        </dgm:presLayoutVars>
      </dgm:prSet>
      <dgm:spPr/>
      <dgm:t>
        <a:bodyPr/>
        <a:lstStyle/>
        <a:p>
          <a:endParaRPr lang="en-GB"/>
        </a:p>
      </dgm:t>
    </dgm:pt>
    <dgm:pt modelId="{7926C16F-D597-489A-9CA8-8C53B74691EF}" type="pres">
      <dgm:prSet presAssocID="{60708F39-4F04-42B5-AC8D-79B9B005E25C}" presName="spNode" presStyleCnt="0"/>
      <dgm:spPr/>
    </dgm:pt>
    <dgm:pt modelId="{909A5BA8-433E-424D-920B-5D099B80FC33}" type="pres">
      <dgm:prSet presAssocID="{FCA0AC69-B8D9-4AA9-9821-BA2DD70EB827}" presName="sibTrans" presStyleLbl="sibTrans1D1" presStyleIdx="4" presStyleCnt="5"/>
      <dgm:spPr/>
      <dgm:t>
        <a:bodyPr/>
        <a:lstStyle/>
        <a:p>
          <a:endParaRPr lang="en-GB"/>
        </a:p>
      </dgm:t>
    </dgm:pt>
  </dgm:ptLst>
  <dgm:cxnLst>
    <dgm:cxn modelId="{06056B48-376B-4FFF-932A-F37198778392}" srcId="{C75CA50E-C0A2-4C34-91FD-1ACC483B9B60}" destId="{9C77B547-1532-4ABD-B8F2-538B1D6BB778}" srcOrd="3" destOrd="0" parTransId="{120583C0-A60F-49DC-9074-DB0A10F1545F}" sibTransId="{4D9A6A88-56E8-4ECB-9D94-258DD9650F44}"/>
    <dgm:cxn modelId="{C9E37578-C25D-4B90-89E9-E1622E334CCF}" srcId="{C75CA50E-C0A2-4C34-91FD-1ACC483B9B60}" destId="{11A4B7DC-BC7C-48B8-8DD7-A4786EA6A3B5}" srcOrd="0" destOrd="0" parTransId="{D5E5B467-44C7-4ED7-893A-4749879B105C}" sibTransId="{7B339209-31BB-47B4-A65E-FA9B74CE20E5}"/>
    <dgm:cxn modelId="{C93EFFC7-6A8B-45FF-8F53-22A03D5071B0}" type="presOf" srcId="{60708F39-4F04-42B5-AC8D-79B9B005E25C}" destId="{383C75C7-2813-4376-BD19-D41889994E20}" srcOrd="0" destOrd="0" presId="urn:microsoft.com/office/officeart/2005/8/layout/cycle5"/>
    <dgm:cxn modelId="{4C98EB5A-295E-4F48-8C1E-774FEE590C10}" type="presOf" srcId="{FA745F69-125F-4E48-91F1-85E69AD20911}" destId="{7F46F158-1083-416E-BF89-D0E71FD7552B}" srcOrd="0" destOrd="0" presId="urn:microsoft.com/office/officeart/2005/8/layout/cycle5"/>
    <dgm:cxn modelId="{A4364B32-9FE0-4EB8-B44D-B790C7EDA57E}" type="presOf" srcId="{FCA0AC69-B8D9-4AA9-9821-BA2DD70EB827}" destId="{909A5BA8-433E-424D-920B-5D099B80FC33}" srcOrd="0" destOrd="0" presId="urn:microsoft.com/office/officeart/2005/8/layout/cycle5"/>
    <dgm:cxn modelId="{0B421E16-DE43-4C01-A2DF-282429A1570C}" srcId="{C75CA50E-C0A2-4C34-91FD-1ACC483B9B60}" destId="{60708F39-4F04-42B5-AC8D-79B9B005E25C}" srcOrd="4" destOrd="0" parTransId="{917ACF1F-C580-4E15-B49F-067303910A09}" sibTransId="{FCA0AC69-B8D9-4AA9-9821-BA2DD70EB827}"/>
    <dgm:cxn modelId="{DC435D62-B6FE-4DA5-98D5-4EA58E99E1DF}" type="presOf" srcId="{4D9A6A88-56E8-4ECB-9D94-258DD9650F44}" destId="{1191B3C9-C75F-4E8E-8A59-2B5A5F60C0FE}" srcOrd="0" destOrd="0" presId="urn:microsoft.com/office/officeart/2005/8/layout/cycle5"/>
    <dgm:cxn modelId="{D6DE248A-CB95-4056-A606-A439FB4E6000}" type="presOf" srcId="{7B339209-31BB-47B4-A65E-FA9B74CE20E5}" destId="{0676D24E-E008-4576-994B-7124F2B8F287}" srcOrd="0" destOrd="0" presId="urn:microsoft.com/office/officeart/2005/8/layout/cycle5"/>
    <dgm:cxn modelId="{F82A7CE7-E66B-4E7A-B22E-55779081BDC4}" srcId="{C75CA50E-C0A2-4C34-91FD-1ACC483B9B60}" destId="{F930DD37-5572-42A7-8E3F-4277706E0D73}" srcOrd="1" destOrd="0" parTransId="{767F0E79-E7AD-49AC-9A7C-851F103BEB12}" sibTransId="{FC0FE196-7019-44F0-AD6C-D60134A3A740}"/>
    <dgm:cxn modelId="{43148C6E-D616-402C-AE7F-AF53E97CFC00}" type="presOf" srcId="{9C77B547-1532-4ABD-B8F2-538B1D6BB778}" destId="{96242093-49BB-423C-B91A-38D23695E698}" srcOrd="0" destOrd="0" presId="urn:microsoft.com/office/officeart/2005/8/layout/cycle5"/>
    <dgm:cxn modelId="{2C18E8B4-BE40-4939-96C0-5091E4E657D8}" type="presOf" srcId="{F930DD37-5572-42A7-8E3F-4277706E0D73}" destId="{8648E682-F647-467C-91AE-56E7B0198192}" srcOrd="0" destOrd="0" presId="urn:microsoft.com/office/officeart/2005/8/layout/cycle5"/>
    <dgm:cxn modelId="{D2ABE842-18C3-4830-BFA6-A87E7158BBBB}" type="presOf" srcId="{ECFF5ECE-6461-4423-BAEC-BDDCB43E7EB6}" destId="{5CE392F3-4C83-494C-B525-D28119F9B93A}" srcOrd="0" destOrd="0" presId="urn:microsoft.com/office/officeart/2005/8/layout/cycle5"/>
    <dgm:cxn modelId="{8FA60CE7-3F60-4F3F-B27A-6F5D63C56672}" type="presOf" srcId="{C75CA50E-C0A2-4C34-91FD-1ACC483B9B60}" destId="{36008A33-34F1-4448-95A5-FACDBDC5EA49}" srcOrd="0" destOrd="0" presId="urn:microsoft.com/office/officeart/2005/8/layout/cycle5"/>
    <dgm:cxn modelId="{27920246-0682-4F02-8715-9E54F13101F2}" type="presOf" srcId="{11A4B7DC-BC7C-48B8-8DD7-A4786EA6A3B5}" destId="{79200314-BD4D-4709-9555-4D8B239882CA}" srcOrd="0" destOrd="0" presId="urn:microsoft.com/office/officeart/2005/8/layout/cycle5"/>
    <dgm:cxn modelId="{4C358F22-1CDC-4C18-A90E-645FE334C1B8}" srcId="{C75CA50E-C0A2-4C34-91FD-1ACC483B9B60}" destId="{FA745F69-125F-4E48-91F1-85E69AD20911}" srcOrd="2" destOrd="0" parTransId="{F62E2718-111E-4E80-9C65-C7294990B2F8}" sibTransId="{ECFF5ECE-6461-4423-BAEC-BDDCB43E7EB6}"/>
    <dgm:cxn modelId="{3714B5A2-CC7E-4A0F-A23B-AC82A29979FB}" type="presOf" srcId="{FC0FE196-7019-44F0-AD6C-D60134A3A740}" destId="{335FCD04-42BA-4AF4-89A6-23B1F648756A}" srcOrd="0" destOrd="0" presId="urn:microsoft.com/office/officeart/2005/8/layout/cycle5"/>
    <dgm:cxn modelId="{E90F19A8-21F6-475F-A61A-30063E04F410}" type="presParOf" srcId="{36008A33-34F1-4448-95A5-FACDBDC5EA49}" destId="{79200314-BD4D-4709-9555-4D8B239882CA}" srcOrd="0" destOrd="0" presId="urn:microsoft.com/office/officeart/2005/8/layout/cycle5"/>
    <dgm:cxn modelId="{BE1A9D0A-D235-4D70-90B7-A96F0A6634DA}" type="presParOf" srcId="{36008A33-34F1-4448-95A5-FACDBDC5EA49}" destId="{D6E02F17-616E-473F-B6D9-1FEEBE115596}" srcOrd="1" destOrd="0" presId="urn:microsoft.com/office/officeart/2005/8/layout/cycle5"/>
    <dgm:cxn modelId="{6F0373C7-8372-426F-8EAD-8C716B45C6FF}" type="presParOf" srcId="{36008A33-34F1-4448-95A5-FACDBDC5EA49}" destId="{0676D24E-E008-4576-994B-7124F2B8F287}" srcOrd="2" destOrd="0" presId="urn:microsoft.com/office/officeart/2005/8/layout/cycle5"/>
    <dgm:cxn modelId="{3F90F133-28F2-4CF6-B2A5-E365FE940208}" type="presParOf" srcId="{36008A33-34F1-4448-95A5-FACDBDC5EA49}" destId="{8648E682-F647-467C-91AE-56E7B0198192}" srcOrd="3" destOrd="0" presId="urn:microsoft.com/office/officeart/2005/8/layout/cycle5"/>
    <dgm:cxn modelId="{A5A97022-03F3-47B9-889B-92AE0F56545C}" type="presParOf" srcId="{36008A33-34F1-4448-95A5-FACDBDC5EA49}" destId="{841C6AC1-D675-4491-AD6C-CEE1C0E29B6C}" srcOrd="4" destOrd="0" presId="urn:microsoft.com/office/officeart/2005/8/layout/cycle5"/>
    <dgm:cxn modelId="{7826F0DA-EEC1-4BB4-BE0F-A895BDC3B765}" type="presParOf" srcId="{36008A33-34F1-4448-95A5-FACDBDC5EA49}" destId="{335FCD04-42BA-4AF4-89A6-23B1F648756A}" srcOrd="5" destOrd="0" presId="urn:microsoft.com/office/officeart/2005/8/layout/cycle5"/>
    <dgm:cxn modelId="{C7A89FA1-D00C-436C-AD54-4BB7BBAF838E}" type="presParOf" srcId="{36008A33-34F1-4448-95A5-FACDBDC5EA49}" destId="{7F46F158-1083-416E-BF89-D0E71FD7552B}" srcOrd="6" destOrd="0" presId="urn:microsoft.com/office/officeart/2005/8/layout/cycle5"/>
    <dgm:cxn modelId="{52EB0917-5F49-4A05-94D7-EC99AAE61258}" type="presParOf" srcId="{36008A33-34F1-4448-95A5-FACDBDC5EA49}" destId="{F2138058-BC26-4CCF-8CEF-3343A16C0B3F}" srcOrd="7" destOrd="0" presId="urn:microsoft.com/office/officeart/2005/8/layout/cycle5"/>
    <dgm:cxn modelId="{8FD2A9F5-B0A6-4492-9785-5963024A1713}" type="presParOf" srcId="{36008A33-34F1-4448-95A5-FACDBDC5EA49}" destId="{5CE392F3-4C83-494C-B525-D28119F9B93A}" srcOrd="8" destOrd="0" presId="urn:microsoft.com/office/officeart/2005/8/layout/cycle5"/>
    <dgm:cxn modelId="{9FBC52C8-CD8A-4128-9264-828B9D483ABE}" type="presParOf" srcId="{36008A33-34F1-4448-95A5-FACDBDC5EA49}" destId="{96242093-49BB-423C-B91A-38D23695E698}" srcOrd="9" destOrd="0" presId="urn:microsoft.com/office/officeart/2005/8/layout/cycle5"/>
    <dgm:cxn modelId="{AA959CDB-C947-4CFD-8769-CB5DAADD45EF}" type="presParOf" srcId="{36008A33-34F1-4448-95A5-FACDBDC5EA49}" destId="{6D9E0E3F-07D7-4AC1-B72C-8096B86F3D4F}" srcOrd="10" destOrd="0" presId="urn:microsoft.com/office/officeart/2005/8/layout/cycle5"/>
    <dgm:cxn modelId="{FE51EB80-9262-4B0E-A319-043A71853B66}" type="presParOf" srcId="{36008A33-34F1-4448-95A5-FACDBDC5EA49}" destId="{1191B3C9-C75F-4E8E-8A59-2B5A5F60C0FE}" srcOrd="11" destOrd="0" presId="urn:microsoft.com/office/officeart/2005/8/layout/cycle5"/>
    <dgm:cxn modelId="{F0BDA794-AE12-485A-BA1D-579A51937BB8}" type="presParOf" srcId="{36008A33-34F1-4448-95A5-FACDBDC5EA49}" destId="{383C75C7-2813-4376-BD19-D41889994E20}" srcOrd="12" destOrd="0" presId="urn:microsoft.com/office/officeart/2005/8/layout/cycle5"/>
    <dgm:cxn modelId="{19560117-7064-4887-8E61-9EEEBAE2604E}" type="presParOf" srcId="{36008A33-34F1-4448-95A5-FACDBDC5EA49}" destId="{7926C16F-D597-489A-9CA8-8C53B74691EF}" srcOrd="13" destOrd="0" presId="urn:microsoft.com/office/officeart/2005/8/layout/cycle5"/>
    <dgm:cxn modelId="{850234A6-8068-40CE-8C57-0ABA690A52A0}" type="presParOf" srcId="{36008A33-34F1-4448-95A5-FACDBDC5EA49}" destId="{909A5BA8-433E-424D-920B-5D099B80FC33}" srcOrd="14" destOrd="0" presId="urn:microsoft.com/office/officeart/2005/8/layout/cycle5"/>
  </dgm:cxnLst>
  <dgm:bg/>
  <dgm:whole>
    <a:ln w="3175">
      <a:solidFill>
        <a:schemeClr val="tx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200314-BD4D-4709-9555-4D8B239882CA}">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Identify</a:t>
          </a:r>
        </a:p>
      </dsp:txBody>
      <dsp:txXfrm>
        <a:off x="2251455" y="34475"/>
        <a:ext cx="983489" cy="615943"/>
      </dsp:txXfrm>
    </dsp:sp>
    <dsp:sp modelId="{0676D24E-E008-4576-994B-7124F2B8F287}">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648E682-F647-467C-91AE-56E7B0198192}">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Investigate</a:t>
          </a:r>
        </a:p>
      </dsp:txBody>
      <dsp:txXfrm>
        <a:off x="3550020" y="977937"/>
        <a:ext cx="983489" cy="615943"/>
      </dsp:txXfrm>
    </dsp:sp>
    <dsp:sp modelId="{335FCD04-42BA-4AF4-89A6-23B1F648756A}">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F46F158-1083-416E-BF89-D0E71FD7552B}">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Evaluate</a:t>
          </a:r>
        </a:p>
      </dsp:txBody>
      <dsp:txXfrm>
        <a:off x="3054012" y="2504491"/>
        <a:ext cx="983489" cy="615943"/>
      </dsp:txXfrm>
    </dsp:sp>
    <dsp:sp modelId="{5CE392F3-4C83-494C-B525-D28119F9B93A}">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6242093-49BB-423C-B91A-38D23695E698}">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Manage</a:t>
          </a:r>
        </a:p>
      </dsp:txBody>
      <dsp:txXfrm>
        <a:off x="1448898" y="2504491"/>
        <a:ext cx="983489" cy="615943"/>
      </dsp:txXfrm>
    </dsp:sp>
    <dsp:sp modelId="{1191B3C9-C75F-4E8E-8A59-2B5A5F60C0FE}">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83C75C7-2813-4376-BD19-D41889994E20}">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Monitor</a:t>
          </a:r>
        </a:p>
      </dsp:txBody>
      <dsp:txXfrm>
        <a:off x="952890" y="977937"/>
        <a:ext cx="983489" cy="615943"/>
      </dsp:txXfrm>
    </dsp:sp>
    <dsp:sp modelId="{909A5BA8-433E-424D-920B-5D099B80FC33}">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E71B-2DD1-4048-9C0A-5DA1F668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2414</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Blank Document Template</vt:lpstr>
    </vt:vector>
  </TitlesOfParts>
  <Company>NPSA</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 Template</dc:title>
  <dc:subject>Blank Document Template</dc:subject>
  <dc:creator>Karen Calvin</dc:creator>
  <cp:lastModifiedBy>Steve Tebbutt</cp:lastModifiedBy>
  <cp:revision>4</cp:revision>
  <cp:lastPrinted>2014-11-06T14:41:00Z</cp:lastPrinted>
  <dcterms:created xsi:type="dcterms:W3CDTF">2015-01-12T10:21:00Z</dcterms:created>
  <dcterms:modified xsi:type="dcterms:W3CDTF">2015-02-11T12:38:00Z</dcterms:modified>
</cp:coreProperties>
</file>