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2B5DEC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9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2B5DEC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D6273E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99112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D627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February</w:t>
            </w:r>
            <w:r w:rsidR="00D6273E">
              <w:rPr>
                <w:rFonts w:asciiTheme="minorHAnsi" w:hAnsiTheme="minorHAnsi" w:cstheme="minorHAnsi"/>
              </w:rPr>
              <w:t xml:space="preserve">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99112A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KPI’s Q3 (Oct- Dec 2014)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D6273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="0099112A">
              <w:rPr>
                <w:rFonts w:asciiTheme="minorHAnsi" w:hAnsiTheme="minorHAnsi" w:cstheme="minorHAnsi"/>
              </w:rPr>
              <w:t>present to the Boa</w:t>
            </w:r>
            <w:bookmarkStart w:id="0" w:name="_GoBack"/>
            <w:bookmarkEnd w:id="0"/>
            <w:r w:rsidR="0099112A">
              <w:rPr>
                <w:rFonts w:asciiTheme="minorHAnsi" w:hAnsiTheme="minorHAnsi" w:cstheme="minorHAnsi"/>
              </w:rPr>
              <w:t xml:space="preserve">rd KPI’s for Q3, give visibility of previous performance in Q1 &amp; 2 and highlight areas of achievement and areas for improvement 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99112A" w:rsidP="001104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ensure </w:t>
            </w:r>
            <w:r w:rsidR="00110401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Board are fully cognisant of overall HRA Performance </w:t>
            </w:r>
            <w:r w:rsidR="00110401">
              <w:rPr>
                <w:rFonts w:asciiTheme="minorHAnsi" w:hAnsiTheme="minorHAnsi" w:cstheme="minorHAnsi"/>
              </w:rPr>
              <w:t>and subsequently so is the wider health research community and general public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76890" w:rsidRPr="00076890" w:rsidRDefault="00C823AC" w:rsidP="00076890">
            <w:pPr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Contained in attached paper and KPI Spreadsheet</w:t>
            </w:r>
            <w:r w:rsidR="00076890" w:rsidRPr="00076890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:rsidR="00076890" w:rsidRDefault="00076890" w:rsidP="00076890">
            <w:pPr>
              <w:rPr>
                <w:lang w:eastAsia="en-GB"/>
              </w:rPr>
            </w:pP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090D24" w:rsidRDefault="00090D24" w:rsidP="00B86C50">
            <w:pPr>
              <w:rPr>
                <w:rFonts w:asciiTheme="minorHAnsi" w:hAnsiTheme="minorHAnsi" w:cstheme="minorHAnsi"/>
              </w:rPr>
            </w:pPr>
            <w:r w:rsidRPr="00090D24">
              <w:rPr>
                <w:rFonts w:asciiTheme="minorHAnsi" w:hAnsiTheme="minorHAnsi" w:cstheme="minorHAnsi"/>
              </w:rPr>
              <w:t>Yes</w:t>
            </w:r>
            <w:r w:rsidR="0099112A">
              <w:rPr>
                <w:rFonts w:asciiTheme="minorHAnsi" w:hAnsiTheme="minorHAnsi" w:cstheme="minorHAnsi"/>
              </w:rPr>
              <w:t>, after Board</w:t>
            </w:r>
            <w:r w:rsidR="00B61CDD">
              <w:rPr>
                <w:rFonts w:asciiTheme="minorHAnsi" w:hAnsiTheme="minorHAnsi" w:cstheme="minorHAnsi"/>
              </w:rPr>
              <w:t>,</w:t>
            </w:r>
            <w:r w:rsidR="0099112A">
              <w:rPr>
                <w:rFonts w:asciiTheme="minorHAnsi" w:hAnsiTheme="minorHAnsi" w:cstheme="minorHAnsi"/>
              </w:rPr>
              <w:t xml:space="preserve"> to be published on website and intranet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110401" w:rsidRDefault="0099112A" w:rsidP="00B86C50">
            <w:pPr>
              <w:rPr>
                <w:rFonts w:asciiTheme="minorHAnsi" w:hAnsiTheme="minorHAnsi" w:cstheme="minorHAnsi"/>
              </w:rPr>
            </w:pPr>
            <w:r w:rsidRPr="00110401">
              <w:rPr>
                <w:rFonts w:asciiTheme="minorHAnsi" w:hAnsiTheme="minorHAnsi" w:cstheme="minorHAnsi"/>
              </w:rPr>
              <w:t xml:space="preserve">10 </w:t>
            </w:r>
            <w:r w:rsidR="00090D24" w:rsidRPr="00110401">
              <w:rPr>
                <w:rFonts w:asciiTheme="minorHAnsi" w:hAnsiTheme="minorHAnsi" w:cstheme="minorHAnsi"/>
              </w:rPr>
              <w:t>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99112A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78399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Cook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78399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of Corporate Services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78399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</w:t>
            </w:r>
            <w:r w:rsidR="00090D24">
              <w:rPr>
                <w:rFonts w:asciiTheme="minorHAnsi" w:hAnsiTheme="minorHAnsi" w:cstheme="minorHAnsi"/>
              </w:rPr>
              <w:t>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5308C1" w:rsidRDefault="005308C1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5308C1" w:rsidRDefault="005308C1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B61CDD" w:rsidRDefault="00B61CDD" w:rsidP="005308C1">
      <w:pPr>
        <w:jc w:val="center"/>
        <w:rPr>
          <w:rFonts w:asciiTheme="minorHAnsi" w:eastAsiaTheme="minorEastAsia" w:hAnsiTheme="minorHAnsi"/>
          <w:b/>
          <w:u w:val="single"/>
          <w:lang w:eastAsia="en-GB"/>
        </w:rPr>
      </w:pPr>
    </w:p>
    <w:p w:rsidR="005308C1" w:rsidRPr="005308C1" w:rsidRDefault="005308C1" w:rsidP="005308C1">
      <w:pPr>
        <w:jc w:val="center"/>
        <w:rPr>
          <w:rFonts w:asciiTheme="minorHAnsi" w:eastAsiaTheme="minorEastAsia" w:hAnsiTheme="minorHAnsi"/>
          <w:b/>
          <w:u w:val="single"/>
          <w:lang w:eastAsia="en-GB"/>
        </w:rPr>
      </w:pPr>
      <w:r w:rsidRPr="005308C1">
        <w:rPr>
          <w:rFonts w:asciiTheme="minorHAnsi" w:eastAsiaTheme="minorEastAsia" w:hAnsiTheme="minorHAnsi"/>
          <w:b/>
          <w:u w:val="single"/>
          <w:lang w:eastAsia="en-GB"/>
        </w:rPr>
        <w:t>HRA KPI Report Q3 (Oct-Dec 2014)</w:t>
      </w:r>
    </w:p>
    <w:p w:rsidR="005308C1" w:rsidRPr="005308C1" w:rsidRDefault="005308C1" w:rsidP="005308C1">
      <w:pPr>
        <w:numPr>
          <w:ilvl w:val="0"/>
          <w:numId w:val="46"/>
        </w:numPr>
        <w:contextualSpacing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b/>
          <w:u w:val="single"/>
          <w:lang w:eastAsia="en-GB"/>
        </w:rPr>
        <w:t>Introduction</w:t>
      </w:r>
    </w:p>
    <w:p w:rsidR="005308C1" w:rsidRPr="005308C1" w:rsidRDefault="005308C1" w:rsidP="005308C1">
      <w:pPr>
        <w:ind w:left="360"/>
        <w:contextualSpacing/>
        <w:rPr>
          <w:rFonts w:asciiTheme="minorHAnsi" w:eastAsiaTheme="minorEastAsia" w:hAnsiTheme="minorHAnsi"/>
          <w:lang w:eastAsia="en-GB"/>
        </w:rPr>
      </w:pPr>
    </w:p>
    <w:p w:rsidR="005308C1" w:rsidRPr="005308C1" w:rsidRDefault="005308C1" w:rsidP="005308C1">
      <w:pPr>
        <w:numPr>
          <w:ilvl w:val="1"/>
          <w:numId w:val="46"/>
        </w:numPr>
        <w:contextualSpacing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The KPI’s have been developed to measure our performance against our stated vision and ambition to develop a successful organisation that is:</w:t>
      </w:r>
    </w:p>
    <w:p w:rsidR="005308C1" w:rsidRPr="005308C1" w:rsidRDefault="005308C1" w:rsidP="005308C1">
      <w:pPr>
        <w:ind w:left="792"/>
        <w:contextualSpacing/>
        <w:rPr>
          <w:rFonts w:asciiTheme="minorHAnsi" w:eastAsiaTheme="minorEastAsia" w:hAnsiTheme="minorHAnsi"/>
          <w:lang w:eastAsia="en-GB"/>
        </w:rPr>
      </w:pPr>
    </w:p>
    <w:p w:rsidR="005308C1" w:rsidRPr="005308C1" w:rsidRDefault="005308C1" w:rsidP="005308C1">
      <w:pPr>
        <w:numPr>
          <w:ilvl w:val="0"/>
          <w:numId w:val="45"/>
        </w:numPr>
        <w:contextualSpacing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 xml:space="preserve">driven by our key purpose of protecting and promoting the interests of patients and the public in health research;  </w:t>
      </w:r>
    </w:p>
    <w:p w:rsidR="005308C1" w:rsidRPr="005308C1" w:rsidRDefault="005308C1" w:rsidP="005308C1">
      <w:pPr>
        <w:numPr>
          <w:ilvl w:val="0"/>
          <w:numId w:val="45"/>
        </w:numPr>
        <w:contextualSpacing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underpinned by our leadership in creating a streamlined and efficient framework for the approval and management of research; and</w:t>
      </w:r>
    </w:p>
    <w:p w:rsidR="005308C1" w:rsidRPr="005308C1" w:rsidRDefault="005308C1" w:rsidP="005308C1">
      <w:pPr>
        <w:numPr>
          <w:ilvl w:val="0"/>
          <w:numId w:val="45"/>
        </w:numPr>
        <w:contextualSpacing/>
        <w:jc w:val="both"/>
        <w:rPr>
          <w:rFonts w:asciiTheme="minorHAnsi" w:eastAsiaTheme="minorEastAsia" w:hAnsiTheme="minorHAnsi"/>
          <w:lang w:eastAsia="en-GB"/>
        </w:rPr>
      </w:pPr>
      <w:proofErr w:type="gramStart"/>
      <w:r w:rsidRPr="005308C1">
        <w:rPr>
          <w:rFonts w:asciiTheme="minorHAnsi" w:eastAsiaTheme="minorEastAsia" w:hAnsiTheme="minorHAnsi"/>
          <w:lang w:eastAsia="en-GB"/>
        </w:rPr>
        <w:t>with</w:t>
      </w:r>
      <w:proofErr w:type="gramEnd"/>
      <w:r w:rsidRPr="005308C1">
        <w:rPr>
          <w:rFonts w:asciiTheme="minorHAnsi" w:eastAsiaTheme="minorEastAsia" w:hAnsiTheme="minorHAnsi"/>
          <w:lang w:eastAsia="en-GB"/>
        </w:rPr>
        <w:t xml:space="preserve"> success acknowledged by key stakeholders, as well as seen through improved approval times, increased numbers of research participants, and greater confidence in health research.</w:t>
      </w:r>
    </w:p>
    <w:p w:rsidR="005308C1" w:rsidRPr="005308C1" w:rsidRDefault="005308C1" w:rsidP="005308C1">
      <w:pPr>
        <w:ind w:left="1080"/>
        <w:contextualSpacing/>
        <w:jc w:val="both"/>
        <w:rPr>
          <w:rFonts w:asciiTheme="minorHAnsi" w:eastAsiaTheme="minorEastAsia" w:hAnsiTheme="minorHAnsi"/>
          <w:lang w:eastAsia="en-GB"/>
        </w:rPr>
      </w:pPr>
    </w:p>
    <w:p w:rsidR="005308C1" w:rsidRPr="005308C1" w:rsidRDefault="005308C1" w:rsidP="005308C1">
      <w:pPr>
        <w:numPr>
          <w:ilvl w:val="1"/>
          <w:numId w:val="46"/>
        </w:numPr>
        <w:contextualSpacing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 xml:space="preserve">The KPI reporting structure groups specific performance measures </w:t>
      </w:r>
      <w:proofErr w:type="gramStart"/>
      <w:r w:rsidRPr="005308C1">
        <w:rPr>
          <w:rFonts w:asciiTheme="minorHAnsi" w:eastAsiaTheme="minorEastAsia" w:hAnsiTheme="minorHAnsi"/>
          <w:lang w:eastAsia="en-GB"/>
        </w:rPr>
        <w:t>under</w:t>
      </w:r>
      <w:proofErr w:type="gramEnd"/>
      <w:r w:rsidRPr="005308C1">
        <w:rPr>
          <w:rFonts w:asciiTheme="minorHAnsi" w:eastAsiaTheme="minorEastAsia" w:hAnsiTheme="minorHAnsi"/>
          <w:lang w:eastAsia="en-GB"/>
        </w:rPr>
        <w:t xml:space="preserve"> sixteen clearly defined ‘outcome’ descriptions which underpin the delivery of the HRA’s vision and ambition. </w:t>
      </w:r>
    </w:p>
    <w:p w:rsidR="005308C1" w:rsidRPr="005308C1" w:rsidRDefault="005308C1" w:rsidP="005308C1">
      <w:pPr>
        <w:ind w:left="792"/>
        <w:contextualSpacing/>
        <w:jc w:val="both"/>
        <w:rPr>
          <w:rFonts w:asciiTheme="minorHAnsi" w:eastAsiaTheme="minorEastAsia" w:hAnsiTheme="minorHAnsi"/>
          <w:lang w:eastAsia="en-GB"/>
        </w:rPr>
      </w:pPr>
    </w:p>
    <w:p w:rsidR="005308C1" w:rsidRPr="005308C1" w:rsidRDefault="005308C1" w:rsidP="005308C1">
      <w:pPr>
        <w:numPr>
          <w:ilvl w:val="0"/>
          <w:numId w:val="46"/>
        </w:numPr>
        <w:contextualSpacing/>
        <w:jc w:val="both"/>
        <w:rPr>
          <w:rFonts w:asciiTheme="minorHAnsi" w:eastAsiaTheme="minorEastAsia" w:hAnsiTheme="minorHAnsi"/>
          <w:b/>
          <w:u w:val="single"/>
          <w:lang w:eastAsia="en-GB"/>
        </w:rPr>
      </w:pPr>
      <w:r w:rsidRPr="005308C1">
        <w:rPr>
          <w:rFonts w:asciiTheme="minorHAnsi" w:eastAsiaTheme="minorEastAsia" w:hAnsiTheme="minorHAnsi"/>
          <w:b/>
          <w:u w:val="single"/>
          <w:lang w:eastAsia="en-GB"/>
        </w:rPr>
        <w:t>Report process and design</w:t>
      </w:r>
    </w:p>
    <w:p w:rsidR="005308C1" w:rsidRPr="005308C1" w:rsidRDefault="005308C1" w:rsidP="005308C1">
      <w:pPr>
        <w:ind w:left="360"/>
        <w:contextualSpacing/>
        <w:jc w:val="both"/>
        <w:rPr>
          <w:rFonts w:asciiTheme="minorHAnsi" w:eastAsiaTheme="minorEastAsia" w:hAnsiTheme="minorHAnsi"/>
          <w:b/>
          <w:u w:val="single"/>
          <w:lang w:eastAsia="en-GB"/>
        </w:rPr>
      </w:pPr>
    </w:p>
    <w:p w:rsidR="005308C1" w:rsidRPr="005308C1" w:rsidRDefault="005308C1" w:rsidP="005308C1">
      <w:pPr>
        <w:numPr>
          <w:ilvl w:val="1"/>
          <w:numId w:val="46"/>
        </w:numPr>
        <w:contextualSpacing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The KPI report is produced within four weeks of the end of the previous quarter.</w:t>
      </w:r>
    </w:p>
    <w:p w:rsidR="005308C1" w:rsidRPr="005308C1" w:rsidRDefault="005308C1" w:rsidP="005308C1">
      <w:pPr>
        <w:ind w:left="792"/>
        <w:contextualSpacing/>
        <w:jc w:val="both"/>
        <w:rPr>
          <w:rFonts w:asciiTheme="minorHAnsi" w:eastAsiaTheme="minorEastAsia" w:hAnsiTheme="minorHAnsi"/>
          <w:lang w:eastAsia="en-GB"/>
        </w:rPr>
      </w:pPr>
    </w:p>
    <w:p w:rsidR="005308C1" w:rsidRPr="005308C1" w:rsidRDefault="005308C1" w:rsidP="005308C1">
      <w:pPr>
        <w:numPr>
          <w:ilvl w:val="1"/>
          <w:numId w:val="46"/>
        </w:numPr>
        <w:contextualSpacing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The RAG status generally shows a point on the total spectrum between red and green rather than a ‘stark’ Red, Amber, Green. Therefore if the target is 95% but performance is 94% this is reflected by a lighter shade of green rather than a ‘straight’ Amber</w:t>
      </w:r>
    </w:p>
    <w:p w:rsidR="005308C1" w:rsidRPr="005308C1" w:rsidRDefault="005308C1" w:rsidP="005308C1">
      <w:pPr>
        <w:ind w:left="720"/>
        <w:contextualSpacing/>
        <w:rPr>
          <w:rFonts w:asciiTheme="minorHAnsi" w:eastAsiaTheme="minorEastAsia" w:hAnsiTheme="minorHAnsi"/>
          <w:lang w:eastAsia="en-GB"/>
        </w:rPr>
      </w:pPr>
    </w:p>
    <w:p w:rsidR="005308C1" w:rsidRPr="005308C1" w:rsidRDefault="005308C1" w:rsidP="005308C1">
      <w:pPr>
        <w:numPr>
          <w:ilvl w:val="1"/>
          <w:numId w:val="46"/>
        </w:numPr>
        <w:contextualSpacing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 xml:space="preserve">Reporting periods range from monthly, for operational and finance data to annual e.g. results of perception audit. </w:t>
      </w:r>
    </w:p>
    <w:p w:rsidR="005308C1" w:rsidRPr="005308C1" w:rsidRDefault="005308C1" w:rsidP="005308C1">
      <w:pPr>
        <w:ind w:left="720"/>
        <w:contextualSpacing/>
        <w:rPr>
          <w:rFonts w:asciiTheme="minorHAnsi" w:eastAsiaTheme="minorEastAsia" w:hAnsiTheme="minorHAnsi"/>
          <w:lang w:eastAsia="en-GB"/>
        </w:rPr>
      </w:pPr>
    </w:p>
    <w:p w:rsidR="005308C1" w:rsidRPr="005308C1" w:rsidRDefault="005308C1" w:rsidP="005308C1">
      <w:pPr>
        <w:numPr>
          <w:ilvl w:val="1"/>
          <w:numId w:val="46"/>
        </w:numPr>
        <w:contextualSpacing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In terms of operational data, far more detailed analysis is made available to managers on a monthly basis, including breakdown of performance by centre so that necessary interventions can be made to address issues that data had indicated.</w:t>
      </w:r>
    </w:p>
    <w:p w:rsidR="005308C1" w:rsidRPr="005308C1" w:rsidRDefault="005308C1" w:rsidP="005308C1">
      <w:pPr>
        <w:ind w:left="720"/>
        <w:contextualSpacing/>
        <w:rPr>
          <w:rFonts w:asciiTheme="minorHAnsi" w:eastAsiaTheme="minorEastAsia" w:hAnsiTheme="minorHAnsi"/>
          <w:lang w:eastAsia="en-GB"/>
        </w:rPr>
      </w:pPr>
    </w:p>
    <w:p w:rsidR="005308C1" w:rsidRPr="005308C1" w:rsidRDefault="005308C1" w:rsidP="005308C1">
      <w:pPr>
        <w:numPr>
          <w:ilvl w:val="1"/>
          <w:numId w:val="46"/>
        </w:numPr>
        <w:contextualSpacing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Comments by Directors for each period are recorded in the grey columns to the right of the spreadsheet. This gives the reader any background information on a result, particularly if there is a significant increase or dip in performance.</w:t>
      </w:r>
    </w:p>
    <w:p w:rsidR="005308C1" w:rsidRPr="005308C1" w:rsidRDefault="005308C1" w:rsidP="005308C1">
      <w:pPr>
        <w:ind w:left="720"/>
        <w:contextualSpacing/>
        <w:rPr>
          <w:rFonts w:asciiTheme="minorHAnsi" w:eastAsiaTheme="minorEastAsia" w:hAnsiTheme="minorHAnsi"/>
          <w:lang w:eastAsia="en-GB"/>
        </w:rPr>
      </w:pPr>
    </w:p>
    <w:p w:rsidR="005308C1" w:rsidRPr="005308C1" w:rsidRDefault="005308C1" w:rsidP="005308C1">
      <w:pPr>
        <w:numPr>
          <w:ilvl w:val="0"/>
          <w:numId w:val="46"/>
        </w:numPr>
        <w:contextualSpacing/>
        <w:jc w:val="both"/>
        <w:rPr>
          <w:rFonts w:asciiTheme="minorHAnsi" w:eastAsiaTheme="minorEastAsia" w:hAnsiTheme="minorHAnsi"/>
          <w:b/>
          <w:u w:val="single"/>
          <w:lang w:eastAsia="en-GB"/>
        </w:rPr>
      </w:pPr>
      <w:r w:rsidRPr="005308C1">
        <w:rPr>
          <w:rFonts w:asciiTheme="minorHAnsi" w:eastAsiaTheme="minorEastAsia" w:hAnsiTheme="minorHAnsi"/>
          <w:b/>
          <w:u w:val="single"/>
          <w:lang w:eastAsia="en-GB"/>
        </w:rPr>
        <w:t>Perception Audit</w:t>
      </w:r>
    </w:p>
    <w:p w:rsidR="005308C1" w:rsidRPr="005308C1" w:rsidRDefault="005308C1" w:rsidP="005308C1">
      <w:pPr>
        <w:ind w:left="360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</w:p>
    <w:p w:rsidR="005308C1" w:rsidRPr="005308C1" w:rsidRDefault="005308C1" w:rsidP="005308C1">
      <w:pPr>
        <w:numPr>
          <w:ilvl w:val="1"/>
          <w:numId w:val="46"/>
        </w:numPr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There are a number of references to the perception audit within the reporting spreadsheet, the results of the audit, presented to the board at this meeting, will offer a comprehensive external view on the performance of the HRA and will also act as a baseline from which future performance can be judged</w:t>
      </w:r>
    </w:p>
    <w:p w:rsidR="005308C1" w:rsidRPr="005308C1" w:rsidRDefault="005308C1" w:rsidP="005308C1">
      <w:pPr>
        <w:ind w:left="792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</w:p>
    <w:p w:rsidR="005308C1" w:rsidRDefault="005308C1" w:rsidP="00E15300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Theme="minorHAnsi" w:eastAsiaTheme="minorEastAsia" w:hAnsiTheme="minorHAnsi"/>
          <w:b/>
          <w:u w:val="single"/>
          <w:lang w:eastAsia="en-GB"/>
        </w:rPr>
      </w:pPr>
      <w:r w:rsidRPr="005308C1">
        <w:rPr>
          <w:rFonts w:asciiTheme="minorHAnsi" w:eastAsiaTheme="minorEastAsia" w:hAnsiTheme="minorHAnsi"/>
          <w:b/>
          <w:u w:val="single"/>
          <w:lang w:eastAsia="en-GB"/>
        </w:rPr>
        <w:t>Headlines for 2014/15 Q3 Report</w:t>
      </w:r>
    </w:p>
    <w:p w:rsidR="00E15300" w:rsidRDefault="00E15300" w:rsidP="00AB35FE">
      <w:pPr>
        <w:spacing w:after="0" w:line="240" w:lineRule="auto"/>
        <w:contextualSpacing/>
        <w:jc w:val="both"/>
        <w:rPr>
          <w:rFonts w:asciiTheme="minorHAnsi" w:eastAsiaTheme="minorEastAsia" w:hAnsiTheme="minorHAnsi"/>
          <w:b/>
          <w:u w:val="single"/>
          <w:lang w:eastAsia="en-GB"/>
        </w:rPr>
      </w:pPr>
    </w:p>
    <w:p w:rsidR="00AB35FE" w:rsidRPr="00AB35FE" w:rsidRDefault="00AB35FE" w:rsidP="00AB35FE">
      <w:pPr>
        <w:pStyle w:val="ListParagraph"/>
        <w:numPr>
          <w:ilvl w:val="1"/>
          <w:numId w:val="46"/>
        </w:numPr>
        <w:spacing w:line="240" w:lineRule="auto"/>
        <w:contextualSpacing/>
        <w:jc w:val="both"/>
        <w:rPr>
          <w:rFonts w:asciiTheme="minorHAnsi" w:eastAsiaTheme="minorEastAsia" w:hAnsiTheme="minorHAnsi"/>
          <w:b/>
          <w:lang w:eastAsia="en-GB"/>
        </w:rPr>
      </w:pPr>
      <w:r w:rsidRPr="00AB35FE">
        <w:rPr>
          <w:rFonts w:asciiTheme="minorHAnsi" w:eastAsiaTheme="minorEastAsia" w:hAnsiTheme="minorHAnsi"/>
          <w:b/>
          <w:lang w:eastAsia="en-GB"/>
        </w:rPr>
        <w:t>Achievements</w:t>
      </w:r>
    </w:p>
    <w:p w:rsidR="00AB35FE" w:rsidRDefault="00AB35FE" w:rsidP="00E15300">
      <w:pPr>
        <w:spacing w:after="0" w:line="240" w:lineRule="auto"/>
        <w:jc w:val="both"/>
        <w:rPr>
          <w:rFonts w:asciiTheme="minorHAnsi" w:eastAsiaTheme="minorEastAsia" w:hAnsiTheme="minorHAnsi"/>
          <w:i/>
          <w:lang w:eastAsia="en-GB"/>
        </w:rPr>
      </w:pPr>
    </w:p>
    <w:p w:rsidR="005308C1" w:rsidRPr="005308C1" w:rsidRDefault="005308C1" w:rsidP="00AB35FE">
      <w:pPr>
        <w:spacing w:after="0" w:line="240" w:lineRule="auto"/>
        <w:ind w:firstLine="360"/>
        <w:jc w:val="both"/>
        <w:rPr>
          <w:rFonts w:asciiTheme="minorHAnsi" w:eastAsiaTheme="minorEastAsia" w:hAnsiTheme="minorHAnsi"/>
          <w:i/>
          <w:lang w:eastAsia="en-GB"/>
        </w:rPr>
      </w:pPr>
      <w:r w:rsidRPr="005308C1">
        <w:rPr>
          <w:rFonts w:asciiTheme="minorHAnsi" w:eastAsiaTheme="minorEastAsia" w:hAnsiTheme="minorHAnsi"/>
          <w:i/>
          <w:lang w:eastAsia="en-GB"/>
        </w:rPr>
        <w:t>Ethical Review</w:t>
      </w:r>
      <w:r w:rsidR="00BB4889">
        <w:rPr>
          <w:rFonts w:asciiTheme="minorHAnsi" w:eastAsiaTheme="minorEastAsia" w:hAnsiTheme="minorHAnsi"/>
          <w:i/>
          <w:lang w:eastAsia="en-GB"/>
        </w:rPr>
        <w:t xml:space="preserve"> (A1a-A1f)</w:t>
      </w:r>
    </w:p>
    <w:p w:rsidR="005308C1" w:rsidRPr="005308C1" w:rsidRDefault="005308C1" w:rsidP="00E153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Overall operations (apart from London) continue to meet mandatory targets</w:t>
      </w:r>
    </w:p>
    <w:p w:rsidR="005308C1" w:rsidRPr="00E15300" w:rsidRDefault="005308C1" w:rsidP="00E153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Overall centres remain close to achieving ‘stretch’ targets and should be noted that the Nottingham and Jarrow centres have achieved the stretch target of 28 days for 95% of amendments to receive a decision and London’s performance has much improved.</w:t>
      </w:r>
    </w:p>
    <w:p w:rsidR="00E15300" w:rsidRPr="005308C1" w:rsidRDefault="00E15300" w:rsidP="00E15300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</w:p>
    <w:p w:rsidR="005308C1" w:rsidRPr="005308C1" w:rsidRDefault="005308C1" w:rsidP="00AB35FE">
      <w:pPr>
        <w:spacing w:after="0" w:line="240" w:lineRule="auto"/>
        <w:ind w:firstLine="360"/>
        <w:jc w:val="both"/>
        <w:rPr>
          <w:rFonts w:asciiTheme="minorHAnsi" w:eastAsiaTheme="minorEastAsia" w:hAnsiTheme="minorHAnsi"/>
          <w:i/>
          <w:lang w:eastAsia="en-GB"/>
        </w:rPr>
      </w:pPr>
      <w:r w:rsidRPr="005308C1">
        <w:rPr>
          <w:rFonts w:asciiTheme="minorHAnsi" w:eastAsiaTheme="minorEastAsia" w:hAnsiTheme="minorHAnsi"/>
          <w:i/>
          <w:lang w:eastAsia="en-GB"/>
        </w:rPr>
        <w:t>Confidentiality Advisory Group</w:t>
      </w:r>
      <w:r w:rsidR="00BB4889">
        <w:rPr>
          <w:rFonts w:asciiTheme="minorHAnsi" w:eastAsiaTheme="minorEastAsia" w:hAnsiTheme="minorHAnsi"/>
          <w:i/>
          <w:lang w:eastAsia="en-GB"/>
        </w:rPr>
        <w:t xml:space="preserve"> (A1g –A1i)</w:t>
      </w:r>
    </w:p>
    <w:p w:rsidR="005308C1" w:rsidRPr="00E15300" w:rsidRDefault="005308C1" w:rsidP="00E153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The CAG service has now met its 75% target</w:t>
      </w:r>
      <w:r w:rsidR="00AB35FE">
        <w:rPr>
          <w:rFonts w:asciiTheme="minorHAnsi" w:eastAsiaTheme="minorEastAsia" w:hAnsiTheme="minorHAnsi"/>
          <w:lang w:eastAsia="en-GB"/>
        </w:rPr>
        <w:t>s</w:t>
      </w:r>
      <w:r w:rsidRPr="005308C1">
        <w:rPr>
          <w:rFonts w:asciiTheme="minorHAnsi" w:eastAsiaTheme="minorEastAsia" w:hAnsiTheme="minorHAnsi"/>
          <w:lang w:eastAsia="en-GB"/>
        </w:rPr>
        <w:t xml:space="preserve"> for each month of the last quarter</w:t>
      </w:r>
    </w:p>
    <w:p w:rsidR="00E15300" w:rsidRPr="005308C1" w:rsidRDefault="00E15300" w:rsidP="00E15300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</w:p>
    <w:p w:rsidR="005308C1" w:rsidRPr="005308C1" w:rsidRDefault="005308C1" w:rsidP="00AB35FE">
      <w:pPr>
        <w:spacing w:after="0" w:line="240" w:lineRule="auto"/>
        <w:ind w:firstLine="360"/>
        <w:jc w:val="both"/>
        <w:rPr>
          <w:rFonts w:asciiTheme="minorHAnsi" w:eastAsiaTheme="minorEastAsia" w:hAnsiTheme="minorHAnsi"/>
          <w:i/>
          <w:lang w:eastAsia="en-GB"/>
        </w:rPr>
      </w:pPr>
      <w:r w:rsidRPr="005308C1">
        <w:rPr>
          <w:rFonts w:asciiTheme="minorHAnsi" w:eastAsiaTheme="minorEastAsia" w:hAnsiTheme="minorHAnsi"/>
          <w:i/>
          <w:lang w:eastAsia="en-GB"/>
        </w:rPr>
        <w:t>Supporting systems and procedures</w:t>
      </w:r>
    </w:p>
    <w:p w:rsidR="005308C1" w:rsidRPr="005308C1" w:rsidRDefault="00BB4889" w:rsidP="00E153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  <w:r>
        <w:rPr>
          <w:rFonts w:asciiTheme="minorHAnsi" w:eastAsiaTheme="minorEastAsia" w:hAnsiTheme="minorHAnsi"/>
          <w:lang w:eastAsia="en-GB"/>
        </w:rPr>
        <w:t xml:space="preserve">(A3a – A3e) </w:t>
      </w:r>
      <w:r w:rsidR="005308C1" w:rsidRPr="005308C1">
        <w:rPr>
          <w:rFonts w:asciiTheme="minorHAnsi" w:eastAsiaTheme="minorEastAsia" w:hAnsiTheme="minorHAnsi"/>
          <w:lang w:eastAsia="en-GB"/>
        </w:rPr>
        <w:t>Key system availability continues to meet contractual targets</w:t>
      </w:r>
    </w:p>
    <w:p w:rsidR="005308C1" w:rsidRPr="005308C1" w:rsidRDefault="00BB4889" w:rsidP="00E153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  <w:r>
        <w:rPr>
          <w:rFonts w:asciiTheme="minorHAnsi" w:eastAsiaTheme="minorEastAsia" w:hAnsiTheme="minorHAnsi"/>
          <w:lang w:eastAsia="en-GB"/>
        </w:rPr>
        <w:t xml:space="preserve">(B2a) </w:t>
      </w:r>
      <w:r w:rsidR="005308C1" w:rsidRPr="005308C1">
        <w:rPr>
          <w:rFonts w:asciiTheme="minorHAnsi" w:eastAsiaTheme="minorEastAsia" w:hAnsiTheme="minorHAnsi"/>
          <w:lang w:eastAsia="en-GB"/>
        </w:rPr>
        <w:t>Requests for advice continue to exceed target of 90% of being met in four working days</w:t>
      </w:r>
    </w:p>
    <w:p w:rsidR="005308C1" w:rsidRPr="005308C1" w:rsidRDefault="00BB4889" w:rsidP="00E153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  <w:r>
        <w:rPr>
          <w:rFonts w:asciiTheme="minorHAnsi" w:eastAsiaTheme="minorEastAsia" w:hAnsiTheme="minorHAnsi"/>
          <w:lang w:eastAsia="en-GB"/>
        </w:rPr>
        <w:t xml:space="preserve">(D5b – D5c) </w:t>
      </w:r>
      <w:r w:rsidR="005308C1" w:rsidRPr="005308C1">
        <w:rPr>
          <w:rFonts w:asciiTheme="minorHAnsi" w:eastAsiaTheme="minorEastAsia" w:hAnsiTheme="minorHAnsi"/>
          <w:lang w:eastAsia="en-GB"/>
        </w:rPr>
        <w:t>All FOI’s acknowledged and responded to well within target times</w:t>
      </w:r>
    </w:p>
    <w:p w:rsidR="005308C1" w:rsidRPr="005308C1" w:rsidRDefault="00BB4889" w:rsidP="00E153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  <w:r>
        <w:rPr>
          <w:rFonts w:asciiTheme="minorHAnsi" w:eastAsiaTheme="minorEastAsia" w:hAnsiTheme="minorHAnsi"/>
          <w:lang w:eastAsia="en-GB"/>
        </w:rPr>
        <w:t xml:space="preserve">(C1a – C1f) </w:t>
      </w:r>
      <w:r w:rsidR="005308C1" w:rsidRPr="005308C1">
        <w:rPr>
          <w:rFonts w:asciiTheme="minorHAnsi" w:eastAsiaTheme="minorEastAsia" w:hAnsiTheme="minorHAnsi"/>
          <w:lang w:eastAsia="en-GB"/>
        </w:rPr>
        <w:t>Delivery of HRA Approval Programme remains on track</w:t>
      </w:r>
    </w:p>
    <w:p w:rsidR="005308C1" w:rsidRPr="00E15300" w:rsidRDefault="00BB4889" w:rsidP="00E153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  <w:r>
        <w:rPr>
          <w:rFonts w:asciiTheme="minorHAnsi" w:eastAsiaTheme="minorEastAsia" w:hAnsiTheme="minorHAnsi"/>
          <w:lang w:eastAsia="en-GB"/>
        </w:rPr>
        <w:t xml:space="preserve">(E1a – E1d) </w:t>
      </w:r>
      <w:r w:rsidR="005308C1" w:rsidRPr="005308C1">
        <w:rPr>
          <w:rFonts w:asciiTheme="minorHAnsi" w:eastAsiaTheme="minorEastAsia" w:hAnsiTheme="minorHAnsi"/>
          <w:lang w:eastAsia="en-GB"/>
        </w:rPr>
        <w:t>All invoice payment targets being met</w:t>
      </w:r>
    </w:p>
    <w:p w:rsidR="00E15300" w:rsidRPr="005308C1" w:rsidRDefault="00E15300" w:rsidP="00E15300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</w:p>
    <w:p w:rsidR="005308C1" w:rsidRPr="005308C1" w:rsidRDefault="005308C1" w:rsidP="00AB35FE">
      <w:pPr>
        <w:spacing w:after="0" w:line="240" w:lineRule="auto"/>
        <w:ind w:firstLine="360"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Customer Feedback</w:t>
      </w:r>
    </w:p>
    <w:p w:rsidR="005308C1" w:rsidRPr="00AB35FE" w:rsidRDefault="00BB4889" w:rsidP="00AB35F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  <w:sz w:val="20"/>
          <w:szCs w:val="20"/>
          <w:u w:val="single"/>
          <w:lang w:eastAsia="en-GB"/>
        </w:rPr>
      </w:pPr>
      <w:r>
        <w:rPr>
          <w:rFonts w:asciiTheme="minorHAnsi" w:eastAsiaTheme="minorEastAsia" w:hAnsiTheme="minorHAnsi"/>
          <w:lang w:eastAsia="en-GB"/>
        </w:rPr>
        <w:t xml:space="preserve">(B3c) </w:t>
      </w:r>
      <w:r w:rsidR="005308C1" w:rsidRPr="005308C1">
        <w:rPr>
          <w:rFonts w:asciiTheme="minorHAnsi" w:eastAsiaTheme="minorEastAsia" w:hAnsiTheme="minorHAnsi"/>
          <w:lang w:eastAsia="en-GB"/>
        </w:rPr>
        <w:t>Over 75% of users responding to HRA User Survey thought that the REC/CAG review process had added value to their applications</w:t>
      </w:r>
      <w:r w:rsidR="00AB35FE" w:rsidRPr="00AB35FE">
        <w:rPr>
          <w:rFonts w:asciiTheme="minorHAnsi" w:eastAsiaTheme="minorEastAsia" w:hAnsiTheme="minorHAnsi"/>
          <w:lang w:eastAsia="en-GB"/>
        </w:rPr>
        <w:t xml:space="preserve"> </w:t>
      </w:r>
      <w:r w:rsidR="00AB35FE">
        <w:rPr>
          <w:rFonts w:asciiTheme="minorHAnsi" w:eastAsiaTheme="minorEastAsia" w:hAnsiTheme="minorHAnsi"/>
          <w:lang w:eastAsia="en-GB"/>
        </w:rPr>
        <w:t>(</w:t>
      </w:r>
      <w:r w:rsidR="005308C1" w:rsidRPr="005308C1">
        <w:rPr>
          <w:rFonts w:asciiTheme="minorHAnsi" w:eastAsiaTheme="minorEastAsia" w:hAnsiTheme="minorHAnsi"/>
          <w:sz w:val="20"/>
          <w:szCs w:val="20"/>
          <w:lang w:eastAsia="en-GB"/>
        </w:rPr>
        <w:t>Results to perception survey will be presented at this meeting</w:t>
      </w:r>
      <w:r w:rsidR="00AB35FE">
        <w:rPr>
          <w:rFonts w:asciiTheme="minorHAnsi" w:eastAsiaTheme="minorEastAsia" w:hAnsiTheme="minorHAnsi"/>
          <w:sz w:val="20"/>
          <w:szCs w:val="20"/>
          <w:lang w:eastAsia="en-GB"/>
        </w:rPr>
        <w:t>)</w:t>
      </w:r>
    </w:p>
    <w:p w:rsidR="00E15300" w:rsidRPr="005308C1" w:rsidRDefault="00E15300" w:rsidP="00E15300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</w:p>
    <w:p w:rsidR="005308C1" w:rsidRPr="005308C1" w:rsidRDefault="005308C1" w:rsidP="00AB35FE">
      <w:pPr>
        <w:spacing w:after="0" w:line="240" w:lineRule="auto"/>
        <w:ind w:firstLine="360"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Transparency</w:t>
      </w:r>
    </w:p>
    <w:p w:rsidR="005308C1" w:rsidRPr="005308C1" w:rsidRDefault="00BB4889" w:rsidP="00E15300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Theme="minorHAnsi" w:eastAsiaTheme="minorEastAsia" w:hAnsiTheme="minorHAnsi"/>
          <w:u w:val="single"/>
          <w:lang w:eastAsia="en-GB"/>
        </w:rPr>
      </w:pPr>
      <w:r>
        <w:rPr>
          <w:rFonts w:asciiTheme="minorHAnsi" w:eastAsiaTheme="minorEastAsia" w:hAnsiTheme="minorHAnsi"/>
          <w:lang w:eastAsia="en-GB"/>
        </w:rPr>
        <w:t xml:space="preserve">(A2a) </w:t>
      </w:r>
      <w:r w:rsidR="005308C1" w:rsidRPr="005308C1">
        <w:rPr>
          <w:rFonts w:asciiTheme="minorHAnsi" w:eastAsiaTheme="minorEastAsia" w:hAnsiTheme="minorHAnsi"/>
          <w:lang w:eastAsia="en-GB"/>
        </w:rPr>
        <w:t>100% of research summaries published within 90 days of favourable opinion being received</w:t>
      </w:r>
    </w:p>
    <w:p w:rsidR="005308C1" w:rsidRDefault="00BB4889" w:rsidP="00E15300">
      <w:pPr>
        <w:numPr>
          <w:ilvl w:val="0"/>
          <w:numId w:val="47"/>
        </w:numPr>
        <w:spacing w:after="0" w:line="240" w:lineRule="auto"/>
        <w:contextualSpacing/>
        <w:rPr>
          <w:rFonts w:asciiTheme="minorHAnsi" w:eastAsiaTheme="minorEastAsia" w:hAnsiTheme="minorHAnsi"/>
          <w:lang w:eastAsia="en-GB"/>
        </w:rPr>
      </w:pPr>
      <w:r>
        <w:rPr>
          <w:rFonts w:asciiTheme="minorHAnsi" w:eastAsiaTheme="minorEastAsia" w:hAnsiTheme="minorHAnsi"/>
          <w:lang w:eastAsia="en-GB"/>
        </w:rPr>
        <w:t xml:space="preserve">(D5f) </w:t>
      </w:r>
      <w:r w:rsidR="005308C1" w:rsidRPr="005308C1">
        <w:rPr>
          <w:rFonts w:asciiTheme="minorHAnsi" w:eastAsiaTheme="minorEastAsia" w:hAnsiTheme="minorHAnsi"/>
          <w:lang w:eastAsia="en-GB"/>
        </w:rPr>
        <w:t>All financial transparency requirements being met</w:t>
      </w:r>
    </w:p>
    <w:p w:rsidR="005308C1" w:rsidRPr="005308C1" w:rsidRDefault="005308C1" w:rsidP="00E15300">
      <w:pPr>
        <w:spacing w:after="0" w:line="240" w:lineRule="auto"/>
        <w:ind w:left="720"/>
        <w:contextualSpacing/>
        <w:rPr>
          <w:rFonts w:asciiTheme="minorHAnsi" w:eastAsiaTheme="minorEastAsia" w:hAnsiTheme="minorHAnsi"/>
          <w:lang w:eastAsia="en-GB"/>
        </w:rPr>
      </w:pPr>
    </w:p>
    <w:p w:rsidR="005308C1" w:rsidRDefault="005308C1" w:rsidP="00AB35FE">
      <w:pPr>
        <w:spacing w:after="0" w:line="240" w:lineRule="auto"/>
        <w:ind w:left="360"/>
        <w:jc w:val="both"/>
        <w:rPr>
          <w:rFonts w:asciiTheme="minorHAnsi" w:eastAsiaTheme="minorEastAsia" w:hAnsiTheme="minorHAnsi"/>
          <w:b/>
          <w:i/>
          <w:sz w:val="24"/>
          <w:szCs w:val="24"/>
          <w:lang w:eastAsia="en-GB"/>
        </w:rPr>
      </w:pPr>
      <w:r w:rsidRPr="005308C1">
        <w:rPr>
          <w:rFonts w:asciiTheme="minorHAnsi" w:eastAsiaTheme="minorEastAsia" w:hAnsiTheme="minorHAnsi"/>
          <w:b/>
          <w:i/>
          <w:sz w:val="24"/>
          <w:szCs w:val="24"/>
          <w:lang w:eastAsia="en-GB"/>
        </w:rPr>
        <w:t>It is worth noting that, overall, December 2014 represented the best performing month for the operations team</w:t>
      </w:r>
    </w:p>
    <w:p w:rsidR="00AB35FE" w:rsidRDefault="00AB35FE" w:rsidP="00E15300">
      <w:pPr>
        <w:spacing w:after="0" w:line="240" w:lineRule="auto"/>
        <w:jc w:val="both"/>
        <w:rPr>
          <w:rFonts w:asciiTheme="minorHAnsi" w:eastAsiaTheme="minorEastAsia" w:hAnsiTheme="minorHAnsi"/>
          <w:b/>
          <w:i/>
          <w:sz w:val="24"/>
          <w:szCs w:val="24"/>
          <w:lang w:eastAsia="en-GB"/>
        </w:rPr>
      </w:pPr>
    </w:p>
    <w:p w:rsidR="005308C1" w:rsidRDefault="005308C1" w:rsidP="00AB35FE">
      <w:pPr>
        <w:pStyle w:val="ListParagraph"/>
        <w:numPr>
          <w:ilvl w:val="1"/>
          <w:numId w:val="46"/>
        </w:numPr>
        <w:spacing w:before="0" w:line="240" w:lineRule="auto"/>
        <w:jc w:val="both"/>
        <w:rPr>
          <w:rFonts w:asciiTheme="minorHAnsi" w:eastAsiaTheme="minorEastAsia" w:hAnsiTheme="minorHAnsi"/>
          <w:b/>
          <w:lang w:eastAsia="en-GB"/>
        </w:rPr>
      </w:pPr>
      <w:r w:rsidRPr="00AB35FE">
        <w:rPr>
          <w:rFonts w:asciiTheme="minorHAnsi" w:eastAsiaTheme="minorEastAsia" w:hAnsiTheme="minorHAnsi"/>
          <w:b/>
          <w:lang w:eastAsia="en-GB"/>
        </w:rPr>
        <w:t>Near misses</w:t>
      </w:r>
    </w:p>
    <w:p w:rsidR="00AB35FE" w:rsidRDefault="00AB35FE" w:rsidP="00AB35FE">
      <w:pPr>
        <w:pStyle w:val="ListParagraph"/>
        <w:numPr>
          <w:ilvl w:val="0"/>
          <w:numId w:val="0"/>
        </w:numPr>
        <w:spacing w:before="0" w:line="240" w:lineRule="auto"/>
        <w:ind w:left="792"/>
        <w:jc w:val="both"/>
        <w:rPr>
          <w:rFonts w:asciiTheme="minorHAnsi" w:eastAsiaTheme="minorEastAsia" w:hAnsiTheme="minorHAnsi"/>
          <w:b/>
          <w:lang w:eastAsia="en-GB"/>
        </w:rPr>
      </w:pPr>
    </w:p>
    <w:p w:rsidR="005308C1" w:rsidRPr="00E15300" w:rsidRDefault="00FC1390" w:rsidP="00AB35FE">
      <w:pPr>
        <w:pStyle w:val="ListParagraph"/>
        <w:numPr>
          <w:ilvl w:val="0"/>
          <w:numId w:val="48"/>
        </w:numPr>
        <w:spacing w:before="0" w:line="240" w:lineRule="auto"/>
        <w:contextualSpacing/>
        <w:jc w:val="both"/>
        <w:rPr>
          <w:rFonts w:asciiTheme="minorHAnsi" w:eastAsiaTheme="minorEastAsia" w:hAnsiTheme="minorHAnsi"/>
          <w:lang w:eastAsia="en-GB"/>
        </w:rPr>
      </w:pPr>
      <w:r>
        <w:rPr>
          <w:rFonts w:asciiTheme="minorHAnsi" w:eastAsiaTheme="minorEastAsia" w:hAnsiTheme="minorHAnsi"/>
          <w:lang w:eastAsia="en-GB"/>
        </w:rPr>
        <w:t xml:space="preserve">(E1g) </w:t>
      </w:r>
      <w:r w:rsidR="005308C1" w:rsidRPr="00E15300">
        <w:rPr>
          <w:rFonts w:asciiTheme="minorHAnsi" w:eastAsiaTheme="minorEastAsia" w:hAnsiTheme="minorHAnsi"/>
          <w:lang w:eastAsia="en-GB"/>
        </w:rPr>
        <w:t xml:space="preserve">4 working day target for </w:t>
      </w:r>
      <w:r w:rsidR="006F43C1">
        <w:rPr>
          <w:rFonts w:asciiTheme="minorHAnsi" w:eastAsiaTheme="minorEastAsia" w:hAnsiTheme="minorHAnsi"/>
          <w:lang w:eastAsia="en-GB"/>
        </w:rPr>
        <w:t xml:space="preserve">Oct &amp; Nov </w:t>
      </w:r>
      <w:r w:rsidR="005308C1" w:rsidRPr="00E15300">
        <w:rPr>
          <w:rFonts w:asciiTheme="minorHAnsi" w:eastAsiaTheme="minorEastAsia" w:hAnsiTheme="minorHAnsi"/>
          <w:lang w:eastAsia="en-GB"/>
        </w:rPr>
        <w:t>month end fin</w:t>
      </w:r>
      <w:r w:rsidR="006F43C1">
        <w:rPr>
          <w:rFonts w:asciiTheme="minorHAnsi" w:eastAsiaTheme="minorEastAsia" w:hAnsiTheme="minorHAnsi"/>
          <w:lang w:eastAsia="en-GB"/>
        </w:rPr>
        <w:t>ancial reporting not quite met.</w:t>
      </w:r>
    </w:p>
    <w:p w:rsidR="005308C1" w:rsidRPr="00E15300" w:rsidRDefault="005308C1" w:rsidP="00AB35FE">
      <w:pPr>
        <w:pStyle w:val="ListParagraph"/>
        <w:numPr>
          <w:ilvl w:val="0"/>
          <w:numId w:val="0"/>
        </w:numPr>
        <w:spacing w:before="0" w:line="240" w:lineRule="auto"/>
        <w:ind w:left="720"/>
        <w:contextualSpacing/>
        <w:jc w:val="both"/>
        <w:rPr>
          <w:rFonts w:asciiTheme="minorHAnsi" w:eastAsiaTheme="minorEastAsia" w:hAnsiTheme="minorHAnsi"/>
          <w:sz w:val="16"/>
          <w:szCs w:val="16"/>
          <w:lang w:eastAsia="en-GB"/>
        </w:rPr>
      </w:pPr>
      <w:r w:rsidRPr="00E15300">
        <w:rPr>
          <w:rFonts w:asciiTheme="minorHAnsi" w:eastAsiaTheme="minorEastAsia" w:hAnsiTheme="minorHAnsi"/>
          <w:sz w:val="16"/>
          <w:szCs w:val="16"/>
          <w:lang w:eastAsia="en-GB"/>
        </w:rPr>
        <w:t>Context – in the NHS – the average closure time for financial reports is 8 working days (from benchmarking information), so achieving a normal month end in 4 working days is a strong result.  Achieving a close</w:t>
      </w:r>
      <w:r w:rsidR="006F43C1">
        <w:rPr>
          <w:rFonts w:asciiTheme="minorHAnsi" w:eastAsiaTheme="minorEastAsia" w:hAnsiTheme="minorHAnsi"/>
          <w:sz w:val="16"/>
          <w:szCs w:val="16"/>
          <w:lang w:eastAsia="en-GB"/>
        </w:rPr>
        <w:t xml:space="preserve"> in December </w:t>
      </w:r>
      <w:r w:rsidRPr="00E15300">
        <w:rPr>
          <w:rFonts w:asciiTheme="minorHAnsi" w:eastAsiaTheme="minorEastAsia" w:hAnsiTheme="minorHAnsi"/>
          <w:sz w:val="16"/>
          <w:szCs w:val="16"/>
          <w:lang w:eastAsia="en-GB"/>
        </w:rPr>
        <w:t xml:space="preserve">when a full set of accounts is required within 6 working days represents a significant </w:t>
      </w:r>
      <w:r w:rsidR="006F43C1">
        <w:rPr>
          <w:rFonts w:asciiTheme="minorHAnsi" w:eastAsiaTheme="minorEastAsia" w:hAnsiTheme="minorHAnsi"/>
          <w:sz w:val="16"/>
          <w:szCs w:val="16"/>
          <w:lang w:eastAsia="en-GB"/>
        </w:rPr>
        <w:t>achievement</w:t>
      </w:r>
      <w:r w:rsidRPr="00E15300">
        <w:rPr>
          <w:rFonts w:asciiTheme="minorHAnsi" w:eastAsiaTheme="minorEastAsia" w:hAnsiTheme="minorHAnsi"/>
          <w:sz w:val="16"/>
          <w:szCs w:val="16"/>
          <w:lang w:eastAsia="en-GB"/>
        </w:rPr>
        <w:t>.</w:t>
      </w:r>
    </w:p>
    <w:p w:rsidR="005308C1" w:rsidRPr="005308C1" w:rsidRDefault="005308C1" w:rsidP="00AB35FE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/>
          <w:lang w:eastAsia="en-GB"/>
        </w:rPr>
      </w:pPr>
    </w:p>
    <w:p w:rsidR="005308C1" w:rsidRPr="00E15300" w:rsidRDefault="00FC1390" w:rsidP="00E15300">
      <w:pPr>
        <w:pStyle w:val="ListParagraph"/>
        <w:numPr>
          <w:ilvl w:val="0"/>
          <w:numId w:val="48"/>
        </w:numPr>
        <w:spacing w:line="240" w:lineRule="auto"/>
        <w:contextualSpacing/>
        <w:jc w:val="both"/>
        <w:rPr>
          <w:rFonts w:asciiTheme="minorHAnsi" w:eastAsiaTheme="minorEastAsia" w:hAnsiTheme="minorHAnsi"/>
          <w:lang w:eastAsia="en-GB"/>
        </w:rPr>
      </w:pPr>
      <w:r>
        <w:rPr>
          <w:rFonts w:asciiTheme="minorHAnsi" w:eastAsiaTheme="minorEastAsia" w:hAnsiTheme="minorHAnsi"/>
          <w:lang w:eastAsia="en-GB"/>
        </w:rPr>
        <w:t xml:space="preserve">(E2b) </w:t>
      </w:r>
      <w:r w:rsidR="005308C1" w:rsidRPr="00E15300">
        <w:rPr>
          <w:rFonts w:asciiTheme="minorHAnsi" w:eastAsiaTheme="minorEastAsia" w:hAnsiTheme="minorHAnsi"/>
          <w:lang w:eastAsia="en-GB"/>
        </w:rPr>
        <w:t>Sickness levels are above target of 2% but are down from 4.2% in October to 2.7% in December</w:t>
      </w:r>
    </w:p>
    <w:p w:rsidR="005308C1" w:rsidRPr="005308C1" w:rsidRDefault="005308C1" w:rsidP="005308C1">
      <w:pPr>
        <w:spacing w:after="0" w:line="240" w:lineRule="auto"/>
        <w:jc w:val="both"/>
        <w:rPr>
          <w:rFonts w:asciiTheme="minorHAnsi" w:eastAsiaTheme="minorEastAsia" w:hAnsiTheme="minorHAnsi"/>
          <w:lang w:eastAsia="en-GB"/>
        </w:rPr>
      </w:pPr>
    </w:p>
    <w:p w:rsidR="00B61CDD" w:rsidRDefault="00B61CDD" w:rsidP="005308C1">
      <w:pPr>
        <w:spacing w:after="0" w:line="240" w:lineRule="auto"/>
        <w:jc w:val="both"/>
        <w:rPr>
          <w:rFonts w:asciiTheme="minorHAnsi" w:eastAsiaTheme="minorEastAsia" w:hAnsiTheme="minorHAnsi"/>
          <w:lang w:eastAsia="en-GB"/>
        </w:rPr>
      </w:pPr>
    </w:p>
    <w:p w:rsidR="005308C1" w:rsidRPr="005308C1" w:rsidRDefault="005308C1" w:rsidP="005308C1">
      <w:pPr>
        <w:spacing w:after="0" w:line="240" w:lineRule="auto"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Ian Cook</w:t>
      </w:r>
    </w:p>
    <w:p w:rsidR="005308C1" w:rsidRPr="005308C1" w:rsidRDefault="005308C1" w:rsidP="005308C1">
      <w:pPr>
        <w:spacing w:after="0" w:line="240" w:lineRule="auto"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Director of Corporate Services</w:t>
      </w:r>
    </w:p>
    <w:p w:rsidR="005308C1" w:rsidRPr="005308C1" w:rsidRDefault="005308C1" w:rsidP="005308C1">
      <w:pPr>
        <w:spacing w:after="0" w:line="240" w:lineRule="auto"/>
        <w:jc w:val="both"/>
        <w:rPr>
          <w:rFonts w:asciiTheme="minorHAnsi" w:eastAsiaTheme="minorEastAsia" w:hAnsiTheme="minorHAnsi"/>
          <w:lang w:eastAsia="en-GB"/>
        </w:rPr>
      </w:pPr>
      <w:r w:rsidRPr="005308C1">
        <w:rPr>
          <w:rFonts w:asciiTheme="minorHAnsi" w:eastAsiaTheme="minorEastAsia" w:hAnsiTheme="minorHAnsi"/>
          <w:lang w:eastAsia="en-GB"/>
        </w:rPr>
        <w:t>February 11</w:t>
      </w:r>
      <w:r w:rsidRPr="005308C1">
        <w:rPr>
          <w:rFonts w:asciiTheme="minorHAnsi" w:eastAsiaTheme="minorEastAsia" w:hAnsiTheme="minorHAnsi"/>
          <w:vertAlign w:val="superscript"/>
          <w:lang w:eastAsia="en-GB"/>
        </w:rPr>
        <w:t>th</w:t>
      </w:r>
      <w:r w:rsidRPr="005308C1">
        <w:rPr>
          <w:rFonts w:asciiTheme="minorHAnsi" w:eastAsiaTheme="minorEastAsia" w:hAnsiTheme="minorHAnsi"/>
          <w:lang w:eastAsia="en-GB"/>
        </w:rPr>
        <w:t xml:space="preserve"> 2015</w:t>
      </w:r>
    </w:p>
    <w:p w:rsidR="005308C1" w:rsidRPr="00C90060" w:rsidRDefault="005308C1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5308C1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40B4"/>
    <w:multiLevelType w:val="hybridMultilevel"/>
    <w:tmpl w:val="3D00A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42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122FB"/>
    <w:multiLevelType w:val="hybridMultilevel"/>
    <w:tmpl w:val="662C1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61DD3"/>
    <w:multiLevelType w:val="hybridMultilevel"/>
    <w:tmpl w:val="A768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F73CE"/>
    <w:multiLevelType w:val="hybridMultilevel"/>
    <w:tmpl w:val="FF445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9"/>
  </w:num>
  <w:num w:numId="4">
    <w:abstractNumId w:val="14"/>
  </w:num>
  <w:num w:numId="5">
    <w:abstractNumId w:val="27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32"/>
  </w:num>
  <w:num w:numId="11">
    <w:abstractNumId w:val="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3"/>
  </w:num>
  <w:num w:numId="15">
    <w:abstractNumId w:val="9"/>
  </w:num>
  <w:num w:numId="16">
    <w:abstractNumId w:val="25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38"/>
  </w:num>
  <w:num w:numId="22">
    <w:abstractNumId w:val="21"/>
  </w:num>
  <w:num w:numId="23">
    <w:abstractNumId w:val="24"/>
  </w:num>
  <w:num w:numId="24">
    <w:abstractNumId w:val="7"/>
  </w:num>
  <w:num w:numId="25">
    <w:abstractNumId w:val="29"/>
  </w:num>
  <w:num w:numId="26">
    <w:abstractNumId w:val="42"/>
  </w:num>
  <w:num w:numId="27">
    <w:abstractNumId w:val="17"/>
  </w:num>
  <w:num w:numId="28">
    <w:abstractNumId w:val="36"/>
  </w:num>
  <w:num w:numId="29">
    <w:abstractNumId w:val="31"/>
  </w:num>
  <w:num w:numId="30">
    <w:abstractNumId w:val="13"/>
  </w:num>
  <w:num w:numId="31">
    <w:abstractNumId w:val="41"/>
  </w:num>
  <w:num w:numId="32">
    <w:abstractNumId w:val="16"/>
  </w:num>
  <w:num w:numId="33">
    <w:abstractNumId w:val="26"/>
  </w:num>
  <w:num w:numId="34">
    <w:abstractNumId w:val="46"/>
  </w:num>
  <w:num w:numId="35">
    <w:abstractNumId w:val="5"/>
  </w:num>
  <w:num w:numId="36">
    <w:abstractNumId w:val="8"/>
  </w:num>
  <w:num w:numId="37">
    <w:abstractNumId w:val="3"/>
  </w:num>
  <w:num w:numId="38">
    <w:abstractNumId w:val="20"/>
  </w:num>
  <w:num w:numId="39">
    <w:abstractNumId w:val="12"/>
  </w:num>
  <w:num w:numId="40">
    <w:abstractNumId w:val="15"/>
  </w:num>
  <w:num w:numId="41">
    <w:abstractNumId w:val="45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6"/>
  </w:num>
  <w:num w:numId="45">
    <w:abstractNumId w:val="40"/>
  </w:num>
  <w:num w:numId="46">
    <w:abstractNumId w:val="11"/>
  </w:num>
  <w:num w:numId="47">
    <w:abstractNumId w:val="3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6890"/>
    <w:rsid w:val="00077FB8"/>
    <w:rsid w:val="000805FF"/>
    <w:rsid w:val="00080CB0"/>
    <w:rsid w:val="00082E02"/>
    <w:rsid w:val="00087C21"/>
    <w:rsid w:val="00090D24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0401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B5DEC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E61EE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308C1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56EFF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43C1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83997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112A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35FE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1CDD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B4889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823AC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273E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5300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C1390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A37CE7-71C7-4CE9-8E26-7C01B799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9</cp:revision>
  <cp:lastPrinted>2013-01-08T15:55:00Z</cp:lastPrinted>
  <dcterms:created xsi:type="dcterms:W3CDTF">2015-02-11T07:42:00Z</dcterms:created>
  <dcterms:modified xsi:type="dcterms:W3CDTF">2015-02-11T11:42:00Z</dcterms:modified>
</cp:coreProperties>
</file>