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A4455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9</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DF3EE3" w:rsidRDefault="00A4455A"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H</w:t>
            </w:r>
            <w:bookmarkStart w:id="0" w:name="_GoBack"/>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E35BC8">
        <w:rPr>
          <w:rFonts w:asciiTheme="minorHAnsi" w:eastAsiaTheme="minorHAnsi" w:hAnsiTheme="minorHAnsi" w:cstheme="minorHAnsi"/>
          <w:b/>
          <w:sz w:val="44"/>
          <w:szCs w:val="44"/>
          <w:lang w:eastAsia="en-US"/>
        </w:rPr>
        <w:t xml:space="preserve">BOARD </w:t>
      </w:r>
      <w:r w:rsidRPr="00DF3EE3">
        <w:rPr>
          <w:rFonts w:asciiTheme="minorHAnsi" w:eastAsiaTheme="minorHAnsi" w:hAnsiTheme="minorHAnsi" w:cstheme="minorHAnsi"/>
          <w:b/>
          <w:sz w:val="44"/>
          <w:szCs w:val="44"/>
          <w:lang w:eastAsia="en-US"/>
        </w:rPr>
        <w:t>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E35BC8" w:rsidP="0018257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21</w:t>
            </w:r>
            <w:r w:rsidRPr="00E35BC8">
              <w:rPr>
                <w:rFonts w:asciiTheme="minorHAnsi" w:eastAsiaTheme="minorHAnsi" w:hAnsiTheme="minorHAnsi" w:cstheme="minorHAnsi"/>
                <w:vertAlign w:val="superscript"/>
                <w:lang w:eastAsia="en-US"/>
              </w:rPr>
              <w:t>st</w:t>
            </w:r>
            <w:r>
              <w:rPr>
                <w:rFonts w:asciiTheme="minorHAnsi" w:eastAsiaTheme="minorHAnsi" w:hAnsiTheme="minorHAnsi" w:cstheme="minorHAnsi"/>
                <w:lang w:eastAsia="en-US"/>
              </w:rPr>
              <w:t xml:space="preserve"> January 2015 </w:t>
            </w:r>
            <w:r w:rsidR="00B77711">
              <w:rPr>
                <w:rFonts w:asciiTheme="minorHAnsi" w:eastAsiaTheme="minorHAnsi" w:hAnsiTheme="minorHAnsi" w:cstheme="minorHAnsi"/>
                <w:lang w:eastAsia="en-US"/>
              </w:rPr>
              <w:t xml:space="preserve"> </w:t>
            </w:r>
            <w:r w:rsidRPr="00B77711">
              <w:rPr>
                <w:rFonts w:asciiTheme="minorHAnsi" w:eastAsiaTheme="minorHAnsi" w:hAnsiTheme="minorHAnsi" w:cstheme="minorHAnsi"/>
                <w:i/>
                <w:lang w:eastAsia="en-US"/>
              </w:rPr>
              <w:t xml:space="preserve">(EMT </w:t>
            </w:r>
            <w:r w:rsidR="00182577" w:rsidRPr="00B77711">
              <w:rPr>
                <w:rFonts w:asciiTheme="minorHAnsi" w:eastAsiaTheme="minorHAnsi" w:hAnsiTheme="minorHAnsi" w:cstheme="minorHAnsi"/>
                <w:i/>
                <w:lang w:eastAsia="en-US"/>
              </w:rPr>
              <w:t>22</w:t>
            </w:r>
            <w:r w:rsidR="00182577" w:rsidRPr="00B77711">
              <w:rPr>
                <w:rFonts w:asciiTheme="minorHAnsi" w:eastAsiaTheme="minorHAnsi" w:hAnsiTheme="minorHAnsi" w:cstheme="minorHAnsi"/>
                <w:i/>
                <w:vertAlign w:val="superscript"/>
                <w:lang w:eastAsia="en-US"/>
              </w:rPr>
              <w:t>nd</w:t>
            </w:r>
            <w:r w:rsidR="009E101F" w:rsidRPr="00B77711">
              <w:rPr>
                <w:rFonts w:asciiTheme="minorHAnsi" w:eastAsiaTheme="minorHAnsi" w:hAnsiTheme="minorHAnsi" w:cstheme="minorHAnsi"/>
                <w:i/>
                <w:lang w:eastAsia="en-US"/>
              </w:rPr>
              <w:t xml:space="preserve"> December 2014</w:t>
            </w:r>
            <w:r w:rsidRPr="00B77711">
              <w:rPr>
                <w:rFonts w:asciiTheme="minorHAnsi" w:eastAsiaTheme="minorHAnsi" w:hAnsiTheme="minorHAnsi" w:cstheme="minorHAnsi"/>
                <w:i/>
                <w:lang w:eastAsia="en-US"/>
              </w:rPr>
              <w:t>)</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06BAE">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643128">
              <w:rPr>
                <w:rFonts w:asciiTheme="minorHAnsi" w:hAnsiTheme="minorHAnsi" w:cstheme="minorHAnsi"/>
              </w:rPr>
              <w:t xml:space="preserve">as at </w:t>
            </w:r>
            <w:r w:rsidR="00182577">
              <w:rPr>
                <w:rFonts w:asciiTheme="minorHAnsi" w:hAnsiTheme="minorHAnsi" w:cstheme="minorHAnsi"/>
              </w:rPr>
              <w:t>30 November</w:t>
            </w:r>
            <w:r w:rsidR="00E21205">
              <w:rPr>
                <w:rFonts w:asciiTheme="minorHAnsi" w:hAnsiTheme="minorHAnsi" w:cstheme="minorHAnsi"/>
              </w:rPr>
              <w:t xml:space="preserve"> 2014 </w:t>
            </w:r>
            <w:r w:rsidR="008506B4">
              <w:rPr>
                <w:rFonts w:asciiTheme="minorHAnsi" w:hAnsiTheme="minorHAnsi" w:cstheme="minorHAnsi"/>
              </w:rPr>
              <w:t>for financial year 2014/15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613941" w:rsidRPr="00DF3EE3" w:rsidRDefault="00DF3EE3" w:rsidP="009A578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844B51">
              <w:rPr>
                <w:rFonts w:asciiTheme="minorHAnsi" w:eastAsiaTheme="minorHAnsi" w:hAnsiTheme="minorHAnsi" w:cstheme="minorHAnsi"/>
                <w:lang w:eastAsia="en-US"/>
              </w:rPr>
              <w:t xml:space="preserve">month ended </w:t>
            </w:r>
            <w:r w:rsidR="00182577">
              <w:rPr>
                <w:rFonts w:asciiTheme="minorHAnsi" w:eastAsiaTheme="minorHAnsi" w:hAnsiTheme="minorHAnsi" w:cstheme="minorHAnsi"/>
                <w:lang w:eastAsia="en-US"/>
              </w:rPr>
              <w:t>November</w:t>
            </w:r>
            <w:r w:rsidR="00B3402D">
              <w:rPr>
                <w:rFonts w:asciiTheme="minorHAnsi" w:eastAsiaTheme="minorHAnsi" w:hAnsiTheme="minorHAnsi" w:cstheme="minorHAnsi"/>
                <w:lang w:eastAsia="en-US"/>
              </w:rPr>
              <w:t xml:space="preserve"> </w:t>
            </w:r>
            <w:r w:rsidR="00E21205">
              <w:rPr>
                <w:rFonts w:asciiTheme="minorHAnsi" w:eastAsiaTheme="minorHAnsi" w:hAnsiTheme="minorHAnsi" w:cstheme="minorHAnsi"/>
                <w:lang w:eastAsia="en-US"/>
              </w:rPr>
              <w:t>2014</w:t>
            </w:r>
            <w:r>
              <w:rPr>
                <w:rFonts w:asciiTheme="minorHAnsi" w:eastAsiaTheme="minorHAnsi" w:hAnsiTheme="minorHAnsi" w:cstheme="minorHAnsi"/>
                <w:lang w:eastAsia="en-US"/>
              </w:rPr>
              <w:t>.</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613941" w:rsidRPr="00DF3EE3" w:rsidRDefault="00DF3EE3" w:rsidP="00D750F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in due course, </w:t>
            </w:r>
            <w:r w:rsidRPr="00DF3EE3">
              <w:rPr>
                <w:rFonts w:asciiTheme="minorHAnsi" w:eastAsiaTheme="minorHAnsi" w:hAnsiTheme="minorHAnsi" w:cstheme="minorHAnsi"/>
                <w:lang w:eastAsia="en-US"/>
              </w:rPr>
              <w:t>are aware of the financial position of the HRA</w:t>
            </w:r>
            <w:r w:rsidR="00D750FE">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835AD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182577">
              <w:rPr>
                <w:rFonts w:asciiTheme="minorHAnsi" w:eastAsiaTheme="minorHAnsi" w:hAnsiTheme="minorHAnsi" w:cstheme="minorHAnsi"/>
                <w:lang w:eastAsia="en-US"/>
              </w:rPr>
              <w:t>November</w:t>
            </w:r>
            <w:r w:rsidR="00B3402D">
              <w:rPr>
                <w:rFonts w:asciiTheme="minorHAnsi" w:eastAsiaTheme="minorHAnsi" w:hAnsiTheme="minorHAnsi" w:cstheme="minorHAnsi"/>
                <w:lang w:eastAsia="en-US"/>
              </w:rPr>
              <w:t xml:space="preserve"> </w:t>
            </w:r>
            <w:r w:rsidR="00E21205">
              <w:rPr>
                <w:rFonts w:asciiTheme="minorHAnsi" w:eastAsiaTheme="minorHAnsi" w:hAnsiTheme="minorHAnsi" w:cstheme="minorHAnsi"/>
                <w:lang w:eastAsia="en-US"/>
              </w:rPr>
              <w:t>2014</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It is presented </w:t>
            </w:r>
            <w:r w:rsidR="00850AB1">
              <w:rPr>
                <w:rFonts w:asciiTheme="minorHAnsi" w:eastAsiaTheme="minorHAnsi" w:hAnsiTheme="minorHAnsi" w:cstheme="minorHAnsi"/>
                <w:lang w:eastAsia="en-US"/>
              </w:rPr>
              <w:t>following</w:t>
            </w:r>
            <w:r w:rsidR="006B421B" w:rsidRPr="00850AB1">
              <w:rPr>
                <w:rFonts w:asciiTheme="minorHAnsi" w:eastAsiaTheme="minorHAnsi" w:hAnsiTheme="minorHAnsi" w:cstheme="minorHAnsi"/>
                <w:lang w:eastAsia="en-US"/>
              </w:rPr>
              <w:t xml:space="preserve"> lead reviewer examination.  </w:t>
            </w:r>
          </w:p>
          <w:p w:rsidR="00F64C33" w:rsidRDefault="00613941"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9E101F">
              <w:rPr>
                <w:rFonts w:asciiTheme="minorHAnsi" w:eastAsiaTheme="minorHAnsi" w:hAnsiTheme="minorHAnsi" w:cstheme="minorHAnsi"/>
                <w:lang w:eastAsia="en-US"/>
              </w:rPr>
              <w:t xml:space="preserve"> movement in the forecast underspend should be noted as a </w:t>
            </w:r>
            <w:r>
              <w:rPr>
                <w:rFonts w:asciiTheme="minorHAnsi" w:eastAsiaTheme="minorHAnsi" w:hAnsiTheme="minorHAnsi" w:cstheme="minorHAnsi"/>
                <w:lang w:eastAsia="en-US"/>
              </w:rPr>
              <w:t xml:space="preserve">matter of </w:t>
            </w:r>
            <w:r w:rsidR="009E101F">
              <w:rPr>
                <w:rFonts w:asciiTheme="minorHAnsi" w:eastAsiaTheme="minorHAnsi" w:hAnsiTheme="minorHAnsi" w:cstheme="minorHAnsi"/>
                <w:lang w:eastAsia="en-US"/>
              </w:rPr>
              <w:t xml:space="preserve">importance </w:t>
            </w:r>
            <w:r>
              <w:rPr>
                <w:rFonts w:asciiTheme="minorHAnsi" w:eastAsiaTheme="minorHAnsi" w:hAnsiTheme="minorHAnsi" w:cstheme="minorHAnsi"/>
                <w:lang w:eastAsia="en-US"/>
              </w:rPr>
              <w:t>for</w:t>
            </w:r>
            <w:r w:rsidR="003C0EA6">
              <w:rPr>
                <w:rFonts w:asciiTheme="minorHAnsi" w:eastAsiaTheme="minorHAnsi" w:hAnsiTheme="minorHAnsi" w:cstheme="minorHAnsi"/>
                <w:lang w:eastAsia="en-US"/>
              </w:rPr>
              <w:t xml:space="preserve"> the EMT </w:t>
            </w:r>
            <w:r w:rsidR="00B77711">
              <w:rPr>
                <w:rFonts w:asciiTheme="minorHAnsi" w:eastAsiaTheme="minorHAnsi" w:hAnsiTheme="minorHAnsi" w:cstheme="minorHAnsi"/>
                <w:lang w:eastAsia="en-US"/>
              </w:rPr>
              <w:t xml:space="preserve">and Board </w:t>
            </w:r>
            <w:r w:rsidR="003C0EA6">
              <w:rPr>
                <w:rFonts w:asciiTheme="minorHAnsi" w:eastAsiaTheme="minorHAnsi" w:hAnsiTheme="minorHAnsi" w:cstheme="minorHAnsi"/>
                <w:lang w:eastAsia="en-US"/>
              </w:rPr>
              <w:t>to note at this stage of the financial year</w:t>
            </w:r>
            <w:r w:rsidR="00115E84">
              <w:rPr>
                <w:rFonts w:asciiTheme="minorHAnsi" w:eastAsiaTheme="minorHAnsi" w:hAnsiTheme="minorHAnsi" w:cstheme="minorHAnsi"/>
                <w:lang w:eastAsia="en-US"/>
              </w:rPr>
              <w:t xml:space="preserve"> in terms of the overall position</w:t>
            </w:r>
            <w:r w:rsidR="00E72B98">
              <w:rPr>
                <w:rFonts w:asciiTheme="minorHAnsi" w:eastAsiaTheme="minorHAnsi" w:hAnsiTheme="minorHAnsi" w:cstheme="minorHAnsi"/>
                <w:lang w:eastAsia="en-US"/>
              </w:rPr>
              <w:t xml:space="preserve"> and potential reputational impacts</w:t>
            </w:r>
            <w:r w:rsidR="003C0EA6">
              <w:rPr>
                <w:rFonts w:asciiTheme="minorHAnsi" w:eastAsiaTheme="minorHAnsi" w:hAnsiTheme="minorHAnsi" w:cstheme="minorHAnsi"/>
                <w:lang w:eastAsia="en-US"/>
              </w:rPr>
              <w:t>.</w:t>
            </w:r>
            <w:r w:rsidR="00467624">
              <w:rPr>
                <w:rFonts w:asciiTheme="minorHAnsi" w:eastAsiaTheme="minorHAnsi" w:hAnsiTheme="minorHAnsi" w:cstheme="minorHAnsi"/>
                <w:lang w:eastAsia="en-US"/>
              </w:rPr>
              <w:t xml:space="preserve">  </w:t>
            </w:r>
            <w:r w:rsidR="00B77711">
              <w:rPr>
                <w:rFonts w:asciiTheme="minorHAnsi" w:eastAsiaTheme="minorHAnsi" w:hAnsiTheme="minorHAnsi" w:cstheme="minorHAnsi"/>
                <w:lang w:eastAsia="en-US"/>
              </w:rPr>
              <w:t xml:space="preserve">The Board </w:t>
            </w:r>
            <w:r w:rsidR="00AD76CF">
              <w:rPr>
                <w:rFonts w:asciiTheme="minorHAnsi" w:eastAsiaTheme="minorHAnsi" w:hAnsiTheme="minorHAnsi" w:cstheme="minorHAnsi"/>
                <w:lang w:eastAsia="en-US"/>
              </w:rPr>
              <w:t>is asked to approve the report</w:t>
            </w:r>
            <w:r w:rsidR="00B75EB4">
              <w:rPr>
                <w:rFonts w:asciiTheme="minorHAnsi" w:eastAsiaTheme="minorHAnsi" w:hAnsiTheme="minorHAnsi" w:cstheme="minorHAnsi"/>
                <w:lang w:eastAsia="en-US"/>
              </w:rPr>
              <w:t>.</w:t>
            </w:r>
          </w:p>
          <w:p w:rsidR="00D01165" w:rsidRDefault="00D0116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D01165" w:rsidRDefault="00182577"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 under spend of £243</w:t>
            </w:r>
            <w:r w:rsidR="00D01165">
              <w:rPr>
                <w:rFonts w:asciiTheme="minorHAnsi" w:eastAsiaTheme="minorHAnsi" w:hAnsiTheme="minorHAnsi" w:cstheme="minorHAnsi"/>
                <w:lang w:eastAsia="en-US"/>
              </w:rPr>
              <w:t>k</w:t>
            </w:r>
            <w:r w:rsidR="00E72B98">
              <w:rPr>
                <w:rFonts w:asciiTheme="minorHAnsi" w:eastAsiaTheme="minorHAnsi" w:hAnsiTheme="minorHAnsi" w:cstheme="minorHAnsi"/>
                <w:lang w:eastAsia="en-US"/>
              </w:rPr>
              <w:t xml:space="preserve"> (£201k in October – swing of £42k)</w:t>
            </w:r>
          </w:p>
          <w:p w:rsidR="006C20DB" w:rsidRDefault="006C20DB"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is largely due to vacancies within </w:t>
            </w:r>
            <w:r w:rsidR="00B77711">
              <w:rPr>
                <w:rFonts w:asciiTheme="minorHAnsi" w:eastAsiaTheme="minorHAnsi" w:hAnsiTheme="minorHAnsi" w:cstheme="minorHAnsi"/>
                <w:lang w:eastAsia="en-US"/>
              </w:rPr>
              <w:t xml:space="preserve">the business as usual </w:t>
            </w:r>
            <w:r>
              <w:rPr>
                <w:rFonts w:asciiTheme="minorHAnsi" w:eastAsiaTheme="minorHAnsi" w:hAnsiTheme="minorHAnsi" w:cstheme="minorHAnsi"/>
                <w:lang w:eastAsia="en-US"/>
              </w:rPr>
              <w:t>operations and approval directorate</w:t>
            </w:r>
            <w:r w:rsidR="00E72B98">
              <w:rPr>
                <w:rFonts w:asciiTheme="minorHAnsi" w:eastAsiaTheme="minorHAnsi" w:hAnsiTheme="minorHAnsi" w:cstheme="minorHAnsi"/>
                <w:lang w:eastAsia="en-US"/>
              </w:rPr>
              <w:t xml:space="preserve"> (£21k contribution to in month swing)</w:t>
            </w:r>
          </w:p>
          <w:p w:rsidR="009E101F" w:rsidRDefault="00E72B98" w:rsidP="00E825C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Of significant note is the f</w:t>
            </w:r>
            <w:r w:rsidR="009E101F" w:rsidRPr="009E101F">
              <w:rPr>
                <w:rFonts w:asciiTheme="minorHAnsi" w:eastAsiaTheme="minorHAnsi" w:hAnsiTheme="minorHAnsi" w:cstheme="minorHAnsi"/>
                <w:lang w:eastAsia="en-US"/>
              </w:rPr>
              <w:t xml:space="preserve">urther </w:t>
            </w:r>
            <w:proofErr w:type="gramStart"/>
            <w:r w:rsidR="009E101F" w:rsidRPr="009E101F">
              <w:rPr>
                <w:rFonts w:asciiTheme="minorHAnsi" w:eastAsiaTheme="minorHAnsi" w:hAnsiTheme="minorHAnsi" w:cstheme="minorHAnsi"/>
                <w:lang w:eastAsia="en-US"/>
              </w:rPr>
              <w:t>i</w:t>
            </w:r>
            <w:r w:rsidR="00D01165" w:rsidRPr="009E101F">
              <w:rPr>
                <w:rFonts w:asciiTheme="minorHAnsi" w:eastAsiaTheme="minorHAnsi" w:hAnsiTheme="minorHAnsi" w:cstheme="minorHAnsi"/>
                <w:lang w:eastAsia="en-US"/>
              </w:rPr>
              <w:t xml:space="preserve">ncrease in </w:t>
            </w:r>
            <w:r w:rsidR="00B77711">
              <w:rPr>
                <w:rFonts w:asciiTheme="minorHAnsi" w:eastAsiaTheme="minorHAnsi" w:hAnsiTheme="minorHAnsi" w:cstheme="minorHAnsi"/>
                <w:lang w:eastAsia="en-US"/>
              </w:rPr>
              <w:t xml:space="preserve">the </w:t>
            </w:r>
            <w:r w:rsidR="00D01165" w:rsidRPr="009E101F">
              <w:rPr>
                <w:rFonts w:asciiTheme="minorHAnsi" w:eastAsiaTheme="minorHAnsi" w:hAnsiTheme="minorHAnsi" w:cstheme="minorHAnsi"/>
                <w:lang w:eastAsia="en-US"/>
              </w:rPr>
              <w:t>forecast under spend</w:t>
            </w:r>
            <w:proofErr w:type="gramEnd"/>
            <w:r w:rsidR="009E101F" w:rsidRPr="009E101F">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The i</w:t>
            </w:r>
            <w:r w:rsidR="009E101F" w:rsidRPr="009E101F">
              <w:rPr>
                <w:rFonts w:asciiTheme="minorHAnsi" w:eastAsiaTheme="minorHAnsi" w:hAnsiTheme="minorHAnsi" w:cstheme="minorHAnsi"/>
                <w:lang w:eastAsia="en-US"/>
              </w:rPr>
              <w:t xml:space="preserve">nitial range declared in </w:t>
            </w:r>
            <w:r>
              <w:rPr>
                <w:rFonts w:asciiTheme="minorHAnsi" w:eastAsiaTheme="minorHAnsi" w:hAnsiTheme="minorHAnsi" w:cstheme="minorHAnsi"/>
                <w:lang w:eastAsia="en-US"/>
              </w:rPr>
              <w:t xml:space="preserve">the </w:t>
            </w:r>
            <w:proofErr w:type="gramStart"/>
            <w:r w:rsidR="009E101F" w:rsidRPr="009E101F">
              <w:rPr>
                <w:rFonts w:asciiTheme="minorHAnsi" w:eastAsiaTheme="minorHAnsi" w:hAnsiTheme="minorHAnsi" w:cstheme="minorHAnsi"/>
                <w:lang w:eastAsia="en-US"/>
              </w:rPr>
              <w:t>Financial</w:t>
            </w:r>
            <w:proofErr w:type="gramEnd"/>
            <w:r w:rsidR="009E101F" w:rsidRPr="009E101F">
              <w:rPr>
                <w:rFonts w:asciiTheme="minorHAnsi" w:eastAsiaTheme="minorHAnsi" w:hAnsiTheme="minorHAnsi" w:cstheme="minorHAnsi"/>
                <w:lang w:eastAsia="en-US"/>
              </w:rPr>
              <w:t xml:space="preserve"> plan was </w:t>
            </w:r>
            <w:r w:rsidR="00D01165" w:rsidRPr="009E101F">
              <w:rPr>
                <w:rFonts w:asciiTheme="minorHAnsi" w:eastAsiaTheme="minorHAnsi" w:hAnsiTheme="minorHAnsi" w:cstheme="minorHAnsi"/>
                <w:lang w:eastAsia="en-US"/>
              </w:rPr>
              <w:t>from £</w:t>
            </w:r>
            <w:r w:rsidR="00AB1230" w:rsidRPr="009E101F">
              <w:rPr>
                <w:rFonts w:asciiTheme="minorHAnsi" w:eastAsiaTheme="minorHAnsi" w:hAnsiTheme="minorHAnsi" w:cstheme="minorHAnsi"/>
                <w:lang w:eastAsia="en-US"/>
              </w:rPr>
              <w:t xml:space="preserve">1.57m to </w:t>
            </w:r>
            <w:r w:rsidR="00AD22E4" w:rsidRPr="009E101F">
              <w:rPr>
                <w:rFonts w:asciiTheme="minorHAnsi" w:eastAsiaTheme="minorHAnsi" w:hAnsiTheme="minorHAnsi" w:cstheme="minorHAnsi"/>
                <w:lang w:eastAsia="en-US"/>
              </w:rPr>
              <w:t>£1.668</w:t>
            </w:r>
            <w:r w:rsidR="00D01165" w:rsidRPr="009E101F">
              <w:rPr>
                <w:rFonts w:asciiTheme="minorHAnsi" w:eastAsiaTheme="minorHAnsi" w:hAnsiTheme="minorHAnsi" w:cstheme="minorHAnsi"/>
                <w:lang w:eastAsia="en-US"/>
              </w:rPr>
              <w:t>m.</w:t>
            </w:r>
            <w:r w:rsidR="00E825C5" w:rsidRPr="009E101F">
              <w:rPr>
                <w:rFonts w:asciiTheme="minorHAnsi" w:eastAsiaTheme="minorHAnsi" w:hAnsiTheme="minorHAnsi" w:cstheme="minorHAnsi"/>
                <w:lang w:eastAsia="en-US"/>
              </w:rPr>
              <w:t xml:space="preserve">  </w:t>
            </w:r>
            <w:r w:rsidR="009E101F" w:rsidRPr="009E101F">
              <w:rPr>
                <w:rFonts w:asciiTheme="minorHAnsi" w:eastAsiaTheme="minorHAnsi" w:hAnsiTheme="minorHAnsi" w:cstheme="minorHAnsi"/>
                <w:lang w:eastAsia="en-US"/>
              </w:rPr>
              <w:t>October Board report was £1.7million to £2million.</w:t>
            </w:r>
            <w:r w:rsidR="009E101F">
              <w:rPr>
                <w:rFonts w:asciiTheme="minorHAnsi" w:eastAsiaTheme="minorHAnsi" w:hAnsiTheme="minorHAnsi" w:cstheme="minorHAnsi"/>
                <w:lang w:eastAsia="en-US"/>
              </w:rPr>
              <w:t xml:space="preserve">   </w:t>
            </w:r>
            <w:r w:rsidR="00E825C5" w:rsidRPr="009E101F">
              <w:rPr>
                <w:rFonts w:asciiTheme="minorHAnsi" w:eastAsiaTheme="minorHAnsi" w:hAnsiTheme="minorHAnsi" w:cstheme="minorHAnsi"/>
                <w:lang w:eastAsia="en-US"/>
              </w:rPr>
              <w:t xml:space="preserve">Range of forecast </w:t>
            </w:r>
            <w:r w:rsidR="009E101F">
              <w:rPr>
                <w:rFonts w:asciiTheme="minorHAnsi" w:eastAsiaTheme="minorHAnsi" w:hAnsiTheme="minorHAnsi" w:cstheme="minorHAnsi"/>
                <w:lang w:eastAsia="en-US"/>
              </w:rPr>
              <w:t xml:space="preserve">is </w:t>
            </w:r>
            <w:r w:rsidR="00E825C5" w:rsidRPr="009E101F">
              <w:rPr>
                <w:rFonts w:asciiTheme="minorHAnsi" w:eastAsiaTheme="minorHAnsi" w:hAnsiTheme="minorHAnsi" w:cstheme="minorHAnsi"/>
                <w:lang w:eastAsia="en-US"/>
              </w:rPr>
              <w:t xml:space="preserve">now </w:t>
            </w:r>
            <w:r w:rsidR="00215D81" w:rsidRPr="009E101F">
              <w:rPr>
                <w:rFonts w:asciiTheme="minorHAnsi" w:eastAsiaTheme="minorHAnsi" w:hAnsiTheme="minorHAnsi" w:cstheme="minorHAnsi"/>
                <w:lang w:eastAsia="en-US"/>
              </w:rPr>
              <w:t>£2.07</w:t>
            </w:r>
            <w:r w:rsidR="00E825C5" w:rsidRPr="009E101F">
              <w:rPr>
                <w:rFonts w:asciiTheme="minorHAnsi" w:eastAsiaTheme="minorHAnsi" w:hAnsiTheme="minorHAnsi" w:cstheme="minorHAnsi"/>
                <w:lang w:eastAsia="en-US"/>
              </w:rPr>
              <w:t>million to £2</w:t>
            </w:r>
            <w:r w:rsidR="00215D81" w:rsidRPr="009E101F">
              <w:rPr>
                <w:rFonts w:asciiTheme="minorHAnsi" w:eastAsiaTheme="minorHAnsi" w:hAnsiTheme="minorHAnsi" w:cstheme="minorHAnsi"/>
                <w:lang w:eastAsia="en-US"/>
              </w:rPr>
              <w:t>.95</w:t>
            </w:r>
            <w:r w:rsidR="00E825C5" w:rsidRPr="009E101F">
              <w:rPr>
                <w:rFonts w:asciiTheme="minorHAnsi" w:eastAsiaTheme="minorHAnsi" w:hAnsiTheme="minorHAnsi" w:cstheme="minorHAnsi"/>
                <w:lang w:eastAsia="en-US"/>
              </w:rPr>
              <w:t xml:space="preserve">million.  </w:t>
            </w:r>
            <w:r w:rsidR="00D01165" w:rsidRPr="009E101F">
              <w:rPr>
                <w:rFonts w:asciiTheme="minorHAnsi" w:eastAsiaTheme="minorHAnsi" w:hAnsiTheme="minorHAnsi" w:cstheme="minorHAnsi"/>
                <w:lang w:eastAsia="en-US"/>
              </w:rPr>
              <w:t xml:space="preserve">  </w:t>
            </w:r>
            <w:r w:rsidR="003930D4">
              <w:rPr>
                <w:rFonts w:asciiTheme="minorHAnsi" w:eastAsiaTheme="minorHAnsi" w:hAnsiTheme="minorHAnsi" w:cstheme="minorHAnsi"/>
                <w:lang w:eastAsia="en-US"/>
              </w:rPr>
              <w:lastRenderedPageBreak/>
              <w:t>£2million has previously been declared to DH.</w:t>
            </w:r>
          </w:p>
          <w:p w:rsidR="00D01165" w:rsidRDefault="009E101F" w:rsidP="00E825C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Main reason for the movement is </w:t>
            </w:r>
            <w:r w:rsidR="00B77711">
              <w:rPr>
                <w:rFonts w:asciiTheme="minorHAnsi" w:eastAsiaTheme="minorHAnsi" w:hAnsiTheme="minorHAnsi" w:cstheme="minorHAnsi"/>
                <w:lang w:eastAsia="en-US"/>
              </w:rPr>
              <w:t xml:space="preserve">a mixture of unsuccessful recruitment through NHS channels for a proportion of the HRA Approval posts (subsequently appointed via contractors) alongside a lengthened </w:t>
            </w:r>
            <w:r w:rsidR="006C20DB">
              <w:rPr>
                <w:rFonts w:asciiTheme="minorHAnsi" w:eastAsiaTheme="minorHAnsi" w:hAnsiTheme="minorHAnsi" w:cstheme="minorHAnsi"/>
                <w:lang w:eastAsia="en-US"/>
              </w:rPr>
              <w:t>time it is taking to recruit</w:t>
            </w:r>
            <w:r>
              <w:rPr>
                <w:rFonts w:asciiTheme="minorHAnsi" w:eastAsiaTheme="minorHAnsi" w:hAnsiTheme="minorHAnsi" w:cstheme="minorHAnsi"/>
                <w:lang w:eastAsia="en-US"/>
              </w:rPr>
              <w:t xml:space="preserve"> successful candidates to </w:t>
            </w:r>
            <w:r w:rsidR="00E72B98">
              <w:rPr>
                <w:rFonts w:asciiTheme="minorHAnsi" w:eastAsiaTheme="minorHAnsi" w:hAnsiTheme="minorHAnsi" w:cstheme="minorHAnsi"/>
                <w:lang w:eastAsia="en-US"/>
              </w:rPr>
              <w:t xml:space="preserve">HRA Approval </w:t>
            </w:r>
            <w:r>
              <w:rPr>
                <w:rFonts w:asciiTheme="minorHAnsi" w:eastAsiaTheme="minorHAnsi" w:hAnsiTheme="minorHAnsi" w:cstheme="minorHAnsi"/>
                <w:lang w:eastAsia="en-US"/>
              </w:rPr>
              <w:t>posts</w:t>
            </w:r>
            <w:r w:rsidR="00CC7BEE">
              <w:rPr>
                <w:rFonts w:asciiTheme="minorHAnsi" w:eastAsiaTheme="minorHAnsi" w:hAnsiTheme="minorHAnsi" w:cstheme="minorHAnsi"/>
                <w:lang w:eastAsia="en-US"/>
              </w:rPr>
              <w:t xml:space="preserve">.  The expectation now is that 44% (rather than 61%) of the 81.7 WTE will have been fully recruited to by March. </w:t>
            </w:r>
            <w:r w:rsidR="00135C17">
              <w:rPr>
                <w:rFonts w:asciiTheme="minorHAnsi" w:eastAsiaTheme="minorHAnsi" w:hAnsiTheme="minorHAnsi" w:cstheme="minorHAnsi"/>
                <w:lang w:eastAsia="en-US"/>
              </w:rPr>
              <w:t xml:space="preserve"> </w:t>
            </w:r>
            <w:r w:rsidR="00E72B98">
              <w:rPr>
                <w:rFonts w:asciiTheme="minorHAnsi" w:eastAsiaTheme="minorHAnsi" w:hAnsiTheme="minorHAnsi" w:cstheme="minorHAnsi"/>
                <w:lang w:eastAsia="en-US"/>
              </w:rPr>
              <w:t xml:space="preserve">The significant reduction in linked pay and </w:t>
            </w:r>
            <w:proofErr w:type="spellStart"/>
            <w:r w:rsidR="00E72B98">
              <w:rPr>
                <w:rFonts w:asciiTheme="minorHAnsi" w:eastAsiaTheme="minorHAnsi" w:hAnsiTheme="minorHAnsi" w:cstheme="minorHAnsi"/>
                <w:lang w:eastAsia="en-US"/>
              </w:rPr>
              <w:t>non pay</w:t>
            </w:r>
            <w:proofErr w:type="spellEnd"/>
            <w:r w:rsidR="00E72B98">
              <w:rPr>
                <w:rFonts w:asciiTheme="minorHAnsi" w:eastAsiaTheme="minorHAnsi" w:hAnsiTheme="minorHAnsi" w:cstheme="minorHAnsi"/>
                <w:lang w:eastAsia="en-US"/>
              </w:rPr>
              <w:t xml:space="preserve"> related costs is the main </w:t>
            </w:r>
            <w:proofErr w:type="gramStart"/>
            <w:r w:rsidR="00E72B98">
              <w:rPr>
                <w:rFonts w:asciiTheme="minorHAnsi" w:eastAsiaTheme="minorHAnsi" w:hAnsiTheme="minorHAnsi" w:cstheme="minorHAnsi"/>
                <w:lang w:eastAsia="en-US"/>
              </w:rPr>
              <w:t>reason for the large swing in the forecast under spend</w:t>
            </w:r>
            <w:proofErr w:type="gramEnd"/>
            <w:r w:rsidR="00E72B98">
              <w:rPr>
                <w:rFonts w:asciiTheme="minorHAnsi" w:eastAsiaTheme="minorHAnsi" w:hAnsiTheme="minorHAnsi" w:cstheme="minorHAnsi"/>
                <w:lang w:eastAsia="en-US"/>
              </w:rPr>
              <w:t xml:space="preserve">.   </w:t>
            </w:r>
            <w:r w:rsidR="00CC7BEE">
              <w:rPr>
                <w:rFonts w:asciiTheme="minorHAnsi" w:eastAsiaTheme="minorHAnsi" w:hAnsiTheme="minorHAnsi" w:cstheme="minorHAnsi"/>
                <w:lang w:eastAsia="en-US"/>
              </w:rPr>
              <w:t xml:space="preserve">This is </w:t>
            </w:r>
            <w:r w:rsidR="00135C17">
              <w:rPr>
                <w:rFonts w:asciiTheme="minorHAnsi" w:eastAsiaTheme="minorHAnsi" w:hAnsiTheme="minorHAnsi" w:cstheme="minorHAnsi"/>
                <w:lang w:eastAsia="en-US"/>
              </w:rPr>
              <w:t xml:space="preserve">alongside </w:t>
            </w:r>
            <w:r w:rsidR="003930D4">
              <w:rPr>
                <w:rFonts w:asciiTheme="minorHAnsi" w:eastAsiaTheme="minorHAnsi" w:hAnsiTheme="minorHAnsi" w:cstheme="minorHAnsi"/>
                <w:lang w:eastAsia="en-US"/>
              </w:rPr>
              <w:t>changes to plans for desired early transfer of posts to support HRA Approval and systems transition</w:t>
            </w:r>
            <w:r w:rsidR="00E72B98">
              <w:rPr>
                <w:rFonts w:asciiTheme="minorHAnsi" w:eastAsiaTheme="minorHAnsi" w:hAnsiTheme="minorHAnsi" w:cstheme="minorHAnsi"/>
                <w:lang w:eastAsia="en-US"/>
              </w:rPr>
              <w:t xml:space="preserve"> and the </w:t>
            </w:r>
            <w:proofErr w:type="spellStart"/>
            <w:r w:rsidR="00E72B98">
              <w:rPr>
                <w:rFonts w:asciiTheme="minorHAnsi" w:eastAsiaTheme="minorHAnsi" w:hAnsiTheme="minorHAnsi" w:cstheme="minorHAnsi"/>
                <w:lang w:eastAsia="en-US"/>
              </w:rPr>
              <w:t>n</w:t>
            </w:r>
            <w:r w:rsidR="003930D4">
              <w:rPr>
                <w:rFonts w:asciiTheme="minorHAnsi" w:eastAsiaTheme="minorHAnsi" w:hAnsiTheme="minorHAnsi" w:cstheme="minorHAnsi"/>
                <w:lang w:eastAsia="en-US"/>
              </w:rPr>
              <w:t>on deployment</w:t>
            </w:r>
            <w:proofErr w:type="spellEnd"/>
            <w:r w:rsidR="003930D4">
              <w:rPr>
                <w:rFonts w:asciiTheme="minorHAnsi" w:eastAsiaTheme="minorHAnsi" w:hAnsiTheme="minorHAnsi" w:cstheme="minorHAnsi"/>
                <w:lang w:eastAsia="en-US"/>
              </w:rPr>
              <w:t xml:space="preserve"> of c</w:t>
            </w:r>
            <w:r w:rsidR="00215D81" w:rsidRPr="009E101F">
              <w:rPr>
                <w:rFonts w:asciiTheme="minorHAnsi" w:eastAsiaTheme="minorHAnsi" w:hAnsiTheme="minorHAnsi" w:cstheme="minorHAnsi"/>
                <w:lang w:eastAsia="en-US"/>
              </w:rPr>
              <w:t>ontingencies</w:t>
            </w:r>
            <w:r w:rsidR="00E72B98">
              <w:rPr>
                <w:rFonts w:asciiTheme="minorHAnsi" w:eastAsiaTheme="minorHAnsi" w:hAnsiTheme="minorHAnsi" w:cstheme="minorHAnsi"/>
                <w:lang w:eastAsia="en-US"/>
              </w:rPr>
              <w:t>.</w:t>
            </w:r>
          </w:p>
          <w:p w:rsidR="00B77711" w:rsidRPr="00B77711" w:rsidRDefault="00B77711" w:rsidP="00B77711">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crucial message however is that delivery of the programme is still on track to deliver its ambition to time.</w:t>
            </w:r>
          </w:p>
          <w:p w:rsidR="00D01165" w:rsidRDefault="00D01165"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Continued need for approvers to review their invoice workflow on a daily basis.</w:t>
            </w:r>
          </w:p>
          <w:p w:rsidR="00461A11" w:rsidRPr="00D01165" w:rsidRDefault="00461A11"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Increase in cash surplus as a result of the forecast range increasing.</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7948D4" w:rsidP="00AF00B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After approval.</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182577" w:rsidP="003930D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w:t>
            </w:r>
            <w:r w:rsidR="003930D4">
              <w:rPr>
                <w:rFonts w:asciiTheme="minorHAnsi" w:eastAsiaTheme="minorHAnsi" w:hAnsiTheme="minorHAnsi" w:cstheme="minorHAnsi"/>
                <w:lang w:eastAsia="en-US"/>
              </w:rPr>
              <w:t>1</w:t>
            </w:r>
            <w:r w:rsidRPr="00182577">
              <w:rPr>
                <w:rFonts w:asciiTheme="minorHAnsi" w:eastAsiaTheme="minorHAnsi" w:hAnsiTheme="minorHAnsi" w:cstheme="minorHAnsi"/>
                <w:vertAlign w:val="superscript"/>
                <w:lang w:eastAsia="en-US"/>
              </w:rPr>
              <w:t>th</w:t>
            </w:r>
            <w:r>
              <w:rPr>
                <w:rFonts w:asciiTheme="minorHAnsi" w:eastAsiaTheme="minorHAnsi" w:hAnsiTheme="minorHAnsi" w:cstheme="minorHAnsi"/>
                <w:lang w:eastAsia="en-US"/>
              </w:rPr>
              <w:t xml:space="preserve"> December</w:t>
            </w:r>
            <w:r w:rsidR="00743670">
              <w:rPr>
                <w:rFonts w:asciiTheme="minorHAnsi" w:eastAsiaTheme="minorHAnsi" w:hAnsiTheme="minorHAnsi" w:cstheme="minorHAnsi"/>
                <w:lang w:eastAsia="en-US"/>
              </w:rPr>
              <w:t xml:space="preserve"> 2014</w:t>
            </w:r>
          </w:p>
        </w:tc>
      </w:tr>
    </w:tbl>
    <w:p w:rsidR="004D2387" w:rsidRDefault="004D2387" w:rsidP="00AD76CF">
      <w:pPr>
        <w:rPr>
          <w:rFonts w:ascii="Arial" w:hAnsi="Arial" w:cs="Arial"/>
          <w:b/>
          <w:sz w:val="22"/>
          <w:szCs w:val="22"/>
        </w:rPr>
      </w:pPr>
    </w:p>
    <w:p w:rsidR="00D01165" w:rsidRDefault="00D01165" w:rsidP="00AD76CF">
      <w:pPr>
        <w:rPr>
          <w:rFonts w:ascii="Arial" w:hAnsi="Arial" w:cs="Arial"/>
          <w:b/>
          <w:sz w:val="22"/>
          <w:szCs w:val="22"/>
        </w:rPr>
      </w:pPr>
    </w:p>
    <w:p w:rsidR="00D01165" w:rsidRDefault="00D01165"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8506B4">
        <w:rPr>
          <w:rFonts w:ascii="Arial" w:hAnsi="Arial" w:cs="Arial"/>
          <w:b/>
          <w:sz w:val="22"/>
          <w:szCs w:val="22"/>
          <w:lang w:val="en-US"/>
        </w:rPr>
        <w:t>4</w:t>
      </w:r>
      <w:r w:rsidR="00AD76CF" w:rsidRPr="00AD76CF">
        <w:rPr>
          <w:rFonts w:ascii="Arial" w:hAnsi="Arial" w:cs="Arial"/>
          <w:b/>
          <w:sz w:val="22"/>
          <w:szCs w:val="22"/>
          <w:lang w:val="en-US"/>
        </w:rPr>
        <w:t>/1</w:t>
      </w:r>
      <w:r w:rsidR="008506B4">
        <w:rPr>
          <w:rFonts w:ascii="Arial" w:hAnsi="Arial" w:cs="Arial"/>
          <w:b/>
          <w:sz w:val="22"/>
          <w:szCs w:val="22"/>
          <w:lang w:val="en-US"/>
        </w:rPr>
        <w:t>5</w:t>
      </w:r>
    </w:p>
    <w:p w:rsidR="00AD76CF" w:rsidRPr="00AD76CF" w:rsidRDefault="00AD76CF" w:rsidP="00AD76CF">
      <w:pPr>
        <w:rPr>
          <w:rFonts w:ascii="Arial" w:hAnsi="Arial" w:cs="Arial"/>
          <w:b/>
          <w:sz w:val="22"/>
          <w:szCs w:val="22"/>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182577">
        <w:rPr>
          <w:rFonts w:ascii="Arial" w:hAnsi="Arial" w:cs="Arial"/>
          <w:b/>
          <w:sz w:val="22"/>
          <w:szCs w:val="22"/>
          <w:lang w:val="en-US"/>
        </w:rPr>
        <w:t>30 November</w:t>
      </w:r>
      <w:r w:rsidR="00B3402D">
        <w:rPr>
          <w:rFonts w:ascii="Arial" w:hAnsi="Arial" w:cs="Arial"/>
          <w:b/>
          <w:sz w:val="22"/>
          <w:szCs w:val="22"/>
          <w:lang w:val="en-US"/>
        </w:rPr>
        <w:t xml:space="preserve"> 2014</w:t>
      </w:r>
    </w:p>
    <w:p w:rsidR="00AD76CF" w:rsidRPr="00AD76CF" w:rsidRDefault="00AD76CF" w:rsidP="00AD76CF">
      <w:pPr>
        <w:jc w:val="center"/>
        <w:rPr>
          <w:rFonts w:ascii="Arial" w:hAnsi="Arial" w:cs="Arial"/>
          <w:b/>
          <w:sz w:val="22"/>
          <w:szCs w:val="22"/>
        </w:rPr>
      </w:pPr>
    </w:p>
    <w:p w:rsidR="00AC4AAD" w:rsidRPr="00AC4AAD" w:rsidRDefault="00AD76CF" w:rsidP="00AC4AAD">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182577">
        <w:rPr>
          <w:rFonts w:ascii="Arial" w:hAnsi="Arial" w:cs="Arial"/>
          <w:sz w:val="22"/>
          <w:szCs w:val="22"/>
        </w:rPr>
        <w:t>30 November</w:t>
      </w:r>
      <w:r w:rsidR="00945882">
        <w:rPr>
          <w:rFonts w:ascii="Arial" w:hAnsi="Arial" w:cs="Arial"/>
          <w:sz w:val="22"/>
          <w:szCs w:val="22"/>
        </w:rPr>
        <w:t xml:space="preserve"> </w:t>
      </w:r>
      <w:r w:rsidR="005B62D4">
        <w:rPr>
          <w:rFonts w:ascii="Arial" w:hAnsi="Arial" w:cs="Arial"/>
          <w:sz w:val="22"/>
          <w:szCs w:val="22"/>
        </w:rPr>
        <w:t>2014</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2014/15</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A53CE8" w:rsidRPr="004B5C87" w:rsidRDefault="00B2011F" w:rsidP="00AD76CF">
      <w:pPr>
        <w:jc w:val="both"/>
        <w:rPr>
          <w:rFonts w:ascii="Arial" w:hAnsi="Arial" w:cs="Arial"/>
          <w:sz w:val="22"/>
          <w:szCs w:val="22"/>
        </w:rPr>
      </w:pPr>
      <w:r w:rsidRPr="004B5C87">
        <w:rPr>
          <w:rFonts w:ascii="Arial" w:hAnsi="Arial" w:cs="Arial"/>
          <w:sz w:val="22"/>
          <w:szCs w:val="22"/>
        </w:rPr>
        <w:t xml:space="preserve">The HRA </w:t>
      </w:r>
      <w:r w:rsidR="00FB56CC" w:rsidRPr="004B5C87">
        <w:rPr>
          <w:rFonts w:ascii="Arial" w:hAnsi="Arial" w:cs="Arial"/>
          <w:sz w:val="22"/>
          <w:szCs w:val="22"/>
        </w:rPr>
        <w:t xml:space="preserve">indicative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 xml:space="preserve">for 2014/15 </w:t>
      </w:r>
      <w:r w:rsidRPr="004B5C87">
        <w:rPr>
          <w:rFonts w:ascii="Arial" w:hAnsi="Arial" w:cs="Arial"/>
          <w:sz w:val="22"/>
          <w:szCs w:val="22"/>
        </w:rPr>
        <w:t xml:space="preserve">was </w:t>
      </w:r>
      <w:r w:rsidR="00FB56CC" w:rsidRPr="004B5C87">
        <w:rPr>
          <w:rFonts w:ascii="Arial" w:hAnsi="Arial" w:cs="Arial"/>
          <w:sz w:val="22"/>
          <w:szCs w:val="22"/>
        </w:rPr>
        <w:t xml:space="preserve">agreed </w:t>
      </w:r>
      <w:r w:rsidRPr="004B5C87">
        <w:rPr>
          <w:rFonts w:ascii="Arial" w:hAnsi="Arial" w:cs="Arial"/>
          <w:sz w:val="22"/>
          <w:szCs w:val="22"/>
        </w:rPr>
        <w:t>at £</w:t>
      </w:r>
      <w:r w:rsidR="00FB56CC" w:rsidRPr="004B5C87">
        <w:rPr>
          <w:rFonts w:ascii="Arial" w:hAnsi="Arial" w:cs="Arial"/>
          <w:sz w:val="22"/>
          <w:szCs w:val="22"/>
        </w:rPr>
        <w:t>13.444</w:t>
      </w:r>
      <w:r w:rsidR="00613941" w:rsidRPr="004B5C87">
        <w:rPr>
          <w:rFonts w:ascii="Arial" w:hAnsi="Arial" w:cs="Arial"/>
          <w:sz w:val="22"/>
          <w:szCs w:val="22"/>
        </w:rPr>
        <w:t>m</w:t>
      </w:r>
      <w:r w:rsidR="00641123" w:rsidRPr="004B5C87">
        <w:rPr>
          <w:rFonts w:ascii="Arial" w:hAnsi="Arial" w:cs="Arial"/>
          <w:sz w:val="22"/>
          <w:szCs w:val="22"/>
        </w:rPr>
        <w:t>.</w:t>
      </w:r>
      <w:r w:rsidR="003179D5" w:rsidRPr="004B5C87">
        <w:rPr>
          <w:rFonts w:ascii="Arial" w:hAnsi="Arial" w:cs="Arial"/>
          <w:sz w:val="22"/>
          <w:szCs w:val="22"/>
        </w:rPr>
        <w:t xml:space="preserve">  The whole of this sum has been 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This sum excludes income from other government departments or income from the devolved administrations, the planning assumptions for which amount to a sum of £2</w:t>
      </w:r>
      <w:r w:rsidR="00641123" w:rsidRPr="004B5C87">
        <w:rPr>
          <w:rFonts w:ascii="Arial" w:hAnsi="Arial" w:cs="Arial"/>
          <w:sz w:val="22"/>
          <w:szCs w:val="22"/>
        </w:rPr>
        <w:t>4</w:t>
      </w:r>
      <w:r w:rsidR="003179D5" w:rsidRPr="004B5C87">
        <w:rPr>
          <w:rFonts w:ascii="Arial" w:hAnsi="Arial" w:cs="Arial"/>
          <w:sz w:val="22"/>
          <w:szCs w:val="22"/>
        </w:rPr>
        <w:t xml:space="preserve">0k. </w:t>
      </w:r>
    </w:p>
    <w:p w:rsidR="00641123" w:rsidRPr="004B5C87" w:rsidRDefault="00641123" w:rsidP="00AD76CF">
      <w:pPr>
        <w:jc w:val="both"/>
        <w:rPr>
          <w:rFonts w:ascii="Arial" w:hAnsi="Arial" w:cs="Arial"/>
          <w:sz w:val="22"/>
          <w:szCs w:val="22"/>
        </w:rPr>
      </w:pPr>
    </w:p>
    <w:p w:rsidR="00527EE9" w:rsidRDefault="004D2387" w:rsidP="00527EE9">
      <w:pPr>
        <w:pStyle w:val="ListParagraph"/>
        <w:spacing w:line="276" w:lineRule="auto"/>
        <w:ind w:left="0"/>
        <w:rPr>
          <w:rFonts w:ascii="Arial" w:hAnsi="Arial" w:cs="Arial"/>
          <w:sz w:val="22"/>
          <w:szCs w:val="22"/>
        </w:rPr>
      </w:pPr>
      <w:r w:rsidRPr="004B5C87">
        <w:rPr>
          <w:rFonts w:ascii="Arial" w:hAnsi="Arial" w:cs="Arial"/>
          <w:sz w:val="22"/>
          <w:szCs w:val="22"/>
        </w:rPr>
        <w:t>The HRA Board approved the Financial Plan for 2014/15 in July 2014</w:t>
      </w:r>
      <w:r w:rsidR="004516BD">
        <w:rPr>
          <w:rFonts w:ascii="Arial" w:hAnsi="Arial" w:cs="Arial"/>
          <w:sz w:val="22"/>
          <w:szCs w:val="22"/>
        </w:rPr>
        <w:t>.</w:t>
      </w:r>
      <w:r w:rsidR="009A5782" w:rsidRPr="004B5C87">
        <w:rPr>
          <w:rFonts w:ascii="Arial" w:hAnsi="Arial" w:cs="Arial"/>
          <w:sz w:val="22"/>
          <w:szCs w:val="22"/>
        </w:rPr>
        <w:t xml:space="preserve"> The initi</w:t>
      </w:r>
      <w:r w:rsidR="004516BD">
        <w:rPr>
          <w:rFonts w:ascii="Arial" w:hAnsi="Arial" w:cs="Arial"/>
          <w:sz w:val="22"/>
          <w:szCs w:val="22"/>
        </w:rPr>
        <w:t xml:space="preserve">al declared under spend of £1.57 million, has </w:t>
      </w:r>
      <w:r w:rsidR="00527EE9">
        <w:rPr>
          <w:rFonts w:ascii="Arial" w:hAnsi="Arial" w:cs="Arial"/>
          <w:sz w:val="22"/>
          <w:szCs w:val="22"/>
        </w:rPr>
        <w:t>grown over the course of the year</w:t>
      </w:r>
      <w:r w:rsidR="0003758C">
        <w:rPr>
          <w:rFonts w:ascii="Arial" w:hAnsi="Arial" w:cs="Arial"/>
          <w:sz w:val="22"/>
          <w:szCs w:val="22"/>
        </w:rPr>
        <w:t>.  In October the range was expected to be £1.7million to £2million.  It</w:t>
      </w:r>
      <w:r w:rsidR="00527EE9">
        <w:rPr>
          <w:rFonts w:ascii="Arial" w:hAnsi="Arial" w:cs="Arial"/>
          <w:sz w:val="22"/>
          <w:szCs w:val="22"/>
        </w:rPr>
        <w:t xml:space="preserve"> has now </w:t>
      </w:r>
      <w:r w:rsidR="004516BD">
        <w:rPr>
          <w:rFonts w:ascii="Arial" w:hAnsi="Arial" w:cs="Arial"/>
          <w:sz w:val="22"/>
          <w:szCs w:val="22"/>
        </w:rPr>
        <w:t xml:space="preserve">been revised upwards to a range of </w:t>
      </w:r>
      <w:r w:rsidR="00215D81" w:rsidRPr="00215D81">
        <w:rPr>
          <w:rFonts w:ascii="Arial" w:hAnsi="Arial" w:cs="Arial"/>
          <w:sz w:val="22"/>
          <w:szCs w:val="22"/>
        </w:rPr>
        <w:t xml:space="preserve">£2.07 </w:t>
      </w:r>
      <w:r w:rsidR="004516BD" w:rsidRPr="00215D81">
        <w:rPr>
          <w:rFonts w:ascii="Arial" w:hAnsi="Arial" w:cs="Arial"/>
          <w:sz w:val="22"/>
          <w:szCs w:val="22"/>
        </w:rPr>
        <w:t>million to £2</w:t>
      </w:r>
      <w:r w:rsidR="00215D81" w:rsidRPr="00215D81">
        <w:rPr>
          <w:rFonts w:ascii="Arial" w:hAnsi="Arial" w:cs="Arial"/>
          <w:sz w:val="22"/>
          <w:szCs w:val="22"/>
        </w:rPr>
        <w:t xml:space="preserve">.95 </w:t>
      </w:r>
      <w:r w:rsidR="004516BD" w:rsidRPr="00215D81">
        <w:rPr>
          <w:rFonts w:ascii="Arial" w:hAnsi="Arial" w:cs="Arial"/>
          <w:sz w:val="22"/>
          <w:szCs w:val="22"/>
        </w:rPr>
        <w:t>million</w:t>
      </w:r>
      <w:r w:rsidR="009A5782" w:rsidRPr="00215D81">
        <w:rPr>
          <w:rFonts w:ascii="Arial" w:hAnsi="Arial" w:cs="Arial"/>
          <w:sz w:val="22"/>
          <w:szCs w:val="22"/>
        </w:rPr>
        <w:t xml:space="preserve">.  </w:t>
      </w:r>
      <w:r w:rsidR="00527EE9">
        <w:rPr>
          <w:rFonts w:ascii="Arial" w:hAnsi="Arial" w:cs="Arial"/>
          <w:sz w:val="22"/>
          <w:szCs w:val="22"/>
        </w:rPr>
        <w:t>The main reason for the growth has been due to re-profiled recruitment in relation to the HRA Approval business case</w:t>
      </w:r>
      <w:proofErr w:type="gramStart"/>
      <w:r w:rsidR="00527EE9">
        <w:rPr>
          <w:rFonts w:ascii="Arial" w:hAnsi="Arial" w:cs="Arial"/>
          <w:sz w:val="22"/>
          <w:szCs w:val="22"/>
        </w:rPr>
        <w:t>,  vacancies</w:t>
      </w:r>
      <w:proofErr w:type="gramEnd"/>
      <w:r w:rsidR="00527EE9">
        <w:rPr>
          <w:rFonts w:ascii="Arial" w:hAnsi="Arial" w:cs="Arial"/>
          <w:sz w:val="22"/>
          <w:szCs w:val="22"/>
        </w:rPr>
        <w:t xml:space="preserve"> that have arisen within the Operations and Approval directorate and resulting time taken to recruit, unlikely but possible claw back of VAT reclaims in previous years for agency workers and the </w:t>
      </w:r>
      <w:r w:rsidR="00B77711">
        <w:rPr>
          <w:rFonts w:ascii="Arial" w:hAnsi="Arial" w:cs="Arial"/>
          <w:sz w:val="22"/>
          <w:szCs w:val="22"/>
        </w:rPr>
        <w:t xml:space="preserve">now likely </w:t>
      </w:r>
      <w:r w:rsidR="00527EE9">
        <w:rPr>
          <w:rFonts w:ascii="Arial" w:hAnsi="Arial" w:cs="Arial"/>
          <w:sz w:val="22"/>
          <w:szCs w:val="22"/>
        </w:rPr>
        <w:t xml:space="preserve"> non utilisation of contingencies.</w:t>
      </w:r>
    </w:p>
    <w:p w:rsidR="00527EE9" w:rsidRDefault="00527EE9" w:rsidP="00527EE9">
      <w:pPr>
        <w:pStyle w:val="ListParagraph"/>
        <w:spacing w:line="276" w:lineRule="auto"/>
        <w:ind w:left="0"/>
        <w:rPr>
          <w:rFonts w:ascii="Arial" w:hAnsi="Arial" w:cs="Arial"/>
          <w:sz w:val="22"/>
          <w:szCs w:val="22"/>
        </w:rPr>
      </w:pPr>
    </w:p>
    <w:p w:rsidR="004D2387" w:rsidRDefault="009A5782" w:rsidP="00AD76CF">
      <w:pPr>
        <w:jc w:val="both"/>
        <w:rPr>
          <w:rFonts w:ascii="Arial" w:hAnsi="Arial" w:cs="Arial"/>
          <w:sz w:val="22"/>
          <w:szCs w:val="22"/>
        </w:rPr>
      </w:pPr>
      <w:r w:rsidRPr="00215D81">
        <w:rPr>
          <w:rFonts w:ascii="Arial" w:hAnsi="Arial" w:cs="Arial"/>
          <w:sz w:val="22"/>
          <w:szCs w:val="22"/>
        </w:rPr>
        <w:t xml:space="preserve">Further work will continue </w:t>
      </w:r>
      <w:r w:rsidR="00527EE9">
        <w:rPr>
          <w:rFonts w:ascii="Arial" w:hAnsi="Arial" w:cs="Arial"/>
          <w:sz w:val="22"/>
          <w:szCs w:val="22"/>
        </w:rPr>
        <w:t xml:space="preserve">to </w:t>
      </w:r>
      <w:r w:rsidRPr="00215D81">
        <w:rPr>
          <w:rFonts w:ascii="Arial" w:hAnsi="Arial" w:cs="Arial"/>
          <w:sz w:val="22"/>
          <w:szCs w:val="22"/>
        </w:rPr>
        <w:t>refin</w:t>
      </w:r>
      <w:r w:rsidR="00527EE9">
        <w:rPr>
          <w:rFonts w:ascii="Arial" w:hAnsi="Arial" w:cs="Arial"/>
          <w:sz w:val="22"/>
          <w:szCs w:val="22"/>
        </w:rPr>
        <w:t>e</w:t>
      </w:r>
      <w:r w:rsidRPr="00215D81">
        <w:rPr>
          <w:rFonts w:ascii="Arial" w:hAnsi="Arial" w:cs="Arial"/>
          <w:sz w:val="22"/>
          <w:szCs w:val="22"/>
        </w:rPr>
        <w:t xml:space="preserve"> the year end forecast</w:t>
      </w:r>
      <w:r w:rsidR="004516BD" w:rsidRPr="00215D81">
        <w:rPr>
          <w:rFonts w:ascii="Arial" w:hAnsi="Arial" w:cs="Arial"/>
          <w:sz w:val="22"/>
          <w:szCs w:val="22"/>
        </w:rPr>
        <w:t xml:space="preserve"> and monitor the run</w:t>
      </w:r>
      <w:r w:rsidR="004516BD">
        <w:rPr>
          <w:rFonts w:ascii="Arial" w:hAnsi="Arial" w:cs="Arial"/>
          <w:sz w:val="22"/>
          <w:szCs w:val="22"/>
        </w:rPr>
        <w:t xml:space="preserve"> rate of expenditure.</w:t>
      </w:r>
    </w:p>
    <w:p w:rsidR="004516BD" w:rsidRDefault="004516BD" w:rsidP="00AD76CF">
      <w:pPr>
        <w:jc w:val="both"/>
        <w:rPr>
          <w:rFonts w:ascii="Arial" w:hAnsi="Arial" w:cs="Arial"/>
          <w:sz w:val="22"/>
          <w:szCs w:val="22"/>
        </w:rPr>
      </w:pPr>
    </w:p>
    <w:p w:rsidR="00AD76CF" w:rsidRPr="00AD76CF" w:rsidRDefault="00AD76CF" w:rsidP="00AC4AAD">
      <w:pPr>
        <w:ind w:left="-360"/>
        <w:rPr>
          <w:rFonts w:ascii="Arial" w:hAnsi="Arial" w:cs="Arial"/>
          <w:b/>
          <w:sz w:val="22"/>
          <w:szCs w:val="22"/>
        </w:rPr>
      </w:pPr>
      <w:r w:rsidRPr="00AD76CF">
        <w:rPr>
          <w:rFonts w:ascii="Arial" w:hAnsi="Arial" w:cs="Arial"/>
          <w:b/>
          <w:sz w:val="22"/>
          <w:szCs w:val="22"/>
        </w:rPr>
        <w:t xml:space="preserve">     3</w:t>
      </w:r>
      <w:r w:rsidR="001516FA">
        <w:rPr>
          <w:rFonts w:ascii="Arial" w:hAnsi="Arial" w:cs="Arial"/>
          <w:b/>
          <w:sz w:val="22"/>
          <w:szCs w:val="22"/>
        </w:rPr>
        <w:t xml:space="preserve">. Revenue Position </w:t>
      </w:r>
      <w:r w:rsidR="00E6420E">
        <w:rPr>
          <w:rFonts w:ascii="Arial" w:hAnsi="Arial" w:cs="Arial"/>
          <w:b/>
          <w:sz w:val="22"/>
          <w:szCs w:val="22"/>
        </w:rPr>
        <w:t xml:space="preserve">at </w:t>
      </w:r>
      <w:r w:rsidR="00182577">
        <w:rPr>
          <w:rFonts w:ascii="Arial" w:hAnsi="Arial" w:cs="Arial"/>
          <w:b/>
          <w:sz w:val="22"/>
          <w:szCs w:val="22"/>
        </w:rPr>
        <w:t>30 November</w:t>
      </w:r>
      <w:r w:rsidR="005B62D4">
        <w:rPr>
          <w:rFonts w:ascii="Arial" w:hAnsi="Arial" w:cs="Arial"/>
          <w:b/>
          <w:sz w:val="22"/>
          <w:szCs w:val="22"/>
        </w:rPr>
        <w:t xml:space="preserve"> 2014</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6E46EB"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spent £</w:t>
      </w:r>
      <w:r w:rsidR="00393BEC" w:rsidRPr="00393BEC">
        <w:rPr>
          <w:rFonts w:ascii="Arial" w:hAnsi="Arial" w:cs="Arial"/>
          <w:sz w:val="22"/>
          <w:szCs w:val="22"/>
        </w:rPr>
        <w:t>6.15</w:t>
      </w:r>
      <w:r w:rsidR="00E82F54" w:rsidRPr="00393BEC">
        <w:rPr>
          <w:rFonts w:ascii="Arial" w:hAnsi="Arial" w:cs="Arial"/>
          <w:sz w:val="22"/>
          <w:szCs w:val="22"/>
        </w:rPr>
        <w:t>million</w:t>
      </w:r>
      <w:r w:rsidR="00E82F54">
        <w:rPr>
          <w:rFonts w:ascii="Arial" w:hAnsi="Arial" w:cs="Arial"/>
          <w:sz w:val="22"/>
          <w:szCs w:val="22"/>
        </w:rPr>
        <w:t xml:space="preserve"> </w:t>
      </w:r>
      <w:r>
        <w:rPr>
          <w:rFonts w:ascii="Arial" w:hAnsi="Arial" w:cs="Arial"/>
          <w:sz w:val="22"/>
          <w:szCs w:val="22"/>
        </w:rPr>
        <w:t>(£</w:t>
      </w:r>
      <w:r w:rsidR="00182577">
        <w:rPr>
          <w:rFonts w:ascii="Arial" w:hAnsi="Arial" w:cs="Arial"/>
          <w:sz w:val="22"/>
          <w:szCs w:val="22"/>
        </w:rPr>
        <w:t>5.36</w:t>
      </w:r>
      <w:r>
        <w:rPr>
          <w:rFonts w:ascii="Arial" w:hAnsi="Arial" w:cs="Arial"/>
          <w:sz w:val="22"/>
          <w:szCs w:val="22"/>
        </w:rPr>
        <w:t xml:space="preserve">m end </w:t>
      </w:r>
      <w:r w:rsidR="00B77711">
        <w:rPr>
          <w:rFonts w:ascii="Arial" w:hAnsi="Arial" w:cs="Arial"/>
          <w:sz w:val="22"/>
          <w:szCs w:val="22"/>
        </w:rPr>
        <w:t>October</w:t>
      </w:r>
      <w:r>
        <w:rPr>
          <w:rFonts w:ascii="Arial" w:hAnsi="Arial" w:cs="Arial"/>
          <w:sz w:val="22"/>
          <w:szCs w:val="22"/>
        </w:rPr>
        <w:t>)</w:t>
      </w:r>
      <w:r w:rsidR="00936A58">
        <w:rPr>
          <w:rFonts w:ascii="Arial" w:hAnsi="Arial" w:cs="Arial"/>
          <w:sz w:val="22"/>
          <w:szCs w:val="22"/>
        </w:rPr>
        <w:t xml:space="preserve"> </w:t>
      </w:r>
      <w:r w:rsidR="00E82F54">
        <w:rPr>
          <w:rFonts w:ascii="Arial" w:hAnsi="Arial" w:cs="Arial"/>
          <w:sz w:val="22"/>
          <w:szCs w:val="22"/>
        </w:rPr>
        <w:t xml:space="preserve">year to date and </w:t>
      </w:r>
      <w:r w:rsidR="00AD76CF" w:rsidRPr="00AD76CF">
        <w:rPr>
          <w:rFonts w:ascii="Arial" w:hAnsi="Arial" w:cs="Arial"/>
          <w:sz w:val="22"/>
          <w:szCs w:val="22"/>
        </w:rPr>
        <w:t>under</w:t>
      </w:r>
      <w:r w:rsidR="005743EE">
        <w:rPr>
          <w:rFonts w:ascii="Arial" w:hAnsi="Arial" w:cs="Arial"/>
          <w:sz w:val="22"/>
          <w:szCs w:val="22"/>
        </w:rPr>
        <w:t xml:space="preserve"> </w:t>
      </w:r>
      <w:r w:rsidR="00AD76CF" w:rsidRPr="00AD76CF">
        <w:rPr>
          <w:rFonts w:ascii="Arial" w:hAnsi="Arial" w:cs="Arial"/>
          <w:sz w:val="22"/>
          <w:szCs w:val="22"/>
        </w:rPr>
        <w:t xml:space="preserve">spent </w:t>
      </w:r>
      <w:r w:rsidR="006E46EB">
        <w:rPr>
          <w:rFonts w:ascii="Arial" w:hAnsi="Arial" w:cs="Arial"/>
          <w:sz w:val="22"/>
          <w:szCs w:val="22"/>
        </w:rPr>
        <w:t xml:space="preserve">against profiled budgets </w:t>
      </w:r>
      <w:r w:rsidR="00182577">
        <w:rPr>
          <w:rFonts w:ascii="Arial" w:hAnsi="Arial" w:cs="Arial"/>
          <w:sz w:val="22"/>
          <w:szCs w:val="22"/>
        </w:rPr>
        <w:t>by £243</w:t>
      </w:r>
      <w:r w:rsidR="00841ADE">
        <w:rPr>
          <w:rFonts w:ascii="Arial" w:hAnsi="Arial" w:cs="Arial"/>
          <w:sz w:val="22"/>
          <w:szCs w:val="22"/>
        </w:rPr>
        <w:t>k</w:t>
      </w:r>
      <w:r>
        <w:rPr>
          <w:rFonts w:ascii="Arial" w:hAnsi="Arial" w:cs="Arial"/>
          <w:sz w:val="22"/>
          <w:szCs w:val="22"/>
        </w:rPr>
        <w:t xml:space="preserve"> (£</w:t>
      </w:r>
      <w:r w:rsidR="00182577">
        <w:rPr>
          <w:rFonts w:ascii="Arial" w:hAnsi="Arial" w:cs="Arial"/>
          <w:sz w:val="22"/>
          <w:szCs w:val="22"/>
        </w:rPr>
        <w:t>201</w:t>
      </w:r>
      <w:r>
        <w:rPr>
          <w:rFonts w:ascii="Arial" w:hAnsi="Arial" w:cs="Arial"/>
          <w:sz w:val="22"/>
          <w:szCs w:val="22"/>
        </w:rPr>
        <w:t xml:space="preserve">k end </w:t>
      </w:r>
      <w:r w:rsidR="00BB772C">
        <w:rPr>
          <w:rFonts w:ascii="Arial" w:hAnsi="Arial" w:cs="Arial"/>
          <w:sz w:val="22"/>
          <w:szCs w:val="22"/>
        </w:rPr>
        <w:t>October</w:t>
      </w:r>
      <w:r>
        <w:rPr>
          <w:rFonts w:ascii="Arial" w:hAnsi="Arial" w:cs="Arial"/>
          <w:sz w:val="22"/>
          <w:szCs w:val="22"/>
        </w:rPr>
        <w:t>)</w:t>
      </w:r>
      <w:r w:rsidR="000D2990">
        <w:rPr>
          <w:rFonts w:ascii="Arial" w:hAnsi="Arial" w:cs="Arial"/>
          <w:sz w:val="22"/>
          <w:szCs w:val="22"/>
        </w:rPr>
        <w:t>.</w:t>
      </w:r>
      <w:r w:rsidR="00954A12">
        <w:rPr>
          <w:rFonts w:ascii="Arial" w:hAnsi="Arial" w:cs="Arial"/>
          <w:sz w:val="22"/>
          <w:szCs w:val="22"/>
        </w:rPr>
        <w:t xml:space="preserve"> </w:t>
      </w:r>
    </w:p>
    <w:p w:rsidR="004B5C87" w:rsidRDefault="004B5C87" w:rsidP="00AD76CF">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936A58">
        <w:rPr>
          <w:rFonts w:ascii="Arial" w:hAnsi="Arial" w:cs="Arial"/>
          <w:sz w:val="22"/>
          <w:szCs w:val="22"/>
        </w:rPr>
        <w:t xml:space="preserve"> at 3</w:t>
      </w:r>
      <w:r w:rsidR="00182577">
        <w:rPr>
          <w:rFonts w:ascii="Arial" w:hAnsi="Arial" w:cs="Arial"/>
          <w:sz w:val="22"/>
          <w:szCs w:val="22"/>
        </w:rPr>
        <w:t>0 November</w:t>
      </w:r>
      <w:r w:rsidR="00936A58">
        <w:rPr>
          <w:rFonts w:ascii="Arial" w:hAnsi="Arial" w:cs="Arial"/>
          <w:sz w:val="22"/>
          <w:szCs w:val="22"/>
        </w:rPr>
        <w:t xml:space="preserve"> 2014 of £</w:t>
      </w:r>
      <w:r w:rsidR="00F75DB2" w:rsidRPr="00F75DB2">
        <w:rPr>
          <w:rFonts w:ascii="Arial" w:hAnsi="Arial" w:cs="Arial"/>
          <w:sz w:val="22"/>
          <w:szCs w:val="22"/>
        </w:rPr>
        <w:t>6.15</w:t>
      </w:r>
      <w:r w:rsidRPr="00F75DB2">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A30B13" w:rsidRDefault="002B67AD" w:rsidP="00911928">
      <w:pPr>
        <w:pStyle w:val="ListParagraph"/>
        <w:numPr>
          <w:ilvl w:val="0"/>
          <w:numId w:val="17"/>
        </w:numPr>
        <w:jc w:val="both"/>
        <w:rPr>
          <w:rFonts w:ascii="Arial" w:hAnsi="Arial" w:cs="Arial"/>
          <w:sz w:val="22"/>
          <w:szCs w:val="22"/>
        </w:rPr>
      </w:pPr>
      <w:r>
        <w:rPr>
          <w:rFonts w:ascii="Arial" w:hAnsi="Arial" w:cs="Arial"/>
          <w:sz w:val="22"/>
          <w:szCs w:val="22"/>
        </w:rPr>
        <w:t>Total pa</w:t>
      </w:r>
      <w:r w:rsidR="000C5914">
        <w:rPr>
          <w:rFonts w:ascii="Arial" w:hAnsi="Arial" w:cs="Arial"/>
          <w:sz w:val="22"/>
          <w:szCs w:val="22"/>
        </w:rPr>
        <w:t xml:space="preserve">y </w:t>
      </w:r>
      <w:r w:rsidR="00393BEC">
        <w:rPr>
          <w:rFonts w:ascii="Arial" w:hAnsi="Arial" w:cs="Arial"/>
          <w:sz w:val="22"/>
          <w:szCs w:val="22"/>
        </w:rPr>
        <w:t>costs incurred to date are £3.99</w:t>
      </w:r>
      <w:r w:rsidR="004B5C87">
        <w:rPr>
          <w:rFonts w:ascii="Arial" w:hAnsi="Arial" w:cs="Arial"/>
          <w:sz w:val="22"/>
          <w:szCs w:val="22"/>
        </w:rPr>
        <w:t>m</w:t>
      </w:r>
      <w:r w:rsidR="000C5914">
        <w:rPr>
          <w:rFonts w:ascii="Arial" w:hAnsi="Arial" w:cs="Arial"/>
          <w:sz w:val="22"/>
          <w:szCs w:val="22"/>
        </w:rPr>
        <w:t xml:space="preserve"> </w:t>
      </w:r>
      <w:r w:rsidR="00850AB1">
        <w:rPr>
          <w:rFonts w:ascii="Arial" w:hAnsi="Arial" w:cs="Arial"/>
          <w:sz w:val="22"/>
          <w:szCs w:val="22"/>
        </w:rPr>
        <w:t>(</w:t>
      </w:r>
      <w:r w:rsidR="0025538B">
        <w:rPr>
          <w:rFonts w:ascii="Arial" w:hAnsi="Arial" w:cs="Arial"/>
          <w:sz w:val="22"/>
          <w:szCs w:val="22"/>
        </w:rPr>
        <w:t xml:space="preserve">gross with </w:t>
      </w:r>
      <w:r w:rsidR="004B5C87">
        <w:rPr>
          <w:rFonts w:ascii="Arial" w:hAnsi="Arial" w:cs="Arial"/>
          <w:sz w:val="22"/>
          <w:szCs w:val="22"/>
        </w:rPr>
        <w:t xml:space="preserve">income from </w:t>
      </w:r>
      <w:r w:rsidR="000C5914">
        <w:rPr>
          <w:rFonts w:ascii="Arial" w:hAnsi="Arial" w:cs="Arial"/>
          <w:sz w:val="22"/>
          <w:szCs w:val="22"/>
        </w:rPr>
        <w:t>a secondment recharge of £11k</w:t>
      </w:r>
      <w:r w:rsidR="00393BEC">
        <w:rPr>
          <w:rFonts w:ascii="Arial" w:hAnsi="Arial" w:cs="Arial"/>
          <w:sz w:val="22"/>
          <w:szCs w:val="22"/>
        </w:rPr>
        <w:t xml:space="preserve"> giving a net cost of £3.98</w:t>
      </w:r>
      <w:r w:rsidR="00850AB1">
        <w:rPr>
          <w:rFonts w:ascii="Arial" w:hAnsi="Arial" w:cs="Arial"/>
          <w:sz w:val="22"/>
          <w:szCs w:val="22"/>
        </w:rPr>
        <w:t>m)</w:t>
      </w:r>
      <w:r w:rsidR="000C5914">
        <w:rPr>
          <w:rFonts w:ascii="Arial" w:hAnsi="Arial" w:cs="Arial"/>
          <w:sz w:val="22"/>
          <w:szCs w:val="22"/>
        </w:rPr>
        <w:t>.</w:t>
      </w:r>
      <w:r w:rsidR="008F0991">
        <w:rPr>
          <w:rFonts w:ascii="Arial" w:hAnsi="Arial" w:cs="Arial"/>
          <w:sz w:val="22"/>
          <w:szCs w:val="22"/>
        </w:rPr>
        <w:t xml:space="preserve">  </w:t>
      </w:r>
      <w:r w:rsidR="00CC7BEE">
        <w:rPr>
          <w:rFonts w:ascii="Arial" w:hAnsi="Arial" w:cs="Arial"/>
          <w:sz w:val="22"/>
          <w:szCs w:val="22"/>
        </w:rPr>
        <w:t xml:space="preserve">Considerable work has been deployed in to the recruitment phases supporting HRA Approval.  </w:t>
      </w:r>
      <w:r>
        <w:rPr>
          <w:rFonts w:ascii="Arial" w:hAnsi="Arial" w:cs="Arial"/>
          <w:sz w:val="22"/>
          <w:szCs w:val="22"/>
        </w:rPr>
        <w:t>Phase 2 recruitment has completed and the profile of starters is set out below along with high level plans for phase</w:t>
      </w:r>
      <w:r w:rsidR="00AE298D">
        <w:rPr>
          <w:rFonts w:ascii="Arial" w:hAnsi="Arial" w:cs="Arial"/>
          <w:sz w:val="22"/>
          <w:szCs w:val="22"/>
        </w:rPr>
        <w:t>s</w:t>
      </w:r>
      <w:r w:rsidR="00AB60D0">
        <w:rPr>
          <w:rFonts w:ascii="Arial" w:hAnsi="Arial" w:cs="Arial"/>
          <w:sz w:val="22"/>
          <w:szCs w:val="22"/>
        </w:rPr>
        <w:t xml:space="preserve"> 3 to 6.</w:t>
      </w:r>
      <w:r w:rsidR="00CC7BEE">
        <w:rPr>
          <w:rFonts w:ascii="Arial" w:hAnsi="Arial" w:cs="Arial"/>
          <w:sz w:val="22"/>
          <w:szCs w:val="22"/>
        </w:rPr>
        <w:t xml:space="preserve">  Approximately 40% of WTEs are in post as at the end of November.</w:t>
      </w:r>
    </w:p>
    <w:p w:rsidR="00CC7BEE" w:rsidRDefault="00CC7BEE" w:rsidP="00CC7BEE">
      <w:pPr>
        <w:pStyle w:val="ListParagraph"/>
        <w:ind w:left="1080"/>
        <w:jc w:val="both"/>
        <w:rPr>
          <w:rFonts w:ascii="Arial" w:hAnsi="Arial" w:cs="Arial"/>
          <w:sz w:val="22"/>
          <w:szCs w:val="22"/>
        </w:rPr>
      </w:pPr>
    </w:p>
    <w:tbl>
      <w:tblPr>
        <w:tblW w:w="9366" w:type="dxa"/>
        <w:tblInd w:w="98" w:type="dxa"/>
        <w:tblLayout w:type="fixed"/>
        <w:tblLook w:val="04A0" w:firstRow="1" w:lastRow="0" w:firstColumn="1" w:lastColumn="0" w:noHBand="0" w:noVBand="1"/>
      </w:tblPr>
      <w:tblGrid>
        <w:gridCol w:w="1286"/>
        <w:gridCol w:w="1515"/>
        <w:gridCol w:w="1039"/>
        <w:gridCol w:w="1505"/>
        <w:gridCol w:w="1312"/>
        <w:gridCol w:w="1121"/>
        <w:gridCol w:w="812"/>
        <w:gridCol w:w="776"/>
      </w:tblGrid>
      <w:tr w:rsidR="00CC7BEE" w:rsidRPr="00CC7BEE" w:rsidTr="00CC7BEE">
        <w:trPr>
          <w:trHeight w:val="540"/>
        </w:trPr>
        <w:tc>
          <w:tcPr>
            <w:tcW w:w="1286"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 </w:t>
            </w:r>
          </w:p>
        </w:tc>
        <w:tc>
          <w:tcPr>
            <w:tcW w:w="151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1</w:t>
            </w:r>
          </w:p>
        </w:tc>
        <w:tc>
          <w:tcPr>
            <w:tcW w:w="1039"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2</w:t>
            </w:r>
          </w:p>
        </w:tc>
        <w:tc>
          <w:tcPr>
            <w:tcW w:w="150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3</w:t>
            </w:r>
          </w:p>
        </w:tc>
        <w:tc>
          <w:tcPr>
            <w:tcW w:w="1312"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w:t>
            </w:r>
          </w:p>
        </w:tc>
        <w:tc>
          <w:tcPr>
            <w:tcW w:w="1121"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 &amp; 5</w:t>
            </w:r>
          </w:p>
        </w:tc>
        <w:tc>
          <w:tcPr>
            <w:tcW w:w="812" w:type="dxa"/>
            <w:tcBorders>
              <w:top w:val="single" w:sz="8" w:space="0" w:color="auto"/>
              <w:left w:val="nil"/>
              <w:bottom w:val="single" w:sz="4" w:space="0" w:color="auto"/>
              <w:right w:val="nil"/>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6</w:t>
            </w:r>
          </w:p>
        </w:tc>
        <w:tc>
          <w:tcPr>
            <w:tcW w:w="776" w:type="dxa"/>
            <w:tcBorders>
              <w:top w:val="single" w:sz="8" w:space="0" w:color="auto"/>
              <w:left w:val="single" w:sz="4" w:space="0" w:color="auto"/>
              <w:bottom w:val="single" w:sz="4" w:space="0" w:color="auto"/>
              <w:right w:val="single" w:sz="8"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Total</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July-Sept</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Oct</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Nov - Dec</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by Mar</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Apr-15</w:t>
            </w:r>
          </w:p>
        </w:tc>
        <w:tc>
          <w:tcPr>
            <w:tcW w:w="812" w:type="dxa"/>
            <w:tcBorders>
              <w:top w:val="nil"/>
              <w:left w:val="nil"/>
              <w:bottom w:val="single" w:sz="4" w:space="0" w:color="auto"/>
              <w:right w:val="nil"/>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Nov-15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Headcount</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12</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9</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9</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31</w:t>
            </w:r>
          </w:p>
        </w:tc>
        <w:tc>
          <w:tcPr>
            <w:tcW w:w="812" w:type="dxa"/>
            <w:tcBorders>
              <w:top w:val="nil"/>
              <w:left w:val="nil"/>
              <w:bottom w:val="single" w:sz="4" w:space="0" w:color="auto"/>
              <w:right w:val="nil"/>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91</w:t>
            </w:r>
          </w:p>
        </w:tc>
      </w:tr>
      <w:tr w:rsidR="00CC7BEE" w:rsidRPr="00CC7BEE" w:rsidTr="00CC7BEE">
        <w:trPr>
          <w:trHeight w:val="315"/>
        </w:trPr>
        <w:tc>
          <w:tcPr>
            <w:tcW w:w="1286" w:type="dxa"/>
            <w:tcBorders>
              <w:top w:val="nil"/>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WTE's</w:t>
            </w:r>
          </w:p>
        </w:tc>
        <w:tc>
          <w:tcPr>
            <w:tcW w:w="1515"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13</w:t>
            </w:r>
          </w:p>
        </w:tc>
        <w:tc>
          <w:tcPr>
            <w:tcW w:w="1039"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6.9</w:t>
            </w:r>
          </w:p>
        </w:tc>
        <w:tc>
          <w:tcPr>
            <w:tcW w:w="1505"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7.2</w:t>
            </w:r>
          </w:p>
        </w:tc>
        <w:tc>
          <w:tcPr>
            <w:tcW w:w="1312"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8.6</w:t>
            </w:r>
          </w:p>
        </w:tc>
        <w:tc>
          <w:tcPr>
            <w:tcW w:w="1121"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31</w:t>
            </w:r>
          </w:p>
        </w:tc>
        <w:tc>
          <w:tcPr>
            <w:tcW w:w="812" w:type="dxa"/>
            <w:tcBorders>
              <w:top w:val="nil"/>
              <w:left w:val="nil"/>
              <w:bottom w:val="single" w:sz="8" w:space="0" w:color="auto"/>
              <w:right w:val="nil"/>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776" w:type="dxa"/>
            <w:tcBorders>
              <w:top w:val="nil"/>
              <w:left w:val="single" w:sz="4" w:space="0" w:color="auto"/>
              <w:bottom w:val="single" w:sz="8"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81.7</w:t>
            </w:r>
          </w:p>
        </w:tc>
      </w:tr>
      <w:tr w:rsidR="00CC7BEE" w:rsidRPr="00CC7BEE" w:rsidTr="00CC7BEE">
        <w:trPr>
          <w:trHeight w:val="315"/>
        </w:trPr>
        <w:tc>
          <w:tcPr>
            <w:tcW w:w="12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 xml:space="preserve">% WTEs </w:t>
            </w:r>
            <w:proofErr w:type="spellStart"/>
            <w:r w:rsidRPr="00CC7BEE">
              <w:rPr>
                <w:rFonts w:ascii="Calibri" w:hAnsi="Calibri" w:cs="Calibri"/>
                <w:b/>
                <w:bCs/>
                <w:color w:val="000000"/>
                <w:sz w:val="22"/>
                <w:szCs w:val="22"/>
              </w:rPr>
              <w:t>inpost</w:t>
            </w:r>
            <w:proofErr w:type="spellEnd"/>
          </w:p>
        </w:tc>
        <w:tc>
          <w:tcPr>
            <w:tcW w:w="151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16%</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w:t>
            </w:r>
          </w:p>
        </w:tc>
        <w:tc>
          <w:tcPr>
            <w:tcW w:w="150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9%</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11%</w:t>
            </w:r>
          </w:p>
        </w:tc>
        <w:tc>
          <w:tcPr>
            <w:tcW w:w="1121"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38%</w:t>
            </w:r>
          </w:p>
        </w:tc>
        <w:tc>
          <w:tcPr>
            <w:tcW w:w="812" w:type="dxa"/>
            <w:tcBorders>
              <w:top w:val="single" w:sz="4" w:space="0" w:color="auto"/>
              <w:left w:val="nil"/>
              <w:bottom w:val="single" w:sz="8" w:space="0" w:color="auto"/>
              <w:right w:val="nil"/>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18%</w:t>
            </w:r>
          </w:p>
        </w:tc>
        <w:tc>
          <w:tcPr>
            <w:tcW w:w="77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bl>
    <w:p w:rsidR="00CB5121" w:rsidRPr="00911928" w:rsidRDefault="00CB5121" w:rsidP="00CB5121">
      <w:pPr>
        <w:pStyle w:val="ListParagraph"/>
        <w:ind w:left="1080"/>
        <w:jc w:val="both"/>
        <w:rPr>
          <w:rFonts w:ascii="Arial" w:hAnsi="Arial" w:cs="Arial"/>
          <w:sz w:val="22"/>
          <w:szCs w:val="22"/>
        </w:rPr>
      </w:pPr>
    </w:p>
    <w:p w:rsidR="004B5C87" w:rsidRDefault="004B5C87" w:rsidP="004B5C87">
      <w:pPr>
        <w:pStyle w:val="ListParagraph"/>
        <w:ind w:left="1080"/>
        <w:rPr>
          <w:rFonts w:ascii="Arial" w:hAnsi="Arial" w:cs="Arial"/>
          <w:sz w:val="22"/>
          <w:szCs w:val="22"/>
        </w:rPr>
      </w:pPr>
    </w:p>
    <w:p w:rsidR="004B5C87" w:rsidRDefault="004B5C87" w:rsidP="004B5C87">
      <w:pPr>
        <w:pStyle w:val="ListParagraph"/>
        <w:ind w:left="1080"/>
        <w:rPr>
          <w:rFonts w:ascii="Arial" w:hAnsi="Arial" w:cs="Arial"/>
          <w:sz w:val="22"/>
          <w:szCs w:val="22"/>
        </w:rPr>
      </w:pPr>
    </w:p>
    <w:p w:rsidR="00A30B13" w:rsidRDefault="00A30B13" w:rsidP="00A30B13">
      <w:pPr>
        <w:pStyle w:val="ListParagraph"/>
        <w:numPr>
          <w:ilvl w:val="0"/>
          <w:numId w:val="17"/>
        </w:numPr>
        <w:rPr>
          <w:rFonts w:ascii="Arial" w:hAnsi="Arial" w:cs="Arial"/>
          <w:sz w:val="22"/>
          <w:szCs w:val="22"/>
        </w:rPr>
      </w:pPr>
      <w:r w:rsidRPr="00A30B13">
        <w:rPr>
          <w:rFonts w:ascii="Arial" w:hAnsi="Arial" w:cs="Arial"/>
          <w:sz w:val="22"/>
          <w:szCs w:val="22"/>
        </w:rPr>
        <w:lastRenderedPageBreak/>
        <w:t xml:space="preserve">The allocation of budgets linked to the business case requirement </w:t>
      </w:r>
      <w:r w:rsidR="002B67AD">
        <w:rPr>
          <w:rFonts w:ascii="Arial" w:hAnsi="Arial" w:cs="Arial"/>
          <w:sz w:val="22"/>
          <w:szCs w:val="22"/>
        </w:rPr>
        <w:t>continues to</w:t>
      </w:r>
      <w:r w:rsidR="005137D7">
        <w:rPr>
          <w:rFonts w:ascii="Arial" w:hAnsi="Arial" w:cs="Arial"/>
          <w:sz w:val="22"/>
          <w:szCs w:val="22"/>
        </w:rPr>
        <w:t xml:space="preserve"> be finalised.  Phase 1</w:t>
      </w:r>
      <w:r w:rsidR="006C20DB">
        <w:rPr>
          <w:rFonts w:ascii="Arial" w:hAnsi="Arial" w:cs="Arial"/>
          <w:sz w:val="22"/>
          <w:szCs w:val="22"/>
        </w:rPr>
        <w:t xml:space="preserve"> </w:t>
      </w:r>
      <w:r w:rsidR="00E97EB3">
        <w:rPr>
          <w:rFonts w:ascii="Arial" w:hAnsi="Arial" w:cs="Arial"/>
          <w:sz w:val="22"/>
          <w:szCs w:val="22"/>
        </w:rPr>
        <w:t>to Phase 3</w:t>
      </w:r>
      <w:r w:rsidR="002B67AD">
        <w:rPr>
          <w:rFonts w:ascii="Arial" w:hAnsi="Arial" w:cs="Arial"/>
          <w:sz w:val="22"/>
          <w:szCs w:val="22"/>
        </w:rPr>
        <w:t xml:space="preserve"> posts have been allocated and profiled</w:t>
      </w:r>
      <w:r w:rsidR="00E97EB3">
        <w:rPr>
          <w:rFonts w:ascii="Arial" w:hAnsi="Arial" w:cs="Arial"/>
          <w:sz w:val="22"/>
          <w:szCs w:val="22"/>
        </w:rPr>
        <w:t xml:space="preserve"> and</w:t>
      </w:r>
      <w:r w:rsidR="005137D7">
        <w:rPr>
          <w:rFonts w:ascii="Arial" w:hAnsi="Arial" w:cs="Arial"/>
          <w:sz w:val="22"/>
          <w:szCs w:val="22"/>
        </w:rPr>
        <w:t xml:space="preserve"> </w:t>
      </w:r>
      <w:r w:rsidR="00257A11">
        <w:rPr>
          <w:rFonts w:ascii="Arial" w:hAnsi="Arial" w:cs="Arial"/>
          <w:sz w:val="22"/>
          <w:szCs w:val="22"/>
        </w:rPr>
        <w:t xml:space="preserve">appointed posts have been </w:t>
      </w:r>
      <w:r w:rsidR="005137D7">
        <w:rPr>
          <w:rFonts w:ascii="Arial" w:hAnsi="Arial" w:cs="Arial"/>
          <w:sz w:val="22"/>
          <w:szCs w:val="22"/>
        </w:rPr>
        <w:t>transfe</w:t>
      </w:r>
      <w:r w:rsidR="000C5914">
        <w:rPr>
          <w:rFonts w:ascii="Arial" w:hAnsi="Arial" w:cs="Arial"/>
          <w:sz w:val="22"/>
          <w:szCs w:val="22"/>
        </w:rPr>
        <w:t>rred from reserves during September</w:t>
      </w:r>
      <w:r w:rsidR="00D75573">
        <w:rPr>
          <w:rFonts w:ascii="Arial" w:hAnsi="Arial" w:cs="Arial"/>
          <w:sz w:val="22"/>
          <w:szCs w:val="22"/>
        </w:rPr>
        <w:t xml:space="preserve"> </w:t>
      </w:r>
      <w:r w:rsidR="00E97EB3">
        <w:rPr>
          <w:rFonts w:ascii="Arial" w:hAnsi="Arial" w:cs="Arial"/>
          <w:sz w:val="22"/>
          <w:szCs w:val="22"/>
        </w:rPr>
        <w:t>to November</w:t>
      </w:r>
      <w:r w:rsidR="00D75573">
        <w:rPr>
          <w:rFonts w:ascii="Arial" w:hAnsi="Arial" w:cs="Arial"/>
          <w:sz w:val="22"/>
          <w:szCs w:val="22"/>
        </w:rPr>
        <w:t>.  £1.567</w:t>
      </w:r>
      <w:r w:rsidR="002B67AD" w:rsidRPr="001A7ECD">
        <w:rPr>
          <w:rFonts w:ascii="Arial" w:hAnsi="Arial" w:cs="Arial"/>
          <w:sz w:val="22"/>
          <w:szCs w:val="22"/>
        </w:rPr>
        <w:t>m</w:t>
      </w:r>
      <w:r w:rsidRPr="001A7ECD">
        <w:rPr>
          <w:rFonts w:ascii="Arial" w:hAnsi="Arial" w:cs="Arial"/>
          <w:sz w:val="22"/>
          <w:szCs w:val="22"/>
        </w:rPr>
        <w:t xml:space="preserve"> </w:t>
      </w:r>
      <w:r w:rsidR="002B67AD" w:rsidRPr="001A7ECD">
        <w:rPr>
          <w:rFonts w:ascii="Arial" w:hAnsi="Arial" w:cs="Arial"/>
          <w:sz w:val="22"/>
          <w:szCs w:val="22"/>
        </w:rPr>
        <w:t>has been all</w:t>
      </w:r>
      <w:r w:rsidR="00B26EFB">
        <w:rPr>
          <w:rFonts w:ascii="Arial" w:hAnsi="Arial" w:cs="Arial"/>
          <w:sz w:val="22"/>
          <w:szCs w:val="22"/>
        </w:rPr>
        <w:t xml:space="preserve">ocated from </w:t>
      </w:r>
      <w:r w:rsidR="00750654">
        <w:rPr>
          <w:rFonts w:ascii="Arial" w:hAnsi="Arial" w:cs="Arial"/>
          <w:sz w:val="22"/>
          <w:szCs w:val="22"/>
        </w:rPr>
        <w:t>the business case reserve</w:t>
      </w:r>
      <w:r w:rsidR="00D75573">
        <w:rPr>
          <w:rFonts w:ascii="Arial" w:hAnsi="Arial" w:cs="Arial"/>
          <w:sz w:val="22"/>
          <w:szCs w:val="22"/>
        </w:rPr>
        <w:t xml:space="preserve"> with £2.95</w:t>
      </w:r>
      <w:r w:rsidR="005137D7" w:rsidRPr="001A7ECD">
        <w:rPr>
          <w:rFonts w:ascii="Arial" w:hAnsi="Arial" w:cs="Arial"/>
          <w:sz w:val="22"/>
          <w:szCs w:val="22"/>
        </w:rPr>
        <w:t>m of</w:t>
      </w:r>
      <w:r w:rsidR="00B26EFB">
        <w:rPr>
          <w:rFonts w:ascii="Arial" w:hAnsi="Arial" w:cs="Arial"/>
          <w:sz w:val="22"/>
          <w:szCs w:val="22"/>
        </w:rPr>
        <w:t xml:space="preserve"> the budget therefore</w:t>
      </w:r>
      <w:r w:rsidR="00AB60D0">
        <w:rPr>
          <w:rFonts w:ascii="Arial" w:hAnsi="Arial" w:cs="Arial"/>
          <w:sz w:val="22"/>
          <w:szCs w:val="22"/>
        </w:rPr>
        <w:t xml:space="preserve"> still remaining, of which </w:t>
      </w:r>
      <w:r w:rsidR="00D75573">
        <w:rPr>
          <w:rFonts w:ascii="Arial" w:hAnsi="Arial" w:cs="Arial"/>
          <w:sz w:val="22"/>
          <w:szCs w:val="22"/>
        </w:rPr>
        <w:t>£1.02</w:t>
      </w:r>
      <w:r w:rsidR="005137D7" w:rsidRPr="00AD22E4">
        <w:rPr>
          <w:rFonts w:ascii="Arial" w:hAnsi="Arial" w:cs="Arial"/>
          <w:sz w:val="22"/>
          <w:szCs w:val="22"/>
        </w:rPr>
        <w:t>m</w:t>
      </w:r>
      <w:r w:rsidR="005137D7" w:rsidRPr="001A7ECD">
        <w:rPr>
          <w:rFonts w:ascii="Arial" w:hAnsi="Arial" w:cs="Arial"/>
          <w:sz w:val="22"/>
          <w:szCs w:val="22"/>
        </w:rPr>
        <w:t xml:space="preserve"> is earmarked.</w:t>
      </w:r>
    </w:p>
    <w:p w:rsidR="00750654" w:rsidRPr="001A7ECD" w:rsidRDefault="00750654" w:rsidP="00A30B13">
      <w:pPr>
        <w:pStyle w:val="ListParagraph"/>
        <w:numPr>
          <w:ilvl w:val="0"/>
          <w:numId w:val="17"/>
        </w:numPr>
        <w:rPr>
          <w:rFonts w:ascii="Arial" w:hAnsi="Arial" w:cs="Arial"/>
          <w:sz w:val="22"/>
          <w:szCs w:val="22"/>
        </w:rPr>
      </w:pPr>
      <w:r>
        <w:rPr>
          <w:rFonts w:ascii="Arial" w:hAnsi="Arial" w:cs="Arial"/>
          <w:sz w:val="22"/>
          <w:szCs w:val="22"/>
        </w:rPr>
        <w:t xml:space="preserve">The business as usual reserve </w:t>
      </w:r>
      <w:r w:rsidR="00CB5121">
        <w:rPr>
          <w:rFonts w:ascii="Arial" w:hAnsi="Arial" w:cs="Arial"/>
          <w:sz w:val="22"/>
          <w:szCs w:val="22"/>
        </w:rPr>
        <w:t>h</w:t>
      </w:r>
      <w:r w:rsidR="00393BEC">
        <w:rPr>
          <w:rFonts w:ascii="Arial" w:hAnsi="Arial" w:cs="Arial"/>
          <w:sz w:val="22"/>
          <w:szCs w:val="22"/>
        </w:rPr>
        <w:t>as a balance of £550</w:t>
      </w:r>
      <w:r>
        <w:rPr>
          <w:rFonts w:ascii="Arial" w:hAnsi="Arial" w:cs="Arial"/>
          <w:sz w:val="22"/>
          <w:szCs w:val="22"/>
        </w:rPr>
        <w:t>k, of which ther</w:t>
      </w:r>
      <w:r w:rsidR="00AB60D0">
        <w:rPr>
          <w:rFonts w:ascii="Arial" w:hAnsi="Arial" w:cs="Arial"/>
          <w:sz w:val="22"/>
          <w:szCs w:val="22"/>
        </w:rPr>
        <w:t xml:space="preserve">e are earmarked reserves </w:t>
      </w:r>
      <w:r w:rsidR="00AB60D0" w:rsidRPr="00AD22E4">
        <w:rPr>
          <w:rFonts w:ascii="Arial" w:hAnsi="Arial" w:cs="Arial"/>
          <w:sz w:val="22"/>
          <w:szCs w:val="22"/>
        </w:rPr>
        <w:t xml:space="preserve">of </w:t>
      </w:r>
      <w:r w:rsidR="00D75573">
        <w:rPr>
          <w:rFonts w:ascii="Arial" w:hAnsi="Arial" w:cs="Arial"/>
          <w:sz w:val="22"/>
          <w:szCs w:val="22"/>
        </w:rPr>
        <w:t>£500</w:t>
      </w:r>
      <w:r w:rsidRPr="00AD22E4">
        <w:rPr>
          <w:rFonts w:ascii="Arial" w:hAnsi="Arial" w:cs="Arial"/>
          <w:sz w:val="22"/>
          <w:szCs w:val="22"/>
        </w:rPr>
        <w:t>k.</w:t>
      </w:r>
    </w:p>
    <w:p w:rsidR="00A30B13" w:rsidRDefault="00A30B13" w:rsidP="006E46EB">
      <w:pPr>
        <w:pStyle w:val="ListParagraph"/>
        <w:numPr>
          <w:ilvl w:val="0"/>
          <w:numId w:val="17"/>
        </w:numPr>
        <w:jc w:val="both"/>
        <w:rPr>
          <w:rFonts w:ascii="Arial" w:hAnsi="Arial" w:cs="Arial"/>
          <w:sz w:val="22"/>
          <w:szCs w:val="22"/>
        </w:rPr>
      </w:pPr>
      <w:r>
        <w:rPr>
          <w:rFonts w:ascii="Arial" w:hAnsi="Arial" w:cs="Arial"/>
          <w:sz w:val="22"/>
          <w:szCs w:val="22"/>
        </w:rPr>
        <w:t xml:space="preserve">A disciplined approach </w:t>
      </w:r>
      <w:r w:rsidR="002B67AD">
        <w:rPr>
          <w:rFonts w:ascii="Arial" w:hAnsi="Arial" w:cs="Arial"/>
          <w:sz w:val="22"/>
          <w:szCs w:val="22"/>
        </w:rPr>
        <w:t xml:space="preserve">continues to be required </w:t>
      </w:r>
      <w:r>
        <w:rPr>
          <w:rFonts w:ascii="Arial" w:hAnsi="Arial" w:cs="Arial"/>
          <w:sz w:val="22"/>
          <w:szCs w:val="22"/>
        </w:rPr>
        <w:t>to focus on business as usual</w:t>
      </w:r>
      <w:r w:rsidR="000200FA">
        <w:rPr>
          <w:rFonts w:ascii="Arial" w:hAnsi="Arial" w:cs="Arial"/>
          <w:sz w:val="22"/>
          <w:szCs w:val="22"/>
        </w:rPr>
        <w:t>,</w:t>
      </w:r>
      <w:r>
        <w:rPr>
          <w:rFonts w:ascii="Arial" w:hAnsi="Arial" w:cs="Arial"/>
          <w:sz w:val="22"/>
          <w:szCs w:val="22"/>
        </w:rPr>
        <w:t xml:space="preserve"> at the same time as </w:t>
      </w:r>
      <w:r w:rsidR="002B67AD">
        <w:rPr>
          <w:rFonts w:ascii="Arial" w:hAnsi="Arial" w:cs="Arial"/>
          <w:sz w:val="22"/>
          <w:szCs w:val="22"/>
        </w:rPr>
        <w:t xml:space="preserve">continuing further </w:t>
      </w:r>
      <w:r>
        <w:rPr>
          <w:rFonts w:ascii="Arial" w:hAnsi="Arial" w:cs="Arial"/>
          <w:sz w:val="22"/>
          <w:szCs w:val="22"/>
        </w:rPr>
        <w:t xml:space="preserve">significant recruitment activity for a </w:t>
      </w:r>
      <w:r w:rsidR="000200FA">
        <w:rPr>
          <w:rFonts w:ascii="Arial" w:hAnsi="Arial" w:cs="Arial"/>
          <w:sz w:val="22"/>
          <w:szCs w:val="22"/>
        </w:rPr>
        <w:t xml:space="preserve">growing but new staff </w:t>
      </w:r>
      <w:r>
        <w:rPr>
          <w:rFonts w:ascii="Arial" w:hAnsi="Arial" w:cs="Arial"/>
          <w:sz w:val="22"/>
          <w:szCs w:val="22"/>
        </w:rPr>
        <w:t>team</w:t>
      </w:r>
      <w:r w:rsidR="000200FA">
        <w:rPr>
          <w:rFonts w:ascii="Arial" w:hAnsi="Arial" w:cs="Arial"/>
          <w:sz w:val="22"/>
          <w:szCs w:val="22"/>
        </w:rPr>
        <w:t>,</w:t>
      </w:r>
      <w:r>
        <w:rPr>
          <w:rFonts w:ascii="Arial" w:hAnsi="Arial" w:cs="Arial"/>
          <w:sz w:val="22"/>
          <w:szCs w:val="22"/>
        </w:rPr>
        <w:t xml:space="preserve"> </w:t>
      </w:r>
      <w:r w:rsidR="000200FA">
        <w:rPr>
          <w:rFonts w:ascii="Arial" w:hAnsi="Arial" w:cs="Arial"/>
          <w:sz w:val="22"/>
          <w:szCs w:val="22"/>
        </w:rPr>
        <w:t xml:space="preserve">whilst </w:t>
      </w:r>
      <w:r w:rsidR="004B5C87">
        <w:rPr>
          <w:rFonts w:ascii="Arial" w:hAnsi="Arial" w:cs="Arial"/>
          <w:sz w:val="22"/>
          <w:szCs w:val="22"/>
        </w:rPr>
        <w:t xml:space="preserve">continuing to </w:t>
      </w:r>
      <w:r w:rsidR="00354EC4">
        <w:rPr>
          <w:rFonts w:ascii="Arial" w:hAnsi="Arial" w:cs="Arial"/>
          <w:sz w:val="22"/>
          <w:szCs w:val="22"/>
        </w:rPr>
        <w:t>progress a major project</w:t>
      </w:r>
      <w:r w:rsidR="000200FA">
        <w:rPr>
          <w:rFonts w:ascii="Arial" w:hAnsi="Arial" w:cs="Arial"/>
          <w:sz w:val="22"/>
          <w:szCs w:val="22"/>
        </w:rPr>
        <w:t>.  This approach</w:t>
      </w:r>
      <w:r w:rsidR="00354EC4">
        <w:rPr>
          <w:rFonts w:ascii="Arial" w:hAnsi="Arial" w:cs="Arial"/>
          <w:sz w:val="22"/>
          <w:szCs w:val="22"/>
        </w:rPr>
        <w:t xml:space="preserve"> </w:t>
      </w:r>
      <w:r>
        <w:rPr>
          <w:rFonts w:ascii="Arial" w:hAnsi="Arial" w:cs="Arial"/>
          <w:sz w:val="22"/>
          <w:szCs w:val="22"/>
        </w:rPr>
        <w:t>will be a necessity to avoid an even larger under spend</w:t>
      </w:r>
      <w:r w:rsidR="00354EC4">
        <w:rPr>
          <w:rFonts w:ascii="Arial" w:hAnsi="Arial" w:cs="Arial"/>
          <w:sz w:val="22"/>
          <w:szCs w:val="22"/>
        </w:rPr>
        <w:t xml:space="preserve"> at year end</w:t>
      </w:r>
      <w:r>
        <w:rPr>
          <w:rFonts w:ascii="Arial" w:hAnsi="Arial" w:cs="Arial"/>
          <w:sz w:val="22"/>
          <w:szCs w:val="22"/>
        </w:rPr>
        <w:t>.</w:t>
      </w:r>
    </w:p>
    <w:p w:rsidR="006E46EB" w:rsidRDefault="00F75DB2" w:rsidP="00A30B13">
      <w:pPr>
        <w:pStyle w:val="ListParagraph"/>
        <w:numPr>
          <w:ilvl w:val="0"/>
          <w:numId w:val="17"/>
        </w:numPr>
        <w:jc w:val="both"/>
        <w:rPr>
          <w:rFonts w:ascii="Arial" w:hAnsi="Arial" w:cs="Arial"/>
          <w:sz w:val="22"/>
          <w:szCs w:val="22"/>
        </w:rPr>
      </w:pPr>
      <w:r>
        <w:rPr>
          <w:rFonts w:ascii="Arial" w:hAnsi="Arial" w:cs="Arial"/>
          <w:sz w:val="22"/>
          <w:szCs w:val="22"/>
        </w:rPr>
        <w:t>After 8</w:t>
      </w:r>
      <w:r w:rsidR="00CB5121">
        <w:rPr>
          <w:rFonts w:ascii="Arial" w:hAnsi="Arial" w:cs="Arial"/>
          <w:sz w:val="22"/>
          <w:szCs w:val="22"/>
        </w:rPr>
        <w:t xml:space="preserve"> months, a</w:t>
      </w:r>
      <w:r w:rsidR="007A585B" w:rsidRPr="00DF4039">
        <w:rPr>
          <w:rFonts w:ascii="Arial" w:hAnsi="Arial" w:cs="Arial"/>
          <w:sz w:val="22"/>
          <w:szCs w:val="22"/>
        </w:rPr>
        <w:t xml:space="preserve"> total of </w:t>
      </w:r>
      <w:r>
        <w:rPr>
          <w:rFonts w:ascii="Arial" w:hAnsi="Arial" w:cs="Arial"/>
          <w:sz w:val="22"/>
          <w:szCs w:val="22"/>
        </w:rPr>
        <w:t>45</w:t>
      </w:r>
      <w:r w:rsidR="006E46EB" w:rsidRPr="00DF4039">
        <w:rPr>
          <w:rFonts w:ascii="Arial" w:hAnsi="Arial" w:cs="Arial"/>
          <w:sz w:val="22"/>
          <w:szCs w:val="22"/>
        </w:rPr>
        <w:t>% of the total expenditure budget has been spent within the year so far</w:t>
      </w:r>
      <w:r>
        <w:rPr>
          <w:rFonts w:ascii="Arial" w:hAnsi="Arial" w:cs="Arial"/>
          <w:sz w:val="22"/>
          <w:szCs w:val="22"/>
        </w:rPr>
        <w:t xml:space="preserve"> (51</w:t>
      </w:r>
      <w:r w:rsidR="000200FA">
        <w:rPr>
          <w:rFonts w:ascii="Arial" w:hAnsi="Arial" w:cs="Arial"/>
          <w:sz w:val="22"/>
          <w:szCs w:val="22"/>
        </w:rPr>
        <w:t>% of the forecast expenditure)</w:t>
      </w:r>
      <w:r w:rsidR="006E46EB" w:rsidRPr="00DF4039">
        <w:rPr>
          <w:rFonts w:ascii="Arial" w:hAnsi="Arial" w:cs="Arial"/>
          <w:sz w:val="22"/>
          <w:szCs w:val="22"/>
        </w:rPr>
        <w:t>, with staff costs amounti</w:t>
      </w:r>
      <w:r w:rsidR="007A585B" w:rsidRPr="00DF4039">
        <w:rPr>
          <w:rFonts w:ascii="Arial" w:hAnsi="Arial" w:cs="Arial"/>
          <w:sz w:val="22"/>
          <w:szCs w:val="22"/>
        </w:rPr>
        <w:t>ng to £</w:t>
      </w:r>
      <w:r>
        <w:rPr>
          <w:rFonts w:ascii="Arial" w:hAnsi="Arial" w:cs="Arial"/>
          <w:sz w:val="22"/>
          <w:szCs w:val="22"/>
        </w:rPr>
        <w:t>3.99</w:t>
      </w:r>
      <w:r w:rsidR="004B5C87" w:rsidRPr="00DF4039">
        <w:rPr>
          <w:rFonts w:ascii="Arial" w:hAnsi="Arial" w:cs="Arial"/>
          <w:sz w:val="22"/>
          <w:szCs w:val="22"/>
        </w:rPr>
        <w:t>m</w:t>
      </w:r>
      <w:r w:rsidR="00DF4039">
        <w:rPr>
          <w:rFonts w:ascii="Arial" w:hAnsi="Arial" w:cs="Arial"/>
          <w:sz w:val="22"/>
          <w:szCs w:val="22"/>
        </w:rPr>
        <w:t>.</w:t>
      </w:r>
    </w:p>
    <w:p w:rsidR="00DF4039" w:rsidRPr="00DF4039" w:rsidRDefault="00DF4039" w:rsidP="00DF4039">
      <w:pPr>
        <w:pStyle w:val="ListParagraph"/>
        <w:ind w:left="1080"/>
        <w:jc w:val="both"/>
        <w:rPr>
          <w:rFonts w:ascii="Arial" w:hAnsi="Arial" w:cs="Arial"/>
          <w:sz w:val="22"/>
          <w:szCs w:val="22"/>
        </w:rPr>
      </w:pPr>
    </w:p>
    <w:tbl>
      <w:tblPr>
        <w:tblW w:w="9044" w:type="dxa"/>
        <w:tblInd w:w="108" w:type="dxa"/>
        <w:tblLook w:val="04A0" w:firstRow="1" w:lastRow="0" w:firstColumn="1" w:lastColumn="0" w:noHBand="0" w:noVBand="1"/>
      </w:tblPr>
      <w:tblGrid>
        <w:gridCol w:w="266"/>
        <w:gridCol w:w="3860"/>
        <w:gridCol w:w="1284"/>
        <w:gridCol w:w="1269"/>
        <w:gridCol w:w="1488"/>
        <w:gridCol w:w="1012"/>
      </w:tblGrid>
      <w:tr w:rsidR="00F75DB2" w:rsidRPr="00F75DB2" w:rsidTr="00F75DB2">
        <w:trPr>
          <w:trHeight w:val="300"/>
        </w:trPr>
        <w:tc>
          <w:tcPr>
            <w:tcW w:w="5256" w:type="dxa"/>
            <w:gridSpan w:val="3"/>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Summary of financial outturn 30 November 2014</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r>
      <w:tr w:rsidR="00F75DB2" w:rsidRPr="00F75DB2" w:rsidTr="00F75DB2">
        <w:trPr>
          <w:trHeight w:val="360"/>
        </w:trPr>
        <w:tc>
          <w:tcPr>
            <w:tcW w:w="82"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91"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01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r>
      <w:tr w:rsidR="00F75DB2" w:rsidRPr="00F75DB2" w:rsidTr="00F75DB2">
        <w:trPr>
          <w:trHeight w:val="1065"/>
        </w:trPr>
        <w:tc>
          <w:tcPr>
            <w:tcW w:w="82" w:type="dxa"/>
            <w:tcBorders>
              <w:top w:val="single" w:sz="4" w:space="0" w:color="auto"/>
              <w:left w:val="single" w:sz="4" w:space="0" w:color="auto"/>
              <w:bottom w:val="nil"/>
              <w:right w:val="nil"/>
            </w:tcBorders>
            <w:shd w:val="clear" w:color="000000" w:fill="56008C"/>
            <w:noWrap/>
            <w:vAlign w:val="bottom"/>
            <w:hideMark/>
          </w:tcPr>
          <w:p w:rsidR="00F75DB2" w:rsidRPr="00F75DB2" w:rsidRDefault="00F75DB2" w:rsidP="00F75DB2">
            <w:pPr>
              <w:rPr>
                <w:rFonts w:ascii="Calibri" w:hAnsi="Calibri" w:cs="Calibri"/>
                <w:color w:val="FFFFFF"/>
                <w:sz w:val="22"/>
                <w:szCs w:val="22"/>
              </w:rPr>
            </w:pPr>
            <w:r w:rsidRPr="00F75DB2">
              <w:rPr>
                <w:rFonts w:ascii="Calibri" w:hAnsi="Calibri" w:cs="Calibri"/>
                <w:color w:val="FFFFFF"/>
                <w:sz w:val="22"/>
                <w:szCs w:val="22"/>
              </w:rPr>
              <w:t> </w:t>
            </w:r>
          </w:p>
        </w:tc>
        <w:tc>
          <w:tcPr>
            <w:tcW w:w="3883" w:type="dxa"/>
            <w:vMerge w:val="restart"/>
            <w:tcBorders>
              <w:top w:val="single" w:sz="4" w:space="0" w:color="auto"/>
              <w:left w:val="nil"/>
              <w:bottom w:val="nil"/>
              <w:right w:val="nil"/>
            </w:tcBorders>
            <w:shd w:val="clear" w:color="000000" w:fill="56008C"/>
            <w:noWrap/>
            <w:vAlign w:val="bottom"/>
            <w:hideMark/>
          </w:tcPr>
          <w:p w:rsidR="00F75DB2" w:rsidRPr="00F75DB2" w:rsidRDefault="00F75DB2" w:rsidP="00F75DB2">
            <w:pPr>
              <w:rPr>
                <w:rFonts w:ascii="Calibri" w:hAnsi="Calibri" w:cs="Calibri"/>
                <w:b/>
                <w:bCs/>
                <w:color w:val="FFFFFF"/>
                <w:sz w:val="22"/>
                <w:szCs w:val="22"/>
              </w:rPr>
            </w:pPr>
            <w:r w:rsidRPr="00F75DB2">
              <w:rPr>
                <w:rFonts w:ascii="Calibri" w:hAnsi="Calibri" w:cs="Calibri"/>
                <w:b/>
                <w:bCs/>
                <w:color w:val="FFFFFF"/>
                <w:sz w:val="22"/>
                <w:szCs w:val="22"/>
              </w:rPr>
              <w:t>Description</w:t>
            </w:r>
          </w:p>
        </w:tc>
        <w:tc>
          <w:tcPr>
            <w:tcW w:w="1291" w:type="dxa"/>
            <w:vMerge w:val="restart"/>
            <w:tcBorders>
              <w:top w:val="single" w:sz="4" w:space="0" w:color="auto"/>
              <w:left w:val="nil"/>
              <w:bottom w:val="nil"/>
              <w:right w:val="nil"/>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Initial Annual Budget</w:t>
            </w:r>
          </w:p>
        </w:tc>
        <w:tc>
          <w:tcPr>
            <w:tcW w:w="1276" w:type="dxa"/>
            <w:tcBorders>
              <w:top w:val="single" w:sz="4" w:space="0" w:color="auto"/>
              <w:left w:val="nil"/>
              <w:bottom w:val="nil"/>
              <w:right w:val="nil"/>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Budget for period to</w:t>
            </w:r>
          </w:p>
        </w:tc>
        <w:tc>
          <w:tcPr>
            <w:tcW w:w="1496" w:type="dxa"/>
            <w:tcBorders>
              <w:top w:val="single" w:sz="4" w:space="0" w:color="auto"/>
              <w:left w:val="nil"/>
              <w:bottom w:val="nil"/>
              <w:right w:val="nil"/>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 xml:space="preserve">Outturn as at </w:t>
            </w:r>
          </w:p>
        </w:tc>
        <w:tc>
          <w:tcPr>
            <w:tcW w:w="1016" w:type="dxa"/>
            <w:vMerge w:val="restart"/>
            <w:tcBorders>
              <w:top w:val="single" w:sz="4" w:space="0" w:color="auto"/>
              <w:left w:val="nil"/>
              <w:bottom w:val="nil"/>
              <w:right w:val="single" w:sz="4" w:space="0" w:color="auto"/>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Variance</w:t>
            </w:r>
          </w:p>
        </w:tc>
      </w:tr>
      <w:tr w:rsidR="00F75DB2" w:rsidRPr="00F75DB2" w:rsidTr="00F75DB2">
        <w:trPr>
          <w:trHeight w:val="510"/>
        </w:trPr>
        <w:tc>
          <w:tcPr>
            <w:tcW w:w="82" w:type="dxa"/>
            <w:tcBorders>
              <w:top w:val="nil"/>
              <w:left w:val="single" w:sz="4" w:space="0" w:color="auto"/>
              <w:bottom w:val="nil"/>
              <w:right w:val="nil"/>
            </w:tcBorders>
            <w:shd w:val="clear" w:color="000000" w:fill="56008C"/>
            <w:noWrap/>
            <w:vAlign w:val="bottom"/>
            <w:hideMark/>
          </w:tcPr>
          <w:p w:rsidR="00F75DB2" w:rsidRPr="00F75DB2" w:rsidRDefault="00F75DB2" w:rsidP="00F75DB2">
            <w:pPr>
              <w:rPr>
                <w:rFonts w:ascii="Calibri" w:hAnsi="Calibri" w:cs="Calibri"/>
                <w:color w:val="FFFFFF"/>
                <w:sz w:val="22"/>
                <w:szCs w:val="22"/>
              </w:rPr>
            </w:pPr>
            <w:r w:rsidRPr="00F75DB2">
              <w:rPr>
                <w:rFonts w:ascii="Calibri" w:hAnsi="Calibri" w:cs="Calibri"/>
                <w:color w:val="FFFFFF"/>
                <w:sz w:val="22"/>
                <w:szCs w:val="22"/>
              </w:rPr>
              <w:t> </w:t>
            </w:r>
          </w:p>
        </w:tc>
        <w:tc>
          <w:tcPr>
            <w:tcW w:w="3883" w:type="dxa"/>
            <w:vMerge/>
            <w:tcBorders>
              <w:top w:val="single" w:sz="4" w:space="0" w:color="auto"/>
              <w:left w:val="nil"/>
              <w:bottom w:val="nil"/>
              <w:right w:val="nil"/>
            </w:tcBorders>
            <w:vAlign w:val="center"/>
            <w:hideMark/>
          </w:tcPr>
          <w:p w:rsidR="00F75DB2" w:rsidRPr="00F75DB2" w:rsidRDefault="00F75DB2" w:rsidP="00F75DB2">
            <w:pPr>
              <w:rPr>
                <w:rFonts w:ascii="Calibri" w:hAnsi="Calibri" w:cs="Calibri"/>
                <w:b/>
                <w:bCs/>
                <w:color w:val="FFFFFF"/>
                <w:sz w:val="22"/>
                <w:szCs w:val="22"/>
              </w:rPr>
            </w:pPr>
          </w:p>
        </w:tc>
        <w:tc>
          <w:tcPr>
            <w:tcW w:w="1291" w:type="dxa"/>
            <w:vMerge/>
            <w:tcBorders>
              <w:top w:val="single" w:sz="4" w:space="0" w:color="auto"/>
              <w:left w:val="nil"/>
              <w:bottom w:val="nil"/>
              <w:right w:val="nil"/>
            </w:tcBorders>
            <w:vAlign w:val="center"/>
            <w:hideMark/>
          </w:tcPr>
          <w:p w:rsidR="00F75DB2" w:rsidRPr="00F75DB2" w:rsidRDefault="00F75DB2" w:rsidP="00F75DB2">
            <w:pPr>
              <w:rPr>
                <w:rFonts w:ascii="Calibri" w:hAnsi="Calibri" w:cs="Calibri"/>
                <w:b/>
                <w:bCs/>
                <w:color w:val="FFFFFF"/>
                <w:sz w:val="22"/>
                <w:szCs w:val="22"/>
              </w:rPr>
            </w:pPr>
          </w:p>
        </w:tc>
        <w:tc>
          <w:tcPr>
            <w:tcW w:w="1276" w:type="dxa"/>
            <w:tcBorders>
              <w:top w:val="nil"/>
              <w:left w:val="nil"/>
              <w:bottom w:val="nil"/>
              <w:right w:val="nil"/>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30 November 2014</w:t>
            </w:r>
          </w:p>
        </w:tc>
        <w:tc>
          <w:tcPr>
            <w:tcW w:w="1496" w:type="dxa"/>
            <w:tcBorders>
              <w:top w:val="nil"/>
              <w:left w:val="nil"/>
              <w:bottom w:val="nil"/>
              <w:right w:val="nil"/>
            </w:tcBorders>
            <w:shd w:val="clear" w:color="000000" w:fill="56008C"/>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30 November 2014</w:t>
            </w:r>
          </w:p>
        </w:tc>
        <w:tc>
          <w:tcPr>
            <w:tcW w:w="1016" w:type="dxa"/>
            <w:vMerge/>
            <w:tcBorders>
              <w:top w:val="single" w:sz="4" w:space="0" w:color="auto"/>
              <w:left w:val="nil"/>
              <w:bottom w:val="nil"/>
              <w:right w:val="single" w:sz="4" w:space="0" w:color="auto"/>
            </w:tcBorders>
            <w:vAlign w:val="center"/>
            <w:hideMark/>
          </w:tcPr>
          <w:p w:rsidR="00F75DB2" w:rsidRPr="00F75DB2" w:rsidRDefault="00F75DB2" w:rsidP="00F75DB2">
            <w:pPr>
              <w:rPr>
                <w:rFonts w:ascii="Calibri" w:hAnsi="Calibri" w:cs="Calibri"/>
                <w:b/>
                <w:bCs/>
                <w:color w:val="FFFFFF"/>
                <w:sz w:val="22"/>
                <w:szCs w:val="22"/>
              </w:rPr>
            </w:pPr>
          </w:p>
        </w:tc>
      </w:tr>
      <w:tr w:rsidR="00F75DB2" w:rsidRPr="00F75DB2" w:rsidTr="00F75DB2">
        <w:trPr>
          <w:trHeight w:val="300"/>
        </w:trPr>
        <w:tc>
          <w:tcPr>
            <w:tcW w:w="82" w:type="dxa"/>
            <w:tcBorders>
              <w:top w:val="nil"/>
              <w:left w:val="single" w:sz="4" w:space="0" w:color="auto"/>
              <w:bottom w:val="nil"/>
              <w:right w:val="nil"/>
            </w:tcBorders>
            <w:shd w:val="clear" w:color="000000" w:fill="56008C"/>
            <w:noWrap/>
            <w:vAlign w:val="bottom"/>
            <w:hideMark/>
          </w:tcPr>
          <w:p w:rsidR="00F75DB2" w:rsidRPr="00F75DB2" w:rsidRDefault="00F75DB2" w:rsidP="00F75DB2">
            <w:pPr>
              <w:rPr>
                <w:rFonts w:ascii="Calibri" w:hAnsi="Calibri" w:cs="Calibri"/>
                <w:color w:val="FFFFFF"/>
                <w:sz w:val="22"/>
                <w:szCs w:val="22"/>
              </w:rPr>
            </w:pPr>
            <w:r w:rsidRPr="00F75DB2">
              <w:rPr>
                <w:rFonts w:ascii="Calibri" w:hAnsi="Calibri" w:cs="Calibri"/>
                <w:color w:val="FFFFFF"/>
                <w:sz w:val="22"/>
                <w:szCs w:val="22"/>
              </w:rPr>
              <w:t> </w:t>
            </w:r>
          </w:p>
        </w:tc>
        <w:tc>
          <w:tcPr>
            <w:tcW w:w="3883" w:type="dxa"/>
            <w:tcBorders>
              <w:top w:val="nil"/>
              <w:left w:val="nil"/>
              <w:bottom w:val="nil"/>
              <w:right w:val="nil"/>
            </w:tcBorders>
            <w:shd w:val="clear" w:color="000000" w:fill="56008C"/>
            <w:noWrap/>
            <w:vAlign w:val="bottom"/>
            <w:hideMark/>
          </w:tcPr>
          <w:p w:rsidR="00F75DB2" w:rsidRPr="00F75DB2" w:rsidRDefault="00F75DB2" w:rsidP="00F75DB2">
            <w:pPr>
              <w:rPr>
                <w:rFonts w:ascii="Calibri" w:hAnsi="Calibri" w:cs="Calibri"/>
                <w:b/>
                <w:bCs/>
                <w:color w:val="FFFFFF"/>
                <w:sz w:val="22"/>
                <w:szCs w:val="22"/>
              </w:rPr>
            </w:pPr>
            <w:r w:rsidRPr="00F75DB2">
              <w:rPr>
                <w:rFonts w:ascii="Calibri" w:hAnsi="Calibri" w:cs="Calibri"/>
                <w:b/>
                <w:bCs/>
                <w:color w:val="FFFFFF"/>
                <w:sz w:val="22"/>
                <w:szCs w:val="22"/>
              </w:rPr>
              <w:t> </w:t>
            </w:r>
          </w:p>
        </w:tc>
        <w:tc>
          <w:tcPr>
            <w:tcW w:w="1291" w:type="dxa"/>
            <w:tcBorders>
              <w:top w:val="nil"/>
              <w:left w:val="nil"/>
              <w:bottom w:val="nil"/>
              <w:right w:val="nil"/>
            </w:tcBorders>
            <w:shd w:val="clear" w:color="000000" w:fill="56008C"/>
            <w:noWrap/>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(£'000)</w:t>
            </w:r>
          </w:p>
        </w:tc>
        <w:tc>
          <w:tcPr>
            <w:tcW w:w="1276" w:type="dxa"/>
            <w:tcBorders>
              <w:top w:val="nil"/>
              <w:left w:val="nil"/>
              <w:bottom w:val="nil"/>
              <w:right w:val="nil"/>
            </w:tcBorders>
            <w:shd w:val="clear" w:color="000000" w:fill="56008C"/>
            <w:noWrap/>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(£'000)</w:t>
            </w:r>
          </w:p>
        </w:tc>
        <w:tc>
          <w:tcPr>
            <w:tcW w:w="1496" w:type="dxa"/>
            <w:tcBorders>
              <w:top w:val="nil"/>
              <w:left w:val="nil"/>
              <w:bottom w:val="nil"/>
              <w:right w:val="nil"/>
            </w:tcBorders>
            <w:shd w:val="clear" w:color="000000" w:fill="56008C"/>
            <w:noWrap/>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(£'000)</w:t>
            </w:r>
          </w:p>
        </w:tc>
        <w:tc>
          <w:tcPr>
            <w:tcW w:w="1016" w:type="dxa"/>
            <w:tcBorders>
              <w:top w:val="nil"/>
              <w:left w:val="nil"/>
              <w:bottom w:val="nil"/>
              <w:right w:val="single" w:sz="4" w:space="0" w:color="auto"/>
            </w:tcBorders>
            <w:shd w:val="clear" w:color="000000" w:fill="56008C"/>
            <w:noWrap/>
            <w:vAlign w:val="bottom"/>
            <w:hideMark/>
          </w:tcPr>
          <w:p w:rsidR="00F75DB2" w:rsidRPr="00F75DB2" w:rsidRDefault="00F75DB2" w:rsidP="00F75DB2">
            <w:pPr>
              <w:jc w:val="center"/>
              <w:rPr>
                <w:rFonts w:ascii="Calibri" w:hAnsi="Calibri" w:cs="Calibri"/>
                <w:b/>
                <w:bCs/>
                <w:color w:val="FFFFFF"/>
                <w:sz w:val="22"/>
                <w:szCs w:val="22"/>
              </w:rPr>
            </w:pPr>
            <w:r w:rsidRPr="00F75DB2">
              <w:rPr>
                <w:rFonts w:ascii="Calibri" w:hAnsi="Calibri" w:cs="Calibri"/>
                <w:b/>
                <w:bCs/>
                <w:color w:val="FFFFFF"/>
                <w:sz w:val="22"/>
                <w:szCs w:val="22"/>
              </w:rPr>
              <w:t>(£'000)</w:t>
            </w:r>
          </w:p>
        </w:tc>
      </w:tr>
      <w:tr w:rsidR="00F75DB2" w:rsidRPr="00F75DB2" w:rsidTr="00F75DB2">
        <w:trPr>
          <w:trHeight w:val="300"/>
        </w:trPr>
        <w:tc>
          <w:tcPr>
            <w:tcW w:w="3965" w:type="dxa"/>
            <w:gridSpan w:val="2"/>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Income</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HRA income</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240</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120</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133</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13</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Grant in aid</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13444</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6257</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6014</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-243</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 </w:t>
            </w: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Total</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13684</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6377</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6147</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-230</w:t>
            </w:r>
          </w:p>
        </w:tc>
      </w:tr>
      <w:tr w:rsidR="00F75DB2" w:rsidRPr="00F75DB2" w:rsidTr="00F75DB2">
        <w:trPr>
          <w:trHeight w:val="300"/>
        </w:trPr>
        <w:tc>
          <w:tcPr>
            <w:tcW w:w="3965" w:type="dxa"/>
            <w:gridSpan w:val="2"/>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Expenditure</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Operations and Approval</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4,527</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3,088</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2,883</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-205</w:t>
            </w:r>
          </w:p>
        </w:tc>
      </w:tr>
      <w:tr w:rsidR="00F75DB2" w:rsidRPr="00F75DB2" w:rsidTr="00F75DB2">
        <w:trPr>
          <w:trHeight w:val="6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Chief Exec - Team, Board and Corporate Secretary</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1,650</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918</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913</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-5</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xml:space="preserve">Corporate Services </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1,986</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1,111</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1,108</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-3</w:t>
            </w:r>
          </w:p>
        </w:tc>
      </w:tr>
      <w:tr w:rsidR="00F75DB2" w:rsidRPr="00F75DB2" w:rsidTr="00F75DB2">
        <w:trPr>
          <w:trHeight w:val="6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Finance Estates and Procurement (</w:t>
            </w:r>
            <w:proofErr w:type="spellStart"/>
            <w:r w:rsidRPr="00F75DB2">
              <w:rPr>
                <w:rFonts w:ascii="Calibri" w:hAnsi="Calibri" w:cs="Calibri"/>
                <w:color w:val="000000"/>
                <w:sz w:val="22"/>
                <w:szCs w:val="22"/>
              </w:rPr>
              <w:t>incl</w:t>
            </w:r>
            <w:proofErr w:type="spellEnd"/>
            <w:r w:rsidRPr="00F75DB2">
              <w:rPr>
                <w:rFonts w:ascii="Calibri" w:hAnsi="Calibri" w:cs="Calibri"/>
                <w:color w:val="000000"/>
                <w:sz w:val="22"/>
                <w:szCs w:val="22"/>
              </w:rPr>
              <w:t xml:space="preserve"> Reserves)</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5,172</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300</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273</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-27</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Systems and Development</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0</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960</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970</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10</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Communications</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349</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0</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0</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color w:val="000000"/>
                <w:sz w:val="22"/>
                <w:szCs w:val="22"/>
              </w:rPr>
            </w:pPr>
            <w:r w:rsidRPr="00F75DB2">
              <w:rPr>
                <w:rFonts w:ascii="Calibri" w:hAnsi="Calibri" w:cs="Calibri"/>
                <w:color w:val="000000"/>
                <w:sz w:val="22"/>
                <w:szCs w:val="22"/>
              </w:rPr>
              <w:t>0</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 </w:t>
            </w: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Total</w:t>
            </w:r>
          </w:p>
        </w:tc>
        <w:tc>
          <w:tcPr>
            <w:tcW w:w="1291"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13,684</w:t>
            </w:r>
          </w:p>
        </w:tc>
        <w:tc>
          <w:tcPr>
            <w:tcW w:w="127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6,377</w:t>
            </w:r>
          </w:p>
        </w:tc>
        <w:tc>
          <w:tcPr>
            <w:tcW w:w="1496" w:type="dxa"/>
            <w:tcBorders>
              <w:top w:val="nil"/>
              <w:left w:val="nil"/>
              <w:bottom w:val="nil"/>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6,147</w:t>
            </w: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-230</w:t>
            </w:r>
          </w:p>
        </w:tc>
      </w:tr>
      <w:tr w:rsidR="00F75DB2" w:rsidRPr="00F75DB2" w:rsidTr="00F75DB2">
        <w:trPr>
          <w:trHeight w:val="300"/>
        </w:trPr>
        <w:tc>
          <w:tcPr>
            <w:tcW w:w="82" w:type="dxa"/>
            <w:tcBorders>
              <w:top w:val="nil"/>
              <w:left w:val="single" w:sz="4" w:space="0" w:color="auto"/>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c>
          <w:tcPr>
            <w:tcW w:w="3883"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91"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496" w:type="dxa"/>
            <w:tcBorders>
              <w:top w:val="nil"/>
              <w:left w:val="nil"/>
              <w:bottom w:val="nil"/>
              <w:right w:val="nil"/>
            </w:tcBorders>
            <w:shd w:val="clear" w:color="auto" w:fill="auto"/>
            <w:noWrap/>
            <w:vAlign w:val="bottom"/>
            <w:hideMark/>
          </w:tcPr>
          <w:p w:rsidR="00F75DB2" w:rsidRPr="00F75DB2" w:rsidRDefault="00F75DB2" w:rsidP="00F75DB2">
            <w:pPr>
              <w:rPr>
                <w:rFonts w:ascii="Calibri" w:hAnsi="Calibri" w:cs="Calibri"/>
                <w:color w:val="000000"/>
                <w:sz w:val="22"/>
                <w:szCs w:val="22"/>
              </w:rPr>
            </w:pPr>
          </w:p>
        </w:tc>
        <w:tc>
          <w:tcPr>
            <w:tcW w:w="1016" w:type="dxa"/>
            <w:tcBorders>
              <w:top w:val="nil"/>
              <w:left w:val="nil"/>
              <w:bottom w:val="nil"/>
              <w:right w:val="single" w:sz="4" w:space="0" w:color="auto"/>
            </w:tcBorders>
            <w:shd w:val="clear" w:color="auto" w:fill="auto"/>
            <w:noWrap/>
            <w:vAlign w:val="bottom"/>
            <w:hideMark/>
          </w:tcPr>
          <w:p w:rsidR="00F75DB2" w:rsidRPr="00F75DB2" w:rsidRDefault="00F75DB2" w:rsidP="00F75DB2">
            <w:pPr>
              <w:rPr>
                <w:rFonts w:ascii="Calibri" w:hAnsi="Calibri" w:cs="Calibri"/>
                <w:color w:val="000000"/>
                <w:sz w:val="22"/>
                <w:szCs w:val="22"/>
              </w:rPr>
            </w:pPr>
            <w:r w:rsidRPr="00F75DB2">
              <w:rPr>
                <w:rFonts w:ascii="Calibri" w:hAnsi="Calibri" w:cs="Calibri"/>
                <w:color w:val="000000"/>
                <w:sz w:val="22"/>
                <w:szCs w:val="22"/>
              </w:rPr>
              <w:t> </w:t>
            </w:r>
          </w:p>
        </w:tc>
      </w:tr>
      <w:tr w:rsidR="00F75DB2" w:rsidRPr="00F75DB2" w:rsidTr="00F75DB2">
        <w:trPr>
          <w:trHeight w:val="300"/>
        </w:trPr>
        <w:tc>
          <w:tcPr>
            <w:tcW w:w="3965" w:type="dxa"/>
            <w:gridSpan w:val="2"/>
            <w:tcBorders>
              <w:top w:val="nil"/>
              <w:left w:val="single" w:sz="4" w:space="0" w:color="auto"/>
              <w:bottom w:val="single" w:sz="4" w:space="0" w:color="auto"/>
              <w:right w:val="nil"/>
            </w:tcBorders>
            <w:shd w:val="clear" w:color="auto" w:fill="auto"/>
            <w:noWrap/>
            <w:vAlign w:val="bottom"/>
            <w:hideMark/>
          </w:tcPr>
          <w:p w:rsidR="00F75DB2" w:rsidRPr="00F75DB2" w:rsidRDefault="00F75DB2" w:rsidP="00F75DB2">
            <w:pPr>
              <w:rPr>
                <w:rFonts w:ascii="Calibri" w:hAnsi="Calibri" w:cs="Calibri"/>
                <w:b/>
                <w:bCs/>
                <w:color w:val="000000"/>
                <w:sz w:val="22"/>
                <w:szCs w:val="22"/>
              </w:rPr>
            </w:pPr>
            <w:r w:rsidRPr="00F75DB2">
              <w:rPr>
                <w:rFonts w:ascii="Calibri" w:hAnsi="Calibri" w:cs="Calibri"/>
                <w:b/>
                <w:bCs/>
                <w:color w:val="000000"/>
                <w:sz w:val="22"/>
                <w:szCs w:val="22"/>
              </w:rPr>
              <w:t>Surplus/Deficit</w:t>
            </w:r>
          </w:p>
        </w:tc>
        <w:tc>
          <w:tcPr>
            <w:tcW w:w="1291" w:type="dxa"/>
            <w:tcBorders>
              <w:top w:val="nil"/>
              <w:left w:val="nil"/>
              <w:bottom w:val="single" w:sz="4" w:space="0" w:color="auto"/>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0</w:t>
            </w:r>
          </w:p>
        </w:tc>
        <w:tc>
          <w:tcPr>
            <w:tcW w:w="1276" w:type="dxa"/>
            <w:tcBorders>
              <w:top w:val="nil"/>
              <w:left w:val="nil"/>
              <w:bottom w:val="single" w:sz="4" w:space="0" w:color="auto"/>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0</w:t>
            </w:r>
          </w:p>
        </w:tc>
        <w:tc>
          <w:tcPr>
            <w:tcW w:w="1496" w:type="dxa"/>
            <w:tcBorders>
              <w:top w:val="nil"/>
              <w:left w:val="nil"/>
              <w:bottom w:val="single" w:sz="4" w:space="0" w:color="auto"/>
              <w:right w:val="nil"/>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F75DB2" w:rsidRPr="00F75DB2" w:rsidRDefault="00F75DB2" w:rsidP="00F75DB2">
            <w:pPr>
              <w:jc w:val="right"/>
              <w:rPr>
                <w:rFonts w:ascii="Calibri" w:hAnsi="Calibri" w:cs="Calibri"/>
                <w:b/>
                <w:bCs/>
                <w:color w:val="000000"/>
                <w:sz w:val="22"/>
                <w:szCs w:val="22"/>
              </w:rPr>
            </w:pPr>
            <w:r w:rsidRPr="00F75DB2">
              <w:rPr>
                <w:rFonts w:ascii="Calibri" w:hAnsi="Calibri" w:cs="Calibri"/>
                <w:b/>
                <w:bCs/>
                <w:color w:val="000000"/>
                <w:sz w:val="22"/>
                <w:szCs w:val="22"/>
              </w:rPr>
              <w:t>0</w:t>
            </w:r>
          </w:p>
        </w:tc>
      </w:tr>
    </w:tbl>
    <w:p w:rsidR="00613941" w:rsidRDefault="00613941">
      <w:pPr>
        <w:spacing w:after="200" w:line="276" w:lineRule="auto"/>
        <w:rPr>
          <w:rFonts w:ascii="Arial" w:hAnsi="Arial" w:cs="Arial"/>
          <w:sz w:val="22"/>
          <w:szCs w:val="22"/>
        </w:rPr>
      </w:pPr>
    </w:p>
    <w:p w:rsidR="00AD0886" w:rsidRDefault="00B55417" w:rsidP="005743EE">
      <w:pPr>
        <w:pStyle w:val="ListParagraph"/>
        <w:numPr>
          <w:ilvl w:val="0"/>
          <w:numId w:val="17"/>
        </w:numPr>
        <w:spacing w:after="200" w:line="276" w:lineRule="auto"/>
        <w:rPr>
          <w:rFonts w:ascii="Arial" w:hAnsi="Arial" w:cs="Arial"/>
          <w:sz w:val="22"/>
          <w:szCs w:val="22"/>
        </w:rPr>
      </w:pPr>
      <w:r w:rsidRPr="00CF3EC2">
        <w:rPr>
          <w:rFonts w:ascii="Arial" w:hAnsi="Arial" w:cs="Arial"/>
          <w:sz w:val="22"/>
          <w:szCs w:val="22"/>
        </w:rPr>
        <w:t xml:space="preserve">The underspends within </w:t>
      </w:r>
      <w:r w:rsidR="007A585B" w:rsidRPr="00CF3EC2">
        <w:rPr>
          <w:rFonts w:ascii="Arial" w:hAnsi="Arial" w:cs="Arial"/>
          <w:sz w:val="22"/>
          <w:szCs w:val="22"/>
        </w:rPr>
        <w:t>Operations and Approval</w:t>
      </w:r>
      <w:r w:rsidRPr="00CF3EC2">
        <w:rPr>
          <w:rFonts w:ascii="Arial" w:hAnsi="Arial" w:cs="Arial"/>
          <w:sz w:val="22"/>
          <w:szCs w:val="22"/>
        </w:rPr>
        <w:t xml:space="preserve"> largely relate to underspen</w:t>
      </w:r>
      <w:r w:rsidR="00E10273" w:rsidRPr="00CF3EC2">
        <w:rPr>
          <w:rFonts w:ascii="Arial" w:hAnsi="Arial" w:cs="Arial"/>
          <w:sz w:val="22"/>
          <w:szCs w:val="22"/>
        </w:rPr>
        <w:t>ds</w:t>
      </w:r>
      <w:r w:rsidR="00CF3EC2" w:rsidRPr="00CF3EC2">
        <w:rPr>
          <w:rFonts w:ascii="Arial" w:hAnsi="Arial" w:cs="Arial"/>
          <w:sz w:val="22"/>
          <w:szCs w:val="22"/>
        </w:rPr>
        <w:t xml:space="preserve"> within HRA Office London (£17</w:t>
      </w:r>
      <w:r w:rsidR="00474415" w:rsidRPr="00CF3EC2">
        <w:rPr>
          <w:rFonts w:ascii="Arial" w:hAnsi="Arial" w:cs="Arial"/>
          <w:sz w:val="22"/>
          <w:szCs w:val="22"/>
        </w:rPr>
        <w:t>k), HRA Office Manchester</w:t>
      </w:r>
      <w:r w:rsidR="00CF3EC2" w:rsidRPr="00CF3EC2">
        <w:rPr>
          <w:rFonts w:ascii="Arial" w:hAnsi="Arial" w:cs="Arial"/>
          <w:sz w:val="22"/>
          <w:szCs w:val="22"/>
        </w:rPr>
        <w:t xml:space="preserve"> (£101</w:t>
      </w:r>
      <w:r w:rsidRPr="00CF3EC2">
        <w:rPr>
          <w:rFonts w:ascii="Arial" w:hAnsi="Arial" w:cs="Arial"/>
          <w:sz w:val="22"/>
          <w:szCs w:val="22"/>
        </w:rPr>
        <w:t>k</w:t>
      </w:r>
      <w:r w:rsidR="00E10273" w:rsidRPr="00CF3EC2">
        <w:rPr>
          <w:rFonts w:ascii="Arial" w:hAnsi="Arial" w:cs="Arial"/>
          <w:sz w:val="22"/>
          <w:szCs w:val="22"/>
        </w:rPr>
        <w:t>)</w:t>
      </w:r>
      <w:r w:rsidR="00AB1230" w:rsidRPr="00CF3EC2">
        <w:rPr>
          <w:rFonts w:ascii="Arial" w:hAnsi="Arial" w:cs="Arial"/>
          <w:sz w:val="22"/>
          <w:szCs w:val="22"/>
        </w:rPr>
        <w:t xml:space="preserve">, </w:t>
      </w:r>
      <w:r w:rsidR="00CF3EC2" w:rsidRPr="00CF3EC2">
        <w:rPr>
          <w:rFonts w:ascii="Arial" w:hAnsi="Arial" w:cs="Arial"/>
          <w:sz w:val="22"/>
          <w:szCs w:val="22"/>
        </w:rPr>
        <w:t>HRA Office Bristol (£40</w:t>
      </w:r>
      <w:r w:rsidR="00DD0225" w:rsidRPr="00CF3EC2">
        <w:rPr>
          <w:rFonts w:ascii="Arial" w:hAnsi="Arial" w:cs="Arial"/>
          <w:sz w:val="22"/>
          <w:szCs w:val="22"/>
        </w:rPr>
        <w:t>k)</w:t>
      </w:r>
      <w:r w:rsidRPr="00CF3EC2">
        <w:rPr>
          <w:rFonts w:ascii="Arial" w:hAnsi="Arial" w:cs="Arial"/>
          <w:sz w:val="22"/>
          <w:szCs w:val="22"/>
        </w:rPr>
        <w:t xml:space="preserve"> and the Regional</w:t>
      </w:r>
      <w:r w:rsidR="00E10273" w:rsidRPr="00CF3EC2">
        <w:rPr>
          <w:rFonts w:ascii="Arial" w:hAnsi="Arial" w:cs="Arial"/>
          <w:sz w:val="22"/>
          <w:szCs w:val="22"/>
        </w:rPr>
        <w:t xml:space="preserve"> Manager North</w:t>
      </w:r>
      <w:r w:rsidR="000F27AB" w:rsidRPr="00CF3EC2">
        <w:rPr>
          <w:rFonts w:ascii="Arial" w:hAnsi="Arial" w:cs="Arial"/>
          <w:sz w:val="22"/>
          <w:szCs w:val="22"/>
        </w:rPr>
        <w:t xml:space="preserve"> and South  </w:t>
      </w:r>
      <w:r w:rsidR="00CF3EC2" w:rsidRPr="00CF3EC2">
        <w:rPr>
          <w:rFonts w:ascii="Arial" w:hAnsi="Arial" w:cs="Arial"/>
          <w:sz w:val="22"/>
          <w:szCs w:val="22"/>
        </w:rPr>
        <w:t>(£46</w:t>
      </w:r>
      <w:r w:rsidRPr="00CF3EC2">
        <w:rPr>
          <w:rFonts w:ascii="Arial" w:hAnsi="Arial" w:cs="Arial"/>
          <w:sz w:val="22"/>
          <w:szCs w:val="22"/>
        </w:rPr>
        <w:t>k).</w:t>
      </w:r>
      <w:r w:rsidR="002C274E" w:rsidRPr="00CF3EC2">
        <w:rPr>
          <w:rFonts w:ascii="Arial" w:hAnsi="Arial" w:cs="Arial"/>
          <w:sz w:val="22"/>
          <w:szCs w:val="22"/>
        </w:rPr>
        <w:t xml:space="preserve">  </w:t>
      </w:r>
      <w:r w:rsidR="00AD0886">
        <w:rPr>
          <w:rFonts w:ascii="Arial" w:hAnsi="Arial" w:cs="Arial"/>
          <w:sz w:val="22"/>
          <w:szCs w:val="22"/>
        </w:rPr>
        <w:t>The level of under spend is also impacting on the forecast position.</w:t>
      </w:r>
    </w:p>
    <w:p w:rsidR="002C274E" w:rsidRDefault="00DD0225" w:rsidP="005743EE">
      <w:pPr>
        <w:pStyle w:val="ListParagraph"/>
        <w:numPr>
          <w:ilvl w:val="0"/>
          <w:numId w:val="17"/>
        </w:numPr>
        <w:spacing w:after="200" w:line="276" w:lineRule="auto"/>
        <w:rPr>
          <w:rFonts w:ascii="Arial" w:hAnsi="Arial" w:cs="Arial"/>
          <w:sz w:val="22"/>
          <w:szCs w:val="22"/>
        </w:rPr>
      </w:pPr>
      <w:r w:rsidRPr="00CF3EC2">
        <w:rPr>
          <w:rFonts w:ascii="Arial" w:hAnsi="Arial" w:cs="Arial"/>
          <w:sz w:val="22"/>
          <w:szCs w:val="22"/>
        </w:rPr>
        <w:t xml:space="preserve">During October the Operations establishment was re-organised to reflect the movement of REC’s from the beginning of the year.  This has moved </w:t>
      </w:r>
      <w:proofErr w:type="gramStart"/>
      <w:r w:rsidRPr="00CF3EC2">
        <w:rPr>
          <w:rFonts w:ascii="Arial" w:hAnsi="Arial" w:cs="Arial"/>
          <w:sz w:val="22"/>
          <w:szCs w:val="22"/>
        </w:rPr>
        <w:t>the underspend</w:t>
      </w:r>
      <w:proofErr w:type="gramEnd"/>
      <w:r w:rsidRPr="00CF3EC2">
        <w:rPr>
          <w:rFonts w:ascii="Arial" w:hAnsi="Arial" w:cs="Arial"/>
          <w:sz w:val="22"/>
          <w:szCs w:val="22"/>
        </w:rPr>
        <w:t xml:space="preserve"> from within the HRA Office London to the offices that took on additional REC’s.  </w:t>
      </w:r>
      <w:r w:rsidR="002C274E" w:rsidRPr="00CF3EC2">
        <w:rPr>
          <w:rFonts w:ascii="Arial" w:hAnsi="Arial" w:cs="Arial"/>
          <w:sz w:val="22"/>
          <w:szCs w:val="22"/>
        </w:rPr>
        <w:t xml:space="preserve">The </w:t>
      </w:r>
      <w:r w:rsidR="007A585B" w:rsidRPr="00CF3EC2">
        <w:rPr>
          <w:rFonts w:ascii="Arial" w:hAnsi="Arial" w:cs="Arial"/>
          <w:sz w:val="22"/>
          <w:szCs w:val="22"/>
        </w:rPr>
        <w:t>main causes of the underspends are:</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t xml:space="preserve">Recurrent savings of high cost area allowance as a result of moving posts from London (this was highlighted on the KPI report for October – circa £23k.  </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lastRenderedPageBreak/>
        <w:t>Recurrent savings as a result of the full year effect of reducing the number of RECs by 1.  (circa £33k)  Both of these savings will help fund pay awards and pension cost increases in 2015/16.</w:t>
      </w:r>
    </w:p>
    <w:p w:rsidR="00AD0886" w:rsidRDefault="00AD0886" w:rsidP="00AD0886">
      <w:pPr>
        <w:pStyle w:val="ListParagraph"/>
        <w:numPr>
          <w:ilvl w:val="1"/>
          <w:numId w:val="17"/>
        </w:numPr>
        <w:spacing w:after="200" w:line="276" w:lineRule="auto"/>
        <w:rPr>
          <w:rFonts w:ascii="Arial" w:hAnsi="Arial" w:cs="Arial"/>
          <w:sz w:val="22"/>
          <w:szCs w:val="22"/>
        </w:rPr>
      </w:pPr>
      <w:r>
        <w:rPr>
          <w:rFonts w:ascii="Arial" w:hAnsi="Arial" w:cs="Arial"/>
          <w:sz w:val="22"/>
          <w:szCs w:val="22"/>
        </w:rPr>
        <w:t>Non recurrent savings as a result of the decision to largely use internal cover rather than agency staff to cover vacant posts.  This decision was directly linked to the poor quality of staff offered through the agency staff contract.  Performance of the affected centres has dipped slightly and remaining staff are working at full capacity.  Posts are now largely filled</w:t>
      </w:r>
    </w:p>
    <w:p w:rsidR="00AD0886" w:rsidRPr="00AC3DE8" w:rsidRDefault="00AD0886" w:rsidP="00AD0886">
      <w:pPr>
        <w:pStyle w:val="ListParagraph"/>
        <w:numPr>
          <w:ilvl w:val="1"/>
          <w:numId w:val="17"/>
        </w:numPr>
        <w:spacing w:after="200" w:line="276" w:lineRule="auto"/>
        <w:rPr>
          <w:rFonts w:ascii="Arial" w:hAnsi="Arial" w:cs="Arial"/>
          <w:sz w:val="22"/>
          <w:szCs w:val="22"/>
        </w:rPr>
      </w:pPr>
      <w:r w:rsidRPr="00AC3DE8">
        <w:rPr>
          <w:rFonts w:ascii="Arial" w:hAnsi="Arial" w:cs="Arial"/>
          <w:sz w:val="22"/>
          <w:szCs w:val="22"/>
        </w:rPr>
        <w:t>Non recurrent saving as a result of carrying a senior vacant post.  Due to problems experienced in the past through the use of senior temps the decision was taken to cover internally to mitigate similar risks.  The under spend within the Regional Manager North relates to the acting up of a Regional Manager into the NRES Manager posts whose post has not been backfilled currently. The under</w:t>
      </w:r>
      <w:r w:rsidR="00AC3DE8" w:rsidRPr="00AC3DE8">
        <w:rPr>
          <w:rFonts w:ascii="Arial" w:hAnsi="Arial" w:cs="Arial"/>
          <w:sz w:val="22"/>
          <w:szCs w:val="22"/>
        </w:rPr>
        <w:t xml:space="preserve"> </w:t>
      </w:r>
      <w:r w:rsidRPr="00AC3DE8">
        <w:rPr>
          <w:rFonts w:ascii="Arial" w:hAnsi="Arial" w:cs="Arial"/>
          <w:sz w:val="22"/>
          <w:szCs w:val="22"/>
        </w:rPr>
        <w:t>spend within the Regional Manager South is as a result of the changed configu</w:t>
      </w:r>
      <w:r w:rsidR="00AC3DE8" w:rsidRPr="00AC3DE8">
        <w:rPr>
          <w:rFonts w:ascii="Arial" w:hAnsi="Arial" w:cs="Arial"/>
          <w:sz w:val="22"/>
          <w:szCs w:val="22"/>
        </w:rPr>
        <w:t>ration of the HRA Office London and cover arrangements.</w:t>
      </w:r>
      <w:r w:rsidR="00AC3DE8">
        <w:rPr>
          <w:rFonts w:ascii="Arial" w:hAnsi="Arial" w:cs="Arial"/>
          <w:sz w:val="22"/>
          <w:szCs w:val="22"/>
        </w:rPr>
        <w:t xml:space="preserve">  </w:t>
      </w:r>
      <w:r w:rsidRPr="00AC3DE8">
        <w:rPr>
          <w:rFonts w:ascii="Arial" w:hAnsi="Arial" w:cs="Arial"/>
          <w:sz w:val="22"/>
          <w:szCs w:val="22"/>
        </w:rPr>
        <w:t xml:space="preserve"> Recruitment plans are now being progressed.</w:t>
      </w:r>
    </w:p>
    <w:p w:rsidR="00AD0886" w:rsidRDefault="00AD0886" w:rsidP="002C274E">
      <w:pPr>
        <w:pStyle w:val="ListParagraph"/>
        <w:numPr>
          <w:ilvl w:val="1"/>
          <w:numId w:val="15"/>
        </w:numPr>
        <w:spacing w:after="200" w:line="276" w:lineRule="auto"/>
        <w:rPr>
          <w:rFonts w:ascii="Arial" w:hAnsi="Arial" w:cs="Arial"/>
          <w:sz w:val="22"/>
          <w:szCs w:val="22"/>
        </w:rPr>
      </w:pPr>
      <w:r>
        <w:rPr>
          <w:rFonts w:ascii="Arial" w:hAnsi="Arial" w:cs="Arial"/>
          <w:sz w:val="22"/>
          <w:szCs w:val="22"/>
        </w:rPr>
        <w:t>Further explanations are offered as below:</w:t>
      </w:r>
    </w:p>
    <w:p w:rsidR="00DD0225" w:rsidRPr="00CF3EC2" w:rsidRDefault="00C25D57" w:rsidP="00AD0886">
      <w:pPr>
        <w:pStyle w:val="ListParagraph"/>
        <w:numPr>
          <w:ilvl w:val="2"/>
          <w:numId w:val="15"/>
        </w:numPr>
        <w:spacing w:after="200" w:line="276" w:lineRule="auto"/>
        <w:rPr>
          <w:rFonts w:ascii="Arial" w:hAnsi="Arial" w:cs="Arial"/>
          <w:sz w:val="22"/>
          <w:szCs w:val="22"/>
        </w:rPr>
      </w:pPr>
      <w:r w:rsidRPr="00CF3EC2">
        <w:rPr>
          <w:rFonts w:ascii="Arial" w:hAnsi="Arial" w:cs="Arial"/>
          <w:sz w:val="22"/>
          <w:szCs w:val="22"/>
        </w:rPr>
        <w:t>The under</w:t>
      </w:r>
      <w:r w:rsidR="005743EE" w:rsidRPr="00CF3EC2">
        <w:rPr>
          <w:rFonts w:ascii="Arial" w:hAnsi="Arial" w:cs="Arial"/>
          <w:sz w:val="22"/>
          <w:szCs w:val="22"/>
        </w:rPr>
        <w:t xml:space="preserve"> </w:t>
      </w:r>
      <w:r w:rsidRPr="00CF3EC2">
        <w:rPr>
          <w:rFonts w:ascii="Arial" w:hAnsi="Arial" w:cs="Arial"/>
          <w:sz w:val="22"/>
          <w:szCs w:val="22"/>
        </w:rPr>
        <w:t>spend within the HRA Office London relates mainly to staff cos</w:t>
      </w:r>
      <w:r w:rsidR="00CF3EC2" w:rsidRPr="00CF3EC2">
        <w:rPr>
          <w:rFonts w:ascii="Arial" w:hAnsi="Arial" w:cs="Arial"/>
          <w:sz w:val="22"/>
          <w:szCs w:val="22"/>
        </w:rPr>
        <w:t>ts (£23</w:t>
      </w:r>
      <w:r w:rsidRPr="00CF3EC2">
        <w:rPr>
          <w:rFonts w:ascii="Arial" w:hAnsi="Arial" w:cs="Arial"/>
          <w:sz w:val="22"/>
          <w:szCs w:val="22"/>
        </w:rPr>
        <w:t>k)</w:t>
      </w:r>
      <w:r w:rsidR="000F27AB" w:rsidRPr="00CF3EC2">
        <w:rPr>
          <w:rFonts w:ascii="Arial" w:hAnsi="Arial" w:cs="Arial"/>
          <w:sz w:val="22"/>
          <w:szCs w:val="22"/>
        </w:rPr>
        <w:t xml:space="preserve"> and £1k spend on removal costs as part of the re-organisation</w:t>
      </w:r>
      <w:r w:rsidRPr="00CF3EC2">
        <w:rPr>
          <w:rFonts w:ascii="Arial" w:hAnsi="Arial" w:cs="Arial"/>
          <w:sz w:val="22"/>
          <w:szCs w:val="22"/>
        </w:rPr>
        <w:t xml:space="preserve">. </w:t>
      </w:r>
      <w:r w:rsidR="009C6E35" w:rsidRPr="00CF3EC2">
        <w:rPr>
          <w:rFonts w:ascii="Arial" w:hAnsi="Arial" w:cs="Arial"/>
          <w:sz w:val="22"/>
          <w:szCs w:val="22"/>
        </w:rPr>
        <w:t>The</w:t>
      </w:r>
      <w:r w:rsidR="00DD0225" w:rsidRPr="00CF3EC2">
        <w:rPr>
          <w:rFonts w:ascii="Arial" w:hAnsi="Arial" w:cs="Arial"/>
          <w:sz w:val="22"/>
          <w:szCs w:val="22"/>
        </w:rPr>
        <w:t>re are also slight overspends on GP locum backfill costs</w:t>
      </w:r>
      <w:r w:rsidR="00E825C5" w:rsidRPr="00CF3EC2">
        <w:rPr>
          <w:rFonts w:ascii="Arial" w:hAnsi="Arial" w:cs="Arial"/>
          <w:sz w:val="22"/>
          <w:szCs w:val="22"/>
        </w:rPr>
        <w:t xml:space="preserve"> for REC GP </w:t>
      </w:r>
      <w:proofErr w:type="gramStart"/>
      <w:r w:rsidR="00E825C5" w:rsidRPr="00CF3EC2">
        <w:rPr>
          <w:rFonts w:ascii="Arial" w:hAnsi="Arial" w:cs="Arial"/>
          <w:sz w:val="22"/>
          <w:szCs w:val="22"/>
        </w:rPr>
        <w:t xml:space="preserve">members </w:t>
      </w:r>
      <w:r w:rsidR="00DD0225" w:rsidRPr="00CF3EC2">
        <w:rPr>
          <w:rFonts w:ascii="Arial" w:hAnsi="Arial" w:cs="Arial"/>
          <w:sz w:val="22"/>
          <w:szCs w:val="22"/>
        </w:rPr>
        <w:t xml:space="preserve"> (</w:t>
      </w:r>
      <w:proofErr w:type="gramEnd"/>
      <w:r w:rsidR="00DD0225" w:rsidRPr="00CF3EC2">
        <w:rPr>
          <w:rFonts w:ascii="Arial" w:hAnsi="Arial" w:cs="Arial"/>
          <w:sz w:val="22"/>
          <w:szCs w:val="22"/>
        </w:rPr>
        <w:t>£1k</w:t>
      </w:r>
      <w:r w:rsidR="000200FA" w:rsidRPr="00CF3EC2">
        <w:rPr>
          <w:rFonts w:ascii="Arial" w:hAnsi="Arial" w:cs="Arial"/>
          <w:sz w:val="22"/>
          <w:szCs w:val="22"/>
        </w:rPr>
        <w:t>)</w:t>
      </w:r>
      <w:r w:rsidR="00CF3EC2" w:rsidRPr="00CF3EC2">
        <w:rPr>
          <w:rFonts w:ascii="Arial" w:hAnsi="Arial" w:cs="Arial"/>
          <w:sz w:val="22"/>
          <w:szCs w:val="22"/>
        </w:rPr>
        <w:t xml:space="preserve"> and Chairs Allowance £2</w:t>
      </w:r>
      <w:r w:rsidR="00DD0225" w:rsidRPr="00CF3EC2">
        <w:rPr>
          <w:rFonts w:ascii="Arial" w:hAnsi="Arial" w:cs="Arial"/>
          <w:sz w:val="22"/>
          <w:szCs w:val="22"/>
        </w:rPr>
        <w:t>k.</w:t>
      </w:r>
      <w:r w:rsidR="009C6E35" w:rsidRPr="00CF3EC2">
        <w:rPr>
          <w:rFonts w:ascii="Arial" w:hAnsi="Arial" w:cs="Arial"/>
          <w:sz w:val="22"/>
          <w:szCs w:val="22"/>
        </w:rPr>
        <w:t xml:space="preserve"> </w:t>
      </w:r>
      <w:r w:rsidR="000F27AB" w:rsidRPr="00CF3EC2">
        <w:rPr>
          <w:rFonts w:ascii="Arial" w:hAnsi="Arial" w:cs="Arial"/>
          <w:sz w:val="22"/>
          <w:szCs w:val="22"/>
        </w:rPr>
        <w:t>The tra</w:t>
      </w:r>
      <w:r w:rsidR="00DD0225" w:rsidRPr="00CF3EC2">
        <w:rPr>
          <w:rFonts w:ascii="Arial" w:hAnsi="Arial" w:cs="Arial"/>
          <w:sz w:val="22"/>
          <w:szCs w:val="22"/>
        </w:rPr>
        <w:t>nsfer of budgets for pay costs for REC’s transferred out of HRA Office London were actioned in October.</w:t>
      </w:r>
      <w:r w:rsidR="000F27AB" w:rsidRPr="00CF3EC2">
        <w:rPr>
          <w:rFonts w:ascii="Arial" w:hAnsi="Arial" w:cs="Arial"/>
          <w:sz w:val="22"/>
          <w:szCs w:val="22"/>
        </w:rPr>
        <w:t xml:space="preserve"> </w:t>
      </w:r>
    </w:p>
    <w:p w:rsidR="003764E7" w:rsidRPr="00CF3EC2" w:rsidRDefault="002C274E" w:rsidP="00AD0886">
      <w:pPr>
        <w:pStyle w:val="ListParagraph"/>
        <w:numPr>
          <w:ilvl w:val="2"/>
          <w:numId w:val="15"/>
        </w:numPr>
        <w:spacing w:after="200" w:line="276" w:lineRule="auto"/>
        <w:rPr>
          <w:rFonts w:ascii="Arial" w:hAnsi="Arial" w:cs="Arial"/>
          <w:sz w:val="22"/>
          <w:szCs w:val="22"/>
        </w:rPr>
      </w:pPr>
      <w:r w:rsidRPr="00CF3EC2">
        <w:rPr>
          <w:rFonts w:ascii="Arial" w:hAnsi="Arial" w:cs="Arial"/>
          <w:sz w:val="22"/>
          <w:szCs w:val="22"/>
        </w:rPr>
        <w:t xml:space="preserve">The HRA </w:t>
      </w:r>
      <w:r w:rsidR="00C25D57" w:rsidRPr="00CF3EC2">
        <w:rPr>
          <w:rFonts w:ascii="Arial" w:hAnsi="Arial" w:cs="Arial"/>
          <w:sz w:val="22"/>
          <w:szCs w:val="22"/>
        </w:rPr>
        <w:t>Off</w:t>
      </w:r>
      <w:r w:rsidR="00CF3EC2" w:rsidRPr="00CF3EC2">
        <w:rPr>
          <w:rFonts w:ascii="Arial" w:hAnsi="Arial" w:cs="Arial"/>
          <w:sz w:val="22"/>
          <w:szCs w:val="22"/>
        </w:rPr>
        <w:t>ice Manchester underspend of £101</w:t>
      </w:r>
      <w:r w:rsidR="00C25D57" w:rsidRPr="00CF3EC2">
        <w:rPr>
          <w:rFonts w:ascii="Arial" w:hAnsi="Arial" w:cs="Arial"/>
          <w:sz w:val="22"/>
          <w:szCs w:val="22"/>
        </w:rPr>
        <w:t>k i</w:t>
      </w:r>
      <w:r w:rsidR="00401265" w:rsidRPr="00CF3EC2">
        <w:rPr>
          <w:rFonts w:ascii="Arial" w:hAnsi="Arial" w:cs="Arial"/>
          <w:sz w:val="22"/>
          <w:szCs w:val="22"/>
        </w:rPr>
        <w:t xml:space="preserve">s in relation to staff costs </w:t>
      </w:r>
      <w:r w:rsidR="00CF3EC2" w:rsidRPr="00CF3EC2">
        <w:rPr>
          <w:rFonts w:ascii="Arial" w:hAnsi="Arial" w:cs="Arial"/>
          <w:sz w:val="22"/>
          <w:szCs w:val="22"/>
        </w:rPr>
        <w:t>£77</w:t>
      </w:r>
      <w:r w:rsidR="00401265" w:rsidRPr="00CF3EC2">
        <w:rPr>
          <w:rFonts w:ascii="Arial" w:hAnsi="Arial" w:cs="Arial"/>
          <w:sz w:val="22"/>
          <w:szCs w:val="22"/>
        </w:rPr>
        <w:t>k</w:t>
      </w:r>
      <w:r w:rsidR="00C25D57" w:rsidRPr="00CF3EC2">
        <w:rPr>
          <w:rFonts w:ascii="Arial" w:hAnsi="Arial" w:cs="Arial"/>
          <w:sz w:val="22"/>
          <w:szCs w:val="22"/>
        </w:rPr>
        <w:t xml:space="preserve"> – </w:t>
      </w:r>
      <w:r w:rsidR="00DD0225" w:rsidRPr="00CF3EC2">
        <w:rPr>
          <w:rFonts w:ascii="Arial" w:hAnsi="Arial" w:cs="Arial"/>
          <w:sz w:val="22"/>
          <w:szCs w:val="22"/>
        </w:rPr>
        <w:t xml:space="preserve">this increase is largely due to the budget transferred from the HRA Office London for the pay for transferred REC’s.  The recruitment to HRA Office Manchester </w:t>
      </w:r>
      <w:r w:rsidR="00CB5121" w:rsidRPr="00CF3EC2">
        <w:rPr>
          <w:rFonts w:ascii="Arial" w:hAnsi="Arial" w:cs="Arial"/>
          <w:sz w:val="22"/>
          <w:szCs w:val="22"/>
        </w:rPr>
        <w:t>continues to be</w:t>
      </w:r>
      <w:r w:rsidR="000F27AB" w:rsidRPr="00CF3EC2">
        <w:rPr>
          <w:rFonts w:ascii="Arial" w:hAnsi="Arial" w:cs="Arial"/>
          <w:sz w:val="22"/>
          <w:szCs w:val="22"/>
        </w:rPr>
        <w:t xml:space="preserve"> undertaken.</w:t>
      </w:r>
      <w:r w:rsidR="00921CE5" w:rsidRPr="00CF3EC2">
        <w:rPr>
          <w:rFonts w:ascii="Arial" w:hAnsi="Arial" w:cs="Arial"/>
          <w:sz w:val="22"/>
          <w:szCs w:val="22"/>
        </w:rPr>
        <w:t xml:space="preserve"> There is a plan for additional hours to be worked by some of the current staff in order to continue to meet set deadlines and these will be charged to the staff underspend.</w:t>
      </w:r>
      <w:r w:rsidR="00C42136" w:rsidRPr="00CF3EC2">
        <w:rPr>
          <w:rFonts w:ascii="Arial" w:hAnsi="Arial" w:cs="Arial"/>
          <w:sz w:val="22"/>
          <w:szCs w:val="22"/>
        </w:rPr>
        <w:t xml:space="preserve">  There is an </w:t>
      </w:r>
      <w:r w:rsidR="005743EE" w:rsidRPr="00CF3EC2">
        <w:rPr>
          <w:rFonts w:ascii="Arial" w:hAnsi="Arial" w:cs="Arial"/>
          <w:sz w:val="22"/>
          <w:szCs w:val="22"/>
        </w:rPr>
        <w:t xml:space="preserve">additional </w:t>
      </w:r>
      <w:r w:rsidR="00C42136" w:rsidRPr="00CF3EC2">
        <w:rPr>
          <w:rFonts w:ascii="Arial" w:hAnsi="Arial" w:cs="Arial"/>
          <w:sz w:val="22"/>
          <w:szCs w:val="22"/>
        </w:rPr>
        <w:t>under</w:t>
      </w:r>
      <w:r w:rsidR="005743EE" w:rsidRPr="00CF3EC2">
        <w:rPr>
          <w:rFonts w:ascii="Arial" w:hAnsi="Arial" w:cs="Arial"/>
          <w:sz w:val="22"/>
          <w:szCs w:val="22"/>
        </w:rPr>
        <w:t xml:space="preserve"> </w:t>
      </w:r>
      <w:r w:rsidR="00CF3EC2" w:rsidRPr="00CF3EC2">
        <w:rPr>
          <w:rFonts w:ascii="Arial" w:hAnsi="Arial" w:cs="Arial"/>
          <w:sz w:val="22"/>
          <w:szCs w:val="22"/>
        </w:rPr>
        <w:t>spend of £3</w:t>
      </w:r>
      <w:r w:rsidR="00C42136" w:rsidRPr="00CF3EC2">
        <w:rPr>
          <w:rFonts w:ascii="Arial" w:hAnsi="Arial" w:cs="Arial"/>
          <w:sz w:val="22"/>
          <w:szCs w:val="22"/>
        </w:rPr>
        <w:t>k within travel</w:t>
      </w:r>
      <w:r w:rsidR="00CF3EC2" w:rsidRPr="00CF3EC2">
        <w:rPr>
          <w:rFonts w:ascii="Arial" w:hAnsi="Arial" w:cs="Arial"/>
          <w:sz w:val="22"/>
          <w:szCs w:val="22"/>
        </w:rPr>
        <w:t>, a £10</w:t>
      </w:r>
      <w:r w:rsidR="003764E7" w:rsidRPr="00CF3EC2">
        <w:rPr>
          <w:rFonts w:ascii="Arial" w:hAnsi="Arial" w:cs="Arial"/>
          <w:sz w:val="22"/>
          <w:szCs w:val="22"/>
        </w:rPr>
        <w:t xml:space="preserve">k underspend in </w:t>
      </w:r>
      <w:r w:rsidR="00DF4039" w:rsidRPr="00CF3EC2">
        <w:rPr>
          <w:rFonts w:ascii="Arial" w:hAnsi="Arial" w:cs="Arial"/>
          <w:sz w:val="22"/>
          <w:szCs w:val="22"/>
        </w:rPr>
        <w:t>s</w:t>
      </w:r>
      <w:r w:rsidR="003764E7" w:rsidRPr="00CF3EC2">
        <w:rPr>
          <w:rFonts w:ascii="Arial" w:hAnsi="Arial" w:cs="Arial"/>
          <w:sz w:val="22"/>
          <w:szCs w:val="22"/>
        </w:rPr>
        <w:t>tationery</w:t>
      </w:r>
      <w:r w:rsidR="00CF3EC2" w:rsidRPr="00CF3EC2">
        <w:rPr>
          <w:rFonts w:ascii="Arial" w:hAnsi="Arial" w:cs="Arial"/>
          <w:sz w:val="22"/>
          <w:szCs w:val="22"/>
        </w:rPr>
        <w:t>, a £5k underspend in postage</w:t>
      </w:r>
      <w:r w:rsidR="00921CE5" w:rsidRPr="00CF3EC2">
        <w:rPr>
          <w:rFonts w:ascii="Arial" w:hAnsi="Arial" w:cs="Arial"/>
          <w:sz w:val="22"/>
          <w:szCs w:val="22"/>
        </w:rPr>
        <w:t xml:space="preserve"> </w:t>
      </w:r>
      <w:r w:rsidR="00C42136" w:rsidRPr="00CF3EC2">
        <w:rPr>
          <w:rFonts w:ascii="Arial" w:hAnsi="Arial" w:cs="Arial"/>
          <w:sz w:val="22"/>
          <w:szCs w:val="22"/>
        </w:rPr>
        <w:t xml:space="preserve">and </w:t>
      </w:r>
      <w:proofErr w:type="gramStart"/>
      <w:r w:rsidR="00C42136" w:rsidRPr="00CF3EC2">
        <w:rPr>
          <w:rFonts w:ascii="Arial" w:hAnsi="Arial" w:cs="Arial"/>
          <w:sz w:val="22"/>
          <w:szCs w:val="22"/>
        </w:rPr>
        <w:t>a</w:t>
      </w:r>
      <w:r w:rsidR="00921CE5" w:rsidRPr="00CF3EC2">
        <w:rPr>
          <w:rFonts w:ascii="Arial" w:hAnsi="Arial" w:cs="Arial"/>
          <w:sz w:val="22"/>
          <w:szCs w:val="22"/>
        </w:rPr>
        <w:t>n underspe</w:t>
      </w:r>
      <w:r w:rsidR="00CF3EC2" w:rsidRPr="00CF3EC2">
        <w:rPr>
          <w:rFonts w:ascii="Arial" w:hAnsi="Arial" w:cs="Arial"/>
          <w:sz w:val="22"/>
          <w:szCs w:val="22"/>
        </w:rPr>
        <w:t>nd</w:t>
      </w:r>
      <w:proofErr w:type="gramEnd"/>
      <w:r w:rsidR="00CF3EC2" w:rsidRPr="00CF3EC2">
        <w:rPr>
          <w:rFonts w:ascii="Arial" w:hAnsi="Arial" w:cs="Arial"/>
          <w:sz w:val="22"/>
          <w:szCs w:val="22"/>
        </w:rPr>
        <w:t xml:space="preserve"> within minor works of £3</w:t>
      </w:r>
      <w:r w:rsidR="00921CE5" w:rsidRPr="00CF3EC2">
        <w:rPr>
          <w:rFonts w:ascii="Arial" w:hAnsi="Arial" w:cs="Arial"/>
          <w:sz w:val="22"/>
          <w:szCs w:val="22"/>
        </w:rPr>
        <w:t>k</w:t>
      </w:r>
      <w:r w:rsidR="00DD0225" w:rsidRPr="00CF3EC2">
        <w:rPr>
          <w:rFonts w:ascii="Arial" w:hAnsi="Arial" w:cs="Arial"/>
          <w:sz w:val="22"/>
          <w:szCs w:val="22"/>
        </w:rPr>
        <w:t xml:space="preserve"> and a small underspe</w:t>
      </w:r>
      <w:r w:rsidR="00CF3EC2" w:rsidRPr="00CF3EC2">
        <w:rPr>
          <w:rFonts w:ascii="Arial" w:hAnsi="Arial" w:cs="Arial"/>
          <w:sz w:val="22"/>
          <w:szCs w:val="22"/>
        </w:rPr>
        <w:t>nd within Chairs Allowance of £5</w:t>
      </w:r>
      <w:r w:rsidR="00DD0225" w:rsidRPr="00CF3EC2">
        <w:rPr>
          <w:rFonts w:ascii="Arial" w:hAnsi="Arial" w:cs="Arial"/>
          <w:sz w:val="22"/>
          <w:szCs w:val="22"/>
        </w:rPr>
        <w:t>k</w:t>
      </w:r>
      <w:r w:rsidR="00794745" w:rsidRPr="00CF3EC2">
        <w:rPr>
          <w:rFonts w:ascii="Arial" w:hAnsi="Arial" w:cs="Arial"/>
          <w:sz w:val="22"/>
          <w:szCs w:val="22"/>
        </w:rPr>
        <w:t>.</w:t>
      </w:r>
      <w:r w:rsidR="00921CE5" w:rsidRPr="00CF3EC2">
        <w:rPr>
          <w:rFonts w:ascii="Arial" w:hAnsi="Arial" w:cs="Arial"/>
          <w:sz w:val="22"/>
          <w:szCs w:val="22"/>
        </w:rPr>
        <w:t xml:space="preserve">  </w:t>
      </w:r>
    </w:p>
    <w:p w:rsidR="00794745" w:rsidRDefault="00CF3EC2" w:rsidP="00AD0886">
      <w:pPr>
        <w:pStyle w:val="ListParagraph"/>
        <w:numPr>
          <w:ilvl w:val="2"/>
          <w:numId w:val="15"/>
        </w:numPr>
        <w:spacing w:after="200" w:line="276" w:lineRule="auto"/>
        <w:rPr>
          <w:rFonts w:ascii="Arial" w:hAnsi="Arial" w:cs="Arial"/>
          <w:sz w:val="22"/>
          <w:szCs w:val="22"/>
        </w:rPr>
      </w:pPr>
      <w:r w:rsidRPr="00CF3EC2">
        <w:rPr>
          <w:rFonts w:ascii="Arial" w:hAnsi="Arial" w:cs="Arial"/>
          <w:sz w:val="22"/>
          <w:szCs w:val="22"/>
        </w:rPr>
        <w:t>The underspend of £40</w:t>
      </w:r>
      <w:r w:rsidR="00794745" w:rsidRPr="00CF3EC2">
        <w:rPr>
          <w:rFonts w:ascii="Arial" w:hAnsi="Arial" w:cs="Arial"/>
          <w:sz w:val="22"/>
          <w:szCs w:val="22"/>
        </w:rPr>
        <w:t>k within the HRA Office Bristol is mostly</w:t>
      </w:r>
      <w:r w:rsidRPr="00CF3EC2">
        <w:rPr>
          <w:rFonts w:ascii="Arial" w:hAnsi="Arial" w:cs="Arial"/>
          <w:sz w:val="22"/>
          <w:szCs w:val="22"/>
        </w:rPr>
        <w:t xml:space="preserve"> in relation to staff costs £34k</w:t>
      </w:r>
      <w:r w:rsidR="00794745" w:rsidRPr="00CF3EC2">
        <w:rPr>
          <w:rFonts w:ascii="Arial" w:hAnsi="Arial" w:cs="Arial"/>
          <w:sz w:val="22"/>
          <w:szCs w:val="22"/>
        </w:rPr>
        <w:t xml:space="preserve"> and these have arisen in month due to the pay budgets transferred to reflect the REC committees transferred to Bristol from </w:t>
      </w:r>
      <w:r w:rsidRPr="00CF3EC2">
        <w:rPr>
          <w:rFonts w:ascii="Arial" w:hAnsi="Arial" w:cs="Arial"/>
          <w:sz w:val="22"/>
          <w:szCs w:val="22"/>
        </w:rPr>
        <w:t>London.  There is an £9</w:t>
      </w:r>
      <w:r w:rsidR="00766455" w:rsidRPr="00CF3EC2">
        <w:rPr>
          <w:rFonts w:ascii="Arial" w:hAnsi="Arial" w:cs="Arial"/>
          <w:sz w:val="22"/>
          <w:szCs w:val="22"/>
        </w:rPr>
        <w:t>k underspe</w:t>
      </w:r>
      <w:r w:rsidR="00794745" w:rsidRPr="00CF3EC2">
        <w:rPr>
          <w:rFonts w:ascii="Arial" w:hAnsi="Arial" w:cs="Arial"/>
          <w:sz w:val="22"/>
          <w:szCs w:val="22"/>
        </w:rPr>
        <w:t xml:space="preserve">nd within the Chairs Allowance </w:t>
      </w:r>
      <w:r w:rsidRPr="00CF3EC2">
        <w:rPr>
          <w:rFonts w:ascii="Arial" w:hAnsi="Arial" w:cs="Arial"/>
          <w:sz w:val="22"/>
          <w:szCs w:val="22"/>
        </w:rPr>
        <w:t>this is recognised in the forecast outturn.</w:t>
      </w:r>
      <w:r w:rsidR="00794745" w:rsidRPr="00CF3EC2">
        <w:rPr>
          <w:rFonts w:ascii="Arial" w:hAnsi="Arial" w:cs="Arial"/>
          <w:sz w:val="22"/>
          <w:szCs w:val="22"/>
        </w:rPr>
        <w:t xml:space="preserve"> </w:t>
      </w:r>
      <w:r w:rsidR="00E07A37">
        <w:rPr>
          <w:rFonts w:ascii="Arial" w:hAnsi="Arial" w:cs="Arial"/>
          <w:sz w:val="22"/>
          <w:szCs w:val="22"/>
        </w:rPr>
        <w:t xml:space="preserve"> </w:t>
      </w:r>
    </w:p>
    <w:p w:rsidR="00E07A37" w:rsidRPr="00CF3EC2" w:rsidRDefault="00E07A37" w:rsidP="00AD0886">
      <w:pPr>
        <w:pStyle w:val="ListParagraph"/>
        <w:numPr>
          <w:ilvl w:val="2"/>
          <w:numId w:val="15"/>
        </w:numPr>
        <w:spacing w:after="200" w:line="276" w:lineRule="auto"/>
        <w:rPr>
          <w:rFonts w:ascii="Arial" w:hAnsi="Arial" w:cs="Arial"/>
          <w:sz w:val="22"/>
          <w:szCs w:val="22"/>
        </w:rPr>
      </w:pPr>
      <w:r>
        <w:rPr>
          <w:rFonts w:ascii="Arial" w:hAnsi="Arial" w:cs="Arial"/>
          <w:sz w:val="22"/>
          <w:szCs w:val="22"/>
        </w:rPr>
        <w:t xml:space="preserve">The Chairs under spends in the larger centres have been investigated and are due to the </w:t>
      </w:r>
      <w:r w:rsidRPr="00E07A37">
        <w:rPr>
          <w:rFonts w:ascii="Arial" w:hAnsi="Arial" w:cs="Arial"/>
          <w:sz w:val="22"/>
          <w:szCs w:val="22"/>
        </w:rPr>
        <w:t xml:space="preserve">budget </w:t>
      </w:r>
      <w:r>
        <w:rPr>
          <w:rFonts w:ascii="Arial" w:hAnsi="Arial" w:cs="Arial"/>
          <w:sz w:val="22"/>
          <w:szCs w:val="22"/>
        </w:rPr>
        <w:t xml:space="preserve">being </w:t>
      </w:r>
      <w:r w:rsidRPr="00E07A37">
        <w:rPr>
          <w:rFonts w:ascii="Arial" w:hAnsi="Arial" w:cs="Arial"/>
          <w:sz w:val="22"/>
          <w:szCs w:val="22"/>
        </w:rPr>
        <w:t>based on Chairs Allowance plus on-costs – at a rate we would be recharged from an external host.  The majority of Chairs are now on payroll and the on-costs are significantly lower than budgeted.  For 2015/16 we will be budgeting based on actual process for each Chair so the under</w:t>
      </w:r>
      <w:r>
        <w:rPr>
          <w:rFonts w:ascii="Arial" w:hAnsi="Arial" w:cs="Arial"/>
          <w:sz w:val="22"/>
          <w:szCs w:val="22"/>
        </w:rPr>
        <w:t xml:space="preserve"> </w:t>
      </w:r>
      <w:r w:rsidRPr="00E07A37">
        <w:rPr>
          <w:rFonts w:ascii="Arial" w:hAnsi="Arial" w:cs="Arial"/>
          <w:sz w:val="22"/>
          <w:szCs w:val="22"/>
        </w:rPr>
        <w:t>spend should be eliminated and produce a saving back to reserves.</w:t>
      </w:r>
    </w:p>
    <w:p w:rsidR="002D34F7" w:rsidRPr="002D34F7" w:rsidRDefault="00D9051B"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 xml:space="preserve">Within the Corporate Services directorate the </w:t>
      </w:r>
      <w:r w:rsidR="00794745" w:rsidRPr="002D34F7">
        <w:rPr>
          <w:rFonts w:ascii="Arial" w:hAnsi="Arial" w:cs="Arial"/>
          <w:sz w:val="22"/>
          <w:szCs w:val="22"/>
        </w:rPr>
        <w:t xml:space="preserve">budgets for </w:t>
      </w:r>
      <w:r w:rsidRPr="002D34F7">
        <w:rPr>
          <w:rFonts w:ascii="Arial" w:hAnsi="Arial" w:cs="Arial"/>
          <w:sz w:val="22"/>
          <w:szCs w:val="22"/>
        </w:rPr>
        <w:t>Training for staff and members is underspent (£35k).  The budgets for th</w:t>
      </w:r>
      <w:r w:rsidR="00CF3EC2" w:rsidRPr="002D34F7">
        <w:rPr>
          <w:rFonts w:ascii="Arial" w:hAnsi="Arial" w:cs="Arial"/>
          <w:sz w:val="22"/>
          <w:szCs w:val="22"/>
        </w:rPr>
        <w:t xml:space="preserve">is area have been re-profiled and the current </w:t>
      </w:r>
      <w:r w:rsidRPr="002D34F7">
        <w:rPr>
          <w:rFonts w:ascii="Arial" w:hAnsi="Arial" w:cs="Arial"/>
          <w:sz w:val="22"/>
          <w:szCs w:val="22"/>
        </w:rPr>
        <w:t xml:space="preserve">underspend is expected </w:t>
      </w:r>
      <w:r w:rsidR="00CF3EC2" w:rsidRPr="002D34F7">
        <w:rPr>
          <w:rFonts w:ascii="Arial" w:hAnsi="Arial" w:cs="Arial"/>
          <w:sz w:val="22"/>
          <w:szCs w:val="22"/>
        </w:rPr>
        <w:t>to be allocated in year resulting in a forecast break even pos</w:t>
      </w:r>
      <w:r w:rsidR="002D34F7">
        <w:rPr>
          <w:rFonts w:ascii="Arial" w:hAnsi="Arial" w:cs="Arial"/>
          <w:sz w:val="22"/>
          <w:szCs w:val="22"/>
        </w:rPr>
        <w:t>i</w:t>
      </w:r>
      <w:r w:rsidR="00CF3EC2" w:rsidRPr="002D34F7">
        <w:rPr>
          <w:rFonts w:ascii="Arial" w:hAnsi="Arial" w:cs="Arial"/>
          <w:sz w:val="22"/>
          <w:szCs w:val="22"/>
        </w:rPr>
        <w:t>tion</w:t>
      </w:r>
      <w:r w:rsidRPr="002D34F7">
        <w:rPr>
          <w:rFonts w:ascii="Arial" w:hAnsi="Arial" w:cs="Arial"/>
          <w:sz w:val="22"/>
          <w:szCs w:val="22"/>
        </w:rPr>
        <w:t xml:space="preserve">.  </w:t>
      </w:r>
      <w:r w:rsidR="00794745" w:rsidRPr="002D34F7">
        <w:rPr>
          <w:rFonts w:ascii="Arial" w:hAnsi="Arial" w:cs="Arial"/>
          <w:sz w:val="22"/>
          <w:szCs w:val="22"/>
        </w:rPr>
        <w:t>The budget f</w:t>
      </w:r>
      <w:r w:rsidR="002D34F7" w:rsidRPr="002D34F7">
        <w:rPr>
          <w:rFonts w:ascii="Arial" w:hAnsi="Arial" w:cs="Arial"/>
          <w:sz w:val="22"/>
          <w:szCs w:val="22"/>
        </w:rPr>
        <w:t xml:space="preserve">or Business Partnerships is overspent in relation to external contracts by £26k.  There is an earmarked reserve to be </w:t>
      </w:r>
      <w:r w:rsidR="002D34F7" w:rsidRPr="002D34F7">
        <w:rPr>
          <w:rFonts w:ascii="Arial" w:hAnsi="Arial" w:cs="Arial"/>
          <w:sz w:val="22"/>
          <w:szCs w:val="22"/>
        </w:rPr>
        <w:lastRenderedPageBreak/>
        <w:t xml:space="preserve">released to cover this overspend.  </w:t>
      </w:r>
      <w:proofErr w:type="gramStart"/>
      <w:r w:rsidR="002D34F7" w:rsidRPr="002D34F7">
        <w:rPr>
          <w:rFonts w:ascii="Arial" w:hAnsi="Arial" w:cs="Arial"/>
          <w:sz w:val="22"/>
          <w:szCs w:val="22"/>
        </w:rPr>
        <w:t>The overspend</w:t>
      </w:r>
      <w:proofErr w:type="gramEnd"/>
      <w:r w:rsidR="002D34F7" w:rsidRPr="002D34F7">
        <w:rPr>
          <w:rFonts w:ascii="Arial" w:hAnsi="Arial" w:cs="Arial"/>
          <w:sz w:val="22"/>
          <w:szCs w:val="22"/>
        </w:rPr>
        <w:t xml:space="preserve"> is offset by a</w:t>
      </w:r>
      <w:r w:rsidR="006C20DB">
        <w:rPr>
          <w:rFonts w:ascii="Arial" w:hAnsi="Arial" w:cs="Arial"/>
          <w:sz w:val="22"/>
          <w:szCs w:val="22"/>
        </w:rPr>
        <w:t xml:space="preserve"> current</w:t>
      </w:r>
      <w:r w:rsidR="002D34F7" w:rsidRPr="002D34F7">
        <w:rPr>
          <w:rFonts w:ascii="Arial" w:hAnsi="Arial" w:cs="Arial"/>
          <w:sz w:val="22"/>
          <w:szCs w:val="22"/>
        </w:rPr>
        <w:t xml:space="preserve"> underspend in relation to travel (£6k</w:t>
      </w:r>
      <w:r w:rsidR="00794745" w:rsidRPr="002D34F7">
        <w:rPr>
          <w:rFonts w:ascii="Arial" w:hAnsi="Arial" w:cs="Arial"/>
          <w:sz w:val="22"/>
          <w:szCs w:val="22"/>
        </w:rPr>
        <w:t>) and the external contracts (£10k).</w:t>
      </w:r>
    </w:p>
    <w:p w:rsidR="00440BCB" w:rsidRPr="002D34F7" w:rsidRDefault="00794745"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The overspend within Head of Communications re</w:t>
      </w:r>
      <w:r w:rsidR="002D34F7" w:rsidRPr="002D34F7">
        <w:rPr>
          <w:rFonts w:ascii="Arial" w:hAnsi="Arial" w:cs="Arial"/>
          <w:sz w:val="22"/>
          <w:szCs w:val="22"/>
        </w:rPr>
        <w:t>lates to agency staff costs (£17</w:t>
      </w:r>
      <w:r w:rsidRPr="002D34F7">
        <w:rPr>
          <w:rFonts w:ascii="Arial" w:hAnsi="Arial" w:cs="Arial"/>
          <w:sz w:val="22"/>
          <w:szCs w:val="22"/>
        </w:rPr>
        <w:t>k</w:t>
      </w:r>
      <w:proofErr w:type="gramStart"/>
      <w:r w:rsidRPr="002D34F7">
        <w:rPr>
          <w:rFonts w:ascii="Arial" w:hAnsi="Arial" w:cs="Arial"/>
          <w:sz w:val="22"/>
          <w:szCs w:val="22"/>
        </w:rPr>
        <w:t>)</w:t>
      </w:r>
      <w:r w:rsidR="002D34F7" w:rsidRPr="002D34F7">
        <w:rPr>
          <w:rFonts w:ascii="Arial" w:hAnsi="Arial" w:cs="Arial"/>
          <w:sz w:val="22"/>
          <w:szCs w:val="22"/>
        </w:rPr>
        <w:t xml:space="preserve"> </w:t>
      </w:r>
      <w:r w:rsidR="006E5CB4" w:rsidRPr="002D34F7">
        <w:rPr>
          <w:rFonts w:ascii="Arial" w:hAnsi="Arial" w:cs="Arial"/>
          <w:sz w:val="22"/>
          <w:szCs w:val="22"/>
        </w:rPr>
        <w:t>.</w:t>
      </w:r>
      <w:proofErr w:type="gramEnd"/>
      <w:r w:rsidR="00E72B98">
        <w:rPr>
          <w:rFonts w:ascii="Arial" w:hAnsi="Arial" w:cs="Arial"/>
          <w:sz w:val="22"/>
          <w:szCs w:val="22"/>
        </w:rPr>
        <w:t xml:space="preserve"> Recruitment to vacant posts has now completed and this overspend should start to reduce. </w:t>
      </w:r>
    </w:p>
    <w:p w:rsidR="006E5CB4" w:rsidRDefault="006E5CB4" w:rsidP="00440BCB">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Within the Systems and Development Director</w:t>
      </w:r>
      <w:r w:rsidR="002D34F7" w:rsidRPr="002D34F7">
        <w:rPr>
          <w:rFonts w:ascii="Arial" w:hAnsi="Arial" w:cs="Arial"/>
          <w:sz w:val="22"/>
          <w:szCs w:val="22"/>
        </w:rPr>
        <w:t xml:space="preserve">ate there is </w:t>
      </w:r>
      <w:proofErr w:type="gramStart"/>
      <w:r w:rsidR="002D34F7" w:rsidRPr="002D34F7">
        <w:rPr>
          <w:rFonts w:ascii="Arial" w:hAnsi="Arial" w:cs="Arial"/>
          <w:sz w:val="22"/>
          <w:szCs w:val="22"/>
        </w:rPr>
        <w:t>an overspend</w:t>
      </w:r>
      <w:proofErr w:type="gramEnd"/>
      <w:r w:rsidR="002D34F7" w:rsidRPr="002D34F7">
        <w:rPr>
          <w:rFonts w:ascii="Arial" w:hAnsi="Arial" w:cs="Arial"/>
          <w:sz w:val="22"/>
          <w:szCs w:val="22"/>
        </w:rPr>
        <w:t xml:space="preserve"> of £10k of which £15</w:t>
      </w:r>
      <w:r w:rsidRPr="002D34F7">
        <w:rPr>
          <w:rFonts w:ascii="Arial" w:hAnsi="Arial" w:cs="Arial"/>
          <w:sz w:val="22"/>
          <w:szCs w:val="22"/>
        </w:rPr>
        <w:t>k relates to travel</w:t>
      </w:r>
      <w:r w:rsidR="00E72B98">
        <w:rPr>
          <w:rFonts w:ascii="Arial" w:hAnsi="Arial" w:cs="Arial"/>
          <w:sz w:val="22"/>
          <w:szCs w:val="22"/>
        </w:rPr>
        <w:t xml:space="preserve"> (a £3k growth compared with last month which is linked to the all staff day)</w:t>
      </w:r>
      <w:r w:rsidRPr="002D34F7">
        <w:rPr>
          <w:rFonts w:ascii="Arial" w:hAnsi="Arial" w:cs="Arial"/>
          <w:sz w:val="22"/>
          <w:szCs w:val="22"/>
        </w:rPr>
        <w:t>.  The budgets for this new directorate will be reviewed and where suitable further budget may be agreed to be released from reser</w:t>
      </w:r>
      <w:r w:rsidR="0095771A" w:rsidRPr="002D34F7">
        <w:rPr>
          <w:rFonts w:ascii="Arial" w:hAnsi="Arial" w:cs="Arial"/>
          <w:sz w:val="22"/>
          <w:szCs w:val="22"/>
        </w:rPr>
        <w:t>ves. There is also an overspend</w:t>
      </w:r>
      <w:r w:rsidRPr="002D34F7">
        <w:rPr>
          <w:rFonts w:ascii="Arial" w:hAnsi="Arial" w:cs="Arial"/>
          <w:sz w:val="22"/>
          <w:szCs w:val="22"/>
        </w:rPr>
        <w:t xml:space="preserve"> in relation to agency staff within the </w:t>
      </w:r>
      <w:proofErr w:type="gramStart"/>
      <w:r w:rsidRPr="002D34F7">
        <w:rPr>
          <w:rFonts w:ascii="Arial" w:hAnsi="Arial" w:cs="Arial"/>
          <w:sz w:val="22"/>
          <w:szCs w:val="22"/>
        </w:rPr>
        <w:t>directorate</w:t>
      </w:r>
      <w:r w:rsidR="002D34F7" w:rsidRPr="002D34F7">
        <w:rPr>
          <w:rFonts w:ascii="Arial" w:hAnsi="Arial" w:cs="Arial"/>
          <w:sz w:val="22"/>
          <w:szCs w:val="22"/>
        </w:rPr>
        <w:t>(</w:t>
      </w:r>
      <w:proofErr w:type="gramEnd"/>
      <w:r w:rsidR="002D34F7" w:rsidRPr="002D34F7">
        <w:rPr>
          <w:rFonts w:ascii="Arial" w:hAnsi="Arial" w:cs="Arial"/>
          <w:sz w:val="22"/>
          <w:szCs w:val="22"/>
        </w:rPr>
        <w:t>£7k)</w:t>
      </w:r>
      <w:r w:rsidRPr="002D34F7">
        <w:rPr>
          <w:rFonts w:ascii="Arial" w:hAnsi="Arial" w:cs="Arial"/>
          <w:sz w:val="22"/>
          <w:szCs w:val="22"/>
        </w:rPr>
        <w:t xml:space="preserve">.  This has mostly resulted from </w:t>
      </w:r>
      <w:r w:rsidR="00055303">
        <w:rPr>
          <w:rFonts w:ascii="Arial" w:hAnsi="Arial" w:cs="Arial"/>
          <w:sz w:val="22"/>
          <w:szCs w:val="22"/>
        </w:rPr>
        <w:t xml:space="preserve">the need to provide </w:t>
      </w:r>
      <w:r w:rsidRPr="002D34F7">
        <w:rPr>
          <w:rFonts w:ascii="Arial" w:hAnsi="Arial" w:cs="Arial"/>
          <w:sz w:val="22"/>
          <w:szCs w:val="22"/>
        </w:rPr>
        <w:t xml:space="preserve">cover arrangements </w:t>
      </w:r>
      <w:r w:rsidR="00055303">
        <w:rPr>
          <w:rFonts w:ascii="Arial" w:hAnsi="Arial" w:cs="Arial"/>
          <w:sz w:val="22"/>
          <w:szCs w:val="22"/>
        </w:rPr>
        <w:t xml:space="preserve">for the queries line </w:t>
      </w:r>
      <w:r w:rsidRPr="002D34F7">
        <w:rPr>
          <w:rFonts w:ascii="Arial" w:hAnsi="Arial" w:cs="Arial"/>
          <w:sz w:val="22"/>
          <w:szCs w:val="22"/>
        </w:rPr>
        <w:t>and has been identified as a cost pressure and is reflected in the forecast outturn.</w:t>
      </w:r>
      <w:r w:rsidR="002D34F7" w:rsidRPr="002D34F7">
        <w:rPr>
          <w:rFonts w:ascii="Arial" w:hAnsi="Arial" w:cs="Arial"/>
          <w:sz w:val="22"/>
          <w:szCs w:val="22"/>
        </w:rPr>
        <w:t xml:space="preserve">  The total overspend is offset by </w:t>
      </w:r>
      <w:proofErr w:type="gramStart"/>
      <w:r w:rsidR="002D34F7" w:rsidRPr="002D34F7">
        <w:rPr>
          <w:rFonts w:ascii="Arial" w:hAnsi="Arial" w:cs="Arial"/>
          <w:sz w:val="22"/>
          <w:szCs w:val="22"/>
        </w:rPr>
        <w:t>an underspend</w:t>
      </w:r>
      <w:proofErr w:type="gramEnd"/>
      <w:r w:rsidR="002D34F7" w:rsidRPr="002D34F7">
        <w:rPr>
          <w:rFonts w:ascii="Arial" w:hAnsi="Arial" w:cs="Arial"/>
          <w:sz w:val="22"/>
          <w:szCs w:val="22"/>
        </w:rPr>
        <w:t xml:space="preserve"> within Information systems charges and training of £12k</w:t>
      </w:r>
      <w:r w:rsidR="006C20DB">
        <w:rPr>
          <w:rFonts w:ascii="Arial" w:hAnsi="Arial" w:cs="Arial"/>
          <w:sz w:val="22"/>
          <w:szCs w:val="22"/>
        </w:rPr>
        <w:t>.</w:t>
      </w:r>
    </w:p>
    <w:p w:rsidR="00440BCB" w:rsidRPr="00075A82" w:rsidRDefault="00440BCB" w:rsidP="002D34F7">
      <w:pPr>
        <w:pStyle w:val="ListParagraph"/>
        <w:numPr>
          <w:ilvl w:val="0"/>
          <w:numId w:val="17"/>
        </w:numPr>
        <w:spacing w:after="200" w:line="276" w:lineRule="auto"/>
        <w:rPr>
          <w:rFonts w:ascii="Arial" w:hAnsi="Arial" w:cs="Arial"/>
          <w:sz w:val="22"/>
          <w:szCs w:val="22"/>
        </w:rPr>
      </w:pPr>
      <w:r w:rsidRPr="002D34F7">
        <w:rPr>
          <w:rFonts w:ascii="Arial" w:hAnsi="Arial" w:cs="Arial"/>
          <w:sz w:val="22"/>
          <w:szCs w:val="22"/>
        </w:rPr>
        <w:t xml:space="preserve">Expenditure year to date is below that expected at the time the Financial Plan was presented.  A comparison of the expected profiled forecast against the actual year to date expenditure can be seen in the graph below. The main reasons are </w:t>
      </w:r>
      <w:r w:rsidR="00CB5121" w:rsidRPr="002D34F7">
        <w:rPr>
          <w:rFonts w:ascii="Arial" w:hAnsi="Arial" w:cs="Arial"/>
          <w:sz w:val="22"/>
          <w:szCs w:val="22"/>
        </w:rPr>
        <w:t xml:space="preserve">the timing of recruitment to </w:t>
      </w:r>
      <w:r w:rsidRPr="002D34F7">
        <w:rPr>
          <w:rFonts w:ascii="Arial" w:hAnsi="Arial" w:cs="Arial"/>
          <w:sz w:val="22"/>
          <w:szCs w:val="22"/>
        </w:rPr>
        <w:t xml:space="preserve">vacancies and the phasing of new </w:t>
      </w:r>
      <w:r w:rsidR="00F24686" w:rsidRPr="002D34F7">
        <w:rPr>
          <w:rFonts w:ascii="Arial" w:hAnsi="Arial" w:cs="Arial"/>
          <w:sz w:val="22"/>
          <w:szCs w:val="22"/>
        </w:rPr>
        <w:t xml:space="preserve">HRA Approval </w:t>
      </w:r>
      <w:r w:rsidRPr="002D34F7">
        <w:rPr>
          <w:rFonts w:ascii="Arial" w:hAnsi="Arial" w:cs="Arial"/>
          <w:sz w:val="22"/>
          <w:szCs w:val="22"/>
        </w:rPr>
        <w:t>starters being different</w:t>
      </w:r>
      <w:r w:rsidR="00F24686" w:rsidRPr="002D34F7">
        <w:rPr>
          <w:rFonts w:ascii="Arial" w:hAnsi="Arial" w:cs="Arial"/>
          <w:sz w:val="22"/>
          <w:szCs w:val="22"/>
        </w:rPr>
        <w:t xml:space="preserve"> to the pla</w:t>
      </w:r>
      <w:r w:rsidR="00AF0718" w:rsidRPr="002D34F7">
        <w:rPr>
          <w:rFonts w:ascii="Arial" w:hAnsi="Arial" w:cs="Arial"/>
          <w:sz w:val="22"/>
          <w:szCs w:val="22"/>
        </w:rPr>
        <w:t xml:space="preserve">n. This delay has also impacted on the profile of the </w:t>
      </w:r>
      <w:r w:rsidR="00055303">
        <w:rPr>
          <w:rFonts w:ascii="Arial" w:hAnsi="Arial" w:cs="Arial"/>
          <w:sz w:val="22"/>
          <w:szCs w:val="22"/>
        </w:rPr>
        <w:t xml:space="preserve">pay related </w:t>
      </w:r>
      <w:r w:rsidR="00AF0718" w:rsidRPr="002D34F7">
        <w:rPr>
          <w:rFonts w:ascii="Arial" w:hAnsi="Arial" w:cs="Arial"/>
          <w:sz w:val="22"/>
          <w:szCs w:val="22"/>
        </w:rPr>
        <w:t xml:space="preserve">non-pay spend that was included in the Financial Plan in areas of Training, </w:t>
      </w:r>
      <w:r w:rsidR="003D5874">
        <w:rPr>
          <w:rFonts w:ascii="Arial" w:hAnsi="Arial" w:cs="Arial"/>
          <w:sz w:val="22"/>
          <w:szCs w:val="22"/>
        </w:rPr>
        <w:t>Shared service costs (payroll, IT, HR)</w:t>
      </w:r>
      <w:proofErr w:type="gramStart"/>
      <w:r w:rsidR="003D5874">
        <w:rPr>
          <w:rFonts w:ascii="Arial" w:hAnsi="Arial" w:cs="Arial"/>
          <w:sz w:val="22"/>
          <w:szCs w:val="22"/>
        </w:rPr>
        <w:t xml:space="preserve">, </w:t>
      </w:r>
      <w:r w:rsidR="00AF0718" w:rsidRPr="002D34F7">
        <w:rPr>
          <w:rFonts w:ascii="Arial" w:hAnsi="Arial" w:cs="Arial"/>
          <w:sz w:val="22"/>
          <w:szCs w:val="22"/>
        </w:rPr>
        <w:t xml:space="preserve"> telephone</w:t>
      </w:r>
      <w:proofErr w:type="gramEnd"/>
      <w:r w:rsidR="00AF0718" w:rsidRPr="002D34F7">
        <w:rPr>
          <w:rFonts w:ascii="Arial" w:hAnsi="Arial" w:cs="Arial"/>
          <w:sz w:val="22"/>
          <w:szCs w:val="22"/>
        </w:rPr>
        <w:t xml:space="preserve"> handsets, travel and mobile phone </w:t>
      </w:r>
      <w:proofErr w:type="spellStart"/>
      <w:r w:rsidR="00AF0718" w:rsidRPr="002D34F7">
        <w:rPr>
          <w:rFonts w:ascii="Arial" w:hAnsi="Arial" w:cs="Arial"/>
          <w:sz w:val="22"/>
          <w:szCs w:val="22"/>
        </w:rPr>
        <w:t>costs,</w:t>
      </w:r>
      <w:r w:rsidR="003D5874">
        <w:rPr>
          <w:rFonts w:ascii="Arial" w:hAnsi="Arial" w:cs="Arial"/>
          <w:sz w:val="22"/>
          <w:szCs w:val="22"/>
        </w:rPr>
        <w:t>etc</w:t>
      </w:r>
      <w:proofErr w:type="spellEnd"/>
      <w:r w:rsidR="00AF0718" w:rsidRPr="002D34F7">
        <w:rPr>
          <w:rFonts w:ascii="Arial" w:hAnsi="Arial" w:cs="Arial"/>
          <w:sz w:val="22"/>
          <w:szCs w:val="22"/>
        </w:rPr>
        <w:t xml:space="preserve">.  These areas are all sensitive to the numbers in the establishment.  </w:t>
      </w:r>
      <w:r w:rsidR="00AF0718" w:rsidRPr="00075A82">
        <w:rPr>
          <w:rFonts w:ascii="Arial" w:hAnsi="Arial" w:cs="Arial"/>
          <w:sz w:val="22"/>
          <w:szCs w:val="22"/>
        </w:rPr>
        <w:t xml:space="preserve">There is also </w:t>
      </w:r>
      <w:proofErr w:type="gramStart"/>
      <w:r w:rsidR="00AF0718" w:rsidRPr="00075A82">
        <w:rPr>
          <w:rFonts w:ascii="Arial" w:hAnsi="Arial" w:cs="Arial"/>
          <w:sz w:val="22"/>
          <w:szCs w:val="22"/>
        </w:rPr>
        <w:t>an underspend</w:t>
      </w:r>
      <w:proofErr w:type="gramEnd"/>
      <w:r w:rsidR="00AF0718" w:rsidRPr="00075A82">
        <w:rPr>
          <w:rFonts w:ascii="Arial" w:hAnsi="Arial" w:cs="Arial"/>
          <w:sz w:val="22"/>
          <w:szCs w:val="22"/>
        </w:rPr>
        <w:t xml:space="preserve"> against </w:t>
      </w:r>
      <w:r w:rsidR="003D5874">
        <w:rPr>
          <w:rFonts w:ascii="Arial" w:hAnsi="Arial" w:cs="Arial"/>
          <w:sz w:val="22"/>
          <w:szCs w:val="22"/>
        </w:rPr>
        <w:t>m</w:t>
      </w:r>
      <w:r w:rsidR="00AF0718" w:rsidRPr="00075A82">
        <w:rPr>
          <w:rFonts w:ascii="Arial" w:hAnsi="Arial" w:cs="Arial"/>
          <w:sz w:val="22"/>
          <w:szCs w:val="22"/>
        </w:rPr>
        <w:t>eeting room costs across the organisation of £34k and a current underspend in stat</w:t>
      </w:r>
      <w:r w:rsidR="00EF0952" w:rsidRPr="00075A82">
        <w:rPr>
          <w:rFonts w:ascii="Arial" w:hAnsi="Arial" w:cs="Arial"/>
          <w:sz w:val="22"/>
          <w:szCs w:val="22"/>
        </w:rPr>
        <w:t>utory costs (internal audit and legal)</w:t>
      </w:r>
      <w:r w:rsidR="00075A82" w:rsidRPr="00075A82">
        <w:rPr>
          <w:rFonts w:ascii="Arial" w:hAnsi="Arial" w:cs="Arial"/>
          <w:sz w:val="22"/>
          <w:szCs w:val="22"/>
        </w:rPr>
        <w:t xml:space="preserve"> of £13</w:t>
      </w:r>
      <w:r w:rsidR="00AF0718" w:rsidRPr="00075A82">
        <w:rPr>
          <w:rFonts w:ascii="Arial" w:hAnsi="Arial" w:cs="Arial"/>
          <w:sz w:val="22"/>
          <w:szCs w:val="22"/>
        </w:rPr>
        <w:t>k</w:t>
      </w:r>
      <w:r w:rsidR="003D5874">
        <w:rPr>
          <w:rFonts w:ascii="Arial" w:hAnsi="Arial" w:cs="Arial"/>
          <w:sz w:val="22"/>
          <w:szCs w:val="22"/>
        </w:rPr>
        <w:t xml:space="preserve"> due to changes in timings of audit work</w:t>
      </w:r>
      <w:r w:rsidR="00850AB1" w:rsidRPr="00075A82">
        <w:rPr>
          <w:rFonts w:ascii="Arial" w:hAnsi="Arial" w:cs="Arial"/>
          <w:sz w:val="22"/>
          <w:szCs w:val="22"/>
        </w:rPr>
        <w:t>.</w:t>
      </w:r>
    </w:p>
    <w:p w:rsidR="00440BCB" w:rsidRDefault="00440BCB" w:rsidP="00430D14">
      <w:pPr>
        <w:pStyle w:val="ListParagraph"/>
        <w:spacing w:after="200" w:line="276" w:lineRule="auto"/>
        <w:ind w:left="284"/>
        <w:rPr>
          <w:rFonts w:ascii="Arial" w:hAnsi="Arial" w:cs="Arial"/>
          <w:sz w:val="22"/>
          <w:szCs w:val="22"/>
        </w:rPr>
      </w:pPr>
    </w:p>
    <w:p w:rsidR="00AC3DE8" w:rsidRDefault="00AC3DE8" w:rsidP="00430D14">
      <w:pPr>
        <w:pStyle w:val="ListParagraph"/>
        <w:spacing w:after="200" w:line="276" w:lineRule="auto"/>
        <w:ind w:left="284"/>
        <w:rPr>
          <w:rFonts w:ascii="Arial" w:hAnsi="Arial" w:cs="Arial"/>
          <w:sz w:val="22"/>
          <w:szCs w:val="22"/>
        </w:rPr>
      </w:pPr>
    </w:p>
    <w:p w:rsidR="00AC3DE8" w:rsidRPr="00440BCB" w:rsidRDefault="00AC3DE8" w:rsidP="00430D14">
      <w:pPr>
        <w:pStyle w:val="ListParagraph"/>
        <w:spacing w:after="200" w:line="276" w:lineRule="auto"/>
        <w:ind w:left="284"/>
        <w:rPr>
          <w:rFonts w:ascii="Arial" w:hAnsi="Arial" w:cs="Arial"/>
          <w:sz w:val="22"/>
          <w:szCs w:val="22"/>
        </w:rPr>
      </w:pPr>
    </w:p>
    <w:p w:rsidR="001D5F0F" w:rsidRDefault="001D5F0F" w:rsidP="00AC4AAD">
      <w:pPr>
        <w:pStyle w:val="ListParagraph"/>
        <w:spacing w:line="276" w:lineRule="auto"/>
        <w:ind w:left="709" w:hanging="709"/>
        <w:rPr>
          <w:rFonts w:ascii="Arial" w:hAnsi="Arial" w:cs="Arial"/>
          <w:b/>
          <w:sz w:val="22"/>
          <w:szCs w:val="22"/>
        </w:rPr>
      </w:pPr>
    </w:p>
    <w:p w:rsidR="001D5F0F" w:rsidRDefault="00E97EB3" w:rsidP="00AC4AAD">
      <w:pPr>
        <w:pStyle w:val="ListParagraph"/>
        <w:spacing w:line="276" w:lineRule="auto"/>
        <w:ind w:left="709" w:hanging="709"/>
        <w:rPr>
          <w:rFonts w:ascii="Arial" w:hAnsi="Arial" w:cs="Arial"/>
          <w:b/>
          <w:sz w:val="22"/>
          <w:szCs w:val="22"/>
        </w:rPr>
      </w:pPr>
      <w:r>
        <w:rPr>
          <w:noProof/>
        </w:rPr>
        <w:drawing>
          <wp:inline distT="0" distB="0" distL="0" distR="0" wp14:anchorId="67BA645E" wp14:editId="74A964F4">
            <wp:extent cx="5476875" cy="3548063"/>
            <wp:effectExtent l="0" t="0" r="952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5F0F" w:rsidRDefault="001D5F0F" w:rsidP="00AC4AAD">
      <w:pPr>
        <w:pStyle w:val="ListParagraph"/>
        <w:spacing w:line="276" w:lineRule="auto"/>
        <w:ind w:left="709" w:hanging="709"/>
        <w:rPr>
          <w:rFonts w:ascii="Arial" w:hAnsi="Arial" w:cs="Arial"/>
          <w:b/>
          <w:sz w:val="22"/>
          <w:szCs w:val="22"/>
        </w:rPr>
      </w:pPr>
    </w:p>
    <w:p w:rsidR="00BB772C" w:rsidRDefault="00BB772C" w:rsidP="00AC4AAD">
      <w:pPr>
        <w:pStyle w:val="ListParagraph"/>
        <w:spacing w:line="276" w:lineRule="auto"/>
        <w:ind w:left="709" w:hanging="709"/>
        <w:rPr>
          <w:rFonts w:ascii="Arial" w:hAnsi="Arial" w:cs="Arial"/>
          <w:b/>
          <w:sz w:val="22"/>
          <w:szCs w:val="22"/>
        </w:rPr>
      </w:pPr>
    </w:p>
    <w:p w:rsidR="00BB772C" w:rsidRDefault="00BB772C" w:rsidP="00AC4AAD">
      <w:pPr>
        <w:pStyle w:val="ListParagraph"/>
        <w:spacing w:line="276" w:lineRule="auto"/>
        <w:ind w:left="709" w:hanging="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lastRenderedPageBreak/>
        <w:t>4.  Forecast outturn 2014/15</w:t>
      </w:r>
    </w:p>
    <w:p w:rsidR="004B1C3A" w:rsidRDefault="004B1C3A" w:rsidP="004B1C3A">
      <w:pPr>
        <w:pStyle w:val="ListParagraph"/>
        <w:spacing w:line="276" w:lineRule="auto"/>
        <w:ind w:left="0"/>
        <w:rPr>
          <w:rFonts w:ascii="Arial" w:hAnsi="Arial" w:cs="Arial"/>
          <w:sz w:val="22"/>
          <w:szCs w:val="22"/>
        </w:rPr>
      </w:pPr>
      <w:r>
        <w:rPr>
          <w:rFonts w:ascii="Arial" w:hAnsi="Arial" w:cs="Arial"/>
          <w:sz w:val="22"/>
          <w:szCs w:val="22"/>
        </w:rPr>
        <w:t>The year to date position continues to be reviewed and investigated at regular budget management meetings.  Early forecasts were presented in the Financial Plan for 2014/15 and pointed to a</w:t>
      </w:r>
      <w:r w:rsidR="00A454CF">
        <w:rPr>
          <w:rFonts w:ascii="Arial" w:hAnsi="Arial" w:cs="Arial"/>
          <w:sz w:val="22"/>
          <w:szCs w:val="22"/>
        </w:rPr>
        <w:t>n underspend at a</w:t>
      </w:r>
      <w:r>
        <w:rPr>
          <w:rFonts w:ascii="Arial" w:hAnsi="Arial" w:cs="Arial"/>
          <w:sz w:val="22"/>
          <w:szCs w:val="22"/>
        </w:rPr>
        <w:t xml:space="preserve"> level of around £1.5</w:t>
      </w:r>
      <w:r w:rsidR="00D01165">
        <w:rPr>
          <w:rFonts w:ascii="Arial" w:hAnsi="Arial" w:cs="Arial"/>
          <w:sz w:val="22"/>
          <w:szCs w:val="22"/>
        </w:rPr>
        <w:t>7</w:t>
      </w:r>
      <w:r>
        <w:rPr>
          <w:rFonts w:ascii="Arial" w:hAnsi="Arial" w:cs="Arial"/>
          <w:sz w:val="22"/>
          <w:szCs w:val="22"/>
        </w:rPr>
        <w:t xml:space="preserve">million, largely as a result of the welcome but late decision on the HRA Approval business case and the </w:t>
      </w:r>
      <w:r w:rsidR="003D5874">
        <w:rPr>
          <w:rFonts w:ascii="Arial" w:hAnsi="Arial" w:cs="Arial"/>
          <w:sz w:val="22"/>
          <w:szCs w:val="22"/>
        </w:rPr>
        <w:t xml:space="preserve">expected time it would take to recruit to posts. </w:t>
      </w:r>
    </w:p>
    <w:p w:rsidR="004B1C3A" w:rsidRDefault="004B1C3A" w:rsidP="004B1C3A">
      <w:pPr>
        <w:pStyle w:val="ListParagraph"/>
        <w:spacing w:line="276" w:lineRule="auto"/>
        <w:ind w:left="0"/>
        <w:rPr>
          <w:rFonts w:ascii="Arial" w:hAnsi="Arial" w:cs="Arial"/>
          <w:sz w:val="22"/>
          <w:szCs w:val="22"/>
        </w:rPr>
      </w:pPr>
    </w:p>
    <w:p w:rsidR="004B1C3A" w:rsidRDefault="00BA3A5A" w:rsidP="004B1C3A">
      <w:pPr>
        <w:pStyle w:val="ListParagraph"/>
        <w:spacing w:line="276" w:lineRule="auto"/>
        <w:ind w:left="0"/>
        <w:rPr>
          <w:rFonts w:ascii="Arial" w:hAnsi="Arial" w:cs="Arial"/>
          <w:sz w:val="22"/>
          <w:szCs w:val="22"/>
        </w:rPr>
      </w:pPr>
      <w:r>
        <w:rPr>
          <w:rFonts w:ascii="Arial" w:hAnsi="Arial" w:cs="Arial"/>
          <w:sz w:val="22"/>
          <w:szCs w:val="22"/>
        </w:rPr>
        <w:t xml:space="preserve">The latest review of the likely position is pointing to a forecast </w:t>
      </w:r>
      <w:r w:rsidR="00430D14">
        <w:rPr>
          <w:rFonts w:ascii="Arial" w:hAnsi="Arial" w:cs="Arial"/>
          <w:sz w:val="22"/>
          <w:szCs w:val="22"/>
        </w:rPr>
        <w:t xml:space="preserve">range </w:t>
      </w:r>
      <w:r>
        <w:rPr>
          <w:rFonts w:ascii="Arial" w:hAnsi="Arial" w:cs="Arial"/>
          <w:sz w:val="22"/>
          <w:szCs w:val="22"/>
        </w:rPr>
        <w:t>of £</w:t>
      </w:r>
      <w:r w:rsidR="00215D81" w:rsidRPr="00215D81">
        <w:rPr>
          <w:rFonts w:ascii="Arial" w:hAnsi="Arial" w:cs="Arial"/>
          <w:sz w:val="22"/>
          <w:szCs w:val="22"/>
        </w:rPr>
        <w:t>2.07</w:t>
      </w:r>
      <w:r w:rsidRPr="00215D81">
        <w:rPr>
          <w:rFonts w:ascii="Arial" w:hAnsi="Arial" w:cs="Arial"/>
          <w:sz w:val="22"/>
          <w:szCs w:val="22"/>
        </w:rPr>
        <w:t xml:space="preserve">m </w:t>
      </w:r>
      <w:r w:rsidR="00430D14" w:rsidRPr="00215D81">
        <w:rPr>
          <w:rFonts w:ascii="Arial" w:hAnsi="Arial" w:cs="Arial"/>
          <w:sz w:val="22"/>
          <w:szCs w:val="22"/>
        </w:rPr>
        <w:t>to £</w:t>
      </w:r>
      <w:r w:rsidR="00215D81" w:rsidRPr="00215D81">
        <w:rPr>
          <w:rFonts w:ascii="Arial" w:hAnsi="Arial" w:cs="Arial"/>
          <w:sz w:val="22"/>
          <w:szCs w:val="22"/>
        </w:rPr>
        <w:t>2.95</w:t>
      </w:r>
      <w:r w:rsidR="00430D14" w:rsidRPr="00215D81">
        <w:rPr>
          <w:rFonts w:ascii="Arial" w:hAnsi="Arial" w:cs="Arial"/>
          <w:sz w:val="22"/>
          <w:szCs w:val="22"/>
        </w:rPr>
        <w:t>m</w:t>
      </w:r>
      <w:r w:rsidR="00430D14">
        <w:rPr>
          <w:rFonts w:ascii="Arial" w:hAnsi="Arial" w:cs="Arial"/>
          <w:sz w:val="22"/>
          <w:szCs w:val="22"/>
        </w:rPr>
        <w:t xml:space="preserve"> </w:t>
      </w:r>
      <w:r>
        <w:rPr>
          <w:rFonts w:ascii="Arial" w:hAnsi="Arial" w:cs="Arial"/>
          <w:sz w:val="22"/>
          <w:szCs w:val="22"/>
        </w:rPr>
        <w:t xml:space="preserve">and this has now </w:t>
      </w:r>
      <w:r w:rsidRPr="001D5F0F">
        <w:rPr>
          <w:rFonts w:ascii="Arial" w:hAnsi="Arial" w:cs="Arial"/>
          <w:sz w:val="22"/>
          <w:szCs w:val="22"/>
        </w:rPr>
        <w:t xml:space="preserve">been </w:t>
      </w:r>
      <w:r w:rsidRPr="00A27959">
        <w:rPr>
          <w:rFonts w:ascii="Arial" w:hAnsi="Arial" w:cs="Arial"/>
          <w:sz w:val="22"/>
          <w:szCs w:val="22"/>
        </w:rPr>
        <w:t>reflected in the cash flow</w:t>
      </w:r>
      <w:r>
        <w:rPr>
          <w:rFonts w:ascii="Arial" w:hAnsi="Arial" w:cs="Arial"/>
          <w:sz w:val="22"/>
          <w:szCs w:val="22"/>
        </w:rPr>
        <w:t>.  The main reason is due to the vacancies that have arisen within the Operations and Approval directorate and resulting recruitment</w:t>
      </w:r>
      <w:r w:rsidR="003D5874">
        <w:rPr>
          <w:rFonts w:ascii="Arial" w:hAnsi="Arial" w:cs="Arial"/>
          <w:sz w:val="22"/>
          <w:szCs w:val="22"/>
        </w:rPr>
        <w:t>, alongside taking longer to recruit to project posts than planned</w:t>
      </w:r>
      <w:r>
        <w:rPr>
          <w:rFonts w:ascii="Arial" w:hAnsi="Arial" w:cs="Arial"/>
          <w:sz w:val="22"/>
          <w:szCs w:val="22"/>
        </w:rPr>
        <w:t>.</w:t>
      </w:r>
      <w:r w:rsidR="0025538B">
        <w:rPr>
          <w:rFonts w:ascii="Arial" w:hAnsi="Arial" w:cs="Arial"/>
          <w:sz w:val="22"/>
          <w:szCs w:val="22"/>
        </w:rPr>
        <w:t xml:space="preserve"> The </w:t>
      </w:r>
      <w:r w:rsidR="003D5874">
        <w:rPr>
          <w:rFonts w:ascii="Arial" w:hAnsi="Arial" w:cs="Arial"/>
          <w:sz w:val="22"/>
          <w:szCs w:val="22"/>
        </w:rPr>
        <w:t xml:space="preserve">difference in the expected </w:t>
      </w:r>
      <w:r w:rsidR="0025538B">
        <w:rPr>
          <w:rFonts w:ascii="Arial" w:hAnsi="Arial" w:cs="Arial"/>
          <w:sz w:val="22"/>
          <w:szCs w:val="22"/>
        </w:rPr>
        <w:t xml:space="preserve">range </w:t>
      </w:r>
      <w:r w:rsidR="003D5874">
        <w:rPr>
          <w:rFonts w:ascii="Arial" w:hAnsi="Arial" w:cs="Arial"/>
          <w:sz w:val="22"/>
          <w:szCs w:val="22"/>
        </w:rPr>
        <w:t>relates to the</w:t>
      </w:r>
      <w:r w:rsidR="0025538B">
        <w:rPr>
          <w:rFonts w:ascii="Arial" w:hAnsi="Arial" w:cs="Arial"/>
          <w:sz w:val="22"/>
          <w:szCs w:val="22"/>
        </w:rPr>
        <w:t xml:space="preserve"> likely </w:t>
      </w:r>
      <w:r w:rsidR="001D5F0F">
        <w:rPr>
          <w:rFonts w:ascii="Arial" w:hAnsi="Arial" w:cs="Arial"/>
          <w:sz w:val="22"/>
          <w:szCs w:val="22"/>
        </w:rPr>
        <w:t>outcome of negotiations</w:t>
      </w:r>
      <w:r w:rsidR="00215D81">
        <w:rPr>
          <w:rFonts w:ascii="Arial" w:hAnsi="Arial" w:cs="Arial"/>
          <w:sz w:val="22"/>
          <w:szCs w:val="22"/>
        </w:rPr>
        <w:t xml:space="preserve"> </w:t>
      </w:r>
      <w:r w:rsidR="001D5F0F">
        <w:rPr>
          <w:rFonts w:ascii="Arial" w:hAnsi="Arial" w:cs="Arial"/>
          <w:sz w:val="22"/>
          <w:szCs w:val="22"/>
        </w:rPr>
        <w:t xml:space="preserve">across the Department of Health bodies with HMRC with regards to </w:t>
      </w:r>
      <w:r w:rsidR="00A454CF">
        <w:rPr>
          <w:rFonts w:ascii="Arial" w:hAnsi="Arial" w:cs="Arial"/>
          <w:sz w:val="22"/>
          <w:szCs w:val="22"/>
        </w:rPr>
        <w:t xml:space="preserve">the claw back of </w:t>
      </w:r>
      <w:r w:rsidR="001D5F0F">
        <w:rPr>
          <w:rFonts w:ascii="Arial" w:hAnsi="Arial" w:cs="Arial"/>
          <w:sz w:val="22"/>
          <w:szCs w:val="22"/>
        </w:rPr>
        <w:t>VAT reclaims in previou</w:t>
      </w:r>
      <w:r w:rsidR="00E97EB3">
        <w:rPr>
          <w:rFonts w:ascii="Arial" w:hAnsi="Arial" w:cs="Arial"/>
          <w:sz w:val="22"/>
          <w:szCs w:val="22"/>
        </w:rPr>
        <w:t xml:space="preserve">s years for agency workers, </w:t>
      </w:r>
      <w:r w:rsidR="003D5874">
        <w:rPr>
          <w:rFonts w:ascii="Arial" w:hAnsi="Arial" w:cs="Arial"/>
          <w:sz w:val="22"/>
          <w:szCs w:val="22"/>
        </w:rPr>
        <w:t xml:space="preserve">alongside </w:t>
      </w:r>
      <w:r w:rsidR="00E97EB3">
        <w:rPr>
          <w:rFonts w:ascii="Arial" w:hAnsi="Arial" w:cs="Arial"/>
          <w:sz w:val="22"/>
          <w:szCs w:val="22"/>
        </w:rPr>
        <w:t xml:space="preserve">the </w:t>
      </w:r>
      <w:r w:rsidR="003D5874">
        <w:rPr>
          <w:rFonts w:ascii="Arial" w:hAnsi="Arial" w:cs="Arial"/>
          <w:sz w:val="22"/>
          <w:szCs w:val="22"/>
        </w:rPr>
        <w:t xml:space="preserve">likelihood of </w:t>
      </w:r>
      <w:r w:rsidR="00E97EB3">
        <w:rPr>
          <w:rFonts w:ascii="Arial" w:hAnsi="Arial" w:cs="Arial"/>
          <w:sz w:val="22"/>
          <w:szCs w:val="22"/>
        </w:rPr>
        <w:t xml:space="preserve">contingencies </w:t>
      </w:r>
      <w:r w:rsidR="003D5874">
        <w:rPr>
          <w:rFonts w:ascii="Arial" w:hAnsi="Arial" w:cs="Arial"/>
          <w:sz w:val="22"/>
          <w:szCs w:val="22"/>
        </w:rPr>
        <w:t xml:space="preserve">not being deployed </w:t>
      </w:r>
      <w:r w:rsidR="00E97EB3">
        <w:rPr>
          <w:rFonts w:ascii="Arial" w:hAnsi="Arial" w:cs="Arial"/>
          <w:sz w:val="22"/>
          <w:szCs w:val="22"/>
        </w:rPr>
        <w:t xml:space="preserve">and </w:t>
      </w:r>
      <w:proofErr w:type="spellStart"/>
      <w:r w:rsidR="00E97EB3">
        <w:rPr>
          <w:rFonts w:ascii="Arial" w:hAnsi="Arial" w:cs="Arial"/>
          <w:sz w:val="22"/>
          <w:szCs w:val="22"/>
        </w:rPr>
        <w:t>reprofiled</w:t>
      </w:r>
      <w:proofErr w:type="spellEnd"/>
      <w:r w:rsidR="00E97EB3">
        <w:rPr>
          <w:rFonts w:ascii="Arial" w:hAnsi="Arial" w:cs="Arial"/>
          <w:sz w:val="22"/>
          <w:szCs w:val="22"/>
        </w:rPr>
        <w:t xml:space="preserve"> recruitment in relation to the business case.</w:t>
      </w:r>
    </w:p>
    <w:p w:rsidR="00BA3A5A" w:rsidRDefault="00BA3A5A" w:rsidP="004B1C3A">
      <w:pPr>
        <w:pStyle w:val="ListParagraph"/>
        <w:spacing w:line="276" w:lineRule="auto"/>
        <w:ind w:left="0"/>
        <w:rPr>
          <w:rFonts w:ascii="Arial" w:hAnsi="Arial" w:cs="Arial"/>
          <w:sz w:val="22"/>
          <w:szCs w:val="22"/>
        </w:rPr>
      </w:pPr>
    </w:p>
    <w:p w:rsidR="00DD6897" w:rsidRPr="00AC4AAD" w:rsidRDefault="00BA3A5A" w:rsidP="00AC4AAD">
      <w:pPr>
        <w:pStyle w:val="ListParagraph"/>
        <w:spacing w:line="276" w:lineRule="auto"/>
        <w:ind w:left="709" w:hanging="709"/>
        <w:rPr>
          <w:rFonts w:ascii="Arial" w:hAnsi="Arial" w:cs="Arial"/>
          <w:b/>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p>
    <w:p w:rsidR="00BA3A5A" w:rsidRDefault="00DD2D40" w:rsidP="00DD6897">
      <w:pPr>
        <w:rPr>
          <w:rFonts w:ascii="Arial" w:hAnsi="Arial" w:cs="Arial"/>
          <w:sz w:val="22"/>
          <w:szCs w:val="22"/>
        </w:rPr>
      </w:pPr>
      <w:r w:rsidRPr="000B79E8">
        <w:rPr>
          <w:rFonts w:ascii="Arial" w:hAnsi="Arial" w:cs="Arial"/>
          <w:sz w:val="22"/>
          <w:szCs w:val="22"/>
        </w:rPr>
        <w:t xml:space="preserve">Better payment performance has met the duty to pay 95% of </w:t>
      </w:r>
      <w:r w:rsidR="00B06BAE">
        <w:rPr>
          <w:rFonts w:ascii="Arial" w:hAnsi="Arial" w:cs="Arial"/>
          <w:sz w:val="22"/>
          <w:szCs w:val="22"/>
        </w:rPr>
        <w:t>invoices in 30 days achieving 98</w:t>
      </w:r>
      <w:r w:rsidRPr="000B79E8">
        <w:rPr>
          <w:rFonts w:ascii="Arial" w:hAnsi="Arial" w:cs="Arial"/>
          <w:sz w:val="22"/>
          <w:szCs w:val="22"/>
        </w:rPr>
        <w:t xml:space="preserve">% based on number of invoices, </w:t>
      </w:r>
      <w:r w:rsidR="00945882">
        <w:rPr>
          <w:rFonts w:ascii="Arial" w:hAnsi="Arial" w:cs="Arial"/>
          <w:sz w:val="22"/>
          <w:szCs w:val="22"/>
        </w:rPr>
        <w:t>and has now also achieved the targe</w:t>
      </w:r>
      <w:r w:rsidR="00552D9B">
        <w:rPr>
          <w:rFonts w:ascii="Arial" w:hAnsi="Arial" w:cs="Arial"/>
          <w:sz w:val="22"/>
          <w:szCs w:val="22"/>
        </w:rPr>
        <w:t>t based on value by achieving 96</w:t>
      </w:r>
      <w:r w:rsidR="00945882">
        <w:rPr>
          <w:rFonts w:ascii="Arial" w:hAnsi="Arial" w:cs="Arial"/>
          <w:sz w:val="22"/>
          <w:szCs w:val="22"/>
        </w:rPr>
        <w:t>%</w:t>
      </w:r>
      <w:r w:rsidRPr="000B79E8">
        <w:rPr>
          <w:rFonts w:ascii="Arial" w:hAnsi="Arial" w:cs="Arial"/>
          <w:sz w:val="22"/>
          <w:szCs w:val="22"/>
        </w:rPr>
        <w:t xml:space="preserve">.  HRA has </w:t>
      </w:r>
      <w:r w:rsidR="008F0A10">
        <w:rPr>
          <w:rFonts w:ascii="Arial" w:hAnsi="Arial" w:cs="Arial"/>
          <w:sz w:val="22"/>
          <w:szCs w:val="22"/>
        </w:rPr>
        <w:t xml:space="preserve">also </w:t>
      </w:r>
      <w:r w:rsidR="00A454CF">
        <w:rPr>
          <w:rFonts w:ascii="Arial" w:hAnsi="Arial" w:cs="Arial"/>
          <w:sz w:val="22"/>
          <w:szCs w:val="22"/>
        </w:rPr>
        <w:t xml:space="preserve">met </w:t>
      </w:r>
      <w:r w:rsidRPr="000B79E8">
        <w:rPr>
          <w:rFonts w:ascii="Arial" w:hAnsi="Arial" w:cs="Arial"/>
          <w:sz w:val="22"/>
          <w:szCs w:val="22"/>
        </w:rPr>
        <w:t xml:space="preserve">the 2014/15 </w:t>
      </w:r>
      <w:r w:rsidR="00BB772C">
        <w:rPr>
          <w:rFonts w:ascii="Arial" w:hAnsi="Arial" w:cs="Arial"/>
          <w:sz w:val="22"/>
          <w:szCs w:val="22"/>
        </w:rPr>
        <w:t xml:space="preserve">internal </w:t>
      </w:r>
      <w:r w:rsidRPr="000B79E8">
        <w:rPr>
          <w:rFonts w:ascii="Arial" w:hAnsi="Arial" w:cs="Arial"/>
          <w:sz w:val="22"/>
          <w:szCs w:val="22"/>
        </w:rPr>
        <w:t xml:space="preserve">target of </w:t>
      </w:r>
      <w:r w:rsidR="00A454CF">
        <w:rPr>
          <w:rFonts w:ascii="Arial" w:hAnsi="Arial" w:cs="Arial"/>
          <w:sz w:val="22"/>
          <w:szCs w:val="22"/>
        </w:rPr>
        <w:t xml:space="preserve">paying </w:t>
      </w:r>
      <w:r w:rsidRPr="000B79E8">
        <w:rPr>
          <w:rFonts w:ascii="Arial" w:hAnsi="Arial" w:cs="Arial"/>
          <w:sz w:val="22"/>
          <w:szCs w:val="22"/>
        </w:rPr>
        <w:t>50% within 10 days.  Currently the performance for payments made within 10 days is</w:t>
      </w:r>
      <w:r w:rsidR="00945882">
        <w:rPr>
          <w:rFonts w:ascii="Arial" w:hAnsi="Arial" w:cs="Arial"/>
          <w:sz w:val="22"/>
          <w:szCs w:val="22"/>
        </w:rPr>
        <w:t xml:space="preserve"> 56</w:t>
      </w:r>
      <w:r w:rsidR="00F70F38">
        <w:rPr>
          <w:rFonts w:ascii="Arial" w:hAnsi="Arial" w:cs="Arial"/>
          <w:sz w:val="22"/>
          <w:szCs w:val="22"/>
        </w:rPr>
        <w:t>% (number of invoice</w:t>
      </w:r>
      <w:r w:rsidR="00B06BAE">
        <w:rPr>
          <w:rFonts w:ascii="Arial" w:hAnsi="Arial" w:cs="Arial"/>
          <w:sz w:val="22"/>
          <w:szCs w:val="22"/>
        </w:rPr>
        <w:t>s)</w:t>
      </w:r>
      <w:r w:rsidR="00945882">
        <w:rPr>
          <w:rFonts w:ascii="Arial" w:hAnsi="Arial" w:cs="Arial"/>
          <w:sz w:val="22"/>
          <w:szCs w:val="22"/>
        </w:rPr>
        <w:t xml:space="preserve">, </w:t>
      </w:r>
      <w:r w:rsidR="00552D9B">
        <w:rPr>
          <w:rFonts w:ascii="Arial" w:hAnsi="Arial" w:cs="Arial"/>
          <w:sz w:val="22"/>
          <w:szCs w:val="22"/>
        </w:rPr>
        <w:t>and 61</w:t>
      </w:r>
      <w:r w:rsidRPr="000B79E8">
        <w:rPr>
          <w:rFonts w:ascii="Arial" w:hAnsi="Arial" w:cs="Arial"/>
          <w:sz w:val="22"/>
          <w:szCs w:val="22"/>
        </w:rPr>
        <w:t xml:space="preserve">% based on value and </w:t>
      </w:r>
      <w:r w:rsidR="008F0A10">
        <w:rPr>
          <w:rFonts w:ascii="Arial" w:hAnsi="Arial" w:cs="Arial"/>
          <w:sz w:val="22"/>
          <w:szCs w:val="22"/>
        </w:rPr>
        <w:t xml:space="preserve">additional </w:t>
      </w:r>
      <w:r w:rsidRPr="000B79E8">
        <w:rPr>
          <w:rFonts w:ascii="Arial" w:hAnsi="Arial" w:cs="Arial"/>
          <w:sz w:val="22"/>
          <w:szCs w:val="22"/>
        </w:rPr>
        <w:t xml:space="preserve">actions are underway to </w:t>
      </w:r>
      <w:r w:rsidR="008F0A10">
        <w:rPr>
          <w:rFonts w:ascii="Arial" w:hAnsi="Arial" w:cs="Arial"/>
          <w:sz w:val="22"/>
          <w:szCs w:val="22"/>
        </w:rPr>
        <w:t xml:space="preserve">further </w:t>
      </w:r>
      <w:r w:rsidRPr="000B79E8">
        <w:rPr>
          <w:rFonts w:ascii="Arial" w:hAnsi="Arial" w:cs="Arial"/>
          <w:sz w:val="22"/>
          <w:szCs w:val="22"/>
        </w:rPr>
        <w:t>improve performance.</w:t>
      </w:r>
      <w:r w:rsidR="00A454CF">
        <w:rPr>
          <w:rFonts w:ascii="Arial" w:hAnsi="Arial" w:cs="Arial"/>
          <w:sz w:val="22"/>
          <w:szCs w:val="22"/>
        </w:rPr>
        <w:t xml:space="preserve">  </w:t>
      </w:r>
    </w:p>
    <w:p w:rsidR="00552D9B" w:rsidRDefault="00552D9B" w:rsidP="00DD6897">
      <w:pPr>
        <w:rPr>
          <w:rFonts w:ascii="Arial" w:hAnsi="Arial" w:cs="Arial"/>
          <w:sz w:val="22"/>
          <w:szCs w:val="22"/>
        </w:rPr>
      </w:pP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F24686" w:rsidRDefault="006874A4" w:rsidP="00F24686">
      <w:pPr>
        <w:spacing w:after="200" w:line="276" w:lineRule="auto"/>
        <w:rPr>
          <w:rFonts w:ascii="Arial" w:hAnsi="Arial" w:cs="Arial"/>
          <w:sz w:val="22"/>
          <w:szCs w:val="22"/>
        </w:rPr>
      </w:pPr>
      <w:r w:rsidRPr="00AE0798">
        <w:rPr>
          <w:rFonts w:ascii="Arial" w:hAnsi="Arial" w:cs="Arial"/>
          <w:sz w:val="22"/>
          <w:szCs w:val="22"/>
        </w:rPr>
        <w:t xml:space="preserve">Travel is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F24686" w:rsidRPr="00AE0798">
        <w:rPr>
          <w:rFonts w:ascii="Arial" w:hAnsi="Arial" w:cs="Arial"/>
          <w:sz w:val="22"/>
          <w:szCs w:val="22"/>
        </w:rPr>
        <w:t xml:space="preserve">The table below sets out the </w:t>
      </w:r>
      <w:r w:rsidR="00F24686">
        <w:rPr>
          <w:rFonts w:ascii="Arial" w:hAnsi="Arial" w:cs="Arial"/>
          <w:sz w:val="22"/>
          <w:szCs w:val="22"/>
        </w:rPr>
        <w:t xml:space="preserve">total travel costs </w:t>
      </w:r>
      <w:r w:rsidR="00F24686" w:rsidRPr="00AE0798">
        <w:rPr>
          <w:rFonts w:ascii="Arial" w:hAnsi="Arial" w:cs="Arial"/>
          <w:sz w:val="22"/>
          <w:szCs w:val="22"/>
        </w:rPr>
        <w:t xml:space="preserve">position </w:t>
      </w:r>
      <w:r w:rsidR="00F24686">
        <w:rPr>
          <w:rFonts w:ascii="Arial" w:hAnsi="Arial" w:cs="Arial"/>
          <w:sz w:val="22"/>
          <w:szCs w:val="22"/>
        </w:rPr>
        <w:t xml:space="preserve">(staff, members inclusive) </w:t>
      </w:r>
      <w:r w:rsidR="00F24686" w:rsidRPr="00AE0798">
        <w:rPr>
          <w:rFonts w:ascii="Arial" w:hAnsi="Arial" w:cs="Arial"/>
          <w:sz w:val="22"/>
          <w:szCs w:val="22"/>
        </w:rPr>
        <w:t>at t</w:t>
      </w:r>
      <w:r w:rsidR="006B7A85">
        <w:rPr>
          <w:rFonts w:ascii="Arial" w:hAnsi="Arial" w:cs="Arial"/>
          <w:sz w:val="22"/>
          <w:szCs w:val="22"/>
        </w:rPr>
        <w:t>he end of November</w:t>
      </w:r>
      <w:r w:rsidR="00AB60D0">
        <w:rPr>
          <w:rFonts w:ascii="Arial" w:hAnsi="Arial" w:cs="Arial"/>
          <w:sz w:val="22"/>
          <w:szCs w:val="22"/>
        </w:rPr>
        <w:t xml:space="preserve"> </w:t>
      </w:r>
      <w:r w:rsidR="006B7A85">
        <w:rPr>
          <w:rFonts w:ascii="Arial" w:hAnsi="Arial" w:cs="Arial"/>
          <w:sz w:val="22"/>
          <w:szCs w:val="22"/>
        </w:rPr>
        <w:t>and reflects an over spend of £5.6</w:t>
      </w:r>
      <w:r w:rsidR="00F24686" w:rsidRPr="00AE0798">
        <w:rPr>
          <w:rFonts w:ascii="Arial" w:hAnsi="Arial" w:cs="Arial"/>
          <w:sz w:val="22"/>
          <w:szCs w:val="22"/>
        </w:rPr>
        <w:t>k</w:t>
      </w:r>
      <w:r w:rsidR="00AB60D0">
        <w:rPr>
          <w:rFonts w:ascii="Arial" w:hAnsi="Arial" w:cs="Arial"/>
          <w:sz w:val="22"/>
          <w:szCs w:val="22"/>
        </w:rPr>
        <w:t xml:space="preserve"> </w:t>
      </w:r>
      <w:r w:rsidR="00AC3DE8">
        <w:rPr>
          <w:rFonts w:ascii="Arial" w:hAnsi="Arial" w:cs="Arial"/>
          <w:sz w:val="22"/>
          <w:szCs w:val="22"/>
        </w:rPr>
        <w:t xml:space="preserve">largely due to the All Staff Day held during the month </w:t>
      </w:r>
      <w:r w:rsidR="006B7A85">
        <w:rPr>
          <w:rFonts w:ascii="Arial" w:hAnsi="Arial" w:cs="Arial"/>
          <w:sz w:val="22"/>
          <w:szCs w:val="22"/>
        </w:rPr>
        <w:t>(underspend of £4k end October</w:t>
      </w:r>
      <w:r w:rsidR="00F24686">
        <w:rPr>
          <w:rFonts w:ascii="Arial" w:hAnsi="Arial" w:cs="Arial"/>
          <w:sz w:val="22"/>
          <w:szCs w:val="22"/>
        </w:rPr>
        <w:t>)</w:t>
      </w:r>
      <w:r w:rsidR="00F24686" w:rsidRPr="00AE0798">
        <w:rPr>
          <w:rFonts w:ascii="Arial" w:hAnsi="Arial" w:cs="Arial"/>
          <w:sz w:val="22"/>
          <w:szCs w:val="22"/>
        </w:rPr>
        <w:t xml:space="preserve">.  </w:t>
      </w:r>
    </w:p>
    <w:p w:rsidR="00086665" w:rsidRDefault="00086665" w:rsidP="00AE0798">
      <w:pPr>
        <w:spacing w:after="200" w:line="276" w:lineRule="auto"/>
        <w:rPr>
          <w:rFonts w:ascii="Arial" w:hAnsi="Arial" w:cs="Arial"/>
          <w:sz w:val="22"/>
          <w:szCs w:val="22"/>
        </w:rPr>
      </w:pPr>
      <w:r>
        <w:rPr>
          <w:rFonts w:ascii="Arial" w:hAnsi="Arial" w:cs="Arial"/>
          <w:sz w:val="22"/>
          <w:szCs w:val="22"/>
        </w:rPr>
        <w:t>The Systems and Development directorate is a new area and the budget fo</w:t>
      </w:r>
      <w:r w:rsidR="006B7A85">
        <w:rPr>
          <w:rFonts w:ascii="Arial" w:hAnsi="Arial" w:cs="Arial"/>
          <w:sz w:val="22"/>
          <w:szCs w:val="22"/>
        </w:rPr>
        <w:t>r travel is to be re-assessed and the budget amended accordingly during December</w:t>
      </w:r>
      <w:r>
        <w:rPr>
          <w:rFonts w:ascii="Arial" w:hAnsi="Arial" w:cs="Arial"/>
          <w:sz w:val="22"/>
          <w:szCs w:val="22"/>
        </w:rPr>
        <w:t>.</w:t>
      </w:r>
    </w:p>
    <w:tbl>
      <w:tblPr>
        <w:tblW w:w="6920" w:type="dxa"/>
        <w:tblInd w:w="93" w:type="dxa"/>
        <w:tblLook w:val="04A0" w:firstRow="1" w:lastRow="0" w:firstColumn="1" w:lastColumn="0" w:noHBand="0" w:noVBand="1"/>
      </w:tblPr>
      <w:tblGrid>
        <w:gridCol w:w="4040"/>
        <w:gridCol w:w="960"/>
        <w:gridCol w:w="991"/>
        <w:gridCol w:w="960"/>
      </w:tblGrid>
      <w:tr w:rsidR="006B7A85" w:rsidRPr="006B7A85" w:rsidTr="006B7A85">
        <w:trPr>
          <w:trHeight w:val="1500"/>
        </w:trPr>
        <w:tc>
          <w:tcPr>
            <w:tcW w:w="4040" w:type="dxa"/>
            <w:tcBorders>
              <w:top w:val="single" w:sz="4" w:space="0" w:color="auto"/>
              <w:left w:val="single" w:sz="4" w:space="0" w:color="auto"/>
              <w:bottom w:val="nil"/>
              <w:right w:val="single" w:sz="4" w:space="0" w:color="auto"/>
            </w:tcBorders>
            <w:shd w:val="clear" w:color="000000" w:fill="56008C"/>
            <w:noWrap/>
            <w:vAlign w:val="bottom"/>
            <w:hideMark/>
          </w:tcPr>
          <w:p w:rsidR="006B7A85" w:rsidRPr="006B7A85" w:rsidRDefault="006B7A85" w:rsidP="006B7A85">
            <w:pPr>
              <w:rPr>
                <w:rFonts w:ascii="Calibri" w:hAnsi="Calibri" w:cs="Calibri"/>
                <w:b/>
                <w:bCs/>
                <w:color w:val="FFFFFF"/>
                <w:sz w:val="22"/>
                <w:szCs w:val="22"/>
              </w:rPr>
            </w:pPr>
            <w:r w:rsidRPr="006B7A85">
              <w:rPr>
                <w:rFonts w:ascii="Calibri" w:hAnsi="Calibri" w:cs="Calibri"/>
                <w:b/>
                <w:bCs/>
                <w:color w:val="FFFFFF"/>
                <w:sz w:val="22"/>
                <w:szCs w:val="22"/>
              </w:rPr>
              <w:t>Travel costs across the HRA</w:t>
            </w:r>
          </w:p>
        </w:tc>
        <w:tc>
          <w:tcPr>
            <w:tcW w:w="960" w:type="dxa"/>
            <w:tcBorders>
              <w:top w:val="single" w:sz="4" w:space="0" w:color="auto"/>
              <w:left w:val="nil"/>
              <w:bottom w:val="nil"/>
              <w:right w:val="single" w:sz="4" w:space="0" w:color="auto"/>
            </w:tcBorders>
            <w:shd w:val="clear" w:color="000000" w:fill="56008C"/>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Year to date spend</w:t>
            </w:r>
          </w:p>
        </w:tc>
        <w:tc>
          <w:tcPr>
            <w:tcW w:w="960" w:type="dxa"/>
            <w:tcBorders>
              <w:top w:val="single" w:sz="4" w:space="0" w:color="auto"/>
              <w:left w:val="nil"/>
              <w:bottom w:val="nil"/>
              <w:right w:val="single" w:sz="4" w:space="0" w:color="auto"/>
            </w:tcBorders>
            <w:shd w:val="clear" w:color="000000" w:fill="56008C"/>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Year to date variance</w:t>
            </w:r>
          </w:p>
        </w:tc>
        <w:tc>
          <w:tcPr>
            <w:tcW w:w="960" w:type="dxa"/>
            <w:tcBorders>
              <w:top w:val="single" w:sz="4" w:space="0" w:color="auto"/>
              <w:left w:val="nil"/>
              <w:bottom w:val="nil"/>
              <w:right w:val="single" w:sz="4" w:space="0" w:color="auto"/>
            </w:tcBorders>
            <w:shd w:val="clear" w:color="000000" w:fill="56008C"/>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 share of total year to date spend</w:t>
            </w:r>
          </w:p>
        </w:tc>
      </w:tr>
      <w:tr w:rsidR="006B7A85" w:rsidRPr="006B7A85" w:rsidTr="006B7A85">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6B7A85" w:rsidRPr="006B7A85" w:rsidRDefault="006B7A85" w:rsidP="006B7A85">
            <w:pPr>
              <w:rPr>
                <w:rFonts w:ascii="Calibri" w:hAnsi="Calibri" w:cs="Calibri"/>
                <w:b/>
                <w:bCs/>
                <w:color w:val="FFFFFF"/>
                <w:sz w:val="22"/>
                <w:szCs w:val="22"/>
              </w:rPr>
            </w:pPr>
            <w:r w:rsidRPr="006B7A85">
              <w:rPr>
                <w:rFonts w:ascii="Calibri" w:hAnsi="Calibri" w:cs="Calibri"/>
                <w:b/>
                <w:bCs/>
                <w:color w:val="FFFFFF"/>
                <w:sz w:val="22"/>
                <w:szCs w:val="22"/>
              </w:rPr>
              <w:t> </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jc w:val="center"/>
              <w:rPr>
                <w:rFonts w:ascii="Calibri" w:hAnsi="Calibri" w:cs="Calibri"/>
                <w:b/>
                <w:bCs/>
                <w:color w:val="FFFFFF"/>
                <w:sz w:val="22"/>
                <w:szCs w:val="22"/>
              </w:rPr>
            </w:pPr>
            <w:r w:rsidRPr="006B7A85">
              <w:rPr>
                <w:rFonts w:ascii="Calibri" w:hAnsi="Calibri" w:cs="Calibri"/>
                <w:b/>
                <w:bCs/>
                <w:color w:val="FFFFFF"/>
                <w:sz w:val="22"/>
                <w:szCs w:val="22"/>
              </w:rPr>
              <w:t>%</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Operations and Approval</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205,448</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2,963</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63%</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 xml:space="preserve">Chief Exec </w:t>
            </w:r>
            <w:proofErr w:type="spellStart"/>
            <w:r w:rsidRPr="006B7A85">
              <w:rPr>
                <w:rFonts w:ascii="Calibri" w:hAnsi="Calibri" w:cs="Calibri"/>
                <w:color w:val="000000"/>
                <w:sz w:val="22"/>
                <w:szCs w:val="22"/>
              </w:rPr>
              <w:t>inc</w:t>
            </w:r>
            <w:proofErr w:type="spellEnd"/>
            <w:r w:rsidRPr="006B7A85">
              <w:rPr>
                <w:rFonts w:ascii="Calibri" w:hAnsi="Calibri" w:cs="Calibri"/>
                <w:color w:val="000000"/>
                <w:sz w:val="22"/>
                <w:szCs w:val="22"/>
              </w:rPr>
              <w:t xml:space="preserve"> Team, Board and Corp. Sec.</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45,535</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8,295</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14%</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Corporate Services</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29,328</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-21,747</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9%</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 xml:space="preserve">Finance </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2,137</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1,105</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1%</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Systems and Development</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45,637</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15,002</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14%</w:t>
            </w:r>
          </w:p>
        </w:tc>
      </w:tr>
      <w:tr w:rsidR="006B7A85" w:rsidRPr="006B7A85" w:rsidTr="006B7A85">
        <w:trPr>
          <w:trHeight w:val="300"/>
        </w:trPr>
        <w:tc>
          <w:tcPr>
            <w:tcW w:w="4040" w:type="dxa"/>
            <w:tcBorders>
              <w:top w:val="nil"/>
              <w:left w:val="single" w:sz="4" w:space="0" w:color="auto"/>
              <w:bottom w:val="nil"/>
              <w:right w:val="nil"/>
            </w:tcBorders>
            <w:shd w:val="clear" w:color="auto" w:fill="auto"/>
            <w:noWrap/>
            <w:vAlign w:val="bottom"/>
            <w:hideMark/>
          </w:tcPr>
          <w:p w:rsidR="006B7A85" w:rsidRPr="006B7A85" w:rsidRDefault="006B7A85" w:rsidP="006B7A85">
            <w:pPr>
              <w:rPr>
                <w:rFonts w:ascii="Calibri" w:hAnsi="Calibri" w:cs="Calibri"/>
                <w:color w:val="000000"/>
                <w:sz w:val="22"/>
                <w:szCs w:val="22"/>
              </w:rPr>
            </w:pPr>
            <w:r w:rsidRPr="006B7A85">
              <w:rPr>
                <w:rFonts w:ascii="Calibri" w:hAnsi="Calibri" w:cs="Calibri"/>
                <w:color w:val="000000"/>
                <w:sz w:val="22"/>
                <w:szCs w:val="22"/>
              </w:rPr>
              <w:t>Communications</w:t>
            </w:r>
          </w:p>
        </w:tc>
        <w:tc>
          <w:tcPr>
            <w:tcW w:w="960" w:type="dxa"/>
            <w:tcBorders>
              <w:top w:val="nil"/>
              <w:left w:val="single" w:sz="4" w:space="0" w:color="auto"/>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0</w:t>
            </w:r>
          </w:p>
        </w:tc>
        <w:tc>
          <w:tcPr>
            <w:tcW w:w="960" w:type="dxa"/>
            <w:tcBorders>
              <w:top w:val="nil"/>
              <w:left w:val="nil"/>
              <w:bottom w:val="nil"/>
              <w:right w:val="single" w:sz="4" w:space="0" w:color="auto"/>
            </w:tcBorders>
            <w:shd w:val="clear" w:color="auto" w:fill="auto"/>
            <w:noWrap/>
            <w:vAlign w:val="bottom"/>
            <w:hideMark/>
          </w:tcPr>
          <w:p w:rsidR="006B7A85" w:rsidRPr="006B7A85" w:rsidRDefault="006B7A85" w:rsidP="006B7A85">
            <w:pPr>
              <w:jc w:val="right"/>
              <w:rPr>
                <w:rFonts w:ascii="Calibri" w:hAnsi="Calibri" w:cs="Calibri"/>
                <w:color w:val="000000"/>
                <w:sz w:val="22"/>
                <w:szCs w:val="22"/>
              </w:rPr>
            </w:pPr>
            <w:r w:rsidRPr="006B7A85">
              <w:rPr>
                <w:rFonts w:ascii="Calibri" w:hAnsi="Calibri" w:cs="Calibri"/>
                <w:color w:val="000000"/>
                <w:sz w:val="22"/>
                <w:szCs w:val="22"/>
              </w:rPr>
              <w:t>0%</w:t>
            </w:r>
          </w:p>
        </w:tc>
      </w:tr>
      <w:tr w:rsidR="006B7A85" w:rsidRPr="006B7A85" w:rsidTr="006B7A85">
        <w:trPr>
          <w:trHeight w:val="300"/>
        </w:trPr>
        <w:tc>
          <w:tcPr>
            <w:tcW w:w="4040" w:type="dxa"/>
            <w:tcBorders>
              <w:top w:val="nil"/>
              <w:left w:val="single" w:sz="4" w:space="0" w:color="auto"/>
              <w:bottom w:val="single" w:sz="4" w:space="0" w:color="auto"/>
              <w:right w:val="single" w:sz="4" w:space="0" w:color="auto"/>
            </w:tcBorders>
            <w:shd w:val="clear" w:color="000000" w:fill="56008C"/>
            <w:noWrap/>
            <w:vAlign w:val="bottom"/>
            <w:hideMark/>
          </w:tcPr>
          <w:p w:rsidR="006B7A85" w:rsidRPr="006B7A85" w:rsidRDefault="006B7A85" w:rsidP="006B7A85">
            <w:pPr>
              <w:rPr>
                <w:rFonts w:ascii="Calibri" w:hAnsi="Calibri" w:cs="Calibri"/>
                <w:b/>
                <w:bCs/>
                <w:color w:val="FFFFFF"/>
                <w:sz w:val="22"/>
                <w:szCs w:val="22"/>
              </w:rPr>
            </w:pPr>
            <w:r w:rsidRPr="006B7A85">
              <w:rPr>
                <w:rFonts w:ascii="Calibri" w:hAnsi="Calibri" w:cs="Calibri"/>
                <w:b/>
                <w:bCs/>
                <w:color w:val="FFFFFF"/>
                <w:sz w:val="22"/>
                <w:szCs w:val="22"/>
              </w:rPr>
              <w:t>Total</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jc w:val="right"/>
              <w:rPr>
                <w:rFonts w:ascii="Calibri" w:hAnsi="Calibri" w:cs="Calibri"/>
                <w:b/>
                <w:bCs/>
                <w:color w:val="FFFFFF"/>
                <w:sz w:val="22"/>
                <w:szCs w:val="22"/>
              </w:rPr>
            </w:pPr>
            <w:r w:rsidRPr="006B7A85">
              <w:rPr>
                <w:rFonts w:ascii="Calibri" w:hAnsi="Calibri" w:cs="Calibri"/>
                <w:b/>
                <w:bCs/>
                <w:color w:val="FFFFFF"/>
                <w:sz w:val="22"/>
                <w:szCs w:val="22"/>
              </w:rPr>
              <w:t>328,084</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jc w:val="right"/>
              <w:rPr>
                <w:rFonts w:ascii="Calibri" w:hAnsi="Calibri" w:cs="Calibri"/>
                <w:b/>
                <w:bCs/>
                <w:color w:val="FFFFFF"/>
                <w:sz w:val="22"/>
                <w:szCs w:val="22"/>
              </w:rPr>
            </w:pPr>
            <w:r w:rsidRPr="006B7A85">
              <w:rPr>
                <w:rFonts w:ascii="Calibri" w:hAnsi="Calibri" w:cs="Calibri"/>
                <w:b/>
                <w:bCs/>
                <w:color w:val="FFFFFF"/>
                <w:sz w:val="22"/>
                <w:szCs w:val="22"/>
              </w:rPr>
              <w:t>5,617</w:t>
            </w:r>
          </w:p>
        </w:tc>
        <w:tc>
          <w:tcPr>
            <w:tcW w:w="960" w:type="dxa"/>
            <w:tcBorders>
              <w:top w:val="nil"/>
              <w:left w:val="nil"/>
              <w:bottom w:val="single" w:sz="4" w:space="0" w:color="auto"/>
              <w:right w:val="single" w:sz="4" w:space="0" w:color="auto"/>
            </w:tcBorders>
            <w:shd w:val="clear" w:color="000000" w:fill="56008C"/>
            <w:noWrap/>
            <w:vAlign w:val="bottom"/>
            <w:hideMark/>
          </w:tcPr>
          <w:p w:rsidR="006B7A85" w:rsidRPr="006B7A85" w:rsidRDefault="006B7A85" w:rsidP="006B7A85">
            <w:pPr>
              <w:rPr>
                <w:rFonts w:ascii="Calibri" w:hAnsi="Calibri" w:cs="Calibri"/>
                <w:b/>
                <w:bCs/>
                <w:color w:val="FFFFFF"/>
                <w:sz w:val="22"/>
                <w:szCs w:val="22"/>
              </w:rPr>
            </w:pPr>
            <w:r w:rsidRPr="006B7A85">
              <w:rPr>
                <w:rFonts w:ascii="Calibri" w:hAnsi="Calibri" w:cs="Calibri"/>
                <w:b/>
                <w:bCs/>
                <w:color w:val="FFFFFF"/>
                <w:sz w:val="22"/>
                <w:szCs w:val="22"/>
              </w:rPr>
              <w:t> </w:t>
            </w:r>
          </w:p>
        </w:tc>
      </w:tr>
    </w:tbl>
    <w:p w:rsidR="006B7A85" w:rsidRDefault="006B7A85" w:rsidP="006976EC">
      <w:pPr>
        <w:pStyle w:val="ListParagraph"/>
        <w:spacing w:after="200" w:line="276" w:lineRule="auto"/>
        <w:ind w:left="0"/>
        <w:rPr>
          <w:rFonts w:ascii="Arial" w:hAnsi="Arial" w:cs="Arial"/>
          <w:sz w:val="22"/>
          <w:szCs w:val="22"/>
        </w:rPr>
      </w:pPr>
    </w:p>
    <w:p w:rsidR="008704C8" w:rsidRDefault="00F24686" w:rsidP="006976EC">
      <w:pPr>
        <w:pStyle w:val="ListParagraph"/>
        <w:spacing w:after="200" w:line="276" w:lineRule="auto"/>
        <w:ind w:left="0"/>
        <w:rPr>
          <w:rFonts w:ascii="Arial" w:hAnsi="Arial" w:cs="Arial"/>
          <w:sz w:val="22"/>
          <w:szCs w:val="22"/>
        </w:rPr>
      </w:pPr>
      <w:r w:rsidRPr="00F24686">
        <w:rPr>
          <w:rFonts w:ascii="Arial" w:hAnsi="Arial" w:cs="Arial"/>
          <w:sz w:val="22"/>
          <w:szCs w:val="22"/>
        </w:rPr>
        <w:t xml:space="preserve">Year to date staff travel costs for 2014/15 </w:t>
      </w:r>
      <w:r w:rsidR="008F0A10">
        <w:rPr>
          <w:rFonts w:ascii="Arial" w:hAnsi="Arial" w:cs="Arial"/>
          <w:sz w:val="22"/>
          <w:szCs w:val="22"/>
        </w:rPr>
        <w:t xml:space="preserve">compared with the average cost in 2013/14 </w:t>
      </w:r>
      <w:r w:rsidRPr="00F24686">
        <w:rPr>
          <w:rFonts w:ascii="Arial" w:hAnsi="Arial" w:cs="Arial"/>
          <w:sz w:val="22"/>
          <w:szCs w:val="22"/>
        </w:rPr>
        <w:t>have been analysed and ar</w:t>
      </w:r>
      <w:r>
        <w:rPr>
          <w:rFonts w:ascii="Arial" w:hAnsi="Arial" w:cs="Arial"/>
          <w:sz w:val="22"/>
          <w:szCs w:val="22"/>
        </w:rPr>
        <w:t>e presented in the graph below.</w:t>
      </w:r>
    </w:p>
    <w:p w:rsidR="008F0A10" w:rsidRDefault="008F0A10" w:rsidP="006976EC">
      <w:pPr>
        <w:pStyle w:val="ListParagraph"/>
        <w:spacing w:after="200" w:line="276" w:lineRule="auto"/>
        <w:ind w:left="0"/>
        <w:rPr>
          <w:rFonts w:ascii="Arial" w:hAnsi="Arial" w:cs="Arial"/>
          <w:sz w:val="22"/>
          <w:szCs w:val="22"/>
        </w:rPr>
      </w:pPr>
    </w:p>
    <w:p w:rsidR="008704C8" w:rsidRDefault="00F433DF"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2192D9AE" wp14:editId="19B5B76A">
            <wp:extent cx="4742815" cy="33407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2815" cy="3340735"/>
                    </a:xfrm>
                    <a:prstGeom prst="rect">
                      <a:avLst/>
                    </a:prstGeom>
                    <a:noFill/>
                  </pic:spPr>
                </pic:pic>
              </a:graphicData>
            </a:graphic>
          </wp:inline>
        </w:drawing>
      </w:r>
    </w:p>
    <w:p w:rsidR="00F433DF" w:rsidRDefault="00F433DF" w:rsidP="006976EC">
      <w:pPr>
        <w:pStyle w:val="ListParagraph"/>
        <w:spacing w:after="200" w:line="276" w:lineRule="auto"/>
        <w:ind w:left="0"/>
        <w:rPr>
          <w:rFonts w:ascii="Arial" w:hAnsi="Arial" w:cs="Arial"/>
          <w:b/>
          <w:sz w:val="22"/>
          <w:szCs w:val="22"/>
        </w:rPr>
      </w:pPr>
    </w:p>
    <w:p w:rsidR="008704C8" w:rsidRDefault="00F24686"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holiday period and the cancellation of a small number of REC meetings will have contributed to the reduction in monthly costs per head along with the likely low levels of travel associated with new starters.  The </w:t>
      </w:r>
      <w:r w:rsidR="008F0A10">
        <w:rPr>
          <w:rFonts w:ascii="Arial" w:hAnsi="Arial" w:cs="Arial"/>
          <w:sz w:val="22"/>
          <w:szCs w:val="22"/>
        </w:rPr>
        <w:t xml:space="preserve">travel costs associated with the very successful </w:t>
      </w:r>
      <w:r>
        <w:rPr>
          <w:rFonts w:ascii="Arial" w:hAnsi="Arial" w:cs="Arial"/>
          <w:sz w:val="22"/>
          <w:szCs w:val="22"/>
        </w:rPr>
        <w:t xml:space="preserve">all staff day during </w:t>
      </w:r>
      <w:r w:rsidR="001B1E04">
        <w:rPr>
          <w:rFonts w:ascii="Arial" w:hAnsi="Arial" w:cs="Arial"/>
          <w:sz w:val="22"/>
          <w:szCs w:val="22"/>
        </w:rPr>
        <w:t xml:space="preserve">November </w:t>
      </w:r>
      <w:r w:rsidR="008F0A10">
        <w:rPr>
          <w:rFonts w:ascii="Arial" w:hAnsi="Arial" w:cs="Arial"/>
          <w:sz w:val="22"/>
          <w:szCs w:val="22"/>
        </w:rPr>
        <w:t xml:space="preserve">has now impacted as expected. </w:t>
      </w:r>
      <w:r w:rsidR="001B1E04">
        <w:rPr>
          <w:rFonts w:ascii="Arial" w:hAnsi="Arial" w:cs="Arial"/>
          <w:sz w:val="22"/>
          <w:szCs w:val="22"/>
        </w:rPr>
        <w:t xml:space="preserve">  However the graph does h</w:t>
      </w:r>
      <w:r w:rsidR="001B1E04" w:rsidRPr="001B1E04">
        <w:rPr>
          <w:rFonts w:ascii="Arial" w:hAnsi="Arial" w:cs="Arial"/>
          <w:sz w:val="22"/>
          <w:szCs w:val="22"/>
        </w:rPr>
        <w:t>ighlight</w:t>
      </w:r>
      <w:r w:rsidR="001B1E04">
        <w:rPr>
          <w:rFonts w:ascii="Arial" w:hAnsi="Arial" w:cs="Arial"/>
          <w:sz w:val="22"/>
          <w:szCs w:val="22"/>
        </w:rPr>
        <w:t xml:space="preserve"> the</w:t>
      </w:r>
      <w:r w:rsidR="001B1E04" w:rsidRPr="001B1E04">
        <w:rPr>
          <w:rFonts w:ascii="Arial" w:hAnsi="Arial" w:cs="Arial"/>
          <w:sz w:val="22"/>
          <w:szCs w:val="22"/>
        </w:rPr>
        <w:t xml:space="preserve"> success and focus on travel costs </w:t>
      </w:r>
      <w:r w:rsidR="001B1E04">
        <w:rPr>
          <w:rFonts w:ascii="Arial" w:hAnsi="Arial" w:cs="Arial"/>
          <w:sz w:val="22"/>
          <w:szCs w:val="22"/>
        </w:rPr>
        <w:t xml:space="preserve">so far </w:t>
      </w:r>
      <w:r w:rsidR="001B1E04" w:rsidRPr="001B1E04">
        <w:rPr>
          <w:rFonts w:ascii="Arial" w:hAnsi="Arial" w:cs="Arial"/>
          <w:sz w:val="22"/>
          <w:szCs w:val="22"/>
        </w:rPr>
        <w:t>with staff and line managers working hard to ensure costs are minimised wherever possible.  There has also been helpful feedback at staff inductions.</w:t>
      </w:r>
    </w:p>
    <w:p w:rsidR="003C483B" w:rsidRDefault="003C483B"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6D14D3"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6B7A85">
        <w:rPr>
          <w:rFonts w:ascii="Arial" w:hAnsi="Arial" w:cs="Arial"/>
          <w:sz w:val="22"/>
          <w:szCs w:val="22"/>
        </w:rPr>
        <w:t>5</w:t>
      </w:r>
      <w:r w:rsidR="006D14D3">
        <w:rPr>
          <w:rFonts w:ascii="Arial" w:hAnsi="Arial" w:cs="Arial"/>
          <w:sz w:val="22"/>
          <w:szCs w:val="22"/>
        </w:rPr>
        <w:t xml:space="preserve">% of the costs incurred </w:t>
      </w:r>
      <w:r w:rsidR="00E31CA4">
        <w:rPr>
          <w:rFonts w:ascii="Arial" w:hAnsi="Arial" w:cs="Arial"/>
          <w:sz w:val="22"/>
          <w:szCs w:val="22"/>
        </w:rPr>
        <w:t>in year</w:t>
      </w:r>
      <w:r w:rsidR="006D14D3">
        <w:rPr>
          <w:rFonts w:ascii="Arial" w:hAnsi="Arial" w:cs="Arial"/>
          <w:sz w:val="22"/>
          <w:szCs w:val="22"/>
        </w:rPr>
        <w:t xml:space="preserve">, the profile of our staff headcount </w:t>
      </w:r>
      <w:proofErr w:type="gramStart"/>
      <w:r w:rsidR="006D14D3">
        <w:rPr>
          <w:rFonts w:ascii="Arial" w:hAnsi="Arial" w:cs="Arial"/>
          <w:sz w:val="22"/>
          <w:szCs w:val="22"/>
        </w:rPr>
        <w:t>is</w:t>
      </w:r>
      <w:proofErr w:type="gramEnd"/>
      <w:r w:rsidR="006D14D3">
        <w:rPr>
          <w:rFonts w:ascii="Arial" w:hAnsi="Arial" w:cs="Arial"/>
          <w:sz w:val="22"/>
          <w:szCs w:val="22"/>
        </w:rPr>
        <w:t xml:space="preserve"> presented below for information</w:t>
      </w:r>
      <w:r w:rsidR="00E10273">
        <w:rPr>
          <w:rFonts w:ascii="Arial" w:hAnsi="Arial" w:cs="Arial"/>
          <w:sz w:val="22"/>
          <w:szCs w:val="22"/>
        </w:rPr>
        <w:t>.  The slight increase in numbers represent</w:t>
      </w:r>
      <w:r w:rsidR="00A454CF">
        <w:rPr>
          <w:rFonts w:ascii="Arial" w:hAnsi="Arial" w:cs="Arial"/>
          <w:sz w:val="22"/>
          <w:szCs w:val="22"/>
        </w:rPr>
        <w:t>s</w:t>
      </w:r>
      <w:r w:rsidR="00E10273">
        <w:rPr>
          <w:rFonts w:ascii="Arial" w:hAnsi="Arial" w:cs="Arial"/>
          <w:sz w:val="22"/>
          <w:szCs w:val="22"/>
        </w:rPr>
        <w:t xml:space="preserve"> the commencement of c</w:t>
      </w:r>
      <w:r w:rsidR="00217F4F">
        <w:rPr>
          <w:rFonts w:ascii="Arial" w:hAnsi="Arial" w:cs="Arial"/>
          <w:sz w:val="22"/>
          <w:szCs w:val="22"/>
        </w:rPr>
        <w:t xml:space="preserve">ontracts relating to Phase 1 </w:t>
      </w:r>
      <w:r w:rsidR="00981DAC">
        <w:rPr>
          <w:rFonts w:ascii="Arial" w:hAnsi="Arial" w:cs="Arial"/>
          <w:sz w:val="22"/>
          <w:szCs w:val="22"/>
        </w:rPr>
        <w:t>to Phase 3</w:t>
      </w:r>
      <w:r w:rsidR="00A015C8">
        <w:rPr>
          <w:rFonts w:ascii="Arial" w:hAnsi="Arial" w:cs="Arial"/>
          <w:sz w:val="22"/>
          <w:szCs w:val="22"/>
        </w:rPr>
        <w:t xml:space="preserve"> </w:t>
      </w:r>
      <w:r w:rsidR="00217F4F">
        <w:rPr>
          <w:rFonts w:ascii="Arial" w:hAnsi="Arial" w:cs="Arial"/>
          <w:sz w:val="22"/>
          <w:szCs w:val="22"/>
        </w:rPr>
        <w:t>of the recruitment outlined in the business case.</w:t>
      </w:r>
      <w:r w:rsidR="00A454CF">
        <w:rPr>
          <w:rFonts w:ascii="Arial" w:hAnsi="Arial" w:cs="Arial"/>
          <w:sz w:val="22"/>
          <w:szCs w:val="22"/>
        </w:rPr>
        <w:t xml:space="preserve">  The graph also shows we are </w:t>
      </w:r>
      <w:r w:rsidR="003C483B">
        <w:rPr>
          <w:rFonts w:ascii="Arial" w:hAnsi="Arial" w:cs="Arial"/>
          <w:sz w:val="22"/>
          <w:szCs w:val="22"/>
        </w:rPr>
        <w:t xml:space="preserve">still </w:t>
      </w:r>
      <w:r w:rsidR="00A454CF">
        <w:rPr>
          <w:rFonts w:ascii="Arial" w:hAnsi="Arial" w:cs="Arial"/>
          <w:sz w:val="22"/>
          <w:szCs w:val="22"/>
        </w:rPr>
        <w:t>some way off the expected complete headcount of circa 2</w:t>
      </w:r>
      <w:r w:rsidR="00BB772C">
        <w:rPr>
          <w:rFonts w:ascii="Arial" w:hAnsi="Arial" w:cs="Arial"/>
          <w:sz w:val="22"/>
          <w:szCs w:val="22"/>
        </w:rPr>
        <w:t>22</w:t>
      </w:r>
      <w:r w:rsidR="008F0A10">
        <w:rPr>
          <w:rFonts w:ascii="Arial" w:hAnsi="Arial" w:cs="Arial"/>
          <w:sz w:val="22"/>
          <w:szCs w:val="22"/>
        </w:rPr>
        <w:t xml:space="preserve"> and visually helps to partially explain the forecast under spend</w:t>
      </w:r>
      <w:r w:rsidR="00A454CF">
        <w:rPr>
          <w:rFonts w:ascii="Arial" w:hAnsi="Arial" w:cs="Arial"/>
          <w:sz w:val="22"/>
          <w:szCs w:val="22"/>
        </w:rPr>
        <w:t>.</w:t>
      </w:r>
    </w:p>
    <w:p w:rsidR="00981DAC" w:rsidRDefault="00981DAC" w:rsidP="006976EC">
      <w:pPr>
        <w:pStyle w:val="ListParagraph"/>
        <w:spacing w:after="200" w:line="276" w:lineRule="auto"/>
        <w:ind w:left="0"/>
        <w:rPr>
          <w:rFonts w:ascii="Arial" w:hAnsi="Arial" w:cs="Arial"/>
          <w:sz w:val="22"/>
          <w:szCs w:val="22"/>
        </w:rPr>
      </w:pPr>
    </w:p>
    <w:p w:rsidR="006D14D3" w:rsidRDefault="006D14D3" w:rsidP="006D14D3">
      <w:pPr>
        <w:pStyle w:val="ListParagraph"/>
        <w:spacing w:after="200" w:line="276" w:lineRule="auto"/>
        <w:rPr>
          <w:rFonts w:ascii="Arial" w:hAnsi="Arial" w:cs="Arial"/>
          <w:b/>
          <w:sz w:val="22"/>
          <w:szCs w:val="22"/>
        </w:rPr>
      </w:pPr>
      <w:r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Pr="006D14D3">
        <w:rPr>
          <w:rFonts w:ascii="Arial" w:hAnsi="Arial" w:cs="Arial"/>
          <w:b/>
          <w:sz w:val="22"/>
          <w:szCs w:val="22"/>
        </w:rPr>
        <w:t>201</w:t>
      </w:r>
      <w:r w:rsidR="006976EC">
        <w:rPr>
          <w:rFonts w:ascii="Arial" w:hAnsi="Arial" w:cs="Arial"/>
          <w:b/>
          <w:sz w:val="22"/>
          <w:szCs w:val="22"/>
        </w:rPr>
        <w:t>4</w:t>
      </w:r>
      <w:r w:rsidRPr="006D14D3">
        <w:rPr>
          <w:rFonts w:ascii="Arial" w:hAnsi="Arial" w:cs="Arial"/>
          <w:b/>
          <w:sz w:val="22"/>
          <w:szCs w:val="22"/>
        </w:rPr>
        <w:t>/1</w:t>
      </w:r>
      <w:r w:rsidR="006976EC">
        <w:rPr>
          <w:rFonts w:ascii="Arial" w:hAnsi="Arial" w:cs="Arial"/>
          <w:b/>
          <w:sz w:val="22"/>
          <w:szCs w:val="22"/>
        </w:rPr>
        <w:t>5</w:t>
      </w:r>
    </w:p>
    <w:p w:rsidR="00B75EB4" w:rsidRDefault="00981DAC"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6B4A10C2" wp14:editId="1371C59C">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B75EB4" w:rsidRDefault="00B75EB4" w:rsidP="006D14D3">
      <w:pPr>
        <w:pStyle w:val="ListParagraph"/>
        <w:spacing w:after="200" w:line="276" w:lineRule="auto"/>
        <w:rPr>
          <w:rFonts w:ascii="Arial" w:hAnsi="Arial" w:cs="Arial"/>
          <w:b/>
          <w:sz w:val="22"/>
          <w:szCs w:val="22"/>
        </w:rPr>
      </w:pPr>
    </w:p>
    <w:p w:rsidR="006D14D3" w:rsidRDefault="000C0ACC" w:rsidP="00AC4AAD">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585FFC">
        <w:rPr>
          <w:rFonts w:ascii="Arial" w:hAnsi="Arial" w:cs="Arial"/>
          <w:sz w:val="22"/>
          <w:szCs w:val="22"/>
        </w:rPr>
        <w:t xml:space="preserve">objective to complete the month </w:t>
      </w:r>
      <w:r w:rsidR="00F273CB">
        <w:rPr>
          <w:rFonts w:ascii="Arial" w:hAnsi="Arial" w:cs="Arial"/>
          <w:sz w:val="22"/>
          <w:szCs w:val="22"/>
        </w:rPr>
        <w:t>end to a target of 4 days</w:t>
      </w:r>
      <w:r w:rsidR="00F77351">
        <w:rPr>
          <w:rFonts w:ascii="Arial" w:hAnsi="Arial" w:cs="Arial"/>
          <w:sz w:val="22"/>
          <w:szCs w:val="22"/>
        </w:rPr>
        <w:t xml:space="preserve"> was </w:t>
      </w:r>
      <w:r w:rsidR="00A454CF">
        <w:rPr>
          <w:rFonts w:ascii="Arial" w:hAnsi="Arial" w:cs="Arial"/>
          <w:sz w:val="22"/>
          <w:szCs w:val="22"/>
        </w:rPr>
        <w:t xml:space="preserve">not </w:t>
      </w:r>
      <w:r w:rsidR="000D4339">
        <w:rPr>
          <w:rFonts w:ascii="Arial" w:hAnsi="Arial" w:cs="Arial"/>
          <w:sz w:val="22"/>
          <w:szCs w:val="22"/>
        </w:rPr>
        <w:t>achieved for November</w:t>
      </w:r>
      <w:r w:rsidR="00E10273">
        <w:rPr>
          <w:rFonts w:ascii="Arial" w:hAnsi="Arial" w:cs="Arial"/>
          <w:sz w:val="22"/>
          <w:szCs w:val="22"/>
        </w:rPr>
        <w:t>.</w:t>
      </w:r>
      <w:r w:rsidR="00194FFE">
        <w:rPr>
          <w:rFonts w:ascii="Arial" w:hAnsi="Arial" w:cs="Arial"/>
          <w:sz w:val="22"/>
          <w:szCs w:val="22"/>
        </w:rPr>
        <w:t xml:space="preserve">  </w:t>
      </w:r>
      <w:r w:rsidR="00F77351">
        <w:rPr>
          <w:rFonts w:ascii="Arial" w:hAnsi="Arial" w:cs="Arial"/>
          <w:sz w:val="22"/>
          <w:szCs w:val="22"/>
        </w:rPr>
        <w:t xml:space="preserve">Unfortunately due to </w:t>
      </w:r>
      <w:r w:rsidR="008F0A10">
        <w:rPr>
          <w:rFonts w:ascii="Arial" w:hAnsi="Arial" w:cs="Arial"/>
          <w:sz w:val="22"/>
          <w:szCs w:val="22"/>
        </w:rPr>
        <w:t xml:space="preserve">the </w:t>
      </w:r>
      <w:r w:rsidR="00F77351">
        <w:rPr>
          <w:rFonts w:ascii="Arial" w:hAnsi="Arial" w:cs="Arial"/>
          <w:sz w:val="22"/>
          <w:szCs w:val="22"/>
        </w:rPr>
        <w:t xml:space="preserve">unexpected </w:t>
      </w:r>
      <w:r w:rsidR="000D4339">
        <w:rPr>
          <w:rFonts w:ascii="Arial" w:hAnsi="Arial" w:cs="Arial"/>
          <w:sz w:val="22"/>
          <w:szCs w:val="22"/>
        </w:rPr>
        <w:t xml:space="preserve">absence of a </w:t>
      </w:r>
      <w:r w:rsidR="008F0A10">
        <w:rPr>
          <w:rFonts w:ascii="Arial" w:hAnsi="Arial" w:cs="Arial"/>
          <w:sz w:val="22"/>
          <w:szCs w:val="22"/>
        </w:rPr>
        <w:t xml:space="preserve">key </w:t>
      </w:r>
      <w:r w:rsidR="000D4339">
        <w:rPr>
          <w:rFonts w:ascii="Arial" w:hAnsi="Arial" w:cs="Arial"/>
          <w:sz w:val="22"/>
          <w:szCs w:val="22"/>
        </w:rPr>
        <w:t>team member wi</w:t>
      </w:r>
      <w:r w:rsidR="00AB1230">
        <w:rPr>
          <w:rFonts w:ascii="Arial" w:hAnsi="Arial" w:cs="Arial"/>
          <w:sz w:val="22"/>
          <w:szCs w:val="22"/>
        </w:rPr>
        <w:t>thin the month end period the close was extended by 1 day to 5 days.</w:t>
      </w:r>
      <w:r w:rsidR="003C483B">
        <w:rPr>
          <w:rFonts w:ascii="Arial" w:hAnsi="Arial" w:cs="Arial"/>
          <w:sz w:val="22"/>
          <w:szCs w:val="22"/>
        </w:rPr>
        <w:t xml:space="preserve">  </w:t>
      </w:r>
      <w:r w:rsidR="008F0A10">
        <w:rPr>
          <w:rFonts w:ascii="Arial" w:hAnsi="Arial" w:cs="Arial"/>
          <w:sz w:val="22"/>
          <w:szCs w:val="22"/>
        </w:rPr>
        <w:t>To achieve the close within 5 days given the circumstances was a good result however and w</w:t>
      </w:r>
      <w:r w:rsidR="00A454CF">
        <w:rPr>
          <w:rFonts w:ascii="Arial" w:hAnsi="Arial" w:cs="Arial"/>
          <w:sz w:val="22"/>
          <w:szCs w:val="22"/>
        </w:rPr>
        <w:t xml:space="preserve">ork </w:t>
      </w:r>
      <w:r w:rsidR="00AB1230">
        <w:rPr>
          <w:rFonts w:ascii="Arial" w:hAnsi="Arial" w:cs="Arial"/>
          <w:sz w:val="22"/>
          <w:szCs w:val="22"/>
        </w:rPr>
        <w:t xml:space="preserve">was undertaken </w:t>
      </w:r>
      <w:r w:rsidR="00A454CF">
        <w:rPr>
          <w:rFonts w:ascii="Arial" w:hAnsi="Arial" w:cs="Arial"/>
          <w:sz w:val="22"/>
          <w:szCs w:val="22"/>
        </w:rPr>
        <w:t xml:space="preserve">to ensure that reports were </w:t>
      </w:r>
      <w:r w:rsidR="003C483B">
        <w:rPr>
          <w:rFonts w:ascii="Arial" w:hAnsi="Arial" w:cs="Arial"/>
          <w:sz w:val="22"/>
          <w:szCs w:val="22"/>
        </w:rPr>
        <w:t xml:space="preserve">still </w:t>
      </w:r>
      <w:r w:rsidR="00A454CF">
        <w:rPr>
          <w:rFonts w:ascii="Arial" w:hAnsi="Arial" w:cs="Arial"/>
          <w:sz w:val="22"/>
          <w:szCs w:val="22"/>
        </w:rPr>
        <w:t xml:space="preserve">available </w:t>
      </w:r>
      <w:proofErr w:type="gramStart"/>
      <w:r w:rsidR="00A454CF">
        <w:rPr>
          <w:rFonts w:ascii="Arial" w:hAnsi="Arial" w:cs="Arial"/>
          <w:sz w:val="22"/>
          <w:szCs w:val="22"/>
        </w:rPr>
        <w:t>for  EMT</w:t>
      </w:r>
      <w:proofErr w:type="gramEnd"/>
      <w:r w:rsidR="00A454CF">
        <w:rPr>
          <w:rFonts w:ascii="Arial" w:hAnsi="Arial" w:cs="Arial"/>
          <w:sz w:val="22"/>
          <w:szCs w:val="22"/>
        </w:rPr>
        <w:t xml:space="preserve"> and Board to deadline.</w:t>
      </w: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4C536A" w:rsidRDefault="00C129B5" w:rsidP="00716AC4">
      <w:pPr>
        <w:spacing w:after="200" w:line="276" w:lineRule="auto"/>
        <w:rPr>
          <w:rFonts w:ascii="Arial" w:hAnsi="Arial" w:cs="Arial"/>
          <w:sz w:val="22"/>
          <w:szCs w:val="22"/>
        </w:rPr>
      </w:pPr>
      <w:r>
        <w:rPr>
          <w:rFonts w:ascii="Arial" w:hAnsi="Arial" w:cs="Arial"/>
          <w:sz w:val="22"/>
          <w:szCs w:val="22"/>
        </w:rPr>
        <w:t xml:space="preserve">The </w:t>
      </w:r>
      <w:r w:rsidR="00FF2BB3">
        <w:rPr>
          <w:rFonts w:ascii="Arial" w:hAnsi="Arial" w:cs="Arial"/>
          <w:sz w:val="22"/>
          <w:szCs w:val="22"/>
        </w:rPr>
        <w:t xml:space="preserve">current capital expenditure position is presented below.  The current forecast is a break even on capital. </w:t>
      </w:r>
      <w:r w:rsidR="000C29D5">
        <w:rPr>
          <w:rFonts w:ascii="Arial" w:hAnsi="Arial" w:cs="Arial"/>
          <w:sz w:val="22"/>
          <w:szCs w:val="22"/>
        </w:rPr>
        <w:t>The run rate of e</w:t>
      </w:r>
      <w:r w:rsidR="00FF2BB3">
        <w:rPr>
          <w:rFonts w:ascii="Arial" w:hAnsi="Arial" w:cs="Arial"/>
          <w:sz w:val="22"/>
          <w:szCs w:val="22"/>
        </w:rPr>
        <w:t xml:space="preserve">xpenditure is expected to </w:t>
      </w:r>
      <w:r w:rsidR="000C29D5">
        <w:rPr>
          <w:rFonts w:ascii="Arial" w:hAnsi="Arial" w:cs="Arial"/>
          <w:sz w:val="22"/>
          <w:szCs w:val="22"/>
        </w:rPr>
        <w:t xml:space="preserve">increase as IS posts are filled.  </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New generation of IRAS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351</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E7343" w:rsidP="000C5914">
            <w:pPr>
              <w:jc w:val="center"/>
              <w:rPr>
                <w:rFonts w:ascii="Arial" w:hAnsi="Arial" w:cs="Arial"/>
                <w:color w:val="000000"/>
                <w:sz w:val="18"/>
                <w:szCs w:val="18"/>
              </w:rPr>
            </w:pPr>
            <w:r>
              <w:rPr>
                <w:rFonts w:ascii="Arial" w:hAnsi="Arial" w:cs="Arial"/>
                <w:color w:val="000000"/>
                <w:sz w:val="18"/>
                <w:szCs w:val="18"/>
              </w:rPr>
              <w:t>108.0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E7343" w:rsidP="000C5914">
            <w:pPr>
              <w:jc w:val="center"/>
              <w:rPr>
                <w:rFonts w:ascii="Arial" w:hAnsi="Arial" w:cs="Arial"/>
                <w:color w:val="000000"/>
                <w:sz w:val="18"/>
                <w:szCs w:val="18"/>
              </w:rPr>
            </w:pPr>
            <w:r>
              <w:rPr>
                <w:rFonts w:ascii="Arial" w:hAnsi="Arial" w:cs="Arial"/>
                <w:color w:val="000000"/>
                <w:sz w:val="18"/>
                <w:szCs w:val="18"/>
              </w:rPr>
              <w:t>243.0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HARP</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143.40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E7343" w:rsidP="000C5914">
            <w:pPr>
              <w:jc w:val="center"/>
              <w:rPr>
                <w:rFonts w:ascii="Arial" w:hAnsi="Arial" w:cs="Arial"/>
                <w:color w:val="000000"/>
                <w:sz w:val="18"/>
                <w:szCs w:val="18"/>
              </w:rPr>
            </w:pPr>
            <w:r>
              <w:rPr>
                <w:rFonts w:ascii="Arial" w:hAnsi="Arial" w:cs="Arial"/>
                <w:color w:val="000000"/>
                <w:sz w:val="18"/>
                <w:szCs w:val="18"/>
              </w:rPr>
              <w:t>91.</w:t>
            </w:r>
            <w:r w:rsidR="00560E95">
              <w:rPr>
                <w:rFonts w:ascii="Arial" w:hAnsi="Arial" w:cs="Arial"/>
                <w:color w:val="000000"/>
                <w:sz w:val="18"/>
                <w:szCs w:val="18"/>
              </w:rPr>
              <w:t>9</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E7343" w:rsidP="000C5914">
            <w:pPr>
              <w:jc w:val="center"/>
              <w:rPr>
                <w:rFonts w:ascii="Arial" w:hAnsi="Arial" w:cs="Arial"/>
                <w:color w:val="000000"/>
                <w:sz w:val="18"/>
                <w:szCs w:val="18"/>
              </w:rPr>
            </w:pPr>
            <w:r>
              <w:rPr>
                <w:rFonts w:ascii="Arial" w:hAnsi="Arial" w:cs="Arial"/>
                <w:color w:val="000000"/>
                <w:sz w:val="18"/>
                <w:szCs w:val="18"/>
              </w:rPr>
              <w:t>51.50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TOPS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sidRPr="004C536A">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Pr>
                <w:rFonts w:ascii="Arial" w:hAnsi="Arial" w:cs="Arial"/>
                <w:color w:val="000000"/>
                <w:sz w:val="18"/>
                <w:szCs w:val="18"/>
              </w:rPr>
              <w:t>Estates requirements related</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Video conferencing</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8</w:t>
            </w:r>
            <w:r w:rsidR="00DD2D40" w:rsidRPr="004C536A">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D540D" w:rsidP="000C5914">
            <w:pPr>
              <w:jc w:val="center"/>
              <w:rPr>
                <w:rFonts w:ascii="Arial" w:hAnsi="Arial" w:cs="Arial"/>
                <w:color w:val="000000"/>
                <w:sz w:val="18"/>
                <w:szCs w:val="18"/>
              </w:rPr>
            </w:pPr>
            <w:r>
              <w:rPr>
                <w:rFonts w:ascii="Arial" w:hAnsi="Arial" w:cs="Arial"/>
                <w:color w:val="000000"/>
                <w:sz w:val="18"/>
                <w:szCs w:val="18"/>
              </w:rPr>
              <w:t>7.80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0.20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18"/>
                <w:szCs w:val="18"/>
              </w:rPr>
            </w:pPr>
            <w:r w:rsidRPr="004C536A">
              <w:rPr>
                <w:rFonts w:ascii="Arial" w:hAnsi="Arial" w:cs="Arial"/>
                <w:b/>
                <w:bCs/>
                <w:color w:val="FFFFFF"/>
                <w:sz w:val="18"/>
                <w:szCs w:val="18"/>
              </w:rPr>
              <w:t>550.00</w:t>
            </w:r>
          </w:p>
        </w:tc>
        <w:tc>
          <w:tcPr>
            <w:tcW w:w="1151" w:type="dxa"/>
            <w:tcBorders>
              <w:top w:val="nil"/>
              <w:left w:val="nil"/>
              <w:bottom w:val="nil"/>
              <w:right w:val="single" w:sz="8" w:space="0" w:color="FFFFFF"/>
            </w:tcBorders>
            <w:shd w:val="clear" w:color="000000" w:fill="56008C"/>
            <w:vAlign w:val="bottom"/>
          </w:tcPr>
          <w:p w:rsidR="00DD2D40" w:rsidRPr="004C536A" w:rsidRDefault="00CE7343" w:rsidP="000C5914">
            <w:pPr>
              <w:jc w:val="center"/>
              <w:rPr>
                <w:rFonts w:ascii="Arial" w:hAnsi="Arial" w:cs="Arial"/>
                <w:b/>
                <w:bCs/>
                <w:color w:val="FFFFFF"/>
                <w:sz w:val="18"/>
                <w:szCs w:val="18"/>
              </w:rPr>
            </w:pPr>
            <w:r>
              <w:rPr>
                <w:rFonts w:ascii="Arial" w:hAnsi="Arial" w:cs="Arial"/>
                <w:b/>
                <w:bCs/>
                <w:color w:val="FFFFFF"/>
                <w:sz w:val="18"/>
                <w:szCs w:val="18"/>
              </w:rPr>
              <w:t>207.70</w:t>
            </w:r>
          </w:p>
        </w:tc>
        <w:tc>
          <w:tcPr>
            <w:tcW w:w="996" w:type="dxa"/>
            <w:tcBorders>
              <w:top w:val="nil"/>
              <w:left w:val="nil"/>
              <w:bottom w:val="nil"/>
              <w:right w:val="single" w:sz="8" w:space="0" w:color="FFFFFF"/>
            </w:tcBorders>
            <w:shd w:val="clear" w:color="000000" w:fill="56008C"/>
            <w:vAlign w:val="bottom"/>
            <w:hideMark/>
          </w:tcPr>
          <w:p w:rsidR="00DD2D40" w:rsidRPr="004C536A" w:rsidRDefault="00CE7343" w:rsidP="000C5914">
            <w:pPr>
              <w:jc w:val="center"/>
              <w:rPr>
                <w:rFonts w:ascii="Arial" w:hAnsi="Arial" w:cs="Arial"/>
                <w:b/>
                <w:bCs/>
                <w:color w:val="FFFFFF"/>
                <w:sz w:val="18"/>
                <w:szCs w:val="18"/>
              </w:rPr>
            </w:pPr>
            <w:r>
              <w:rPr>
                <w:rFonts w:ascii="Arial" w:hAnsi="Arial" w:cs="Arial"/>
                <w:b/>
                <w:bCs/>
                <w:color w:val="FFFFFF"/>
                <w:sz w:val="18"/>
                <w:szCs w:val="18"/>
              </w:rPr>
              <w:t>342.30</w:t>
            </w:r>
          </w:p>
        </w:tc>
      </w:tr>
    </w:tbl>
    <w:p w:rsidR="004C536A" w:rsidRDefault="004C536A" w:rsidP="00716AC4">
      <w:pPr>
        <w:spacing w:after="200" w:line="276" w:lineRule="auto"/>
        <w:rPr>
          <w:rFonts w:ascii="Arial" w:hAnsi="Arial" w:cs="Arial"/>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716AC4" w:rsidRPr="00C20315">
        <w:rPr>
          <w:rFonts w:ascii="Arial" w:hAnsi="Arial" w:cs="Arial"/>
          <w:b/>
          <w:sz w:val="22"/>
          <w:szCs w:val="22"/>
        </w:rPr>
        <w:t>. Balance sheet and cash</w:t>
      </w:r>
    </w:p>
    <w:p w:rsidR="00B0474A" w:rsidRPr="00AD400C" w:rsidRDefault="00C20315" w:rsidP="00B40EA9">
      <w:pPr>
        <w:tabs>
          <w:tab w:val="left" w:pos="2172"/>
        </w:tabs>
        <w:contextualSpacing/>
        <w:rPr>
          <w:rFonts w:ascii="Arial" w:hAnsi="Arial" w:cs="Arial"/>
          <w:sz w:val="22"/>
          <w:szCs w:val="22"/>
        </w:rPr>
      </w:pPr>
      <w:r w:rsidRPr="00AD400C">
        <w:rPr>
          <w:rFonts w:ascii="Arial" w:hAnsi="Arial" w:cs="Arial"/>
          <w:sz w:val="22"/>
          <w:szCs w:val="22"/>
        </w:rPr>
        <w:t xml:space="preserve">A summarised balance sheet can be found in Appendix </w:t>
      </w:r>
      <w:r w:rsidR="00AC3DE8">
        <w:rPr>
          <w:rFonts w:ascii="Arial" w:hAnsi="Arial" w:cs="Arial"/>
          <w:sz w:val="22"/>
          <w:szCs w:val="22"/>
        </w:rPr>
        <w:t>B</w:t>
      </w:r>
      <w:r w:rsidRPr="00AD400C">
        <w:rPr>
          <w:rFonts w:ascii="Arial" w:hAnsi="Arial" w:cs="Arial"/>
          <w:sz w:val="22"/>
          <w:szCs w:val="22"/>
        </w:rPr>
        <w:t xml:space="preserve"> comparing the closing balances in March 2014 wit</w:t>
      </w:r>
      <w:r w:rsidR="00643128" w:rsidRPr="00AD400C">
        <w:rPr>
          <w:rFonts w:ascii="Arial" w:hAnsi="Arial" w:cs="Arial"/>
          <w:sz w:val="22"/>
          <w:szCs w:val="22"/>
        </w:rPr>
        <w:t xml:space="preserve">h the position at the end of </w:t>
      </w:r>
      <w:r w:rsidR="009B73F7">
        <w:rPr>
          <w:rFonts w:ascii="Arial" w:hAnsi="Arial" w:cs="Arial"/>
          <w:sz w:val="22"/>
          <w:szCs w:val="22"/>
        </w:rPr>
        <w:t>November</w:t>
      </w:r>
      <w:r w:rsidR="00C62D4B">
        <w:rPr>
          <w:rFonts w:ascii="Arial" w:hAnsi="Arial" w:cs="Arial"/>
          <w:sz w:val="22"/>
          <w:szCs w:val="22"/>
        </w:rPr>
        <w:t xml:space="preserve"> 2014,</w:t>
      </w:r>
      <w:r w:rsidR="009B73F7">
        <w:rPr>
          <w:rFonts w:ascii="Arial" w:hAnsi="Arial" w:cs="Arial"/>
          <w:sz w:val="22"/>
          <w:szCs w:val="22"/>
        </w:rPr>
        <w:t xml:space="preserve"> the previous month of October </w:t>
      </w:r>
      <w:r w:rsidR="00C62D4B">
        <w:rPr>
          <w:rFonts w:ascii="Arial" w:hAnsi="Arial" w:cs="Arial"/>
          <w:sz w:val="22"/>
          <w:szCs w:val="22"/>
        </w:rPr>
        <w:t xml:space="preserve"> 2014, </w:t>
      </w:r>
      <w:r w:rsidRPr="00AD400C">
        <w:rPr>
          <w:rFonts w:ascii="Arial" w:hAnsi="Arial" w:cs="Arial"/>
          <w:sz w:val="22"/>
          <w:szCs w:val="22"/>
        </w:rPr>
        <w:t xml:space="preserve">and a forecast year end position.  </w:t>
      </w:r>
    </w:p>
    <w:p w:rsidR="00C20315" w:rsidRPr="0008642A" w:rsidRDefault="00C20315" w:rsidP="00B40EA9">
      <w:pPr>
        <w:tabs>
          <w:tab w:val="left" w:pos="2172"/>
        </w:tabs>
        <w:contextualSpacing/>
        <w:rPr>
          <w:rFonts w:ascii="Arial" w:hAnsi="Arial" w:cs="Arial"/>
          <w:sz w:val="22"/>
          <w:szCs w:val="22"/>
          <w:highlight w:val="yellow"/>
        </w:rPr>
      </w:pPr>
    </w:p>
    <w:p w:rsidR="002F0DFF" w:rsidRDefault="00BA4988" w:rsidP="00EF0952">
      <w:pPr>
        <w:tabs>
          <w:tab w:val="left" w:pos="2172"/>
        </w:tabs>
        <w:contextualSpacing/>
        <w:rPr>
          <w:rFonts w:ascii="Arial" w:hAnsi="Arial" w:cs="Arial"/>
          <w:sz w:val="22"/>
          <w:szCs w:val="22"/>
        </w:rPr>
      </w:pPr>
      <w:r w:rsidRPr="00F70F38">
        <w:rPr>
          <w:rFonts w:ascii="Arial" w:hAnsi="Arial" w:cs="Arial"/>
          <w:sz w:val="22"/>
          <w:szCs w:val="22"/>
        </w:rPr>
        <w:t>The cash flow forecast</w:t>
      </w:r>
      <w:r w:rsidR="00CB4D31" w:rsidRPr="00F70F38">
        <w:rPr>
          <w:rFonts w:ascii="Arial" w:hAnsi="Arial" w:cs="Arial"/>
          <w:sz w:val="22"/>
          <w:szCs w:val="22"/>
        </w:rPr>
        <w:t xml:space="preserve"> </w:t>
      </w:r>
      <w:r w:rsidR="00F70F38">
        <w:rPr>
          <w:rFonts w:ascii="Arial" w:hAnsi="Arial" w:cs="Arial"/>
          <w:sz w:val="22"/>
          <w:szCs w:val="22"/>
        </w:rPr>
        <w:t xml:space="preserve">can be found in Appendix B. </w:t>
      </w:r>
      <w:r w:rsidR="00BA3A5A">
        <w:rPr>
          <w:rFonts w:ascii="Arial" w:hAnsi="Arial" w:cs="Arial"/>
          <w:sz w:val="22"/>
          <w:szCs w:val="22"/>
        </w:rPr>
        <w:t>The expected surplus of</w:t>
      </w:r>
      <w:r w:rsidR="00703BA7">
        <w:rPr>
          <w:rFonts w:ascii="Arial" w:hAnsi="Arial" w:cs="Arial"/>
          <w:sz w:val="22"/>
          <w:szCs w:val="22"/>
        </w:rPr>
        <w:t xml:space="preserve"> </w:t>
      </w:r>
      <w:r w:rsidR="00BA3A5A">
        <w:rPr>
          <w:rFonts w:ascii="Arial" w:hAnsi="Arial" w:cs="Arial"/>
          <w:sz w:val="22"/>
          <w:szCs w:val="22"/>
        </w:rPr>
        <w:t xml:space="preserve">cash at year end has </w:t>
      </w:r>
      <w:r w:rsidR="009B73F7">
        <w:rPr>
          <w:rFonts w:ascii="Arial" w:hAnsi="Arial" w:cs="Arial"/>
          <w:sz w:val="22"/>
          <w:szCs w:val="22"/>
        </w:rPr>
        <w:t>increased to £4.8</w:t>
      </w:r>
      <w:r w:rsidR="00CD540D">
        <w:rPr>
          <w:rFonts w:ascii="Arial" w:hAnsi="Arial" w:cs="Arial"/>
          <w:sz w:val="22"/>
          <w:szCs w:val="22"/>
        </w:rPr>
        <w:t>m</w:t>
      </w:r>
      <w:r w:rsidR="009B73F7">
        <w:rPr>
          <w:rFonts w:ascii="Arial" w:hAnsi="Arial" w:cs="Arial"/>
          <w:sz w:val="22"/>
          <w:szCs w:val="22"/>
        </w:rPr>
        <w:t xml:space="preserve"> from £4.</w:t>
      </w:r>
      <w:r w:rsidR="000C29D5">
        <w:rPr>
          <w:rFonts w:ascii="Arial" w:hAnsi="Arial" w:cs="Arial"/>
          <w:sz w:val="22"/>
          <w:szCs w:val="22"/>
        </w:rPr>
        <w:t>2</w:t>
      </w:r>
      <w:r w:rsidR="00C62D4B">
        <w:rPr>
          <w:rFonts w:ascii="Arial" w:hAnsi="Arial" w:cs="Arial"/>
          <w:sz w:val="22"/>
          <w:szCs w:val="22"/>
        </w:rPr>
        <w:t>m</w:t>
      </w:r>
      <w:r w:rsidR="00703BA7">
        <w:rPr>
          <w:rFonts w:ascii="Arial" w:hAnsi="Arial" w:cs="Arial"/>
          <w:sz w:val="22"/>
          <w:szCs w:val="22"/>
        </w:rPr>
        <w:t xml:space="preserve">.  </w:t>
      </w:r>
      <w:r w:rsidR="009B73F7">
        <w:rPr>
          <w:rFonts w:ascii="Arial" w:hAnsi="Arial" w:cs="Arial"/>
          <w:sz w:val="22"/>
          <w:szCs w:val="22"/>
        </w:rPr>
        <w:t xml:space="preserve">This is mainly due to the forecast underspend range increasing, which impacts on the cash position.  As highlighted in previous </w:t>
      </w:r>
      <w:proofErr w:type="gramStart"/>
      <w:r w:rsidR="009B73F7">
        <w:rPr>
          <w:rFonts w:ascii="Arial" w:hAnsi="Arial" w:cs="Arial"/>
          <w:sz w:val="22"/>
          <w:szCs w:val="22"/>
        </w:rPr>
        <w:t>months</w:t>
      </w:r>
      <w:proofErr w:type="gramEnd"/>
      <w:r w:rsidR="009B73F7">
        <w:rPr>
          <w:rFonts w:ascii="Arial" w:hAnsi="Arial" w:cs="Arial"/>
          <w:sz w:val="22"/>
          <w:szCs w:val="22"/>
        </w:rPr>
        <w:t xml:space="preserve"> reports</w:t>
      </w:r>
      <w:r w:rsidR="002F0DFF">
        <w:rPr>
          <w:rFonts w:ascii="Arial" w:hAnsi="Arial" w:cs="Arial"/>
          <w:sz w:val="22"/>
          <w:szCs w:val="22"/>
        </w:rPr>
        <w:t>,</w:t>
      </w:r>
      <w:r w:rsidR="0023394B">
        <w:rPr>
          <w:rFonts w:ascii="Arial" w:hAnsi="Arial" w:cs="Arial"/>
          <w:sz w:val="22"/>
          <w:szCs w:val="22"/>
        </w:rPr>
        <w:t xml:space="preserve"> i</w:t>
      </w:r>
      <w:r w:rsidR="0023394B" w:rsidRPr="0023394B">
        <w:rPr>
          <w:rFonts w:ascii="Arial" w:hAnsi="Arial" w:cs="Arial"/>
          <w:sz w:val="22"/>
          <w:szCs w:val="22"/>
        </w:rPr>
        <w:t xml:space="preserve">n order to fulfil the duty to avoid </w:t>
      </w:r>
      <w:r w:rsidR="00BB6714">
        <w:rPr>
          <w:rFonts w:ascii="Arial" w:hAnsi="Arial" w:cs="Arial"/>
          <w:sz w:val="22"/>
          <w:szCs w:val="22"/>
        </w:rPr>
        <w:t xml:space="preserve">holding excess levels of cash, </w:t>
      </w:r>
      <w:r w:rsidR="0023394B" w:rsidRPr="0023394B">
        <w:rPr>
          <w:rFonts w:ascii="Arial" w:hAnsi="Arial" w:cs="Arial"/>
          <w:sz w:val="22"/>
          <w:szCs w:val="22"/>
        </w:rPr>
        <w:t>the HRA will manage this through r</w:t>
      </w:r>
      <w:r w:rsidR="00BB6714">
        <w:rPr>
          <w:rFonts w:ascii="Arial" w:hAnsi="Arial" w:cs="Arial"/>
          <w:sz w:val="22"/>
          <w:szCs w:val="22"/>
        </w:rPr>
        <w:t xml:space="preserve">educing its draw down of cash, </w:t>
      </w:r>
      <w:r w:rsidR="0023394B" w:rsidRPr="0023394B">
        <w:rPr>
          <w:rFonts w:ascii="Arial" w:hAnsi="Arial" w:cs="Arial"/>
          <w:sz w:val="22"/>
          <w:szCs w:val="22"/>
        </w:rPr>
        <w:t>regular review will be undertaken</w:t>
      </w:r>
      <w:r w:rsidR="002F0DFF">
        <w:rPr>
          <w:rFonts w:ascii="Arial" w:hAnsi="Arial" w:cs="Arial"/>
          <w:sz w:val="22"/>
          <w:szCs w:val="22"/>
        </w:rPr>
        <w:t xml:space="preserve"> to ensure that sufficient cash is carried forward for future needs, but the broad expectation is to avoid drawing down the following:</w:t>
      </w:r>
    </w:p>
    <w:p w:rsidR="000C29D5" w:rsidRDefault="000C29D5" w:rsidP="00EF0952">
      <w:pPr>
        <w:tabs>
          <w:tab w:val="left" w:pos="2172"/>
        </w:tabs>
        <w:contextualSpacing/>
        <w:rPr>
          <w:rFonts w:ascii="Arial" w:hAnsi="Arial" w:cs="Arial"/>
          <w:sz w:val="22"/>
          <w:szCs w:val="22"/>
        </w:rPr>
      </w:pPr>
    </w:p>
    <w:p w:rsidR="002F0DFF" w:rsidRPr="002F0DFF" w:rsidRDefault="002F0DFF" w:rsidP="002F0DFF">
      <w:pPr>
        <w:tabs>
          <w:tab w:val="left" w:pos="2172"/>
        </w:tabs>
        <w:contextualSpacing/>
        <w:rPr>
          <w:rFonts w:ascii="Arial" w:hAnsi="Arial" w:cs="Arial"/>
          <w:sz w:val="22"/>
          <w:szCs w:val="22"/>
        </w:rPr>
      </w:pPr>
      <w:r w:rsidRPr="002F0DFF">
        <w:rPr>
          <w:rFonts w:ascii="Arial" w:hAnsi="Arial" w:cs="Arial"/>
          <w:sz w:val="22"/>
          <w:szCs w:val="22"/>
        </w:rPr>
        <w:t>£1.0million relating to 2012/13 under spend (already reflected in the cash flow)</w:t>
      </w:r>
    </w:p>
    <w:p w:rsidR="002F0DFF" w:rsidRPr="002F0DFF" w:rsidRDefault="002F0DFF" w:rsidP="002F0DFF">
      <w:pPr>
        <w:tabs>
          <w:tab w:val="left" w:pos="2172"/>
        </w:tabs>
        <w:contextualSpacing/>
        <w:rPr>
          <w:rFonts w:ascii="Arial" w:hAnsi="Arial" w:cs="Arial"/>
          <w:sz w:val="22"/>
          <w:szCs w:val="22"/>
        </w:rPr>
      </w:pPr>
      <w:r w:rsidRPr="002F0DFF">
        <w:rPr>
          <w:rFonts w:ascii="Arial" w:hAnsi="Arial" w:cs="Arial"/>
          <w:sz w:val="22"/>
          <w:szCs w:val="22"/>
        </w:rPr>
        <w:t>£1.0million relating to 2013/14 under spend</w:t>
      </w:r>
    </w:p>
    <w:p w:rsidR="00BA3A5A" w:rsidRPr="00D37596" w:rsidRDefault="002F0DFF" w:rsidP="002F0DFF">
      <w:pPr>
        <w:tabs>
          <w:tab w:val="left" w:pos="2172"/>
        </w:tabs>
        <w:contextualSpacing/>
        <w:rPr>
          <w:rFonts w:ascii="Arial" w:hAnsi="Arial" w:cs="Arial"/>
          <w:sz w:val="22"/>
          <w:szCs w:val="22"/>
        </w:rPr>
      </w:pPr>
      <w:r w:rsidRPr="002F0DFF">
        <w:rPr>
          <w:rFonts w:ascii="Arial" w:hAnsi="Arial" w:cs="Arial"/>
          <w:sz w:val="22"/>
          <w:szCs w:val="22"/>
        </w:rPr>
        <w:t>£1.6million relating to 2014/15 forecast under spend</w:t>
      </w:r>
    </w:p>
    <w:p w:rsidR="008B77EA" w:rsidRDefault="008B77EA" w:rsidP="00B40EA9">
      <w:pPr>
        <w:tabs>
          <w:tab w:val="left" w:pos="2172"/>
        </w:tabs>
        <w:contextualSpacing/>
        <w:rPr>
          <w:rFonts w:ascii="Arial" w:hAnsi="Arial" w:cs="Arial"/>
          <w:sz w:val="22"/>
          <w:szCs w:val="22"/>
          <w:highlight w:val="yellow"/>
        </w:rPr>
      </w:pPr>
    </w:p>
    <w:p w:rsidR="008B77EA" w:rsidRPr="00C4745A" w:rsidRDefault="008B77EA" w:rsidP="00B40EA9">
      <w:pPr>
        <w:tabs>
          <w:tab w:val="left" w:pos="2172"/>
        </w:tabs>
        <w:contextualSpacing/>
        <w:rPr>
          <w:rFonts w:ascii="Arial" w:hAnsi="Arial" w:cs="Arial"/>
          <w:sz w:val="22"/>
          <w:szCs w:val="22"/>
          <w:highlight w:val="yellow"/>
        </w:rPr>
      </w:pPr>
    </w:p>
    <w:p w:rsidR="00B40EA9" w:rsidRPr="0047213E" w:rsidRDefault="0047213E" w:rsidP="00B40EA9">
      <w:pPr>
        <w:jc w:val="both"/>
        <w:rPr>
          <w:rFonts w:ascii="Arial" w:hAnsi="Arial" w:cs="Arial"/>
          <w:b/>
          <w:sz w:val="22"/>
          <w:szCs w:val="22"/>
        </w:rPr>
      </w:pPr>
      <w:r>
        <w:rPr>
          <w:rFonts w:ascii="Arial" w:hAnsi="Arial" w:cs="Arial"/>
          <w:b/>
          <w:sz w:val="22"/>
          <w:szCs w:val="22"/>
        </w:rPr>
        <w:t>1</w:t>
      </w:r>
      <w:r w:rsidR="000C0ACC">
        <w:rPr>
          <w:rFonts w:ascii="Arial" w:hAnsi="Arial" w:cs="Arial"/>
          <w:b/>
          <w:sz w:val="22"/>
          <w:szCs w:val="22"/>
        </w:rPr>
        <w:t>1</w:t>
      </w:r>
      <w:r w:rsidR="00B40EA9" w:rsidRPr="0047213E">
        <w:rPr>
          <w:rFonts w:ascii="Arial" w:hAnsi="Arial" w:cs="Arial"/>
          <w:b/>
          <w:sz w:val="22"/>
          <w:szCs w:val="22"/>
        </w:rPr>
        <w:t>. Recommendations</w:t>
      </w:r>
    </w:p>
    <w:p w:rsidR="00B40EA9" w:rsidRPr="00C4745A" w:rsidRDefault="00B40EA9" w:rsidP="00B40EA9">
      <w:pPr>
        <w:jc w:val="both"/>
        <w:rPr>
          <w:rFonts w:ascii="Arial" w:hAnsi="Arial" w:cs="Arial"/>
          <w:b/>
          <w:sz w:val="22"/>
          <w:szCs w:val="22"/>
          <w:highlight w:val="yellow"/>
        </w:rPr>
      </w:pPr>
    </w:p>
    <w:p w:rsidR="001A2303" w:rsidRPr="0047213E" w:rsidRDefault="00B40EA9" w:rsidP="00115E84">
      <w:pPr>
        <w:overflowPunct w:val="0"/>
        <w:autoSpaceDE w:val="0"/>
        <w:autoSpaceDN w:val="0"/>
        <w:adjustRightInd w:val="0"/>
        <w:textAlignment w:val="baseline"/>
        <w:rPr>
          <w:rFonts w:ascii="Arial" w:hAnsi="Arial" w:cs="Arial"/>
          <w:sz w:val="22"/>
          <w:szCs w:val="22"/>
        </w:rPr>
      </w:pPr>
      <w:r w:rsidRPr="0047213E">
        <w:rPr>
          <w:rFonts w:ascii="Arial" w:hAnsi="Arial" w:cs="Arial"/>
          <w:sz w:val="22"/>
          <w:szCs w:val="22"/>
        </w:rPr>
        <w:t xml:space="preserve">That the </w:t>
      </w:r>
      <w:r w:rsidR="00BB772C">
        <w:rPr>
          <w:rFonts w:ascii="Arial" w:hAnsi="Arial" w:cs="Arial"/>
          <w:sz w:val="22"/>
          <w:szCs w:val="22"/>
        </w:rPr>
        <w:t>Board</w:t>
      </w:r>
      <w:r w:rsidRPr="0047213E">
        <w:rPr>
          <w:rFonts w:ascii="Arial" w:hAnsi="Arial" w:cs="Arial"/>
          <w:sz w:val="22"/>
          <w:szCs w:val="22"/>
        </w:rPr>
        <w:t xml:space="preserve"> </w:t>
      </w:r>
      <w:r w:rsidR="00F06479" w:rsidRPr="0047213E">
        <w:rPr>
          <w:rFonts w:ascii="Arial" w:hAnsi="Arial" w:cs="Arial"/>
          <w:sz w:val="22"/>
          <w:szCs w:val="22"/>
        </w:rPr>
        <w:t>approves</w:t>
      </w:r>
      <w:r w:rsidRPr="0047213E">
        <w:rPr>
          <w:rFonts w:ascii="Arial" w:hAnsi="Arial" w:cs="Arial"/>
          <w:sz w:val="22"/>
          <w:szCs w:val="22"/>
        </w:rPr>
        <w:t xml:space="preserve"> the final financial position</w:t>
      </w:r>
      <w:r w:rsidR="00115E84" w:rsidRPr="0047213E">
        <w:rPr>
          <w:rFonts w:ascii="Arial" w:hAnsi="Arial" w:cs="Arial"/>
          <w:sz w:val="22"/>
          <w:szCs w:val="22"/>
        </w:rPr>
        <w:t xml:space="preserve"> and </w:t>
      </w:r>
      <w:r w:rsidR="00B14BF6">
        <w:rPr>
          <w:rFonts w:ascii="Arial" w:hAnsi="Arial" w:cs="Arial"/>
          <w:sz w:val="22"/>
          <w:szCs w:val="22"/>
        </w:rPr>
        <w:t xml:space="preserve">to particularly </w:t>
      </w:r>
      <w:r w:rsidR="00115E84" w:rsidRPr="0047213E">
        <w:rPr>
          <w:rFonts w:ascii="Arial" w:hAnsi="Arial" w:cs="Arial"/>
          <w:sz w:val="22"/>
          <w:szCs w:val="22"/>
        </w:rPr>
        <w:t xml:space="preserve">note the </w:t>
      </w:r>
      <w:r w:rsidR="00B14BF6">
        <w:rPr>
          <w:rFonts w:ascii="Arial" w:hAnsi="Arial" w:cs="Arial"/>
          <w:sz w:val="22"/>
          <w:szCs w:val="22"/>
        </w:rPr>
        <w:t>following:</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1A2303" w:rsidRDefault="00AC3DE8"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An increasing u</w:t>
      </w:r>
      <w:r w:rsidR="00E31CA4" w:rsidRPr="0047213E">
        <w:rPr>
          <w:rFonts w:ascii="Arial" w:hAnsi="Arial" w:cs="Arial"/>
          <w:sz w:val="22"/>
          <w:szCs w:val="22"/>
        </w:rPr>
        <w:t>nder</w:t>
      </w:r>
      <w:r w:rsidR="0047213E">
        <w:rPr>
          <w:rFonts w:ascii="Arial" w:hAnsi="Arial" w:cs="Arial"/>
          <w:sz w:val="22"/>
          <w:szCs w:val="22"/>
        </w:rPr>
        <w:t xml:space="preserve"> </w:t>
      </w:r>
      <w:r w:rsidR="00E31CA4" w:rsidRPr="0047213E">
        <w:rPr>
          <w:rFonts w:ascii="Arial" w:hAnsi="Arial" w:cs="Arial"/>
          <w:sz w:val="22"/>
          <w:szCs w:val="22"/>
        </w:rPr>
        <w:t xml:space="preserve">spend </w:t>
      </w:r>
      <w:r w:rsidR="0047213E">
        <w:rPr>
          <w:rFonts w:ascii="Arial" w:hAnsi="Arial" w:cs="Arial"/>
          <w:sz w:val="22"/>
          <w:szCs w:val="22"/>
        </w:rPr>
        <w:t>year to da</w:t>
      </w:r>
      <w:r w:rsidR="00C101BA">
        <w:rPr>
          <w:rFonts w:ascii="Arial" w:hAnsi="Arial" w:cs="Arial"/>
          <w:sz w:val="22"/>
          <w:szCs w:val="22"/>
        </w:rPr>
        <w:t>te</w:t>
      </w:r>
    </w:p>
    <w:p w:rsidR="00122DA1" w:rsidRDefault="00122DA1"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Growth in forecast under spend </w:t>
      </w:r>
      <w:r w:rsidRPr="001D5F0F">
        <w:rPr>
          <w:rFonts w:ascii="Arial" w:hAnsi="Arial" w:cs="Arial"/>
          <w:sz w:val="22"/>
          <w:szCs w:val="22"/>
        </w:rPr>
        <w:t xml:space="preserve">to </w:t>
      </w:r>
      <w:r w:rsidR="0025538B">
        <w:rPr>
          <w:rFonts w:ascii="Arial" w:hAnsi="Arial" w:cs="Arial"/>
          <w:sz w:val="22"/>
          <w:szCs w:val="22"/>
        </w:rPr>
        <w:t>£</w:t>
      </w:r>
      <w:r w:rsidR="001F316E" w:rsidRPr="001F316E">
        <w:rPr>
          <w:rFonts w:ascii="Arial" w:hAnsi="Arial" w:cs="Arial"/>
          <w:sz w:val="22"/>
          <w:szCs w:val="22"/>
        </w:rPr>
        <w:t>2.</w:t>
      </w:r>
      <w:r w:rsidR="000C29D5">
        <w:rPr>
          <w:rFonts w:ascii="Arial" w:hAnsi="Arial" w:cs="Arial"/>
          <w:sz w:val="22"/>
          <w:szCs w:val="22"/>
        </w:rPr>
        <w:t>9</w:t>
      </w:r>
      <w:r w:rsidRPr="001F316E">
        <w:rPr>
          <w:rFonts w:ascii="Arial" w:hAnsi="Arial" w:cs="Arial"/>
          <w:sz w:val="22"/>
          <w:szCs w:val="22"/>
        </w:rPr>
        <w:t>m</w:t>
      </w:r>
      <w:r>
        <w:rPr>
          <w:rFonts w:ascii="Arial" w:hAnsi="Arial" w:cs="Arial"/>
          <w:sz w:val="22"/>
          <w:szCs w:val="22"/>
        </w:rPr>
        <w:t xml:space="preserve"> and the reasons</w:t>
      </w:r>
      <w:r w:rsidR="00E74373">
        <w:rPr>
          <w:rFonts w:ascii="Arial" w:hAnsi="Arial" w:cs="Arial"/>
          <w:sz w:val="22"/>
          <w:szCs w:val="22"/>
        </w:rPr>
        <w:t xml:space="preserve"> as well as possible range of under spend</w:t>
      </w:r>
    </w:p>
    <w:p w:rsidR="00592E36" w:rsidRDefault="00592E36" w:rsidP="00592E36">
      <w:pPr>
        <w:pStyle w:val="ListParagraph"/>
        <w:numPr>
          <w:ilvl w:val="0"/>
          <w:numId w:val="11"/>
        </w:numPr>
        <w:overflowPunct w:val="0"/>
        <w:autoSpaceDE w:val="0"/>
        <w:autoSpaceDN w:val="0"/>
        <w:adjustRightInd w:val="0"/>
        <w:textAlignment w:val="baseline"/>
        <w:rPr>
          <w:rFonts w:ascii="Arial" w:hAnsi="Arial" w:cs="Arial"/>
          <w:sz w:val="22"/>
          <w:szCs w:val="22"/>
        </w:rPr>
      </w:pPr>
      <w:r w:rsidRPr="00EF0952">
        <w:rPr>
          <w:rFonts w:ascii="Arial" w:hAnsi="Arial" w:cs="Arial"/>
          <w:b/>
          <w:sz w:val="22"/>
          <w:szCs w:val="22"/>
        </w:rPr>
        <w:t>Importance of remaining focussed on business as usual</w:t>
      </w:r>
      <w:r>
        <w:rPr>
          <w:rFonts w:ascii="Arial" w:hAnsi="Arial" w:cs="Arial"/>
          <w:sz w:val="22"/>
          <w:szCs w:val="22"/>
        </w:rPr>
        <w:t xml:space="preserve"> </w:t>
      </w:r>
      <w:r w:rsidRPr="00592E36">
        <w:rPr>
          <w:rFonts w:ascii="Arial" w:hAnsi="Arial" w:cs="Arial"/>
          <w:sz w:val="22"/>
          <w:szCs w:val="22"/>
        </w:rPr>
        <w:t xml:space="preserve">at the same time as undertaking </w:t>
      </w:r>
      <w:r w:rsidR="000C29D5">
        <w:rPr>
          <w:rFonts w:ascii="Arial" w:hAnsi="Arial" w:cs="Arial"/>
          <w:sz w:val="22"/>
          <w:szCs w:val="22"/>
        </w:rPr>
        <w:t xml:space="preserve">continuing and </w:t>
      </w:r>
      <w:r w:rsidRPr="00592E36">
        <w:rPr>
          <w:rFonts w:ascii="Arial" w:hAnsi="Arial" w:cs="Arial"/>
          <w:sz w:val="22"/>
          <w:szCs w:val="22"/>
        </w:rPr>
        <w:t xml:space="preserve">significant recruitment activity for a </w:t>
      </w:r>
      <w:r w:rsidR="00EF0952">
        <w:rPr>
          <w:rFonts w:ascii="Arial" w:hAnsi="Arial" w:cs="Arial"/>
          <w:sz w:val="22"/>
          <w:szCs w:val="22"/>
        </w:rPr>
        <w:t>growing but new</w:t>
      </w:r>
      <w:r w:rsidRPr="00592E36">
        <w:rPr>
          <w:rFonts w:ascii="Arial" w:hAnsi="Arial" w:cs="Arial"/>
          <w:sz w:val="22"/>
          <w:szCs w:val="22"/>
        </w:rPr>
        <w:t xml:space="preserve"> </w:t>
      </w:r>
      <w:r w:rsidRPr="00592E36">
        <w:rPr>
          <w:rFonts w:ascii="Arial" w:hAnsi="Arial" w:cs="Arial"/>
          <w:sz w:val="22"/>
          <w:szCs w:val="22"/>
        </w:rPr>
        <w:lastRenderedPageBreak/>
        <w:t xml:space="preserve">team and </w:t>
      </w:r>
      <w:proofErr w:type="gramStart"/>
      <w:r w:rsidRPr="00592E36">
        <w:rPr>
          <w:rFonts w:ascii="Arial" w:hAnsi="Arial" w:cs="Arial"/>
          <w:sz w:val="22"/>
          <w:szCs w:val="22"/>
        </w:rPr>
        <w:t>progressing</w:t>
      </w:r>
      <w:proofErr w:type="gramEnd"/>
      <w:r w:rsidRPr="00592E36">
        <w:rPr>
          <w:rFonts w:ascii="Arial" w:hAnsi="Arial" w:cs="Arial"/>
          <w:sz w:val="22"/>
          <w:szCs w:val="22"/>
        </w:rPr>
        <w:t xml:space="preserve"> a major project</w:t>
      </w:r>
      <w:r>
        <w:rPr>
          <w:rFonts w:ascii="Arial" w:hAnsi="Arial" w:cs="Arial"/>
          <w:sz w:val="22"/>
          <w:szCs w:val="22"/>
        </w:rPr>
        <w:t xml:space="preserve">. This </w:t>
      </w:r>
      <w:r w:rsidRPr="00592E36">
        <w:rPr>
          <w:rFonts w:ascii="Arial" w:hAnsi="Arial" w:cs="Arial"/>
          <w:sz w:val="22"/>
          <w:szCs w:val="22"/>
        </w:rPr>
        <w:t>will be a necessity to avoid an even larger under spend at year end</w:t>
      </w:r>
    </w:p>
    <w:p w:rsidR="00592E36" w:rsidRDefault="00592E36"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Requirement to ensure that monthly budget manager meetings are undertaken with your finance lead.</w:t>
      </w:r>
    </w:p>
    <w:p w:rsidR="001A2303" w:rsidRPr="0047213E" w:rsidRDefault="00560E95"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improvement in the </w:t>
      </w:r>
      <w:r w:rsidR="001A2303" w:rsidRPr="0047213E">
        <w:rPr>
          <w:rFonts w:ascii="Arial" w:hAnsi="Arial" w:cs="Arial"/>
          <w:sz w:val="22"/>
          <w:szCs w:val="22"/>
        </w:rPr>
        <w:t>Better Payments Practice Code pos</w:t>
      </w:r>
      <w:r w:rsidR="003F3BB4" w:rsidRPr="0047213E">
        <w:rPr>
          <w:rFonts w:ascii="Arial" w:hAnsi="Arial" w:cs="Arial"/>
          <w:sz w:val="22"/>
          <w:szCs w:val="22"/>
        </w:rPr>
        <w:t>i</w:t>
      </w:r>
      <w:r w:rsidR="001A2303" w:rsidRPr="0047213E">
        <w:rPr>
          <w:rFonts w:ascii="Arial" w:hAnsi="Arial" w:cs="Arial"/>
          <w:sz w:val="22"/>
          <w:szCs w:val="22"/>
        </w:rPr>
        <w:t>tion</w:t>
      </w:r>
      <w:r>
        <w:rPr>
          <w:rFonts w:ascii="Arial" w:hAnsi="Arial" w:cs="Arial"/>
          <w:sz w:val="22"/>
          <w:szCs w:val="22"/>
        </w:rPr>
        <w:t xml:space="preserve"> to meet the 95% target based on number of invoices and the value,</w:t>
      </w:r>
      <w:r w:rsidR="00122DA1">
        <w:rPr>
          <w:rFonts w:ascii="Arial" w:hAnsi="Arial" w:cs="Arial"/>
          <w:sz w:val="22"/>
          <w:szCs w:val="22"/>
        </w:rPr>
        <w:t xml:space="preserve"> and the requirement to review invoices in the workflow on a daily basis</w:t>
      </w:r>
      <w:r w:rsidR="008B77EA">
        <w:rPr>
          <w:rFonts w:ascii="Arial" w:hAnsi="Arial" w:cs="Arial"/>
          <w:sz w:val="22"/>
          <w:szCs w:val="22"/>
        </w:rPr>
        <w:t>, put an invoices on hold if under dispute</w:t>
      </w:r>
      <w:r w:rsidR="00122DA1">
        <w:rPr>
          <w:rFonts w:ascii="Arial" w:hAnsi="Arial" w:cs="Arial"/>
          <w:sz w:val="22"/>
          <w:szCs w:val="22"/>
        </w:rPr>
        <w:t xml:space="preserve"> or set up a substitute.</w:t>
      </w:r>
    </w:p>
    <w:p w:rsidR="00592E36" w:rsidRPr="00EF0952" w:rsidRDefault="00122DA1"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EF0952">
        <w:rPr>
          <w:rFonts w:ascii="Arial" w:hAnsi="Arial" w:cs="Arial"/>
          <w:sz w:val="22"/>
          <w:szCs w:val="22"/>
        </w:rPr>
        <w:t xml:space="preserve">Intention </w:t>
      </w:r>
      <w:r w:rsidR="00CE1147" w:rsidRPr="00EF0952">
        <w:rPr>
          <w:rFonts w:ascii="Arial" w:hAnsi="Arial" w:cs="Arial"/>
          <w:sz w:val="22"/>
          <w:szCs w:val="22"/>
        </w:rPr>
        <w:t xml:space="preserve">to </w:t>
      </w:r>
      <w:r w:rsidRPr="00EF0952">
        <w:rPr>
          <w:rFonts w:ascii="Arial" w:hAnsi="Arial" w:cs="Arial"/>
          <w:sz w:val="22"/>
          <w:szCs w:val="22"/>
        </w:rPr>
        <w:t xml:space="preserve">avoid drawing down a further £2.6million of cash in addition to the agreed </w:t>
      </w:r>
      <w:r w:rsidR="0047213E" w:rsidRPr="00EF0952">
        <w:rPr>
          <w:rFonts w:ascii="Arial" w:hAnsi="Arial" w:cs="Arial"/>
          <w:sz w:val="22"/>
          <w:szCs w:val="22"/>
        </w:rPr>
        <w:t xml:space="preserve">£1million </w:t>
      </w:r>
      <w:r w:rsidRPr="00EF0952">
        <w:rPr>
          <w:rFonts w:ascii="Arial" w:hAnsi="Arial" w:cs="Arial"/>
          <w:sz w:val="22"/>
          <w:szCs w:val="22"/>
        </w:rPr>
        <w:t>which</w:t>
      </w:r>
      <w:r w:rsidR="0047213E" w:rsidRPr="00EF0952">
        <w:rPr>
          <w:rFonts w:ascii="Arial" w:hAnsi="Arial" w:cs="Arial"/>
          <w:sz w:val="22"/>
          <w:szCs w:val="22"/>
        </w:rPr>
        <w:t xml:space="preserve"> related to inherent 12/13 under </w:t>
      </w:r>
      <w:proofErr w:type="gramStart"/>
      <w:r w:rsidR="0047213E" w:rsidRPr="00EF0952">
        <w:rPr>
          <w:rFonts w:ascii="Arial" w:hAnsi="Arial" w:cs="Arial"/>
          <w:sz w:val="22"/>
          <w:szCs w:val="22"/>
        </w:rPr>
        <w:t>spend</w:t>
      </w:r>
      <w:proofErr w:type="gramEnd"/>
      <w:r w:rsidR="00EF0952" w:rsidRPr="00EF0952">
        <w:rPr>
          <w:rFonts w:ascii="Arial" w:hAnsi="Arial" w:cs="Arial"/>
          <w:sz w:val="22"/>
          <w:szCs w:val="22"/>
        </w:rPr>
        <w:t>.</w:t>
      </w:r>
      <w:r w:rsidR="0047213E" w:rsidRPr="00EF0952">
        <w:rPr>
          <w:rFonts w:ascii="Arial" w:hAnsi="Arial" w:cs="Arial"/>
          <w:sz w:val="22"/>
          <w:szCs w:val="22"/>
        </w:rPr>
        <w:t xml:space="preserve"> </w:t>
      </w:r>
    </w:p>
    <w:p w:rsidR="00EF0952" w:rsidRPr="00EF0952" w:rsidRDefault="00EF0952" w:rsidP="00EF0952">
      <w:pPr>
        <w:pStyle w:val="ListParagraph"/>
        <w:overflowPunct w:val="0"/>
        <w:autoSpaceDE w:val="0"/>
        <w:autoSpaceDN w:val="0"/>
        <w:adjustRightInd w:val="0"/>
        <w:spacing w:line="276" w:lineRule="auto"/>
        <w:ind w:left="780"/>
        <w:textAlignment w:val="baseline"/>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E74373" w:rsidP="00480953">
      <w:pPr>
        <w:spacing w:line="276" w:lineRule="auto"/>
        <w:rPr>
          <w:rFonts w:ascii="Arial" w:hAnsi="Arial" w:cs="Arial"/>
          <w:b/>
          <w:sz w:val="22"/>
          <w:szCs w:val="22"/>
        </w:rPr>
        <w:sectPr w:rsidR="00A86A0C" w:rsidRPr="00480953" w:rsidSect="00AF00BB">
          <w:headerReference w:type="default" r:id="rId13"/>
          <w:footerReference w:type="default" r:id="rId14"/>
          <w:pgSz w:w="11906" w:h="16838"/>
          <w:pgMar w:top="992" w:right="1276" w:bottom="709" w:left="1559" w:header="567" w:footer="709" w:gutter="0"/>
          <w:cols w:space="708"/>
          <w:docGrid w:linePitch="360"/>
        </w:sectPr>
      </w:pPr>
      <w:r>
        <w:rPr>
          <w:rFonts w:ascii="Arial" w:hAnsi="Arial" w:cs="Arial"/>
          <w:b/>
          <w:sz w:val="22"/>
          <w:szCs w:val="22"/>
        </w:rPr>
        <w:t>1</w:t>
      </w:r>
      <w:r w:rsidR="000C29D5">
        <w:rPr>
          <w:rFonts w:ascii="Arial" w:hAnsi="Arial" w:cs="Arial"/>
          <w:b/>
          <w:sz w:val="22"/>
          <w:szCs w:val="22"/>
        </w:rPr>
        <w:t>1</w:t>
      </w:r>
      <w:r w:rsidR="00167A33">
        <w:rPr>
          <w:rFonts w:ascii="Arial" w:hAnsi="Arial" w:cs="Arial"/>
          <w:b/>
          <w:sz w:val="22"/>
          <w:szCs w:val="22"/>
        </w:rPr>
        <w:t xml:space="preserve"> December</w:t>
      </w:r>
      <w:r w:rsidR="00A86E7C">
        <w:rPr>
          <w:rFonts w:ascii="Arial" w:hAnsi="Arial" w:cs="Arial"/>
          <w:b/>
          <w:sz w:val="22"/>
          <w:szCs w:val="22"/>
        </w:rPr>
        <w:t xml:space="preserve"> 2014</w:t>
      </w:r>
    </w:p>
    <w:p w:rsidR="00597AF4" w:rsidRPr="00F64C33" w:rsidRDefault="00597AF4" w:rsidP="00597AF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2F0239">
        <w:rPr>
          <w:rFonts w:ascii="Arial" w:eastAsia="Calibri" w:hAnsi="Arial"/>
          <w:b/>
          <w:bCs/>
          <w:color w:val="56008C"/>
          <w:szCs w:val="26"/>
          <w:lang w:eastAsia="en-US"/>
        </w:rPr>
        <w:t>3</w:t>
      </w:r>
      <w:r w:rsidR="00167A33">
        <w:rPr>
          <w:rFonts w:ascii="Arial" w:eastAsia="Calibri" w:hAnsi="Arial"/>
          <w:b/>
          <w:bCs/>
          <w:color w:val="56008C"/>
          <w:szCs w:val="26"/>
          <w:lang w:eastAsia="en-US"/>
        </w:rPr>
        <w:t>0 November</w:t>
      </w:r>
      <w:r w:rsidR="00B01C8A">
        <w:rPr>
          <w:rFonts w:ascii="Arial" w:eastAsia="Calibri" w:hAnsi="Arial"/>
          <w:b/>
          <w:bCs/>
          <w:color w:val="56008C"/>
          <w:szCs w:val="26"/>
          <w:lang w:eastAsia="en-US"/>
        </w:rPr>
        <w:t xml:space="preserve"> </w:t>
      </w:r>
      <w:r w:rsidR="00585FFC">
        <w:rPr>
          <w:rFonts w:ascii="Arial" w:eastAsia="Calibri" w:hAnsi="Arial"/>
          <w:b/>
          <w:bCs/>
          <w:color w:val="56008C"/>
          <w:szCs w:val="26"/>
          <w:lang w:eastAsia="en-US"/>
        </w:rPr>
        <w:t xml:space="preserve">2014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F64C33">
        <w:tc>
          <w:tcPr>
            <w:tcW w:w="2088" w:type="dxa"/>
            <w:shd w:val="clear" w:color="auto" w:fill="56008C"/>
            <w:vAlign w:val="center"/>
          </w:tcPr>
          <w:p w:rsidR="00C11CD4" w:rsidRPr="00F64C33" w:rsidRDefault="00C11CD4" w:rsidP="004C7812">
            <w:pPr>
              <w:spacing w:after="200" w:line="276" w:lineRule="auto"/>
              <w:jc w:val="center"/>
              <w:rPr>
                <w:rFonts w:ascii="Arial" w:hAnsi="Arial" w:cs="Arial"/>
                <w:b/>
                <w:color w:val="E28C05"/>
              </w:rPr>
            </w:pPr>
            <w:r w:rsidRPr="00F64C33">
              <w:rPr>
                <w:rFonts w:ascii="Arial" w:hAnsi="Arial" w:cs="Arial"/>
                <w:b/>
                <w:color w:val="E28C05"/>
              </w:rPr>
              <w:t>FINANCIAL RESULTS</w:t>
            </w:r>
          </w:p>
          <w:p w:rsidR="00C11CD4" w:rsidRPr="00FC6EBF" w:rsidRDefault="00C11CD4" w:rsidP="004C7812">
            <w:pPr>
              <w:spacing w:after="200" w:line="276" w:lineRule="auto"/>
              <w:jc w:val="center"/>
              <w:rPr>
                <w:rFonts w:ascii="Arial" w:hAnsi="Arial" w:cs="Arial"/>
                <w:b/>
              </w:rPr>
            </w:pPr>
            <w:r w:rsidRPr="002132BF">
              <w:rPr>
                <w:rFonts w:ascii="Arial" w:hAnsi="Arial" w:cs="Arial"/>
                <w:b/>
                <w:color w:val="E28C05"/>
              </w:rPr>
              <w:t>HEADLINES</w:t>
            </w:r>
          </w:p>
        </w:tc>
        <w:tc>
          <w:tcPr>
            <w:tcW w:w="13540" w:type="dxa"/>
          </w:tcPr>
          <w:p w:rsidR="00C11CD4" w:rsidRPr="00B04A89" w:rsidRDefault="00C11CD4" w:rsidP="004C7812">
            <w:pPr>
              <w:numPr>
                <w:ilvl w:val="0"/>
                <w:numId w:val="2"/>
              </w:numPr>
              <w:contextualSpacing/>
              <w:rPr>
                <w:rFonts w:ascii="Arial" w:hAnsi="Arial" w:cs="Arial"/>
                <w:sz w:val="22"/>
                <w:szCs w:val="22"/>
              </w:rPr>
            </w:pPr>
            <w:r w:rsidRPr="00B04A89">
              <w:rPr>
                <w:rFonts w:ascii="Arial" w:hAnsi="Arial" w:cs="Arial"/>
                <w:sz w:val="22"/>
                <w:szCs w:val="22"/>
              </w:rPr>
              <w:t xml:space="preserve">HRA is reporting </w:t>
            </w:r>
            <w:proofErr w:type="gramStart"/>
            <w:r w:rsidRPr="00B04A89">
              <w:rPr>
                <w:rFonts w:ascii="Arial" w:hAnsi="Arial" w:cs="Arial"/>
                <w:sz w:val="22"/>
                <w:szCs w:val="22"/>
              </w:rPr>
              <w:t xml:space="preserve">an </w:t>
            </w:r>
            <w:r w:rsidR="00D0058C" w:rsidRPr="00B04A89">
              <w:rPr>
                <w:rFonts w:ascii="Arial" w:hAnsi="Arial" w:cs="Arial"/>
                <w:sz w:val="22"/>
                <w:szCs w:val="22"/>
              </w:rPr>
              <w:t>underspend</w:t>
            </w:r>
            <w:proofErr w:type="gramEnd"/>
            <w:r w:rsidRPr="00B04A89">
              <w:rPr>
                <w:rFonts w:ascii="Arial" w:hAnsi="Arial" w:cs="Arial"/>
                <w:sz w:val="22"/>
                <w:szCs w:val="22"/>
              </w:rPr>
              <w:t xml:space="preserve"> </w:t>
            </w:r>
            <w:r w:rsidR="00B04A89" w:rsidRPr="00B04A89">
              <w:rPr>
                <w:rFonts w:ascii="Arial" w:hAnsi="Arial" w:cs="Arial"/>
                <w:sz w:val="22"/>
                <w:szCs w:val="22"/>
              </w:rPr>
              <w:t>of £243</w:t>
            </w:r>
            <w:r w:rsidR="00987F84" w:rsidRPr="00B04A89">
              <w:rPr>
                <w:rFonts w:ascii="Arial" w:hAnsi="Arial" w:cs="Arial"/>
                <w:sz w:val="22"/>
                <w:szCs w:val="22"/>
              </w:rPr>
              <w:t xml:space="preserve">k at the end of </w:t>
            </w:r>
            <w:r w:rsidR="00B04A89" w:rsidRPr="00B04A89">
              <w:rPr>
                <w:rFonts w:ascii="Arial" w:hAnsi="Arial" w:cs="Arial"/>
                <w:sz w:val="22"/>
                <w:szCs w:val="22"/>
              </w:rPr>
              <w:t>November</w:t>
            </w:r>
            <w:r w:rsidR="00757DC4" w:rsidRPr="00B04A89">
              <w:rPr>
                <w:rFonts w:ascii="Arial" w:hAnsi="Arial" w:cs="Arial"/>
                <w:sz w:val="22"/>
                <w:szCs w:val="22"/>
              </w:rPr>
              <w:t>.</w:t>
            </w:r>
          </w:p>
          <w:p w:rsidR="00C11CD4" w:rsidRPr="00B04A89" w:rsidRDefault="00B04A89" w:rsidP="004C7812">
            <w:pPr>
              <w:numPr>
                <w:ilvl w:val="0"/>
                <w:numId w:val="2"/>
              </w:numPr>
              <w:contextualSpacing/>
              <w:rPr>
                <w:rFonts w:ascii="Arial" w:hAnsi="Arial" w:cs="Arial"/>
                <w:sz w:val="22"/>
                <w:szCs w:val="22"/>
              </w:rPr>
            </w:pPr>
            <w:r w:rsidRPr="00B04A89">
              <w:rPr>
                <w:rFonts w:ascii="Arial" w:hAnsi="Arial" w:cs="Arial"/>
                <w:sz w:val="22"/>
                <w:szCs w:val="22"/>
              </w:rPr>
              <w:t>41</w:t>
            </w:r>
            <w:r w:rsidR="00C11CD4" w:rsidRPr="00B04A89">
              <w:rPr>
                <w:rFonts w:ascii="Arial" w:hAnsi="Arial" w:cs="Arial"/>
                <w:sz w:val="22"/>
                <w:szCs w:val="22"/>
              </w:rPr>
              <w:t>% (£</w:t>
            </w:r>
            <w:r w:rsidRPr="00B04A89">
              <w:rPr>
                <w:rFonts w:ascii="Arial" w:hAnsi="Arial" w:cs="Arial"/>
                <w:sz w:val="22"/>
                <w:szCs w:val="22"/>
              </w:rPr>
              <w:t>6.15</w:t>
            </w:r>
            <w:r w:rsidR="006120D4" w:rsidRPr="00B04A89">
              <w:rPr>
                <w:rFonts w:ascii="Arial" w:hAnsi="Arial" w:cs="Arial"/>
                <w:sz w:val="22"/>
                <w:szCs w:val="22"/>
              </w:rPr>
              <w:t>m</w:t>
            </w:r>
            <w:r w:rsidR="00C11CD4" w:rsidRPr="00B04A89">
              <w:rPr>
                <w:rFonts w:ascii="Arial" w:hAnsi="Arial" w:cs="Arial"/>
                <w:sz w:val="22"/>
                <w:szCs w:val="22"/>
              </w:rPr>
              <w:t>illion) of the annual budget has been spent.</w:t>
            </w:r>
            <w:r w:rsidRPr="00B04A89">
              <w:rPr>
                <w:rFonts w:ascii="Arial" w:hAnsi="Arial" w:cs="Arial"/>
                <w:sz w:val="22"/>
                <w:szCs w:val="22"/>
              </w:rPr>
              <w:t xml:space="preserve">  (51</w:t>
            </w:r>
            <w:r w:rsidR="003C483B" w:rsidRPr="00B04A89">
              <w:rPr>
                <w:rFonts w:ascii="Arial" w:hAnsi="Arial" w:cs="Arial"/>
                <w:sz w:val="22"/>
                <w:szCs w:val="22"/>
              </w:rPr>
              <w:t>% of the forecast spend).</w:t>
            </w:r>
          </w:p>
          <w:p w:rsidR="00274232" w:rsidRPr="00B04A89" w:rsidRDefault="00C11CD4" w:rsidP="00274232">
            <w:pPr>
              <w:numPr>
                <w:ilvl w:val="0"/>
                <w:numId w:val="2"/>
              </w:numPr>
              <w:tabs>
                <w:tab w:val="left" w:pos="2172"/>
              </w:tabs>
              <w:contextualSpacing/>
              <w:rPr>
                <w:rFonts w:ascii="Arial" w:hAnsi="Arial" w:cs="Arial"/>
                <w:sz w:val="22"/>
                <w:szCs w:val="22"/>
              </w:rPr>
            </w:pPr>
            <w:r w:rsidRPr="00B04A89">
              <w:rPr>
                <w:rFonts w:ascii="Arial" w:hAnsi="Arial" w:cs="Arial"/>
                <w:sz w:val="22"/>
                <w:szCs w:val="22"/>
              </w:rPr>
              <w:t xml:space="preserve">The largest variance at month </w:t>
            </w:r>
            <w:r w:rsidR="00B04A89" w:rsidRPr="00B04A89">
              <w:rPr>
                <w:rFonts w:ascii="Arial" w:hAnsi="Arial" w:cs="Arial"/>
                <w:sz w:val="22"/>
                <w:szCs w:val="22"/>
              </w:rPr>
              <w:t>8</w:t>
            </w:r>
            <w:r w:rsidR="00757DC4" w:rsidRPr="00B04A89">
              <w:rPr>
                <w:rFonts w:ascii="Arial" w:hAnsi="Arial" w:cs="Arial"/>
                <w:sz w:val="22"/>
                <w:szCs w:val="22"/>
              </w:rPr>
              <w:t xml:space="preserve"> </w:t>
            </w:r>
            <w:r w:rsidRPr="00B04A89">
              <w:rPr>
                <w:rFonts w:ascii="Arial" w:hAnsi="Arial" w:cs="Arial"/>
                <w:sz w:val="22"/>
                <w:szCs w:val="22"/>
              </w:rPr>
              <w:t>(</w:t>
            </w:r>
            <w:r w:rsidR="00B04A89" w:rsidRPr="00B04A89">
              <w:rPr>
                <w:rFonts w:ascii="Arial" w:hAnsi="Arial" w:cs="Arial"/>
                <w:sz w:val="22"/>
                <w:szCs w:val="22"/>
              </w:rPr>
              <w:t>November</w:t>
            </w:r>
            <w:r w:rsidR="00A87591" w:rsidRPr="00B04A89">
              <w:rPr>
                <w:rFonts w:ascii="Arial" w:hAnsi="Arial" w:cs="Arial"/>
                <w:sz w:val="22"/>
                <w:szCs w:val="22"/>
              </w:rPr>
              <w:t>) is a £</w:t>
            </w:r>
            <w:r w:rsidR="00B04A89" w:rsidRPr="00B04A89">
              <w:rPr>
                <w:rFonts w:ascii="Arial" w:hAnsi="Arial" w:cs="Arial"/>
                <w:sz w:val="22"/>
                <w:szCs w:val="22"/>
              </w:rPr>
              <w:t>205</w:t>
            </w:r>
            <w:r w:rsidR="00A87591" w:rsidRPr="00B04A89">
              <w:rPr>
                <w:rFonts w:ascii="Arial" w:hAnsi="Arial" w:cs="Arial"/>
                <w:sz w:val="22"/>
                <w:szCs w:val="22"/>
              </w:rPr>
              <w:t xml:space="preserve">k </w:t>
            </w:r>
            <w:r w:rsidR="00D0058C" w:rsidRPr="00B04A89">
              <w:rPr>
                <w:rFonts w:ascii="Arial" w:hAnsi="Arial" w:cs="Arial"/>
                <w:sz w:val="22"/>
                <w:szCs w:val="22"/>
              </w:rPr>
              <w:t>underspend</w:t>
            </w:r>
            <w:r w:rsidR="009440A7" w:rsidRPr="00B04A89">
              <w:rPr>
                <w:rFonts w:ascii="Arial" w:hAnsi="Arial" w:cs="Arial"/>
                <w:sz w:val="22"/>
                <w:szCs w:val="22"/>
              </w:rPr>
              <w:t xml:space="preserve"> within the Operations</w:t>
            </w:r>
            <w:r w:rsidR="002220C8" w:rsidRPr="00B04A89">
              <w:rPr>
                <w:rFonts w:ascii="Arial" w:hAnsi="Arial" w:cs="Arial"/>
                <w:sz w:val="22"/>
                <w:szCs w:val="22"/>
              </w:rPr>
              <w:t xml:space="preserve"> and Approval directorate</w:t>
            </w:r>
            <w:r w:rsidR="00A87591" w:rsidRPr="00B04A89">
              <w:rPr>
                <w:rFonts w:ascii="Arial" w:hAnsi="Arial" w:cs="Arial"/>
                <w:sz w:val="22"/>
                <w:szCs w:val="22"/>
              </w:rPr>
              <w:t xml:space="preserve"> cost centres. This </w:t>
            </w:r>
            <w:r w:rsidR="00274232" w:rsidRPr="00B04A89">
              <w:rPr>
                <w:rFonts w:ascii="Arial" w:hAnsi="Arial" w:cs="Arial"/>
                <w:sz w:val="22"/>
                <w:szCs w:val="22"/>
              </w:rPr>
              <w:t>r</w:t>
            </w:r>
            <w:r w:rsidR="004A26E0" w:rsidRPr="00B04A89">
              <w:rPr>
                <w:rFonts w:ascii="Arial" w:hAnsi="Arial" w:cs="Arial"/>
                <w:sz w:val="22"/>
                <w:szCs w:val="22"/>
              </w:rPr>
              <w:t xml:space="preserve">elates </w:t>
            </w:r>
            <w:proofErr w:type="gramStart"/>
            <w:r w:rsidR="004A26E0" w:rsidRPr="00B04A89">
              <w:rPr>
                <w:rFonts w:ascii="Arial" w:hAnsi="Arial" w:cs="Arial"/>
                <w:sz w:val="22"/>
                <w:szCs w:val="22"/>
              </w:rPr>
              <w:t xml:space="preserve">to </w:t>
            </w:r>
            <w:r w:rsidR="00EF6841" w:rsidRPr="00B04A89">
              <w:rPr>
                <w:rFonts w:ascii="Arial" w:hAnsi="Arial" w:cs="Arial"/>
                <w:sz w:val="22"/>
                <w:szCs w:val="22"/>
              </w:rPr>
              <w:t xml:space="preserve"> </w:t>
            </w:r>
            <w:r w:rsidR="00D0058C" w:rsidRPr="00B04A89">
              <w:rPr>
                <w:rFonts w:ascii="Arial" w:hAnsi="Arial" w:cs="Arial"/>
                <w:sz w:val="22"/>
                <w:szCs w:val="22"/>
              </w:rPr>
              <w:t>under</w:t>
            </w:r>
            <w:proofErr w:type="gramEnd"/>
            <w:r w:rsidR="0047213E" w:rsidRPr="00B04A89">
              <w:rPr>
                <w:rFonts w:ascii="Arial" w:hAnsi="Arial" w:cs="Arial"/>
                <w:sz w:val="22"/>
                <w:szCs w:val="22"/>
              </w:rPr>
              <w:t xml:space="preserve"> </w:t>
            </w:r>
            <w:r w:rsidR="00D0058C" w:rsidRPr="00B04A89">
              <w:rPr>
                <w:rFonts w:ascii="Arial" w:hAnsi="Arial" w:cs="Arial"/>
                <w:sz w:val="22"/>
                <w:szCs w:val="22"/>
              </w:rPr>
              <w:t>spend</w:t>
            </w:r>
            <w:r w:rsidR="004A26E0" w:rsidRPr="00B04A89">
              <w:rPr>
                <w:rFonts w:ascii="Arial" w:hAnsi="Arial" w:cs="Arial"/>
                <w:sz w:val="22"/>
                <w:szCs w:val="22"/>
              </w:rPr>
              <w:t>s</w:t>
            </w:r>
            <w:r w:rsidR="00B04A89">
              <w:rPr>
                <w:rFonts w:ascii="Arial" w:hAnsi="Arial" w:cs="Arial"/>
                <w:sz w:val="22"/>
                <w:szCs w:val="22"/>
              </w:rPr>
              <w:t xml:space="preserve"> within HRA Office London of £17</w:t>
            </w:r>
            <w:r w:rsidR="00A87591" w:rsidRPr="00B04A89">
              <w:rPr>
                <w:rFonts w:ascii="Arial" w:hAnsi="Arial" w:cs="Arial"/>
                <w:sz w:val="22"/>
                <w:szCs w:val="22"/>
              </w:rPr>
              <w:t>k</w:t>
            </w:r>
            <w:r w:rsidR="00B04A89">
              <w:rPr>
                <w:rFonts w:ascii="Arial" w:hAnsi="Arial" w:cs="Arial"/>
                <w:sz w:val="22"/>
                <w:szCs w:val="22"/>
              </w:rPr>
              <w:t>, HRA Office Manchester of £10</w:t>
            </w:r>
            <w:r w:rsidR="00987F84" w:rsidRPr="00B04A89">
              <w:rPr>
                <w:rFonts w:ascii="Arial" w:hAnsi="Arial" w:cs="Arial"/>
                <w:sz w:val="22"/>
                <w:szCs w:val="22"/>
              </w:rPr>
              <w:t>1</w:t>
            </w:r>
            <w:r w:rsidR="004A26E0" w:rsidRPr="00B04A89">
              <w:rPr>
                <w:rFonts w:ascii="Arial" w:hAnsi="Arial" w:cs="Arial"/>
                <w:sz w:val="22"/>
                <w:szCs w:val="22"/>
              </w:rPr>
              <w:t>k</w:t>
            </w:r>
            <w:r w:rsidR="00B04A89">
              <w:rPr>
                <w:rFonts w:ascii="Arial" w:hAnsi="Arial" w:cs="Arial"/>
                <w:sz w:val="22"/>
                <w:szCs w:val="22"/>
              </w:rPr>
              <w:t>, HRA Office Bristol £40</w:t>
            </w:r>
            <w:r w:rsidR="00987F84" w:rsidRPr="00B04A89">
              <w:rPr>
                <w:rFonts w:ascii="Arial" w:hAnsi="Arial" w:cs="Arial"/>
                <w:sz w:val="22"/>
                <w:szCs w:val="22"/>
              </w:rPr>
              <w:t>k</w:t>
            </w:r>
            <w:r w:rsidR="004A26E0" w:rsidRPr="00B04A89">
              <w:rPr>
                <w:rFonts w:ascii="Arial" w:hAnsi="Arial" w:cs="Arial"/>
                <w:sz w:val="22"/>
                <w:szCs w:val="22"/>
              </w:rPr>
              <w:t xml:space="preserve"> </w:t>
            </w:r>
            <w:r w:rsidR="0039154E" w:rsidRPr="00B04A89">
              <w:rPr>
                <w:rFonts w:ascii="Arial" w:hAnsi="Arial" w:cs="Arial"/>
                <w:sz w:val="22"/>
                <w:szCs w:val="22"/>
              </w:rPr>
              <w:t>and an under</w:t>
            </w:r>
            <w:r w:rsidR="0047213E" w:rsidRPr="00B04A89">
              <w:rPr>
                <w:rFonts w:ascii="Arial" w:hAnsi="Arial" w:cs="Arial"/>
                <w:sz w:val="22"/>
                <w:szCs w:val="22"/>
              </w:rPr>
              <w:t xml:space="preserve"> </w:t>
            </w:r>
            <w:r w:rsidR="0039154E" w:rsidRPr="00B04A89">
              <w:rPr>
                <w:rFonts w:ascii="Arial" w:hAnsi="Arial" w:cs="Arial"/>
                <w:sz w:val="22"/>
                <w:szCs w:val="22"/>
              </w:rPr>
              <w:t>spend of £</w:t>
            </w:r>
            <w:r w:rsidR="00B04A89">
              <w:rPr>
                <w:rFonts w:ascii="Arial" w:hAnsi="Arial" w:cs="Arial"/>
                <w:sz w:val="22"/>
                <w:szCs w:val="22"/>
              </w:rPr>
              <w:t>46</w:t>
            </w:r>
            <w:r w:rsidR="00F44362" w:rsidRPr="00B04A89">
              <w:rPr>
                <w:rFonts w:ascii="Arial" w:hAnsi="Arial" w:cs="Arial"/>
                <w:sz w:val="22"/>
                <w:szCs w:val="22"/>
              </w:rPr>
              <w:t>k in Regional Manager North and South.</w:t>
            </w:r>
            <w:r w:rsidR="0039154E" w:rsidRPr="00B04A89">
              <w:rPr>
                <w:rFonts w:ascii="Arial" w:hAnsi="Arial" w:cs="Arial"/>
                <w:sz w:val="22"/>
                <w:szCs w:val="22"/>
              </w:rPr>
              <w:t xml:space="preserve"> </w:t>
            </w:r>
          </w:p>
          <w:p w:rsidR="0039154E" w:rsidRPr="00B04A89" w:rsidRDefault="0039154E" w:rsidP="00A87591">
            <w:pPr>
              <w:numPr>
                <w:ilvl w:val="0"/>
                <w:numId w:val="2"/>
              </w:numPr>
              <w:tabs>
                <w:tab w:val="left" w:pos="2172"/>
              </w:tabs>
              <w:contextualSpacing/>
              <w:rPr>
                <w:rFonts w:ascii="Arial" w:hAnsi="Arial" w:cs="Arial"/>
                <w:sz w:val="22"/>
                <w:szCs w:val="22"/>
              </w:rPr>
            </w:pPr>
            <w:r w:rsidRPr="00B04A89">
              <w:rPr>
                <w:rFonts w:ascii="Arial" w:hAnsi="Arial" w:cs="Arial"/>
                <w:sz w:val="22"/>
                <w:szCs w:val="22"/>
              </w:rPr>
              <w:t xml:space="preserve">The </w:t>
            </w:r>
            <w:r w:rsidR="0047213E" w:rsidRPr="00B04A89">
              <w:rPr>
                <w:rFonts w:ascii="Arial" w:hAnsi="Arial" w:cs="Arial"/>
                <w:sz w:val="22"/>
                <w:szCs w:val="22"/>
              </w:rPr>
              <w:t>u</w:t>
            </w:r>
            <w:r w:rsidRPr="00B04A89">
              <w:rPr>
                <w:rFonts w:ascii="Arial" w:hAnsi="Arial" w:cs="Arial"/>
                <w:sz w:val="22"/>
                <w:szCs w:val="22"/>
              </w:rPr>
              <w:t>nder</w:t>
            </w:r>
            <w:r w:rsidR="0047213E" w:rsidRPr="00B04A89">
              <w:rPr>
                <w:rFonts w:ascii="Arial" w:hAnsi="Arial" w:cs="Arial"/>
                <w:sz w:val="22"/>
                <w:szCs w:val="22"/>
              </w:rPr>
              <w:t xml:space="preserve"> </w:t>
            </w:r>
            <w:r w:rsidRPr="00B04A89">
              <w:rPr>
                <w:rFonts w:ascii="Arial" w:hAnsi="Arial" w:cs="Arial"/>
                <w:sz w:val="22"/>
                <w:szCs w:val="22"/>
              </w:rPr>
              <w:t xml:space="preserve">spend within </w:t>
            </w:r>
            <w:r w:rsidR="00B04A89" w:rsidRPr="00B04A89">
              <w:rPr>
                <w:rFonts w:ascii="Arial" w:hAnsi="Arial" w:cs="Arial"/>
                <w:sz w:val="22"/>
                <w:szCs w:val="22"/>
              </w:rPr>
              <w:t>HRA Office London relates to £23</w:t>
            </w:r>
            <w:r w:rsidRPr="00B04A89">
              <w:rPr>
                <w:rFonts w:ascii="Arial" w:hAnsi="Arial" w:cs="Arial"/>
                <w:sz w:val="22"/>
                <w:szCs w:val="22"/>
              </w:rPr>
              <w:t>k staff costs</w:t>
            </w:r>
            <w:r w:rsidR="00F75344" w:rsidRPr="00B04A89">
              <w:rPr>
                <w:rFonts w:ascii="Arial" w:hAnsi="Arial" w:cs="Arial"/>
                <w:sz w:val="22"/>
                <w:szCs w:val="22"/>
              </w:rPr>
              <w:t>.</w:t>
            </w:r>
            <w:r w:rsidR="00F44362" w:rsidRPr="00B04A89">
              <w:rPr>
                <w:rFonts w:ascii="Arial" w:hAnsi="Arial" w:cs="Arial"/>
                <w:sz w:val="22"/>
                <w:szCs w:val="22"/>
              </w:rPr>
              <w:t xml:space="preserve">  </w:t>
            </w:r>
            <w:proofErr w:type="gramStart"/>
            <w:r w:rsidR="00F44362" w:rsidRPr="00B04A89">
              <w:rPr>
                <w:rFonts w:ascii="Arial" w:hAnsi="Arial" w:cs="Arial"/>
                <w:sz w:val="22"/>
                <w:szCs w:val="22"/>
              </w:rPr>
              <w:t>The underspends</w:t>
            </w:r>
            <w:proofErr w:type="gramEnd"/>
            <w:r w:rsidR="00F44362" w:rsidRPr="00B04A89">
              <w:rPr>
                <w:rFonts w:ascii="Arial" w:hAnsi="Arial" w:cs="Arial"/>
                <w:sz w:val="22"/>
                <w:szCs w:val="22"/>
              </w:rPr>
              <w:t xml:space="preserve"> within the staff budget will be partially used to fund any staff transition costs.</w:t>
            </w:r>
          </w:p>
          <w:p w:rsidR="00A87591" w:rsidRPr="00B04A89" w:rsidRDefault="0039154E" w:rsidP="00A87591">
            <w:pPr>
              <w:numPr>
                <w:ilvl w:val="0"/>
                <w:numId w:val="2"/>
              </w:numPr>
              <w:tabs>
                <w:tab w:val="left" w:pos="2172"/>
              </w:tabs>
              <w:contextualSpacing/>
              <w:rPr>
                <w:rFonts w:ascii="Arial" w:hAnsi="Arial" w:cs="Arial"/>
                <w:sz w:val="22"/>
                <w:szCs w:val="22"/>
              </w:rPr>
            </w:pPr>
            <w:r w:rsidRPr="00B04A89">
              <w:rPr>
                <w:rFonts w:ascii="Arial" w:hAnsi="Arial" w:cs="Arial"/>
                <w:sz w:val="22"/>
                <w:szCs w:val="22"/>
              </w:rPr>
              <w:t>The under</w:t>
            </w:r>
            <w:r w:rsidR="0047213E" w:rsidRPr="00B04A89">
              <w:rPr>
                <w:rFonts w:ascii="Arial" w:hAnsi="Arial" w:cs="Arial"/>
                <w:sz w:val="22"/>
                <w:szCs w:val="22"/>
              </w:rPr>
              <w:t xml:space="preserve"> </w:t>
            </w:r>
            <w:r w:rsidRPr="00B04A89">
              <w:rPr>
                <w:rFonts w:ascii="Arial" w:hAnsi="Arial" w:cs="Arial"/>
                <w:sz w:val="22"/>
                <w:szCs w:val="22"/>
              </w:rPr>
              <w:t>spend within the HRA Office M</w:t>
            </w:r>
            <w:r w:rsidR="00B04A89" w:rsidRPr="00B04A89">
              <w:rPr>
                <w:rFonts w:ascii="Arial" w:hAnsi="Arial" w:cs="Arial"/>
                <w:sz w:val="22"/>
                <w:szCs w:val="22"/>
              </w:rPr>
              <w:t>anchester is in relation to £77</w:t>
            </w:r>
            <w:r w:rsidRPr="00B04A89">
              <w:rPr>
                <w:rFonts w:ascii="Arial" w:hAnsi="Arial" w:cs="Arial"/>
                <w:sz w:val="22"/>
                <w:szCs w:val="22"/>
              </w:rPr>
              <w:t>k of staff costs.  The Office is currently under</w:t>
            </w:r>
            <w:r w:rsidR="0047213E" w:rsidRPr="00B04A89">
              <w:rPr>
                <w:rFonts w:ascii="Arial" w:hAnsi="Arial" w:cs="Arial"/>
                <w:sz w:val="22"/>
                <w:szCs w:val="22"/>
              </w:rPr>
              <w:t xml:space="preserve"> </w:t>
            </w:r>
            <w:r w:rsidR="00AA2997" w:rsidRPr="00B04A89">
              <w:rPr>
                <w:rFonts w:ascii="Arial" w:hAnsi="Arial" w:cs="Arial"/>
                <w:sz w:val="22"/>
                <w:szCs w:val="22"/>
              </w:rPr>
              <w:t>staffed.  Recruitment is currently being undertaken</w:t>
            </w:r>
            <w:r w:rsidRPr="00B04A89">
              <w:rPr>
                <w:rFonts w:ascii="Arial" w:hAnsi="Arial" w:cs="Arial"/>
                <w:sz w:val="22"/>
                <w:szCs w:val="22"/>
              </w:rPr>
              <w:t xml:space="preserve"> and the new starters sho</w:t>
            </w:r>
            <w:r w:rsidR="00F44362" w:rsidRPr="00B04A89">
              <w:rPr>
                <w:rFonts w:ascii="Arial" w:hAnsi="Arial" w:cs="Arial"/>
                <w:sz w:val="22"/>
                <w:szCs w:val="22"/>
              </w:rPr>
              <w:t>uld commence in the near future, but it is plan</w:t>
            </w:r>
            <w:r w:rsidR="00FF481A" w:rsidRPr="00B04A89">
              <w:rPr>
                <w:rFonts w:ascii="Arial" w:hAnsi="Arial" w:cs="Arial"/>
                <w:sz w:val="22"/>
                <w:szCs w:val="22"/>
              </w:rPr>
              <w:t>n</w:t>
            </w:r>
            <w:r w:rsidR="00F44362" w:rsidRPr="00B04A89">
              <w:rPr>
                <w:rFonts w:ascii="Arial" w:hAnsi="Arial" w:cs="Arial"/>
                <w:sz w:val="22"/>
                <w:szCs w:val="22"/>
              </w:rPr>
              <w:t>ed for current staff to work additional hours to ensure delivery of the service remains effective.</w:t>
            </w:r>
            <w:r w:rsidRPr="00B04A89">
              <w:rPr>
                <w:rFonts w:ascii="Arial" w:hAnsi="Arial" w:cs="Arial"/>
                <w:sz w:val="22"/>
                <w:szCs w:val="22"/>
              </w:rPr>
              <w:t xml:space="preserve">  There </w:t>
            </w:r>
            <w:r w:rsidR="00E74373" w:rsidRPr="00B04A89">
              <w:rPr>
                <w:rFonts w:ascii="Arial" w:hAnsi="Arial" w:cs="Arial"/>
                <w:sz w:val="22"/>
                <w:szCs w:val="22"/>
              </w:rPr>
              <w:t xml:space="preserve">are </w:t>
            </w:r>
            <w:r w:rsidRPr="00B04A89">
              <w:rPr>
                <w:rFonts w:ascii="Arial" w:hAnsi="Arial" w:cs="Arial"/>
                <w:sz w:val="22"/>
                <w:szCs w:val="22"/>
              </w:rPr>
              <w:t>also under</w:t>
            </w:r>
            <w:r w:rsidR="0047213E" w:rsidRPr="00B04A89">
              <w:rPr>
                <w:rFonts w:ascii="Arial" w:hAnsi="Arial" w:cs="Arial"/>
                <w:sz w:val="22"/>
                <w:szCs w:val="22"/>
              </w:rPr>
              <w:t xml:space="preserve"> </w:t>
            </w:r>
            <w:r w:rsidRPr="00B04A89">
              <w:rPr>
                <w:rFonts w:ascii="Arial" w:hAnsi="Arial" w:cs="Arial"/>
                <w:sz w:val="22"/>
                <w:szCs w:val="22"/>
              </w:rPr>
              <w:t>spends within the HRA Of</w:t>
            </w:r>
            <w:r w:rsidR="00F75344" w:rsidRPr="00B04A89">
              <w:rPr>
                <w:rFonts w:ascii="Arial" w:hAnsi="Arial" w:cs="Arial"/>
                <w:sz w:val="22"/>
                <w:szCs w:val="22"/>
              </w:rPr>
              <w:t>fice Manchester in relation to t</w:t>
            </w:r>
            <w:r w:rsidRPr="00B04A89">
              <w:rPr>
                <w:rFonts w:ascii="Arial" w:hAnsi="Arial" w:cs="Arial"/>
                <w:sz w:val="22"/>
                <w:szCs w:val="22"/>
              </w:rPr>
              <w:t>ravel and subsi</w:t>
            </w:r>
            <w:r w:rsidR="000239F7" w:rsidRPr="00B04A89">
              <w:rPr>
                <w:rFonts w:ascii="Arial" w:hAnsi="Arial" w:cs="Arial"/>
                <w:sz w:val="22"/>
                <w:szCs w:val="22"/>
              </w:rPr>
              <w:t>s</w:t>
            </w:r>
            <w:r w:rsidR="00B04A89">
              <w:rPr>
                <w:rFonts w:ascii="Arial" w:hAnsi="Arial" w:cs="Arial"/>
                <w:sz w:val="22"/>
                <w:szCs w:val="22"/>
              </w:rPr>
              <w:t>tence £3</w:t>
            </w:r>
            <w:r w:rsidRPr="00B04A89">
              <w:rPr>
                <w:rFonts w:ascii="Arial" w:hAnsi="Arial" w:cs="Arial"/>
                <w:sz w:val="22"/>
                <w:szCs w:val="22"/>
              </w:rPr>
              <w:t>k</w:t>
            </w:r>
            <w:r w:rsidR="00B04A89">
              <w:rPr>
                <w:rFonts w:ascii="Arial" w:hAnsi="Arial" w:cs="Arial"/>
                <w:sz w:val="22"/>
                <w:szCs w:val="22"/>
              </w:rPr>
              <w:t>, stationery £10</w:t>
            </w:r>
            <w:r w:rsidR="00500E52" w:rsidRPr="00B04A89">
              <w:rPr>
                <w:rFonts w:ascii="Arial" w:hAnsi="Arial" w:cs="Arial"/>
                <w:sz w:val="22"/>
                <w:szCs w:val="22"/>
              </w:rPr>
              <w:t>k</w:t>
            </w:r>
            <w:r w:rsidR="00E6328C">
              <w:rPr>
                <w:rFonts w:ascii="Arial" w:hAnsi="Arial" w:cs="Arial"/>
                <w:sz w:val="22"/>
                <w:szCs w:val="22"/>
              </w:rPr>
              <w:t>, postage £5k</w:t>
            </w:r>
            <w:r w:rsidRPr="00B04A89">
              <w:rPr>
                <w:rFonts w:ascii="Arial" w:hAnsi="Arial" w:cs="Arial"/>
                <w:sz w:val="22"/>
                <w:szCs w:val="22"/>
              </w:rPr>
              <w:t xml:space="preserve"> and</w:t>
            </w:r>
            <w:r w:rsidR="00987F84" w:rsidRPr="00B04A89">
              <w:rPr>
                <w:rFonts w:ascii="Arial" w:hAnsi="Arial" w:cs="Arial"/>
                <w:sz w:val="22"/>
                <w:szCs w:val="22"/>
              </w:rPr>
              <w:t xml:space="preserve"> minor works £3</w:t>
            </w:r>
            <w:r w:rsidR="00F44362" w:rsidRPr="00B04A89">
              <w:rPr>
                <w:rFonts w:ascii="Arial" w:hAnsi="Arial" w:cs="Arial"/>
                <w:sz w:val="22"/>
                <w:szCs w:val="22"/>
              </w:rPr>
              <w:t>k</w:t>
            </w:r>
            <w:r w:rsidR="00987F84" w:rsidRPr="00B04A89">
              <w:rPr>
                <w:rFonts w:ascii="Arial" w:hAnsi="Arial" w:cs="Arial"/>
                <w:sz w:val="22"/>
                <w:szCs w:val="22"/>
              </w:rPr>
              <w:t xml:space="preserve"> and a small under</w:t>
            </w:r>
            <w:r w:rsidR="00E6328C">
              <w:rPr>
                <w:rFonts w:ascii="Arial" w:hAnsi="Arial" w:cs="Arial"/>
                <w:sz w:val="22"/>
                <w:szCs w:val="22"/>
              </w:rPr>
              <w:t>spend within Chairs Allowance £5</w:t>
            </w:r>
            <w:r w:rsidR="00987F84" w:rsidRPr="00B04A89">
              <w:rPr>
                <w:rFonts w:ascii="Arial" w:hAnsi="Arial" w:cs="Arial"/>
                <w:sz w:val="22"/>
                <w:szCs w:val="22"/>
              </w:rPr>
              <w:t>k</w:t>
            </w:r>
            <w:r w:rsidR="00F44362" w:rsidRPr="00B04A89">
              <w:rPr>
                <w:rFonts w:ascii="Arial" w:hAnsi="Arial" w:cs="Arial"/>
                <w:sz w:val="22"/>
                <w:szCs w:val="22"/>
              </w:rPr>
              <w:t>.  This situation will be monitored going forward.</w:t>
            </w:r>
            <w:r w:rsidRPr="00B04A89">
              <w:rPr>
                <w:rFonts w:ascii="Arial" w:hAnsi="Arial" w:cs="Arial"/>
                <w:sz w:val="22"/>
                <w:szCs w:val="22"/>
              </w:rPr>
              <w:t xml:space="preserve"> </w:t>
            </w:r>
            <w:r w:rsidR="00F44362" w:rsidRPr="00B04A89">
              <w:rPr>
                <w:rFonts w:ascii="Arial" w:hAnsi="Arial" w:cs="Arial"/>
                <w:sz w:val="22"/>
                <w:szCs w:val="22"/>
              </w:rPr>
              <w:t xml:space="preserve"> </w:t>
            </w:r>
            <w:proofErr w:type="gramStart"/>
            <w:r w:rsidR="00AA2997" w:rsidRPr="00B04A89">
              <w:rPr>
                <w:rFonts w:ascii="Arial" w:hAnsi="Arial" w:cs="Arial"/>
                <w:sz w:val="22"/>
                <w:szCs w:val="22"/>
              </w:rPr>
              <w:t>The underspend</w:t>
            </w:r>
            <w:proofErr w:type="gramEnd"/>
            <w:r w:rsidR="00AA2997" w:rsidRPr="00B04A89">
              <w:rPr>
                <w:rFonts w:ascii="Arial" w:hAnsi="Arial" w:cs="Arial"/>
                <w:sz w:val="22"/>
                <w:szCs w:val="22"/>
              </w:rPr>
              <w:t xml:space="preserve"> within travel and subsistence is expected to return to breakeven by year end due to costs of the all staff day.</w:t>
            </w:r>
          </w:p>
          <w:p w:rsidR="000239F7" w:rsidRPr="00E6328C" w:rsidRDefault="000239F7" w:rsidP="000239F7">
            <w:pPr>
              <w:pStyle w:val="ListParagraph"/>
              <w:numPr>
                <w:ilvl w:val="0"/>
                <w:numId w:val="2"/>
              </w:numPr>
              <w:rPr>
                <w:rFonts w:ascii="Arial" w:hAnsi="Arial" w:cs="Arial"/>
                <w:sz w:val="22"/>
                <w:szCs w:val="22"/>
              </w:rPr>
            </w:pPr>
            <w:r w:rsidRPr="00E6328C">
              <w:rPr>
                <w:rFonts w:ascii="Arial" w:hAnsi="Arial" w:cs="Arial"/>
                <w:sz w:val="22"/>
                <w:szCs w:val="22"/>
              </w:rPr>
              <w:t>The under</w:t>
            </w:r>
            <w:r w:rsidR="0047213E" w:rsidRPr="00E6328C">
              <w:rPr>
                <w:rFonts w:ascii="Arial" w:hAnsi="Arial" w:cs="Arial"/>
                <w:sz w:val="22"/>
                <w:szCs w:val="22"/>
              </w:rPr>
              <w:t xml:space="preserve"> </w:t>
            </w:r>
            <w:r w:rsidRPr="00E6328C">
              <w:rPr>
                <w:rFonts w:ascii="Arial" w:hAnsi="Arial" w:cs="Arial"/>
                <w:sz w:val="22"/>
                <w:szCs w:val="22"/>
              </w:rPr>
              <w:t xml:space="preserve">spend within the Regional Manager North </w:t>
            </w:r>
            <w:r w:rsidR="00E6328C" w:rsidRPr="00E6328C">
              <w:rPr>
                <w:rFonts w:ascii="Arial" w:hAnsi="Arial" w:cs="Arial"/>
                <w:sz w:val="22"/>
                <w:szCs w:val="22"/>
              </w:rPr>
              <w:t>(£33</w:t>
            </w:r>
            <w:r w:rsidRPr="00E6328C">
              <w:rPr>
                <w:rFonts w:ascii="Arial" w:hAnsi="Arial" w:cs="Arial"/>
                <w:sz w:val="22"/>
                <w:szCs w:val="22"/>
              </w:rPr>
              <w:t>k)</w:t>
            </w:r>
            <w:r w:rsidR="0047213E" w:rsidRPr="00E6328C">
              <w:rPr>
                <w:rFonts w:ascii="Arial" w:hAnsi="Arial" w:cs="Arial"/>
                <w:sz w:val="22"/>
                <w:szCs w:val="22"/>
              </w:rPr>
              <w:t xml:space="preserve"> </w:t>
            </w:r>
            <w:r w:rsidRPr="00E6328C">
              <w:rPr>
                <w:rFonts w:ascii="Arial" w:hAnsi="Arial" w:cs="Arial"/>
                <w:sz w:val="22"/>
                <w:szCs w:val="22"/>
              </w:rPr>
              <w:t>relates to the acting up of a Regional Manager into the NRES Manager post (who</w:t>
            </w:r>
            <w:r w:rsidR="0047213E" w:rsidRPr="00E6328C">
              <w:rPr>
                <w:rFonts w:ascii="Arial" w:hAnsi="Arial" w:cs="Arial"/>
                <w:sz w:val="22"/>
                <w:szCs w:val="22"/>
              </w:rPr>
              <w:t xml:space="preserve"> </w:t>
            </w:r>
            <w:r w:rsidRPr="00E6328C">
              <w:rPr>
                <w:rFonts w:ascii="Arial" w:hAnsi="Arial" w:cs="Arial"/>
                <w:sz w:val="22"/>
                <w:szCs w:val="22"/>
              </w:rPr>
              <w:t>is currently seconded to C &amp; D) and currently the Regional Manager post has not been back</w:t>
            </w:r>
            <w:r w:rsidR="0047213E" w:rsidRPr="00E6328C">
              <w:rPr>
                <w:rFonts w:ascii="Arial" w:hAnsi="Arial" w:cs="Arial"/>
                <w:sz w:val="22"/>
                <w:szCs w:val="22"/>
              </w:rPr>
              <w:t xml:space="preserve"> </w:t>
            </w:r>
            <w:r w:rsidRPr="00E6328C">
              <w:rPr>
                <w:rFonts w:ascii="Arial" w:hAnsi="Arial" w:cs="Arial"/>
                <w:sz w:val="22"/>
                <w:szCs w:val="22"/>
              </w:rPr>
              <w:t>filled.</w:t>
            </w:r>
            <w:r w:rsidR="00F44362" w:rsidRPr="00E6328C">
              <w:rPr>
                <w:rFonts w:ascii="Arial" w:hAnsi="Arial" w:cs="Arial"/>
                <w:sz w:val="22"/>
                <w:szCs w:val="22"/>
              </w:rPr>
              <w:t xml:space="preserve">  The underspend within the Regional Manager South post</w:t>
            </w:r>
            <w:r w:rsidR="00987F84" w:rsidRPr="00E6328C">
              <w:rPr>
                <w:rFonts w:ascii="Arial" w:hAnsi="Arial" w:cs="Arial"/>
                <w:sz w:val="22"/>
                <w:szCs w:val="22"/>
              </w:rPr>
              <w:t xml:space="preserve"> (£13</w:t>
            </w:r>
            <w:r w:rsidR="00F75344" w:rsidRPr="00E6328C">
              <w:rPr>
                <w:rFonts w:ascii="Arial" w:hAnsi="Arial" w:cs="Arial"/>
                <w:sz w:val="22"/>
                <w:szCs w:val="22"/>
              </w:rPr>
              <w:t>k)</w:t>
            </w:r>
            <w:r w:rsidR="001721FC" w:rsidRPr="00E6328C">
              <w:rPr>
                <w:rFonts w:ascii="Arial" w:hAnsi="Arial" w:cs="Arial"/>
                <w:sz w:val="22"/>
                <w:szCs w:val="22"/>
              </w:rPr>
              <w:t xml:space="preserve"> is as a result of the changed staff configuration in the HRA Office London – and forms part of the plans for the skill mix going forward.</w:t>
            </w:r>
          </w:p>
          <w:p w:rsidR="00987F84" w:rsidRPr="00E6328C" w:rsidRDefault="00987F84" w:rsidP="000239F7">
            <w:pPr>
              <w:pStyle w:val="ListParagraph"/>
              <w:numPr>
                <w:ilvl w:val="0"/>
                <w:numId w:val="2"/>
              </w:numPr>
              <w:rPr>
                <w:rFonts w:ascii="Arial" w:hAnsi="Arial" w:cs="Arial"/>
                <w:sz w:val="22"/>
                <w:szCs w:val="22"/>
              </w:rPr>
            </w:pPr>
            <w:proofErr w:type="gramStart"/>
            <w:r w:rsidRPr="00E6328C">
              <w:rPr>
                <w:rFonts w:ascii="Arial" w:hAnsi="Arial" w:cs="Arial"/>
                <w:sz w:val="22"/>
                <w:szCs w:val="22"/>
              </w:rPr>
              <w:t>The underspend</w:t>
            </w:r>
            <w:proofErr w:type="gramEnd"/>
            <w:r w:rsidR="00E6328C" w:rsidRPr="00E6328C">
              <w:rPr>
                <w:rFonts w:ascii="Arial" w:hAnsi="Arial" w:cs="Arial"/>
                <w:sz w:val="22"/>
                <w:szCs w:val="22"/>
              </w:rPr>
              <w:t xml:space="preserve"> of £40</w:t>
            </w:r>
            <w:r w:rsidR="00E51F68" w:rsidRPr="00E6328C">
              <w:rPr>
                <w:rFonts w:ascii="Arial" w:hAnsi="Arial" w:cs="Arial"/>
                <w:sz w:val="22"/>
                <w:szCs w:val="22"/>
              </w:rPr>
              <w:t>k within the HRA Office Bristol is mostly in relation to staff costs – within the underspend transferring from the HRA Office London.</w:t>
            </w:r>
          </w:p>
          <w:p w:rsidR="00DD6897" w:rsidRPr="008A31A7" w:rsidRDefault="00DD6897" w:rsidP="00DD6897">
            <w:pPr>
              <w:numPr>
                <w:ilvl w:val="0"/>
                <w:numId w:val="2"/>
              </w:numPr>
              <w:tabs>
                <w:tab w:val="left" w:pos="2172"/>
              </w:tabs>
              <w:contextualSpacing/>
              <w:rPr>
                <w:rFonts w:ascii="Arial" w:hAnsi="Arial" w:cs="Arial"/>
                <w:sz w:val="22"/>
                <w:szCs w:val="22"/>
              </w:rPr>
            </w:pPr>
            <w:r w:rsidRPr="008A31A7">
              <w:rPr>
                <w:rFonts w:ascii="Arial" w:hAnsi="Arial" w:cs="Arial"/>
                <w:sz w:val="22"/>
                <w:szCs w:val="22"/>
              </w:rPr>
              <w:t>The Better Payment Practice Code (B</w:t>
            </w:r>
            <w:r w:rsidR="003C2211" w:rsidRPr="008A31A7">
              <w:rPr>
                <w:rFonts w:ascii="Arial" w:hAnsi="Arial" w:cs="Arial"/>
                <w:sz w:val="22"/>
                <w:szCs w:val="22"/>
              </w:rPr>
              <w:t>P</w:t>
            </w:r>
            <w:r w:rsidR="008A31A7" w:rsidRPr="008A31A7">
              <w:rPr>
                <w:rFonts w:ascii="Arial" w:hAnsi="Arial" w:cs="Arial"/>
                <w:sz w:val="22"/>
                <w:szCs w:val="22"/>
              </w:rPr>
              <w:t>P</w:t>
            </w:r>
            <w:r w:rsidR="00FD0AE5">
              <w:rPr>
                <w:rFonts w:ascii="Arial" w:hAnsi="Arial" w:cs="Arial"/>
                <w:sz w:val="22"/>
                <w:szCs w:val="22"/>
              </w:rPr>
              <w:t>C) c</w:t>
            </w:r>
            <w:r w:rsidR="00703BA7">
              <w:rPr>
                <w:rFonts w:ascii="Arial" w:hAnsi="Arial" w:cs="Arial"/>
                <w:sz w:val="22"/>
                <w:szCs w:val="22"/>
              </w:rPr>
              <w:t xml:space="preserve">ompliance for April to </w:t>
            </w:r>
            <w:r w:rsidR="000C29D5">
              <w:rPr>
                <w:rFonts w:ascii="Arial" w:hAnsi="Arial" w:cs="Arial"/>
                <w:sz w:val="22"/>
                <w:szCs w:val="22"/>
              </w:rPr>
              <w:t>November</w:t>
            </w:r>
            <w:r w:rsidR="00DF0843" w:rsidRPr="008A31A7">
              <w:rPr>
                <w:rFonts w:ascii="Arial" w:hAnsi="Arial" w:cs="Arial"/>
                <w:sz w:val="22"/>
                <w:szCs w:val="22"/>
              </w:rPr>
              <w:t xml:space="preserve"> </w:t>
            </w:r>
            <w:r w:rsidRPr="008A31A7">
              <w:rPr>
                <w:rFonts w:ascii="Arial" w:hAnsi="Arial" w:cs="Arial"/>
                <w:sz w:val="22"/>
                <w:szCs w:val="22"/>
              </w:rPr>
              <w:t>maintained the pe</w:t>
            </w:r>
            <w:r w:rsidR="00FD0AE5">
              <w:rPr>
                <w:rFonts w:ascii="Arial" w:hAnsi="Arial" w:cs="Arial"/>
                <w:sz w:val="22"/>
                <w:szCs w:val="22"/>
              </w:rPr>
              <w:t>rformance level of 2013/14 of 98</w:t>
            </w:r>
            <w:r w:rsidRPr="008A31A7">
              <w:rPr>
                <w:rFonts w:ascii="Arial" w:hAnsi="Arial" w:cs="Arial"/>
                <w:sz w:val="22"/>
                <w:szCs w:val="22"/>
              </w:rPr>
              <w:t>% for the number</w:t>
            </w:r>
            <w:r w:rsidR="00DF0843" w:rsidRPr="008A31A7">
              <w:rPr>
                <w:rFonts w:ascii="Arial" w:hAnsi="Arial" w:cs="Arial"/>
                <w:sz w:val="22"/>
                <w:szCs w:val="22"/>
              </w:rPr>
              <w:t xml:space="preserve"> of invoices p</w:t>
            </w:r>
            <w:r w:rsidR="008B77EA">
              <w:rPr>
                <w:rFonts w:ascii="Arial" w:hAnsi="Arial" w:cs="Arial"/>
                <w:sz w:val="22"/>
                <w:szCs w:val="22"/>
              </w:rPr>
              <w:t>aid, and in November</w:t>
            </w:r>
            <w:r w:rsidRPr="008A31A7">
              <w:rPr>
                <w:rFonts w:ascii="Arial" w:hAnsi="Arial" w:cs="Arial"/>
                <w:sz w:val="22"/>
                <w:szCs w:val="22"/>
              </w:rPr>
              <w:t xml:space="preserve"> </w:t>
            </w:r>
            <w:r w:rsidR="008B77EA">
              <w:rPr>
                <w:rFonts w:ascii="Arial" w:hAnsi="Arial" w:cs="Arial"/>
                <w:sz w:val="22"/>
                <w:szCs w:val="22"/>
              </w:rPr>
              <w:t>achieving 96</w:t>
            </w:r>
            <w:r w:rsidR="003C2211" w:rsidRPr="008A31A7">
              <w:rPr>
                <w:rFonts w:ascii="Arial" w:hAnsi="Arial" w:cs="Arial"/>
                <w:sz w:val="22"/>
                <w:szCs w:val="22"/>
              </w:rPr>
              <w:t>%</w:t>
            </w:r>
            <w:r w:rsidR="00CD540D">
              <w:rPr>
                <w:rFonts w:ascii="Arial" w:hAnsi="Arial" w:cs="Arial"/>
                <w:sz w:val="22"/>
                <w:szCs w:val="22"/>
              </w:rPr>
              <w:t xml:space="preserve"> </w:t>
            </w:r>
            <w:r w:rsidR="00E74373" w:rsidRPr="008A31A7">
              <w:rPr>
                <w:rFonts w:ascii="Arial" w:hAnsi="Arial" w:cs="Arial"/>
                <w:sz w:val="22"/>
                <w:szCs w:val="22"/>
              </w:rPr>
              <w:t xml:space="preserve">for value </w:t>
            </w:r>
            <w:r w:rsidR="008B77EA">
              <w:rPr>
                <w:rFonts w:ascii="Arial" w:hAnsi="Arial" w:cs="Arial"/>
                <w:sz w:val="22"/>
                <w:szCs w:val="22"/>
              </w:rPr>
              <w:t xml:space="preserve">of invoices paid (October </w:t>
            </w:r>
            <w:r w:rsidR="00E74373">
              <w:rPr>
                <w:rFonts w:ascii="Arial" w:hAnsi="Arial" w:cs="Arial"/>
                <w:sz w:val="22"/>
                <w:szCs w:val="22"/>
              </w:rPr>
              <w:t xml:space="preserve"> -</w:t>
            </w:r>
            <w:r w:rsidR="008B77EA">
              <w:rPr>
                <w:rFonts w:ascii="Arial" w:hAnsi="Arial" w:cs="Arial"/>
                <w:sz w:val="22"/>
                <w:szCs w:val="22"/>
              </w:rPr>
              <w:t xml:space="preserve"> 95</w:t>
            </w:r>
            <w:r w:rsidR="00DF0843" w:rsidRPr="008A31A7">
              <w:rPr>
                <w:rFonts w:ascii="Arial" w:hAnsi="Arial" w:cs="Arial"/>
                <w:sz w:val="22"/>
                <w:szCs w:val="22"/>
              </w:rPr>
              <w:t>%)</w:t>
            </w:r>
            <w:r w:rsidR="003C2211" w:rsidRPr="008A31A7">
              <w:rPr>
                <w:rFonts w:ascii="Arial" w:hAnsi="Arial" w:cs="Arial"/>
                <w:sz w:val="22"/>
                <w:szCs w:val="22"/>
              </w:rPr>
              <w:t xml:space="preserve">.  </w:t>
            </w:r>
            <w:r w:rsidRPr="008A31A7">
              <w:rPr>
                <w:rFonts w:ascii="Arial" w:hAnsi="Arial" w:cs="Arial"/>
                <w:sz w:val="22"/>
                <w:szCs w:val="22"/>
              </w:rPr>
              <w:t>The HRA is aiming to pay 50% of invoices within 10 days in 2014/15, with this target rising to 60% in 2015/1</w:t>
            </w:r>
            <w:r w:rsidR="008A31A7" w:rsidRPr="008A31A7">
              <w:rPr>
                <w:rFonts w:ascii="Arial" w:hAnsi="Arial" w:cs="Arial"/>
                <w:sz w:val="22"/>
                <w:szCs w:val="22"/>
              </w:rPr>
              <w:t>6 – current performance</w:t>
            </w:r>
            <w:r w:rsidR="00703BA7">
              <w:rPr>
                <w:rFonts w:ascii="Arial" w:hAnsi="Arial" w:cs="Arial"/>
                <w:sz w:val="22"/>
                <w:szCs w:val="22"/>
              </w:rPr>
              <w:t xml:space="preserve"> shows 56</w:t>
            </w:r>
            <w:r w:rsidRPr="008A31A7">
              <w:rPr>
                <w:rFonts w:ascii="Arial" w:hAnsi="Arial" w:cs="Arial"/>
                <w:sz w:val="22"/>
                <w:szCs w:val="22"/>
              </w:rPr>
              <w:t xml:space="preserve">% </w:t>
            </w:r>
            <w:r w:rsidR="00CD540D">
              <w:rPr>
                <w:rFonts w:ascii="Arial" w:hAnsi="Arial" w:cs="Arial"/>
                <w:sz w:val="22"/>
                <w:szCs w:val="22"/>
              </w:rPr>
              <w:t>on the number of invo</w:t>
            </w:r>
            <w:r w:rsidR="008B77EA">
              <w:rPr>
                <w:rFonts w:ascii="Arial" w:hAnsi="Arial" w:cs="Arial"/>
                <w:sz w:val="22"/>
                <w:szCs w:val="22"/>
              </w:rPr>
              <w:t>ices and 61</w:t>
            </w:r>
            <w:r w:rsidRPr="008A31A7">
              <w:rPr>
                <w:rFonts w:ascii="Arial" w:hAnsi="Arial" w:cs="Arial"/>
                <w:sz w:val="22"/>
                <w:szCs w:val="22"/>
              </w:rPr>
              <w:t>% based on invoice values.  All approvers are asked to note this and to approve invoices promptly or place on hold if there is a dispute.  Performance is published on our website.</w:t>
            </w:r>
          </w:p>
          <w:p w:rsidR="0047213E" w:rsidRPr="00021ABB" w:rsidRDefault="00C11CD4" w:rsidP="0047213E">
            <w:pPr>
              <w:numPr>
                <w:ilvl w:val="0"/>
                <w:numId w:val="2"/>
              </w:numPr>
              <w:tabs>
                <w:tab w:val="left" w:pos="2172"/>
              </w:tabs>
              <w:contextualSpacing/>
              <w:rPr>
                <w:rFonts w:ascii="Arial" w:hAnsi="Arial" w:cs="Arial"/>
                <w:sz w:val="22"/>
                <w:szCs w:val="22"/>
              </w:rPr>
            </w:pPr>
            <w:r w:rsidRPr="00021ABB">
              <w:rPr>
                <w:rFonts w:ascii="Arial" w:hAnsi="Arial" w:cs="Arial"/>
                <w:sz w:val="22"/>
                <w:szCs w:val="22"/>
              </w:rPr>
              <w:t>Balance sheet highlights –</w:t>
            </w:r>
            <w:r w:rsidRPr="00021ABB">
              <w:rPr>
                <w:rFonts w:ascii="Arial" w:hAnsi="Arial" w:cs="Arial"/>
                <w:color w:val="FF0000"/>
                <w:sz w:val="22"/>
                <w:szCs w:val="22"/>
              </w:rPr>
              <w:t xml:space="preserve"> </w:t>
            </w:r>
            <w:r w:rsidRPr="00021ABB">
              <w:rPr>
                <w:rFonts w:ascii="Arial" w:hAnsi="Arial" w:cs="Arial"/>
                <w:sz w:val="22"/>
                <w:szCs w:val="22"/>
              </w:rPr>
              <w:t xml:space="preserve">Net </w:t>
            </w:r>
            <w:r w:rsidR="00241A21" w:rsidRPr="00021ABB">
              <w:rPr>
                <w:rFonts w:ascii="Arial" w:hAnsi="Arial" w:cs="Arial"/>
                <w:sz w:val="22"/>
                <w:szCs w:val="22"/>
              </w:rPr>
              <w:t>Assets and Taxpayers Equity are</w:t>
            </w:r>
            <w:r w:rsidR="00204E97" w:rsidRPr="00021ABB">
              <w:rPr>
                <w:rFonts w:ascii="Arial" w:hAnsi="Arial" w:cs="Arial"/>
                <w:sz w:val="22"/>
                <w:szCs w:val="22"/>
              </w:rPr>
              <w:t xml:space="preserve"> positive at</w:t>
            </w:r>
            <w:r w:rsidR="00A422D8" w:rsidRPr="00021ABB">
              <w:rPr>
                <w:rFonts w:ascii="Arial" w:hAnsi="Arial" w:cs="Arial"/>
                <w:sz w:val="22"/>
                <w:szCs w:val="22"/>
              </w:rPr>
              <w:t xml:space="preserve"> </w:t>
            </w:r>
            <w:r w:rsidR="000D471E" w:rsidRPr="00021ABB">
              <w:rPr>
                <w:rFonts w:ascii="Arial" w:hAnsi="Arial" w:cs="Arial"/>
                <w:sz w:val="22"/>
                <w:szCs w:val="22"/>
              </w:rPr>
              <w:t>£</w:t>
            </w:r>
            <w:r w:rsidR="00927590">
              <w:rPr>
                <w:rFonts w:ascii="Arial" w:hAnsi="Arial" w:cs="Arial"/>
                <w:sz w:val="22"/>
                <w:szCs w:val="22"/>
              </w:rPr>
              <w:t>2.152</w:t>
            </w:r>
            <w:r w:rsidR="00853914" w:rsidRPr="00021ABB">
              <w:rPr>
                <w:rFonts w:ascii="Arial" w:hAnsi="Arial" w:cs="Arial"/>
                <w:sz w:val="22"/>
                <w:szCs w:val="22"/>
              </w:rPr>
              <w:t>million</w:t>
            </w:r>
            <w:r w:rsidR="000D471E" w:rsidRPr="00021ABB">
              <w:rPr>
                <w:rFonts w:ascii="Arial" w:hAnsi="Arial" w:cs="Arial"/>
                <w:sz w:val="22"/>
                <w:szCs w:val="22"/>
              </w:rPr>
              <w:t xml:space="preserve">.  Cash balance </w:t>
            </w:r>
            <w:r w:rsidR="0047213E" w:rsidRPr="00021ABB">
              <w:rPr>
                <w:rFonts w:ascii="Arial" w:hAnsi="Arial" w:cs="Arial"/>
                <w:sz w:val="22"/>
                <w:szCs w:val="22"/>
              </w:rPr>
              <w:t xml:space="preserve">has reduced from year end </w:t>
            </w:r>
            <w:r w:rsidR="000D471E" w:rsidRPr="00021ABB">
              <w:rPr>
                <w:rFonts w:ascii="Arial" w:hAnsi="Arial" w:cs="Arial"/>
                <w:sz w:val="22"/>
                <w:szCs w:val="22"/>
              </w:rPr>
              <w:t>£3</w:t>
            </w:r>
            <w:r w:rsidR="00853914" w:rsidRPr="00021ABB">
              <w:rPr>
                <w:rFonts w:ascii="Arial" w:hAnsi="Arial" w:cs="Arial"/>
                <w:sz w:val="22"/>
                <w:szCs w:val="22"/>
              </w:rPr>
              <w:t>.8 million</w:t>
            </w:r>
            <w:r w:rsidR="00A86A0C" w:rsidRPr="00021ABB">
              <w:rPr>
                <w:rFonts w:ascii="Arial" w:hAnsi="Arial" w:cs="Arial"/>
                <w:sz w:val="22"/>
                <w:szCs w:val="22"/>
              </w:rPr>
              <w:t xml:space="preserve"> (with liabilities to pay of £1</w:t>
            </w:r>
            <w:r w:rsidR="003001BE" w:rsidRPr="00021ABB">
              <w:rPr>
                <w:rFonts w:ascii="Arial" w:hAnsi="Arial" w:cs="Arial"/>
                <w:sz w:val="22"/>
                <w:szCs w:val="22"/>
              </w:rPr>
              <w:t>.</w:t>
            </w:r>
            <w:r w:rsidR="00F95106" w:rsidRPr="00021ABB">
              <w:rPr>
                <w:rFonts w:ascii="Arial" w:hAnsi="Arial" w:cs="Arial"/>
                <w:sz w:val="22"/>
                <w:szCs w:val="22"/>
              </w:rPr>
              <w:t>5</w:t>
            </w:r>
            <w:r w:rsidR="00A86A0C" w:rsidRPr="00021ABB">
              <w:rPr>
                <w:rFonts w:ascii="Arial" w:hAnsi="Arial" w:cs="Arial"/>
                <w:sz w:val="22"/>
                <w:szCs w:val="22"/>
              </w:rPr>
              <w:t>million)</w:t>
            </w:r>
            <w:r w:rsidR="0047213E" w:rsidRPr="00021ABB">
              <w:rPr>
                <w:rFonts w:ascii="Arial" w:hAnsi="Arial" w:cs="Arial"/>
                <w:sz w:val="22"/>
                <w:szCs w:val="22"/>
              </w:rPr>
              <w:t xml:space="preserve"> to £</w:t>
            </w:r>
            <w:r w:rsidR="00927590">
              <w:rPr>
                <w:rFonts w:ascii="Arial" w:hAnsi="Arial" w:cs="Arial"/>
                <w:sz w:val="22"/>
                <w:szCs w:val="22"/>
              </w:rPr>
              <w:t>2.2</w:t>
            </w:r>
            <w:r w:rsidR="0047213E" w:rsidRPr="00021ABB">
              <w:rPr>
                <w:rFonts w:ascii="Arial" w:hAnsi="Arial" w:cs="Arial"/>
                <w:sz w:val="22"/>
                <w:szCs w:val="22"/>
              </w:rPr>
              <w:t xml:space="preserve"> million </w:t>
            </w:r>
            <w:r w:rsidR="0099485D">
              <w:rPr>
                <w:rFonts w:ascii="Arial" w:hAnsi="Arial" w:cs="Arial"/>
                <w:sz w:val="22"/>
                <w:szCs w:val="22"/>
              </w:rPr>
              <w:t>(with liabilities to pay of £1</w:t>
            </w:r>
            <w:r w:rsidR="0047213E" w:rsidRPr="00021ABB">
              <w:rPr>
                <w:rFonts w:ascii="Arial" w:hAnsi="Arial" w:cs="Arial"/>
                <w:sz w:val="22"/>
                <w:szCs w:val="22"/>
              </w:rPr>
              <w:t xml:space="preserve"> million) due to </w:t>
            </w:r>
            <w:r w:rsidR="00BB2F36" w:rsidRPr="00021ABB">
              <w:rPr>
                <w:rFonts w:ascii="Arial" w:hAnsi="Arial" w:cs="Arial"/>
                <w:sz w:val="22"/>
                <w:szCs w:val="22"/>
              </w:rPr>
              <w:t xml:space="preserve">intentional </w:t>
            </w:r>
            <w:r w:rsidR="0047213E" w:rsidRPr="00021ABB">
              <w:rPr>
                <w:rFonts w:ascii="Arial" w:hAnsi="Arial" w:cs="Arial"/>
                <w:sz w:val="22"/>
                <w:szCs w:val="22"/>
              </w:rPr>
              <w:t>lack of drawdown of cash so far this year</w:t>
            </w:r>
            <w:r w:rsidR="00A422D8" w:rsidRPr="00021ABB">
              <w:rPr>
                <w:rFonts w:ascii="Arial" w:hAnsi="Arial" w:cs="Arial"/>
                <w:sz w:val="22"/>
                <w:szCs w:val="22"/>
              </w:rPr>
              <w:t>.</w:t>
            </w:r>
            <w:r w:rsidR="006F2E59" w:rsidRPr="00021ABB">
              <w:rPr>
                <w:rFonts w:ascii="Arial" w:hAnsi="Arial" w:cs="Arial"/>
                <w:sz w:val="22"/>
                <w:szCs w:val="22"/>
              </w:rPr>
              <w:t xml:space="preserve">  </w:t>
            </w:r>
          </w:p>
          <w:p w:rsidR="00C11CD4" w:rsidRPr="00540FAA" w:rsidRDefault="00BB6714" w:rsidP="000C29D5">
            <w:pPr>
              <w:numPr>
                <w:ilvl w:val="0"/>
                <w:numId w:val="2"/>
              </w:numPr>
              <w:tabs>
                <w:tab w:val="left" w:pos="2172"/>
              </w:tabs>
              <w:contextualSpacing/>
              <w:rPr>
                <w:rFonts w:ascii="Arial" w:hAnsi="Arial" w:cs="Arial"/>
                <w:sz w:val="22"/>
                <w:szCs w:val="22"/>
              </w:rPr>
            </w:pPr>
            <w:r w:rsidRPr="00D972E5">
              <w:rPr>
                <w:rFonts w:ascii="Arial" w:hAnsi="Arial" w:cs="Arial"/>
                <w:bCs/>
                <w:sz w:val="22"/>
                <w:szCs w:val="22"/>
              </w:rPr>
              <w:t xml:space="preserve">Cash flow </w:t>
            </w:r>
            <w:r>
              <w:rPr>
                <w:rFonts w:ascii="Arial" w:hAnsi="Arial" w:cs="Arial"/>
                <w:bCs/>
                <w:sz w:val="22"/>
                <w:szCs w:val="22"/>
              </w:rPr>
              <w:t>statement has been refined</w:t>
            </w:r>
            <w:r w:rsidR="00D814C2">
              <w:rPr>
                <w:rFonts w:ascii="Arial" w:hAnsi="Arial" w:cs="Arial"/>
                <w:bCs/>
                <w:sz w:val="22"/>
                <w:szCs w:val="22"/>
              </w:rPr>
              <w:t xml:space="preserve"> to reflect the </w:t>
            </w:r>
            <w:proofErr w:type="gramStart"/>
            <w:r w:rsidR="00D814C2">
              <w:rPr>
                <w:rFonts w:ascii="Arial" w:hAnsi="Arial" w:cs="Arial"/>
                <w:bCs/>
                <w:sz w:val="22"/>
                <w:szCs w:val="22"/>
              </w:rPr>
              <w:t>increase in the projected underspend</w:t>
            </w:r>
            <w:proofErr w:type="gramEnd"/>
            <w:r>
              <w:rPr>
                <w:rFonts w:ascii="Arial" w:hAnsi="Arial" w:cs="Arial"/>
                <w:bCs/>
                <w:sz w:val="22"/>
                <w:szCs w:val="22"/>
              </w:rPr>
              <w:t>.</w:t>
            </w:r>
            <w:r w:rsidR="00A7506A">
              <w:rPr>
                <w:rFonts w:ascii="Arial" w:hAnsi="Arial" w:cs="Arial"/>
                <w:bCs/>
                <w:sz w:val="22"/>
                <w:szCs w:val="22"/>
              </w:rPr>
              <w:t xml:space="preserve">  The </w:t>
            </w:r>
            <w:proofErr w:type="spellStart"/>
            <w:r w:rsidR="00A7506A">
              <w:rPr>
                <w:rFonts w:ascii="Arial" w:hAnsi="Arial" w:cs="Arial"/>
                <w:bCs/>
                <w:sz w:val="22"/>
                <w:szCs w:val="22"/>
              </w:rPr>
              <w:t>cashflow</w:t>
            </w:r>
            <w:proofErr w:type="spellEnd"/>
            <w:r w:rsidR="00A7506A">
              <w:rPr>
                <w:rFonts w:ascii="Arial" w:hAnsi="Arial" w:cs="Arial"/>
                <w:bCs/>
                <w:sz w:val="22"/>
                <w:szCs w:val="22"/>
              </w:rPr>
              <w:t xml:space="preserve"> statement assumes the lower end of the forecast and should this move towards the higher end, then the cash surplus will increase further.</w:t>
            </w:r>
            <w:r>
              <w:rPr>
                <w:rFonts w:ascii="Arial" w:hAnsi="Arial" w:cs="Arial"/>
                <w:bCs/>
                <w:sz w:val="22"/>
                <w:szCs w:val="22"/>
              </w:rPr>
              <w:t xml:space="preserve">  Expectation is that the full cash limit will not be drawn down and will be adjusted to maintain our duty not to retain surplus cash.</w:t>
            </w:r>
            <w:r w:rsidRPr="00CB4D31">
              <w:rPr>
                <w:rFonts w:ascii="Arial" w:hAnsi="Arial" w:cs="Arial"/>
                <w:bCs/>
                <w:sz w:val="22"/>
                <w:szCs w:val="22"/>
              </w:rPr>
              <w:t xml:space="preserve"> </w:t>
            </w:r>
          </w:p>
        </w:tc>
      </w:tr>
    </w:tbl>
    <w:p w:rsidR="002F0239" w:rsidRDefault="002F0239"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075A82">
        <w:rPr>
          <w:rFonts w:ascii="Arial" w:eastAsia="Calibri" w:hAnsi="Arial"/>
          <w:b/>
          <w:bCs/>
          <w:color w:val="56008C"/>
          <w:szCs w:val="26"/>
          <w:lang w:eastAsia="en-US"/>
        </w:rPr>
        <w:t xml:space="preserve"> end November</w:t>
      </w:r>
      <w:r w:rsidR="00411FE9">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2014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ook w:val="04A0" w:firstRow="1" w:lastRow="0" w:firstColumn="1" w:lastColumn="0" w:noHBand="0" w:noVBand="1"/>
      </w:tblPr>
      <w:tblGrid>
        <w:gridCol w:w="2088"/>
        <w:gridCol w:w="13540"/>
      </w:tblGrid>
      <w:tr w:rsidR="00445C3C" w:rsidRPr="00461E1B" w:rsidTr="00B27E7E">
        <w:tc>
          <w:tcPr>
            <w:tcW w:w="208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540" w:type="dxa"/>
          </w:tcPr>
          <w:p w:rsidR="00D95040" w:rsidRDefault="00D95040" w:rsidP="00406C23">
            <w:pPr>
              <w:tabs>
                <w:tab w:val="left" w:pos="2172"/>
              </w:tabs>
              <w:spacing w:after="200" w:line="276" w:lineRule="auto"/>
              <w:rPr>
                <w:rFonts w:ascii="Arial" w:hAnsi="Arial" w:cs="Arial"/>
                <w:sz w:val="22"/>
                <w:szCs w:val="22"/>
              </w:rPr>
            </w:pPr>
          </w:p>
          <w:tbl>
            <w:tblPr>
              <w:tblW w:w="12300" w:type="dxa"/>
              <w:tblLook w:val="04A0" w:firstRow="1" w:lastRow="0" w:firstColumn="1" w:lastColumn="0" w:noHBand="0" w:noVBand="1"/>
            </w:tblPr>
            <w:tblGrid>
              <w:gridCol w:w="5740"/>
              <w:gridCol w:w="962"/>
              <w:gridCol w:w="974"/>
              <w:gridCol w:w="889"/>
              <w:gridCol w:w="1134"/>
              <w:gridCol w:w="974"/>
              <w:gridCol w:w="928"/>
              <w:gridCol w:w="1134"/>
            </w:tblGrid>
            <w:tr w:rsidR="00075A82" w:rsidRPr="00075A82" w:rsidTr="00075A82">
              <w:trPr>
                <w:trHeight w:val="300"/>
              </w:trPr>
              <w:tc>
                <w:tcPr>
                  <w:tcW w:w="5740" w:type="dxa"/>
                  <w:tcBorders>
                    <w:top w:val="nil"/>
                    <w:left w:val="nil"/>
                    <w:bottom w:val="nil"/>
                    <w:right w:val="single" w:sz="8" w:space="0" w:color="FFFFFF"/>
                  </w:tcBorders>
                  <w:shd w:val="clear" w:color="000000" w:fill="53B9B7"/>
                  <w:vAlign w:val="center"/>
                  <w:hideMark/>
                </w:tcPr>
                <w:p w:rsidR="00075A82" w:rsidRPr="00075A82" w:rsidRDefault="00075A82" w:rsidP="00075A82">
                  <w:pPr>
                    <w:jc w:val="center"/>
                    <w:rPr>
                      <w:rFonts w:ascii="Arial" w:hAnsi="Arial" w:cs="Arial"/>
                      <w:b/>
                      <w:bCs/>
                      <w:color w:val="FFFFFF"/>
                      <w:sz w:val="22"/>
                      <w:szCs w:val="22"/>
                    </w:rPr>
                  </w:pPr>
                  <w:r w:rsidRPr="00075A82">
                    <w:rPr>
                      <w:rFonts w:ascii="Arial" w:hAnsi="Arial" w:cs="Arial"/>
                      <w:b/>
                      <w:bCs/>
                      <w:color w:val="FFFFFF"/>
                      <w:sz w:val="22"/>
                      <w:szCs w:val="22"/>
                    </w:rPr>
                    <w:t>Subjective</w:t>
                  </w:r>
                </w:p>
              </w:tc>
              <w:tc>
                <w:tcPr>
                  <w:tcW w:w="1180" w:type="dxa"/>
                  <w:tcBorders>
                    <w:top w:val="nil"/>
                    <w:left w:val="nil"/>
                    <w:bottom w:val="nil"/>
                    <w:right w:val="single" w:sz="8" w:space="0" w:color="FFFFFF"/>
                  </w:tcBorders>
                  <w:shd w:val="clear" w:color="000000" w:fill="D1819A"/>
                  <w:vAlign w:val="center"/>
                  <w:hideMark/>
                </w:tcPr>
                <w:p w:rsidR="00075A82" w:rsidRPr="00075A82" w:rsidRDefault="00075A82" w:rsidP="00075A82">
                  <w:pPr>
                    <w:jc w:val="center"/>
                    <w:rPr>
                      <w:rFonts w:ascii="Arial" w:hAnsi="Arial" w:cs="Arial"/>
                      <w:b/>
                      <w:bCs/>
                      <w:color w:val="FFFFFF"/>
                      <w:sz w:val="22"/>
                      <w:szCs w:val="22"/>
                    </w:rPr>
                  </w:pPr>
                  <w:r w:rsidRPr="00075A82">
                    <w:rPr>
                      <w:rFonts w:ascii="Arial" w:hAnsi="Arial" w:cs="Arial"/>
                      <w:b/>
                      <w:bCs/>
                      <w:color w:val="FFFFFF"/>
                      <w:sz w:val="22"/>
                      <w:szCs w:val="22"/>
                    </w:rPr>
                    <w:t>Annual</w:t>
                  </w:r>
                </w:p>
              </w:tc>
              <w:tc>
                <w:tcPr>
                  <w:tcW w:w="2660" w:type="dxa"/>
                  <w:gridSpan w:val="3"/>
                  <w:tcBorders>
                    <w:top w:val="nil"/>
                    <w:left w:val="nil"/>
                    <w:bottom w:val="nil"/>
                    <w:right w:val="single" w:sz="8" w:space="0" w:color="FFFFFF"/>
                  </w:tcBorders>
                  <w:shd w:val="clear" w:color="000000" w:fill="816EA6"/>
                  <w:vAlign w:val="center"/>
                  <w:hideMark/>
                </w:tcPr>
                <w:p w:rsidR="00075A82" w:rsidRPr="00075A82" w:rsidRDefault="00075A82" w:rsidP="00075A82">
                  <w:pPr>
                    <w:jc w:val="center"/>
                    <w:rPr>
                      <w:rFonts w:ascii="Arial" w:hAnsi="Arial" w:cs="Arial"/>
                      <w:b/>
                      <w:bCs/>
                      <w:color w:val="FFFFFF"/>
                      <w:sz w:val="22"/>
                      <w:szCs w:val="22"/>
                    </w:rPr>
                  </w:pPr>
                  <w:r w:rsidRPr="00075A82">
                    <w:rPr>
                      <w:rFonts w:ascii="Arial" w:hAnsi="Arial" w:cs="Arial"/>
                      <w:b/>
                      <w:bCs/>
                      <w:color w:val="FFFFFF"/>
                      <w:sz w:val="22"/>
                      <w:szCs w:val="22"/>
                    </w:rPr>
                    <w:t>In month (£)</w:t>
                  </w:r>
                </w:p>
              </w:tc>
              <w:tc>
                <w:tcPr>
                  <w:tcW w:w="2720" w:type="dxa"/>
                  <w:gridSpan w:val="3"/>
                  <w:tcBorders>
                    <w:top w:val="nil"/>
                    <w:left w:val="nil"/>
                    <w:bottom w:val="nil"/>
                    <w:right w:val="single" w:sz="8" w:space="0" w:color="FFFFFF"/>
                  </w:tcBorders>
                  <w:shd w:val="clear" w:color="000000" w:fill="55ACD3"/>
                  <w:vAlign w:val="center"/>
                  <w:hideMark/>
                </w:tcPr>
                <w:p w:rsidR="00075A82" w:rsidRPr="00075A82" w:rsidRDefault="00075A82" w:rsidP="00075A82">
                  <w:pPr>
                    <w:jc w:val="center"/>
                    <w:rPr>
                      <w:rFonts w:ascii="Arial" w:hAnsi="Arial" w:cs="Arial"/>
                      <w:b/>
                      <w:bCs/>
                      <w:color w:val="FFFFFF"/>
                      <w:sz w:val="22"/>
                      <w:szCs w:val="22"/>
                    </w:rPr>
                  </w:pPr>
                  <w:r w:rsidRPr="00075A82">
                    <w:rPr>
                      <w:rFonts w:ascii="Arial" w:hAnsi="Arial" w:cs="Arial"/>
                      <w:b/>
                      <w:bCs/>
                      <w:color w:val="FFFFFF"/>
                      <w:sz w:val="22"/>
                      <w:szCs w:val="22"/>
                    </w:rPr>
                    <w:t>Year to date (£)</w:t>
                  </w:r>
                </w:p>
              </w:tc>
            </w:tr>
            <w:tr w:rsidR="00075A82" w:rsidRPr="00075A82" w:rsidTr="00075A82">
              <w:trPr>
                <w:trHeight w:val="300"/>
              </w:trPr>
              <w:tc>
                <w:tcPr>
                  <w:tcW w:w="5740" w:type="dxa"/>
                  <w:tcBorders>
                    <w:top w:val="nil"/>
                    <w:left w:val="nil"/>
                    <w:bottom w:val="nil"/>
                    <w:right w:val="single" w:sz="8" w:space="0" w:color="FFFFFF"/>
                  </w:tcBorders>
                  <w:shd w:val="clear" w:color="000000" w:fill="C7E3E0"/>
                  <w:vAlign w:val="center"/>
                  <w:hideMark/>
                </w:tcPr>
                <w:p w:rsidR="00075A82" w:rsidRPr="00075A82" w:rsidRDefault="00075A82" w:rsidP="00075A82">
                  <w:pPr>
                    <w:jc w:val="center"/>
                    <w:rPr>
                      <w:rFonts w:ascii="Arial" w:hAnsi="Arial" w:cs="Arial"/>
                      <w:b/>
                      <w:bCs/>
                      <w:color w:val="000000"/>
                      <w:sz w:val="22"/>
                      <w:szCs w:val="22"/>
                    </w:rPr>
                  </w:pPr>
                  <w:r w:rsidRPr="00075A82">
                    <w:rPr>
                      <w:rFonts w:ascii="Arial" w:hAnsi="Arial" w:cs="Arial"/>
                      <w:b/>
                      <w:bCs/>
                      <w:color w:val="000000"/>
                      <w:sz w:val="22"/>
                      <w:szCs w:val="22"/>
                    </w:rPr>
                    <w:t>Name</w:t>
                  </w:r>
                </w:p>
              </w:tc>
              <w:tc>
                <w:tcPr>
                  <w:tcW w:w="1180" w:type="dxa"/>
                  <w:tcBorders>
                    <w:top w:val="nil"/>
                    <w:left w:val="nil"/>
                    <w:bottom w:val="nil"/>
                    <w:right w:val="single" w:sz="8" w:space="0" w:color="FFFFFF"/>
                  </w:tcBorders>
                  <w:shd w:val="clear" w:color="000000" w:fill="D1819A"/>
                  <w:vAlign w:val="center"/>
                  <w:hideMark/>
                </w:tcPr>
                <w:p w:rsidR="00075A82" w:rsidRPr="00075A82" w:rsidRDefault="00075A82" w:rsidP="00075A82">
                  <w:pPr>
                    <w:jc w:val="center"/>
                    <w:rPr>
                      <w:rFonts w:ascii="Arial" w:hAnsi="Arial" w:cs="Arial"/>
                      <w:b/>
                      <w:bCs/>
                      <w:color w:val="FFFFFF"/>
                      <w:sz w:val="22"/>
                      <w:szCs w:val="22"/>
                    </w:rPr>
                  </w:pPr>
                  <w:r w:rsidRPr="00075A82">
                    <w:rPr>
                      <w:rFonts w:ascii="Arial" w:hAnsi="Arial" w:cs="Arial"/>
                      <w:b/>
                      <w:bCs/>
                      <w:color w:val="FFFFFF"/>
                      <w:sz w:val="22"/>
                      <w:szCs w:val="22"/>
                    </w:rPr>
                    <w:t>budget (£)</w:t>
                  </w:r>
                </w:p>
              </w:tc>
              <w:tc>
                <w:tcPr>
                  <w:tcW w:w="880" w:type="dxa"/>
                  <w:tcBorders>
                    <w:top w:val="nil"/>
                    <w:left w:val="nil"/>
                    <w:bottom w:val="nil"/>
                    <w:right w:val="single" w:sz="8" w:space="0" w:color="816EA6"/>
                  </w:tcBorders>
                  <w:shd w:val="clear" w:color="000000" w:fill="C0B8D0"/>
                  <w:vAlign w:val="center"/>
                  <w:hideMark/>
                </w:tcPr>
                <w:p w:rsidR="00075A82" w:rsidRPr="00075A82" w:rsidRDefault="00075A82" w:rsidP="00075A82">
                  <w:pPr>
                    <w:jc w:val="center"/>
                    <w:rPr>
                      <w:rFonts w:ascii="Arial" w:hAnsi="Arial" w:cs="Arial"/>
                      <w:b/>
                      <w:bCs/>
                      <w:color w:val="000000"/>
                      <w:sz w:val="22"/>
                      <w:szCs w:val="22"/>
                    </w:rPr>
                  </w:pPr>
                  <w:r w:rsidRPr="00075A82">
                    <w:rPr>
                      <w:rFonts w:ascii="Arial" w:hAnsi="Arial" w:cs="Arial"/>
                      <w:b/>
                      <w:bCs/>
                      <w:color w:val="000000"/>
                      <w:sz w:val="22"/>
                      <w:szCs w:val="22"/>
                    </w:rPr>
                    <w:t>Budget</w:t>
                  </w:r>
                </w:p>
              </w:tc>
              <w:tc>
                <w:tcPr>
                  <w:tcW w:w="760" w:type="dxa"/>
                  <w:tcBorders>
                    <w:top w:val="nil"/>
                    <w:left w:val="nil"/>
                    <w:bottom w:val="nil"/>
                    <w:right w:val="single" w:sz="8" w:space="0" w:color="816EA6"/>
                  </w:tcBorders>
                  <w:shd w:val="clear" w:color="000000" w:fill="C0B8D0"/>
                  <w:vAlign w:val="center"/>
                  <w:hideMark/>
                </w:tcPr>
                <w:p w:rsidR="00075A82" w:rsidRPr="00075A82" w:rsidRDefault="00075A82" w:rsidP="00075A82">
                  <w:pPr>
                    <w:jc w:val="center"/>
                    <w:rPr>
                      <w:rFonts w:ascii="Arial" w:hAnsi="Arial" w:cs="Arial"/>
                      <w:b/>
                      <w:bCs/>
                      <w:color w:val="000000"/>
                      <w:sz w:val="22"/>
                      <w:szCs w:val="22"/>
                    </w:rPr>
                  </w:pPr>
                  <w:r w:rsidRPr="00075A82">
                    <w:rPr>
                      <w:rFonts w:ascii="Arial" w:hAnsi="Arial" w:cs="Arial"/>
                      <w:b/>
                      <w:bCs/>
                      <w:color w:val="000000"/>
                      <w:sz w:val="22"/>
                      <w:szCs w:val="22"/>
                    </w:rPr>
                    <w:t>Actual</w:t>
                  </w:r>
                </w:p>
              </w:tc>
              <w:tc>
                <w:tcPr>
                  <w:tcW w:w="1020" w:type="dxa"/>
                  <w:tcBorders>
                    <w:top w:val="nil"/>
                    <w:left w:val="nil"/>
                    <w:bottom w:val="nil"/>
                    <w:right w:val="single" w:sz="8" w:space="0" w:color="FFFFFF"/>
                  </w:tcBorders>
                  <w:shd w:val="clear" w:color="000000" w:fill="C0B8D0"/>
                  <w:vAlign w:val="center"/>
                  <w:hideMark/>
                </w:tcPr>
                <w:p w:rsidR="00075A82" w:rsidRPr="00075A82" w:rsidRDefault="00075A82" w:rsidP="00075A82">
                  <w:pPr>
                    <w:jc w:val="center"/>
                    <w:rPr>
                      <w:rFonts w:ascii="Arial" w:hAnsi="Arial" w:cs="Arial"/>
                      <w:b/>
                      <w:bCs/>
                      <w:color w:val="000000"/>
                      <w:sz w:val="22"/>
                      <w:szCs w:val="22"/>
                    </w:rPr>
                  </w:pPr>
                  <w:r w:rsidRPr="00075A82">
                    <w:rPr>
                      <w:rFonts w:ascii="Arial" w:hAnsi="Arial" w:cs="Arial"/>
                      <w:b/>
                      <w:bCs/>
                      <w:color w:val="000000"/>
                      <w:sz w:val="22"/>
                      <w:szCs w:val="22"/>
                    </w:rPr>
                    <w:t>Variance</w:t>
                  </w:r>
                </w:p>
              </w:tc>
              <w:tc>
                <w:tcPr>
                  <w:tcW w:w="880" w:type="dxa"/>
                  <w:tcBorders>
                    <w:top w:val="nil"/>
                    <w:left w:val="nil"/>
                    <w:bottom w:val="nil"/>
                    <w:right w:val="single" w:sz="8" w:space="0" w:color="55ACD3"/>
                  </w:tcBorders>
                  <w:shd w:val="clear" w:color="000000" w:fill="B6D5E4"/>
                  <w:vAlign w:val="center"/>
                  <w:hideMark/>
                </w:tcPr>
                <w:p w:rsidR="00075A82" w:rsidRPr="00075A82" w:rsidRDefault="00075A82" w:rsidP="00075A82">
                  <w:pPr>
                    <w:rPr>
                      <w:rFonts w:ascii="Arial" w:hAnsi="Arial" w:cs="Arial"/>
                      <w:b/>
                      <w:bCs/>
                      <w:color w:val="000000"/>
                      <w:sz w:val="22"/>
                      <w:szCs w:val="22"/>
                    </w:rPr>
                  </w:pPr>
                  <w:r w:rsidRPr="00075A82">
                    <w:rPr>
                      <w:rFonts w:ascii="Arial" w:hAnsi="Arial" w:cs="Arial"/>
                      <w:b/>
                      <w:bCs/>
                      <w:color w:val="000000"/>
                      <w:sz w:val="22"/>
                      <w:szCs w:val="22"/>
                    </w:rPr>
                    <w:t>Budget</w:t>
                  </w:r>
                </w:p>
              </w:tc>
              <w:tc>
                <w:tcPr>
                  <w:tcW w:w="820" w:type="dxa"/>
                  <w:tcBorders>
                    <w:top w:val="nil"/>
                    <w:left w:val="nil"/>
                    <w:bottom w:val="nil"/>
                    <w:right w:val="single" w:sz="8" w:space="0" w:color="55ACD3"/>
                  </w:tcBorders>
                  <w:shd w:val="clear" w:color="000000" w:fill="B6D5E4"/>
                  <w:vAlign w:val="center"/>
                  <w:hideMark/>
                </w:tcPr>
                <w:p w:rsidR="00075A82" w:rsidRPr="00075A82" w:rsidRDefault="00075A82" w:rsidP="00075A82">
                  <w:pPr>
                    <w:rPr>
                      <w:rFonts w:ascii="Arial" w:hAnsi="Arial" w:cs="Arial"/>
                      <w:b/>
                      <w:bCs/>
                      <w:color w:val="000000"/>
                      <w:sz w:val="22"/>
                      <w:szCs w:val="22"/>
                    </w:rPr>
                  </w:pPr>
                  <w:r w:rsidRPr="00075A82">
                    <w:rPr>
                      <w:rFonts w:ascii="Arial" w:hAnsi="Arial" w:cs="Arial"/>
                      <w:b/>
                      <w:bCs/>
                      <w:color w:val="000000"/>
                      <w:sz w:val="22"/>
                      <w:szCs w:val="22"/>
                    </w:rPr>
                    <w:t>Actual</w:t>
                  </w:r>
                </w:p>
              </w:tc>
              <w:tc>
                <w:tcPr>
                  <w:tcW w:w="1020" w:type="dxa"/>
                  <w:tcBorders>
                    <w:top w:val="nil"/>
                    <w:left w:val="nil"/>
                    <w:bottom w:val="nil"/>
                    <w:right w:val="nil"/>
                  </w:tcBorders>
                  <w:shd w:val="clear" w:color="000000" w:fill="B6D5E4"/>
                  <w:vAlign w:val="center"/>
                  <w:hideMark/>
                </w:tcPr>
                <w:p w:rsidR="00075A82" w:rsidRPr="00075A82" w:rsidRDefault="00075A82" w:rsidP="00075A82">
                  <w:pPr>
                    <w:rPr>
                      <w:rFonts w:ascii="Arial" w:hAnsi="Arial" w:cs="Arial"/>
                      <w:b/>
                      <w:bCs/>
                      <w:color w:val="000000"/>
                      <w:sz w:val="22"/>
                      <w:szCs w:val="22"/>
                    </w:rPr>
                  </w:pPr>
                  <w:r w:rsidRPr="00075A82">
                    <w:rPr>
                      <w:rFonts w:ascii="Arial" w:hAnsi="Arial" w:cs="Arial"/>
                      <w:b/>
                      <w:bCs/>
                      <w:color w:val="000000"/>
                      <w:sz w:val="22"/>
                      <w:szCs w:val="22"/>
                    </w:rPr>
                    <w:t>Variance</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1 Meeting Rooms/Catering</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232,395</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25,508</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25,006</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(502)</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131,857</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97,522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(34,336)</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2 Office equipment/Stationery/Furniture/Consumable</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88,487</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8,798</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5,650</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(3,148)</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61,413</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57,405</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(4,008)</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3 Photocopying/Printing/Postage/Storage/Waste</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175,875</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15,932</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16,335</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403</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116,672</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118,016</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1,344</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 xml:space="preserve">4 Premises - </w:t>
                  </w:r>
                  <w:proofErr w:type="spellStart"/>
                  <w:r w:rsidRPr="00075A82">
                    <w:rPr>
                      <w:rFonts w:ascii="Arial Narrow" w:hAnsi="Arial Narrow" w:cs="Calibri"/>
                      <w:b/>
                      <w:bCs/>
                      <w:color w:val="000000"/>
                      <w:sz w:val="20"/>
                      <w:szCs w:val="20"/>
                    </w:rPr>
                    <w:t>inc</w:t>
                  </w:r>
                  <w:proofErr w:type="spellEnd"/>
                  <w:r w:rsidRPr="00075A82">
                    <w:rPr>
                      <w:rFonts w:ascii="Arial Narrow" w:hAnsi="Arial Narrow" w:cs="Calibri"/>
                      <w:b/>
                      <w:bCs/>
                      <w:color w:val="000000"/>
                      <w:sz w:val="20"/>
                      <w:szCs w:val="20"/>
                    </w:rPr>
                    <w:t xml:space="preserve"> premise removal costs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817,345</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11,151</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15,732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4,580</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524,859</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561,859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37,000</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5 Training Expenses - expenses/materials , conferences, workshops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110,306</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15,566</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3,418</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(12,148)</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50,143</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38,862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(11,280)</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7 Other Staff costs - Recruitment/adverts/redundancy/PILON</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17,682</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11,682</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11,258</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(424)</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8 Travel costs - include excess mileage/interview expenses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560,733</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54,374</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64,836</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10,462</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355,453</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349,859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(5,595)</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9 Chairs/Members/Participation - activity costs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707,029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50,592</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51,387</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(16,169)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416,178</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414,474</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(16,964)</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10 Publications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4,800</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399</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(399)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3,193</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1,137</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(2,056)</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11 Mobile Phones/Mobile Data</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25,691</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2,017</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(2,099)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16,522</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14,069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(2,453)</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 xml:space="preserve">12 Statutory Costs - health &amp; Safety/Audit Fees/Depreciation &amp; </w:t>
                  </w:r>
                  <w:proofErr w:type="spellStart"/>
                  <w:r w:rsidRPr="00075A82">
                    <w:rPr>
                      <w:rFonts w:ascii="Arial Narrow" w:hAnsi="Arial Narrow" w:cs="Calibri"/>
                      <w:b/>
                      <w:bCs/>
                      <w:color w:val="000000"/>
                      <w:sz w:val="20"/>
                      <w:szCs w:val="20"/>
                    </w:rPr>
                    <w:t>Amort</w:t>
                  </w:r>
                  <w:proofErr w:type="spellEnd"/>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247,249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7,057</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7,442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385</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111,539</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98,058</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(13,481)</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13 Computer Costs - software/licences/system maintenance/purchases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89,525</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3,629</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(7,024)</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(10,653)</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74,499</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104,579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30,080</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14 Other External Contracts - SLA's - Premises, SBS,BSA, DH IT</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929,580</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58,030</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86,752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28,722</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597,191</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557,409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(39,783)</w:t>
                  </w:r>
                </w:p>
              </w:tc>
            </w:tr>
            <w:tr w:rsidR="00075A82" w:rsidRPr="00075A82" w:rsidTr="00075A82">
              <w:trPr>
                <w:trHeight w:val="255"/>
              </w:trPr>
              <w:tc>
                <w:tcPr>
                  <w:tcW w:w="5740" w:type="dxa"/>
                  <w:tcBorders>
                    <w:top w:val="nil"/>
                    <w:left w:val="nil"/>
                    <w:bottom w:val="nil"/>
                    <w:right w:val="nil"/>
                  </w:tcBorders>
                  <w:shd w:val="clear" w:color="auto" w:fill="auto"/>
                  <w:noWrap/>
                  <w:vAlign w:val="bottom"/>
                  <w:hideMark/>
                </w:tcPr>
                <w:p w:rsidR="00075A82" w:rsidRPr="00075A82" w:rsidRDefault="00075A82" w:rsidP="00075A82">
                  <w:pPr>
                    <w:outlineLvl w:val="0"/>
                    <w:rPr>
                      <w:rFonts w:ascii="Arial Narrow" w:hAnsi="Arial Narrow" w:cs="Calibri"/>
                      <w:b/>
                      <w:bCs/>
                      <w:color w:val="000000"/>
                      <w:sz w:val="20"/>
                      <w:szCs w:val="20"/>
                    </w:rPr>
                  </w:pPr>
                  <w:r w:rsidRPr="00075A82">
                    <w:rPr>
                      <w:rFonts w:ascii="Arial Narrow" w:hAnsi="Arial Narrow" w:cs="Calibri"/>
                      <w:b/>
                      <w:bCs/>
                      <w:color w:val="000000"/>
                      <w:sz w:val="20"/>
                      <w:szCs w:val="20"/>
                    </w:rPr>
                    <w:t xml:space="preserve">15 Other - </w:t>
                  </w:r>
                  <w:proofErr w:type="spellStart"/>
                  <w:r w:rsidRPr="00075A82">
                    <w:rPr>
                      <w:rFonts w:ascii="Arial Narrow" w:hAnsi="Arial Narrow" w:cs="Calibri"/>
                      <w:b/>
                      <w:bCs/>
                      <w:color w:val="000000"/>
                      <w:sz w:val="20"/>
                      <w:szCs w:val="20"/>
                    </w:rPr>
                    <w:t>Misc</w:t>
                  </w:r>
                  <w:proofErr w:type="spellEnd"/>
                  <w:r w:rsidRPr="00075A82">
                    <w:rPr>
                      <w:rFonts w:ascii="Arial Narrow" w:hAnsi="Arial Narrow" w:cs="Calibri"/>
                      <w:b/>
                      <w:bCs/>
                      <w:color w:val="000000"/>
                      <w:sz w:val="20"/>
                      <w:szCs w:val="20"/>
                    </w:rPr>
                    <w:t>/Reserves</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3,497,958</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(22,509)</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(22,509)</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0</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(21,786)</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outlineLvl w:val="0"/>
                    <w:rPr>
                      <w:rFonts w:ascii="Arial" w:hAnsi="Arial" w:cs="Arial"/>
                      <w:color w:val="000000"/>
                      <w:sz w:val="16"/>
                      <w:szCs w:val="16"/>
                    </w:rPr>
                  </w:pPr>
                  <w:r w:rsidRPr="00075A82">
                    <w:rPr>
                      <w:rFonts w:ascii="Arial" w:hAnsi="Arial" w:cs="Arial"/>
                      <w:color w:val="000000"/>
                      <w:sz w:val="16"/>
                      <w:szCs w:val="16"/>
                    </w:rPr>
                    <w:t>(21,786)</w:t>
                  </w:r>
                </w:p>
              </w:tc>
            </w:tr>
            <w:tr w:rsidR="00075A82" w:rsidRPr="00075A82" w:rsidTr="00075A82">
              <w:trPr>
                <w:trHeight w:val="225"/>
              </w:trPr>
              <w:tc>
                <w:tcPr>
                  <w:tcW w:w="5740" w:type="dxa"/>
                  <w:tcBorders>
                    <w:top w:val="nil"/>
                    <w:left w:val="nil"/>
                    <w:bottom w:val="nil"/>
                    <w:right w:val="nil"/>
                  </w:tcBorders>
                  <w:shd w:val="clear" w:color="auto" w:fill="auto"/>
                  <w:vAlign w:val="bottom"/>
                  <w:hideMark/>
                </w:tcPr>
                <w:p w:rsidR="00075A82" w:rsidRPr="00075A82" w:rsidRDefault="00075A82" w:rsidP="00075A82">
                  <w:pPr>
                    <w:rPr>
                      <w:rFonts w:ascii="Arial" w:hAnsi="Arial" w:cs="Arial"/>
                      <w:b/>
                      <w:bCs/>
                      <w:color w:val="000000"/>
                      <w:sz w:val="16"/>
                      <w:szCs w:val="16"/>
                    </w:rPr>
                  </w:pPr>
                  <w:r w:rsidRPr="00075A82">
                    <w:rPr>
                      <w:rFonts w:ascii="Arial" w:hAnsi="Arial" w:cs="Arial"/>
                      <w:b/>
                      <w:bCs/>
                      <w:color w:val="000000"/>
                      <w:sz w:val="16"/>
                      <w:szCs w:val="16"/>
                    </w:rPr>
                    <w:t>Total</w:t>
                  </w:r>
                </w:p>
              </w:tc>
              <w:tc>
                <w:tcPr>
                  <w:tcW w:w="118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6,780,662</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185,497</w:t>
                  </w:r>
                </w:p>
              </w:tc>
              <w:tc>
                <w:tcPr>
                  <w:tcW w:w="76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178,592</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(23,870)</w:t>
                  </w:r>
                </w:p>
              </w:tc>
              <w:tc>
                <w:tcPr>
                  <w:tcW w:w="88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2,038,059</w:t>
                  </w:r>
                </w:p>
              </w:tc>
              <w:tc>
                <w:tcPr>
                  <w:tcW w:w="82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1,971,283</w:t>
                  </w:r>
                </w:p>
              </w:tc>
              <w:tc>
                <w:tcPr>
                  <w:tcW w:w="1020" w:type="dxa"/>
                  <w:tcBorders>
                    <w:top w:val="nil"/>
                    <w:left w:val="nil"/>
                    <w:bottom w:val="nil"/>
                    <w:right w:val="nil"/>
                  </w:tcBorders>
                  <w:shd w:val="clear" w:color="auto" w:fill="auto"/>
                  <w:vAlign w:val="bottom"/>
                  <w:hideMark/>
                </w:tcPr>
                <w:p w:rsidR="00075A82" w:rsidRPr="00075A82" w:rsidRDefault="00075A82" w:rsidP="00075A82">
                  <w:pPr>
                    <w:jc w:val="right"/>
                    <w:rPr>
                      <w:rFonts w:ascii="Arial" w:hAnsi="Arial" w:cs="Arial"/>
                      <w:b/>
                      <w:bCs/>
                      <w:color w:val="000000"/>
                      <w:sz w:val="16"/>
                      <w:szCs w:val="16"/>
                    </w:rPr>
                  </w:pPr>
                  <w:r w:rsidRPr="00075A82">
                    <w:rPr>
                      <w:rFonts w:ascii="Arial" w:hAnsi="Arial" w:cs="Arial"/>
                      <w:b/>
                      <w:bCs/>
                      <w:color w:val="000000"/>
                      <w:sz w:val="16"/>
                      <w:szCs w:val="16"/>
                    </w:rPr>
                    <w:t>(83,742)</w:t>
                  </w:r>
                </w:p>
              </w:tc>
            </w:tr>
          </w:tbl>
          <w:p w:rsidR="00406C23" w:rsidRPr="00406C23" w:rsidRDefault="00406C23" w:rsidP="00406C23">
            <w:pPr>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445C3C" w:rsidRPr="00540FAA" w:rsidRDefault="00445C3C" w:rsidP="00D95040">
            <w:pPr>
              <w:pStyle w:val="ListParagraph"/>
              <w:tabs>
                <w:tab w:val="left" w:pos="2172"/>
              </w:tabs>
              <w:spacing w:after="200" w:line="276" w:lineRule="auto"/>
              <w:rPr>
                <w:rFonts w:ascii="Arial" w:hAnsi="Arial" w:cs="Arial"/>
                <w:sz w:val="22"/>
                <w:szCs w:val="22"/>
              </w:rPr>
            </w:pPr>
            <w:r>
              <w:rPr>
                <w:rFonts w:ascii="Arial" w:hAnsi="Arial" w:cs="Arial"/>
                <w:sz w:val="22"/>
                <w:szCs w:val="22"/>
              </w:rPr>
              <w:t xml:space="preserve"> </w:t>
            </w:r>
          </w:p>
        </w:tc>
      </w:tr>
    </w:tbl>
    <w:p w:rsidR="00445C3C" w:rsidRDefault="00445C3C">
      <w:pPr>
        <w:spacing w:after="200" w:line="276" w:lineRule="auto"/>
        <w:rPr>
          <w:rFonts w:ascii="Arial" w:eastAsia="Calibri" w:hAnsi="Arial"/>
          <w:b/>
          <w:bCs/>
          <w:color w:val="1F497D"/>
          <w:szCs w:val="26"/>
          <w:lang w:eastAsia="en-US"/>
        </w:rPr>
      </w:pPr>
    </w:p>
    <w:p w:rsidR="000A0F37" w:rsidRDefault="000A0F37">
      <w:pPr>
        <w:spacing w:after="200" w:line="276" w:lineRule="auto"/>
        <w:rPr>
          <w:rFonts w:ascii="Arial" w:eastAsia="Calibri" w:hAnsi="Arial"/>
          <w:b/>
          <w:bCs/>
          <w:color w:val="1F497D"/>
          <w:szCs w:val="26"/>
          <w:lang w:eastAsia="en-US"/>
        </w:rPr>
      </w:pPr>
    </w:p>
    <w:p w:rsidR="00ED1A56" w:rsidRDefault="00ED1A56" w:rsidP="007C7418">
      <w:pPr>
        <w:spacing w:after="200" w:line="276" w:lineRule="auto"/>
        <w:rPr>
          <w:rFonts w:ascii="Arial" w:eastAsia="Calibri" w:hAnsi="Arial"/>
          <w:b/>
          <w:bCs/>
          <w:color w:val="56008C"/>
          <w:szCs w:val="26"/>
          <w:lang w:eastAsia="en-US"/>
        </w:rPr>
      </w:pPr>
    </w:p>
    <w:p w:rsidR="00C62D4B" w:rsidRDefault="00C62D4B" w:rsidP="007C7418">
      <w:pPr>
        <w:spacing w:after="200" w:line="276" w:lineRule="auto"/>
        <w:rPr>
          <w:rFonts w:ascii="Arial" w:eastAsia="Calibri" w:hAnsi="Arial"/>
          <w:b/>
          <w:bCs/>
          <w:color w:val="56008C"/>
          <w:szCs w:val="26"/>
          <w:lang w:eastAsia="en-US"/>
        </w:rPr>
      </w:pPr>
    </w:p>
    <w:p w:rsidR="005373EA" w:rsidRPr="00A422D8" w:rsidRDefault="005373EA" w:rsidP="007C7418">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HRA Better Payment Practice C</w:t>
      </w:r>
      <w:r w:rsidR="00606CBA" w:rsidRPr="00A422D8">
        <w:rPr>
          <w:rFonts w:ascii="Arial" w:eastAsia="Calibri" w:hAnsi="Arial"/>
          <w:b/>
          <w:bCs/>
          <w:color w:val="56008C"/>
          <w:szCs w:val="26"/>
          <w:lang w:eastAsia="en-US"/>
        </w:rPr>
        <w:t>ode</w:t>
      </w:r>
      <w:r w:rsidR="00714E4B" w:rsidRPr="00A422D8">
        <w:rPr>
          <w:rFonts w:ascii="Arial" w:eastAsia="Calibri" w:hAnsi="Arial"/>
          <w:b/>
          <w:bCs/>
          <w:color w:val="56008C"/>
          <w:szCs w:val="26"/>
          <w:lang w:eastAsia="en-US"/>
        </w:rPr>
        <w:t xml:space="preserve"> f</w:t>
      </w:r>
      <w:r w:rsidR="00D65E0A" w:rsidRPr="00A422D8">
        <w:rPr>
          <w:rFonts w:ascii="Arial" w:eastAsia="Calibri" w:hAnsi="Arial"/>
          <w:b/>
          <w:bCs/>
          <w:color w:val="56008C"/>
          <w:szCs w:val="26"/>
          <w:lang w:eastAsia="en-US"/>
        </w:rPr>
        <w:t xml:space="preserve">or </w:t>
      </w:r>
      <w:r w:rsidR="00F90C53">
        <w:rPr>
          <w:rFonts w:ascii="Arial" w:eastAsia="Calibri" w:hAnsi="Arial"/>
          <w:b/>
          <w:bCs/>
          <w:color w:val="56008C"/>
          <w:szCs w:val="26"/>
          <w:lang w:eastAsia="en-US"/>
        </w:rPr>
        <w:t xml:space="preserve">the period 1 April </w:t>
      </w:r>
      <w:r w:rsidR="00163A5A">
        <w:rPr>
          <w:rFonts w:ascii="Arial" w:eastAsia="Calibri" w:hAnsi="Arial"/>
          <w:b/>
          <w:bCs/>
          <w:color w:val="56008C"/>
          <w:szCs w:val="26"/>
          <w:lang w:eastAsia="en-US"/>
        </w:rPr>
        <w:t>to 3</w:t>
      </w:r>
      <w:r w:rsidR="00927590">
        <w:rPr>
          <w:rFonts w:ascii="Arial" w:eastAsia="Calibri" w:hAnsi="Arial"/>
          <w:b/>
          <w:bCs/>
          <w:color w:val="56008C"/>
          <w:szCs w:val="26"/>
          <w:lang w:eastAsia="en-US"/>
        </w:rPr>
        <w:t>0</w:t>
      </w:r>
      <w:r w:rsidR="00552D9B">
        <w:rPr>
          <w:rFonts w:ascii="Arial" w:eastAsia="Calibri" w:hAnsi="Arial"/>
          <w:b/>
          <w:bCs/>
          <w:color w:val="56008C"/>
          <w:szCs w:val="26"/>
          <w:lang w:eastAsia="en-US"/>
        </w:rPr>
        <w:t xml:space="preserve"> November</w:t>
      </w:r>
      <w:r w:rsidR="00DD6897">
        <w:rPr>
          <w:rFonts w:ascii="Arial" w:eastAsia="Calibri" w:hAnsi="Arial"/>
          <w:b/>
          <w:bCs/>
          <w:color w:val="56008C"/>
          <w:szCs w:val="26"/>
          <w:lang w:eastAsia="en-US"/>
        </w:rPr>
        <w:t xml:space="preserve"> </w:t>
      </w:r>
      <w:r w:rsidR="005C269A">
        <w:rPr>
          <w:rFonts w:ascii="Arial" w:eastAsia="Calibri" w:hAnsi="Arial"/>
          <w:b/>
          <w:bCs/>
          <w:color w:val="56008C"/>
          <w:szCs w:val="26"/>
          <w:lang w:eastAsia="en-US"/>
        </w:rPr>
        <w:t>2014</w:t>
      </w:r>
    </w:p>
    <w:tbl>
      <w:tblPr>
        <w:tblW w:w="6960" w:type="dxa"/>
        <w:tblInd w:w="3135" w:type="dxa"/>
        <w:tblLook w:val="04A0" w:firstRow="1" w:lastRow="0" w:firstColumn="1" w:lastColumn="0" w:noHBand="0" w:noVBand="1"/>
      </w:tblPr>
      <w:tblGrid>
        <w:gridCol w:w="2020"/>
        <w:gridCol w:w="1300"/>
        <w:gridCol w:w="1160"/>
        <w:gridCol w:w="1320"/>
        <w:gridCol w:w="1160"/>
      </w:tblGrid>
      <w:tr w:rsidR="000B79E8" w:rsidRPr="000B79E8" w:rsidTr="000B79E8">
        <w:trPr>
          <w:trHeight w:val="33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9E8" w:rsidRPr="000B79E8" w:rsidRDefault="000B79E8" w:rsidP="000B79E8">
            <w:pPr>
              <w:rPr>
                <w:rFonts w:ascii="Calibri" w:hAnsi="Calibri" w:cs="Calibri"/>
                <w:color w:val="000000"/>
              </w:rPr>
            </w:pPr>
            <w:r w:rsidRPr="000B79E8">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r>
      <w:tr w:rsidR="00552D9B" w:rsidRPr="000B79E8" w:rsidTr="000B79E8">
        <w:trPr>
          <w:trHeight w:val="33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552D9B" w:rsidRPr="000B79E8" w:rsidRDefault="00552D9B" w:rsidP="000B79E8">
            <w:pPr>
              <w:rPr>
                <w:rFonts w:ascii="Calibri" w:hAnsi="Calibri" w:cs="Calibri"/>
                <w:color w:val="000000"/>
              </w:rPr>
            </w:pPr>
            <w:r w:rsidRPr="000B79E8">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164</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6%</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796,661</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28%</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1464</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50%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928,843</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33%</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1163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40%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937,149</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33%</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53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34,813</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63</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126,492</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4%</w:t>
            </w:r>
          </w:p>
        </w:tc>
      </w:tr>
      <w:tr w:rsidR="00552D9B"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552D9B" w:rsidRPr="000B79E8" w:rsidRDefault="00552D9B" w:rsidP="000B79E8">
            <w:pPr>
              <w:rPr>
                <w:rFonts w:ascii="Calibri" w:hAnsi="Calibri" w:cs="Calibri"/>
                <w:color w:val="000000"/>
                <w:sz w:val="22"/>
                <w:szCs w:val="22"/>
              </w:rPr>
            </w:pPr>
            <w:r w:rsidRPr="000B79E8">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2,907</w:t>
            </w:r>
          </w:p>
        </w:tc>
        <w:tc>
          <w:tcPr>
            <w:tcW w:w="1160" w:type="dxa"/>
            <w:tcBorders>
              <w:top w:val="nil"/>
              <w:left w:val="nil"/>
              <w:bottom w:val="single" w:sz="8" w:space="0" w:color="auto"/>
              <w:right w:val="single" w:sz="8" w:space="0" w:color="auto"/>
            </w:tcBorders>
            <w:shd w:val="clear" w:color="000000" w:fill="56008C"/>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2,823,958</w:t>
            </w:r>
          </w:p>
        </w:tc>
        <w:tc>
          <w:tcPr>
            <w:tcW w:w="1160" w:type="dxa"/>
            <w:tcBorders>
              <w:top w:val="nil"/>
              <w:left w:val="nil"/>
              <w:bottom w:val="single" w:sz="8" w:space="0" w:color="auto"/>
              <w:right w:val="single" w:sz="8" w:space="0" w:color="auto"/>
            </w:tcBorders>
            <w:shd w:val="clear" w:color="000000" w:fill="E28C05"/>
            <w:noWrap/>
            <w:vAlign w:val="center"/>
            <w:hideMark/>
          </w:tcPr>
          <w:p w:rsidR="00552D9B" w:rsidRDefault="00552D9B">
            <w:pPr>
              <w:jc w:val="right"/>
              <w:rPr>
                <w:rFonts w:ascii="Calibri" w:hAnsi="Calibri" w:cs="Calibri"/>
                <w:color w:val="FFFFFF"/>
                <w:sz w:val="22"/>
                <w:szCs w:val="22"/>
              </w:rPr>
            </w:pPr>
            <w:r>
              <w:rPr>
                <w:rFonts w:ascii="Calibri" w:hAnsi="Calibri" w:cs="Calibri"/>
                <w:color w:val="FFFFFF"/>
                <w:sz w:val="22"/>
                <w:szCs w:val="22"/>
              </w:rPr>
              <w:t>100%</w:t>
            </w:r>
          </w:p>
        </w:tc>
      </w:tr>
      <w:tr w:rsidR="00945882" w:rsidRPr="000B79E8" w:rsidTr="000B79E8">
        <w:trPr>
          <w:trHeight w:val="315"/>
        </w:trPr>
        <w:tc>
          <w:tcPr>
            <w:tcW w:w="202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945882" w:rsidRPr="000B79E8" w:rsidRDefault="00945882" w:rsidP="000B79E8">
            <w:pPr>
              <w:rPr>
                <w:rFonts w:ascii="Calibri" w:hAnsi="Calibri" w:cs="Calibri"/>
                <w:color w:val="000000"/>
                <w:sz w:val="22"/>
                <w:szCs w:val="22"/>
              </w:rPr>
            </w:pPr>
          </w:p>
        </w:tc>
      </w:tr>
      <w:tr w:rsidR="00945882" w:rsidRPr="000B79E8" w:rsidTr="000B79E8">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45882" w:rsidRPr="000B79E8" w:rsidRDefault="00945882" w:rsidP="000B79E8">
            <w:pPr>
              <w:rPr>
                <w:rFonts w:ascii="Calibri" w:hAnsi="Calibri" w:cs="Calibri"/>
                <w:b/>
                <w:bCs/>
                <w:color w:val="000000"/>
                <w:sz w:val="22"/>
                <w:szCs w:val="22"/>
              </w:rPr>
            </w:pPr>
            <w:r w:rsidRPr="000B79E8">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945882" w:rsidRDefault="00945882">
            <w:pPr>
              <w:jc w:val="right"/>
              <w:rPr>
                <w:rFonts w:ascii="Calibri" w:hAnsi="Calibri" w:cs="Calibri"/>
                <w:color w:val="FFFFFF"/>
                <w:sz w:val="22"/>
                <w:szCs w:val="22"/>
              </w:rPr>
            </w:pPr>
            <w:r>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945882" w:rsidRDefault="00945882">
            <w:pPr>
              <w:jc w:val="right"/>
              <w:rPr>
                <w:rFonts w:ascii="Calibri" w:hAnsi="Calibri" w:cs="Calibri"/>
                <w:color w:val="FFFFFF"/>
                <w:sz w:val="22"/>
                <w:szCs w:val="22"/>
              </w:rPr>
            </w:pPr>
            <w:r>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945882" w:rsidRDefault="00552D9B">
            <w:pPr>
              <w:jc w:val="right"/>
              <w:rPr>
                <w:rFonts w:ascii="Calibri" w:hAnsi="Calibri" w:cs="Calibri"/>
                <w:color w:val="FFFFFF"/>
                <w:sz w:val="22"/>
                <w:szCs w:val="22"/>
              </w:rPr>
            </w:pPr>
            <w:r>
              <w:rPr>
                <w:rFonts w:ascii="Calibri" w:hAnsi="Calibri" w:cs="Calibri"/>
                <w:color w:val="FFFFFF"/>
                <w:sz w:val="22"/>
                <w:szCs w:val="22"/>
              </w:rPr>
              <w:t>96</w:t>
            </w:r>
            <w:r w:rsidR="00945882">
              <w:rPr>
                <w:rFonts w:ascii="Calibri" w:hAnsi="Calibri" w:cs="Calibri"/>
                <w:color w:val="FFFFFF"/>
                <w:sz w:val="22"/>
                <w:szCs w:val="22"/>
              </w:rPr>
              <w:t>%</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945882" w:rsidRDefault="00552D9B">
            <w:pPr>
              <w:jc w:val="right"/>
              <w:rPr>
                <w:rFonts w:ascii="Calibri" w:hAnsi="Calibri" w:cs="Calibri"/>
                <w:color w:val="FFFFFF"/>
                <w:sz w:val="22"/>
                <w:szCs w:val="22"/>
              </w:rPr>
            </w:pPr>
            <w:r>
              <w:rPr>
                <w:rFonts w:ascii="Calibri" w:hAnsi="Calibri" w:cs="Calibri"/>
                <w:color w:val="FFFFFF"/>
                <w:sz w:val="22"/>
                <w:szCs w:val="22"/>
              </w:rPr>
              <w:t>96</w:t>
            </w:r>
            <w:r w:rsidR="00945882">
              <w:rPr>
                <w:rFonts w:ascii="Calibri" w:hAnsi="Calibri" w:cs="Calibri"/>
                <w:color w:val="FFFFFF"/>
                <w:sz w:val="22"/>
                <w:szCs w:val="22"/>
              </w:rPr>
              <w:t>%</w:t>
            </w:r>
          </w:p>
        </w:tc>
      </w:tr>
    </w:tbl>
    <w:p w:rsidR="00A05E1F" w:rsidRDefault="00A05E1F">
      <w:pPr>
        <w:spacing w:after="200" w:line="276" w:lineRule="auto"/>
        <w:rPr>
          <w:rFonts w:ascii="Arial" w:eastAsia="Calibri" w:hAnsi="Arial"/>
          <w:b/>
          <w:bCs/>
          <w:color w:val="1F497D"/>
          <w:szCs w:val="26"/>
          <w:lang w:eastAsia="en-US"/>
        </w:rPr>
      </w:pP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927590">
        <w:rPr>
          <w:rFonts w:ascii="Arial" w:eastAsia="Calibri" w:hAnsi="Arial"/>
          <w:b/>
          <w:bCs/>
          <w:color w:val="56008C"/>
          <w:szCs w:val="26"/>
          <w:lang w:eastAsia="en-US"/>
        </w:rPr>
        <w:t xml:space="preserve"> Creditors at 30</w:t>
      </w:r>
      <w:r w:rsidR="00552D9B">
        <w:rPr>
          <w:rFonts w:ascii="Arial" w:eastAsia="Calibri" w:hAnsi="Arial"/>
          <w:b/>
          <w:bCs/>
          <w:color w:val="56008C"/>
          <w:szCs w:val="26"/>
          <w:lang w:eastAsia="en-US"/>
        </w:rPr>
        <w:t xml:space="preserve"> November</w:t>
      </w:r>
      <w:r w:rsidR="00F74DCE">
        <w:rPr>
          <w:rFonts w:ascii="Arial" w:eastAsia="Calibri" w:hAnsi="Arial"/>
          <w:b/>
          <w:bCs/>
          <w:color w:val="56008C"/>
          <w:szCs w:val="26"/>
          <w:lang w:eastAsia="en-US"/>
        </w:rPr>
        <w:t xml:space="preserve"> 2014</w:t>
      </w:r>
    </w:p>
    <w:p w:rsidR="00A74E5F" w:rsidRDefault="00A74E5F" w:rsidP="00A74E5F">
      <w:pPr>
        <w:rPr>
          <w:rFonts w:ascii="Arial" w:hAnsi="Arial" w:cs="Arial"/>
          <w:b/>
          <w:bCs/>
          <w:sz w:val="22"/>
          <w:szCs w:val="22"/>
        </w:rPr>
      </w:pPr>
      <w:r w:rsidRPr="004C536A">
        <w:rPr>
          <w:rFonts w:ascii="Arial" w:hAnsi="Arial" w:cs="Arial"/>
          <w:b/>
          <w:bCs/>
          <w:sz w:val="22"/>
          <w:szCs w:val="22"/>
        </w:rPr>
        <w:t>Headlines</w:t>
      </w:r>
      <w:r w:rsidR="00357BF3" w:rsidRPr="004C536A">
        <w:rPr>
          <w:rFonts w:ascii="Arial" w:hAnsi="Arial" w:cs="Arial"/>
          <w:b/>
          <w:bCs/>
          <w:sz w:val="22"/>
          <w:szCs w:val="22"/>
        </w:rPr>
        <w:t xml:space="preserve"> – clock start date is the invoice date (regardless of when the invoice is received in the system)</w:t>
      </w:r>
      <w:r w:rsidR="00AC3DE8">
        <w:rPr>
          <w:rFonts w:ascii="Arial" w:hAnsi="Arial" w:cs="Arial"/>
          <w:b/>
          <w:bCs/>
          <w:sz w:val="22"/>
          <w:szCs w:val="22"/>
        </w:rPr>
        <w:t xml:space="preserve"> – there are no issues of concern.</w:t>
      </w:r>
    </w:p>
    <w:p w:rsidR="00A74E5F" w:rsidRPr="00EC0486" w:rsidRDefault="00A74E5F" w:rsidP="00A74E5F">
      <w:pPr>
        <w:rPr>
          <w:rFonts w:ascii="Arial" w:hAnsi="Arial" w:cs="Arial"/>
          <w:b/>
          <w:bCs/>
          <w:sz w:val="22"/>
          <w:szCs w:val="22"/>
          <w:highlight w:val="yellow"/>
        </w:rPr>
      </w:pP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60 + days</w:t>
            </w:r>
          </w:p>
        </w:tc>
      </w:tr>
      <w:tr w:rsidR="004C536A" w:rsidRPr="004C536A" w:rsidTr="00F74DCE">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tcPr>
          <w:p w:rsidR="004C536A" w:rsidRPr="004C536A" w:rsidRDefault="00552D9B" w:rsidP="004818C1">
            <w:pPr>
              <w:jc w:val="center"/>
              <w:rPr>
                <w:rFonts w:ascii="Calibri" w:hAnsi="Calibri" w:cs="Calibri"/>
                <w:color w:val="000000"/>
                <w:sz w:val="22"/>
                <w:szCs w:val="22"/>
              </w:rPr>
            </w:pPr>
            <w:r>
              <w:rPr>
                <w:rFonts w:ascii="Calibri" w:hAnsi="Calibri" w:cs="Calibri"/>
                <w:color w:val="000000"/>
                <w:sz w:val="22"/>
                <w:szCs w:val="22"/>
              </w:rPr>
              <w:t>947</w:t>
            </w:r>
          </w:p>
        </w:tc>
        <w:tc>
          <w:tcPr>
            <w:tcW w:w="2700" w:type="dxa"/>
            <w:tcBorders>
              <w:top w:val="nil"/>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1,107</w:t>
            </w:r>
          </w:p>
        </w:tc>
        <w:tc>
          <w:tcPr>
            <w:tcW w:w="2430" w:type="dxa"/>
            <w:tcBorders>
              <w:top w:val="nil"/>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(1448)</w:t>
            </w:r>
          </w:p>
        </w:tc>
      </w:tr>
      <w:tr w:rsidR="004C536A" w:rsidRPr="004C536A" w:rsidTr="00F74DCE">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93</w:t>
            </w:r>
          </w:p>
        </w:tc>
        <w:tc>
          <w:tcPr>
            <w:tcW w:w="2700" w:type="dxa"/>
            <w:tcBorders>
              <w:top w:val="nil"/>
              <w:left w:val="nil"/>
              <w:bottom w:val="nil"/>
              <w:right w:val="single" w:sz="8" w:space="0" w:color="auto"/>
            </w:tcBorders>
            <w:shd w:val="clear" w:color="auto" w:fill="auto"/>
            <w:noWrap/>
          </w:tcPr>
          <w:p w:rsidR="004C536A" w:rsidRPr="004C536A" w:rsidRDefault="004818C1" w:rsidP="004C536A">
            <w:pPr>
              <w:jc w:val="center"/>
              <w:rPr>
                <w:rFonts w:ascii="Calibri" w:hAnsi="Calibri" w:cs="Calibri"/>
                <w:color w:val="000000"/>
                <w:sz w:val="22"/>
                <w:szCs w:val="22"/>
              </w:rPr>
            </w:pPr>
            <w:r>
              <w:rPr>
                <w:rFonts w:ascii="Calibri" w:hAnsi="Calibri" w:cs="Calibri"/>
                <w:color w:val="000000"/>
                <w:sz w:val="22"/>
                <w:szCs w:val="22"/>
              </w:rPr>
              <w:t>0</w:t>
            </w:r>
          </w:p>
        </w:tc>
        <w:tc>
          <w:tcPr>
            <w:tcW w:w="2430" w:type="dxa"/>
            <w:tcBorders>
              <w:top w:val="nil"/>
              <w:left w:val="nil"/>
              <w:bottom w:val="single" w:sz="8" w:space="0" w:color="auto"/>
              <w:right w:val="single" w:sz="8" w:space="0" w:color="auto"/>
            </w:tcBorders>
            <w:shd w:val="clear" w:color="auto" w:fill="auto"/>
            <w:noWrap/>
          </w:tcPr>
          <w:p w:rsidR="004C536A" w:rsidRPr="004C536A" w:rsidRDefault="00552D9B" w:rsidP="00A56559">
            <w:pPr>
              <w:jc w:val="center"/>
              <w:rPr>
                <w:rFonts w:ascii="Calibri" w:hAnsi="Calibri" w:cs="Calibri"/>
                <w:color w:val="000000"/>
                <w:sz w:val="22"/>
                <w:szCs w:val="22"/>
              </w:rPr>
            </w:pPr>
            <w:r>
              <w:rPr>
                <w:rFonts w:ascii="Calibri" w:hAnsi="Calibri" w:cs="Calibri"/>
                <w:color w:val="000000"/>
                <w:sz w:val="22"/>
                <w:szCs w:val="22"/>
              </w:rPr>
              <w:t>(179)</w:t>
            </w:r>
          </w:p>
        </w:tc>
      </w:tr>
      <w:tr w:rsidR="004C536A" w:rsidRPr="004C536A" w:rsidTr="00F74DCE">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(390)</w:t>
            </w:r>
          </w:p>
        </w:tc>
        <w:tc>
          <w:tcPr>
            <w:tcW w:w="2700" w:type="dxa"/>
            <w:tcBorders>
              <w:top w:val="single" w:sz="8" w:space="0" w:color="auto"/>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0</w:t>
            </w:r>
          </w:p>
        </w:tc>
        <w:tc>
          <w:tcPr>
            <w:tcW w:w="2430" w:type="dxa"/>
            <w:tcBorders>
              <w:top w:val="nil"/>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274</w:t>
            </w:r>
          </w:p>
        </w:tc>
      </w:tr>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hideMark/>
          </w:tcPr>
          <w:p w:rsidR="004C536A" w:rsidRPr="004C536A" w:rsidRDefault="004C536A" w:rsidP="004C536A">
            <w:pPr>
              <w:jc w:val="center"/>
              <w:rPr>
                <w:rFonts w:ascii="Calibri" w:hAnsi="Calibri" w:cs="Calibri"/>
                <w:color w:val="000000"/>
                <w:sz w:val="22"/>
                <w:szCs w:val="22"/>
              </w:rPr>
            </w:pPr>
          </w:p>
        </w:tc>
        <w:tc>
          <w:tcPr>
            <w:tcW w:w="2700" w:type="dxa"/>
            <w:tcBorders>
              <w:top w:val="nil"/>
              <w:left w:val="nil"/>
              <w:bottom w:val="nil"/>
              <w:right w:val="nil"/>
            </w:tcBorders>
            <w:shd w:val="clear" w:color="auto" w:fill="auto"/>
            <w:noWrap/>
            <w:hideMark/>
          </w:tcPr>
          <w:p w:rsidR="004C536A" w:rsidRPr="004C536A" w:rsidRDefault="004C536A" w:rsidP="004C536A">
            <w:pPr>
              <w:jc w:val="center"/>
              <w:rPr>
                <w:rFonts w:ascii="Calibri" w:hAnsi="Calibri" w:cs="Calibri"/>
                <w:color w:val="000000"/>
                <w:sz w:val="22"/>
                <w:szCs w:val="22"/>
              </w:rPr>
            </w:pPr>
          </w:p>
        </w:tc>
        <w:tc>
          <w:tcPr>
            <w:tcW w:w="2430" w:type="dxa"/>
            <w:tcBorders>
              <w:top w:val="nil"/>
              <w:left w:val="nil"/>
              <w:bottom w:val="nil"/>
              <w:right w:val="nil"/>
            </w:tcBorders>
            <w:shd w:val="clear" w:color="auto" w:fill="auto"/>
            <w:noWrap/>
            <w:hideMark/>
          </w:tcPr>
          <w:p w:rsidR="004C536A" w:rsidRPr="004C536A" w:rsidRDefault="004C536A" w:rsidP="004C536A">
            <w:pPr>
              <w:jc w:val="center"/>
              <w:rPr>
                <w:rFonts w:ascii="Calibri" w:hAnsi="Calibri" w:cs="Calibri"/>
                <w:color w:val="000000"/>
                <w:sz w:val="22"/>
                <w:szCs w:val="22"/>
              </w:rPr>
            </w:pPr>
          </w:p>
        </w:tc>
      </w:tr>
      <w:tr w:rsidR="004C536A" w:rsidRPr="004C536A" w:rsidTr="00F74DCE">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650</w:t>
            </w:r>
          </w:p>
        </w:tc>
        <w:tc>
          <w:tcPr>
            <w:tcW w:w="2700" w:type="dxa"/>
            <w:tcBorders>
              <w:top w:val="single" w:sz="8" w:space="0" w:color="auto"/>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1,107</w:t>
            </w:r>
          </w:p>
        </w:tc>
        <w:tc>
          <w:tcPr>
            <w:tcW w:w="2430" w:type="dxa"/>
            <w:tcBorders>
              <w:top w:val="single" w:sz="8" w:space="0" w:color="auto"/>
              <w:left w:val="nil"/>
              <w:bottom w:val="single" w:sz="8" w:space="0" w:color="auto"/>
              <w:right w:val="single" w:sz="8" w:space="0" w:color="auto"/>
            </w:tcBorders>
            <w:shd w:val="clear" w:color="auto" w:fill="auto"/>
            <w:noWrap/>
          </w:tcPr>
          <w:p w:rsidR="004C536A" w:rsidRPr="004C536A" w:rsidRDefault="00552D9B" w:rsidP="004C536A">
            <w:pPr>
              <w:jc w:val="center"/>
              <w:rPr>
                <w:rFonts w:ascii="Calibri" w:hAnsi="Calibri" w:cs="Calibri"/>
                <w:color w:val="000000"/>
                <w:sz w:val="22"/>
                <w:szCs w:val="22"/>
              </w:rPr>
            </w:pPr>
            <w:r>
              <w:rPr>
                <w:rFonts w:ascii="Calibri" w:hAnsi="Calibri" w:cs="Calibri"/>
                <w:color w:val="000000"/>
                <w:sz w:val="22"/>
                <w:szCs w:val="22"/>
              </w:rPr>
              <w:t>(1,353)</w:t>
            </w:r>
          </w:p>
        </w:tc>
      </w:tr>
      <w:bookmarkEnd w:id="1"/>
    </w:tbl>
    <w:p w:rsidR="00A74E5F" w:rsidRDefault="00A74E5F" w:rsidP="00015D1D">
      <w:pPr>
        <w:spacing w:after="200" w:line="276" w:lineRule="auto"/>
        <w:rPr>
          <w:rFonts w:ascii="Arial" w:eastAsia="Calibri" w:hAnsi="Arial"/>
          <w:b/>
          <w:bCs/>
          <w:color w:val="56008C"/>
          <w:szCs w:val="26"/>
          <w:lang w:eastAsia="en-US"/>
        </w:rPr>
      </w:pPr>
    </w:p>
    <w:p w:rsidR="00A74E5F" w:rsidRDefault="00A74E5F">
      <w:pPr>
        <w:spacing w:after="200" w:line="276" w:lineRule="auto"/>
        <w:rPr>
          <w:rFonts w:ascii="Arial" w:eastAsia="Calibri" w:hAnsi="Arial"/>
          <w:b/>
          <w:bCs/>
          <w:color w:val="56008C"/>
          <w:szCs w:val="26"/>
          <w:lang w:eastAsia="en-US"/>
        </w:rPr>
      </w:pPr>
    </w:p>
    <w:p w:rsidR="00AC4D15" w:rsidRDefault="00AC4D15">
      <w:pPr>
        <w:spacing w:after="200" w:line="276" w:lineRule="auto"/>
        <w:rPr>
          <w:rFonts w:ascii="Arial" w:eastAsia="Calibri" w:hAnsi="Arial"/>
          <w:b/>
          <w:bCs/>
          <w:color w:val="56008C"/>
          <w:szCs w:val="26"/>
          <w:lang w:eastAsia="en-US"/>
        </w:rPr>
      </w:pPr>
    </w:p>
    <w:p w:rsidR="00054430" w:rsidRDefault="00054430">
      <w:pPr>
        <w:spacing w:after="200" w:line="276" w:lineRule="auto"/>
        <w:rPr>
          <w:rFonts w:ascii="Arial" w:eastAsia="Calibri" w:hAnsi="Arial"/>
          <w:b/>
          <w:bCs/>
          <w:color w:val="56008C"/>
          <w:szCs w:val="26"/>
          <w:lang w:eastAsia="en-US"/>
        </w:rPr>
      </w:pPr>
    </w:p>
    <w:p w:rsidR="00C52506" w:rsidRPr="00A422D8"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w:t>
      </w:r>
      <w:r w:rsidR="00597AF4" w:rsidRPr="00A422D8">
        <w:rPr>
          <w:rFonts w:ascii="Arial" w:eastAsia="Calibri" w:hAnsi="Arial"/>
          <w:b/>
          <w:bCs/>
          <w:color w:val="56008C"/>
          <w:szCs w:val="26"/>
          <w:lang w:eastAsia="en-US"/>
        </w:rPr>
        <w:t xml:space="preserve">RA Revenue position for the period ended </w:t>
      </w:r>
      <w:r w:rsidR="00217F4F">
        <w:rPr>
          <w:rFonts w:ascii="Arial" w:eastAsia="Calibri" w:hAnsi="Arial"/>
          <w:b/>
          <w:bCs/>
          <w:color w:val="56008C"/>
          <w:szCs w:val="26"/>
          <w:lang w:eastAsia="en-US"/>
        </w:rPr>
        <w:t>3</w:t>
      </w:r>
      <w:r w:rsidR="001F316E">
        <w:rPr>
          <w:rFonts w:ascii="Arial" w:eastAsia="Calibri" w:hAnsi="Arial"/>
          <w:b/>
          <w:bCs/>
          <w:color w:val="56008C"/>
          <w:szCs w:val="26"/>
          <w:lang w:eastAsia="en-US"/>
        </w:rPr>
        <w:t>0 November</w:t>
      </w:r>
      <w:r w:rsidR="00F273CB">
        <w:rPr>
          <w:rFonts w:ascii="Arial" w:eastAsia="Calibri" w:hAnsi="Arial"/>
          <w:b/>
          <w:bCs/>
          <w:color w:val="56008C"/>
          <w:szCs w:val="26"/>
          <w:lang w:eastAsia="en-US"/>
        </w:rPr>
        <w:t xml:space="preserve"> 2014</w:t>
      </w:r>
    </w:p>
    <w:tbl>
      <w:tblPr>
        <w:tblW w:w="14060" w:type="dxa"/>
        <w:tblInd w:w="98" w:type="dxa"/>
        <w:tblLook w:val="04A0" w:firstRow="1" w:lastRow="0" w:firstColumn="1" w:lastColumn="0" w:noHBand="0" w:noVBand="1"/>
      </w:tblPr>
      <w:tblGrid>
        <w:gridCol w:w="959"/>
        <w:gridCol w:w="958"/>
        <w:gridCol w:w="1050"/>
        <w:gridCol w:w="300"/>
        <w:gridCol w:w="3277"/>
        <w:gridCol w:w="300"/>
        <w:gridCol w:w="1119"/>
        <w:gridCol w:w="1059"/>
        <w:gridCol w:w="1050"/>
        <w:gridCol w:w="328"/>
        <w:gridCol w:w="960"/>
        <w:gridCol w:w="960"/>
        <w:gridCol w:w="960"/>
        <w:gridCol w:w="1050"/>
      </w:tblGrid>
      <w:tr w:rsidR="001F316E" w:rsidRPr="001F316E" w:rsidTr="001F316E">
        <w:trPr>
          <w:trHeight w:val="300"/>
        </w:trPr>
        <w:tc>
          <w:tcPr>
            <w:tcW w:w="2877" w:type="dxa"/>
            <w:gridSpan w:val="3"/>
            <w:tcBorders>
              <w:top w:val="single" w:sz="8" w:space="0" w:color="FFFFFF"/>
              <w:left w:val="single" w:sz="8" w:space="0" w:color="FFFFFF"/>
              <w:bottom w:val="nil"/>
              <w:right w:val="nil"/>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Period (£'000)</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1F316E" w:rsidRPr="001F316E" w:rsidRDefault="001F316E" w:rsidP="001F316E">
            <w:pPr>
              <w:jc w:val="center"/>
              <w:rPr>
                <w:rFonts w:ascii="Arial" w:hAnsi="Arial" w:cs="Arial"/>
                <w:b/>
                <w:bCs/>
                <w:color w:val="FFFFFF"/>
                <w:sz w:val="20"/>
                <w:szCs w:val="20"/>
              </w:rPr>
            </w:pPr>
            <w:r w:rsidRPr="001F316E">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FFFFFF"/>
                <w:sz w:val="20"/>
                <w:szCs w:val="20"/>
              </w:rPr>
            </w:pPr>
          </w:p>
        </w:tc>
        <w:tc>
          <w:tcPr>
            <w:tcW w:w="313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0"/>
                <w:szCs w:val="20"/>
              </w:rPr>
            </w:pPr>
          </w:p>
        </w:tc>
        <w:tc>
          <w:tcPr>
            <w:tcW w:w="384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1F316E" w:rsidRPr="001F316E" w:rsidRDefault="001F316E" w:rsidP="001F316E">
            <w:pPr>
              <w:jc w:val="center"/>
              <w:rPr>
                <w:rFonts w:ascii="Arial" w:hAnsi="Arial" w:cs="Arial"/>
                <w:b/>
                <w:bCs/>
                <w:color w:val="FFFFFF"/>
                <w:sz w:val="20"/>
                <w:szCs w:val="20"/>
              </w:rPr>
            </w:pPr>
            <w:r w:rsidRPr="001F316E">
              <w:rPr>
                <w:rFonts w:ascii="Arial" w:hAnsi="Arial" w:cs="Arial"/>
                <w:b/>
                <w:bCs/>
                <w:color w:val="FFFFFF"/>
                <w:sz w:val="20"/>
                <w:szCs w:val="20"/>
              </w:rPr>
              <w:t>Full year (£'000)</w:t>
            </w:r>
          </w:p>
        </w:tc>
      </w:tr>
      <w:tr w:rsidR="001F316E" w:rsidRPr="001F316E" w:rsidTr="001F316E">
        <w:trPr>
          <w:trHeight w:val="525"/>
        </w:trPr>
        <w:tc>
          <w:tcPr>
            <w:tcW w:w="959" w:type="dxa"/>
            <w:tcBorders>
              <w:top w:val="nil"/>
              <w:left w:val="nil"/>
              <w:bottom w:val="nil"/>
              <w:right w:val="single" w:sz="8" w:space="0" w:color="816EA6"/>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1F316E" w:rsidRPr="001F316E" w:rsidRDefault="001F316E" w:rsidP="001F316E">
            <w:pPr>
              <w:jc w:val="center"/>
              <w:rPr>
                <w:rFonts w:ascii="Arial" w:hAnsi="Arial" w:cs="Arial"/>
                <w:b/>
                <w:bCs/>
                <w:color w:val="FFFFFF"/>
                <w:sz w:val="20"/>
                <w:szCs w:val="20"/>
              </w:rPr>
            </w:pPr>
            <w:r w:rsidRPr="001F316E">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jc w:val="center"/>
              <w:rPr>
                <w:rFonts w:ascii="Arial" w:hAnsi="Arial" w:cs="Arial"/>
                <w:b/>
                <w:bCs/>
                <w:color w:val="FFFFFF"/>
                <w:sz w:val="20"/>
                <w:szCs w:val="20"/>
              </w:rPr>
            </w:pPr>
            <w:r w:rsidRPr="001F316E">
              <w:rPr>
                <w:rFonts w:ascii="Arial" w:hAnsi="Arial" w:cs="Arial"/>
                <w:b/>
                <w:bCs/>
                <w:color w:val="FFFFFF"/>
                <w:sz w:val="20"/>
                <w:szCs w:val="20"/>
              </w:rPr>
              <w:t>2013/14 actual</w:t>
            </w: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Forecast</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120</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-258</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-240</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820</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779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-41</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Grant in Aid</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6257</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6014</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-243</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-8,523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-13,444</w:t>
            </w:r>
          </w:p>
        </w:tc>
      </w:tr>
      <w:tr w:rsidR="001F316E" w:rsidRPr="001F316E" w:rsidTr="001F316E">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820</w:t>
            </w:r>
          </w:p>
        </w:tc>
        <w:tc>
          <w:tcPr>
            <w:tcW w:w="958"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779</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-41</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rPr>
                <w:rFonts w:ascii="Arial" w:hAnsi="Arial" w:cs="Arial"/>
                <w:b/>
                <w:bCs/>
                <w:color w:val="000000"/>
                <w:sz w:val="18"/>
                <w:szCs w:val="18"/>
              </w:rPr>
            </w:pPr>
            <w:r w:rsidRPr="001F316E">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6,377</w:t>
            </w:r>
          </w:p>
        </w:tc>
        <w:tc>
          <w:tcPr>
            <w:tcW w:w="105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6,147</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-230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-13,684</w:t>
            </w:r>
          </w:p>
        </w:tc>
      </w:tr>
      <w:tr w:rsidR="001F316E" w:rsidRPr="001F316E" w:rsidTr="001F316E">
        <w:trPr>
          <w:trHeight w:val="300"/>
        </w:trPr>
        <w:tc>
          <w:tcPr>
            <w:tcW w:w="959"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958"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1059"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1F316E" w:rsidRPr="001F316E" w:rsidRDefault="001F316E" w:rsidP="001F316E">
            <w:pPr>
              <w:rPr>
                <w:rFonts w:ascii="Arial" w:hAnsi="Arial" w:cs="Arial"/>
                <w:b/>
                <w:bCs/>
                <w:color w:val="000000"/>
                <w:sz w:val="18"/>
                <w:szCs w:val="18"/>
              </w:rPr>
            </w:pPr>
          </w:p>
        </w:tc>
      </w:tr>
      <w:tr w:rsidR="001F316E" w:rsidRPr="001F316E" w:rsidTr="001F316E">
        <w:trPr>
          <w:trHeight w:val="525"/>
        </w:trPr>
        <w:tc>
          <w:tcPr>
            <w:tcW w:w="959" w:type="dxa"/>
            <w:tcBorders>
              <w:top w:val="nil"/>
              <w:left w:val="nil"/>
              <w:bottom w:val="nil"/>
              <w:right w:val="single" w:sz="8" w:space="0" w:color="816EA6"/>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1F316E" w:rsidRPr="001F316E" w:rsidRDefault="001F316E" w:rsidP="001F316E">
            <w:pPr>
              <w:jc w:val="center"/>
              <w:rPr>
                <w:rFonts w:ascii="Arial" w:hAnsi="Arial" w:cs="Arial"/>
                <w:b/>
                <w:bCs/>
                <w:color w:val="56008C"/>
                <w:sz w:val="20"/>
                <w:szCs w:val="20"/>
              </w:rPr>
            </w:pPr>
            <w:r w:rsidRPr="001F316E">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1F316E" w:rsidRPr="001F316E" w:rsidRDefault="001F316E" w:rsidP="001F316E">
            <w:pPr>
              <w:jc w:val="center"/>
              <w:rPr>
                <w:rFonts w:ascii="Arial" w:hAnsi="Arial" w:cs="Arial"/>
                <w:b/>
                <w:bCs/>
                <w:color w:val="FFFFFF"/>
                <w:sz w:val="20"/>
                <w:szCs w:val="20"/>
              </w:rPr>
            </w:pPr>
            <w:r w:rsidRPr="001F316E">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1F316E" w:rsidRPr="001F316E" w:rsidRDefault="001F316E" w:rsidP="001F316E">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1F316E" w:rsidRPr="001F316E" w:rsidRDefault="001F316E" w:rsidP="001F316E">
            <w:pPr>
              <w:rPr>
                <w:rFonts w:ascii="Arial" w:hAnsi="Arial" w:cs="Arial"/>
                <w:b/>
                <w:bCs/>
                <w:color w:val="56008C"/>
                <w:sz w:val="20"/>
                <w:szCs w:val="20"/>
              </w:rPr>
            </w:pPr>
            <w:r w:rsidRPr="001F316E">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1F316E" w:rsidRPr="001F316E" w:rsidRDefault="001F316E" w:rsidP="001F316E">
            <w:pPr>
              <w:rPr>
                <w:rFonts w:ascii="Arial" w:hAnsi="Arial" w:cs="Arial"/>
                <w:b/>
                <w:bCs/>
                <w:color w:val="FFFFFF"/>
                <w:sz w:val="20"/>
                <w:szCs w:val="20"/>
              </w:rPr>
            </w:pPr>
            <w:r w:rsidRPr="001F316E">
              <w:rPr>
                <w:rFonts w:ascii="Arial" w:hAnsi="Arial" w:cs="Arial"/>
                <w:b/>
                <w:bCs/>
                <w:color w:val="FFFFFF"/>
                <w:sz w:val="20"/>
                <w:szCs w:val="20"/>
              </w:rPr>
              <w:t>Forecast</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366</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346</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-20</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3,088</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2,883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-205</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4,337</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4,527</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4,603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4,417</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116</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116</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 xml:space="preserve">Chief Executive </w:t>
            </w:r>
            <w:proofErr w:type="spellStart"/>
            <w:r w:rsidRPr="001F316E">
              <w:rPr>
                <w:rFonts w:ascii="Arial" w:hAnsi="Arial" w:cs="Arial"/>
                <w:color w:val="000000"/>
                <w:sz w:val="18"/>
                <w:szCs w:val="18"/>
              </w:rPr>
              <w:t>inc.</w:t>
            </w:r>
            <w:proofErr w:type="spellEnd"/>
            <w:r w:rsidRPr="001F316E">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918</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913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-5</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1,574</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1,650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1,472</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1,455</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122</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138</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16</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1,111</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1,108</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1,369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1,869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1,884</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45</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-25</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300</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273</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-27</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445</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5,172</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4,000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2,094</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171</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159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-12</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960</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970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807</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1,740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1,756</w:t>
            </w:r>
          </w:p>
        </w:tc>
      </w:tr>
      <w:tr w:rsidR="001F316E" w:rsidRPr="001F316E" w:rsidTr="001F316E">
        <w:trPr>
          <w:trHeight w:val="315"/>
        </w:trPr>
        <w:tc>
          <w:tcPr>
            <w:tcW w:w="9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58"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1F316E" w:rsidRPr="001F316E" w:rsidRDefault="001F316E" w:rsidP="001F316E">
            <w:pPr>
              <w:rPr>
                <w:rFonts w:ascii="Arial" w:hAnsi="Arial" w:cs="Arial"/>
                <w:color w:val="000000"/>
                <w:sz w:val="18"/>
                <w:szCs w:val="18"/>
              </w:rPr>
            </w:pPr>
            <w:r w:rsidRPr="001F316E">
              <w:rPr>
                <w:rFonts w:ascii="Arial" w:hAnsi="Arial" w:cs="Arial"/>
                <w:color w:val="000000"/>
                <w:sz w:val="18"/>
                <w:szCs w:val="18"/>
              </w:rPr>
              <w:t>Communications</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1059"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249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349</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1F316E" w:rsidRPr="001F316E" w:rsidRDefault="001F316E" w:rsidP="001F316E">
            <w:pPr>
              <w:jc w:val="right"/>
              <w:rPr>
                <w:rFonts w:ascii="Calibri" w:hAnsi="Calibri" w:cs="Calibri"/>
                <w:color w:val="000000"/>
                <w:sz w:val="22"/>
                <w:szCs w:val="22"/>
              </w:rPr>
            </w:pPr>
            <w:r w:rsidRPr="001F316E">
              <w:rPr>
                <w:rFonts w:ascii="Calibri" w:hAnsi="Calibri" w:cs="Calibri"/>
                <w:color w:val="000000"/>
                <w:sz w:val="22"/>
                <w:szCs w:val="22"/>
              </w:rPr>
              <w:t>0</w:t>
            </w:r>
          </w:p>
        </w:tc>
      </w:tr>
      <w:tr w:rsidR="001F316E" w:rsidRPr="001F316E" w:rsidTr="001F316E">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820</w:t>
            </w:r>
          </w:p>
        </w:tc>
        <w:tc>
          <w:tcPr>
            <w:tcW w:w="958"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779</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-41</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rPr>
                <w:rFonts w:ascii="Arial" w:hAnsi="Arial" w:cs="Arial"/>
                <w:b/>
                <w:bCs/>
                <w:color w:val="000000"/>
                <w:sz w:val="18"/>
                <w:szCs w:val="18"/>
              </w:rPr>
            </w:pPr>
            <w:r w:rsidRPr="001F316E">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6,377</w:t>
            </w:r>
          </w:p>
        </w:tc>
        <w:tc>
          <w:tcPr>
            <w:tcW w:w="105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6,147</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-230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11,606</w:t>
            </w:r>
          </w:p>
        </w:tc>
      </w:tr>
      <w:tr w:rsidR="001F316E" w:rsidRPr="001F316E" w:rsidTr="001F316E">
        <w:trPr>
          <w:trHeight w:val="300"/>
        </w:trPr>
        <w:tc>
          <w:tcPr>
            <w:tcW w:w="959"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1059"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r>
      <w:tr w:rsidR="001F316E" w:rsidRPr="001F316E" w:rsidTr="001F316E">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58"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rPr>
                <w:rFonts w:ascii="Arial" w:hAnsi="Arial" w:cs="Arial"/>
                <w:b/>
                <w:bCs/>
                <w:color w:val="000000"/>
                <w:sz w:val="18"/>
                <w:szCs w:val="18"/>
              </w:rPr>
            </w:pPr>
            <w:r w:rsidRPr="001F316E">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1059"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1F316E" w:rsidRPr="001F316E" w:rsidRDefault="001F316E" w:rsidP="001F316E">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1F316E" w:rsidRPr="001F316E" w:rsidRDefault="001F316E" w:rsidP="001F316E">
            <w:pPr>
              <w:jc w:val="right"/>
              <w:rPr>
                <w:rFonts w:ascii="Arial" w:hAnsi="Arial" w:cs="Arial"/>
                <w:b/>
                <w:bCs/>
                <w:color w:val="000000"/>
                <w:sz w:val="18"/>
                <w:szCs w:val="18"/>
              </w:rPr>
            </w:pPr>
            <w:r w:rsidRPr="001F316E">
              <w:rPr>
                <w:rFonts w:ascii="Arial" w:hAnsi="Arial" w:cs="Arial"/>
                <w:b/>
                <w:bCs/>
                <w:color w:val="000000"/>
                <w:sz w:val="18"/>
                <w:szCs w:val="18"/>
              </w:rPr>
              <w:t>-2,078</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B465A2" w:rsidRPr="00A422D8" w:rsidRDefault="00B465A2" w:rsidP="006E24B3">
      <w:pPr>
        <w:keepNext/>
        <w:keepLines/>
        <w:pBdr>
          <w:top w:val="single" w:sz="8" w:space="3" w:color="FFFFFF"/>
          <w:left w:val="single" w:sz="8" w:space="0"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sidRPr="00A422D8">
        <w:rPr>
          <w:rFonts w:ascii="Arial" w:eastAsia="Calibri" w:hAnsi="Arial"/>
          <w:b/>
          <w:bCs/>
          <w:color w:val="56008C"/>
          <w:szCs w:val="26"/>
          <w:lang w:eastAsia="en-US"/>
        </w:rPr>
        <w:lastRenderedPageBreak/>
        <w:t xml:space="preserve">HRA Balance Sheet as at </w:t>
      </w:r>
      <w:r w:rsidR="0099485D">
        <w:rPr>
          <w:rFonts w:ascii="Arial" w:eastAsia="Calibri" w:hAnsi="Arial"/>
          <w:b/>
          <w:bCs/>
          <w:color w:val="56008C"/>
          <w:szCs w:val="26"/>
          <w:lang w:eastAsia="en-US"/>
        </w:rPr>
        <w:t>30</w:t>
      </w:r>
      <w:r w:rsidR="00927590">
        <w:rPr>
          <w:rFonts w:ascii="Arial" w:eastAsia="Calibri" w:hAnsi="Arial"/>
          <w:b/>
          <w:bCs/>
          <w:color w:val="56008C"/>
          <w:szCs w:val="26"/>
          <w:lang w:eastAsia="en-US"/>
        </w:rPr>
        <w:t xml:space="preserve"> November</w:t>
      </w:r>
      <w:r w:rsidR="008C1699">
        <w:rPr>
          <w:rFonts w:ascii="Arial" w:eastAsia="Calibri" w:hAnsi="Arial"/>
          <w:b/>
          <w:bCs/>
          <w:color w:val="56008C"/>
          <w:szCs w:val="26"/>
          <w:lang w:eastAsia="en-US"/>
        </w:rPr>
        <w:t xml:space="preserve"> </w:t>
      </w:r>
      <w:r w:rsidR="00364482">
        <w:rPr>
          <w:rFonts w:ascii="Arial" w:eastAsia="Calibri" w:hAnsi="Arial"/>
          <w:b/>
          <w:bCs/>
          <w:color w:val="56008C"/>
          <w:szCs w:val="26"/>
          <w:lang w:eastAsia="en-US"/>
        </w:rPr>
        <w:t>2014</w:t>
      </w:r>
    </w:p>
    <w:tbl>
      <w:tblPr>
        <w:tblW w:w="10849" w:type="dxa"/>
        <w:tblInd w:w="93" w:type="dxa"/>
        <w:tblLook w:val="04A0" w:firstRow="1" w:lastRow="0" w:firstColumn="1" w:lastColumn="0" w:noHBand="0" w:noVBand="1"/>
      </w:tblPr>
      <w:tblGrid>
        <w:gridCol w:w="4120"/>
        <w:gridCol w:w="960"/>
        <w:gridCol w:w="960"/>
        <w:gridCol w:w="960"/>
        <w:gridCol w:w="940"/>
        <w:gridCol w:w="960"/>
        <w:gridCol w:w="960"/>
        <w:gridCol w:w="989"/>
      </w:tblGrid>
      <w:tr w:rsidR="00927590" w:rsidRPr="00927590" w:rsidTr="00927590">
        <w:trPr>
          <w:trHeight w:val="300"/>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Mar-14</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Oct-14</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Nov-14</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single" w:sz="8" w:space="0" w:color="auto"/>
              <w:left w:val="single" w:sz="8" w:space="0" w:color="auto"/>
              <w:bottom w:val="nil"/>
              <w:right w:val="single" w:sz="8" w:space="0" w:color="auto"/>
            </w:tcBorders>
            <w:shd w:val="clear" w:color="000000" w:fill="8DB4E2"/>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Forecast</w:t>
            </w:r>
          </w:p>
        </w:tc>
      </w:tr>
      <w:tr w:rsidR="00927590" w:rsidRPr="00927590" w:rsidTr="00927590">
        <w:trPr>
          <w:trHeight w:val="315"/>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£k</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cente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927590" w:rsidRPr="00927590" w:rsidRDefault="00927590" w:rsidP="00927590">
            <w:pPr>
              <w:jc w:val="center"/>
              <w:rPr>
                <w:rFonts w:ascii="Calibri" w:hAnsi="Calibri" w:cs="Calibri"/>
                <w:b/>
                <w:bCs/>
                <w:color w:val="000000"/>
                <w:sz w:val="22"/>
                <w:szCs w:val="22"/>
              </w:rPr>
            </w:pPr>
            <w:r w:rsidRPr="00927590">
              <w:rPr>
                <w:rFonts w:ascii="Calibri" w:hAnsi="Calibri" w:cs="Calibri"/>
                <w:b/>
                <w:bCs/>
                <w:color w:val="000000"/>
                <w:sz w:val="22"/>
                <w:szCs w:val="22"/>
              </w:rPr>
              <w:t>£k</w:t>
            </w:r>
          </w:p>
        </w:tc>
      </w:tr>
      <w:tr w:rsidR="00927590" w:rsidRPr="00927590" w:rsidTr="00927590">
        <w:trPr>
          <w:trHeight w:val="300"/>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b/>
                <w:bCs/>
                <w:color w:val="000000"/>
                <w:sz w:val="22"/>
                <w:szCs w:val="22"/>
                <w:u w:val="single"/>
              </w:rPr>
            </w:pPr>
            <w:r w:rsidRPr="00927590">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805</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846</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1,114</w:t>
            </w:r>
          </w:p>
        </w:tc>
      </w:tr>
      <w:tr w:rsidR="00927590" w:rsidRPr="00927590" w:rsidTr="00927590">
        <w:trPr>
          <w:trHeight w:val="300"/>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b/>
                <w:bCs/>
                <w:color w:val="000000"/>
                <w:sz w:val="20"/>
                <w:szCs w:val="20"/>
                <w:u w:val="single"/>
              </w:rPr>
            </w:pPr>
            <w:r w:rsidRPr="00927590">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46</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59</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78</w:t>
            </w:r>
          </w:p>
        </w:tc>
      </w:tr>
      <w:tr w:rsidR="00927590" w:rsidRPr="00927590" w:rsidTr="00927590">
        <w:trPr>
          <w:trHeight w:val="315"/>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3,819</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2,162</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2,296</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4,833</w:t>
            </w:r>
          </w:p>
        </w:tc>
      </w:tr>
      <w:tr w:rsidR="00927590" w:rsidRPr="00927590" w:rsidTr="00927590">
        <w:trPr>
          <w:trHeight w:val="315"/>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4,002</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2,208</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2,355</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4,911</w:t>
            </w:r>
          </w:p>
        </w:tc>
      </w:tr>
      <w:tr w:rsidR="00927590" w:rsidRPr="00927590" w:rsidTr="00927590">
        <w:trPr>
          <w:trHeight w:val="300"/>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b/>
                <w:bCs/>
                <w:color w:val="000000"/>
                <w:sz w:val="20"/>
                <w:szCs w:val="20"/>
                <w:u w:val="single"/>
              </w:rPr>
            </w:pPr>
            <w:r w:rsidRPr="00927590">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1,289</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1,083</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1,050</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1,229</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xml:space="preserve">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15"/>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 8</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15"/>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1,297</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1,083</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1,050</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1,229</w:t>
            </w:r>
          </w:p>
        </w:tc>
      </w:tr>
      <w:tr w:rsidR="00927590" w:rsidRPr="00927590" w:rsidTr="00927590">
        <w:trPr>
          <w:trHeight w:val="315"/>
        </w:trPr>
        <w:tc>
          <w:tcPr>
            <w:tcW w:w="412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r w:rsidRPr="00927590">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r w:rsidRPr="00927590">
              <w:rPr>
                <w:rFonts w:ascii="Calibri" w:hAnsi="Calibri" w:cs="Calibri"/>
                <w:b/>
                <w:bCs/>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r w:rsidRPr="00927590">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b/>
                <w:bCs/>
                <w:color w:val="000000"/>
                <w:sz w:val="22"/>
                <w:szCs w:val="22"/>
              </w:rPr>
            </w:pPr>
            <w:r w:rsidRPr="00927590">
              <w:rPr>
                <w:rFonts w:ascii="Calibri" w:hAnsi="Calibri" w:cs="Calibri"/>
                <w:b/>
                <w:bCs/>
                <w:color w:val="000000"/>
                <w:sz w:val="22"/>
                <w:szCs w:val="22"/>
              </w:rPr>
              <w:t> </w:t>
            </w:r>
          </w:p>
        </w:tc>
      </w:tr>
      <w:tr w:rsidR="00927590" w:rsidRPr="00927590" w:rsidTr="00927590">
        <w:trPr>
          <w:trHeight w:val="315"/>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2,705</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1,125</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1,305</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3,682</w:t>
            </w:r>
          </w:p>
        </w:tc>
      </w:tr>
      <w:tr w:rsidR="00927590" w:rsidRPr="00927590" w:rsidTr="00927590">
        <w:trPr>
          <w:trHeight w:val="315"/>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 </w:t>
            </w:r>
            <w:r w:rsidRPr="00927590">
              <w:rPr>
                <w:rFonts w:ascii="Calibri" w:hAnsi="Calibri" w:cs="Calibri"/>
                <w:b/>
                <w:bCs/>
                <w:color w:val="000000"/>
                <w:sz w:val="22"/>
                <w:szCs w:val="22"/>
              </w:rPr>
              <w:t>3,416</w:t>
            </w:r>
          </w:p>
        </w:tc>
        <w:tc>
          <w:tcPr>
            <w:tcW w:w="960" w:type="dxa"/>
            <w:tcBorders>
              <w:top w:val="nil"/>
              <w:left w:val="nil"/>
              <w:bottom w:val="nil"/>
              <w:right w:val="single" w:sz="8" w:space="0" w:color="auto"/>
            </w:tcBorders>
            <w:shd w:val="clear" w:color="auto" w:fill="auto"/>
            <w:noWrap/>
            <w:vAlign w:val="bottom"/>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1,930</w:t>
            </w:r>
          </w:p>
        </w:tc>
        <w:tc>
          <w:tcPr>
            <w:tcW w:w="940" w:type="dxa"/>
            <w:tcBorders>
              <w:top w:val="nil"/>
              <w:left w:val="nil"/>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 </w:t>
            </w:r>
          </w:p>
        </w:tc>
        <w:tc>
          <w:tcPr>
            <w:tcW w:w="960" w:type="dxa"/>
            <w:tcBorders>
              <w:top w:val="nil"/>
              <w:left w:val="nil"/>
              <w:bottom w:val="nil"/>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2,152</w:t>
            </w:r>
          </w:p>
        </w:tc>
        <w:tc>
          <w:tcPr>
            <w:tcW w:w="960" w:type="dxa"/>
            <w:tcBorders>
              <w:top w:val="nil"/>
              <w:left w:val="nil"/>
              <w:bottom w:val="nil"/>
              <w:right w:val="single" w:sz="8" w:space="0" w:color="auto"/>
            </w:tcBorders>
            <w:shd w:val="clear" w:color="auto" w:fill="auto"/>
            <w:noWrap/>
            <w:vAlign w:val="bottom"/>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89" w:type="dxa"/>
            <w:tcBorders>
              <w:top w:val="nil"/>
              <w:left w:val="nil"/>
              <w:bottom w:val="nil"/>
              <w:right w:val="single" w:sz="8" w:space="0" w:color="auto"/>
            </w:tcBorders>
            <w:shd w:val="clear" w:color="000000" w:fill="8DB4E2"/>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4,796</w:t>
            </w:r>
          </w:p>
        </w:tc>
      </w:tr>
      <w:tr w:rsidR="00927590" w:rsidRPr="00927590" w:rsidTr="00927590">
        <w:trPr>
          <w:trHeight w:val="315"/>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single" w:sz="8" w:space="0" w:color="auto"/>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 </w:t>
            </w:r>
          </w:p>
        </w:tc>
        <w:tc>
          <w:tcPr>
            <w:tcW w:w="940" w:type="dxa"/>
            <w:tcBorders>
              <w:top w:val="nil"/>
              <w:left w:val="nil"/>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 </w:t>
            </w:r>
          </w:p>
        </w:tc>
        <w:tc>
          <w:tcPr>
            <w:tcW w:w="960" w:type="dxa"/>
            <w:tcBorders>
              <w:top w:val="nil"/>
              <w:left w:val="nil"/>
              <w:bottom w:val="single" w:sz="8" w:space="0" w:color="auto"/>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89" w:type="dxa"/>
            <w:tcBorders>
              <w:top w:val="nil"/>
              <w:left w:val="nil"/>
              <w:bottom w:val="single" w:sz="8" w:space="0" w:color="auto"/>
              <w:right w:val="single" w:sz="8" w:space="0" w:color="auto"/>
            </w:tcBorders>
            <w:shd w:val="clear" w:color="000000" w:fill="8DB4E2"/>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00"/>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3,416</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1,930</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2,152</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27590" w:rsidRPr="00927590" w:rsidRDefault="00927590" w:rsidP="00927590">
            <w:pPr>
              <w:jc w:val="right"/>
              <w:rPr>
                <w:rFonts w:ascii="Calibri" w:hAnsi="Calibri" w:cs="Calibri"/>
                <w:color w:val="000000"/>
                <w:sz w:val="22"/>
                <w:szCs w:val="22"/>
              </w:rPr>
            </w:pPr>
            <w:r w:rsidRPr="00927590">
              <w:rPr>
                <w:rFonts w:ascii="Calibri" w:hAnsi="Calibri" w:cs="Calibri"/>
                <w:color w:val="000000"/>
                <w:sz w:val="22"/>
                <w:szCs w:val="22"/>
              </w:rPr>
              <w:t>4,796</w:t>
            </w:r>
          </w:p>
        </w:tc>
      </w:tr>
      <w:tr w:rsidR="00927590" w:rsidRPr="00927590" w:rsidTr="00927590">
        <w:trPr>
          <w:trHeight w:val="315"/>
        </w:trPr>
        <w:tc>
          <w:tcPr>
            <w:tcW w:w="4120" w:type="dxa"/>
            <w:tcBorders>
              <w:top w:val="nil"/>
              <w:left w:val="nil"/>
              <w:bottom w:val="nil"/>
              <w:right w:val="nil"/>
            </w:tcBorders>
            <w:shd w:val="clear" w:color="000000" w:fill="FFFFFF"/>
            <w:noWrap/>
            <w:vAlign w:val="center"/>
            <w:hideMark/>
          </w:tcPr>
          <w:p w:rsidR="00927590" w:rsidRPr="00927590" w:rsidRDefault="00927590" w:rsidP="00927590">
            <w:pPr>
              <w:rPr>
                <w:rFonts w:ascii="Arial" w:hAnsi="Arial" w:cs="Arial"/>
                <w:color w:val="000000"/>
                <w:sz w:val="20"/>
                <w:szCs w:val="20"/>
              </w:rPr>
            </w:pPr>
            <w:r w:rsidRPr="00927590">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27590" w:rsidRPr="00927590" w:rsidRDefault="00927590" w:rsidP="00927590">
            <w:pPr>
              <w:rPr>
                <w:rFonts w:ascii="Calibri" w:hAnsi="Calibri" w:cs="Calibri"/>
                <w:color w:val="000000"/>
                <w:sz w:val="22"/>
                <w:szCs w:val="22"/>
              </w:rPr>
            </w:pPr>
            <w:r w:rsidRPr="00927590">
              <w:rPr>
                <w:rFonts w:ascii="Calibri" w:hAnsi="Calibri" w:cs="Calibri"/>
                <w:color w:val="000000"/>
                <w:sz w:val="22"/>
                <w:szCs w:val="22"/>
              </w:rPr>
              <w:t> </w:t>
            </w:r>
          </w:p>
        </w:tc>
      </w:tr>
      <w:tr w:rsidR="00927590" w:rsidRPr="00927590" w:rsidTr="00927590">
        <w:trPr>
          <w:trHeight w:val="315"/>
        </w:trPr>
        <w:tc>
          <w:tcPr>
            <w:tcW w:w="4120" w:type="dxa"/>
            <w:tcBorders>
              <w:top w:val="nil"/>
              <w:left w:val="nil"/>
              <w:bottom w:val="nil"/>
              <w:right w:val="nil"/>
            </w:tcBorders>
            <w:shd w:val="clear" w:color="auto" w:fill="auto"/>
            <w:noWrap/>
            <w:vAlign w:val="center"/>
            <w:hideMark/>
          </w:tcPr>
          <w:p w:rsidR="00927590" w:rsidRPr="00927590" w:rsidRDefault="00927590" w:rsidP="00927590">
            <w:pPr>
              <w:rPr>
                <w:rFonts w:ascii="Arial" w:hAnsi="Arial" w:cs="Arial"/>
                <w:b/>
                <w:bCs/>
                <w:color w:val="000000"/>
                <w:sz w:val="20"/>
                <w:szCs w:val="20"/>
              </w:rPr>
            </w:pPr>
            <w:r w:rsidRPr="00927590">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3,416</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1,930</w:t>
            </w:r>
          </w:p>
        </w:tc>
        <w:tc>
          <w:tcPr>
            <w:tcW w:w="940" w:type="dxa"/>
            <w:tcBorders>
              <w:top w:val="nil"/>
              <w:left w:val="nil"/>
              <w:bottom w:val="nil"/>
              <w:right w:val="nil"/>
            </w:tcBorders>
            <w:shd w:val="clear" w:color="auto" w:fill="auto"/>
            <w:noWrap/>
            <w:vAlign w:val="center"/>
            <w:hideMark/>
          </w:tcPr>
          <w:p w:rsidR="00927590" w:rsidRPr="00927590" w:rsidRDefault="00927590" w:rsidP="00927590">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2,152</w:t>
            </w:r>
          </w:p>
        </w:tc>
        <w:tc>
          <w:tcPr>
            <w:tcW w:w="960" w:type="dxa"/>
            <w:tcBorders>
              <w:top w:val="nil"/>
              <w:left w:val="nil"/>
              <w:bottom w:val="nil"/>
              <w:right w:val="nil"/>
            </w:tcBorders>
            <w:shd w:val="clear" w:color="auto" w:fill="auto"/>
            <w:noWrap/>
            <w:vAlign w:val="bottom"/>
            <w:hideMark/>
          </w:tcPr>
          <w:p w:rsidR="00927590" w:rsidRPr="00927590" w:rsidRDefault="00927590" w:rsidP="00927590">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927590" w:rsidRPr="00927590" w:rsidRDefault="00927590" w:rsidP="00927590">
            <w:pPr>
              <w:jc w:val="right"/>
              <w:rPr>
                <w:rFonts w:ascii="Calibri" w:hAnsi="Calibri" w:cs="Calibri"/>
                <w:b/>
                <w:bCs/>
                <w:color w:val="000000"/>
                <w:sz w:val="22"/>
                <w:szCs w:val="22"/>
              </w:rPr>
            </w:pPr>
            <w:r w:rsidRPr="00927590">
              <w:rPr>
                <w:rFonts w:ascii="Calibri" w:hAnsi="Calibri" w:cs="Calibri"/>
                <w:b/>
                <w:bCs/>
                <w:color w:val="000000"/>
                <w:sz w:val="22"/>
                <w:szCs w:val="22"/>
              </w:rPr>
              <w:t>4,796</w:t>
            </w:r>
          </w:p>
        </w:tc>
      </w:tr>
    </w:tbl>
    <w:p w:rsidR="008E3EC7" w:rsidRDefault="008E3EC7" w:rsidP="00EF2180">
      <w:pPr>
        <w:spacing w:after="200" w:line="276" w:lineRule="auto"/>
        <w:rPr>
          <w:rFonts w:ascii="Arial" w:hAnsi="Arial" w:cs="Arial"/>
          <w:sz w:val="22"/>
          <w:szCs w:val="22"/>
        </w:rPr>
      </w:pPr>
    </w:p>
    <w:p w:rsidR="00C369E4" w:rsidRPr="00A422D8" w:rsidRDefault="00C369E4" w:rsidP="00C369E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 xml:space="preserve">Cash Flow Forecast </w:t>
      </w:r>
      <w:r w:rsidR="00D814C2">
        <w:rPr>
          <w:rFonts w:ascii="Arial" w:eastAsia="Calibri" w:hAnsi="Arial"/>
          <w:b/>
          <w:bCs/>
          <w:color w:val="56008C"/>
          <w:szCs w:val="26"/>
          <w:lang w:eastAsia="en-US"/>
        </w:rPr>
        <w:t>as at 30 November</w:t>
      </w:r>
      <w:r>
        <w:rPr>
          <w:rFonts w:ascii="Arial" w:eastAsia="Calibri" w:hAnsi="Arial"/>
          <w:b/>
          <w:bCs/>
          <w:color w:val="56008C"/>
          <w:szCs w:val="26"/>
          <w:lang w:eastAsia="en-US"/>
        </w:rPr>
        <w:t xml:space="preserve"> for 2014/15</w:t>
      </w:r>
    </w:p>
    <w:p w:rsidR="00D814C2" w:rsidRDefault="00D814C2" w:rsidP="00C369E4">
      <w:pPr>
        <w:spacing w:after="200" w:line="276" w:lineRule="auto"/>
        <w:rPr>
          <w:rFonts w:ascii="Arial" w:hAnsi="Arial" w:cs="Arial"/>
          <w:sz w:val="22"/>
          <w:szCs w:val="22"/>
        </w:rPr>
      </w:pPr>
      <w:r>
        <w:rPr>
          <w:rFonts w:ascii="Arial" w:hAnsi="Arial" w:cs="Arial"/>
          <w:sz w:val="22"/>
          <w:szCs w:val="22"/>
        </w:rPr>
        <w:t xml:space="preserve">Actuals for April to November </w:t>
      </w:r>
      <w:r w:rsidR="00C369E4">
        <w:rPr>
          <w:rFonts w:ascii="Arial" w:hAnsi="Arial" w:cs="Arial"/>
          <w:sz w:val="22"/>
          <w:szCs w:val="22"/>
        </w:rPr>
        <w:t>2014</w:t>
      </w:r>
    </w:p>
    <w:p w:rsidR="00C369E4" w:rsidRDefault="00D814C2" w:rsidP="00C369E4">
      <w:pPr>
        <w:spacing w:after="200" w:line="276" w:lineRule="auto"/>
        <w:rPr>
          <w:rFonts w:ascii="Arial" w:hAnsi="Arial" w:cs="Arial"/>
          <w:sz w:val="22"/>
          <w:szCs w:val="22"/>
        </w:rPr>
      </w:pPr>
      <w:r w:rsidRPr="00D814C2">
        <w:rPr>
          <w:noProof/>
        </w:rPr>
        <w:drawing>
          <wp:inline distT="0" distB="0" distL="0" distR="0" wp14:anchorId="10A86574" wp14:editId="2748CC50">
            <wp:extent cx="9772650"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86620" cy="3720060"/>
                    </a:xfrm>
                    <a:prstGeom prst="rect">
                      <a:avLst/>
                    </a:prstGeom>
                    <a:noFill/>
                    <a:ln>
                      <a:noFill/>
                    </a:ln>
                  </pic:spPr>
                </pic:pic>
              </a:graphicData>
            </a:graphic>
          </wp:inline>
        </w:drawing>
      </w:r>
    </w:p>
    <w:p w:rsidR="00305DE9" w:rsidRPr="00C62D4B" w:rsidRDefault="00305DE9" w:rsidP="00305DE9">
      <w:pPr>
        <w:spacing w:after="200" w:line="276" w:lineRule="auto"/>
        <w:rPr>
          <w:rFonts w:ascii="Arial" w:hAnsi="Arial" w:cs="Arial"/>
          <w:sz w:val="16"/>
          <w:szCs w:val="16"/>
        </w:rPr>
      </w:pPr>
      <w:r w:rsidRPr="00C62D4B">
        <w:rPr>
          <w:rFonts w:ascii="Arial" w:hAnsi="Arial" w:cs="Arial"/>
          <w:sz w:val="16"/>
          <w:szCs w:val="16"/>
        </w:rPr>
        <w:t>Notes and Assumptions</w:t>
      </w:r>
    </w:p>
    <w:p w:rsidR="00305DE9" w:rsidRPr="00C62D4B" w:rsidRDefault="0099485D" w:rsidP="00C62D4B">
      <w:pPr>
        <w:pStyle w:val="ListParagraph"/>
        <w:numPr>
          <w:ilvl w:val="0"/>
          <w:numId w:val="22"/>
        </w:numPr>
        <w:spacing w:after="200" w:line="276" w:lineRule="auto"/>
        <w:rPr>
          <w:rFonts w:ascii="Arial" w:hAnsi="Arial" w:cs="Arial"/>
          <w:sz w:val="16"/>
          <w:szCs w:val="16"/>
        </w:rPr>
      </w:pPr>
      <w:r w:rsidRPr="00C62D4B">
        <w:rPr>
          <w:rFonts w:ascii="Arial" w:hAnsi="Arial" w:cs="Arial"/>
          <w:sz w:val="16"/>
          <w:szCs w:val="16"/>
        </w:rPr>
        <w:t>April t</w:t>
      </w:r>
      <w:r w:rsidR="00D814C2">
        <w:rPr>
          <w:rFonts w:ascii="Arial" w:hAnsi="Arial" w:cs="Arial"/>
          <w:sz w:val="16"/>
          <w:szCs w:val="16"/>
        </w:rPr>
        <w:t>o November</w:t>
      </w:r>
      <w:r w:rsidR="00305DE9" w:rsidRPr="00C62D4B">
        <w:rPr>
          <w:rFonts w:ascii="Arial" w:hAnsi="Arial" w:cs="Arial"/>
          <w:sz w:val="16"/>
          <w:szCs w:val="16"/>
        </w:rPr>
        <w:t xml:space="preserve"> are cash actuals</w:t>
      </w:r>
    </w:p>
    <w:p w:rsidR="00305DE9" w:rsidRPr="00C62D4B" w:rsidRDefault="00D814C2" w:rsidP="00305DE9">
      <w:pPr>
        <w:pStyle w:val="ListParagraph"/>
        <w:numPr>
          <w:ilvl w:val="0"/>
          <w:numId w:val="22"/>
        </w:numPr>
        <w:spacing w:after="200" w:line="276" w:lineRule="auto"/>
        <w:rPr>
          <w:rFonts w:ascii="Arial" w:hAnsi="Arial" w:cs="Arial"/>
          <w:sz w:val="16"/>
          <w:szCs w:val="16"/>
        </w:rPr>
      </w:pPr>
      <w:r>
        <w:rPr>
          <w:rFonts w:ascii="Arial" w:hAnsi="Arial" w:cs="Arial"/>
          <w:sz w:val="16"/>
          <w:szCs w:val="16"/>
        </w:rPr>
        <w:t>Assumes £2.07</w:t>
      </w:r>
      <w:r w:rsidR="00305DE9" w:rsidRPr="00C62D4B">
        <w:rPr>
          <w:rFonts w:ascii="Arial" w:hAnsi="Arial" w:cs="Arial"/>
          <w:sz w:val="16"/>
          <w:szCs w:val="16"/>
        </w:rPr>
        <w:t>m underspend at end of the year with no cash return presented but clearly will be part of the negotiations</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return of cash of £1m relating to the 2012/13 underspend</w:t>
      </w:r>
      <w:r w:rsidR="0023394B" w:rsidRPr="00C62D4B">
        <w:rPr>
          <w:rFonts w:ascii="Arial" w:hAnsi="Arial" w:cs="Arial"/>
          <w:color w:val="000000"/>
          <w:sz w:val="16"/>
          <w:szCs w:val="16"/>
        </w:rPr>
        <w:t>.</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Assumed that non pay budget for April an</w:t>
      </w:r>
      <w:r w:rsidR="00C62D4B" w:rsidRPr="00C62D4B">
        <w:rPr>
          <w:rFonts w:ascii="Arial" w:hAnsi="Arial" w:cs="Arial"/>
          <w:color w:val="000000"/>
          <w:sz w:val="16"/>
          <w:szCs w:val="16"/>
        </w:rPr>
        <w:t>d May were</w:t>
      </w:r>
      <w:r w:rsidRPr="00C62D4B">
        <w:rPr>
          <w:rFonts w:ascii="Arial" w:hAnsi="Arial" w:cs="Arial"/>
          <w:color w:val="000000"/>
          <w:sz w:val="16"/>
          <w:szCs w:val="16"/>
        </w:rPr>
        <w:t xml:space="preserve"> spent in June and July</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that Tax/NI and pensions for March 2015 are paid in March 2015</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 that level of creditors at year end will be approximately</w:t>
      </w:r>
      <w:r w:rsidR="00927590">
        <w:rPr>
          <w:rFonts w:ascii="Arial" w:hAnsi="Arial" w:cs="Arial"/>
          <w:color w:val="000000"/>
          <w:sz w:val="16"/>
          <w:szCs w:val="16"/>
        </w:rPr>
        <w:t xml:space="preserve"> £1m</w:t>
      </w:r>
      <w:r w:rsidRPr="00C62D4B">
        <w:rPr>
          <w:rFonts w:ascii="Arial" w:hAnsi="Arial" w:cs="Arial"/>
          <w:color w:val="000000"/>
          <w:sz w:val="16"/>
          <w:szCs w:val="16"/>
        </w:rPr>
        <w:t xml:space="preserve"> </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£1.1m of creditors paid in April and May (</w:t>
      </w:r>
      <w:proofErr w:type="spellStart"/>
      <w:r w:rsidRPr="00C62D4B">
        <w:rPr>
          <w:rFonts w:ascii="Arial" w:hAnsi="Arial" w:cs="Arial"/>
          <w:color w:val="000000"/>
          <w:sz w:val="16"/>
          <w:szCs w:val="16"/>
        </w:rPr>
        <w:t>ie</w:t>
      </w:r>
      <w:proofErr w:type="spellEnd"/>
      <w:r w:rsidRPr="00C62D4B">
        <w:rPr>
          <w:rFonts w:ascii="Arial" w:hAnsi="Arial" w:cs="Arial"/>
          <w:color w:val="000000"/>
          <w:sz w:val="16"/>
          <w:szCs w:val="16"/>
        </w:rPr>
        <w:t xml:space="preserve"> all cash payments are for </w:t>
      </w:r>
      <w:proofErr w:type="spellStart"/>
      <w:r w:rsidRPr="00C62D4B">
        <w:rPr>
          <w:rFonts w:ascii="Arial" w:hAnsi="Arial" w:cs="Arial"/>
          <w:color w:val="000000"/>
          <w:sz w:val="16"/>
          <w:szCs w:val="16"/>
        </w:rPr>
        <w:t>year end</w:t>
      </w:r>
      <w:proofErr w:type="spellEnd"/>
      <w:r w:rsidRPr="00C62D4B">
        <w:rPr>
          <w:rFonts w:ascii="Arial" w:hAnsi="Arial" w:cs="Arial"/>
          <w:color w:val="000000"/>
          <w:sz w:val="16"/>
          <w:szCs w:val="16"/>
        </w:rPr>
        <w:t xml:space="preserve"> creditors)</w:t>
      </w:r>
      <w:r w:rsidR="0023394B" w:rsidRPr="00C62D4B">
        <w:rPr>
          <w:rFonts w:ascii="Arial" w:hAnsi="Arial" w:cs="Arial"/>
          <w:color w:val="000000"/>
          <w:sz w:val="16"/>
          <w:szCs w:val="16"/>
        </w:rPr>
        <w:t xml:space="preserve"> with a remaining £150k to be paid included within the month 12 payments.</w:t>
      </w:r>
    </w:p>
    <w:p w:rsidR="00B465A2" w:rsidRPr="00305DE9" w:rsidRDefault="00305DE9" w:rsidP="00305DE9">
      <w:pPr>
        <w:pStyle w:val="ListParagraph"/>
        <w:numPr>
          <w:ilvl w:val="0"/>
          <w:numId w:val="22"/>
        </w:numPr>
        <w:spacing w:after="200" w:line="276" w:lineRule="auto"/>
        <w:rPr>
          <w:rFonts w:ascii="Arial" w:hAnsi="Arial" w:cs="Arial"/>
          <w:sz w:val="18"/>
          <w:szCs w:val="18"/>
        </w:rPr>
      </w:pPr>
      <w:r w:rsidRPr="00C62D4B">
        <w:rPr>
          <w:rFonts w:ascii="Arial" w:hAnsi="Arial" w:cs="Arial"/>
          <w:color w:val="000000"/>
          <w:sz w:val="16"/>
          <w:szCs w:val="16"/>
        </w:rPr>
        <w:t>Debtors figures relate to Devolved Administrations income</w:t>
      </w:r>
      <w:r w:rsidR="0047213E" w:rsidRPr="00305DE9">
        <w:rPr>
          <w:rFonts w:ascii="Arial" w:hAnsi="Arial" w:cs="Arial"/>
          <w:sz w:val="22"/>
          <w:szCs w:val="22"/>
        </w:rPr>
        <w:tab/>
      </w:r>
      <w:bookmarkEnd w:id="2"/>
    </w:p>
    <w:sectPr w:rsidR="00B465A2" w:rsidRPr="00305DE9" w:rsidSect="00A86A0C">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11" w:rsidRDefault="00B77711" w:rsidP="00412C00">
      <w:r>
        <w:separator/>
      </w:r>
    </w:p>
  </w:endnote>
  <w:endnote w:type="continuationSeparator" w:id="0">
    <w:p w:rsidR="00B77711" w:rsidRDefault="00B77711"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11" w:rsidRPr="00AF00BB" w:rsidRDefault="00B77711" w:rsidP="00AF00BB">
    <w:pPr>
      <w:tabs>
        <w:tab w:val="center" w:pos="4513"/>
        <w:tab w:val="right" w:pos="9026"/>
      </w:tabs>
      <w:ind w:left="-142" w:firstLine="862"/>
      <w:rPr>
        <w:rFonts w:asciiTheme="minorHAnsi" w:eastAsiaTheme="minorHAnsi" w:hAnsiTheme="minorHAnsi" w:cstheme="minorHAnsi"/>
        <w:sz w:val="18"/>
        <w:szCs w:val="18"/>
        <w:lang w:eastAsia="en-US"/>
      </w:rPr>
    </w:pPr>
    <w:r w:rsidRPr="00C90060">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29852F15" wp14:editId="756BF398">
              <wp:simplePos x="0" y="0"/>
              <wp:positionH relativeFrom="column">
                <wp:posOffset>462915</wp:posOffset>
              </wp:positionH>
              <wp:positionV relativeFrom="paragraph">
                <wp:posOffset>-137160</wp:posOffset>
              </wp:positionV>
              <wp:extent cx="5667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0.8pt" to="48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" strokecolor="#f79646" strokeweight="2pt"/>
          </w:pict>
        </mc:Fallback>
      </mc:AlternateContent>
    </w:r>
    <w:r w:rsidRPr="00C90060">
      <w:rPr>
        <w:rFonts w:asciiTheme="minorHAnsi" w:hAnsiTheme="minorHAnsi" w:cstheme="minorHAnsi"/>
        <w:noProof/>
        <w:sz w:val="18"/>
        <w:szCs w:val="18"/>
      </w:rPr>
      <w:drawing>
        <wp:anchor distT="0" distB="0" distL="114300" distR="114300" simplePos="0" relativeHeight="251656704" behindDoc="1" locked="0" layoutInCell="1" allowOverlap="1" wp14:anchorId="496D0C8C" wp14:editId="77873A23">
          <wp:simplePos x="0" y="0"/>
          <wp:positionH relativeFrom="column">
            <wp:posOffset>108585</wp:posOffset>
          </wp:positionH>
          <wp:positionV relativeFrom="paragraph">
            <wp:posOffset>-313690</wp:posOffset>
          </wp:positionV>
          <wp:extent cx="361950" cy="358775"/>
          <wp:effectExtent l="77787" t="74613" r="77788" b="7778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00BB">
      <w:rPr>
        <w:rFonts w:asciiTheme="minorHAnsi" w:eastAsiaTheme="minorHAnsi" w:hAnsiTheme="minorHAnsi" w:cstheme="minorHAnsi"/>
        <w:sz w:val="18"/>
        <w:szCs w:val="18"/>
        <w:lang w:eastAsia="en-US"/>
      </w:rPr>
      <w:t>EMT Cover Sheet (October 2014)</w:t>
    </w:r>
  </w:p>
  <w:p w:rsidR="00B77711" w:rsidRDefault="00B77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11" w:rsidRDefault="00B77711" w:rsidP="00412C00">
      <w:r>
        <w:separator/>
      </w:r>
    </w:p>
  </w:footnote>
  <w:footnote w:type="continuationSeparator" w:id="0">
    <w:p w:rsidR="00B77711" w:rsidRDefault="00B77711"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B77711" w:rsidRDefault="00A4455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12D61"/>
    <w:multiLevelType w:val="hybridMultilevel"/>
    <w:tmpl w:val="D36C8992"/>
    <w:lvl w:ilvl="0" w:tplc="139E0C6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2"/>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1"/>
  </w:num>
  <w:num w:numId="18">
    <w:abstractNumId w:val="15"/>
  </w:num>
  <w:num w:numId="19">
    <w:abstractNumId w:val="12"/>
  </w:num>
  <w:num w:numId="20">
    <w:abstractNumId w:val="17"/>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6A45"/>
    <w:rsid w:val="00015D1D"/>
    <w:rsid w:val="00017760"/>
    <w:rsid w:val="000200FA"/>
    <w:rsid w:val="00021ABB"/>
    <w:rsid w:val="00022301"/>
    <w:rsid w:val="0002376C"/>
    <w:rsid w:val="000239F7"/>
    <w:rsid w:val="00024BC8"/>
    <w:rsid w:val="000271F4"/>
    <w:rsid w:val="00030167"/>
    <w:rsid w:val="0003250E"/>
    <w:rsid w:val="00033BC9"/>
    <w:rsid w:val="00034A25"/>
    <w:rsid w:val="0003758C"/>
    <w:rsid w:val="00037838"/>
    <w:rsid w:val="00040F35"/>
    <w:rsid w:val="0004442F"/>
    <w:rsid w:val="00044467"/>
    <w:rsid w:val="0004446C"/>
    <w:rsid w:val="00047960"/>
    <w:rsid w:val="00054430"/>
    <w:rsid w:val="00055303"/>
    <w:rsid w:val="0006430C"/>
    <w:rsid w:val="000658EF"/>
    <w:rsid w:val="00070A74"/>
    <w:rsid w:val="00075A82"/>
    <w:rsid w:val="0008642A"/>
    <w:rsid w:val="00086665"/>
    <w:rsid w:val="00087B0A"/>
    <w:rsid w:val="00090AC3"/>
    <w:rsid w:val="0009793E"/>
    <w:rsid w:val="000A0F37"/>
    <w:rsid w:val="000B79E8"/>
    <w:rsid w:val="000C0ACC"/>
    <w:rsid w:val="000C1DF1"/>
    <w:rsid w:val="000C29D5"/>
    <w:rsid w:val="000C5914"/>
    <w:rsid w:val="000C6150"/>
    <w:rsid w:val="000C6D92"/>
    <w:rsid w:val="000D1E92"/>
    <w:rsid w:val="000D2212"/>
    <w:rsid w:val="000D2990"/>
    <w:rsid w:val="000D3D3A"/>
    <w:rsid w:val="000D4339"/>
    <w:rsid w:val="000D4449"/>
    <w:rsid w:val="000D471E"/>
    <w:rsid w:val="000D5B3D"/>
    <w:rsid w:val="000D6B10"/>
    <w:rsid w:val="000D711F"/>
    <w:rsid w:val="000E0B72"/>
    <w:rsid w:val="000E66A4"/>
    <w:rsid w:val="000E694D"/>
    <w:rsid w:val="000E7FD2"/>
    <w:rsid w:val="000F0C7B"/>
    <w:rsid w:val="000F15BA"/>
    <w:rsid w:val="000F27AB"/>
    <w:rsid w:val="000F612E"/>
    <w:rsid w:val="000F71C0"/>
    <w:rsid w:val="00105649"/>
    <w:rsid w:val="00105927"/>
    <w:rsid w:val="001059BA"/>
    <w:rsid w:val="0011341B"/>
    <w:rsid w:val="00115E84"/>
    <w:rsid w:val="00116098"/>
    <w:rsid w:val="00122DA1"/>
    <w:rsid w:val="00124893"/>
    <w:rsid w:val="00124AA3"/>
    <w:rsid w:val="00130783"/>
    <w:rsid w:val="00132DB0"/>
    <w:rsid w:val="001339A4"/>
    <w:rsid w:val="00135C17"/>
    <w:rsid w:val="0013718B"/>
    <w:rsid w:val="001504B0"/>
    <w:rsid w:val="001516FA"/>
    <w:rsid w:val="001528FE"/>
    <w:rsid w:val="0015351D"/>
    <w:rsid w:val="00153E82"/>
    <w:rsid w:val="00154E36"/>
    <w:rsid w:val="001609ED"/>
    <w:rsid w:val="00160F9B"/>
    <w:rsid w:val="00163364"/>
    <w:rsid w:val="00163A5A"/>
    <w:rsid w:val="001679C3"/>
    <w:rsid w:val="00167A33"/>
    <w:rsid w:val="001721FC"/>
    <w:rsid w:val="00182577"/>
    <w:rsid w:val="00185C18"/>
    <w:rsid w:val="001924BC"/>
    <w:rsid w:val="00194AB0"/>
    <w:rsid w:val="00194FFE"/>
    <w:rsid w:val="001965A9"/>
    <w:rsid w:val="001A1F7B"/>
    <w:rsid w:val="001A2303"/>
    <w:rsid w:val="001A387F"/>
    <w:rsid w:val="001A6027"/>
    <w:rsid w:val="001A7ECD"/>
    <w:rsid w:val="001B12BA"/>
    <w:rsid w:val="001B1E04"/>
    <w:rsid w:val="001B4F9E"/>
    <w:rsid w:val="001B52B4"/>
    <w:rsid w:val="001B686D"/>
    <w:rsid w:val="001C2AB3"/>
    <w:rsid w:val="001D039E"/>
    <w:rsid w:val="001D083E"/>
    <w:rsid w:val="001D5F0F"/>
    <w:rsid w:val="001D76BF"/>
    <w:rsid w:val="001E4B23"/>
    <w:rsid w:val="001E5CAA"/>
    <w:rsid w:val="001E7EB7"/>
    <w:rsid w:val="001F0FB2"/>
    <w:rsid w:val="001F316E"/>
    <w:rsid w:val="00201909"/>
    <w:rsid w:val="00204E97"/>
    <w:rsid w:val="002132BF"/>
    <w:rsid w:val="00215D81"/>
    <w:rsid w:val="00217F4F"/>
    <w:rsid w:val="002220C8"/>
    <w:rsid w:val="002228B6"/>
    <w:rsid w:val="002260C0"/>
    <w:rsid w:val="002279D6"/>
    <w:rsid w:val="0023394B"/>
    <w:rsid w:val="00234F1A"/>
    <w:rsid w:val="00237BF3"/>
    <w:rsid w:val="00240999"/>
    <w:rsid w:val="00241A21"/>
    <w:rsid w:val="002436F9"/>
    <w:rsid w:val="002441AD"/>
    <w:rsid w:val="00244AB6"/>
    <w:rsid w:val="0024697B"/>
    <w:rsid w:val="002510CE"/>
    <w:rsid w:val="0025337B"/>
    <w:rsid w:val="0025538B"/>
    <w:rsid w:val="002570C1"/>
    <w:rsid w:val="00257A11"/>
    <w:rsid w:val="00265C5D"/>
    <w:rsid w:val="002672C3"/>
    <w:rsid w:val="00272143"/>
    <w:rsid w:val="00272C4C"/>
    <w:rsid w:val="00274232"/>
    <w:rsid w:val="00285E21"/>
    <w:rsid w:val="00286BA4"/>
    <w:rsid w:val="002905D6"/>
    <w:rsid w:val="002914D3"/>
    <w:rsid w:val="00297100"/>
    <w:rsid w:val="002974DC"/>
    <w:rsid w:val="002A6EF8"/>
    <w:rsid w:val="002B1ABB"/>
    <w:rsid w:val="002B2061"/>
    <w:rsid w:val="002B2EAA"/>
    <w:rsid w:val="002B3AF7"/>
    <w:rsid w:val="002B3BD5"/>
    <w:rsid w:val="002B41F8"/>
    <w:rsid w:val="002B587B"/>
    <w:rsid w:val="002B67AD"/>
    <w:rsid w:val="002B6BA1"/>
    <w:rsid w:val="002B72F1"/>
    <w:rsid w:val="002B7A58"/>
    <w:rsid w:val="002C274E"/>
    <w:rsid w:val="002C31D0"/>
    <w:rsid w:val="002C5578"/>
    <w:rsid w:val="002D19A0"/>
    <w:rsid w:val="002D2375"/>
    <w:rsid w:val="002D25C2"/>
    <w:rsid w:val="002D34F7"/>
    <w:rsid w:val="002D3762"/>
    <w:rsid w:val="002E0613"/>
    <w:rsid w:val="002E488E"/>
    <w:rsid w:val="002E5EDF"/>
    <w:rsid w:val="002E7DBF"/>
    <w:rsid w:val="002F0239"/>
    <w:rsid w:val="002F0DFF"/>
    <w:rsid w:val="002F2264"/>
    <w:rsid w:val="002F4277"/>
    <w:rsid w:val="002F5E6A"/>
    <w:rsid w:val="003001BE"/>
    <w:rsid w:val="00301714"/>
    <w:rsid w:val="003047AB"/>
    <w:rsid w:val="00305DE9"/>
    <w:rsid w:val="00306F9F"/>
    <w:rsid w:val="003078FC"/>
    <w:rsid w:val="00307E54"/>
    <w:rsid w:val="00307FB7"/>
    <w:rsid w:val="00310095"/>
    <w:rsid w:val="00310852"/>
    <w:rsid w:val="00313F03"/>
    <w:rsid w:val="00316BE4"/>
    <w:rsid w:val="003179D5"/>
    <w:rsid w:val="00320F7E"/>
    <w:rsid w:val="00322070"/>
    <w:rsid w:val="00323ABE"/>
    <w:rsid w:val="00333010"/>
    <w:rsid w:val="003339C3"/>
    <w:rsid w:val="003374E1"/>
    <w:rsid w:val="00344985"/>
    <w:rsid w:val="003449ED"/>
    <w:rsid w:val="00354EC4"/>
    <w:rsid w:val="00357BF3"/>
    <w:rsid w:val="00360238"/>
    <w:rsid w:val="00364482"/>
    <w:rsid w:val="00375EE1"/>
    <w:rsid w:val="003764E7"/>
    <w:rsid w:val="003771DA"/>
    <w:rsid w:val="003837D4"/>
    <w:rsid w:val="0039154E"/>
    <w:rsid w:val="00392D76"/>
    <w:rsid w:val="003930D4"/>
    <w:rsid w:val="00393BEC"/>
    <w:rsid w:val="003A1D2D"/>
    <w:rsid w:val="003B135C"/>
    <w:rsid w:val="003C0EA6"/>
    <w:rsid w:val="003C2211"/>
    <w:rsid w:val="003C483B"/>
    <w:rsid w:val="003C64BE"/>
    <w:rsid w:val="003C6EBD"/>
    <w:rsid w:val="003D17A0"/>
    <w:rsid w:val="003D211B"/>
    <w:rsid w:val="003D2D79"/>
    <w:rsid w:val="003D4747"/>
    <w:rsid w:val="003D54A5"/>
    <w:rsid w:val="003D5874"/>
    <w:rsid w:val="003E3D23"/>
    <w:rsid w:val="003E70FC"/>
    <w:rsid w:val="003F3BB4"/>
    <w:rsid w:val="003F57C1"/>
    <w:rsid w:val="00401265"/>
    <w:rsid w:val="00406C23"/>
    <w:rsid w:val="00411FE9"/>
    <w:rsid w:val="00412C00"/>
    <w:rsid w:val="00412F67"/>
    <w:rsid w:val="00413148"/>
    <w:rsid w:val="00413357"/>
    <w:rsid w:val="00416EA8"/>
    <w:rsid w:val="0042146B"/>
    <w:rsid w:val="00425DFA"/>
    <w:rsid w:val="00430D14"/>
    <w:rsid w:val="00435640"/>
    <w:rsid w:val="004365C6"/>
    <w:rsid w:val="0043662D"/>
    <w:rsid w:val="00440BCB"/>
    <w:rsid w:val="00442D4D"/>
    <w:rsid w:val="004458A7"/>
    <w:rsid w:val="00445C3C"/>
    <w:rsid w:val="00447C0C"/>
    <w:rsid w:val="004516BD"/>
    <w:rsid w:val="00461A11"/>
    <w:rsid w:val="00461E1B"/>
    <w:rsid w:val="00467605"/>
    <w:rsid w:val="00467624"/>
    <w:rsid w:val="0047014D"/>
    <w:rsid w:val="004704FD"/>
    <w:rsid w:val="00470CB0"/>
    <w:rsid w:val="0047213E"/>
    <w:rsid w:val="00474415"/>
    <w:rsid w:val="004802BC"/>
    <w:rsid w:val="00480953"/>
    <w:rsid w:val="004818C1"/>
    <w:rsid w:val="00482DF3"/>
    <w:rsid w:val="00484837"/>
    <w:rsid w:val="0048525C"/>
    <w:rsid w:val="004912DB"/>
    <w:rsid w:val="004916BD"/>
    <w:rsid w:val="00497F63"/>
    <w:rsid w:val="004A250F"/>
    <w:rsid w:val="004A26E0"/>
    <w:rsid w:val="004B1C3A"/>
    <w:rsid w:val="004B5487"/>
    <w:rsid w:val="004B57FB"/>
    <w:rsid w:val="004B5C87"/>
    <w:rsid w:val="004C3A2F"/>
    <w:rsid w:val="004C536A"/>
    <w:rsid w:val="004C5CF8"/>
    <w:rsid w:val="004C7812"/>
    <w:rsid w:val="004D2387"/>
    <w:rsid w:val="004D3744"/>
    <w:rsid w:val="004D5ABD"/>
    <w:rsid w:val="004D61B7"/>
    <w:rsid w:val="004E3AAD"/>
    <w:rsid w:val="004F1024"/>
    <w:rsid w:val="004F1E1A"/>
    <w:rsid w:val="004F3A45"/>
    <w:rsid w:val="00500E52"/>
    <w:rsid w:val="005064E8"/>
    <w:rsid w:val="00513000"/>
    <w:rsid w:val="00513557"/>
    <w:rsid w:val="005137D7"/>
    <w:rsid w:val="005147D8"/>
    <w:rsid w:val="0052112F"/>
    <w:rsid w:val="00527EDD"/>
    <w:rsid w:val="00527EE9"/>
    <w:rsid w:val="00530ADB"/>
    <w:rsid w:val="0053517D"/>
    <w:rsid w:val="005373EA"/>
    <w:rsid w:val="00537B13"/>
    <w:rsid w:val="00537CC2"/>
    <w:rsid w:val="00540FAA"/>
    <w:rsid w:val="005431F7"/>
    <w:rsid w:val="0054372F"/>
    <w:rsid w:val="00543FAF"/>
    <w:rsid w:val="005477F2"/>
    <w:rsid w:val="00552D9B"/>
    <w:rsid w:val="00560E95"/>
    <w:rsid w:val="00560F8E"/>
    <w:rsid w:val="00574331"/>
    <w:rsid w:val="005743EE"/>
    <w:rsid w:val="00575DD6"/>
    <w:rsid w:val="00577406"/>
    <w:rsid w:val="0058476E"/>
    <w:rsid w:val="00584F18"/>
    <w:rsid w:val="00585FFC"/>
    <w:rsid w:val="0059044A"/>
    <w:rsid w:val="00592E36"/>
    <w:rsid w:val="00597AF4"/>
    <w:rsid w:val="005A2A17"/>
    <w:rsid w:val="005B2ED3"/>
    <w:rsid w:val="005B60D5"/>
    <w:rsid w:val="005B62D4"/>
    <w:rsid w:val="005C0DAE"/>
    <w:rsid w:val="005C11A4"/>
    <w:rsid w:val="005C269A"/>
    <w:rsid w:val="005C3262"/>
    <w:rsid w:val="005C4B0A"/>
    <w:rsid w:val="005C6E51"/>
    <w:rsid w:val="005C76AA"/>
    <w:rsid w:val="005D3904"/>
    <w:rsid w:val="005E10A2"/>
    <w:rsid w:val="005E6E81"/>
    <w:rsid w:val="005E715B"/>
    <w:rsid w:val="006006D4"/>
    <w:rsid w:val="0060330C"/>
    <w:rsid w:val="006054C2"/>
    <w:rsid w:val="006059DC"/>
    <w:rsid w:val="00606CBA"/>
    <w:rsid w:val="006120D4"/>
    <w:rsid w:val="00612681"/>
    <w:rsid w:val="00613941"/>
    <w:rsid w:val="00616C9F"/>
    <w:rsid w:val="00622610"/>
    <w:rsid w:val="00623DCB"/>
    <w:rsid w:val="0063161D"/>
    <w:rsid w:val="00631A38"/>
    <w:rsid w:val="00633BB4"/>
    <w:rsid w:val="00634E33"/>
    <w:rsid w:val="00637E98"/>
    <w:rsid w:val="00641123"/>
    <w:rsid w:val="00643128"/>
    <w:rsid w:val="00643927"/>
    <w:rsid w:val="00645669"/>
    <w:rsid w:val="00646BC4"/>
    <w:rsid w:val="00647D7D"/>
    <w:rsid w:val="00661E0A"/>
    <w:rsid w:val="00673ADE"/>
    <w:rsid w:val="00684B3B"/>
    <w:rsid w:val="006874A4"/>
    <w:rsid w:val="0068754E"/>
    <w:rsid w:val="006908F4"/>
    <w:rsid w:val="006941E3"/>
    <w:rsid w:val="00694679"/>
    <w:rsid w:val="006976EC"/>
    <w:rsid w:val="006A08E2"/>
    <w:rsid w:val="006A2923"/>
    <w:rsid w:val="006A29F0"/>
    <w:rsid w:val="006A4B31"/>
    <w:rsid w:val="006A67BA"/>
    <w:rsid w:val="006B165D"/>
    <w:rsid w:val="006B421B"/>
    <w:rsid w:val="006B6BFC"/>
    <w:rsid w:val="006B7621"/>
    <w:rsid w:val="006B78E4"/>
    <w:rsid w:val="006B7A85"/>
    <w:rsid w:val="006C20DB"/>
    <w:rsid w:val="006C4EA9"/>
    <w:rsid w:val="006C5107"/>
    <w:rsid w:val="006D14D3"/>
    <w:rsid w:val="006D3824"/>
    <w:rsid w:val="006E24B3"/>
    <w:rsid w:val="006E46EB"/>
    <w:rsid w:val="006E5CB4"/>
    <w:rsid w:val="006E7D8D"/>
    <w:rsid w:val="006F2974"/>
    <w:rsid w:val="006F2E59"/>
    <w:rsid w:val="006F3E2E"/>
    <w:rsid w:val="006F53B9"/>
    <w:rsid w:val="007024E6"/>
    <w:rsid w:val="00703BA7"/>
    <w:rsid w:val="007136E5"/>
    <w:rsid w:val="00714DBE"/>
    <w:rsid w:val="00714E4B"/>
    <w:rsid w:val="007162EA"/>
    <w:rsid w:val="00716AC4"/>
    <w:rsid w:val="0073688F"/>
    <w:rsid w:val="007414C0"/>
    <w:rsid w:val="00743670"/>
    <w:rsid w:val="00745FAD"/>
    <w:rsid w:val="00747756"/>
    <w:rsid w:val="00750654"/>
    <w:rsid w:val="0075125F"/>
    <w:rsid w:val="007517B3"/>
    <w:rsid w:val="007521C3"/>
    <w:rsid w:val="00752B9D"/>
    <w:rsid w:val="00754060"/>
    <w:rsid w:val="00755465"/>
    <w:rsid w:val="007561D4"/>
    <w:rsid w:val="00757DC4"/>
    <w:rsid w:val="0076244F"/>
    <w:rsid w:val="00762DFB"/>
    <w:rsid w:val="00766455"/>
    <w:rsid w:val="007719C1"/>
    <w:rsid w:val="0077211A"/>
    <w:rsid w:val="00772701"/>
    <w:rsid w:val="00774CB5"/>
    <w:rsid w:val="0078207C"/>
    <w:rsid w:val="00794745"/>
    <w:rsid w:val="007948D4"/>
    <w:rsid w:val="007A585B"/>
    <w:rsid w:val="007B0F30"/>
    <w:rsid w:val="007B31F5"/>
    <w:rsid w:val="007B5BC7"/>
    <w:rsid w:val="007B7FEB"/>
    <w:rsid w:val="007C7418"/>
    <w:rsid w:val="007D0D17"/>
    <w:rsid w:val="007D5E35"/>
    <w:rsid w:val="007D6292"/>
    <w:rsid w:val="007E017B"/>
    <w:rsid w:val="007F4552"/>
    <w:rsid w:val="0080199A"/>
    <w:rsid w:val="008042F3"/>
    <w:rsid w:val="008053CB"/>
    <w:rsid w:val="00807CE9"/>
    <w:rsid w:val="00811F22"/>
    <w:rsid w:val="00812EC2"/>
    <w:rsid w:val="00814606"/>
    <w:rsid w:val="00814DFD"/>
    <w:rsid w:val="00820091"/>
    <w:rsid w:val="00820C02"/>
    <w:rsid w:val="008232B7"/>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618C5"/>
    <w:rsid w:val="00861C72"/>
    <w:rsid w:val="008704C8"/>
    <w:rsid w:val="0087383E"/>
    <w:rsid w:val="00877858"/>
    <w:rsid w:val="00881798"/>
    <w:rsid w:val="00881A60"/>
    <w:rsid w:val="00882591"/>
    <w:rsid w:val="00885376"/>
    <w:rsid w:val="0088730C"/>
    <w:rsid w:val="008876BF"/>
    <w:rsid w:val="00890D27"/>
    <w:rsid w:val="0089642A"/>
    <w:rsid w:val="008A0B50"/>
    <w:rsid w:val="008A2D27"/>
    <w:rsid w:val="008A31A7"/>
    <w:rsid w:val="008B70B1"/>
    <w:rsid w:val="008B77EA"/>
    <w:rsid w:val="008C0981"/>
    <w:rsid w:val="008C1699"/>
    <w:rsid w:val="008C3DB3"/>
    <w:rsid w:val="008C4753"/>
    <w:rsid w:val="008C6ADC"/>
    <w:rsid w:val="008D1704"/>
    <w:rsid w:val="008D435D"/>
    <w:rsid w:val="008D5822"/>
    <w:rsid w:val="008E3EC7"/>
    <w:rsid w:val="008E4FF4"/>
    <w:rsid w:val="008E5A03"/>
    <w:rsid w:val="008E7A72"/>
    <w:rsid w:val="008F0929"/>
    <w:rsid w:val="008F0991"/>
    <w:rsid w:val="008F0A10"/>
    <w:rsid w:val="008F1582"/>
    <w:rsid w:val="008F7981"/>
    <w:rsid w:val="00907BC3"/>
    <w:rsid w:val="00910362"/>
    <w:rsid w:val="00911928"/>
    <w:rsid w:val="0091291C"/>
    <w:rsid w:val="00920BAC"/>
    <w:rsid w:val="00921CE5"/>
    <w:rsid w:val="00926CE5"/>
    <w:rsid w:val="00927590"/>
    <w:rsid w:val="00930CA5"/>
    <w:rsid w:val="009312AC"/>
    <w:rsid w:val="00931495"/>
    <w:rsid w:val="00933B61"/>
    <w:rsid w:val="00936A58"/>
    <w:rsid w:val="00941C34"/>
    <w:rsid w:val="00942D3B"/>
    <w:rsid w:val="009440A7"/>
    <w:rsid w:val="00945882"/>
    <w:rsid w:val="00954A12"/>
    <w:rsid w:val="0095771A"/>
    <w:rsid w:val="00960E89"/>
    <w:rsid w:val="009748F9"/>
    <w:rsid w:val="0097609F"/>
    <w:rsid w:val="009804CC"/>
    <w:rsid w:val="00981DAC"/>
    <w:rsid w:val="00986583"/>
    <w:rsid w:val="00987F84"/>
    <w:rsid w:val="00994215"/>
    <w:rsid w:val="0099485D"/>
    <w:rsid w:val="009972EE"/>
    <w:rsid w:val="009A430F"/>
    <w:rsid w:val="009A5782"/>
    <w:rsid w:val="009A5789"/>
    <w:rsid w:val="009A6EA9"/>
    <w:rsid w:val="009B0129"/>
    <w:rsid w:val="009B097E"/>
    <w:rsid w:val="009B5D7F"/>
    <w:rsid w:val="009B73F7"/>
    <w:rsid w:val="009C23E7"/>
    <w:rsid w:val="009C594C"/>
    <w:rsid w:val="009C6E35"/>
    <w:rsid w:val="009D2B26"/>
    <w:rsid w:val="009D60C8"/>
    <w:rsid w:val="009E0E2F"/>
    <w:rsid w:val="009E101F"/>
    <w:rsid w:val="009E14D7"/>
    <w:rsid w:val="009E1B54"/>
    <w:rsid w:val="009E247C"/>
    <w:rsid w:val="009E2CCC"/>
    <w:rsid w:val="009E6647"/>
    <w:rsid w:val="009F0FA3"/>
    <w:rsid w:val="009F5BD4"/>
    <w:rsid w:val="00A0085E"/>
    <w:rsid w:val="00A015C8"/>
    <w:rsid w:val="00A028DA"/>
    <w:rsid w:val="00A0358D"/>
    <w:rsid w:val="00A05E1F"/>
    <w:rsid w:val="00A1300C"/>
    <w:rsid w:val="00A14A2E"/>
    <w:rsid w:val="00A17BBC"/>
    <w:rsid w:val="00A214E8"/>
    <w:rsid w:val="00A21BF0"/>
    <w:rsid w:val="00A22A03"/>
    <w:rsid w:val="00A27959"/>
    <w:rsid w:val="00A30B13"/>
    <w:rsid w:val="00A314BE"/>
    <w:rsid w:val="00A422D8"/>
    <w:rsid w:val="00A4455A"/>
    <w:rsid w:val="00A454CF"/>
    <w:rsid w:val="00A514BB"/>
    <w:rsid w:val="00A52ADF"/>
    <w:rsid w:val="00A53CE8"/>
    <w:rsid w:val="00A54C50"/>
    <w:rsid w:val="00A56559"/>
    <w:rsid w:val="00A56AA7"/>
    <w:rsid w:val="00A6685A"/>
    <w:rsid w:val="00A70357"/>
    <w:rsid w:val="00A72531"/>
    <w:rsid w:val="00A74E5F"/>
    <w:rsid w:val="00A7506A"/>
    <w:rsid w:val="00A86A0C"/>
    <w:rsid w:val="00A86E7C"/>
    <w:rsid w:val="00A87591"/>
    <w:rsid w:val="00A91714"/>
    <w:rsid w:val="00AA2997"/>
    <w:rsid w:val="00AA4127"/>
    <w:rsid w:val="00AA57D2"/>
    <w:rsid w:val="00AA636C"/>
    <w:rsid w:val="00AB1230"/>
    <w:rsid w:val="00AB474C"/>
    <w:rsid w:val="00AB5E74"/>
    <w:rsid w:val="00AB60D0"/>
    <w:rsid w:val="00AB76F7"/>
    <w:rsid w:val="00AC163C"/>
    <w:rsid w:val="00AC26DF"/>
    <w:rsid w:val="00AC3DE8"/>
    <w:rsid w:val="00AC4AAD"/>
    <w:rsid w:val="00AC4D15"/>
    <w:rsid w:val="00AD0886"/>
    <w:rsid w:val="00AD22E4"/>
    <w:rsid w:val="00AD27CB"/>
    <w:rsid w:val="00AD400C"/>
    <w:rsid w:val="00AD43D2"/>
    <w:rsid w:val="00AD76CF"/>
    <w:rsid w:val="00AE0798"/>
    <w:rsid w:val="00AE298D"/>
    <w:rsid w:val="00AE471C"/>
    <w:rsid w:val="00AE63A6"/>
    <w:rsid w:val="00AE78EA"/>
    <w:rsid w:val="00AF00BB"/>
    <w:rsid w:val="00AF0718"/>
    <w:rsid w:val="00AF2EE1"/>
    <w:rsid w:val="00AF37DF"/>
    <w:rsid w:val="00B01C8A"/>
    <w:rsid w:val="00B01D16"/>
    <w:rsid w:val="00B01FC4"/>
    <w:rsid w:val="00B0474A"/>
    <w:rsid w:val="00B04A89"/>
    <w:rsid w:val="00B06515"/>
    <w:rsid w:val="00B06AFA"/>
    <w:rsid w:val="00B06BAE"/>
    <w:rsid w:val="00B076D7"/>
    <w:rsid w:val="00B07E4C"/>
    <w:rsid w:val="00B134B9"/>
    <w:rsid w:val="00B14BF6"/>
    <w:rsid w:val="00B17169"/>
    <w:rsid w:val="00B2011F"/>
    <w:rsid w:val="00B21BB6"/>
    <w:rsid w:val="00B26EFB"/>
    <w:rsid w:val="00B27E7E"/>
    <w:rsid w:val="00B3402D"/>
    <w:rsid w:val="00B40A76"/>
    <w:rsid w:val="00B40EA9"/>
    <w:rsid w:val="00B41C51"/>
    <w:rsid w:val="00B430A1"/>
    <w:rsid w:val="00B43880"/>
    <w:rsid w:val="00B4473B"/>
    <w:rsid w:val="00B465A2"/>
    <w:rsid w:val="00B5494A"/>
    <w:rsid w:val="00B55417"/>
    <w:rsid w:val="00B65461"/>
    <w:rsid w:val="00B654E3"/>
    <w:rsid w:val="00B7000D"/>
    <w:rsid w:val="00B75EB4"/>
    <w:rsid w:val="00B77711"/>
    <w:rsid w:val="00B803BF"/>
    <w:rsid w:val="00B80F37"/>
    <w:rsid w:val="00B85394"/>
    <w:rsid w:val="00B91545"/>
    <w:rsid w:val="00B93553"/>
    <w:rsid w:val="00B9445F"/>
    <w:rsid w:val="00BA3A5A"/>
    <w:rsid w:val="00BA4988"/>
    <w:rsid w:val="00BA60A6"/>
    <w:rsid w:val="00BA72BF"/>
    <w:rsid w:val="00BB25EF"/>
    <w:rsid w:val="00BB2F36"/>
    <w:rsid w:val="00BB55C4"/>
    <w:rsid w:val="00BB6714"/>
    <w:rsid w:val="00BB772C"/>
    <w:rsid w:val="00BC027A"/>
    <w:rsid w:val="00BD6E9A"/>
    <w:rsid w:val="00BD7646"/>
    <w:rsid w:val="00BE0E5C"/>
    <w:rsid w:val="00BF0ED2"/>
    <w:rsid w:val="00BF1DC1"/>
    <w:rsid w:val="00BF2643"/>
    <w:rsid w:val="00BF52A4"/>
    <w:rsid w:val="00BF73B6"/>
    <w:rsid w:val="00BF7AC1"/>
    <w:rsid w:val="00C07718"/>
    <w:rsid w:val="00C101BA"/>
    <w:rsid w:val="00C1071F"/>
    <w:rsid w:val="00C11CD4"/>
    <w:rsid w:val="00C129B5"/>
    <w:rsid w:val="00C20315"/>
    <w:rsid w:val="00C2170D"/>
    <w:rsid w:val="00C247A6"/>
    <w:rsid w:val="00C2538D"/>
    <w:rsid w:val="00C25B34"/>
    <w:rsid w:val="00C25D57"/>
    <w:rsid w:val="00C31944"/>
    <w:rsid w:val="00C369E4"/>
    <w:rsid w:val="00C409A5"/>
    <w:rsid w:val="00C40EA7"/>
    <w:rsid w:val="00C40FC4"/>
    <w:rsid w:val="00C42136"/>
    <w:rsid w:val="00C45ED2"/>
    <w:rsid w:val="00C4745A"/>
    <w:rsid w:val="00C4787B"/>
    <w:rsid w:val="00C52506"/>
    <w:rsid w:val="00C550A2"/>
    <w:rsid w:val="00C60C6D"/>
    <w:rsid w:val="00C62D4B"/>
    <w:rsid w:val="00C64C09"/>
    <w:rsid w:val="00C75C3C"/>
    <w:rsid w:val="00C76FF6"/>
    <w:rsid w:val="00C8038E"/>
    <w:rsid w:val="00C9206F"/>
    <w:rsid w:val="00C931C3"/>
    <w:rsid w:val="00C95A63"/>
    <w:rsid w:val="00CA50D9"/>
    <w:rsid w:val="00CA57A5"/>
    <w:rsid w:val="00CB024E"/>
    <w:rsid w:val="00CB16E6"/>
    <w:rsid w:val="00CB29C4"/>
    <w:rsid w:val="00CB3CF6"/>
    <w:rsid w:val="00CB3D94"/>
    <w:rsid w:val="00CB49D6"/>
    <w:rsid w:val="00CB4D31"/>
    <w:rsid w:val="00CB5121"/>
    <w:rsid w:val="00CB5436"/>
    <w:rsid w:val="00CC0121"/>
    <w:rsid w:val="00CC757F"/>
    <w:rsid w:val="00CC7BEE"/>
    <w:rsid w:val="00CD540D"/>
    <w:rsid w:val="00CE1147"/>
    <w:rsid w:val="00CE2BA7"/>
    <w:rsid w:val="00CE4D6A"/>
    <w:rsid w:val="00CE7343"/>
    <w:rsid w:val="00CF2087"/>
    <w:rsid w:val="00CF3EC2"/>
    <w:rsid w:val="00D0058C"/>
    <w:rsid w:val="00D01165"/>
    <w:rsid w:val="00D070F4"/>
    <w:rsid w:val="00D1288F"/>
    <w:rsid w:val="00D15B88"/>
    <w:rsid w:val="00D2020A"/>
    <w:rsid w:val="00D33070"/>
    <w:rsid w:val="00D33CFD"/>
    <w:rsid w:val="00D363C2"/>
    <w:rsid w:val="00D37596"/>
    <w:rsid w:val="00D37753"/>
    <w:rsid w:val="00D4764A"/>
    <w:rsid w:val="00D50BFA"/>
    <w:rsid w:val="00D552C4"/>
    <w:rsid w:val="00D55330"/>
    <w:rsid w:val="00D55E1F"/>
    <w:rsid w:val="00D6518F"/>
    <w:rsid w:val="00D65E0A"/>
    <w:rsid w:val="00D66419"/>
    <w:rsid w:val="00D750FE"/>
    <w:rsid w:val="00D75573"/>
    <w:rsid w:val="00D814C2"/>
    <w:rsid w:val="00D81504"/>
    <w:rsid w:val="00D831E5"/>
    <w:rsid w:val="00D87321"/>
    <w:rsid w:val="00D9051B"/>
    <w:rsid w:val="00D925D5"/>
    <w:rsid w:val="00D95040"/>
    <w:rsid w:val="00D954B1"/>
    <w:rsid w:val="00D972E5"/>
    <w:rsid w:val="00D9761D"/>
    <w:rsid w:val="00DA7186"/>
    <w:rsid w:val="00DA7558"/>
    <w:rsid w:val="00DA758A"/>
    <w:rsid w:val="00DB1BB3"/>
    <w:rsid w:val="00DB1FC5"/>
    <w:rsid w:val="00DB275A"/>
    <w:rsid w:val="00DB3CAC"/>
    <w:rsid w:val="00DB4864"/>
    <w:rsid w:val="00DC397D"/>
    <w:rsid w:val="00DC4E09"/>
    <w:rsid w:val="00DD0225"/>
    <w:rsid w:val="00DD07C9"/>
    <w:rsid w:val="00DD2D40"/>
    <w:rsid w:val="00DD302A"/>
    <w:rsid w:val="00DD34C9"/>
    <w:rsid w:val="00DD64AD"/>
    <w:rsid w:val="00DD6897"/>
    <w:rsid w:val="00DE33D0"/>
    <w:rsid w:val="00DE38D6"/>
    <w:rsid w:val="00DE3B1C"/>
    <w:rsid w:val="00DF0843"/>
    <w:rsid w:val="00DF0A25"/>
    <w:rsid w:val="00DF1AD3"/>
    <w:rsid w:val="00DF3EE3"/>
    <w:rsid w:val="00DF4039"/>
    <w:rsid w:val="00E011DA"/>
    <w:rsid w:val="00E02E6F"/>
    <w:rsid w:val="00E02F42"/>
    <w:rsid w:val="00E07A37"/>
    <w:rsid w:val="00E10273"/>
    <w:rsid w:val="00E13E6E"/>
    <w:rsid w:val="00E21205"/>
    <w:rsid w:val="00E31839"/>
    <w:rsid w:val="00E31CA4"/>
    <w:rsid w:val="00E32EB6"/>
    <w:rsid w:val="00E34821"/>
    <w:rsid w:val="00E35BC8"/>
    <w:rsid w:val="00E4531A"/>
    <w:rsid w:val="00E475D3"/>
    <w:rsid w:val="00E47B5B"/>
    <w:rsid w:val="00E50E55"/>
    <w:rsid w:val="00E51F68"/>
    <w:rsid w:val="00E5355C"/>
    <w:rsid w:val="00E53B49"/>
    <w:rsid w:val="00E53DE1"/>
    <w:rsid w:val="00E601B0"/>
    <w:rsid w:val="00E6328C"/>
    <w:rsid w:val="00E63F79"/>
    <w:rsid w:val="00E6420E"/>
    <w:rsid w:val="00E72B98"/>
    <w:rsid w:val="00E74373"/>
    <w:rsid w:val="00E825C5"/>
    <w:rsid w:val="00E82962"/>
    <w:rsid w:val="00E82F54"/>
    <w:rsid w:val="00E85298"/>
    <w:rsid w:val="00E93E08"/>
    <w:rsid w:val="00E97EB3"/>
    <w:rsid w:val="00EA0507"/>
    <w:rsid w:val="00EA10AB"/>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4A75"/>
    <w:rsid w:val="00EF6841"/>
    <w:rsid w:val="00F004E6"/>
    <w:rsid w:val="00F02709"/>
    <w:rsid w:val="00F0408B"/>
    <w:rsid w:val="00F06479"/>
    <w:rsid w:val="00F1414F"/>
    <w:rsid w:val="00F15412"/>
    <w:rsid w:val="00F16278"/>
    <w:rsid w:val="00F17BDD"/>
    <w:rsid w:val="00F24686"/>
    <w:rsid w:val="00F273CB"/>
    <w:rsid w:val="00F317A0"/>
    <w:rsid w:val="00F433DF"/>
    <w:rsid w:val="00F44362"/>
    <w:rsid w:val="00F44579"/>
    <w:rsid w:val="00F473D7"/>
    <w:rsid w:val="00F5045F"/>
    <w:rsid w:val="00F55B42"/>
    <w:rsid w:val="00F56A77"/>
    <w:rsid w:val="00F5706D"/>
    <w:rsid w:val="00F576C4"/>
    <w:rsid w:val="00F62B36"/>
    <w:rsid w:val="00F63339"/>
    <w:rsid w:val="00F64C33"/>
    <w:rsid w:val="00F70CFF"/>
    <w:rsid w:val="00F70F38"/>
    <w:rsid w:val="00F74DCE"/>
    <w:rsid w:val="00F75344"/>
    <w:rsid w:val="00F75DB2"/>
    <w:rsid w:val="00F76E6A"/>
    <w:rsid w:val="00F77351"/>
    <w:rsid w:val="00F8062D"/>
    <w:rsid w:val="00F8505C"/>
    <w:rsid w:val="00F90C53"/>
    <w:rsid w:val="00F95106"/>
    <w:rsid w:val="00FA2858"/>
    <w:rsid w:val="00FA39CD"/>
    <w:rsid w:val="00FA507A"/>
    <w:rsid w:val="00FA74EF"/>
    <w:rsid w:val="00FB56CC"/>
    <w:rsid w:val="00FC6EBF"/>
    <w:rsid w:val="00FD0AE5"/>
    <w:rsid w:val="00FD22AD"/>
    <w:rsid w:val="00FD451A"/>
    <w:rsid w:val="00FD47B4"/>
    <w:rsid w:val="00FF0EB3"/>
    <w:rsid w:val="00FF25A5"/>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Forecast</a:t>
            </a:r>
            <a:r>
              <a:rPr lang="en-GB" baseline="0"/>
              <a:t> expenditure by month 2014/15</a:t>
            </a:r>
            <a:endParaRPr lang="en-GB"/>
          </a:p>
        </c:rich>
      </c:tx>
      <c:layout>
        <c:manualLayout>
          <c:xMode val="edge"/>
          <c:yMode val="edge"/>
          <c:x val="0.25624338696793336"/>
          <c:y val="3.0474938015474927E-2"/>
        </c:manualLayout>
      </c:layout>
      <c:overlay val="0"/>
    </c:title>
    <c:autoTitleDeleted val="0"/>
    <c:plotArea>
      <c:layout/>
      <c:lineChart>
        <c:grouping val="standard"/>
        <c:varyColors val="0"/>
        <c:ser>
          <c:idx val="0"/>
          <c:order val="0"/>
          <c:tx>
            <c:strRef>
              <c:f>Sheet1!$R$2</c:f>
              <c:strCache>
                <c:ptCount val="1"/>
                <c:pt idx="0">
                  <c:v>Forecast monthly expenditure - PAY (£'000)</c:v>
                </c:pt>
              </c:strCache>
            </c:strRef>
          </c:tx>
          <c:marker>
            <c:symbol val="none"/>
          </c:marker>
          <c:cat>
            <c:strRef>
              <c:f>Sheet1!$Q$3:$Q$14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Sheet1!$R$3:$R$14</c:f>
              <c:numCache>
                <c:formatCode>#,##0.00</c:formatCode>
                <c:ptCount val="12"/>
                <c:pt idx="0">
                  <c:v>486.678</c:v>
                </c:pt>
                <c:pt idx="1">
                  <c:v>460.53399999999999</c:v>
                </c:pt>
                <c:pt idx="2">
                  <c:v>491.61900000000003</c:v>
                </c:pt>
                <c:pt idx="3">
                  <c:v>502.17899999999997</c:v>
                </c:pt>
                <c:pt idx="4">
                  <c:v>511.90499999999997</c:v>
                </c:pt>
                <c:pt idx="5">
                  <c:v>553.851</c:v>
                </c:pt>
                <c:pt idx="6">
                  <c:v>640.77499999999998</c:v>
                </c:pt>
                <c:pt idx="7">
                  <c:v>640.77499999999998</c:v>
                </c:pt>
                <c:pt idx="8">
                  <c:v>676.88300000000004</c:v>
                </c:pt>
                <c:pt idx="9">
                  <c:v>677.03899999999999</c:v>
                </c:pt>
                <c:pt idx="10">
                  <c:v>673.048</c:v>
                </c:pt>
                <c:pt idx="11">
                  <c:v>733.33</c:v>
                </c:pt>
              </c:numCache>
            </c:numRef>
          </c:val>
          <c:smooth val="0"/>
        </c:ser>
        <c:ser>
          <c:idx val="1"/>
          <c:order val="1"/>
          <c:tx>
            <c:strRef>
              <c:f>Sheet1!$S$2</c:f>
              <c:strCache>
                <c:ptCount val="1"/>
                <c:pt idx="0">
                  <c:v>Forecast monthly expenditure - NONPAY (£'000)</c:v>
                </c:pt>
              </c:strCache>
            </c:strRef>
          </c:tx>
          <c:marker>
            <c:symbol val="none"/>
          </c:marker>
          <c:cat>
            <c:strRef>
              <c:f>Sheet1!$Q$3:$Q$14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Sheet1!$S$3:$S$14</c:f>
              <c:numCache>
                <c:formatCode>#,##0.00</c:formatCode>
                <c:ptCount val="12"/>
                <c:pt idx="0">
                  <c:v>251.54949999999999</c:v>
                </c:pt>
                <c:pt idx="1">
                  <c:v>251.54949999999999</c:v>
                </c:pt>
                <c:pt idx="2">
                  <c:v>401.745</c:v>
                </c:pt>
                <c:pt idx="3">
                  <c:v>306.81700000000001</c:v>
                </c:pt>
                <c:pt idx="4">
                  <c:v>217.34100000000001</c:v>
                </c:pt>
                <c:pt idx="5">
                  <c:v>469.81099999999998</c:v>
                </c:pt>
                <c:pt idx="6">
                  <c:v>350.108</c:v>
                </c:pt>
                <c:pt idx="7">
                  <c:v>236.43199999999999</c:v>
                </c:pt>
                <c:pt idx="8">
                  <c:v>582.22900000000004</c:v>
                </c:pt>
                <c:pt idx="9">
                  <c:v>307.92500000000001</c:v>
                </c:pt>
                <c:pt idx="10">
                  <c:v>255.048</c:v>
                </c:pt>
                <c:pt idx="11">
                  <c:v>1434.829</c:v>
                </c:pt>
              </c:numCache>
            </c:numRef>
          </c:val>
          <c:smooth val="0"/>
        </c:ser>
        <c:ser>
          <c:idx val="2"/>
          <c:order val="2"/>
          <c:tx>
            <c:strRef>
              <c:f>Sheet1!$T$2</c:f>
              <c:strCache>
                <c:ptCount val="1"/>
                <c:pt idx="0">
                  <c:v>Actual monthly expenditure - PAY (£'000)</c:v>
                </c:pt>
              </c:strCache>
            </c:strRef>
          </c:tx>
          <c:marker>
            <c:symbol val="none"/>
          </c:marker>
          <c:cat>
            <c:strRef>
              <c:f>Sheet1!$Q$3:$Q$14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Sheet1!$T$3:$T$14</c:f>
              <c:numCache>
                <c:formatCode>#,##0.00</c:formatCode>
                <c:ptCount val="12"/>
                <c:pt idx="0">
                  <c:v>395.53800000000001</c:v>
                </c:pt>
                <c:pt idx="1">
                  <c:v>515.73400000000004</c:v>
                </c:pt>
                <c:pt idx="2">
                  <c:v>441.62900000000002</c:v>
                </c:pt>
                <c:pt idx="3">
                  <c:v>465.786</c:v>
                </c:pt>
                <c:pt idx="4">
                  <c:v>504.13299999999998</c:v>
                </c:pt>
                <c:pt idx="5">
                  <c:v>534.69100000000003</c:v>
                </c:pt>
                <c:pt idx="6">
                  <c:v>573.14</c:v>
                </c:pt>
                <c:pt idx="7">
                  <c:v>561.84</c:v>
                </c:pt>
              </c:numCache>
            </c:numRef>
          </c:val>
          <c:smooth val="0"/>
        </c:ser>
        <c:ser>
          <c:idx val="3"/>
          <c:order val="3"/>
          <c:tx>
            <c:strRef>
              <c:f>Sheet1!$U$2</c:f>
              <c:strCache>
                <c:ptCount val="1"/>
                <c:pt idx="0">
                  <c:v>Actual monthly expenditure - NONPAY (£'000)</c:v>
                </c:pt>
              </c:strCache>
            </c:strRef>
          </c:tx>
          <c:marker>
            <c:symbol val="none"/>
          </c:marker>
          <c:cat>
            <c:strRef>
              <c:f>Sheet1!$Q$3:$Q$14</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Sheet1!$U$3:$U$14</c:f>
              <c:numCache>
                <c:formatCode>#,##0.00</c:formatCode>
                <c:ptCount val="12"/>
                <c:pt idx="0">
                  <c:v>245.88900000000001</c:v>
                </c:pt>
                <c:pt idx="1">
                  <c:v>245.89</c:v>
                </c:pt>
                <c:pt idx="2">
                  <c:v>342.48</c:v>
                </c:pt>
                <c:pt idx="3">
                  <c:v>271.17700000000002</c:v>
                </c:pt>
                <c:pt idx="4">
                  <c:v>223.405</c:v>
                </c:pt>
                <c:pt idx="5">
                  <c:v>323.61200000000002</c:v>
                </c:pt>
                <c:pt idx="6">
                  <c:v>285.70999999999998</c:v>
                </c:pt>
                <c:pt idx="7">
                  <c:v>216.81</c:v>
                </c:pt>
              </c:numCache>
            </c:numRef>
          </c:val>
          <c:smooth val="0"/>
        </c:ser>
        <c:dLbls>
          <c:showLegendKey val="0"/>
          <c:showVal val="0"/>
          <c:showCatName val="0"/>
          <c:showSerName val="0"/>
          <c:showPercent val="0"/>
          <c:showBubbleSize val="0"/>
        </c:dLbls>
        <c:marker val="1"/>
        <c:smooth val="0"/>
        <c:axId val="68681728"/>
        <c:axId val="68684032"/>
      </c:lineChart>
      <c:catAx>
        <c:axId val="68681728"/>
        <c:scaling>
          <c:orientation val="minMax"/>
        </c:scaling>
        <c:delete val="0"/>
        <c:axPos val="b"/>
        <c:majorTickMark val="none"/>
        <c:minorTickMark val="none"/>
        <c:tickLblPos val="nextTo"/>
        <c:crossAx val="68684032"/>
        <c:crosses val="autoZero"/>
        <c:auto val="1"/>
        <c:lblAlgn val="ctr"/>
        <c:lblOffset val="100"/>
        <c:noMultiLvlLbl val="0"/>
      </c:catAx>
      <c:valAx>
        <c:axId val="68684032"/>
        <c:scaling>
          <c:orientation val="minMax"/>
        </c:scaling>
        <c:delete val="0"/>
        <c:axPos val="l"/>
        <c:majorGridlines/>
        <c:title>
          <c:tx>
            <c:rich>
              <a:bodyPr/>
              <a:lstStyle/>
              <a:p>
                <a:pPr>
                  <a:defRPr/>
                </a:pPr>
                <a:r>
                  <a:rPr lang="en-GB"/>
                  <a:t>Monthly Expenditure £'000</a:t>
                </a:r>
              </a:p>
            </c:rich>
          </c:tx>
          <c:overlay val="0"/>
        </c:title>
        <c:numFmt formatCode="#,##0.00" sourceLinked="1"/>
        <c:majorTickMark val="none"/>
        <c:minorTickMark val="none"/>
        <c:tickLblPos val="nextTo"/>
        <c:crossAx val="686817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47D4-CE8A-46A1-B34E-37256E9A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Corrigan</dc:creator>
  <cp:lastModifiedBy>Steve Tebbutt</cp:lastModifiedBy>
  <cp:revision>4</cp:revision>
  <cp:lastPrinted>2014-12-10T07:52:00Z</cp:lastPrinted>
  <dcterms:created xsi:type="dcterms:W3CDTF">2015-01-13T19:24:00Z</dcterms:created>
  <dcterms:modified xsi:type="dcterms:W3CDTF">2015-01-14T16:54:00Z</dcterms:modified>
</cp:coreProperties>
</file>