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E08C0" w:rsidP="008057D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E08C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BOARD </w:t>
      </w:r>
      <w:r w:rsidR="008057DB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Pr="00792E2B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792E2B" w:rsidTr="00AE2C5E">
        <w:tc>
          <w:tcPr>
            <w:tcW w:w="2628" w:type="dxa"/>
          </w:tcPr>
          <w:p w:rsidR="00151DBF" w:rsidRPr="00792E2B" w:rsidRDefault="00151DBF" w:rsidP="006F5D49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 of Meeting:</w:t>
            </w:r>
          </w:p>
        </w:tc>
        <w:tc>
          <w:tcPr>
            <w:tcW w:w="6320" w:type="dxa"/>
          </w:tcPr>
          <w:p w:rsidR="006F5D49" w:rsidRPr="00792E2B" w:rsidRDefault="00571F68" w:rsidP="006F5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January 2015</w:t>
            </w:r>
          </w:p>
        </w:tc>
      </w:tr>
    </w:tbl>
    <w:p w:rsidR="0000688A" w:rsidRPr="00792E2B" w:rsidRDefault="0000688A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792E2B" w:rsidTr="00151DBF">
        <w:tc>
          <w:tcPr>
            <w:tcW w:w="2628" w:type="dxa"/>
          </w:tcPr>
          <w:p w:rsidR="0000688A" w:rsidRPr="00792E2B" w:rsidRDefault="0000688A" w:rsidP="006F5D49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Title of Paper:</w:t>
            </w:r>
          </w:p>
        </w:tc>
        <w:tc>
          <w:tcPr>
            <w:tcW w:w="6320" w:type="dxa"/>
          </w:tcPr>
          <w:p w:rsidR="0000688A" w:rsidRDefault="00571F68" w:rsidP="006F5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Adoption of Health Research Authority (HRA) Policies</w:t>
            </w:r>
          </w:p>
          <w:p w:rsidR="006F5D49" w:rsidRPr="00792E2B" w:rsidRDefault="006F5D49" w:rsidP="006F5D49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151DBF">
        <w:tc>
          <w:tcPr>
            <w:tcW w:w="2628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82258E" w:rsidRPr="0026162A" w:rsidRDefault="00F32EA7" w:rsidP="0026162A">
            <w:pPr>
              <w:rPr>
                <w:rFonts w:asciiTheme="minorHAnsi" w:hAnsiTheme="minorHAnsi" w:cstheme="minorHAnsi"/>
              </w:rPr>
            </w:pPr>
            <w:r w:rsidRPr="0026162A">
              <w:rPr>
                <w:rFonts w:asciiTheme="minorHAnsi" w:hAnsiTheme="minorHAnsi" w:cstheme="minorHAnsi"/>
              </w:rPr>
              <w:t xml:space="preserve">To </w:t>
            </w:r>
            <w:r w:rsidR="00571F68" w:rsidRPr="0026162A">
              <w:rPr>
                <w:rFonts w:asciiTheme="minorHAnsi" w:hAnsiTheme="minorHAnsi" w:cstheme="minorHAnsi"/>
              </w:rPr>
              <w:t>ask the</w:t>
            </w:r>
            <w:r w:rsidRPr="0026162A">
              <w:rPr>
                <w:rFonts w:asciiTheme="minorHAnsi" w:hAnsiTheme="minorHAnsi" w:cstheme="minorHAnsi"/>
              </w:rPr>
              <w:t xml:space="preserve"> </w:t>
            </w:r>
            <w:r w:rsidR="00571F68" w:rsidRPr="0026162A">
              <w:rPr>
                <w:rFonts w:asciiTheme="minorHAnsi" w:hAnsiTheme="minorHAnsi" w:cstheme="minorHAnsi"/>
              </w:rPr>
              <w:t xml:space="preserve">HRA </w:t>
            </w:r>
            <w:r w:rsidRPr="0026162A">
              <w:rPr>
                <w:rFonts w:asciiTheme="minorHAnsi" w:hAnsiTheme="minorHAnsi" w:cstheme="minorHAnsi"/>
              </w:rPr>
              <w:t xml:space="preserve">Board </w:t>
            </w:r>
            <w:r w:rsidR="00571F68" w:rsidRPr="0026162A">
              <w:rPr>
                <w:rFonts w:asciiTheme="minorHAnsi" w:hAnsiTheme="minorHAnsi" w:cstheme="minorHAnsi"/>
              </w:rPr>
              <w:t>as successor body corporate to formally adopt all Policies and Procedures from the predecessor body corporate, the HRA as S</w:t>
            </w:r>
            <w:r w:rsidR="006F5D49">
              <w:rPr>
                <w:rFonts w:asciiTheme="minorHAnsi" w:hAnsiTheme="minorHAnsi" w:cstheme="minorHAnsi"/>
              </w:rPr>
              <w:t>pecial</w:t>
            </w:r>
            <w:r w:rsidR="00571F68" w:rsidRPr="0026162A">
              <w:rPr>
                <w:rFonts w:asciiTheme="minorHAnsi" w:hAnsiTheme="minorHAnsi" w:cstheme="minorHAnsi"/>
              </w:rPr>
              <w:t xml:space="preserve"> Health Authority</w:t>
            </w:r>
            <w:r w:rsidRPr="0026162A">
              <w:rPr>
                <w:rFonts w:asciiTheme="minorHAnsi" w:hAnsiTheme="minorHAnsi" w:cstheme="minorHAnsi"/>
              </w:rPr>
              <w:t>.</w:t>
            </w:r>
          </w:p>
          <w:p w:rsidR="00F32EA7" w:rsidRPr="0026162A" w:rsidRDefault="00F32EA7" w:rsidP="0026162A">
            <w:pPr>
              <w:rPr>
                <w:rFonts w:asciiTheme="minorHAnsi" w:hAnsiTheme="minorHAnsi" w:cstheme="minorHAnsi"/>
              </w:rPr>
            </w:pPr>
          </w:p>
          <w:p w:rsidR="0026162A" w:rsidRDefault="0026162A" w:rsidP="0026162A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 w:rsidRPr="0026162A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HRA was</w:t>
            </w:r>
            <w:r w:rsidRPr="0026162A">
              <w:rPr>
                <w:rFonts w:asciiTheme="minorHAnsi" w:hAnsiTheme="minorHAnsi" w:cstheme="minorHAnsi"/>
              </w:rPr>
              <w:t xml:space="preserve"> a Special Health Authority (SpHA) as defined in Section 7 (distribution of health service functions) of the National Health Service Act 2006 and as amended by Section 21 of the H</w:t>
            </w:r>
            <w:r>
              <w:rPr>
                <w:rFonts w:asciiTheme="minorHAnsi" w:hAnsiTheme="minorHAnsi" w:cstheme="minorHAnsi"/>
              </w:rPr>
              <w:t xml:space="preserve">ealth and Social Care Act 2012 and </w:t>
            </w:r>
            <w:r w:rsidRPr="0026162A">
              <w:rPr>
                <w:rFonts w:asciiTheme="minorHAnsi" w:hAnsiTheme="minorHAnsi" w:cstheme="minorHAnsi"/>
              </w:rPr>
              <w:t xml:space="preserve">in accordance with the new Care Act provisions of 2014, </w:t>
            </w:r>
            <w:r>
              <w:rPr>
                <w:rFonts w:asciiTheme="minorHAnsi" w:hAnsiTheme="minorHAnsi" w:cstheme="minorHAnsi"/>
              </w:rPr>
              <w:t>was</w:t>
            </w:r>
            <w:r w:rsidRPr="0026162A">
              <w:rPr>
                <w:rFonts w:asciiTheme="minorHAnsi" w:hAnsiTheme="minorHAnsi" w:cstheme="minorHAnsi"/>
              </w:rPr>
              <w:t xml:space="preserve"> dissolved by Parliament to facilitate the creation of </w:t>
            </w:r>
            <w:r w:rsidR="006F5D49">
              <w:rPr>
                <w:rFonts w:asciiTheme="minorHAnsi" w:hAnsiTheme="minorHAnsi" w:cstheme="minorHAnsi"/>
              </w:rPr>
              <w:t>the</w:t>
            </w:r>
            <w:r w:rsidRPr="0026162A">
              <w:rPr>
                <w:rFonts w:asciiTheme="minorHAnsi" w:hAnsiTheme="minorHAnsi" w:cstheme="minorHAnsi"/>
              </w:rPr>
              <w:t xml:space="preserve"> new statutory N</w:t>
            </w:r>
            <w:r>
              <w:rPr>
                <w:rFonts w:asciiTheme="minorHAnsi" w:hAnsiTheme="minorHAnsi" w:cstheme="minorHAnsi"/>
              </w:rPr>
              <w:t xml:space="preserve">on </w:t>
            </w:r>
            <w:r w:rsidRPr="0026162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epartmental </w:t>
            </w:r>
            <w:r w:rsidRPr="002616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ublic </w:t>
            </w:r>
            <w:r w:rsidRPr="0026162A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ody (NDPB)</w:t>
            </w:r>
            <w:r w:rsidRPr="0026162A">
              <w:rPr>
                <w:rFonts w:asciiTheme="minorHAnsi" w:hAnsiTheme="minorHAnsi" w:cstheme="minorHAnsi"/>
              </w:rPr>
              <w:t>. The HRA as a NHS SpHA cease</w:t>
            </w:r>
            <w:r>
              <w:rPr>
                <w:rFonts w:asciiTheme="minorHAnsi" w:hAnsiTheme="minorHAnsi" w:cstheme="minorHAnsi"/>
              </w:rPr>
              <w:t>d</w:t>
            </w:r>
            <w:r w:rsidRPr="0026162A">
              <w:rPr>
                <w:rFonts w:asciiTheme="minorHAnsi" w:hAnsiTheme="minorHAnsi" w:cstheme="minorHAnsi"/>
              </w:rPr>
              <w:t xml:space="preserve"> to exist on</w:t>
            </w:r>
            <w:r>
              <w:rPr>
                <w:rFonts w:asciiTheme="minorHAnsi" w:hAnsiTheme="minorHAnsi" w:cstheme="minorHAnsi"/>
              </w:rPr>
              <w:t xml:space="preserve"> the 31</w:t>
            </w:r>
            <w:r w:rsidRPr="0026162A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December 2014. On</w:t>
            </w:r>
            <w:r w:rsidRPr="0026162A">
              <w:rPr>
                <w:rFonts w:asciiTheme="minorHAnsi" w:hAnsiTheme="minorHAnsi" w:cstheme="minorHAnsi"/>
              </w:rPr>
              <w:t xml:space="preserve"> 1</w:t>
            </w:r>
            <w:r w:rsidRPr="0026162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6162A">
              <w:rPr>
                <w:rFonts w:asciiTheme="minorHAnsi" w:hAnsiTheme="minorHAnsi" w:cstheme="minorHAnsi"/>
              </w:rPr>
              <w:t xml:space="preserve"> January 2015 the Commencement Order, issued in October 2014, </w:t>
            </w:r>
            <w:r>
              <w:rPr>
                <w:rFonts w:asciiTheme="minorHAnsi" w:hAnsiTheme="minorHAnsi" w:cstheme="minorHAnsi"/>
              </w:rPr>
              <w:t>ca</w:t>
            </w:r>
            <w:r w:rsidRPr="0026162A">
              <w:rPr>
                <w:rFonts w:asciiTheme="minorHAnsi" w:hAnsiTheme="minorHAnsi" w:cstheme="minorHAnsi"/>
              </w:rPr>
              <w:t>me into force establishing the HRA as a NDPB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6162A" w:rsidRDefault="0026162A" w:rsidP="0026162A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</w:p>
          <w:p w:rsidR="0026162A" w:rsidRDefault="0026162A" w:rsidP="0026162A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new legal entity, the HRA as NDPB requires policies and procedures to regulate its </w:t>
            </w:r>
            <w:r w:rsidR="006F5D49">
              <w:rPr>
                <w:rFonts w:asciiTheme="minorHAnsi" w:hAnsiTheme="minorHAnsi" w:cstheme="minorHAnsi"/>
              </w:rPr>
              <w:t xml:space="preserve">decision making and </w:t>
            </w:r>
            <w:r>
              <w:rPr>
                <w:rFonts w:asciiTheme="minorHAnsi" w:hAnsiTheme="minorHAnsi" w:cstheme="minorHAnsi"/>
              </w:rPr>
              <w:t>business processes and provide systems of internal control.</w:t>
            </w:r>
          </w:p>
          <w:p w:rsidR="0026162A" w:rsidRDefault="0026162A" w:rsidP="0026162A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</w:p>
          <w:p w:rsidR="0026162A" w:rsidRPr="0026162A" w:rsidRDefault="0026162A" w:rsidP="0026162A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recommended that the HRA Board formally adopt all the policies and </w:t>
            </w:r>
            <w:r w:rsidR="006F5D49">
              <w:rPr>
                <w:rFonts w:asciiTheme="minorHAnsi" w:hAnsiTheme="minorHAnsi" w:cstheme="minorHAnsi"/>
              </w:rPr>
              <w:t>procedures from the HRA as SpHA, including those that it acquired from predecessor organisations (for example in staff contracts).</w:t>
            </w: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151DBF">
        <w:tc>
          <w:tcPr>
            <w:tcW w:w="2628" w:type="dxa"/>
          </w:tcPr>
          <w:p w:rsidR="0082258E" w:rsidRPr="00792E2B" w:rsidRDefault="0082258E" w:rsidP="006F5D49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Reason for Submission:</w:t>
            </w:r>
          </w:p>
        </w:tc>
        <w:tc>
          <w:tcPr>
            <w:tcW w:w="6320" w:type="dxa"/>
          </w:tcPr>
          <w:p w:rsidR="0000688A" w:rsidRDefault="00F32EA7" w:rsidP="006F5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8057DB">
              <w:rPr>
                <w:rFonts w:asciiTheme="minorHAnsi" w:hAnsiTheme="minorHAnsi" w:cstheme="minorHAnsi"/>
              </w:rPr>
              <w:t>a</w:t>
            </w:r>
            <w:r w:rsidR="00571F68">
              <w:rPr>
                <w:rFonts w:asciiTheme="minorHAnsi" w:hAnsiTheme="minorHAnsi" w:cstheme="minorHAnsi"/>
              </w:rPr>
              <w:t>pproval</w:t>
            </w:r>
          </w:p>
          <w:p w:rsidR="006F5D49" w:rsidRPr="00792E2B" w:rsidRDefault="006F5D49" w:rsidP="006F5D49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151DBF">
        <w:tc>
          <w:tcPr>
            <w:tcW w:w="2628" w:type="dxa"/>
          </w:tcPr>
          <w:p w:rsidR="0082258E" w:rsidRPr="00792E2B" w:rsidRDefault="0082258E" w:rsidP="006F5D49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Details:</w:t>
            </w:r>
          </w:p>
        </w:tc>
        <w:tc>
          <w:tcPr>
            <w:tcW w:w="6320" w:type="dxa"/>
          </w:tcPr>
          <w:p w:rsidR="0000688A" w:rsidRDefault="00F32EA7" w:rsidP="006F5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</w:t>
            </w:r>
            <w:r w:rsidR="00571F68">
              <w:rPr>
                <w:rFonts w:asciiTheme="minorHAnsi" w:hAnsiTheme="minorHAnsi" w:cstheme="minorHAnsi"/>
              </w:rPr>
              <w:t>Above</w:t>
            </w:r>
          </w:p>
          <w:p w:rsidR="006F5D49" w:rsidRPr="00792E2B" w:rsidRDefault="006F5D49" w:rsidP="006F5D49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792E2B" w:rsidTr="00151DBF">
        <w:tc>
          <w:tcPr>
            <w:tcW w:w="2628" w:type="dxa"/>
          </w:tcPr>
          <w:p w:rsidR="0000688A" w:rsidRDefault="0000688A" w:rsidP="006F5D49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6F5D49" w:rsidRPr="00792E2B" w:rsidRDefault="006F5D49" w:rsidP="006F5D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792E2B" w:rsidRDefault="00F32EA7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00688A" w:rsidRPr="00792E2B" w:rsidRDefault="0000688A" w:rsidP="0082258E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792E2B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2E55B5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792E2B" w:rsidRDefault="0026162A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2E55B5" w:rsidRPr="00792E2B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2E2B" w:rsidRPr="00792E2B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55B5" w:rsidRPr="00792E2B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F5D49" w:rsidRPr="00792E2B" w:rsidRDefault="006F5D49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792E2B" w:rsidTr="00AE2C5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792E2B" w:rsidRDefault="0026162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Stephen </w:t>
            </w:r>
            <w:r w:rsidR="006F5D49">
              <w:rPr>
                <w:rFonts w:asciiTheme="minorHAnsi" w:hAnsiTheme="minorHAnsi" w:cstheme="minorHAnsi"/>
              </w:rPr>
              <w:t>Tebbutt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AE2C5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F32EA7" w:rsidRDefault="006F5D4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Board</w:t>
            </w:r>
            <w:r w:rsidR="0026162A">
              <w:rPr>
                <w:rFonts w:asciiTheme="minorHAnsi" w:eastAsia="Times New Roman" w:hAnsiTheme="minorHAnsi" w:cstheme="minorHAnsi"/>
              </w:rPr>
              <w:t xml:space="preserve"> Secretary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AE2C5E">
        <w:tc>
          <w:tcPr>
            <w:tcW w:w="262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792E2B" w:rsidRDefault="005E08C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bookmarkStart w:id="0" w:name="_GoBack"/>
            <w:bookmarkEnd w:id="0"/>
            <w:r w:rsidR="0026162A">
              <w:rPr>
                <w:rFonts w:asciiTheme="minorHAnsi" w:hAnsiTheme="minorHAnsi" w:cstheme="minorHAnsi"/>
              </w:rPr>
              <w:t>/01/2015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792E2B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792E2B" w:rsidSect="000F5FA5">
      <w:headerReference w:type="default" r:id="rId9"/>
      <w:footerReference w:type="default" r:id="rId10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2D" w:rsidRDefault="00AF282D">
    <w:pPr>
      <w:pStyle w:val="Footer"/>
    </w:pPr>
    <w:r w:rsidRPr="00AF282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57B123" wp14:editId="483340B0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2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79D2A" wp14:editId="6BE503AF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D82"/>
    <w:multiLevelType w:val="hybridMultilevel"/>
    <w:tmpl w:val="D8D62E38"/>
    <w:lvl w:ilvl="0" w:tplc="000F0409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8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162A"/>
    <w:rsid w:val="00267CD4"/>
    <w:rsid w:val="0027131C"/>
    <w:rsid w:val="0027616F"/>
    <w:rsid w:val="0028249D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1F68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08C0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5D49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702B3"/>
    <w:rsid w:val="00792E2B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57DB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72A"/>
    <w:rsid w:val="00AF282D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32EA7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C8BD69-66F5-44CF-A6AC-D8BDEEB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2015-01-13T11:37:00Z</dcterms:created>
  <dcterms:modified xsi:type="dcterms:W3CDTF">2015-01-14T16:37:00Z</dcterms:modified>
</cp:coreProperties>
</file>