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6632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6632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21/01/2015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66326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Conflict of Interests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Declaration of Interests policy is attached for information. A discussion of any applicable interests to be declared will take place at the first Board meeting</w:t>
            </w:r>
            <w:r w:rsidR="006F4391">
              <w:rPr>
                <w:rFonts w:asciiTheme="minorHAnsi" w:hAnsiTheme="minorHAnsi" w:cstheme="minorHAnsi"/>
              </w:rPr>
              <w:t xml:space="preserve"> to ensure they are captured on the HRA’s declaration of interest register.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All Board members are required to complete a declaration of interest form </w:t>
            </w:r>
            <w:r>
              <w:rPr>
                <w:rFonts w:asciiTheme="minorHAnsi" w:hAnsiTheme="minorHAnsi" w:cstheme="minorHAnsi"/>
              </w:rPr>
              <w:t xml:space="preserve">which has been circulated separately and should be given to the Board Secretary at the first Board meeting. 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record any declaration of interests</w:t>
            </w:r>
            <w:r w:rsidR="006F4391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166326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16632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6632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14/01/2015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66326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4391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BDC63C-EA1F-4FF8-A7A9-6A9C81C9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2015-01-14T16:24:00Z</dcterms:created>
  <dcterms:modified xsi:type="dcterms:W3CDTF">2015-01-14T16:25:00Z</dcterms:modified>
</cp:coreProperties>
</file>