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6B" w:rsidRPr="00465F3B" w:rsidRDefault="005D4F6B" w:rsidP="005D4F6B">
      <w:pPr>
        <w:jc w:val="right"/>
        <w:rPr>
          <w:rFonts w:ascii="Arial" w:hAnsi="Arial" w:cs="Arial"/>
          <w:b/>
        </w:rPr>
      </w:pPr>
      <w:r w:rsidRPr="00465F3B">
        <w:rPr>
          <w:rFonts w:ascii="Arial" w:hAnsi="Arial" w:cs="Arial"/>
          <w:b/>
          <w:noProof/>
        </w:rPr>
        <w:drawing>
          <wp:inline distT="0" distB="0" distL="0" distR="0" wp14:anchorId="170069F7" wp14:editId="05EDDC36">
            <wp:extent cx="186944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368300"/>
                    </a:xfrm>
                    <a:prstGeom prst="rect">
                      <a:avLst/>
                    </a:prstGeom>
                    <a:noFill/>
                    <a:ln>
                      <a:noFill/>
                    </a:ln>
                  </pic:spPr>
                </pic:pic>
              </a:graphicData>
            </a:graphic>
          </wp:inline>
        </w:drawing>
      </w:r>
    </w:p>
    <w:p w:rsidR="005D4F6B" w:rsidRPr="00465F3B" w:rsidRDefault="005D4F6B" w:rsidP="005D4F6B">
      <w:pPr>
        <w:jc w:val="right"/>
        <w:rPr>
          <w:rFonts w:ascii="Arial" w:hAnsi="Arial" w:cs="Arial"/>
          <w:b/>
        </w:rPr>
      </w:pPr>
    </w:p>
    <w:p w:rsidR="005D4F6B" w:rsidRPr="00465F3B" w:rsidRDefault="005D4F6B" w:rsidP="005D4F6B">
      <w:pPr>
        <w:rPr>
          <w:rFonts w:ascii="Arial" w:hAnsi="Arial" w:cs="Arial"/>
          <w:b/>
          <w:sz w:val="28"/>
          <w:szCs w:val="28"/>
        </w:rPr>
      </w:pPr>
      <w:r>
        <w:rPr>
          <w:rFonts w:ascii="Arial" w:hAnsi="Arial" w:cs="Arial"/>
          <w:b/>
          <w:sz w:val="28"/>
          <w:szCs w:val="28"/>
        </w:rPr>
        <w:t>Appendix 1</w:t>
      </w:r>
    </w:p>
    <w:p w:rsidR="005D4F6B" w:rsidRDefault="005D4F6B" w:rsidP="00D24E44">
      <w:pPr>
        <w:rPr>
          <w:rFonts w:ascii="Arial" w:hAnsi="Arial" w:cs="Arial"/>
          <w:b/>
          <w:color w:val="548DD4" w:themeColor="text2" w:themeTint="99"/>
          <w:sz w:val="20"/>
          <w:szCs w:val="20"/>
          <w:u w:val="single"/>
        </w:rPr>
      </w:pPr>
    </w:p>
    <w:p w:rsidR="00D24E44" w:rsidRPr="005D4F6B" w:rsidRDefault="00D24E44" w:rsidP="005D4F6B">
      <w:pPr>
        <w:jc w:val="center"/>
        <w:rPr>
          <w:rFonts w:ascii="Arial" w:hAnsi="Arial" w:cs="Arial"/>
          <w:b/>
          <w:sz w:val="22"/>
          <w:szCs w:val="22"/>
        </w:rPr>
      </w:pPr>
      <w:r w:rsidRPr="005D4F6B">
        <w:rPr>
          <w:rFonts w:ascii="Arial" w:hAnsi="Arial" w:cs="Arial"/>
          <w:b/>
          <w:sz w:val="22"/>
          <w:szCs w:val="22"/>
        </w:rPr>
        <w:t>HRA Expectations of Sponsors</w:t>
      </w:r>
      <w:r w:rsidR="00B23ED7">
        <w:rPr>
          <w:rFonts w:ascii="Arial" w:hAnsi="Arial" w:cs="Arial"/>
          <w:b/>
          <w:sz w:val="22"/>
          <w:szCs w:val="22"/>
        </w:rPr>
        <w:t xml:space="preserve"> </w:t>
      </w:r>
    </w:p>
    <w:p w:rsidR="00D24E44" w:rsidRPr="005D4F6B" w:rsidRDefault="00D24E44" w:rsidP="00D24E44">
      <w:pPr>
        <w:rPr>
          <w:rFonts w:ascii="Arial" w:hAnsi="Arial" w:cs="Arial"/>
          <w:b/>
          <w:color w:val="548DD4" w:themeColor="text2" w:themeTint="99"/>
          <w:sz w:val="22"/>
          <w:szCs w:val="22"/>
        </w:rPr>
      </w:pPr>
    </w:p>
    <w:p w:rsidR="002B0DB2" w:rsidRDefault="002B0DB2" w:rsidP="002B0DB2">
      <w:pPr>
        <w:pStyle w:val="Default"/>
        <w:rPr>
          <w:rFonts w:ascii="Arial" w:hAnsi="Arial" w:cs="Arial"/>
          <w:sz w:val="22"/>
          <w:szCs w:val="22"/>
        </w:rPr>
      </w:pPr>
      <w:r w:rsidRPr="005D4F6B">
        <w:rPr>
          <w:rFonts w:ascii="Arial" w:hAnsi="Arial" w:cs="Arial"/>
          <w:sz w:val="22"/>
          <w:szCs w:val="22"/>
        </w:rPr>
        <w:t xml:space="preserve">The Health Research Authority expects that an organisation which agrees to sponsor research of any level be confident in its ability to meet their responsibilities according to the standards as laid down in the Research Governance Framework (2005). </w:t>
      </w:r>
    </w:p>
    <w:p w:rsidR="007A1420" w:rsidRPr="005D4F6B" w:rsidRDefault="007A1420" w:rsidP="002B0DB2">
      <w:pPr>
        <w:pStyle w:val="Default"/>
        <w:rPr>
          <w:rFonts w:ascii="Arial" w:hAnsi="Arial" w:cs="Arial"/>
          <w:sz w:val="22"/>
          <w:szCs w:val="22"/>
        </w:rPr>
      </w:pPr>
    </w:p>
    <w:p w:rsidR="002B0DB2" w:rsidRPr="005D4F6B" w:rsidRDefault="002B0DB2" w:rsidP="002B0DB2">
      <w:pPr>
        <w:pStyle w:val="Default"/>
        <w:rPr>
          <w:rFonts w:ascii="Arial" w:hAnsi="Arial" w:cs="Arial"/>
          <w:sz w:val="22"/>
          <w:szCs w:val="22"/>
        </w:rPr>
      </w:pPr>
    </w:p>
    <w:p w:rsidR="00D24E44" w:rsidRPr="005D4F6B" w:rsidRDefault="00D24E44" w:rsidP="00D24E44">
      <w:pPr>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2518"/>
        <w:gridCol w:w="11656"/>
      </w:tblGrid>
      <w:tr w:rsidR="00DD5A4F" w:rsidRPr="005D4F6B" w:rsidTr="00DD5A4F">
        <w:tc>
          <w:tcPr>
            <w:tcW w:w="14174" w:type="dxa"/>
            <w:gridSpan w:val="2"/>
          </w:tcPr>
          <w:p w:rsidR="00DD5A4F" w:rsidRPr="005D4F6B" w:rsidRDefault="005B7A2E" w:rsidP="00D24E44">
            <w:pPr>
              <w:rPr>
                <w:rFonts w:ascii="Arial" w:hAnsi="Arial" w:cs="Arial"/>
                <w:b/>
              </w:rPr>
            </w:pPr>
            <w:r w:rsidRPr="005D4F6B">
              <w:rPr>
                <w:rFonts w:ascii="Arial" w:hAnsi="Arial" w:cs="Arial"/>
                <w:b/>
                <w:color w:val="548DD4" w:themeColor="text2" w:themeTint="99"/>
              </w:rPr>
              <w:t>Expectations regarding ALL</w:t>
            </w:r>
            <w:r w:rsidR="00DD5A4F" w:rsidRPr="005D4F6B">
              <w:rPr>
                <w:rFonts w:ascii="Arial" w:hAnsi="Arial" w:cs="Arial"/>
                <w:b/>
                <w:color w:val="548DD4" w:themeColor="text2" w:themeTint="99"/>
              </w:rPr>
              <w:t xml:space="preserve"> types of studies sponsored by organisations</w:t>
            </w:r>
          </w:p>
        </w:tc>
      </w:tr>
      <w:tr w:rsidR="00DD5A4F" w:rsidRPr="005D4F6B" w:rsidTr="00DD5A4F">
        <w:tc>
          <w:tcPr>
            <w:tcW w:w="2518" w:type="dxa"/>
          </w:tcPr>
          <w:p w:rsidR="00DD5A4F" w:rsidRPr="005D4F6B" w:rsidRDefault="00DD5A4F" w:rsidP="00D24E44">
            <w:pPr>
              <w:rPr>
                <w:rFonts w:ascii="Arial" w:hAnsi="Arial" w:cs="Arial"/>
                <w:color w:val="548DD4" w:themeColor="text2" w:themeTint="99"/>
                <w:sz w:val="22"/>
                <w:szCs w:val="22"/>
              </w:rPr>
            </w:pPr>
            <w:r w:rsidRPr="005D4F6B">
              <w:rPr>
                <w:rFonts w:ascii="Arial" w:hAnsi="Arial" w:cs="Arial"/>
                <w:sz w:val="22"/>
                <w:szCs w:val="22"/>
              </w:rPr>
              <w:t>Peer review:</w:t>
            </w:r>
          </w:p>
        </w:tc>
        <w:tc>
          <w:tcPr>
            <w:tcW w:w="11656" w:type="dxa"/>
          </w:tcPr>
          <w:p w:rsidR="00DD5A4F" w:rsidRDefault="00DD5A4F" w:rsidP="008A3474">
            <w:pPr>
              <w:rPr>
                <w:rFonts w:ascii="Arial" w:hAnsi="Arial" w:cs="Arial"/>
                <w:sz w:val="22"/>
                <w:szCs w:val="22"/>
              </w:rPr>
            </w:pPr>
            <w:r w:rsidRPr="005D4F6B">
              <w:rPr>
                <w:rFonts w:ascii="Arial" w:hAnsi="Arial" w:cs="Arial"/>
                <w:sz w:val="22"/>
                <w:szCs w:val="22"/>
              </w:rPr>
              <w:t>P</w:t>
            </w:r>
            <w:r w:rsidR="008D1272" w:rsidRPr="005D4F6B">
              <w:rPr>
                <w:rFonts w:ascii="Arial" w:hAnsi="Arial" w:cs="Arial"/>
                <w:sz w:val="22"/>
                <w:szCs w:val="22"/>
              </w:rPr>
              <w:t>roportionate peer review is</w:t>
            </w:r>
            <w:r w:rsidRPr="005D4F6B">
              <w:rPr>
                <w:rFonts w:ascii="Arial" w:hAnsi="Arial" w:cs="Arial"/>
                <w:sz w:val="22"/>
                <w:szCs w:val="22"/>
              </w:rPr>
              <w:t xml:space="preserve"> in place for all sponsore</w:t>
            </w:r>
            <w:r w:rsidR="006F5B24" w:rsidRPr="005D4F6B">
              <w:rPr>
                <w:rFonts w:ascii="Arial" w:hAnsi="Arial" w:cs="Arial"/>
                <w:sz w:val="22"/>
                <w:szCs w:val="22"/>
              </w:rPr>
              <w:t>d research activity. This is</w:t>
            </w:r>
            <w:r w:rsidRPr="005D4F6B">
              <w:rPr>
                <w:rFonts w:ascii="Arial" w:hAnsi="Arial" w:cs="Arial"/>
                <w:sz w:val="22"/>
                <w:szCs w:val="22"/>
              </w:rPr>
              <w:t xml:space="preserve"> appropriate according to the type of study and the perceived risk</w:t>
            </w:r>
            <w:r w:rsidR="006F5B24" w:rsidRPr="005D4F6B">
              <w:rPr>
                <w:rFonts w:ascii="Arial" w:hAnsi="Arial" w:cs="Arial"/>
                <w:sz w:val="22"/>
                <w:szCs w:val="22"/>
              </w:rPr>
              <w:t xml:space="preserve"> and </w:t>
            </w:r>
            <w:r w:rsidR="008D1272" w:rsidRPr="005D4F6B">
              <w:rPr>
                <w:rFonts w:ascii="Arial" w:hAnsi="Arial" w:cs="Arial"/>
                <w:sz w:val="22"/>
                <w:szCs w:val="22"/>
              </w:rPr>
              <w:t>ensure</w:t>
            </w:r>
            <w:r w:rsidR="006F5B24" w:rsidRPr="005D4F6B">
              <w:rPr>
                <w:rFonts w:ascii="Arial" w:hAnsi="Arial" w:cs="Arial"/>
                <w:sz w:val="22"/>
                <w:szCs w:val="22"/>
              </w:rPr>
              <w:t>s</w:t>
            </w:r>
            <w:r w:rsidR="008D1272" w:rsidRPr="005D4F6B">
              <w:rPr>
                <w:rFonts w:ascii="Arial" w:hAnsi="Arial" w:cs="Arial"/>
                <w:sz w:val="22"/>
                <w:szCs w:val="22"/>
              </w:rPr>
              <w:t xml:space="preserve"> that the design of the study meets the appropriate standards.</w:t>
            </w:r>
            <w:r w:rsidR="003706CF" w:rsidRPr="005D4F6B">
              <w:rPr>
                <w:rFonts w:ascii="Arial" w:hAnsi="Arial" w:cs="Arial"/>
                <w:sz w:val="22"/>
                <w:szCs w:val="22"/>
              </w:rPr>
              <w:t xml:space="preserve"> The review process and outcome are justified and clarified in the application</w:t>
            </w:r>
            <w:r w:rsidR="008A3474" w:rsidRPr="005D4F6B">
              <w:rPr>
                <w:rFonts w:ascii="Arial" w:hAnsi="Arial" w:cs="Arial"/>
                <w:sz w:val="22"/>
                <w:szCs w:val="22"/>
              </w:rPr>
              <w:t>s prepared in IRAS</w:t>
            </w:r>
          </w:p>
          <w:p w:rsidR="005D4F6B" w:rsidRPr="005D4F6B" w:rsidRDefault="005D4F6B" w:rsidP="008A3474">
            <w:pPr>
              <w:rPr>
                <w:rFonts w:ascii="Arial" w:hAnsi="Arial" w:cs="Arial"/>
                <w:color w:val="548DD4" w:themeColor="text2" w:themeTint="99"/>
                <w:sz w:val="22"/>
                <w:szCs w:val="22"/>
              </w:rPr>
            </w:pPr>
          </w:p>
        </w:tc>
      </w:tr>
      <w:tr w:rsidR="00DD5A4F" w:rsidRPr="005D4F6B" w:rsidTr="00DD5A4F">
        <w:tc>
          <w:tcPr>
            <w:tcW w:w="2518" w:type="dxa"/>
          </w:tcPr>
          <w:p w:rsidR="00DD5A4F" w:rsidRPr="005D4F6B" w:rsidRDefault="00DD5A4F" w:rsidP="00D24E44">
            <w:pPr>
              <w:rPr>
                <w:rFonts w:ascii="Arial" w:hAnsi="Arial" w:cs="Arial"/>
                <w:color w:val="548DD4" w:themeColor="text2" w:themeTint="99"/>
                <w:sz w:val="22"/>
                <w:szCs w:val="22"/>
              </w:rPr>
            </w:pPr>
            <w:r w:rsidRPr="005D4F6B">
              <w:rPr>
                <w:rFonts w:ascii="Arial" w:hAnsi="Arial" w:cs="Arial"/>
                <w:sz w:val="22"/>
                <w:szCs w:val="22"/>
              </w:rPr>
              <w:t>Supporting information:</w:t>
            </w:r>
          </w:p>
        </w:tc>
        <w:tc>
          <w:tcPr>
            <w:tcW w:w="11656" w:type="dxa"/>
          </w:tcPr>
          <w:p w:rsidR="00DD5A4F" w:rsidRPr="005D4F6B" w:rsidRDefault="00DD5A4F" w:rsidP="00DD5A4F">
            <w:pPr>
              <w:rPr>
                <w:rFonts w:ascii="Arial" w:hAnsi="Arial" w:cs="Arial"/>
                <w:sz w:val="22"/>
                <w:szCs w:val="22"/>
              </w:rPr>
            </w:pPr>
            <w:r w:rsidRPr="005D4F6B">
              <w:rPr>
                <w:rFonts w:ascii="Arial" w:hAnsi="Arial" w:cs="Arial"/>
                <w:sz w:val="22"/>
                <w:szCs w:val="22"/>
              </w:rPr>
              <w:t>All appropriate, valid</w:t>
            </w:r>
            <w:r w:rsidR="008D1272" w:rsidRPr="005D4F6B">
              <w:rPr>
                <w:rFonts w:ascii="Arial" w:hAnsi="Arial" w:cs="Arial"/>
                <w:sz w:val="22"/>
                <w:szCs w:val="22"/>
              </w:rPr>
              <w:t xml:space="preserve"> supporting documentation is </w:t>
            </w:r>
            <w:r w:rsidRPr="005D4F6B">
              <w:rPr>
                <w:rFonts w:ascii="Arial" w:hAnsi="Arial" w:cs="Arial"/>
                <w:sz w:val="22"/>
                <w:szCs w:val="22"/>
              </w:rPr>
              <w:t>supplied at the point of application</w:t>
            </w:r>
          </w:p>
          <w:p w:rsidR="00DD5A4F" w:rsidRPr="005D4F6B" w:rsidRDefault="00DD5A4F" w:rsidP="00D24E44">
            <w:pPr>
              <w:rPr>
                <w:rFonts w:ascii="Arial" w:hAnsi="Arial" w:cs="Arial"/>
                <w:color w:val="548DD4" w:themeColor="text2" w:themeTint="99"/>
                <w:sz w:val="22"/>
                <w:szCs w:val="22"/>
              </w:rPr>
            </w:pPr>
          </w:p>
        </w:tc>
      </w:tr>
      <w:tr w:rsidR="00DD5A4F" w:rsidRPr="005D4F6B" w:rsidTr="00DD5A4F">
        <w:tc>
          <w:tcPr>
            <w:tcW w:w="2518" w:type="dxa"/>
          </w:tcPr>
          <w:p w:rsidR="00DD5A4F" w:rsidRPr="005D4F6B" w:rsidRDefault="00DD5A4F" w:rsidP="00D24E44">
            <w:pPr>
              <w:rPr>
                <w:rFonts w:ascii="Arial" w:hAnsi="Arial" w:cs="Arial"/>
                <w:color w:val="548DD4" w:themeColor="text2" w:themeTint="99"/>
                <w:sz w:val="22"/>
                <w:szCs w:val="22"/>
              </w:rPr>
            </w:pPr>
            <w:r w:rsidRPr="005D4F6B">
              <w:rPr>
                <w:rFonts w:ascii="Arial" w:hAnsi="Arial" w:cs="Arial"/>
                <w:sz w:val="22"/>
                <w:szCs w:val="22"/>
              </w:rPr>
              <w:t>Defined roles and responsibilities:</w:t>
            </w:r>
          </w:p>
        </w:tc>
        <w:tc>
          <w:tcPr>
            <w:tcW w:w="11656" w:type="dxa"/>
          </w:tcPr>
          <w:p w:rsidR="00DD5A4F" w:rsidRPr="005D4F6B" w:rsidRDefault="00DD5A4F" w:rsidP="00DD5A4F">
            <w:pPr>
              <w:rPr>
                <w:rFonts w:ascii="Arial" w:hAnsi="Arial" w:cs="Arial"/>
                <w:sz w:val="22"/>
                <w:szCs w:val="22"/>
              </w:rPr>
            </w:pPr>
            <w:r w:rsidRPr="005D4F6B">
              <w:rPr>
                <w:rFonts w:ascii="Arial" w:hAnsi="Arial" w:cs="Arial"/>
                <w:sz w:val="22"/>
                <w:szCs w:val="22"/>
              </w:rPr>
              <w:t xml:space="preserve">Division of </w:t>
            </w:r>
            <w:r w:rsidR="006F5B24" w:rsidRPr="005D4F6B">
              <w:rPr>
                <w:rFonts w:ascii="Arial" w:hAnsi="Arial" w:cs="Arial"/>
                <w:sz w:val="22"/>
                <w:szCs w:val="22"/>
              </w:rPr>
              <w:t xml:space="preserve">roles </w:t>
            </w:r>
            <w:r w:rsidRPr="005D4F6B">
              <w:rPr>
                <w:rFonts w:ascii="Arial" w:hAnsi="Arial" w:cs="Arial"/>
                <w:sz w:val="22"/>
                <w:szCs w:val="22"/>
              </w:rPr>
              <w:t xml:space="preserve">responsibilities </w:t>
            </w:r>
            <w:r w:rsidR="006F5B24" w:rsidRPr="005D4F6B">
              <w:rPr>
                <w:rFonts w:ascii="Arial" w:hAnsi="Arial" w:cs="Arial"/>
                <w:sz w:val="22"/>
                <w:szCs w:val="22"/>
              </w:rPr>
              <w:t xml:space="preserve">of both organisations and individuals </w:t>
            </w:r>
            <w:r w:rsidR="008D1272" w:rsidRPr="005D4F6B">
              <w:rPr>
                <w:rFonts w:ascii="Arial" w:hAnsi="Arial" w:cs="Arial"/>
                <w:sz w:val="22"/>
                <w:szCs w:val="22"/>
              </w:rPr>
              <w:t xml:space="preserve">are </w:t>
            </w:r>
            <w:r w:rsidRPr="005D4F6B">
              <w:rPr>
                <w:rFonts w:ascii="Arial" w:hAnsi="Arial" w:cs="Arial"/>
                <w:sz w:val="22"/>
                <w:szCs w:val="22"/>
              </w:rPr>
              <w:t>clearly defined and signed off</w:t>
            </w:r>
            <w:r w:rsidR="008D1272" w:rsidRPr="005D4F6B">
              <w:rPr>
                <w:rFonts w:ascii="Arial" w:hAnsi="Arial" w:cs="Arial"/>
                <w:sz w:val="22"/>
                <w:szCs w:val="22"/>
              </w:rPr>
              <w:t xml:space="preserve"> prior to the study commencing</w:t>
            </w:r>
          </w:p>
          <w:p w:rsidR="00DD5A4F" w:rsidRPr="005D4F6B" w:rsidRDefault="00DD5A4F" w:rsidP="00D24E44">
            <w:pPr>
              <w:rPr>
                <w:rFonts w:ascii="Arial" w:hAnsi="Arial" w:cs="Arial"/>
                <w:color w:val="548DD4" w:themeColor="text2" w:themeTint="99"/>
                <w:sz w:val="22"/>
                <w:szCs w:val="22"/>
              </w:rPr>
            </w:pPr>
          </w:p>
        </w:tc>
      </w:tr>
      <w:tr w:rsidR="00DD5A4F" w:rsidRPr="005D4F6B" w:rsidTr="00DD5A4F">
        <w:tc>
          <w:tcPr>
            <w:tcW w:w="2518" w:type="dxa"/>
          </w:tcPr>
          <w:p w:rsidR="00DD5A4F" w:rsidRPr="005D4F6B" w:rsidRDefault="005B7A2E" w:rsidP="00D24E44">
            <w:pPr>
              <w:rPr>
                <w:rFonts w:ascii="Arial" w:hAnsi="Arial" w:cs="Arial"/>
                <w:color w:val="548DD4" w:themeColor="text2" w:themeTint="99"/>
                <w:sz w:val="22"/>
                <w:szCs w:val="22"/>
              </w:rPr>
            </w:pPr>
            <w:r w:rsidRPr="005D4F6B">
              <w:rPr>
                <w:rFonts w:ascii="Arial" w:hAnsi="Arial" w:cs="Arial"/>
                <w:sz w:val="22"/>
                <w:szCs w:val="22"/>
              </w:rPr>
              <w:t>Monitoring and audit:</w:t>
            </w:r>
          </w:p>
        </w:tc>
        <w:tc>
          <w:tcPr>
            <w:tcW w:w="11656" w:type="dxa"/>
          </w:tcPr>
          <w:p w:rsidR="00DD5A4F" w:rsidRDefault="006F5B24" w:rsidP="00884540">
            <w:pPr>
              <w:rPr>
                <w:rFonts w:ascii="Arial" w:hAnsi="Arial" w:cs="Arial"/>
                <w:sz w:val="22"/>
                <w:szCs w:val="22"/>
              </w:rPr>
            </w:pPr>
            <w:r w:rsidRPr="005D4F6B">
              <w:rPr>
                <w:rFonts w:ascii="Arial" w:hAnsi="Arial" w:cs="Arial"/>
                <w:sz w:val="22"/>
                <w:szCs w:val="22"/>
              </w:rPr>
              <w:t>T</w:t>
            </w:r>
            <w:r w:rsidR="008D1272" w:rsidRPr="005D4F6B">
              <w:rPr>
                <w:rFonts w:ascii="Arial" w:hAnsi="Arial" w:cs="Arial"/>
                <w:sz w:val="22"/>
                <w:szCs w:val="22"/>
              </w:rPr>
              <w:t xml:space="preserve">he </w:t>
            </w:r>
            <w:r w:rsidR="005B7A2E" w:rsidRPr="005D4F6B">
              <w:rPr>
                <w:rFonts w:ascii="Arial" w:hAnsi="Arial" w:cs="Arial"/>
                <w:sz w:val="22"/>
                <w:szCs w:val="22"/>
              </w:rPr>
              <w:t xml:space="preserve">required infrastructure </w:t>
            </w:r>
            <w:r w:rsidRPr="005D4F6B">
              <w:rPr>
                <w:rFonts w:ascii="Arial" w:hAnsi="Arial" w:cs="Arial"/>
                <w:sz w:val="22"/>
                <w:szCs w:val="22"/>
              </w:rPr>
              <w:t xml:space="preserve">is </w:t>
            </w:r>
            <w:r w:rsidR="005B7A2E" w:rsidRPr="005D4F6B">
              <w:rPr>
                <w:rFonts w:ascii="Arial" w:hAnsi="Arial" w:cs="Arial"/>
                <w:sz w:val="22"/>
                <w:szCs w:val="22"/>
              </w:rPr>
              <w:t xml:space="preserve">in place to ensure the appropriate level of monitoring and audit </w:t>
            </w:r>
            <w:r w:rsidR="008D1272" w:rsidRPr="005D4F6B">
              <w:rPr>
                <w:rFonts w:ascii="Arial" w:hAnsi="Arial" w:cs="Arial"/>
                <w:sz w:val="22"/>
                <w:szCs w:val="22"/>
              </w:rPr>
              <w:t xml:space="preserve">is carried out which is proportionate to the </w:t>
            </w:r>
            <w:r w:rsidR="00884540" w:rsidRPr="005D4F6B">
              <w:rPr>
                <w:rFonts w:ascii="Arial" w:hAnsi="Arial" w:cs="Arial"/>
                <w:sz w:val="22"/>
                <w:szCs w:val="22"/>
              </w:rPr>
              <w:t xml:space="preserve">type of study being undertaken and ensures </w:t>
            </w:r>
            <w:r w:rsidR="008D1272" w:rsidRPr="005D4F6B">
              <w:rPr>
                <w:rFonts w:ascii="Arial" w:hAnsi="Arial" w:cs="Arial"/>
                <w:sz w:val="22"/>
                <w:szCs w:val="22"/>
              </w:rPr>
              <w:t>the necessary level of oversight throughout the life cycle of the study.</w:t>
            </w:r>
          </w:p>
          <w:p w:rsidR="005D4F6B" w:rsidRPr="005D4F6B" w:rsidRDefault="005D4F6B" w:rsidP="00884540">
            <w:pPr>
              <w:rPr>
                <w:rFonts w:ascii="Arial" w:hAnsi="Arial" w:cs="Arial"/>
                <w:sz w:val="22"/>
                <w:szCs w:val="22"/>
              </w:rPr>
            </w:pPr>
          </w:p>
        </w:tc>
      </w:tr>
      <w:tr w:rsidR="00DD5A4F" w:rsidRPr="005D4F6B" w:rsidTr="00DD5A4F">
        <w:tc>
          <w:tcPr>
            <w:tcW w:w="2518" w:type="dxa"/>
          </w:tcPr>
          <w:p w:rsidR="00DD5A4F" w:rsidRPr="005D4F6B" w:rsidRDefault="005B7A2E" w:rsidP="00D24E44">
            <w:pPr>
              <w:rPr>
                <w:rFonts w:ascii="Arial" w:hAnsi="Arial" w:cs="Arial"/>
                <w:color w:val="548DD4" w:themeColor="text2" w:themeTint="99"/>
                <w:sz w:val="22"/>
                <w:szCs w:val="22"/>
              </w:rPr>
            </w:pPr>
            <w:r w:rsidRPr="005D4F6B">
              <w:rPr>
                <w:rFonts w:ascii="Arial" w:hAnsi="Arial" w:cs="Arial"/>
                <w:sz w:val="22"/>
                <w:szCs w:val="22"/>
              </w:rPr>
              <w:t>Risk assessment processes/tools:</w:t>
            </w:r>
          </w:p>
        </w:tc>
        <w:tc>
          <w:tcPr>
            <w:tcW w:w="11656" w:type="dxa"/>
          </w:tcPr>
          <w:p w:rsidR="005B7A2E" w:rsidRPr="005D4F6B" w:rsidRDefault="006F5B24" w:rsidP="005B7A2E">
            <w:pPr>
              <w:rPr>
                <w:rFonts w:ascii="Arial" w:hAnsi="Arial" w:cs="Arial"/>
                <w:sz w:val="22"/>
                <w:szCs w:val="22"/>
              </w:rPr>
            </w:pPr>
            <w:r w:rsidRPr="005D4F6B">
              <w:rPr>
                <w:rFonts w:ascii="Arial" w:hAnsi="Arial" w:cs="Arial"/>
                <w:sz w:val="22"/>
                <w:szCs w:val="22"/>
              </w:rPr>
              <w:t>An agreed risk assessment process is in place to identify any</w:t>
            </w:r>
            <w:r w:rsidR="005B7A2E" w:rsidRPr="005D4F6B">
              <w:rPr>
                <w:rFonts w:ascii="Arial" w:hAnsi="Arial" w:cs="Arial"/>
                <w:sz w:val="22"/>
                <w:szCs w:val="22"/>
              </w:rPr>
              <w:t xml:space="preserve"> poten</w:t>
            </w:r>
            <w:r w:rsidRPr="005D4F6B">
              <w:rPr>
                <w:rFonts w:ascii="Arial" w:hAnsi="Arial" w:cs="Arial"/>
                <w:sz w:val="22"/>
                <w:szCs w:val="22"/>
              </w:rPr>
              <w:t xml:space="preserve">tial risks to the organisation </w:t>
            </w:r>
            <w:r w:rsidR="005B7A2E" w:rsidRPr="005D4F6B">
              <w:rPr>
                <w:rFonts w:ascii="Arial" w:hAnsi="Arial" w:cs="Arial"/>
                <w:sz w:val="22"/>
                <w:szCs w:val="22"/>
              </w:rPr>
              <w:t>or the health, safety and well-being of researchers and research participants</w:t>
            </w:r>
          </w:p>
          <w:p w:rsidR="00DD5A4F" w:rsidRPr="005D4F6B" w:rsidRDefault="00DD5A4F" w:rsidP="00D24E44">
            <w:pPr>
              <w:rPr>
                <w:rFonts w:ascii="Arial" w:hAnsi="Arial" w:cs="Arial"/>
                <w:color w:val="548DD4" w:themeColor="text2" w:themeTint="99"/>
                <w:sz w:val="22"/>
                <w:szCs w:val="22"/>
              </w:rPr>
            </w:pPr>
          </w:p>
        </w:tc>
      </w:tr>
      <w:tr w:rsidR="008A3474" w:rsidRPr="005D4F6B" w:rsidTr="00DD5A4F">
        <w:tc>
          <w:tcPr>
            <w:tcW w:w="2518" w:type="dxa"/>
          </w:tcPr>
          <w:p w:rsidR="008A3474" w:rsidRPr="005D4F6B" w:rsidRDefault="008A3474" w:rsidP="00D24E44">
            <w:pPr>
              <w:rPr>
                <w:rFonts w:ascii="Arial" w:hAnsi="Arial" w:cs="Arial"/>
                <w:sz w:val="22"/>
                <w:szCs w:val="22"/>
              </w:rPr>
            </w:pPr>
            <w:r w:rsidRPr="005D4F6B">
              <w:rPr>
                <w:rFonts w:ascii="Arial" w:hAnsi="Arial" w:cs="Arial"/>
                <w:sz w:val="22"/>
                <w:szCs w:val="22"/>
              </w:rPr>
              <w:t>PPI</w:t>
            </w:r>
          </w:p>
        </w:tc>
        <w:tc>
          <w:tcPr>
            <w:tcW w:w="11656" w:type="dxa"/>
          </w:tcPr>
          <w:p w:rsidR="008A3474" w:rsidRDefault="002B0DB2" w:rsidP="00037A21">
            <w:pPr>
              <w:rPr>
                <w:rFonts w:ascii="Arial" w:hAnsi="Arial" w:cs="Arial"/>
                <w:sz w:val="22"/>
                <w:szCs w:val="22"/>
              </w:rPr>
            </w:pPr>
            <w:r w:rsidRPr="005D4F6B">
              <w:rPr>
                <w:rFonts w:ascii="Arial" w:hAnsi="Arial" w:cs="Arial"/>
                <w:sz w:val="22"/>
                <w:szCs w:val="22"/>
              </w:rPr>
              <w:t>Sponsors will ensure that patients and/or public have been involved in study design</w:t>
            </w:r>
            <w:r w:rsidR="007A1420">
              <w:rPr>
                <w:rFonts w:ascii="Arial" w:hAnsi="Arial" w:cs="Arial"/>
                <w:sz w:val="22"/>
                <w:szCs w:val="22"/>
              </w:rPr>
              <w:t>,</w:t>
            </w:r>
            <w:r w:rsidRPr="005D4F6B">
              <w:rPr>
                <w:rFonts w:ascii="Arial" w:hAnsi="Arial" w:cs="Arial"/>
                <w:sz w:val="22"/>
                <w:szCs w:val="22"/>
              </w:rPr>
              <w:t xml:space="preserve"> or where this is not appropriate, the reasons are clearly explained in the </w:t>
            </w:r>
            <w:r w:rsidR="00037A21" w:rsidRPr="005D4F6B">
              <w:rPr>
                <w:rFonts w:ascii="Arial" w:hAnsi="Arial" w:cs="Arial"/>
                <w:sz w:val="22"/>
                <w:szCs w:val="22"/>
              </w:rPr>
              <w:t>applications prepared in IRAS</w:t>
            </w:r>
            <w:r w:rsidRPr="005D4F6B">
              <w:rPr>
                <w:rFonts w:ascii="Arial" w:hAnsi="Arial" w:cs="Arial"/>
                <w:sz w:val="22"/>
                <w:szCs w:val="22"/>
              </w:rPr>
              <w:t>.</w:t>
            </w:r>
          </w:p>
          <w:p w:rsidR="005D4F6B" w:rsidRPr="005D4F6B" w:rsidRDefault="005D4F6B" w:rsidP="00037A21">
            <w:pPr>
              <w:rPr>
                <w:rFonts w:ascii="Arial" w:hAnsi="Arial" w:cs="Arial"/>
                <w:sz w:val="22"/>
                <w:szCs w:val="22"/>
              </w:rPr>
            </w:pPr>
          </w:p>
        </w:tc>
      </w:tr>
      <w:tr w:rsidR="00DD5A4F" w:rsidRPr="005D4F6B" w:rsidTr="00DD5A4F">
        <w:tc>
          <w:tcPr>
            <w:tcW w:w="2518" w:type="dxa"/>
          </w:tcPr>
          <w:p w:rsidR="00DD5A4F" w:rsidRPr="005D4F6B" w:rsidRDefault="005B7A2E" w:rsidP="00D24E44">
            <w:pPr>
              <w:rPr>
                <w:rFonts w:ascii="Arial" w:hAnsi="Arial" w:cs="Arial"/>
                <w:color w:val="548DD4" w:themeColor="text2" w:themeTint="99"/>
                <w:sz w:val="22"/>
                <w:szCs w:val="22"/>
              </w:rPr>
            </w:pPr>
            <w:r w:rsidRPr="005D4F6B">
              <w:rPr>
                <w:rFonts w:ascii="Arial" w:hAnsi="Arial" w:cs="Arial"/>
                <w:sz w:val="22"/>
                <w:szCs w:val="22"/>
              </w:rPr>
              <w:lastRenderedPageBreak/>
              <w:t>Training and Suitability:</w:t>
            </w:r>
          </w:p>
        </w:tc>
        <w:tc>
          <w:tcPr>
            <w:tcW w:w="11656" w:type="dxa"/>
          </w:tcPr>
          <w:p w:rsidR="005B7A2E" w:rsidRPr="005D4F6B" w:rsidRDefault="008D1272" w:rsidP="005B7A2E">
            <w:pPr>
              <w:rPr>
                <w:rFonts w:ascii="Arial" w:hAnsi="Arial" w:cs="Arial"/>
                <w:sz w:val="22"/>
                <w:szCs w:val="22"/>
              </w:rPr>
            </w:pPr>
            <w:r w:rsidRPr="005D4F6B">
              <w:rPr>
                <w:rFonts w:ascii="Arial" w:hAnsi="Arial" w:cs="Arial"/>
                <w:sz w:val="22"/>
                <w:szCs w:val="22"/>
              </w:rPr>
              <w:t>Arrangements are</w:t>
            </w:r>
            <w:r w:rsidR="005B7A2E" w:rsidRPr="005D4F6B">
              <w:rPr>
                <w:rFonts w:ascii="Arial" w:hAnsi="Arial" w:cs="Arial"/>
                <w:sz w:val="22"/>
                <w:szCs w:val="22"/>
              </w:rPr>
              <w:t xml:space="preserve"> in place for ensuring the CI has the relevant experience and appropriate training to fulfil their role</w:t>
            </w:r>
            <w:r w:rsidRPr="005D4F6B">
              <w:rPr>
                <w:rFonts w:ascii="Arial" w:hAnsi="Arial" w:cs="Arial"/>
                <w:sz w:val="22"/>
                <w:szCs w:val="22"/>
              </w:rPr>
              <w:t xml:space="preserve">. </w:t>
            </w:r>
          </w:p>
          <w:p w:rsidR="005B7A2E" w:rsidRPr="005D4F6B" w:rsidRDefault="006F5B24" w:rsidP="005B7A2E">
            <w:pPr>
              <w:rPr>
                <w:rFonts w:ascii="Arial" w:hAnsi="Arial" w:cs="Arial"/>
                <w:sz w:val="22"/>
                <w:szCs w:val="22"/>
              </w:rPr>
            </w:pPr>
            <w:r w:rsidRPr="005D4F6B">
              <w:rPr>
                <w:rFonts w:ascii="Arial" w:hAnsi="Arial" w:cs="Arial"/>
                <w:sz w:val="22"/>
                <w:szCs w:val="22"/>
              </w:rPr>
              <w:t xml:space="preserve">This should include </w:t>
            </w:r>
            <w:r w:rsidR="005B7A2E" w:rsidRPr="005D4F6B">
              <w:rPr>
                <w:rFonts w:ascii="Arial" w:hAnsi="Arial" w:cs="Arial"/>
                <w:sz w:val="22"/>
                <w:szCs w:val="22"/>
              </w:rPr>
              <w:t>no unnecessary requirements in place re</w:t>
            </w:r>
            <w:r w:rsidRPr="005D4F6B">
              <w:rPr>
                <w:rFonts w:ascii="Arial" w:hAnsi="Arial" w:cs="Arial"/>
                <w:sz w:val="22"/>
                <w:szCs w:val="22"/>
              </w:rPr>
              <w:t>garding</w:t>
            </w:r>
            <w:r w:rsidR="005B7A2E" w:rsidRPr="005D4F6B">
              <w:rPr>
                <w:rFonts w:ascii="Arial" w:hAnsi="Arial" w:cs="Arial"/>
                <w:sz w:val="22"/>
                <w:szCs w:val="22"/>
              </w:rPr>
              <w:t xml:space="preserve"> GCP trainin</w:t>
            </w:r>
            <w:r w:rsidRPr="005D4F6B">
              <w:rPr>
                <w:rFonts w:ascii="Arial" w:hAnsi="Arial" w:cs="Arial"/>
                <w:sz w:val="22"/>
                <w:szCs w:val="22"/>
              </w:rPr>
              <w:t>g</w:t>
            </w:r>
            <w:r w:rsidR="00A248F6" w:rsidRPr="005D4F6B">
              <w:rPr>
                <w:rFonts w:ascii="Arial" w:hAnsi="Arial" w:cs="Arial"/>
                <w:sz w:val="22"/>
                <w:szCs w:val="22"/>
              </w:rPr>
              <w:t xml:space="preserve">. Sponsors should only require GCP training for those individuals who are taking part in a clinical trial and should not be a requirement for researchers undertaking all other types of studies </w:t>
            </w:r>
            <w:r w:rsidRPr="005D4F6B">
              <w:rPr>
                <w:rFonts w:ascii="Arial" w:hAnsi="Arial" w:cs="Arial"/>
                <w:sz w:val="22"/>
                <w:szCs w:val="22"/>
              </w:rPr>
              <w:t xml:space="preserve"> (</w:t>
            </w:r>
            <w:r w:rsidR="00A248F6" w:rsidRPr="005D4F6B">
              <w:rPr>
                <w:rFonts w:ascii="Arial" w:hAnsi="Arial" w:cs="Arial"/>
                <w:sz w:val="22"/>
                <w:szCs w:val="22"/>
              </w:rPr>
              <w:t>HRA information  on training for researchers is available for download at http://www.hra.nhs.uk/resources/before-you-apply/roles-and-responsibilties/researcher-suitability-and-training/</w:t>
            </w:r>
            <w:r w:rsidR="00884540" w:rsidRPr="005D4F6B">
              <w:rPr>
                <w:rFonts w:ascii="Arial" w:hAnsi="Arial" w:cs="Arial"/>
                <w:sz w:val="22"/>
                <w:szCs w:val="22"/>
              </w:rPr>
              <w:t>)</w:t>
            </w:r>
          </w:p>
          <w:p w:rsidR="00DD5A4F" w:rsidRPr="005D4F6B" w:rsidRDefault="00DD5A4F" w:rsidP="00D24E44">
            <w:pPr>
              <w:rPr>
                <w:rFonts w:ascii="Arial" w:hAnsi="Arial" w:cs="Arial"/>
                <w:color w:val="548DD4" w:themeColor="text2" w:themeTint="99"/>
                <w:sz w:val="22"/>
                <w:szCs w:val="22"/>
              </w:rPr>
            </w:pPr>
          </w:p>
        </w:tc>
      </w:tr>
      <w:tr w:rsidR="008A3474" w:rsidRPr="005D4F6B" w:rsidTr="00DD5A4F">
        <w:tc>
          <w:tcPr>
            <w:tcW w:w="2518" w:type="dxa"/>
          </w:tcPr>
          <w:p w:rsidR="008A3474" w:rsidRPr="005D4F6B" w:rsidRDefault="008A3474" w:rsidP="00D24E44">
            <w:pPr>
              <w:rPr>
                <w:rFonts w:ascii="Arial" w:hAnsi="Arial" w:cs="Arial"/>
                <w:sz w:val="22"/>
                <w:szCs w:val="22"/>
              </w:rPr>
            </w:pPr>
            <w:r w:rsidRPr="005D4F6B">
              <w:rPr>
                <w:rFonts w:ascii="Arial" w:hAnsi="Arial" w:cs="Arial"/>
                <w:sz w:val="22"/>
                <w:szCs w:val="22"/>
              </w:rPr>
              <w:t>Registration:</w:t>
            </w:r>
          </w:p>
        </w:tc>
        <w:tc>
          <w:tcPr>
            <w:tcW w:w="11656" w:type="dxa"/>
          </w:tcPr>
          <w:p w:rsidR="008A3474" w:rsidRDefault="008A3474" w:rsidP="005B7A2E">
            <w:pPr>
              <w:rPr>
                <w:rFonts w:ascii="Arial" w:hAnsi="Arial" w:cs="Arial"/>
                <w:sz w:val="22"/>
                <w:szCs w:val="22"/>
              </w:rPr>
            </w:pPr>
            <w:r w:rsidRPr="005D4F6B">
              <w:rPr>
                <w:rFonts w:ascii="Arial" w:hAnsi="Arial" w:cs="Arial"/>
                <w:sz w:val="22"/>
                <w:szCs w:val="22"/>
              </w:rPr>
              <w:t>Studies are registered on an  accessible database (This is a requirement for Clinical Trials, and is expected for all studies as appropriate)</w:t>
            </w:r>
          </w:p>
          <w:p w:rsidR="005D4F6B" w:rsidRPr="005D4F6B" w:rsidRDefault="005D4F6B" w:rsidP="005B7A2E">
            <w:pPr>
              <w:rPr>
                <w:rFonts w:ascii="Arial" w:hAnsi="Arial" w:cs="Arial"/>
                <w:sz w:val="22"/>
                <w:szCs w:val="22"/>
              </w:rPr>
            </w:pPr>
          </w:p>
        </w:tc>
      </w:tr>
      <w:tr w:rsidR="008A3474" w:rsidRPr="005D4F6B" w:rsidTr="00DD5A4F">
        <w:tc>
          <w:tcPr>
            <w:tcW w:w="2518" w:type="dxa"/>
          </w:tcPr>
          <w:p w:rsidR="008A3474" w:rsidRPr="005D4F6B" w:rsidRDefault="008A3474" w:rsidP="00D24E44">
            <w:pPr>
              <w:rPr>
                <w:rFonts w:ascii="Arial" w:hAnsi="Arial" w:cs="Arial"/>
                <w:color w:val="548DD4" w:themeColor="text2" w:themeTint="99"/>
                <w:sz w:val="22"/>
                <w:szCs w:val="22"/>
              </w:rPr>
            </w:pPr>
            <w:r w:rsidRPr="005D4F6B">
              <w:rPr>
                <w:rFonts w:ascii="Arial" w:hAnsi="Arial" w:cs="Arial"/>
                <w:sz w:val="22"/>
                <w:szCs w:val="22"/>
              </w:rPr>
              <w:t>Dissemination:</w:t>
            </w:r>
          </w:p>
        </w:tc>
        <w:tc>
          <w:tcPr>
            <w:tcW w:w="11656" w:type="dxa"/>
          </w:tcPr>
          <w:p w:rsidR="008A3474" w:rsidRDefault="008A3474" w:rsidP="00D24E44">
            <w:pPr>
              <w:rPr>
                <w:rFonts w:ascii="Arial" w:hAnsi="Arial" w:cs="Arial"/>
                <w:sz w:val="22"/>
                <w:szCs w:val="22"/>
              </w:rPr>
            </w:pPr>
            <w:r w:rsidRPr="005D4F6B">
              <w:rPr>
                <w:rFonts w:ascii="Arial" w:hAnsi="Arial" w:cs="Arial"/>
                <w:sz w:val="22"/>
                <w:szCs w:val="22"/>
              </w:rPr>
              <w:t>All findings (including negative findings) are disseminated/published in an appropriate manner and intentions are made clear at the time of application</w:t>
            </w:r>
          </w:p>
          <w:p w:rsidR="005D4F6B" w:rsidRPr="005D4F6B" w:rsidRDefault="005D4F6B" w:rsidP="00D24E44">
            <w:pPr>
              <w:rPr>
                <w:rFonts w:ascii="Arial" w:hAnsi="Arial" w:cs="Arial"/>
                <w:sz w:val="22"/>
                <w:szCs w:val="22"/>
              </w:rPr>
            </w:pPr>
          </w:p>
        </w:tc>
      </w:tr>
    </w:tbl>
    <w:p w:rsidR="00DD5A4F" w:rsidRPr="005D4F6B" w:rsidRDefault="00DD5A4F" w:rsidP="00D24E44">
      <w:pPr>
        <w:rPr>
          <w:rFonts w:ascii="Arial" w:hAnsi="Arial" w:cs="Arial"/>
          <w:b/>
          <w:color w:val="548DD4" w:themeColor="text2" w:themeTint="99"/>
          <w:sz w:val="22"/>
          <w:szCs w:val="22"/>
        </w:rPr>
      </w:pPr>
    </w:p>
    <w:tbl>
      <w:tblPr>
        <w:tblStyle w:val="TableGrid"/>
        <w:tblW w:w="0" w:type="auto"/>
        <w:tblLayout w:type="fixed"/>
        <w:tblLook w:val="04A0" w:firstRow="1" w:lastRow="0" w:firstColumn="1" w:lastColumn="0" w:noHBand="0" w:noVBand="1"/>
      </w:tblPr>
      <w:tblGrid>
        <w:gridCol w:w="2518"/>
        <w:gridCol w:w="11656"/>
      </w:tblGrid>
      <w:tr w:rsidR="005B7A2E" w:rsidRPr="005D4F6B" w:rsidTr="005D4F6B">
        <w:tc>
          <w:tcPr>
            <w:tcW w:w="14174" w:type="dxa"/>
            <w:gridSpan w:val="2"/>
          </w:tcPr>
          <w:p w:rsidR="005B7A2E" w:rsidRPr="005D4F6B" w:rsidRDefault="006F5B24" w:rsidP="00D24E44">
            <w:pPr>
              <w:rPr>
                <w:rFonts w:ascii="Arial" w:hAnsi="Arial" w:cs="Arial"/>
                <w:b/>
              </w:rPr>
            </w:pPr>
            <w:r w:rsidRPr="005D4F6B">
              <w:rPr>
                <w:rFonts w:ascii="Arial" w:hAnsi="Arial" w:cs="Arial"/>
                <w:b/>
                <w:color w:val="0070C0"/>
              </w:rPr>
              <w:t>Expectations specific to</w:t>
            </w:r>
            <w:r w:rsidR="005B7A2E" w:rsidRPr="005D4F6B">
              <w:rPr>
                <w:rFonts w:ascii="Arial" w:hAnsi="Arial" w:cs="Arial"/>
                <w:b/>
                <w:color w:val="0070C0"/>
              </w:rPr>
              <w:t xml:space="preserve"> Clinical Trials of Medicinal Products</w:t>
            </w:r>
          </w:p>
        </w:tc>
      </w:tr>
      <w:tr w:rsidR="005B7A2E" w:rsidRPr="005D4F6B" w:rsidTr="005D4F6B">
        <w:tc>
          <w:tcPr>
            <w:tcW w:w="2518" w:type="dxa"/>
          </w:tcPr>
          <w:p w:rsidR="005B7A2E" w:rsidRPr="005D4F6B" w:rsidRDefault="005B7A2E" w:rsidP="00D24E44">
            <w:pPr>
              <w:rPr>
                <w:rFonts w:ascii="Arial" w:hAnsi="Arial" w:cs="Arial"/>
                <w:color w:val="548DD4" w:themeColor="text2" w:themeTint="99"/>
                <w:sz w:val="22"/>
                <w:szCs w:val="22"/>
              </w:rPr>
            </w:pPr>
            <w:r w:rsidRPr="005D4F6B">
              <w:rPr>
                <w:rFonts w:ascii="Arial" w:hAnsi="Arial" w:cs="Arial"/>
                <w:sz w:val="22"/>
                <w:szCs w:val="22"/>
              </w:rPr>
              <w:t>Responsibilities:</w:t>
            </w:r>
          </w:p>
        </w:tc>
        <w:tc>
          <w:tcPr>
            <w:tcW w:w="11656" w:type="dxa"/>
          </w:tcPr>
          <w:p w:rsidR="005B7A2E" w:rsidRDefault="005B7A2E" w:rsidP="006F5B24">
            <w:pPr>
              <w:rPr>
                <w:rFonts w:ascii="Arial" w:hAnsi="Arial" w:cs="Arial"/>
                <w:sz w:val="22"/>
                <w:szCs w:val="22"/>
              </w:rPr>
            </w:pPr>
            <w:r w:rsidRPr="005D4F6B">
              <w:rPr>
                <w:rFonts w:ascii="Arial" w:hAnsi="Arial" w:cs="Arial"/>
                <w:sz w:val="22"/>
                <w:szCs w:val="22"/>
              </w:rPr>
              <w:t>As these are governed extensi</w:t>
            </w:r>
            <w:r w:rsidR="006F5B24" w:rsidRPr="005D4F6B">
              <w:rPr>
                <w:rFonts w:ascii="Arial" w:hAnsi="Arial" w:cs="Arial"/>
                <w:sz w:val="22"/>
                <w:szCs w:val="22"/>
              </w:rPr>
              <w:t xml:space="preserve">vely by regulators and statutes, </w:t>
            </w:r>
            <w:r w:rsidRPr="005D4F6B">
              <w:rPr>
                <w:rFonts w:ascii="Arial" w:hAnsi="Arial" w:cs="Arial"/>
                <w:sz w:val="22"/>
                <w:szCs w:val="22"/>
              </w:rPr>
              <w:t>sponsor</w:t>
            </w:r>
            <w:r w:rsidR="006F5B24" w:rsidRPr="005D4F6B">
              <w:rPr>
                <w:rFonts w:ascii="Arial" w:hAnsi="Arial" w:cs="Arial"/>
                <w:sz w:val="22"/>
                <w:szCs w:val="22"/>
              </w:rPr>
              <w:t>s</w:t>
            </w:r>
            <w:r w:rsidRPr="005D4F6B">
              <w:rPr>
                <w:rFonts w:ascii="Arial" w:hAnsi="Arial" w:cs="Arial"/>
                <w:sz w:val="22"/>
                <w:szCs w:val="22"/>
              </w:rPr>
              <w:t xml:space="preserve"> will discharge their responsibilities in accordance with the appropriate legislation and regulations.</w:t>
            </w:r>
          </w:p>
          <w:p w:rsidR="005D4F6B" w:rsidRPr="005D4F6B" w:rsidRDefault="005D4F6B" w:rsidP="006F5B24">
            <w:pPr>
              <w:rPr>
                <w:rFonts w:ascii="Arial" w:hAnsi="Arial" w:cs="Arial"/>
                <w:sz w:val="22"/>
                <w:szCs w:val="22"/>
              </w:rPr>
            </w:pPr>
          </w:p>
        </w:tc>
      </w:tr>
      <w:tr w:rsidR="002B0DB2" w:rsidRPr="005D4F6B" w:rsidTr="005D4F6B">
        <w:tc>
          <w:tcPr>
            <w:tcW w:w="2518" w:type="dxa"/>
          </w:tcPr>
          <w:p w:rsidR="002B0DB2" w:rsidRPr="005D4F6B" w:rsidRDefault="002B0DB2" w:rsidP="00D24E44">
            <w:pPr>
              <w:rPr>
                <w:rFonts w:ascii="Arial" w:hAnsi="Arial" w:cs="Arial"/>
                <w:sz w:val="22"/>
                <w:szCs w:val="22"/>
              </w:rPr>
            </w:pPr>
            <w:r w:rsidRPr="005D4F6B">
              <w:rPr>
                <w:rFonts w:ascii="Arial" w:hAnsi="Arial" w:cs="Arial"/>
                <w:sz w:val="22"/>
                <w:szCs w:val="22"/>
              </w:rPr>
              <w:t>Training and Suitability</w:t>
            </w:r>
          </w:p>
        </w:tc>
        <w:tc>
          <w:tcPr>
            <w:tcW w:w="11656" w:type="dxa"/>
          </w:tcPr>
          <w:p w:rsidR="002B0DB2" w:rsidRDefault="002B0DB2" w:rsidP="00D4020C">
            <w:pPr>
              <w:pStyle w:val="Default"/>
              <w:rPr>
                <w:rFonts w:ascii="Arial" w:hAnsi="Arial" w:cs="Arial"/>
                <w:sz w:val="22"/>
                <w:szCs w:val="22"/>
              </w:rPr>
            </w:pPr>
            <w:r w:rsidRPr="005D4F6B">
              <w:rPr>
                <w:rFonts w:ascii="Arial" w:hAnsi="Arial" w:cs="Arial"/>
                <w:sz w:val="22"/>
                <w:szCs w:val="22"/>
              </w:rPr>
              <w:t>CIs are eligible “Authorised Health Professionals” – medical doctors, dentists</w:t>
            </w:r>
            <w:r w:rsidR="007E1977" w:rsidRPr="005D4F6B">
              <w:rPr>
                <w:rFonts w:ascii="Arial" w:hAnsi="Arial" w:cs="Arial"/>
                <w:sz w:val="22"/>
                <w:szCs w:val="22"/>
              </w:rPr>
              <w:t>, nurses or pharmacists</w:t>
            </w:r>
            <w:r w:rsidR="00A248F6" w:rsidRPr="005D4F6B">
              <w:rPr>
                <w:rFonts w:ascii="Arial" w:hAnsi="Arial" w:cs="Arial"/>
                <w:sz w:val="22"/>
                <w:szCs w:val="22"/>
              </w:rPr>
              <w:t xml:space="preserve">. Sponsors should require </w:t>
            </w:r>
            <w:r w:rsidR="009F179C" w:rsidRPr="005D4F6B">
              <w:rPr>
                <w:rFonts w:ascii="Arial" w:hAnsi="Arial" w:cs="Arial"/>
                <w:sz w:val="22"/>
                <w:szCs w:val="22"/>
              </w:rPr>
              <w:t>all individuals involved in the conduct of the study to be appropriately trained in the requirements of the Medicines for Human Use (Clinical Trials) Regulations, as amended, and the principles of Good Clinical Practice described within them (see MHRA statement [</w:t>
            </w:r>
            <w:hyperlink r:id="rId9" w:history="1">
              <w:r w:rsidR="00D4020C" w:rsidRPr="005D4F6B">
                <w:rPr>
                  <w:rStyle w:val="Hyperlink"/>
                  <w:rFonts w:ascii="Arial" w:hAnsi="Arial" w:cs="Arial"/>
                  <w:sz w:val="22"/>
                  <w:szCs w:val="22"/>
                </w:rPr>
                <w:t>http://www.mhra.gov.uk/Howweregulate/Medicines/Inspectionandstandards/GoodClinicalPractice/Background/index.htm</w:t>
              </w:r>
            </w:hyperlink>
            <w:r w:rsidR="009F179C" w:rsidRPr="005D4F6B">
              <w:rPr>
                <w:rFonts w:ascii="Arial" w:hAnsi="Arial" w:cs="Arial"/>
                <w:sz w:val="22"/>
                <w:szCs w:val="22"/>
              </w:rPr>
              <w:t xml:space="preserve">]).  </w:t>
            </w:r>
          </w:p>
          <w:p w:rsidR="005D4F6B" w:rsidRPr="005D4F6B" w:rsidRDefault="005D4F6B" w:rsidP="00D4020C">
            <w:pPr>
              <w:pStyle w:val="Default"/>
              <w:rPr>
                <w:rFonts w:ascii="Arial" w:hAnsi="Arial" w:cs="Arial"/>
                <w:sz w:val="22"/>
                <w:szCs w:val="22"/>
              </w:rPr>
            </w:pPr>
          </w:p>
        </w:tc>
      </w:tr>
    </w:tbl>
    <w:p w:rsidR="00D24E44" w:rsidRPr="005D4F6B" w:rsidRDefault="00D24E44" w:rsidP="00D24E44">
      <w:pPr>
        <w:rPr>
          <w:rFonts w:ascii="Arial" w:hAnsi="Arial" w:cs="Arial"/>
          <w:b/>
          <w:color w:val="548DD4" w:themeColor="text2" w:themeTint="99"/>
          <w:sz w:val="22"/>
          <w:szCs w:val="22"/>
        </w:rPr>
      </w:pPr>
    </w:p>
    <w:p w:rsidR="00D24E44" w:rsidRPr="005D4F6B" w:rsidRDefault="00D24E44" w:rsidP="00D24E44">
      <w:pPr>
        <w:rPr>
          <w:rFonts w:ascii="Arial" w:hAnsi="Arial" w:cs="Arial"/>
          <w:b/>
          <w:color w:val="548DD4" w:themeColor="text2" w:themeTint="99"/>
          <w:sz w:val="22"/>
          <w:szCs w:val="22"/>
        </w:rPr>
      </w:pPr>
    </w:p>
    <w:tbl>
      <w:tblPr>
        <w:tblStyle w:val="TableGrid"/>
        <w:tblW w:w="0" w:type="auto"/>
        <w:tblLook w:val="04A0" w:firstRow="1" w:lastRow="0" w:firstColumn="1" w:lastColumn="0" w:noHBand="0" w:noVBand="1"/>
      </w:tblPr>
      <w:tblGrid>
        <w:gridCol w:w="2518"/>
        <w:gridCol w:w="11656"/>
      </w:tblGrid>
      <w:tr w:rsidR="005B7A2E" w:rsidRPr="005D4F6B" w:rsidTr="005B7A2E">
        <w:tc>
          <w:tcPr>
            <w:tcW w:w="14174" w:type="dxa"/>
            <w:gridSpan w:val="2"/>
          </w:tcPr>
          <w:p w:rsidR="005B7A2E" w:rsidRPr="005D4F6B" w:rsidRDefault="005B7A2E" w:rsidP="006F5B24">
            <w:pPr>
              <w:rPr>
                <w:rFonts w:ascii="Arial" w:hAnsi="Arial" w:cs="Arial"/>
                <w:b/>
              </w:rPr>
            </w:pPr>
            <w:r w:rsidRPr="005D4F6B">
              <w:rPr>
                <w:rFonts w:ascii="Arial" w:hAnsi="Arial" w:cs="Arial"/>
                <w:b/>
                <w:color w:val="0070C0"/>
              </w:rPr>
              <w:t xml:space="preserve">Expectations </w:t>
            </w:r>
            <w:r w:rsidR="006F5B24" w:rsidRPr="005D4F6B">
              <w:rPr>
                <w:rFonts w:ascii="Arial" w:hAnsi="Arial" w:cs="Arial"/>
                <w:b/>
                <w:color w:val="0070C0"/>
              </w:rPr>
              <w:t xml:space="preserve">specific to </w:t>
            </w:r>
            <w:r w:rsidRPr="005D4F6B">
              <w:rPr>
                <w:rFonts w:ascii="Arial" w:hAnsi="Arial" w:cs="Arial"/>
                <w:b/>
                <w:color w:val="0070C0"/>
              </w:rPr>
              <w:t>HEI/Student Research</w:t>
            </w:r>
          </w:p>
        </w:tc>
      </w:tr>
      <w:tr w:rsidR="005B7A2E" w:rsidRPr="005D4F6B" w:rsidTr="005B7A2E">
        <w:tc>
          <w:tcPr>
            <w:tcW w:w="2518" w:type="dxa"/>
          </w:tcPr>
          <w:p w:rsidR="005B7A2E" w:rsidRPr="005D4F6B" w:rsidRDefault="005B7A2E" w:rsidP="00D24E44">
            <w:pPr>
              <w:rPr>
                <w:rFonts w:ascii="Arial" w:hAnsi="Arial" w:cs="Arial"/>
                <w:sz w:val="22"/>
                <w:szCs w:val="22"/>
              </w:rPr>
            </w:pPr>
            <w:r w:rsidRPr="005D4F6B">
              <w:rPr>
                <w:rFonts w:ascii="Arial" w:hAnsi="Arial" w:cs="Arial"/>
                <w:sz w:val="22"/>
                <w:szCs w:val="22"/>
              </w:rPr>
              <w:t>Project Oversight:</w:t>
            </w:r>
          </w:p>
        </w:tc>
        <w:tc>
          <w:tcPr>
            <w:tcW w:w="11656" w:type="dxa"/>
          </w:tcPr>
          <w:p w:rsidR="005B7A2E" w:rsidRPr="005D4F6B" w:rsidRDefault="005B7A2E" w:rsidP="005B7A2E">
            <w:pPr>
              <w:rPr>
                <w:rFonts w:ascii="Arial" w:hAnsi="Arial" w:cs="Arial"/>
                <w:sz w:val="22"/>
                <w:szCs w:val="22"/>
              </w:rPr>
            </w:pPr>
            <w:r w:rsidRPr="005D4F6B">
              <w:rPr>
                <w:rFonts w:ascii="Arial" w:hAnsi="Arial" w:cs="Arial"/>
                <w:sz w:val="22"/>
                <w:szCs w:val="22"/>
              </w:rPr>
              <w:t>Each student research project is overseen by a named supervisor with current knowledge of research methods and governance/regulatory approvals</w:t>
            </w:r>
          </w:p>
          <w:p w:rsidR="005B7A2E" w:rsidRPr="005D4F6B" w:rsidRDefault="005B7A2E" w:rsidP="00D24E44">
            <w:pPr>
              <w:rPr>
                <w:rFonts w:ascii="Arial" w:hAnsi="Arial" w:cs="Arial"/>
                <w:sz w:val="22"/>
                <w:szCs w:val="22"/>
              </w:rPr>
            </w:pPr>
          </w:p>
        </w:tc>
      </w:tr>
      <w:tr w:rsidR="005B7A2E" w:rsidRPr="005D4F6B" w:rsidTr="005B7A2E">
        <w:tc>
          <w:tcPr>
            <w:tcW w:w="2518" w:type="dxa"/>
          </w:tcPr>
          <w:p w:rsidR="005B7A2E" w:rsidRPr="005D4F6B" w:rsidRDefault="005B7A2E" w:rsidP="00D24E44">
            <w:pPr>
              <w:rPr>
                <w:rFonts w:ascii="Arial" w:hAnsi="Arial" w:cs="Arial"/>
                <w:sz w:val="22"/>
                <w:szCs w:val="22"/>
              </w:rPr>
            </w:pPr>
            <w:r w:rsidRPr="005D4F6B">
              <w:rPr>
                <w:rFonts w:ascii="Arial" w:hAnsi="Arial" w:cs="Arial"/>
                <w:sz w:val="22"/>
                <w:szCs w:val="22"/>
              </w:rPr>
              <w:lastRenderedPageBreak/>
              <w:t>Training:</w:t>
            </w:r>
          </w:p>
        </w:tc>
        <w:tc>
          <w:tcPr>
            <w:tcW w:w="11656" w:type="dxa"/>
          </w:tcPr>
          <w:p w:rsidR="005B7A2E" w:rsidRPr="005D4F6B" w:rsidRDefault="005B7A2E" w:rsidP="005B7A2E">
            <w:pPr>
              <w:spacing w:after="200" w:line="276" w:lineRule="auto"/>
              <w:rPr>
                <w:rFonts w:ascii="Arial" w:hAnsi="Arial" w:cs="Arial"/>
                <w:sz w:val="22"/>
                <w:szCs w:val="22"/>
              </w:rPr>
            </w:pPr>
            <w:r w:rsidRPr="005D4F6B">
              <w:rPr>
                <w:rFonts w:ascii="Arial" w:hAnsi="Arial" w:cs="Arial"/>
                <w:sz w:val="22"/>
                <w:szCs w:val="22"/>
              </w:rPr>
              <w:t>Supervisors of student research are trained in their responsibilities. Both supervisors and student researchers are adequately trained in the relevant research methodology required for both the design and implementation of their research.</w:t>
            </w:r>
          </w:p>
        </w:tc>
      </w:tr>
      <w:tr w:rsidR="005B7A2E" w:rsidRPr="005D4F6B" w:rsidTr="005B7A2E">
        <w:tc>
          <w:tcPr>
            <w:tcW w:w="2518" w:type="dxa"/>
          </w:tcPr>
          <w:p w:rsidR="005B7A2E" w:rsidRPr="005D4F6B" w:rsidRDefault="005B7A2E" w:rsidP="00D24E44">
            <w:pPr>
              <w:rPr>
                <w:rFonts w:ascii="Arial" w:hAnsi="Arial" w:cs="Arial"/>
                <w:sz w:val="22"/>
                <w:szCs w:val="22"/>
              </w:rPr>
            </w:pPr>
            <w:r w:rsidRPr="005D4F6B">
              <w:rPr>
                <w:rFonts w:ascii="Arial" w:hAnsi="Arial" w:cs="Arial"/>
                <w:sz w:val="22"/>
                <w:szCs w:val="22"/>
              </w:rPr>
              <w:t>REC review:</w:t>
            </w:r>
          </w:p>
        </w:tc>
        <w:tc>
          <w:tcPr>
            <w:tcW w:w="11656" w:type="dxa"/>
          </w:tcPr>
          <w:p w:rsidR="005B7A2E" w:rsidRDefault="005B7A2E" w:rsidP="00D24E44">
            <w:pPr>
              <w:rPr>
                <w:rFonts w:ascii="Arial" w:hAnsi="Arial" w:cs="Arial"/>
                <w:sz w:val="22"/>
                <w:szCs w:val="22"/>
              </w:rPr>
            </w:pPr>
            <w:r w:rsidRPr="005D4F6B">
              <w:rPr>
                <w:rFonts w:ascii="Arial" w:hAnsi="Arial" w:cs="Arial"/>
                <w:sz w:val="22"/>
                <w:szCs w:val="22"/>
              </w:rPr>
              <w:t>Supervisors attend ethics committee meetings with their student</w:t>
            </w:r>
          </w:p>
          <w:p w:rsidR="005D4F6B" w:rsidRPr="005D4F6B" w:rsidRDefault="005D4F6B" w:rsidP="00D24E44">
            <w:pPr>
              <w:rPr>
                <w:rFonts w:ascii="Arial" w:hAnsi="Arial" w:cs="Arial"/>
                <w:sz w:val="22"/>
                <w:szCs w:val="22"/>
              </w:rPr>
            </w:pPr>
          </w:p>
        </w:tc>
      </w:tr>
      <w:tr w:rsidR="005B7A2E" w:rsidRPr="005D4F6B" w:rsidTr="005B7A2E">
        <w:tc>
          <w:tcPr>
            <w:tcW w:w="2518" w:type="dxa"/>
          </w:tcPr>
          <w:p w:rsidR="005B7A2E" w:rsidRPr="005D4F6B" w:rsidRDefault="005B7A2E" w:rsidP="00D24E44">
            <w:pPr>
              <w:rPr>
                <w:rFonts w:ascii="Arial" w:hAnsi="Arial" w:cs="Arial"/>
                <w:sz w:val="22"/>
                <w:szCs w:val="22"/>
              </w:rPr>
            </w:pPr>
            <w:r w:rsidRPr="005D4F6B">
              <w:rPr>
                <w:rFonts w:ascii="Arial" w:hAnsi="Arial" w:cs="Arial"/>
                <w:sz w:val="22"/>
                <w:szCs w:val="22"/>
              </w:rPr>
              <w:t>Guidance from Supervisors:</w:t>
            </w:r>
          </w:p>
        </w:tc>
        <w:tc>
          <w:tcPr>
            <w:tcW w:w="11656" w:type="dxa"/>
          </w:tcPr>
          <w:p w:rsidR="005B7A2E" w:rsidRPr="005D4F6B" w:rsidRDefault="005B7A2E" w:rsidP="005B7A2E">
            <w:pPr>
              <w:spacing w:after="200" w:line="276" w:lineRule="auto"/>
              <w:rPr>
                <w:rFonts w:ascii="Arial" w:hAnsi="Arial" w:cs="Arial"/>
                <w:sz w:val="22"/>
                <w:szCs w:val="22"/>
              </w:rPr>
            </w:pPr>
            <w:r w:rsidRPr="005D4F6B">
              <w:rPr>
                <w:rFonts w:ascii="Arial" w:hAnsi="Arial" w:cs="Arial"/>
                <w:sz w:val="22"/>
                <w:szCs w:val="22"/>
              </w:rPr>
              <w:t>Supervisors, as part of their sponsor responsibilities, provide clear guidance to the student on the appropriateness of their research with particular emphasis on:</w:t>
            </w:r>
          </w:p>
          <w:p w:rsidR="005B7A2E" w:rsidRPr="005D4F6B" w:rsidRDefault="005B7A2E" w:rsidP="005B7A2E">
            <w:pPr>
              <w:pStyle w:val="ListParagraph"/>
              <w:numPr>
                <w:ilvl w:val="1"/>
                <w:numId w:val="1"/>
              </w:numPr>
              <w:spacing w:after="200" w:line="276" w:lineRule="auto"/>
              <w:rPr>
                <w:rFonts w:ascii="Arial" w:hAnsi="Arial" w:cs="Arial"/>
                <w:sz w:val="22"/>
                <w:szCs w:val="22"/>
              </w:rPr>
            </w:pPr>
            <w:r w:rsidRPr="005D4F6B">
              <w:rPr>
                <w:rFonts w:ascii="Arial" w:hAnsi="Arial" w:cs="Arial"/>
                <w:sz w:val="22"/>
                <w:szCs w:val="22"/>
              </w:rPr>
              <w:t>Potential unintended impact on participants as a result of the research</w:t>
            </w:r>
          </w:p>
          <w:p w:rsidR="005B7A2E" w:rsidRPr="005D4F6B" w:rsidRDefault="005B7A2E" w:rsidP="005B7A2E">
            <w:pPr>
              <w:pStyle w:val="ListParagraph"/>
              <w:numPr>
                <w:ilvl w:val="1"/>
                <w:numId w:val="1"/>
              </w:numPr>
              <w:spacing w:after="200" w:line="276" w:lineRule="auto"/>
              <w:rPr>
                <w:rFonts w:ascii="Arial" w:hAnsi="Arial" w:cs="Arial"/>
                <w:sz w:val="22"/>
                <w:szCs w:val="22"/>
              </w:rPr>
            </w:pPr>
            <w:r w:rsidRPr="005D4F6B">
              <w:rPr>
                <w:rFonts w:ascii="Arial" w:hAnsi="Arial" w:cs="Arial"/>
                <w:sz w:val="22"/>
                <w:szCs w:val="22"/>
              </w:rPr>
              <w:t>Appropriate understanding of the legislation around consent and vulnerable groups.</w:t>
            </w:r>
          </w:p>
          <w:p w:rsidR="005B7A2E" w:rsidRPr="005D4F6B" w:rsidRDefault="005B7A2E" w:rsidP="005B7A2E">
            <w:pPr>
              <w:pStyle w:val="ListParagraph"/>
              <w:numPr>
                <w:ilvl w:val="1"/>
                <w:numId w:val="1"/>
              </w:numPr>
              <w:spacing w:after="200" w:line="276" w:lineRule="auto"/>
              <w:rPr>
                <w:rFonts w:ascii="Arial" w:hAnsi="Arial" w:cs="Arial"/>
                <w:sz w:val="22"/>
                <w:szCs w:val="22"/>
              </w:rPr>
            </w:pPr>
            <w:r w:rsidRPr="005D4F6B">
              <w:rPr>
                <w:rFonts w:ascii="Arial" w:hAnsi="Arial" w:cs="Arial"/>
                <w:sz w:val="22"/>
                <w:szCs w:val="22"/>
              </w:rPr>
              <w:t>Handling disclosure of sensitive information in the research process</w:t>
            </w:r>
          </w:p>
          <w:p w:rsidR="005B7A2E" w:rsidRPr="005D4F6B" w:rsidRDefault="005B7A2E" w:rsidP="005B7A2E">
            <w:pPr>
              <w:pStyle w:val="ListParagraph"/>
              <w:numPr>
                <w:ilvl w:val="1"/>
                <w:numId w:val="1"/>
              </w:numPr>
              <w:spacing w:after="200" w:line="276" w:lineRule="auto"/>
              <w:rPr>
                <w:rFonts w:ascii="Arial" w:hAnsi="Arial" w:cs="Arial"/>
                <w:sz w:val="22"/>
                <w:szCs w:val="22"/>
              </w:rPr>
            </w:pPr>
            <w:r w:rsidRPr="005D4F6B">
              <w:rPr>
                <w:rFonts w:ascii="Arial" w:hAnsi="Arial" w:cs="Arial"/>
                <w:sz w:val="22"/>
                <w:szCs w:val="22"/>
              </w:rPr>
              <w:t>Vulnerable lone worker arrangements</w:t>
            </w:r>
          </w:p>
          <w:p w:rsidR="005B7A2E" w:rsidRPr="005D4F6B" w:rsidRDefault="006F5B24" w:rsidP="006F5B24">
            <w:pPr>
              <w:spacing w:after="200" w:line="276" w:lineRule="auto"/>
              <w:rPr>
                <w:rFonts w:ascii="Arial" w:hAnsi="Arial" w:cs="Arial"/>
                <w:sz w:val="22"/>
                <w:szCs w:val="22"/>
              </w:rPr>
            </w:pPr>
            <w:r w:rsidRPr="005D4F6B">
              <w:rPr>
                <w:rFonts w:ascii="Arial" w:hAnsi="Arial" w:cs="Arial"/>
                <w:sz w:val="22"/>
                <w:szCs w:val="22"/>
              </w:rPr>
              <w:t xml:space="preserve">The supervisor </w:t>
            </w:r>
            <w:r w:rsidR="005B7A2E" w:rsidRPr="005D4F6B">
              <w:rPr>
                <w:rFonts w:ascii="Arial" w:hAnsi="Arial" w:cs="Arial"/>
                <w:sz w:val="22"/>
                <w:szCs w:val="22"/>
              </w:rPr>
              <w:t>ensure</w:t>
            </w:r>
            <w:r w:rsidRPr="005D4F6B">
              <w:rPr>
                <w:rFonts w:ascii="Arial" w:hAnsi="Arial" w:cs="Arial"/>
                <w:sz w:val="22"/>
                <w:szCs w:val="22"/>
              </w:rPr>
              <w:t>s</w:t>
            </w:r>
            <w:r w:rsidR="005B7A2E" w:rsidRPr="005D4F6B">
              <w:rPr>
                <w:rFonts w:ascii="Arial" w:hAnsi="Arial" w:cs="Arial"/>
                <w:sz w:val="22"/>
                <w:szCs w:val="22"/>
              </w:rPr>
              <w:t xml:space="preserve"> that the student is adequately prepared and briefed to conduct their own research safely and without reputational damage to the organisation. </w:t>
            </w:r>
          </w:p>
        </w:tc>
      </w:tr>
      <w:tr w:rsidR="005B7A2E" w:rsidRPr="005D4F6B" w:rsidTr="005B7A2E">
        <w:tc>
          <w:tcPr>
            <w:tcW w:w="2518" w:type="dxa"/>
          </w:tcPr>
          <w:p w:rsidR="005B7A2E" w:rsidRPr="005D4F6B" w:rsidRDefault="008D1272" w:rsidP="00D24E44">
            <w:pPr>
              <w:rPr>
                <w:rFonts w:ascii="Arial" w:hAnsi="Arial" w:cs="Arial"/>
                <w:sz w:val="22"/>
                <w:szCs w:val="22"/>
              </w:rPr>
            </w:pPr>
            <w:r w:rsidRPr="005D4F6B">
              <w:rPr>
                <w:rFonts w:ascii="Arial" w:hAnsi="Arial" w:cs="Arial"/>
                <w:sz w:val="22"/>
                <w:szCs w:val="22"/>
              </w:rPr>
              <w:t>Quality Assurance:</w:t>
            </w:r>
          </w:p>
        </w:tc>
        <w:tc>
          <w:tcPr>
            <w:tcW w:w="11656" w:type="dxa"/>
          </w:tcPr>
          <w:p w:rsidR="005B7A2E" w:rsidRPr="005D4F6B" w:rsidRDefault="008D1272" w:rsidP="006F5B24">
            <w:pPr>
              <w:spacing w:after="200" w:line="276" w:lineRule="auto"/>
              <w:rPr>
                <w:rFonts w:ascii="Arial" w:hAnsi="Arial" w:cs="Arial"/>
                <w:sz w:val="22"/>
                <w:szCs w:val="22"/>
              </w:rPr>
            </w:pPr>
            <w:r w:rsidRPr="005D4F6B">
              <w:rPr>
                <w:rFonts w:ascii="Arial" w:hAnsi="Arial" w:cs="Arial"/>
                <w:sz w:val="22"/>
                <w:szCs w:val="22"/>
              </w:rPr>
              <w:t>Access to appropriate methodological expertise and guidance throughout the duration of the project so that the research is of sufficient quality</w:t>
            </w:r>
          </w:p>
        </w:tc>
      </w:tr>
    </w:tbl>
    <w:p w:rsidR="00D24E44" w:rsidRPr="005D4F6B" w:rsidRDefault="00D24E44" w:rsidP="008D1272">
      <w:pPr>
        <w:rPr>
          <w:rFonts w:ascii="Arial" w:hAnsi="Arial" w:cs="Arial"/>
          <w:sz w:val="22"/>
          <w:szCs w:val="22"/>
        </w:rPr>
      </w:pPr>
    </w:p>
    <w:p w:rsidR="00D24E44" w:rsidRPr="005D4F6B" w:rsidRDefault="00D24E44" w:rsidP="00D24E44">
      <w:pPr>
        <w:rPr>
          <w:rFonts w:ascii="Arial" w:hAnsi="Arial" w:cs="Arial"/>
          <w:sz w:val="22"/>
          <w:szCs w:val="22"/>
        </w:rPr>
      </w:pPr>
    </w:p>
    <w:p w:rsidR="00D24E44" w:rsidRPr="005D4F6B" w:rsidRDefault="00D24E44" w:rsidP="00D24E44">
      <w:pPr>
        <w:rPr>
          <w:rFonts w:ascii="Arial" w:hAnsi="Arial" w:cs="Arial"/>
          <w:sz w:val="22"/>
          <w:szCs w:val="22"/>
        </w:rPr>
      </w:pPr>
    </w:p>
    <w:p w:rsidR="0041379B" w:rsidRPr="005D4F6B" w:rsidRDefault="0041379B">
      <w:pPr>
        <w:rPr>
          <w:rFonts w:ascii="Arial" w:hAnsi="Arial" w:cs="Arial"/>
          <w:sz w:val="22"/>
          <w:szCs w:val="22"/>
        </w:rPr>
      </w:pPr>
    </w:p>
    <w:sectPr w:rsidR="0041379B" w:rsidRPr="005D4F6B" w:rsidSect="00DD5A4F">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D7" w:rsidRDefault="00B23ED7" w:rsidP="00207E13">
      <w:r>
        <w:separator/>
      </w:r>
    </w:p>
  </w:endnote>
  <w:endnote w:type="continuationSeparator" w:id="0">
    <w:p w:rsidR="00B23ED7" w:rsidRDefault="00B23ED7" w:rsidP="0020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D7" w:rsidRPr="005D4F6B" w:rsidRDefault="00B23ED7">
    <w:pPr>
      <w:pStyle w:val="Footer"/>
      <w:rPr>
        <w:rFonts w:ascii="Arial" w:hAnsi="Arial" w:cs="Arial"/>
        <w:sz w:val="20"/>
        <w:szCs w:val="20"/>
      </w:rPr>
    </w:pPr>
    <w:r w:rsidRPr="005D4F6B">
      <w:rPr>
        <w:rFonts w:ascii="Arial" w:hAnsi="Arial" w:cs="Arial"/>
        <w:sz w:val="20"/>
        <w:szCs w:val="20"/>
      </w:rPr>
      <w:t>HRA E</w:t>
    </w:r>
    <w:r>
      <w:rPr>
        <w:rFonts w:ascii="Arial" w:hAnsi="Arial" w:cs="Arial"/>
        <w:sz w:val="20"/>
        <w:szCs w:val="20"/>
      </w:rPr>
      <w:t>xpectations of Sponsorship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D7" w:rsidRDefault="00B23ED7" w:rsidP="00207E13">
      <w:r>
        <w:separator/>
      </w:r>
    </w:p>
  </w:footnote>
  <w:footnote w:type="continuationSeparator" w:id="0">
    <w:p w:rsidR="00B23ED7" w:rsidRDefault="00B23ED7" w:rsidP="00207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976"/>
    <w:multiLevelType w:val="hybridMultilevel"/>
    <w:tmpl w:val="7F92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2662"/>
    <w:multiLevelType w:val="hybridMultilevel"/>
    <w:tmpl w:val="B068F244"/>
    <w:lvl w:ilvl="0" w:tplc="862CC6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D5E3A"/>
    <w:multiLevelType w:val="hybridMultilevel"/>
    <w:tmpl w:val="657009E0"/>
    <w:lvl w:ilvl="0" w:tplc="07025B3C">
      <w:numFmt w:val="bullet"/>
      <w:lvlText w:val="-"/>
      <w:lvlJc w:val="left"/>
      <w:pPr>
        <w:ind w:left="405" w:hanging="360"/>
      </w:pPr>
      <w:rPr>
        <w:rFonts w:ascii="Times New Roman" w:eastAsia="Times New Roma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4"/>
    <w:rsid w:val="000065F4"/>
    <w:rsid w:val="00037A21"/>
    <w:rsid w:val="00067B50"/>
    <w:rsid w:val="000D145B"/>
    <w:rsid w:val="00122200"/>
    <w:rsid w:val="00207E13"/>
    <w:rsid w:val="002B0DB2"/>
    <w:rsid w:val="002E3F07"/>
    <w:rsid w:val="003706CF"/>
    <w:rsid w:val="003A6771"/>
    <w:rsid w:val="0041379B"/>
    <w:rsid w:val="005B7A2E"/>
    <w:rsid w:val="005D4F6B"/>
    <w:rsid w:val="006E6B45"/>
    <w:rsid w:val="006F5B24"/>
    <w:rsid w:val="007A1420"/>
    <w:rsid w:val="007E1977"/>
    <w:rsid w:val="00884540"/>
    <w:rsid w:val="008A3474"/>
    <w:rsid w:val="008D1272"/>
    <w:rsid w:val="009F179C"/>
    <w:rsid w:val="00A248F6"/>
    <w:rsid w:val="00B23ED7"/>
    <w:rsid w:val="00D24E44"/>
    <w:rsid w:val="00D4020C"/>
    <w:rsid w:val="00DD5A4F"/>
    <w:rsid w:val="00E2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44"/>
    <w:pPr>
      <w:ind w:left="720"/>
      <w:contextualSpacing/>
    </w:pPr>
  </w:style>
  <w:style w:type="table" w:styleId="TableGrid">
    <w:name w:val="Table Grid"/>
    <w:basedOn w:val="TableNormal"/>
    <w:rsid w:val="00DD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F07"/>
    <w:rPr>
      <w:rFonts w:ascii="Tahoma" w:hAnsi="Tahoma" w:cs="Tahoma"/>
      <w:sz w:val="16"/>
      <w:szCs w:val="16"/>
    </w:rPr>
  </w:style>
  <w:style w:type="character" w:customStyle="1" w:styleId="BalloonTextChar">
    <w:name w:val="Balloon Text Char"/>
    <w:basedOn w:val="DefaultParagraphFont"/>
    <w:link w:val="BalloonText"/>
    <w:rsid w:val="002E3F07"/>
    <w:rPr>
      <w:rFonts w:ascii="Tahoma" w:hAnsi="Tahoma" w:cs="Tahoma"/>
      <w:sz w:val="16"/>
      <w:szCs w:val="16"/>
    </w:rPr>
  </w:style>
  <w:style w:type="paragraph" w:customStyle="1" w:styleId="Default">
    <w:name w:val="Default"/>
    <w:rsid w:val="008A347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0065F4"/>
    <w:rPr>
      <w:sz w:val="16"/>
      <w:szCs w:val="16"/>
    </w:rPr>
  </w:style>
  <w:style w:type="paragraph" w:styleId="CommentText">
    <w:name w:val="annotation text"/>
    <w:basedOn w:val="Normal"/>
    <w:link w:val="CommentTextChar"/>
    <w:rsid w:val="000065F4"/>
    <w:rPr>
      <w:sz w:val="20"/>
      <w:szCs w:val="20"/>
    </w:rPr>
  </w:style>
  <w:style w:type="character" w:customStyle="1" w:styleId="CommentTextChar">
    <w:name w:val="Comment Text Char"/>
    <w:basedOn w:val="DefaultParagraphFont"/>
    <w:link w:val="CommentText"/>
    <w:rsid w:val="000065F4"/>
  </w:style>
  <w:style w:type="paragraph" w:styleId="CommentSubject">
    <w:name w:val="annotation subject"/>
    <w:basedOn w:val="CommentText"/>
    <w:next w:val="CommentText"/>
    <w:link w:val="CommentSubjectChar"/>
    <w:rsid w:val="000065F4"/>
    <w:rPr>
      <w:b/>
      <w:bCs/>
    </w:rPr>
  </w:style>
  <w:style w:type="character" w:customStyle="1" w:styleId="CommentSubjectChar">
    <w:name w:val="Comment Subject Char"/>
    <w:basedOn w:val="CommentTextChar"/>
    <w:link w:val="CommentSubject"/>
    <w:rsid w:val="000065F4"/>
    <w:rPr>
      <w:b/>
      <w:bCs/>
    </w:rPr>
  </w:style>
  <w:style w:type="paragraph" w:styleId="Header">
    <w:name w:val="header"/>
    <w:basedOn w:val="Normal"/>
    <w:link w:val="HeaderChar"/>
    <w:rsid w:val="00207E13"/>
    <w:pPr>
      <w:tabs>
        <w:tab w:val="center" w:pos="4513"/>
        <w:tab w:val="right" w:pos="9026"/>
      </w:tabs>
    </w:pPr>
  </w:style>
  <w:style w:type="character" w:customStyle="1" w:styleId="HeaderChar">
    <w:name w:val="Header Char"/>
    <w:basedOn w:val="DefaultParagraphFont"/>
    <w:link w:val="Header"/>
    <w:rsid w:val="00207E13"/>
    <w:rPr>
      <w:sz w:val="24"/>
      <w:szCs w:val="24"/>
    </w:rPr>
  </w:style>
  <w:style w:type="paragraph" w:styleId="Footer">
    <w:name w:val="footer"/>
    <w:basedOn w:val="Normal"/>
    <w:link w:val="FooterChar"/>
    <w:rsid w:val="00207E13"/>
    <w:pPr>
      <w:tabs>
        <w:tab w:val="center" w:pos="4513"/>
        <w:tab w:val="right" w:pos="9026"/>
      </w:tabs>
    </w:pPr>
  </w:style>
  <w:style w:type="character" w:customStyle="1" w:styleId="FooterChar">
    <w:name w:val="Footer Char"/>
    <w:basedOn w:val="DefaultParagraphFont"/>
    <w:link w:val="Footer"/>
    <w:rsid w:val="00207E13"/>
    <w:rPr>
      <w:sz w:val="24"/>
      <w:szCs w:val="24"/>
    </w:rPr>
  </w:style>
  <w:style w:type="character" w:styleId="Hyperlink">
    <w:name w:val="Hyperlink"/>
    <w:basedOn w:val="DefaultParagraphFont"/>
    <w:rsid w:val="00067B50"/>
    <w:rPr>
      <w:color w:val="0000FF" w:themeColor="hyperlink"/>
      <w:u w:val="single"/>
    </w:rPr>
  </w:style>
  <w:style w:type="character" w:styleId="FollowedHyperlink">
    <w:name w:val="FollowedHyperlink"/>
    <w:basedOn w:val="DefaultParagraphFont"/>
    <w:rsid w:val="007A14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44"/>
    <w:pPr>
      <w:ind w:left="720"/>
      <w:contextualSpacing/>
    </w:pPr>
  </w:style>
  <w:style w:type="table" w:styleId="TableGrid">
    <w:name w:val="Table Grid"/>
    <w:basedOn w:val="TableNormal"/>
    <w:rsid w:val="00DD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F07"/>
    <w:rPr>
      <w:rFonts w:ascii="Tahoma" w:hAnsi="Tahoma" w:cs="Tahoma"/>
      <w:sz w:val="16"/>
      <w:szCs w:val="16"/>
    </w:rPr>
  </w:style>
  <w:style w:type="character" w:customStyle="1" w:styleId="BalloonTextChar">
    <w:name w:val="Balloon Text Char"/>
    <w:basedOn w:val="DefaultParagraphFont"/>
    <w:link w:val="BalloonText"/>
    <w:rsid w:val="002E3F07"/>
    <w:rPr>
      <w:rFonts w:ascii="Tahoma" w:hAnsi="Tahoma" w:cs="Tahoma"/>
      <w:sz w:val="16"/>
      <w:szCs w:val="16"/>
    </w:rPr>
  </w:style>
  <w:style w:type="paragraph" w:customStyle="1" w:styleId="Default">
    <w:name w:val="Default"/>
    <w:rsid w:val="008A347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0065F4"/>
    <w:rPr>
      <w:sz w:val="16"/>
      <w:szCs w:val="16"/>
    </w:rPr>
  </w:style>
  <w:style w:type="paragraph" w:styleId="CommentText">
    <w:name w:val="annotation text"/>
    <w:basedOn w:val="Normal"/>
    <w:link w:val="CommentTextChar"/>
    <w:rsid w:val="000065F4"/>
    <w:rPr>
      <w:sz w:val="20"/>
      <w:szCs w:val="20"/>
    </w:rPr>
  </w:style>
  <w:style w:type="character" w:customStyle="1" w:styleId="CommentTextChar">
    <w:name w:val="Comment Text Char"/>
    <w:basedOn w:val="DefaultParagraphFont"/>
    <w:link w:val="CommentText"/>
    <w:rsid w:val="000065F4"/>
  </w:style>
  <w:style w:type="paragraph" w:styleId="CommentSubject">
    <w:name w:val="annotation subject"/>
    <w:basedOn w:val="CommentText"/>
    <w:next w:val="CommentText"/>
    <w:link w:val="CommentSubjectChar"/>
    <w:rsid w:val="000065F4"/>
    <w:rPr>
      <w:b/>
      <w:bCs/>
    </w:rPr>
  </w:style>
  <w:style w:type="character" w:customStyle="1" w:styleId="CommentSubjectChar">
    <w:name w:val="Comment Subject Char"/>
    <w:basedOn w:val="CommentTextChar"/>
    <w:link w:val="CommentSubject"/>
    <w:rsid w:val="000065F4"/>
    <w:rPr>
      <w:b/>
      <w:bCs/>
    </w:rPr>
  </w:style>
  <w:style w:type="paragraph" w:styleId="Header">
    <w:name w:val="header"/>
    <w:basedOn w:val="Normal"/>
    <w:link w:val="HeaderChar"/>
    <w:rsid w:val="00207E13"/>
    <w:pPr>
      <w:tabs>
        <w:tab w:val="center" w:pos="4513"/>
        <w:tab w:val="right" w:pos="9026"/>
      </w:tabs>
    </w:pPr>
  </w:style>
  <w:style w:type="character" w:customStyle="1" w:styleId="HeaderChar">
    <w:name w:val="Header Char"/>
    <w:basedOn w:val="DefaultParagraphFont"/>
    <w:link w:val="Header"/>
    <w:rsid w:val="00207E13"/>
    <w:rPr>
      <w:sz w:val="24"/>
      <w:szCs w:val="24"/>
    </w:rPr>
  </w:style>
  <w:style w:type="paragraph" w:styleId="Footer">
    <w:name w:val="footer"/>
    <w:basedOn w:val="Normal"/>
    <w:link w:val="FooterChar"/>
    <w:rsid w:val="00207E13"/>
    <w:pPr>
      <w:tabs>
        <w:tab w:val="center" w:pos="4513"/>
        <w:tab w:val="right" w:pos="9026"/>
      </w:tabs>
    </w:pPr>
  </w:style>
  <w:style w:type="character" w:customStyle="1" w:styleId="FooterChar">
    <w:name w:val="Footer Char"/>
    <w:basedOn w:val="DefaultParagraphFont"/>
    <w:link w:val="Footer"/>
    <w:rsid w:val="00207E13"/>
    <w:rPr>
      <w:sz w:val="24"/>
      <w:szCs w:val="24"/>
    </w:rPr>
  </w:style>
  <w:style w:type="character" w:styleId="Hyperlink">
    <w:name w:val="Hyperlink"/>
    <w:basedOn w:val="DefaultParagraphFont"/>
    <w:rsid w:val="00067B50"/>
    <w:rPr>
      <w:color w:val="0000FF" w:themeColor="hyperlink"/>
      <w:u w:val="single"/>
    </w:rPr>
  </w:style>
  <w:style w:type="character" w:styleId="FollowedHyperlink">
    <w:name w:val="FollowedHyperlink"/>
    <w:basedOn w:val="DefaultParagraphFont"/>
    <w:rsid w:val="007A1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ra.gov.uk/Howweregulate/Medicines/Inspectionandstandards/GoodClinicalPractice/Background/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sdorgan</dc:creator>
  <cp:lastModifiedBy>Jonathan Fennelly-Barnwell</cp:lastModifiedBy>
  <cp:revision>2</cp:revision>
  <cp:lastPrinted>2013-12-05T13:23:00Z</cp:lastPrinted>
  <dcterms:created xsi:type="dcterms:W3CDTF">2016-04-22T12:02:00Z</dcterms:created>
  <dcterms:modified xsi:type="dcterms:W3CDTF">2016-04-22T12:02:00Z</dcterms:modified>
</cp:coreProperties>
</file>