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4B117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B117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4B117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17/02/2016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B117E" w:rsidP="002F3CA4">
            <w:pPr>
              <w:rPr>
                <w:rFonts w:asciiTheme="minorHAnsi" w:hAnsiTheme="minorHAnsi" w:cstheme="minorHAnsi"/>
              </w:rPr>
            </w:pPr>
            <w:r w:rsidRPr="004B117E">
              <w:rPr>
                <w:rFonts w:asciiTheme="minorHAnsi" w:hAnsiTheme="minorHAnsi" w:cstheme="minorHAnsi"/>
                <w:b/>
                <w:bCs/>
              </w:rPr>
              <w:t>Matters arising - HRA Approval critical path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4B117E" w:rsidRDefault="004B117E" w:rsidP="004B117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lang w:eastAsia="en-GB"/>
              </w:rPr>
            </w:pPr>
            <w:r w:rsidRPr="004B117E">
              <w:rPr>
                <w:rFonts w:asciiTheme="minorHAnsi" w:hAnsiTheme="minorHAnsi" w:cstheme="minorHAnsi"/>
                <w:lang w:eastAsia="en-GB"/>
              </w:rPr>
              <w:t>the ‘internal’ Approval programme critical path has now been made available to the Board</w:t>
            </w:r>
          </w:p>
          <w:p w:rsidR="004B117E" w:rsidRPr="004B117E" w:rsidRDefault="004B117E" w:rsidP="004B117E">
            <w:pPr>
              <w:pStyle w:val="ListParagraph"/>
              <w:numPr>
                <w:ilvl w:val="0"/>
                <w:numId w:val="0"/>
              </w:numPr>
              <w:spacing w:before="0"/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4B117E" w:rsidRDefault="004B117E" w:rsidP="004B117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lang w:eastAsia="en-GB"/>
              </w:rPr>
            </w:pPr>
            <w:proofErr w:type="gramStart"/>
            <w:r w:rsidRPr="004B117E">
              <w:rPr>
                <w:rFonts w:asciiTheme="minorHAnsi" w:hAnsiTheme="minorHAnsi" w:cstheme="minorHAnsi"/>
                <w:lang w:eastAsia="en-GB"/>
              </w:rPr>
              <w:t>the</w:t>
            </w:r>
            <w:proofErr w:type="gramEnd"/>
            <w:r w:rsidRPr="004B117E">
              <w:rPr>
                <w:rFonts w:asciiTheme="minorHAnsi" w:hAnsiTheme="minorHAnsi" w:cstheme="minorHAnsi"/>
                <w:lang w:eastAsia="en-GB"/>
              </w:rPr>
              <w:t xml:space="preserve"> set of broader interdependencies have been summarised for the Board, including the different mechanisms through which they are being or have been managed. Graham has discussed these with Marc Taylor</w:t>
            </w:r>
          </w:p>
          <w:p w:rsidR="004B117E" w:rsidRPr="004B117E" w:rsidRDefault="004B117E" w:rsidP="004B117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4B117E" w:rsidRDefault="004B117E" w:rsidP="004B117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lang w:eastAsia="en-GB"/>
              </w:rPr>
            </w:pPr>
            <w:r w:rsidRPr="004B117E">
              <w:rPr>
                <w:rFonts w:asciiTheme="minorHAnsi" w:hAnsiTheme="minorHAnsi" w:cstheme="minorHAnsi"/>
                <w:lang w:eastAsia="en-GB"/>
              </w:rPr>
              <w:t>DH Chaired NIHR – HRA interdependencies Board have agreed to participate in a joint workshop to explore these further and this will be added to the Board schedule – suggested timing when further volume of studies have been through Approval as the risks are more focussed on benefit realisation than practical deliv</w:t>
            </w:r>
            <w:r>
              <w:rPr>
                <w:rFonts w:asciiTheme="minorHAnsi" w:hAnsiTheme="minorHAnsi" w:cstheme="minorHAnsi"/>
                <w:lang w:eastAsia="en-GB"/>
              </w:rPr>
              <w:t>ery</w:t>
            </w:r>
          </w:p>
          <w:p w:rsidR="004B117E" w:rsidRPr="004B117E" w:rsidRDefault="004B117E" w:rsidP="004B117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4B117E" w:rsidRDefault="004B117E" w:rsidP="004B117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lang w:eastAsia="en-GB"/>
              </w:rPr>
            </w:pPr>
            <w:r w:rsidRPr="004B117E">
              <w:rPr>
                <w:rFonts w:asciiTheme="minorHAnsi" w:hAnsiTheme="minorHAnsi" w:cstheme="minorHAnsi"/>
                <w:lang w:eastAsia="en-GB"/>
              </w:rPr>
              <w:t>UKECA advised of the plans for the workshop, with open question about whether there is benefit of including focus on UK wide compatibility</w:t>
            </w:r>
          </w:p>
          <w:p w:rsidR="004B117E" w:rsidRPr="004B117E" w:rsidRDefault="004B117E" w:rsidP="004B117E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lang w:eastAsia="en-GB"/>
              </w:rPr>
            </w:pPr>
          </w:p>
          <w:p w:rsidR="0000688A" w:rsidRPr="004B117E" w:rsidRDefault="004B117E" w:rsidP="00AE2C5E">
            <w:pPr>
              <w:pStyle w:val="List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</w:rPr>
            </w:pPr>
            <w:r w:rsidRPr="004B117E">
              <w:rPr>
                <w:rFonts w:asciiTheme="minorHAnsi" w:hAnsiTheme="minorHAnsi" w:cstheme="minorHAnsi"/>
                <w:lang w:eastAsia="en-GB"/>
              </w:rPr>
              <w:t>Further Healthcheck review planned for March – with a focus on cohort 4 readiness and benefit realisation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4B117E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4B117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2F3CA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6320" w:type="dxa"/>
          </w:tcPr>
          <w:p w:rsidR="00151DBF" w:rsidRPr="00C90060" w:rsidRDefault="004B117E" w:rsidP="002F3C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 Wisely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2F3CA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320" w:type="dxa"/>
          </w:tcPr>
          <w:p w:rsidR="00151DBF" w:rsidRPr="00C90060" w:rsidRDefault="004B117E" w:rsidP="002F3C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Executive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2F3CA4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</w:tcPr>
          <w:p w:rsidR="00151DBF" w:rsidRPr="00C90060" w:rsidRDefault="00AE1BE0" w:rsidP="002F3C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09/02/2016</w:t>
            </w:r>
            <w:bookmarkStart w:id="0" w:name="_GoBack"/>
            <w:bookmarkEnd w:id="0"/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4F1"/>
    <w:multiLevelType w:val="hybridMultilevel"/>
    <w:tmpl w:val="2CE4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6"/>
  </w:num>
  <w:num w:numId="4">
    <w:abstractNumId w:val="13"/>
  </w:num>
  <w:num w:numId="5">
    <w:abstractNumId w:val="25"/>
  </w:num>
  <w:num w:numId="6">
    <w:abstractNumId w:val="3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9"/>
  </w:num>
  <w:num w:numId="16">
    <w:abstractNumId w:val="23"/>
  </w:num>
  <w:num w:numId="17">
    <w:abstractNumId w:val="28"/>
  </w:num>
  <w:num w:numId="18">
    <w:abstractNumId w:val="1"/>
  </w:num>
  <w:num w:numId="19">
    <w:abstractNumId w:val="17"/>
  </w:num>
  <w:num w:numId="20">
    <w:abstractNumId w:val="26"/>
  </w:num>
  <w:num w:numId="21">
    <w:abstractNumId w:val="35"/>
  </w:num>
  <w:num w:numId="22">
    <w:abstractNumId w:val="19"/>
  </w:num>
  <w:num w:numId="23">
    <w:abstractNumId w:val="22"/>
  </w:num>
  <w:num w:numId="24">
    <w:abstractNumId w:val="7"/>
  </w:num>
  <w:num w:numId="25">
    <w:abstractNumId w:val="27"/>
  </w:num>
  <w:num w:numId="26">
    <w:abstractNumId w:val="38"/>
  </w:num>
  <w:num w:numId="27">
    <w:abstractNumId w:val="16"/>
  </w:num>
  <w:num w:numId="28">
    <w:abstractNumId w:val="33"/>
  </w:num>
  <w:num w:numId="29">
    <w:abstractNumId w:val="29"/>
  </w:num>
  <w:num w:numId="30">
    <w:abstractNumId w:val="12"/>
  </w:num>
  <w:num w:numId="31">
    <w:abstractNumId w:val="37"/>
  </w:num>
  <w:num w:numId="32">
    <w:abstractNumId w:val="15"/>
  </w:num>
  <w:num w:numId="33">
    <w:abstractNumId w:val="24"/>
  </w:num>
  <w:num w:numId="34">
    <w:abstractNumId w:val="42"/>
  </w:num>
  <w:num w:numId="35">
    <w:abstractNumId w:val="6"/>
  </w:num>
  <w:num w:numId="36">
    <w:abstractNumId w:val="8"/>
  </w:num>
  <w:num w:numId="37">
    <w:abstractNumId w:val="4"/>
  </w:num>
  <w:num w:numId="38">
    <w:abstractNumId w:val="18"/>
  </w:num>
  <w:num w:numId="39">
    <w:abstractNumId w:val="11"/>
  </w:num>
  <w:num w:numId="40">
    <w:abstractNumId w:val="14"/>
  </w:num>
  <w:num w:numId="41">
    <w:abstractNumId w:val="41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CA4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117E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E1BE0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567DF8-9211-47E7-8053-4C339AB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6</cp:revision>
  <cp:lastPrinted>2013-01-08T15:55:00Z</cp:lastPrinted>
  <dcterms:created xsi:type="dcterms:W3CDTF">2014-10-10T10:09:00Z</dcterms:created>
  <dcterms:modified xsi:type="dcterms:W3CDTF">2016-02-10T15:45:00Z</dcterms:modified>
</cp:coreProperties>
</file>