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62607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12</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62607A" w:rsidRDefault="00D943EE"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I</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EA580D" w:rsidRDefault="00EA580D"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18 </w:t>
            </w:r>
            <w:r w:rsidR="005148A3">
              <w:rPr>
                <w:rFonts w:asciiTheme="minorHAnsi" w:eastAsiaTheme="minorHAnsi" w:hAnsiTheme="minorHAnsi" w:cstheme="minorHAnsi"/>
                <w:lang w:eastAsia="en-US"/>
              </w:rPr>
              <w:t xml:space="preserve">January </w:t>
            </w:r>
            <w:r>
              <w:rPr>
                <w:rFonts w:asciiTheme="minorHAnsi" w:eastAsiaTheme="minorHAnsi" w:hAnsiTheme="minorHAnsi" w:cstheme="minorHAnsi"/>
                <w:lang w:eastAsia="en-US"/>
              </w:rPr>
              <w:t>2016 – verbal update to EMT</w:t>
            </w:r>
          </w:p>
          <w:p w:rsidR="005148A3" w:rsidRDefault="005148A3"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20 January 2016 – initial verbal update to Board</w:t>
            </w:r>
          </w:p>
          <w:p w:rsidR="001540D4" w:rsidRDefault="00EA580D"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3 February </w:t>
            </w:r>
            <w:r w:rsidR="00E75225">
              <w:rPr>
                <w:rFonts w:asciiTheme="minorHAnsi" w:eastAsiaTheme="minorHAnsi" w:hAnsiTheme="minorHAnsi" w:cstheme="minorHAnsi"/>
                <w:lang w:eastAsia="en-US"/>
              </w:rPr>
              <w:t xml:space="preserve">2016 – written report to </w:t>
            </w:r>
            <w:r w:rsidR="00E44973">
              <w:rPr>
                <w:rFonts w:asciiTheme="minorHAnsi" w:eastAsiaTheme="minorHAnsi" w:hAnsiTheme="minorHAnsi" w:cstheme="minorHAnsi"/>
                <w:lang w:eastAsia="en-US"/>
              </w:rPr>
              <w:t>EMT</w:t>
            </w:r>
          </w:p>
          <w:p w:rsidR="00E44973" w:rsidRPr="00DF3EE3" w:rsidRDefault="00EA580D" w:rsidP="00EA580D">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17 February</w:t>
            </w:r>
            <w:bookmarkStart w:id="0" w:name="_GoBack"/>
            <w:bookmarkEnd w:id="0"/>
            <w:r>
              <w:rPr>
                <w:rFonts w:asciiTheme="minorHAnsi" w:eastAsiaTheme="minorHAnsi" w:hAnsiTheme="minorHAnsi" w:cstheme="minorHAnsi"/>
                <w:lang w:eastAsia="en-US"/>
              </w:rPr>
              <w:t xml:space="preserve"> </w:t>
            </w:r>
            <w:r w:rsidR="00E75225">
              <w:rPr>
                <w:rFonts w:asciiTheme="minorHAnsi" w:eastAsiaTheme="minorHAnsi" w:hAnsiTheme="minorHAnsi" w:cstheme="minorHAnsi"/>
                <w:lang w:eastAsia="en-US"/>
              </w:rPr>
              <w:t xml:space="preserve">2016 – written report to </w:t>
            </w:r>
            <w:r w:rsidR="00E44973">
              <w:rPr>
                <w:rFonts w:asciiTheme="minorHAnsi" w:eastAsiaTheme="minorHAnsi" w:hAnsiTheme="minorHAnsi" w:cstheme="minorHAnsi"/>
                <w:lang w:eastAsia="en-US"/>
              </w:rPr>
              <w:t xml:space="preserve">Board </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7C55A4">
              <w:rPr>
                <w:rFonts w:asciiTheme="minorHAnsi" w:hAnsiTheme="minorHAnsi" w:cstheme="minorHAnsi"/>
              </w:rPr>
              <w:t xml:space="preserve"> - December </w:t>
            </w:r>
            <w:r w:rsidR="00BC7822">
              <w:rPr>
                <w:rFonts w:asciiTheme="minorHAnsi" w:hAnsiTheme="minorHAnsi" w:cstheme="minorHAnsi"/>
              </w:rPr>
              <w:t>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C134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1C6A8A">
              <w:rPr>
                <w:rFonts w:asciiTheme="minorHAnsi" w:eastAsiaTheme="minorHAnsi" w:hAnsiTheme="minorHAnsi" w:cstheme="minorHAnsi"/>
                <w:lang w:eastAsia="en-US"/>
              </w:rPr>
              <w:t>year</w:t>
            </w:r>
            <w:r w:rsidR="00844B51">
              <w:rPr>
                <w:rFonts w:asciiTheme="minorHAnsi" w:eastAsiaTheme="minorHAnsi" w:hAnsiTheme="minorHAnsi" w:cstheme="minorHAnsi"/>
                <w:lang w:eastAsia="en-US"/>
              </w:rPr>
              <w:t xml:space="preserve"> </w:t>
            </w:r>
            <w:r w:rsidR="007C55A4">
              <w:rPr>
                <w:rFonts w:asciiTheme="minorHAnsi" w:eastAsiaTheme="minorHAnsi" w:hAnsiTheme="minorHAnsi" w:cstheme="minorHAnsi"/>
                <w:lang w:eastAsia="en-US"/>
              </w:rPr>
              <w:t>to date as at 31</w:t>
            </w:r>
            <w:r w:rsidR="007C55A4" w:rsidRPr="007C55A4">
              <w:rPr>
                <w:rFonts w:asciiTheme="minorHAnsi" w:eastAsiaTheme="minorHAnsi" w:hAnsiTheme="minorHAnsi" w:cstheme="minorHAnsi"/>
                <w:vertAlign w:val="superscript"/>
                <w:lang w:eastAsia="en-US"/>
              </w:rPr>
              <w:t>st</w:t>
            </w:r>
            <w:r w:rsidR="007C55A4">
              <w:rPr>
                <w:rFonts w:asciiTheme="minorHAnsi" w:eastAsiaTheme="minorHAnsi" w:hAnsiTheme="minorHAnsi" w:cstheme="minorHAnsi"/>
                <w:lang w:eastAsia="en-US"/>
              </w:rPr>
              <w:t xml:space="preserve"> December </w:t>
            </w:r>
            <w:r w:rsidR="00A64613">
              <w:rPr>
                <w:rFonts w:asciiTheme="minorHAnsi" w:eastAsiaTheme="minorHAnsi" w:hAnsiTheme="minorHAnsi" w:cstheme="minorHAnsi"/>
                <w:lang w:eastAsia="en-US"/>
              </w:rPr>
              <w:t>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EA580D">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 xml:space="preserve">at the end of </w:t>
            </w:r>
            <w:r w:rsidR="007C55A4">
              <w:rPr>
                <w:rFonts w:asciiTheme="minorHAnsi" w:eastAsiaTheme="minorHAnsi" w:hAnsiTheme="minorHAnsi" w:cstheme="minorHAnsi"/>
                <w:lang w:eastAsia="en-US"/>
              </w:rPr>
              <w:t xml:space="preserve">December </w:t>
            </w:r>
            <w:r w:rsidR="00615A53">
              <w:rPr>
                <w:rFonts w:asciiTheme="minorHAnsi" w:eastAsiaTheme="minorHAnsi" w:hAnsiTheme="minorHAnsi" w:cstheme="minorHAnsi"/>
                <w:lang w:eastAsia="en-US"/>
              </w:rPr>
              <w:t xml:space="preserve">2015 with an </w:t>
            </w:r>
            <w:r w:rsidR="00EA580D">
              <w:rPr>
                <w:rFonts w:asciiTheme="minorHAnsi" w:eastAsiaTheme="minorHAnsi" w:hAnsiTheme="minorHAnsi" w:cstheme="minorHAnsi"/>
                <w:lang w:eastAsia="en-US"/>
              </w:rPr>
              <w:t>update on changes to the</w:t>
            </w:r>
            <w:r w:rsidR="00D363E9">
              <w:rPr>
                <w:rFonts w:asciiTheme="minorHAnsi" w:eastAsiaTheme="minorHAnsi" w:hAnsiTheme="minorHAnsi" w:cstheme="minorHAnsi"/>
                <w:lang w:eastAsia="en-US"/>
              </w:rPr>
              <w:t xml:space="preserve"> year</w:t>
            </w:r>
            <w:r w:rsidR="00EA580D">
              <w:rPr>
                <w:rFonts w:asciiTheme="minorHAnsi" w:eastAsiaTheme="minorHAnsi" w:hAnsiTheme="minorHAnsi" w:cstheme="minorHAnsi"/>
                <w:lang w:eastAsia="en-US"/>
              </w:rPr>
              <w:t xml:space="preserve">end </w:t>
            </w:r>
            <w:r w:rsidRPr="00DF3EE3">
              <w:rPr>
                <w:rFonts w:asciiTheme="minorHAnsi" w:eastAsiaTheme="minorHAnsi" w:hAnsiTheme="minorHAnsi" w:cstheme="minorHAnsi"/>
                <w:lang w:eastAsia="en-US"/>
              </w:rPr>
              <w:t>financial position</w:t>
            </w:r>
            <w:r w:rsidR="00615A53">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EA580D">
              <w:rPr>
                <w:rFonts w:asciiTheme="minorHAnsi" w:eastAsiaTheme="minorHAnsi" w:hAnsiTheme="minorHAnsi" w:cstheme="minorHAnsi"/>
                <w:lang w:eastAsia="en-US"/>
              </w:rPr>
              <w:t xml:space="preserve"> - 1</w:t>
            </w:r>
            <w:r w:rsidR="00EA580D" w:rsidRPr="00EA580D">
              <w:rPr>
                <w:rFonts w:asciiTheme="minorHAnsi" w:eastAsiaTheme="minorHAnsi" w:hAnsiTheme="minorHAnsi" w:cstheme="minorHAnsi"/>
                <w:vertAlign w:val="superscript"/>
                <w:lang w:eastAsia="en-US"/>
              </w:rPr>
              <w:t>st</w:t>
            </w:r>
            <w:r w:rsidR="00EA580D">
              <w:rPr>
                <w:rFonts w:asciiTheme="minorHAnsi" w:eastAsiaTheme="minorHAnsi" w:hAnsiTheme="minorHAnsi" w:cstheme="minorHAnsi"/>
                <w:lang w:eastAsia="en-US"/>
              </w:rPr>
              <w:t xml:space="preserve"> Feb 2016</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7C55A4">
              <w:rPr>
                <w:rFonts w:asciiTheme="minorHAnsi" w:eastAsiaTheme="minorHAnsi" w:hAnsiTheme="minorHAnsi" w:cstheme="minorHAnsi"/>
                <w:lang w:eastAsia="en-US"/>
              </w:rPr>
              <w:t>December</w:t>
            </w:r>
            <w:r w:rsidR="00615A53">
              <w:rPr>
                <w:rFonts w:asciiTheme="minorHAnsi" w:eastAsiaTheme="minorHAnsi" w:hAnsiTheme="minorHAnsi" w:cstheme="minorHAnsi"/>
                <w:lang w:eastAsia="en-US"/>
              </w:rPr>
              <w:t xml:space="preserve"> </w:t>
            </w:r>
            <w:r w:rsidR="00A64613">
              <w:rPr>
                <w:rFonts w:asciiTheme="minorHAnsi" w:eastAsiaTheme="minorHAnsi" w:hAnsiTheme="minorHAnsi" w:cstheme="minorHAnsi"/>
                <w:lang w:eastAsia="en-US"/>
              </w:rPr>
              <w:t>2015</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HRA is living </w:t>
            </w:r>
            <w:r w:rsidR="001540D4">
              <w:rPr>
                <w:rFonts w:asciiTheme="minorHAnsi" w:eastAsiaTheme="minorHAnsi" w:hAnsiTheme="minorHAnsi" w:cstheme="minorHAnsi"/>
                <w:lang w:eastAsia="en-US"/>
              </w:rPr>
              <w:t xml:space="preserve">well </w:t>
            </w:r>
            <w:r>
              <w:rPr>
                <w:rFonts w:asciiTheme="minorHAnsi" w:eastAsiaTheme="minorHAnsi" w:hAnsiTheme="minorHAnsi" w:cstheme="minorHAnsi"/>
                <w:lang w:eastAsia="en-US"/>
              </w:rPr>
              <w:t xml:space="preserve">within its means. </w:t>
            </w:r>
          </w:p>
          <w:p w:rsidR="00172DD0" w:rsidRDefault="008C50D7"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66</w:t>
            </w:r>
            <w:r w:rsidR="00172DD0" w:rsidRPr="00055506">
              <w:rPr>
                <w:rFonts w:asciiTheme="minorHAnsi" w:eastAsiaTheme="minorHAnsi" w:hAnsiTheme="minorHAnsi" w:cstheme="minorHAnsi"/>
                <w:lang w:eastAsia="en-US"/>
              </w:rPr>
              <w:t>% of the financ</w:t>
            </w:r>
            <w:r>
              <w:rPr>
                <w:rFonts w:asciiTheme="minorHAnsi" w:eastAsiaTheme="minorHAnsi" w:hAnsiTheme="minorHAnsi" w:cstheme="minorHAnsi"/>
                <w:lang w:eastAsia="en-US"/>
              </w:rPr>
              <w:t>ial plan has been spent after 75</w:t>
            </w:r>
            <w:r w:rsidR="00172DD0" w:rsidRPr="00055506">
              <w:rPr>
                <w:rFonts w:asciiTheme="minorHAnsi" w:eastAsiaTheme="minorHAnsi" w:hAnsiTheme="minorHAnsi" w:cstheme="minorHAnsi"/>
                <w:lang w:eastAsia="en-US"/>
              </w:rPr>
              <w:t>% of the financial year has passed.</w:t>
            </w:r>
          </w:p>
          <w:p w:rsidR="00EA580D" w:rsidRPr="00055506" w:rsidRDefault="00EA580D"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There has been an in month underspend of £97k</w:t>
            </w:r>
            <w:proofErr w:type="gramStart"/>
            <w:r>
              <w:rPr>
                <w:rFonts w:asciiTheme="minorHAnsi" w:eastAsiaTheme="minorHAnsi" w:hAnsiTheme="minorHAnsi" w:cstheme="minorHAnsi"/>
                <w:lang w:eastAsia="en-US"/>
              </w:rPr>
              <w:t>,  £</w:t>
            </w:r>
            <w:proofErr w:type="gramEnd"/>
            <w:r>
              <w:rPr>
                <w:rFonts w:asciiTheme="minorHAnsi" w:eastAsiaTheme="minorHAnsi" w:hAnsiTheme="minorHAnsi" w:cstheme="minorHAnsi"/>
                <w:lang w:eastAsia="en-US"/>
              </w:rPr>
              <w:t>58k of which was unexpected and has led to a thorough review of the forecast position.</w:t>
            </w:r>
          </w:p>
          <w:p w:rsidR="00706F89" w:rsidRDefault="008C50D7"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There is a</w:t>
            </w:r>
            <w:r w:rsidR="00EA580D">
              <w:rPr>
                <w:rFonts w:asciiTheme="minorHAnsi" w:eastAsiaTheme="minorHAnsi" w:hAnsiTheme="minorHAnsi" w:cstheme="minorHAnsi"/>
                <w:lang w:eastAsia="en-US"/>
              </w:rPr>
              <w:t>n increased under spend position, standing at</w:t>
            </w:r>
            <w:r>
              <w:rPr>
                <w:rFonts w:asciiTheme="minorHAnsi" w:eastAsiaTheme="minorHAnsi" w:hAnsiTheme="minorHAnsi" w:cstheme="minorHAnsi"/>
                <w:lang w:eastAsia="en-US"/>
              </w:rPr>
              <w:t xml:space="preserve"> £441</w:t>
            </w:r>
            <w:r w:rsidR="00706F89" w:rsidRPr="004A0539">
              <w:rPr>
                <w:rFonts w:asciiTheme="minorHAnsi" w:eastAsiaTheme="minorHAnsi" w:hAnsiTheme="minorHAnsi" w:cstheme="minorHAnsi"/>
                <w:lang w:eastAsia="en-US"/>
              </w:rPr>
              <w:t xml:space="preserve">k under spend as at the </w:t>
            </w:r>
            <w:r w:rsidR="00A149D1" w:rsidRPr="004A0539">
              <w:rPr>
                <w:rFonts w:asciiTheme="minorHAnsi" w:eastAsiaTheme="minorHAnsi" w:hAnsiTheme="minorHAnsi" w:cstheme="minorHAnsi"/>
                <w:lang w:eastAsia="en-US"/>
              </w:rPr>
              <w:t xml:space="preserve">end of </w:t>
            </w:r>
            <w:r w:rsidR="00EA580D">
              <w:rPr>
                <w:rFonts w:asciiTheme="minorHAnsi" w:eastAsiaTheme="minorHAnsi" w:hAnsiTheme="minorHAnsi" w:cstheme="minorHAnsi"/>
                <w:lang w:eastAsia="en-US"/>
              </w:rPr>
              <w:t xml:space="preserve">December </w:t>
            </w:r>
            <w:r w:rsidR="00706F89" w:rsidRPr="004A0539">
              <w:rPr>
                <w:rFonts w:asciiTheme="minorHAnsi" w:eastAsiaTheme="minorHAnsi" w:hAnsiTheme="minorHAnsi" w:cstheme="minorHAnsi"/>
                <w:lang w:eastAsia="en-US"/>
              </w:rPr>
              <w:t>2015</w:t>
            </w:r>
            <w:r>
              <w:rPr>
                <w:rFonts w:asciiTheme="minorHAnsi" w:eastAsiaTheme="minorHAnsi" w:hAnsiTheme="minorHAnsi" w:cstheme="minorHAnsi"/>
                <w:lang w:eastAsia="en-US"/>
              </w:rPr>
              <w:t xml:space="preserve"> (£345k November</w:t>
            </w:r>
            <w:r w:rsidR="00A149D1" w:rsidRPr="004A0539">
              <w:rPr>
                <w:rFonts w:asciiTheme="minorHAnsi" w:eastAsiaTheme="minorHAnsi" w:hAnsiTheme="minorHAnsi" w:cstheme="minorHAnsi"/>
                <w:lang w:eastAsia="en-US"/>
              </w:rPr>
              <w:t xml:space="preserve"> </w:t>
            </w:r>
            <w:r w:rsidR="00615A53" w:rsidRPr="004A0539">
              <w:rPr>
                <w:rFonts w:asciiTheme="minorHAnsi" w:eastAsiaTheme="minorHAnsi" w:hAnsiTheme="minorHAnsi" w:cstheme="minorHAnsi"/>
                <w:lang w:eastAsia="en-US"/>
              </w:rPr>
              <w:t>2015)</w:t>
            </w:r>
            <w:r w:rsidR="00706F89" w:rsidRPr="004A0539">
              <w:rPr>
                <w:rFonts w:asciiTheme="minorHAnsi" w:eastAsiaTheme="minorHAnsi" w:hAnsiTheme="minorHAnsi" w:cstheme="minorHAnsi"/>
                <w:lang w:eastAsia="en-US"/>
              </w:rPr>
              <w:t xml:space="preserve">, largely within </w:t>
            </w:r>
            <w:r w:rsidR="00BB2B8A" w:rsidRPr="004A0539">
              <w:rPr>
                <w:rFonts w:asciiTheme="minorHAnsi" w:eastAsiaTheme="minorHAnsi" w:hAnsiTheme="minorHAnsi" w:cstheme="minorHAnsi"/>
                <w:lang w:eastAsia="en-US"/>
              </w:rPr>
              <w:t>the O</w:t>
            </w:r>
            <w:r w:rsidR="00706F89" w:rsidRPr="004A0539">
              <w:rPr>
                <w:rFonts w:asciiTheme="minorHAnsi" w:eastAsiaTheme="minorHAnsi" w:hAnsiTheme="minorHAnsi" w:cstheme="minorHAnsi"/>
                <w:lang w:eastAsia="en-US"/>
              </w:rPr>
              <w:t>peration</w:t>
            </w:r>
            <w:r w:rsidR="00BB2B8A" w:rsidRPr="004A0539">
              <w:rPr>
                <w:rFonts w:asciiTheme="minorHAnsi" w:eastAsiaTheme="minorHAnsi" w:hAnsiTheme="minorHAnsi" w:cstheme="minorHAnsi"/>
                <w:lang w:eastAsia="en-US"/>
              </w:rPr>
              <w:t>s</w:t>
            </w:r>
            <w:r w:rsidR="00706F89" w:rsidRPr="004A0539">
              <w:rPr>
                <w:rFonts w:asciiTheme="minorHAnsi" w:eastAsiaTheme="minorHAnsi" w:hAnsiTheme="minorHAnsi" w:cstheme="minorHAnsi"/>
                <w:lang w:eastAsia="en-US"/>
              </w:rPr>
              <w:t xml:space="preserve"> </w:t>
            </w:r>
            <w:r w:rsidR="00BB2B8A" w:rsidRPr="004A0539">
              <w:rPr>
                <w:rFonts w:asciiTheme="minorHAnsi" w:eastAsiaTheme="minorHAnsi" w:hAnsiTheme="minorHAnsi" w:cstheme="minorHAnsi"/>
                <w:lang w:eastAsia="en-US"/>
              </w:rPr>
              <w:t xml:space="preserve">Directorate </w:t>
            </w:r>
            <w:r w:rsidR="00706F89" w:rsidRPr="004A0539">
              <w:rPr>
                <w:rFonts w:asciiTheme="minorHAnsi" w:eastAsiaTheme="minorHAnsi" w:hAnsiTheme="minorHAnsi" w:cstheme="minorHAnsi"/>
                <w:lang w:eastAsia="en-US"/>
              </w:rPr>
              <w:t xml:space="preserve">and </w:t>
            </w:r>
            <w:r w:rsidR="00553DC5" w:rsidRPr="004A0539">
              <w:rPr>
                <w:rFonts w:asciiTheme="minorHAnsi" w:eastAsiaTheme="minorHAnsi" w:hAnsiTheme="minorHAnsi" w:cstheme="minorHAnsi"/>
                <w:lang w:eastAsia="en-US"/>
              </w:rPr>
              <w:t xml:space="preserve">mostly </w:t>
            </w:r>
            <w:r w:rsidR="00706F89" w:rsidRPr="004A0539">
              <w:rPr>
                <w:rFonts w:asciiTheme="minorHAnsi" w:eastAsiaTheme="minorHAnsi" w:hAnsiTheme="minorHAnsi" w:cstheme="minorHAnsi"/>
                <w:lang w:eastAsia="en-US"/>
              </w:rPr>
              <w:t xml:space="preserve">due to the number of vacancies that have arisen either because of successful applications for roles </w:t>
            </w:r>
            <w:r w:rsidR="00BB2B8A" w:rsidRPr="004A0539">
              <w:rPr>
                <w:rFonts w:asciiTheme="minorHAnsi" w:eastAsiaTheme="minorHAnsi" w:hAnsiTheme="minorHAnsi" w:cstheme="minorHAnsi"/>
                <w:lang w:eastAsia="en-US"/>
              </w:rPr>
              <w:t xml:space="preserve">linked to </w:t>
            </w:r>
            <w:r w:rsidR="00706F89" w:rsidRPr="004A0539">
              <w:rPr>
                <w:rFonts w:asciiTheme="minorHAnsi" w:eastAsiaTheme="minorHAnsi" w:hAnsiTheme="minorHAnsi" w:cstheme="minorHAnsi"/>
                <w:lang w:eastAsia="en-US"/>
              </w:rPr>
              <w:t xml:space="preserve">HRA Approval or </w:t>
            </w:r>
            <w:r w:rsidR="00553DC5" w:rsidRPr="004A0539">
              <w:rPr>
                <w:rFonts w:asciiTheme="minorHAnsi" w:eastAsiaTheme="minorHAnsi" w:hAnsiTheme="minorHAnsi" w:cstheme="minorHAnsi"/>
                <w:lang w:eastAsia="en-US"/>
              </w:rPr>
              <w:t xml:space="preserve">due to </w:t>
            </w:r>
            <w:r w:rsidR="00706F89" w:rsidRPr="004A0539">
              <w:rPr>
                <w:rFonts w:asciiTheme="minorHAnsi" w:eastAsiaTheme="minorHAnsi" w:hAnsiTheme="minorHAnsi" w:cstheme="minorHAnsi"/>
                <w:lang w:eastAsia="en-US"/>
              </w:rPr>
              <w:t xml:space="preserve">the move of </w:t>
            </w:r>
            <w:r w:rsidR="000550DF">
              <w:rPr>
                <w:rFonts w:asciiTheme="minorHAnsi" w:eastAsiaTheme="minorHAnsi" w:hAnsiTheme="minorHAnsi" w:cstheme="minorHAnsi"/>
                <w:lang w:eastAsia="en-US"/>
              </w:rPr>
              <w:t>Research Ethics Com</w:t>
            </w:r>
            <w:r w:rsidR="003342CA">
              <w:rPr>
                <w:rFonts w:asciiTheme="minorHAnsi" w:eastAsiaTheme="minorHAnsi" w:hAnsiTheme="minorHAnsi" w:cstheme="minorHAnsi"/>
                <w:lang w:eastAsia="en-US"/>
              </w:rPr>
              <w:t>m</w:t>
            </w:r>
            <w:r w:rsidR="000550DF">
              <w:rPr>
                <w:rFonts w:asciiTheme="minorHAnsi" w:eastAsiaTheme="minorHAnsi" w:hAnsiTheme="minorHAnsi" w:cstheme="minorHAnsi"/>
                <w:lang w:eastAsia="en-US"/>
              </w:rPr>
              <w:t>ittees (</w:t>
            </w:r>
            <w:r w:rsidR="00553DC5" w:rsidRPr="004A0539">
              <w:rPr>
                <w:rFonts w:asciiTheme="minorHAnsi" w:eastAsiaTheme="minorHAnsi" w:hAnsiTheme="minorHAnsi" w:cstheme="minorHAnsi"/>
                <w:lang w:eastAsia="en-US"/>
              </w:rPr>
              <w:t>RECs</w:t>
            </w:r>
            <w:r w:rsidR="000550DF">
              <w:rPr>
                <w:rFonts w:asciiTheme="minorHAnsi" w:eastAsiaTheme="minorHAnsi" w:hAnsiTheme="minorHAnsi" w:cstheme="minorHAnsi"/>
                <w:lang w:eastAsia="en-US"/>
              </w:rPr>
              <w:t>)</w:t>
            </w:r>
            <w:r w:rsidR="00553DC5" w:rsidRPr="004A0539">
              <w:rPr>
                <w:rFonts w:asciiTheme="minorHAnsi" w:eastAsiaTheme="minorHAnsi" w:hAnsiTheme="minorHAnsi" w:cstheme="minorHAnsi"/>
                <w:lang w:eastAsia="en-US"/>
              </w:rPr>
              <w:t xml:space="preserve"> </w:t>
            </w:r>
            <w:r w:rsidR="00553DC5" w:rsidRPr="004A0539">
              <w:rPr>
                <w:rFonts w:asciiTheme="minorHAnsi" w:eastAsiaTheme="minorHAnsi" w:hAnsiTheme="minorHAnsi" w:cstheme="minorHAnsi"/>
                <w:lang w:eastAsia="en-US"/>
              </w:rPr>
              <w:lastRenderedPageBreak/>
              <w:t>between HRA Offices in order to spread the support more equitably.</w:t>
            </w:r>
            <w:r w:rsidR="00E75225">
              <w:rPr>
                <w:rFonts w:asciiTheme="minorHAnsi" w:eastAsiaTheme="minorHAnsi" w:hAnsiTheme="minorHAnsi" w:cstheme="minorHAnsi"/>
                <w:lang w:eastAsia="en-US"/>
              </w:rPr>
              <w:t xml:space="preserve">  These vacancies have taken longer than expected to fill.</w:t>
            </w:r>
          </w:p>
          <w:p w:rsidR="00EA580D" w:rsidRDefault="00EA580D"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There has been unprecedented recruitment within the Operations Directorate</w:t>
            </w:r>
            <w:r w:rsidR="005148A3">
              <w:rPr>
                <w:rFonts w:asciiTheme="minorHAnsi" w:eastAsiaTheme="minorHAnsi" w:hAnsiTheme="minorHAnsi" w:cstheme="minorHAnsi"/>
                <w:lang w:eastAsia="en-US"/>
              </w:rPr>
              <w:t xml:space="preserve"> during what can be seen as a unique year in the course of this established function.  2015/16 so far has seen </w:t>
            </w:r>
            <w:r>
              <w:rPr>
                <w:rFonts w:asciiTheme="minorHAnsi" w:eastAsiaTheme="minorHAnsi" w:hAnsiTheme="minorHAnsi" w:cstheme="minorHAnsi"/>
                <w:lang w:eastAsia="en-US"/>
              </w:rPr>
              <w:t>a 237% increase in volume</w:t>
            </w:r>
            <w:r w:rsidR="005148A3">
              <w:rPr>
                <w:rFonts w:asciiTheme="minorHAnsi" w:eastAsiaTheme="minorHAnsi" w:hAnsiTheme="minorHAnsi" w:cstheme="minorHAnsi"/>
                <w:lang w:eastAsia="en-US"/>
              </w:rPr>
              <w:t xml:space="preserve"> of vacancies to fill</w:t>
            </w:r>
            <w:r w:rsidR="001C63CB">
              <w:rPr>
                <w:rFonts w:asciiTheme="minorHAnsi" w:eastAsiaTheme="minorHAnsi" w:hAnsiTheme="minorHAnsi" w:cstheme="minorHAnsi"/>
                <w:lang w:eastAsia="en-US"/>
              </w:rPr>
              <w:t xml:space="preserve"> (64 VCFs so far in 2015/16 compared with 27 last year)</w:t>
            </w:r>
            <w:r>
              <w:rPr>
                <w:rFonts w:asciiTheme="minorHAnsi" w:eastAsiaTheme="minorHAnsi" w:hAnsiTheme="minorHAnsi" w:cstheme="minorHAnsi"/>
                <w:lang w:eastAsia="en-US"/>
              </w:rPr>
              <w:t xml:space="preserve">.  Whilst this was expected within the Research Systems Directorate, the extent of the knock on recruitment in Operations was not.  </w:t>
            </w:r>
            <w:r w:rsidR="005148A3">
              <w:rPr>
                <w:rFonts w:asciiTheme="minorHAnsi" w:eastAsiaTheme="minorHAnsi" w:hAnsiTheme="minorHAnsi" w:cstheme="minorHAnsi"/>
                <w:lang w:eastAsia="en-US"/>
              </w:rPr>
              <w:t xml:space="preserve"> </w:t>
            </w:r>
          </w:p>
          <w:p w:rsidR="005148A3" w:rsidRPr="004A0539" w:rsidRDefault="005148A3"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Planned over recruitment within the Operations Directorate has not materially affected the position.</w:t>
            </w:r>
          </w:p>
          <w:p w:rsidR="001C63CB" w:rsidRDefault="00172DD0" w:rsidP="00FE3A8F">
            <w:pPr>
              <w:pStyle w:val="ListParagraph"/>
              <w:numPr>
                <w:ilvl w:val="0"/>
                <w:numId w:val="24"/>
              </w:numPr>
              <w:spacing w:after="200" w:line="276" w:lineRule="auto"/>
              <w:rPr>
                <w:rFonts w:asciiTheme="minorHAnsi" w:eastAsiaTheme="minorHAnsi" w:hAnsiTheme="minorHAnsi" w:cstheme="minorHAnsi"/>
                <w:lang w:eastAsia="en-US"/>
              </w:rPr>
            </w:pPr>
            <w:r w:rsidRPr="001C63CB">
              <w:rPr>
                <w:rFonts w:asciiTheme="minorHAnsi" w:eastAsiaTheme="minorHAnsi" w:hAnsiTheme="minorHAnsi" w:cstheme="minorHAnsi"/>
                <w:lang w:eastAsia="en-US"/>
              </w:rPr>
              <w:t xml:space="preserve">The </w:t>
            </w:r>
            <w:r w:rsidR="005148A3">
              <w:rPr>
                <w:rFonts w:asciiTheme="minorHAnsi" w:eastAsiaTheme="minorHAnsi" w:hAnsiTheme="minorHAnsi" w:cstheme="minorHAnsi"/>
                <w:lang w:eastAsia="en-US"/>
              </w:rPr>
              <w:t xml:space="preserve">change in </w:t>
            </w:r>
            <w:r w:rsidRPr="001C63CB">
              <w:rPr>
                <w:rFonts w:asciiTheme="minorHAnsi" w:eastAsiaTheme="minorHAnsi" w:hAnsiTheme="minorHAnsi" w:cstheme="minorHAnsi"/>
                <w:lang w:eastAsia="en-US"/>
              </w:rPr>
              <w:t xml:space="preserve">under spend </w:t>
            </w:r>
            <w:r w:rsidR="005148A3">
              <w:rPr>
                <w:rFonts w:asciiTheme="minorHAnsi" w:eastAsiaTheme="minorHAnsi" w:hAnsiTheme="minorHAnsi" w:cstheme="minorHAnsi"/>
                <w:lang w:eastAsia="en-US"/>
              </w:rPr>
              <w:t>position has led to some management actions.   Internal audit have been asked to undertake an audit with particular focus on forecasting from a budget manager perspective alongside ensuring that budgets are set accurately</w:t>
            </w:r>
            <w:proofErr w:type="gramStart"/>
            <w:r w:rsidR="005148A3">
              <w:rPr>
                <w:rFonts w:asciiTheme="minorHAnsi" w:eastAsiaTheme="minorHAnsi" w:hAnsiTheme="minorHAnsi" w:cstheme="minorHAnsi"/>
                <w:lang w:eastAsia="en-US"/>
              </w:rPr>
              <w:t>,  managers</w:t>
            </w:r>
            <w:proofErr w:type="gramEnd"/>
            <w:r w:rsidR="005148A3">
              <w:rPr>
                <w:rFonts w:asciiTheme="minorHAnsi" w:eastAsiaTheme="minorHAnsi" w:hAnsiTheme="minorHAnsi" w:cstheme="minorHAnsi"/>
                <w:lang w:eastAsia="en-US"/>
              </w:rPr>
              <w:t xml:space="preserve"> understand and agree them and that there is evidence of </w:t>
            </w:r>
            <w:r w:rsidR="00065B3F">
              <w:rPr>
                <w:rFonts w:asciiTheme="minorHAnsi" w:eastAsiaTheme="minorHAnsi" w:hAnsiTheme="minorHAnsi" w:cstheme="minorHAnsi"/>
                <w:lang w:eastAsia="en-US"/>
              </w:rPr>
              <w:t xml:space="preserve">continuous management and oversight of them.   Additionally, </w:t>
            </w:r>
            <w:proofErr w:type="gramStart"/>
            <w:r w:rsidR="00065B3F">
              <w:rPr>
                <w:rFonts w:asciiTheme="minorHAnsi" w:eastAsiaTheme="minorHAnsi" w:hAnsiTheme="minorHAnsi" w:cstheme="minorHAnsi"/>
                <w:lang w:eastAsia="en-US"/>
              </w:rPr>
              <w:t>time  has</w:t>
            </w:r>
            <w:proofErr w:type="gramEnd"/>
            <w:r w:rsidR="00065B3F">
              <w:rPr>
                <w:rFonts w:asciiTheme="minorHAnsi" w:eastAsiaTheme="minorHAnsi" w:hAnsiTheme="minorHAnsi" w:cstheme="minorHAnsi"/>
                <w:lang w:eastAsia="en-US"/>
              </w:rPr>
              <w:t xml:space="preserve"> been invested in reviewing all the forecasts and re-</w:t>
            </w:r>
            <w:proofErr w:type="spellStart"/>
            <w:r w:rsidR="00065B3F">
              <w:rPr>
                <w:rFonts w:asciiTheme="minorHAnsi" w:eastAsiaTheme="minorHAnsi" w:hAnsiTheme="minorHAnsi" w:cstheme="minorHAnsi"/>
                <w:lang w:eastAsia="en-US"/>
              </w:rPr>
              <w:t>prioritising</w:t>
            </w:r>
            <w:proofErr w:type="spellEnd"/>
            <w:r w:rsidR="00065B3F">
              <w:rPr>
                <w:rFonts w:asciiTheme="minorHAnsi" w:eastAsiaTheme="minorHAnsi" w:hAnsiTheme="minorHAnsi" w:cstheme="minorHAnsi"/>
                <w:lang w:eastAsia="en-US"/>
              </w:rPr>
              <w:t xml:space="preserve"> to ensure that projects are delivered and </w:t>
            </w:r>
            <w:r w:rsidR="001C63CB" w:rsidRPr="001C63CB">
              <w:rPr>
                <w:rFonts w:asciiTheme="minorHAnsi" w:eastAsiaTheme="minorHAnsi" w:hAnsiTheme="minorHAnsi" w:cstheme="minorHAnsi"/>
                <w:lang w:eastAsia="en-US"/>
              </w:rPr>
              <w:t xml:space="preserve">vigorously </w:t>
            </w:r>
            <w:r w:rsidRPr="001C63CB">
              <w:rPr>
                <w:rFonts w:asciiTheme="minorHAnsi" w:eastAsiaTheme="minorHAnsi" w:hAnsiTheme="minorHAnsi" w:cstheme="minorHAnsi"/>
                <w:lang w:eastAsia="en-US"/>
              </w:rPr>
              <w:t xml:space="preserve">tracked </w:t>
            </w:r>
            <w:r w:rsidR="00065B3F">
              <w:rPr>
                <w:rFonts w:asciiTheme="minorHAnsi" w:eastAsiaTheme="minorHAnsi" w:hAnsiTheme="minorHAnsi" w:cstheme="minorHAnsi"/>
                <w:lang w:eastAsia="en-US"/>
              </w:rPr>
              <w:t xml:space="preserve">as we finish the year. </w:t>
            </w:r>
            <w:r w:rsidRPr="001C63CB">
              <w:rPr>
                <w:rFonts w:asciiTheme="minorHAnsi" w:eastAsiaTheme="minorHAnsi" w:hAnsiTheme="minorHAnsi" w:cstheme="minorHAnsi"/>
                <w:lang w:eastAsia="en-US"/>
              </w:rPr>
              <w:t xml:space="preserve">  </w:t>
            </w:r>
          </w:p>
          <w:p w:rsidR="00B02375" w:rsidRPr="001C63CB" w:rsidRDefault="001C63CB"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Latest f</w:t>
            </w:r>
            <w:r w:rsidR="00B02375" w:rsidRPr="001C63CB">
              <w:rPr>
                <w:rFonts w:asciiTheme="minorHAnsi" w:eastAsiaTheme="minorHAnsi" w:hAnsiTheme="minorHAnsi" w:cstheme="minorHAnsi"/>
                <w:lang w:eastAsia="en-US"/>
              </w:rPr>
              <w:t>orecasting work</w:t>
            </w:r>
            <w:r w:rsidR="00A04714" w:rsidRPr="001C63CB">
              <w:rPr>
                <w:rFonts w:asciiTheme="minorHAnsi" w:eastAsiaTheme="minorHAnsi" w:hAnsiTheme="minorHAnsi" w:cstheme="minorHAnsi"/>
                <w:lang w:eastAsia="en-US"/>
              </w:rPr>
              <w:t xml:space="preserve"> points to a </w:t>
            </w:r>
            <w:r>
              <w:rPr>
                <w:rFonts w:asciiTheme="minorHAnsi" w:eastAsiaTheme="minorHAnsi" w:hAnsiTheme="minorHAnsi" w:cstheme="minorHAnsi"/>
                <w:lang w:eastAsia="en-US"/>
              </w:rPr>
              <w:t xml:space="preserve">significant </w:t>
            </w:r>
            <w:r w:rsidR="00A04714" w:rsidRPr="001C63CB">
              <w:rPr>
                <w:rFonts w:asciiTheme="minorHAnsi" w:eastAsiaTheme="minorHAnsi" w:hAnsiTheme="minorHAnsi" w:cstheme="minorHAnsi"/>
                <w:lang w:eastAsia="en-US"/>
              </w:rPr>
              <w:t>shift in the</w:t>
            </w:r>
            <w:r w:rsidR="00D429DF" w:rsidRPr="001C63CB">
              <w:rPr>
                <w:rFonts w:asciiTheme="minorHAnsi" w:eastAsiaTheme="minorHAnsi" w:hAnsiTheme="minorHAnsi" w:cstheme="minorHAnsi"/>
                <w:lang w:eastAsia="en-US"/>
              </w:rPr>
              <w:t xml:space="preserve"> underspend position</w:t>
            </w:r>
            <w:r w:rsidR="00A04714" w:rsidRPr="001C63CB">
              <w:rPr>
                <w:rFonts w:asciiTheme="minorHAnsi" w:eastAsiaTheme="minorHAnsi" w:hAnsiTheme="minorHAnsi" w:cstheme="minorHAnsi"/>
                <w:lang w:eastAsia="en-US"/>
              </w:rPr>
              <w:t xml:space="preserve"> to</w:t>
            </w:r>
            <w:r w:rsidR="00885A96" w:rsidRPr="001C63CB">
              <w:rPr>
                <w:rFonts w:asciiTheme="minorHAnsi" w:eastAsiaTheme="minorHAnsi" w:hAnsiTheme="minorHAnsi" w:cstheme="minorHAnsi"/>
                <w:lang w:eastAsia="en-US"/>
              </w:rPr>
              <w:t xml:space="preserve"> a range of £1.</w:t>
            </w:r>
            <w:r>
              <w:rPr>
                <w:rFonts w:asciiTheme="minorHAnsi" w:eastAsiaTheme="minorHAnsi" w:hAnsiTheme="minorHAnsi" w:cstheme="minorHAnsi"/>
                <w:lang w:eastAsia="en-US"/>
              </w:rPr>
              <w:t>3</w:t>
            </w:r>
            <w:r w:rsidR="00020E2E" w:rsidRPr="001C63CB">
              <w:rPr>
                <w:rFonts w:asciiTheme="minorHAnsi" w:eastAsiaTheme="minorHAnsi" w:hAnsiTheme="minorHAnsi" w:cstheme="minorHAnsi"/>
                <w:lang w:eastAsia="en-US"/>
              </w:rPr>
              <w:t xml:space="preserve">m </w:t>
            </w:r>
            <w:r>
              <w:rPr>
                <w:rFonts w:asciiTheme="minorHAnsi" w:eastAsiaTheme="minorHAnsi" w:hAnsiTheme="minorHAnsi" w:cstheme="minorHAnsi"/>
                <w:lang w:eastAsia="en-US"/>
              </w:rPr>
              <w:t xml:space="preserve">probable </w:t>
            </w:r>
            <w:r w:rsidR="00020E2E" w:rsidRPr="001C63CB">
              <w:rPr>
                <w:rFonts w:asciiTheme="minorHAnsi" w:eastAsiaTheme="minorHAnsi" w:hAnsiTheme="minorHAnsi" w:cstheme="minorHAnsi"/>
                <w:lang w:eastAsia="en-US"/>
              </w:rPr>
              <w:t xml:space="preserve">to </w:t>
            </w:r>
            <w:r>
              <w:rPr>
                <w:rFonts w:asciiTheme="minorHAnsi" w:eastAsiaTheme="minorHAnsi" w:hAnsiTheme="minorHAnsi" w:cstheme="minorHAnsi"/>
                <w:lang w:eastAsia="en-US"/>
              </w:rPr>
              <w:t xml:space="preserve">possible </w:t>
            </w:r>
            <w:r w:rsidR="00020E2E" w:rsidRPr="001C63CB">
              <w:rPr>
                <w:rFonts w:asciiTheme="minorHAnsi" w:eastAsiaTheme="minorHAnsi" w:hAnsiTheme="minorHAnsi" w:cstheme="minorHAnsi"/>
                <w:lang w:eastAsia="en-US"/>
              </w:rPr>
              <w:t>£1.</w:t>
            </w:r>
            <w:r>
              <w:rPr>
                <w:rFonts w:asciiTheme="minorHAnsi" w:eastAsiaTheme="minorHAnsi" w:hAnsiTheme="minorHAnsi" w:cstheme="minorHAnsi"/>
                <w:lang w:eastAsia="en-US"/>
              </w:rPr>
              <w:t>0</w:t>
            </w:r>
            <w:r w:rsidR="00020E2E" w:rsidRPr="001C63CB">
              <w:rPr>
                <w:rFonts w:asciiTheme="minorHAnsi" w:eastAsiaTheme="minorHAnsi" w:hAnsiTheme="minorHAnsi" w:cstheme="minorHAnsi"/>
                <w:lang w:eastAsia="en-US"/>
              </w:rPr>
              <w:t>m</w:t>
            </w:r>
            <w:r w:rsidR="006A2789" w:rsidRPr="001C63CB">
              <w:rPr>
                <w:rFonts w:asciiTheme="minorHAnsi" w:eastAsiaTheme="minorHAnsi" w:hAnsiTheme="minorHAnsi" w:cstheme="minorHAnsi"/>
                <w:lang w:eastAsia="en-US"/>
              </w:rPr>
              <w:t>.</w:t>
            </w:r>
          </w:p>
          <w:p w:rsidR="00652DA7" w:rsidRDefault="00652DA7"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Early forecasting work </w:t>
            </w:r>
            <w:r w:rsidR="001C63CB">
              <w:rPr>
                <w:rFonts w:asciiTheme="minorHAnsi" w:eastAsiaTheme="minorHAnsi" w:hAnsiTheme="minorHAnsi" w:cstheme="minorHAnsi"/>
                <w:lang w:eastAsia="en-US"/>
              </w:rPr>
              <w:t xml:space="preserve">also </w:t>
            </w:r>
            <w:r>
              <w:rPr>
                <w:rFonts w:asciiTheme="minorHAnsi" w:eastAsiaTheme="minorHAnsi" w:hAnsiTheme="minorHAnsi" w:cstheme="minorHAnsi"/>
                <w:lang w:eastAsia="en-US"/>
              </w:rPr>
              <w:t>indicates an under</w:t>
            </w:r>
            <w:r w:rsidR="001C63CB">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spend on capital of circa £175k.</w:t>
            </w:r>
          </w:p>
          <w:p w:rsidR="00652DA7" w:rsidRDefault="00652DA7" w:rsidP="001C63CB">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forecast year end cash position </w:t>
            </w:r>
            <w:r w:rsidR="001C63CB">
              <w:rPr>
                <w:rFonts w:asciiTheme="minorHAnsi" w:eastAsiaTheme="minorHAnsi" w:hAnsiTheme="minorHAnsi" w:cstheme="minorHAnsi"/>
                <w:lang w:eastAsia="en-US"/>
              </w:rPr>
              <w:t>has subsequently increased in light of the change in the forecast financial position, assuming that there is a 100% drawdown of cash.  This will be the subject of discussions with the Sponsor and ALB Finance colleagues.</w:t>
            </w:r>
          </w:p>
          <w:p w:rsidR="002C0638" w:rsidRPr="00D62F91" w:rsidRDefault="002C0638" w:rsidP="007326AA">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An indicative budget for 2016/17 and the Spending Re</w:t>
            </w:r>
            <w:r w:rsidR="007326AA">
              <w:rPr>
                <w:rFonts w:asciiTheme="minorHAnsi" w:eastAsiaTheme="minorHAnsi" w:hAnsiTheme="minorHAnsi" w:cstheme="minorHAnsi"/>
                <w:lang w:eastAsia="en-US"/>
              </w:rPr>
              <w:t xml:space="preserve">view period </w:t>
            </w:r>
            <w:proofErr w:type="gramStart"/>
            <w:r w:rsidR="007326AA">
              <w:rPr>
                <w:rFonts w:asciiTheme="minorHAnsi" w:eastAsiaTheme="minorHAnsi" w:hAnsiTheme="minorHAnsi" w:cstheme="minorHAnsi"/>
                <w:lang w:eastAsia="en-US"/>
              </w:rPr>
              <w:t>has</w:t>
            </w:r>
            <w:proofErr w:type="gramEnd"/>
            <w:r w:rsidR="007326AA">
              <w:rPr>
                <w:rFonts w:asciiTheme="minorHAnsi" w:eastAsiaTheme="minorHAnsi" w:hAnsiTheme="minorHAnsi" w:cstheme="minorHAnsi"/>
                <w:lang w:eastAsia="en-US"/>
              </w:rPr>
              <w:t xml:space="preserve"> been received.   The indicative budget </w:t>
            </w:r>
            <w:r w:rsidR="00065B3F">
              <w:rPr>
                <w:rFonts w:asciiTheme="minorHAnsi" w:eastAsiaTheme="minorHAnsi" w:hAnsiTheme="minorHAnsi" w:cstheme="minorHAnsi"/>
                <w:lang w:eastAsia="en-US"/>
              </w:rPr>
              <w:t xml:space="preserve">stands at £12.6million grant in aid (£13.4m 2015/16) and </w:t>
            </w:r>
            <w:r w:rsidR="007326AA">
              <w:rPr>
                <w:rFonts w:asciiTheme="minorHAnsi" w:eastAsiaTheme="minorHAnsi" w:hAnsiTheme="minorHAnsi" w:cstheme="minorHAnsi"/>
                <w:lang w:eastAsia="en-US"/>
              </w:rPr>
              <w:t xml:space="preserve">represents a 6% reduction in grant in aid in year one with further savings over the course of the Spending Review period.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lastRenderedPageBreak/>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9413A8">
              <w:rPr>
                <w:rFonts w:asciiTheme="minorHAnsi" w:eastAsiaTheme="minorHAnsi" w:hAnsiTheme="minorHAnsi" w:cstheme="minorHAnsi"/>
                <w:lang w:eastAsia="en-US"/>
              </w:rPr>
              <w:t>, Procurement and Estates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1C63CB" w:rsidP="001C63CB">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26</w:t>
            </w:r>
            <w:r w:rsidR="007C55A4">
              <w:rPr>
                <w:rFonts w:asciiTheme="minorHAnsi" w:eastAsiaTheme="minorHAnsi" w:hAnsiTheme="minorHAnsi" w:cstheme="minorHAnsi"/>
                <w:lang w:eastAsia="en-US"/>
              </w:rPr>
              <w:t xml:space="preserve"> January 2016</w:t>
            </w:r>
          </w:p>
        </w:tc>
      </w:tr>
    </w:tbl>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065B3F" w:rsidRDefault="00065B3F"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454254">
        <w:rPr>
          <w:rFonts w:ascii="Arial" w:hAnsi="Arial" w:cs="Arial"/>
          <w:b/>
          <w:sz w:val="22"/>
          <w:szCs w:val="22"/>
          <w:lang w:val="en-US"/>
        </w:rPr>
        <w:t>5</w:t>
      </w:r>
      <w:r w:rsidR="00AD76CF" w:rsidRPr="00AD76CF">
        <w:rPr>
          <w:rFonts w:ascii="Arial" w:hAnsi="Arial" w:cs="Arial"/>
          <w:b/>
          <w:sz w:val="22"/>
          <w:szCs w:val="22"/>
          <w:lang w:val="en-US"/>
        </w:rPr>
        <w:t>/1</w:t>
      </w:r>
      <w:r w:rsidR="00454254">
        <w:rPr>
          <w:rFonts w:ascii="Arial" w:hAnsi="Arial" w:cs="Arial"/>
          <w:b/>
          <w:sz w:val="22"/>
          <w:szCs w:val="22"/>
          <w:lang w:val="en-US"/>
        </w:rPr>
        <w:t>6</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7C55A4">
        <w:rPr>
          <w:rFonts w:ascii="Arial" w:hAnsi="Arial" w:cs="Arial"/>
          <w:b/>
          <w:sz w:val="22"/>
          <w:szCs w:val="22"/>
          <w:lang w:val="en-US"/>
        </w:rPr>
        <w:t>31 December</w:t>
      </w:r>
      <w:r w:rsidR="00A64613">
        <w:rPr>
          <w:rFonts w:ascii="Arial" w:hAnsi="Arial" w:cs="Arial"/>
          <w:b/>
          <w:sz w:val="22"/>
          <w:szCs w:val="22"/>
          <w:lang w:val="en-US"/>
        </w:rPr>
        <w:t xml:space="preserve"> 2015</w:t>
      </w: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7C55A4">
        <w:rPr>
          <w:rFonts w:ascii="Arial" w:hAnsi="Arial" w:cs="Arial"/>
          <w:sz w:val="22"/>
          <w:szCs w:val="22"/>
        </w:rPr>
        <w:t>31 December</w:t>
      </w:r>
      <w:r w:rsidR="00232B6B">
        <w:rPr>
          <w:rFonts w:ascii="Arial" w:hAnsi="Arial" w:cs="Arial"/>
          <w:sz w:val="22"/>
          <w:szCs w:val="22"/>
        </w:rPr>
        <w:t xml:space="preserve"> </w:t>
      </w:r>
      <w:r w:rsidR="00A64613">
        <w:rPr>
          <w:rFonts w:ascii="Arial" w:hAnsi="Arial" w:cs="Arial"/>
          <w:sz w:val="22"/>
          <w:szCs w:val="22"/>
        </w:rPr>
        <w:t>2015</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w:t>
      </w:r>
      <w:r w:rsidR="00171C23">
        <w:rPr>
          <w:rFonts w:ascii="Arial" w:hAnsi="Arial" w:cs="Arial"/>
          <w:sz w:val="22"/>
          <w:szCs w:val="22"/>
        </w:rPr>
        <w:t>5</w:t>
      </w:r>
      <w:r w:rsidR="008506B4">
        <w:rPr>
          <w:rFonts w:ascii="Arial" w:hAnsi="Arial" w:cs="Arial"/>
          <w:sz w:val="22"/>
          <w:szCs w:val="22"/>
        </w:rPr>
        <w:t>/1</w:t>
      </w:r>
      <w:r w:rsidR="00171C23">
        <w:rPr>
          <w:rFonts w:ascii="Arial" w:hAnsi="Arial" w:cs="Arial"/>
          <w:sz w:val="22"/>
          <w:szCs w:val="22"/>
        </w:rPr>
        <w:t>6</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B2011F" w:rsidP="00AD76CF">
      <w:pPr>
        <w:jc w:val="both"/>
        <w:rPr>
          <w:rFonts w:ascii="Arial" w:hAnsi="Arial" w:cs="Arial"/>
          <w:sz w:val="22"/>
          <w:szCs w:val="22"/>
        </w:rPr>
      </w:pPr>
      <w:r w:rsidRPr="004B5C87">
        <w:rPr>
          <w:rFonts w:ascii="Arial" w:hAnsi="Arial" w:cs="Arial"/>
          <w:sz w:val="22"/>
          <w:szCs w:val="22"/>
        </w:rPr>
        <w:t xml:space="preserve">The HRA </w:t>
      </w:r>
      <w:r w:rsidR="00F52687">
        <w:rPr>
          <w:rFonts w:ascii="Arial" w:hAnsi="Arial" w:cs="Arial"/>
          <w:sz w:val="22"/>
          <w:szCs w:val="22"/>
        </w:rPr>
        <w:t xml:space="preserve">initial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for 201</w:t>
      </w:r>
      <w:r w:rsidR="00171C23">
        <w:rPr>
          <w:rFonts w:ascii="Arial" w:hAnsi="Arial" w:cs="Arial"/>
          <w:sz w:val="22"/>
          <w:szCs w:val="22"/>
        </w:rPr>
        <w:t>5</w:t>
      </w:r>
      <w:r w:rsidR="00641123" w:rsidRPr="004B5C87">
        <w:rPr>
          <w:rFonts w:ascii="Arial" w:hAnsi="Arial" w:cs="Arial"/>
          <w:sz w:val="22"/>
          <w:szCs w:val="22"/>
        </w:rPr>
        <w:t>/1</w:t>
      </w:r>
      <w:r w:rsidR="00171C23">
        <w:rPr>
          <w:rFonts w:ascii="Arial" w:hAnsi="Arial" w:cs="Arial"/>
          <w:sz w:val="22"/>
          <w:szCs w:val="22"/>
        </w:rPr>
        <w:t>6</w:t>
      </w:r>
      <w:r w:rsidR="00641123" w:rsidRPr="004B5C87">
        <w:rPr>
          <w:rFonts w:ascii="Arial" w:hAnsi="Arial" w:cs="Arial"/>
          <w:sz w:val="22"/>
          <w:szCs w:val="22"/>
        </w:rPr>
        <w:t xml:space="preserve"> </w:t>
      </w:r>
      <w:r w:rsidR="00171C23">
        <w:rPr>
          <w:rFonts w:ascii="Arial" w:hAnsi="Arial" w:cs="Arial"/>
          <w:sz w:val="22"/>
          <w:szCs w:val="22"/>
        </w:rPr>
        <w:t xml:space="preserve">has been </w:t>
      </w:r>
      <w:r w:rsidR="00F52687">
        <w:rPr>
          <w:rFonts w:ascii="Arial" w:hAnsi="Arial" w:cs="Arial"/>
          <w:sz w:val="22"/>
          <w:szCs w:val="22"/>
        </w:rPr>
        <w:t xml:space="preserve">confirmed as expected at £13,346k.  </w:t>
      </w:r>
      <w:r w:rsidR="00E01D6B">
        <w:rPr>
          <w:rFonts w:ascii="Arial" w:hAnsi="Arial" w:cs="Arial"/>
          <w:sz w:val="22"/>
          <w:szCs w:val="22"/>
        </w:rPr>
        <w:t xml:space="preserve">Confirmation on </w:t>
      </w:r>
      <w:r w:rsidR="001540D4">
        <w:rPr>
          <w:rFonts w:ascii="Arial" w:hAnsi="Arial" w:cs="Arial"/>
          <w:sz w:val="22"/>
          <w:szCs w:val="22"/>
        </w:rPr>
        <w:t xml:space="preserve">additional </w:t>
      </w:r>
      <w:r w:rsidR="00F52687">
        <w:rPr>
          <w:rFonts w:ascii="Arial" w:hAnsi="Arial" w:cs="Arial"/>
          <w:sz w:val="22"/>
          <w:szCs w:val="22"/>
        </w:rPr>
        <w:t xml:space="preserve">funding for CAG2 </w:t>
      </w:r>
      <w:r w:rsidR="00044D07">
        <w:rPr>
          <w:rFonts w:ascii="Arial" w:hAnsi="Arial" w:cs="Arial"/>
          <w:sz w:val="22"/>
          <w:szCs w:val="22"/>
        </w:rPr>
        <w:t xml:space="preserve">(second committee for review of applications) </w:t>
      </w:r>
      <w:r w:rsidR="001540D4">
        <w:rPr>
          <w:rFonts w:ascii="Arial" w:hAnsi="Arial" w:cs="Arial"/>
          <w:sz w:val="22"/>
          <w:szCs w:val="22"/>
        </w:rPr>
        <w:t xml:space="preserve">of £65k </w:t>
      </w:r>
      <w:r w:rsidR="006C31A4">
        <w:rPr>
          <w:rFonts w:ascii="Arial" w:hAnsi="Arial" w:cs="Arial"/>
          <w:sz w:val="22"/>
          <w:szCs w:val="22"/>
        </w:rPr>
        <w:t>has</w:t>
      </w:r>
      <w:r w:rsidR="00E01D6B">
        <w:rPr>
          <w:rFonts w:ascii="Arial" w:hAnsi="Arial" w:cs="Arial"/>
          <w:sz w:val="22"/>
          <w:szCs w:val="22"/>
        </w:rPr>
        <w:t xml:space="preserve"> now </w:t>
      </w:r>
      <w:r w:rsidR="006C31A4">
        <w:rPr>
          <w:rFonts w:ascii="Arial" w:hAnsi="Arial" w:cs="Arial"/>
          <w:sz w:val="22"/>
          <w:szCs w:val="22"/>
        </w:rPr>
        <w:t xml:space="preserve">been </w:t>
      </w:r>
      <w:r w:rsidR="001540D4">
        <w:rPr>
          <w:rFonts w:ascii="Arial" w:hAnsi="Arial" w:cs="Arial"/>
          <w:sz w:val="22"/>
          <w:szCs w:val="22"/>
        </w:rPr>
        <w:t xml:space="preserve">confirmed </w:t>
      </w:r>
      <w:r w:rsidR="000550DF">
        <w:rPr>
          <w:rFonts w:ascii="Arial" w:hAnsi="Arial" w:cs="Arial"/>
          <w:sz w:val="22"/>
          <w:szCs w:val="22"/>
        </w:rPr>
        <w:t>and a</w:t>
      </w:r>
      <w:r w:rsidR="001540D4">
        <w:rPr>
          <w:rFonts w:ascii="Arial" w:hAnsi="Arial" w:cs="Arial"/>
          <w:sz w:val="22"/>
          <w:szCs w:val="22"/>
        </w:rPr>
        <w:t>n</w:t>
      </w:r>
      <w:r w:rsidR="00E01D6B">
        <w:rPr>
          <w:rFonts w:ascii="Arial" w:hAnsi="Arial" w:cs="Arial"/>
          <w:sz w:val="22"/>
          <w:szCs w:val="22"/>
        </w:rPr>
        <w:t xml:space="preserve"> adjustment to grant in aid </w:t>
      </w:r>
      <w:r w:rsidR="00056576">
        <w:rPr>
          <w:rFonts w:ascii="Arial" w:hAnsi="Arial" w:cs="Arial"/>
          <w:sz w:val="22"/>
          <w:szCs w:val="22"/>
        </w:rPr>
        <w:t>has been made.  The HRA revenue resource limit now stands at £13,410</w:t>
      </w:r>
      <w:r w:rsidR="00E75225">
        <w:rPr>
          <w:rFonts w:ascii="Arial" w:hAnsi="Arial" w:cs="Arial"/>
          <w:sz w:val="22"/>
          <w:szCs w:val="22"/>
        </w:rPr>
        <w:t>.</w:t>
      </w:r>
      <w:r w:rsidR="003179D5" w:rsidRPr="004B5C87">
        <w:rPr>
          <w:rFonts w:ascii="Arial" w:hAnsi="Arial" w:cs="Arial"/>
          <w:sz w:val="22"/>
          <w:szCs w:val="22"/>
        </w:rPr>
        <w:t xml:space="preserve">The whole of this sum </w:t>
      </w:r>
      <w:r w:rsidR="002C390E">
        <w:rPr>
          <w:rFonts w:ascii="Arial" w:hAnsi="Arial" w:cs="Arial"/>
          <w:sz w:val="22"/>
          <w:szCs w:val="22"/>
        </w:rPr>
        <w:t xml:space="preserve">is </w:t>
      </w:r>
      <w:r w:rsidR="003179D5" w:rsidRPr="004B5C87">
        <w:rPr>
          <w:rFonts w:ascii="Arial" w:hAnsi="Arial" w:cs="Arial"/>
          <w:sz w:val="22"/>
          <w:szCs w:val="22"/>
        </w:rPr>
        <w:t xml:space="preserve">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w:t>
      </w:r>
      <w:r w:rsidR="00171C23">
        <w:rPr>
          <w:rFonts w:ascii="Arial" w:hAnsi="Arial" w:cs="Arial"/>
          <w:sz w:val="22"/>
          <w:szCs w:val="22"/>
        </w:rPr>
        <w:t xml:space="preserve">It </w:t>
      </w:r>
      <w:r w:rsidR="003179D5" w:rsidRPr="004B5C87">
        <w:rPr>
          <w:rFonts w:ascii="Arial" w:hAnsi="Arial" w:cs="Arial"/>
          <w:sz w:val="22"/>
          <w:szCs w:val="22"/>
        </w:rPr>
        <w:t xml:space="preserve">excludes income from other government departments or income from the </w:t>
      </w:r>
      <w:r w:rsidR="00BB2B8A">
        <w:rPr>
          <w:rFonts w:ascii="Arial" w:hAnsi="Arial" w:cs="Arial"/>
          <w:sz w:val="22"/>
          <w:szCs w:val="22"/>
        </w:rPr>
        <w:t>D</w:t>
      </w:r>
      <w:r w:rsidR="003179D5" w:rsidRPr="004B5C87">
        <w:rPr>
          <w:rFonts w:ascii="Arial" w:hAnsi="Arial" w:cs="Arial"/>
          <w:sz w:val="22"/>
          <w:szCs w:val="22"/>
        </w:rPr>
        <w:t xml:space="preserve">evolved </w:t>
      </w:r>
      <w:r w:rsidR="00BB2B8A">
        <w:rPr>
          <w:rFonts w:ascii="Arial" w:hAnsi="Arial" w:cs="Arial"/>
          <w:sz w:val="22"/>
          <w:szCs w:val="22"/>
        </w:rPr>
        <w:t>A</w:t>
      </w:r>
      <w:r w:rsidR="003179D5" w:rsidRPr="004B5C87">
        <w:rPr>
          <w:rFonts w:ascii="Arial" w:hAnsi="Arial" w:cs="Arial"/>
          <w:sz w:val="22"/>
          <w:szCs w:val="22"/>
        </w:rPr>
        <w:t>dministrations, the planning assumptions for which amount to a sum of £</w:t>
      </w:r>
      <w:r w:rsidR="00171C23">
        <w:rPr>
          <w:rFonts w:ascii="Arial" w:hAnsi="Arial" w:cs="Arial"/>
          <w:sz w:val="22"/>
          <w:szCs w:val="22"/>
        </w:rPr>
        <w:t>196</w:t>
      </w:r>
      <w:r w:rsidR="003179D5" w:rsidRPr="004B5C87">
        <w:rPr>
          <w:rFonts w:ascii="Arial" w:hAnsi="Arial" w:cs="Arial"/>
          <w:sz w:val="22"/>
          <w:szCs w:val="22"/>
        </w:rPr>
        <w:t>k</w:t>
      </w:r>
      <w:r w:rsidR="00162CB2">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7C55A4">
        <w:rPr>
          <w:rFonts w:ascii="Arial" w:hAnsi="Arial" w:cs="Arial"/>
          <w:b/>
          <w:sz w:val="22"/>
          <w:szCs w:val="22"/>
        </w:rPr>
        <w:t>31 December</w:t>
      </w:r>
      <w:r w:rsidR="00D429DF">
        <w:rPr>
          <w:rFonts w:ascii="Arial" w:hAnsi="Arial" w:cs="Arial"/>
          <w:b/>
          <w:sz w:val="22"/>
          <w:szCs w:val="22"/>
        </w:rPr>
        <w:t xml:space="preserve"> </w:t>
      </w:r>
      <w:r w:rsidR="00A64613">
        <w:rPr>
          <w:rFonts w:ascii="Arial" w:hAnsi="Arial" w:cs="Arial"/>
          <w:b/>
          <w:sz w:val="22"/>
          <w:szCs w:val="22"/>
        </w:rPr>
        <w:t>2015</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A149D1" w:rsidRDefault="00B06AFA" w:rsidP="006E46EB">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3A3805">
        <w:rPr>
          <w:rFonts w:ascii="Arial" w:hAnsi="Arial" w:cs="Arial"/>
          <w:sz w:val="22"/>
          <w:szCs w:val="22"/>
        </w:rPr>
        <w:t>9.14</w:t>
      </w:r>
      <w:r w:rsidR="006935C1">
        <w:rPr>
          <w:rFonts w:ascii="Arial" w:hAnsi="Arial" w:cs="Arial"/>
          <w:sz w:val="22"/>
          <w:szCs w:val="22"/>
        </w:rPr>
        <w:t xml:space="preserve"> </w:t>
      </w:r>
      <w:r w:rsidR="00E82F54" w:rsidRPr="009B4C8D">
        <w:rPr>
          <w:rFonts w:ascii="Arial" w:hAnsi="Arial" w:cs="Arial"/>
          <w:sz w:val="22"/>
          <w:szCs w:val="22"/>
        </w:rPr>
        <w:t xml:space="preserve">million </w:t>
      </w:r>
      <w:r w:rsidRPr="009B4C8D">
        <w:rPr>
          <w:rFonts w:ascii="Arial" w:hAnsi="Arial" w:cs="Arial"/>
          <w:sz w:val="22"/>
          <w:szCs w:val="22"/>
        </w:rPr>
        <w:t>(£</w:t>
      </w:r>
      <w:r w:rsidR="003A3805">
        <w:rPr>
          <w:rFonts w:ascii="Arial" w:hAnsi="Arial" w:cs="Arial"/>
          <w:sz w:val="22"/>
          <w:szCs w:val="22"/>
        </w:rPr>
        <w:t>7.89</w:t>
      </w:r>
      <w:r w:rsidR="00A65E0D">
        <w:rPr>
          <w:rFonts w:ascii="Arial" w:hAnsi="Arial" w:cs="Arial"/>
          <w:sz w:val="22"/>
          <w:szCs w:val="22"/>
        </w:rPr>
        <w:t xml:space="preserve">m </w:t>
      </w:r>
      <w:r w:rsidR="003A3805">
        <w:rPr>
          <w:rFonts w:ascii="Arial" w:hAnsi="Arial" w:cs="Arial"/>
          <w:sz w:val="22"/>
          <w:szCs w:val="22"/>
        </w:rPr>
        <w:t>Nov</w:t>
      </w:r>
      <w:r w:rsidR="00D429DF">
        <w:rPr>
          <w:rFonts w:ascii="Arial" w:hAnsi="Arial" w:cs="Arial"/>
          <w:sz w:val="22"/>
          <w:szCs w:val="22"/>
        </w:rPr>
        <w:t xml:space="preserve"> </w:t>
      </w:r>
      <w:r w:rsidR="00642455">
        <w:rPr>
          <w:rFonts w:ascii="Arial" w:hAnsi="Arial" w:cs="Arial"/>
          <w:sz w:val="22"/>
          <w:szCs w:val="22"/>
        </w:rPr>
        <w:t>15</w:t>
      </w:r>
      <w:r w:rsidR="006935C1">
        <w:rPr>
          <w:rFonts w:ascii="Arial" w:hAnsi="Arial" w:cs="Arial"/>
          <w:sz w:val="22"/>
          <w:szCs w:val="22"/>
        </w:rPr>
        <w:t xml:space="preserve">) </w:t>
      </w:r>
      <w:r w:rsidR="00E82F54" w:rsidRPr="009B4C8D">
        <w:rPr>
          <w:rFonts w:ascii="Arial" w:hAnsi="Arial" w:cs="Arial"/>
          <w:sz w:val="22"/>
          <w:szCs w:val="22"/>
        </w:rPr>
        <w:t>year to date</w:t>
      </w:r>
      <w:r w:rsidR="00262B57">
        <w:rPr>
          <w:rFonts w:ascii="Arial" w:hAnsi="Arial" w:cs="Arial"/>
          <w:sz w:val="22"/>
          <w:szCs w:val="22"/>
        </w:rPr>
        <w:t>.  This represents a £</w:t>
      </w:r>
      <w:r w:rsidR="003A3805">
        <w:rPr>
          <w:rFonts w:ascii="Arial" w:hAnsi="Arial" w:cs="Arial"/>
          <w:sz w:val="22"/>
          <w:szCs w:val="22"/>
        </w:rPr>
        <w:t>441</w:t>
      </w:r>
      <w:r w:rsidR="006935C1">
        <w:rPr>
          <w:rFonts w:ascii="Arial" w:hAnsi="Arial" w:cs="Arial"/>
          <w:sz w:val="22"/>
          <w:szCs w:val="22"/>
        </w:rPr>
        <w:t>k</w:t>
      </w:r>
      <w:r w:rsidR="00262B57">
        <w:rPr>
          <w:rFonts w:ascii="Arial" w:hAnsi="Arial" w:cs="Arial"/>
          <w:sz w:val="22"/>
          <w:szCs w:val="22"/>
        </w:rPr>
        <w:t xml:space="preserve"> under spend against </w:t>
      </w:r>
      <w:r w:rsidR="000949D1">
        <w:rPr>
          <w:rFonts w:ascii="Arial" w:hAnsi="Arial" w:cs="Arial"/>
          <w:sz w:val="22"/>
          <w:szCs w:val="22"/>
        </w:rPr>
        <w:t xml:space="preserve">profiled </w:t>
      </w:r>
      <w:r w:rsidR="00262B57">
        <w:rPr>
          <w:rFonts w:ascii="Arial" w:hAnsi="Arial" w:cs="Arial"/>
          <w:sz w:val="22"/>
          <w:szCs w:val="22"/>
        </w:rPr>
        <w:t>expenditur</w:t>
      </w:r>
      <w:r w:rsidR="00B81659">
        <w:rPr>
          <w:rFonts w:ascii="Arial" w:hAnsi="Arial" w:cs="Arial"/>
          <w:sz w:val="22"/>
          <w:szCs w:val="22"/>
        </w:rPr>
        <w:t>e budgets, which is a significant change to the anticipated position.</w:t>
      </w:r>
      <w:r w:rsidR="000949D1">
        <w:rPr>
          <w:rFonts w:ascii="Arial" w:hAnsi="Arial" w:cs="Arial"/>
          <w:sz w:val="22"/>
          <w:szCs w:val="22"/>
        </w:rPr>
        <w:t xml:space="preserve">   </w:t>
      </w:r>
      <w:r w:rsidR="005F2504">
        <w:rPr>
          <w:rFonts w:ascii="Arial" w:hAnsi="Arial" w:cs="Arial"/>
          <w:sz w:val="22"/>
          <w:szCs w:val="22"/>
        </w:rPr>
        <w:t xml:space="preserve">A summary of the </w:t>
      </w:r>
      <w:r w:rsidR="00262B57">
        <w:rPr>
          <w:rFonts w:ascii="Arial" w:hAnsi="Arial" w:cs="Arial"/>
          <w:sz w:val="22"/>
          <w:szCs w:val="22"/>
        </w:rPr>
        <w:t xml:space="preserve">overall </w:t>
      </w:r>
      <w:r w:rsidR="005F2504">
        <w:rPr>
          <w:rFonts w:ascii="Arial" w:hAnsi="Arial" w:cs="Arial"/>
          <w:sz w:val="22"/>
          <w:szCs w:val="22"/>
        </w:rPr>
        <w:t xml:space="preserve">position </w:t>
      </w:r>
      <w:r w:rsidR="006935C1">
        <w:rPr>
          <w:rFonts w:ascii="Arial" w:hAnsi="Arial" w:cs="Arial"/>
          <w:sz w:val="22"/>
          <w:szCs w:val="22"/>
        </w:rPr>
        <w:t xml:space="preserve">by Directorate </w:t>
      </w:r>
      <w:r w:rsidR="005F2504">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sidR="005F2504">
        <w:rPr>
          <w:rFonts w:ascii="Arial" w:hAnsi="Arial" w:cs="Arial"/>
          <w:sz w:val="22"/>
          <w:szCs w:val="22"/>
        </w:rPr>
        <w:t>.</w:t>
      </w:r>
    </w:p>
    <w:tbl>
      <w:tblPr>
        <w:tblW w:w="9646" w:type="dxa"/>
        <w:tblInd w:w="108" w:type="dxa"/>
        <w:tblLook w:val="04A0" w:firstRow="1" w:lastRow="0" w:firstColumn="1" w:lastColumn="0" w:noHBand="0" w:noVBand="1"/>
      </w:tblPr>
      <w:tblGrid>
        <w:gridCol w:w="266"/>
        <w:gridCol w:w="3813"/>
        <w:gridCol w:w="963"/>
        <w:gridCol w:w="1259"/>
        <w:gridCol w:w="1278"/>
        <w:gridCol w:w="1155"/>
        <w:gridCol w:w="1017"/>
      </w:tblGrid>
      <w:tr w:rsidR="0048687E" w:rsidRPr="0048687E" w:rsidTr="0048687E">
        <w:trPr>
          <w:trHeight w:val="228"/>
        </w:trPr>
        <w:tc>
          <w:tcPr>
            <w:tcW w:w="5030" w:type="dxa"/>
            <w:gridSpan w:val="3"/>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b/>
                <w:bCs/>
                <w:color w:val="000000"/>
                <w:sz w:val="22"/>
                <w:szCs w:val="22"/>
              </w:rPr>
            </w:pPr>
            <w:r w:rsidRPr="0048687E">
              <w:rPr>
                <w:rFonts w:ascii="Calibri" w:hAnsi="Calibri" w:cs="Calibri"/>
                <w:b/>
                <w:bCs/>
                <w:color w:val="000000"/>
                <w:sz w:val="22"/>
                <w:szCs w:val="22"/>
              </w:rPr>
              <w:t>Summary of financial outturn 31 December 2015</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105"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97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r>
      <w:tr w:rsidR="0048687E" w:rsidRPr="0048687E" w:rsidTr="0048687E">
        <w:trPr>
          <w:trHeight w:val="273"/>
        </w:trPr>
        <w:tc>
          <w:tcPr>
            <w:tcW w:w="255"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381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259"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105"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97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r>
      <w:tr w:rsidR="0048687E" w:rsidRPr="0048687E" w:rsidTr="0048687E">
        <w:trPr>
          <w:trHeight w:val="809"/>
        </w:trPr>
        <w:tc>
          <w:tcPr>
            <w:tcW w:w="255" w:type="dxa"/>
            <w:tcBorders>
              <w:top w:val="single" w:sz="4" w:space="0" w:color="auto"/>
              <w:left w:val="single" w:sz="4" w:space="0" w:color="auto"/>
              <w:bottom w:val="nil"/>
              <w:right w:val="nil"/>
            </w:tcBorders>
            <w:shd w:val="clear" w:color="000000" w:fill="56008C"/>
            <w:noWrap/>
            <w:vAlign w:val="bottom"/>
            <w:hideMark/>
          </w:tcPr>
          <w:p w:rsidR="0048687E" w:rsidRPr="0048687E" w:rsidRDefault="0048687E" w:rsidP="0048687E">
            <w:pPr>
              <w:rPr>
                <w:rFonts w:ascii="Calibri" w:hAnsi="Calibri" w:cs="Calibri"/>
                <w:color w:val="FFFFFF"/>
                <w:sz w:val="22"/>
                <w:szCs w:val="22"/>
              </w:rPr>
            </w:pPr>
            <w:r w:rsidRPr="0048687E">
              <w:rPr>
                <w:rFonts w:ascii="Calibri" w:hAnsi="Calibri" w:cs="Calibri"/>
                <w:color w:val="FFFFFF"/>
                <w:sz w:val="22"/>
                <w:szCs w:val="22"/>
              </w:rPr>
              <w:t> </w:t>
            </w:r>
          </w:p>
        </w:tc>
        <w:tc>
          <w:tcPr>
            <w:tcW w:w="3813" w:type="dxa"/>
            <w:vMerge w:val="restart"/>
            <w:tcBorders>
              <w:top w:val="single" w:sz="4" w:space="0" w:color="auto"/>
              <w:left w:val="nil"/>
              <w:bottom w:val="nil"/>
              <w:right w:val="nil"/>
            </w:tcBorders>
            <w:shd w:val="clear" w:color="000000" w:fill="56008C"/>
            <w:noWrap/>
            <w:vAlign w:val="bottom"/>
            <w:hideMark/>
          </w:tcPr>
          <w:p w:rsidR="0048687E" w:rsidRPr="0048687E" w:rsidRDefault="0048687E" w:rsidP="0048687E">
            <w:pPr>
              <w:rPr>
                <w:rFonts w:ascii="Calibri" w:hAnsi="Calibri" w:cs="Calibri"/>
                <w:b/>
                <w:bCs/>
                <w:color w:val="FFFFFF"/>
                <w:sz w:val="22"/>
                <w:szCs w:val="22"/>
              </w:rPr>
            </w:pPr>
            <w:r w:rsidRPr="0048687E">
              <w:rPr>
                <w:rFonts w:ascii="Calibri" w:hAnsi="Calibri" w:cs="Calibri"/>
                <w:b/>
                <w:bCs/>
                <w:color w:val="FFFFFF"/>
                <w:sz w:val="22"/>
                <w:szCs w:val="22"/>
              </w:rPr>
              <w:t>Description</w:t>
            </w:r>
          </w:p>
        </w:tc>
        <w:tc>
          <w:tcPr>
            <w:tcW w:w="963" w:type="dxa"/>
            <w:vMerge w:val="restart"/>
            <w:tcBorders>
              <w:top w:val="single" w:sz="4" w:space="0" w:color="auto"/>
              <w:left w:val="nil"/>
              <w:bottom w:val="nil"/>
              <w:right w:val="nil"/>
            </w:tcBorders>
            <w:shd w:val="clear" w:color="000000" w:fill="56008C"/>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Initial Annual Budget</w:t>
            </w:r>
          </w:p>
        </w:tc>
        <w:tc>
          <w:tcPr>
            <w:tcW w:w="1259" w:type="dxa"/>
            <w:tcBorders>
              <w:top w:val="single" w:sz="4" w:space="0" w:color="auto"/>
              <w:left w:val="nil"/>
              <w:bottom w:val="nil"/>
              <w:right w:val="nil"/>
            </w:tcBorders>
            <w:shd w:val="clear" w:color="000000" w:fill="56008C"/>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 </w:t>
            </w:r>
          </w:p>
        </w:tc>
        <w:tc>
          <w:tcPr>
            <w:tcW w:w="1278" w:type="dxa"/>
            <w:tcBorders>
              <w:top w:val="single" w:sz="4" w:space="0" w:color="auto"/>
              <w:left w:val="nil"/>
              <w:bottom w:val="nil"/>
              <w:right w:val="nil"/>
            </w:tcBorders>
            <w:shd w:val="clear" w:color="000000" w:fill="56008C"/>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Budget for period to</w:t>
            </w:r>
          </w:p>
        </w:tc>
        <w:tc>
          <w:tcPr>
            <w:tcW w:w="1105" w:type="dxa"/>
            <w:tcBorders>
              <w:top w:val="single" w:sz="4" w:space="0" w:color="auto"/>
              <w:left w:val="nil"/>
              <w:bottom w:val="nil"/>
              <w:right w:val="nil"/>
            </w:tcBorders>
            <w:shd w:val="clear" w:color="000000" w:fill="56008C"/>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 xml:space="preserve">Outturn as at </w:t>
            </w:r>
          </w:p>
        </w:tc>
        <w:tc>
          <w:tcPr>
            <w:tcW w:w="973" w:type="dxa"/>
            <w:vMerge w:val="restart"/>
            <w:tcBorders>
              <w:top w:val="single" w:sz="4" w:space="0" w:color="auto"/>
              <w:left w:val="nil"/>
              <w:bottom w:val="nil"/>
              <w:right w:val="single" w:sz="4" w:space="0" w:color="auto"/>
            </w:tcBorders>
            <w:shd w:val="clear" w:color="000000" w:fill="56008C"/>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Variance</w:t>
            </w:r>
          </w:p>
        </w:tc>
      </w:tr>
      <w:tr w:rsidR="0048687E" w:rsidRPr="0048687E" w:rsidTr="0048687E">
        <w:trPr>
          <w:trHeight w:val="387"/>
        </w:trPr>
        <w:tc>
          <w:tcPr>
            <w:tcW w:w="255" w:type="dxa"/>
            <w:tcBorders>
              <w:top w:val="nil"/>
              <w:left w:val="single" w:sz="4" w:space="0" w:color="auto"/>
              <w:bottom w:val="nil"/>
              <w:right w:val="nil"/>
            </w:tcBorders>
            <w:shd w:val="clear" w:color="000000" w:fill="56008C"/>
            <w:noWrap/>
            <w:vAlign w:val="bottom"/>
            <w:hideMark/>
          </w:tcPr>
          <w:p w:rsidR="0048687E" w:rsidRPr="0048687E" w:rsidRDefault="0048687E" w:rsidP="0048687E">
            <w:pPr>
              <w:rPr>
                <w:rFonts w:ascii="Calibri" w:hAnsi="Calibri" w:cs="Calibri"/>
                <w:color w:val="FFFFFF"/>
                <w:sz w:val="22"/>
                <w:szCs w:val="22"/>
              </w:rPr>
            </w:pPr>
            <w:r w:rsidRPr="0048687E">
              <w:rPr>
                <w:rFonts w:ascii="Calibri" w:hAnsi="Calibri" w:cs="Calibri"/>
                <w:color w:val="FFFFFF"/>
                <w:sz w:val="22"/>
                <w:szCs w:val="22"/>
              </w:rPr>
              <w:t> </w:t>
            </w:r>
          </w:p>
        </w:tc>
        <w:tc>
          <w:tcPr>
            <w:tcW w:w="3813" w:type="dxa"/>
            <w:vMerge/>
            <w:tcBorders>
              <w:top w:val="single" w:sz="4" w:space="0" w:color="auto"/>
              <w:left w:val="nil"/>
              <w:bottom w:val="nil"/>
              <w:right w:val="nil"/>
            </w:tcBorders>
            <w:vAlign w:val="center"/>
            <w:hideMark/>
          </w:tcPr>
          <w:p w:rsidR="0048687E" w:rsidRPr="0048687E" w:rsidRDefault="0048687E" w:rsidP="0048687E">
            <w:pPr>
              <w:rPr>
                <w:rFonts w:ascii="Calibri" w:hAnsi="Calibri" w:cs="Calibri"/>
                <w:b/>
                <w:bCs/>
                <w:color w:val="FFFFFF"/>
                <w:sz w:val="22"/>
                <w:szCs w:val="22"/>
              </w:rPr>
            </w:pPr>
          </w:p>
        </w:tc>
        <w:tc>
          <w:tcPr>
            <w:tcW w:w="963" w:type="dxa"/>
            <w:vMerge/>
            <w:tcBorders>
              <w:top w:val="single" w:sz="4" w:space="0" w:color="auto"/>
              <w:left w:val="nil"/>
              <w:bottom w:val="nil"/>
              <w:right w:val="nil"/>
            </w:tcBorders>
            <w:vAlign w:val="center"/>
            <w:hideMark/>
          </w:tcPr>
          <w:p w:rsidR="0048687E" w:rsidRPr="0048687E" w:rsidRDefault="0048687E" w:rsidP="0048687E">
            <w:pPr>
              <w:rPr>
                <w:rFonts w:ascii="Calibri" w:hAnsi="Calibri" w:cs="Calibri"/>
                <w:b/>
                <w:bCs/>
                <w:color w:val="FFFFFF"/>
                <w:sz w:val="22"/>
                <w:szCs w:val="22"/>
              </w:rPr>
            </w:pPr>
          </w:p>
        </w:tc>
        <w:tc>
          <w:tcPr>
            <w:tcW w:w="1259" w:type="dxa"/>
            <w:tcBorders>
              <w:top w:val="nil"/>
              <w:left w:val="nil"/>
              <w:bottom w:val="nil"/>
              <w:right w:val="nil"/>
            </w:tcBorders>
            <w:shd w:val="clear" w:color="000000" w:fill="56008C"/>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Latest Annual Budget</w:t>
            </w:r>
          </w:p>
        </w:tc>
        <w:tc>
          <w:tcPr>
            <w:tcW w:w="1278" w:type="dxa"/>
            <w:tcBorders>
              <w:top w:val="nil"/>
              <w:left w:val="nil"/>
              <w:bottom w:val="nil"/>
              <w:right w:val="nil"/>
            </w:tcBorders>
            <w:shd w:val="clear" w:color="000000" w:fill="56008C"/>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31 December 2015</w:t>
            </w:r>
          </w:p>
        </w:tc>
        <w:tc>
          <w:tcPr>
            <w:tcW w:w="1105" w:type="dxa"/>
            <w:tcBorders>
              <w:top w:val="nil"/>
              <w:left w:val="nil"/>
              <w:bottom w:val="nil"/>
              <w:right w:val="nil"/>
            </w:tcBorders>
            <w:shd w:val="clear" w:color="000000" w:fill="56008C"/>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31 December 2015</w:t>
            </w:r>
          </w:p>
        </w:tc>
        <w:tc>
          <w:tcPr>
            <w:tcW w:w="973" w:type="dxa"/>
            <w:vMerge/>
            <w:tcBorders>
              <w:top w:val="single" w:sz="4" w:space="0" w:color="auto"/>
              <w:left w:val="nil"/>
              <w:bottom w:val="nil"/>
              <w:right w:val="single" w:sz="4" w:space="0" w:color="auto"/>
            </w:tcBorders>
            <w:vAlign w:val="center"/>
            <w:hideMark/>
          </w:tcPr>
          <w:p w:rsidR="0048687E" w:rsidRPr="0048687E" w:rsidRDefault="0048687E" w:rsidP="0048687E">
            <w:pPr>
              <w:rPr>
                <w:rFonts w:ascii="Calibri" w:hAnsi="Calibri" w:cs="Calibri"/>
                <w:b/>
                <w:bCs/>
                <w:color w:val="FFFFFF"/>
                <w:sz w:val="22"/>
                <w:szCs w:val="22"/>
              </w:rPr>
            </w:pPr>
          </w:p>
        </w:tc>
      </w:tr>
      <w:tr w:rsidR="0048687E" w:rsidRPr="0048687E" w:rsidTr="0048687E">
        <w:trPr>
          <w:trHeight w:val="228"/>
        </w:trPr>
        <w:tc>
          <w:tcPr>
            <w:tcW w:w="255" w:type="dxa"/>
            <w:tcBorders>
              <w:top w:val="nil"/>
              <w:left w:val="single" w:sz="4" w:space="0" w:color="auto"/>
              <w:bottom w:val="nil"/>
              <w:right w:val="nil"/>
            </w:tcBorders>
            <w:shd w:val="clear" w:color="000000" w:fill="56008C"/>
            <w:noWrap/>
            <w:vAlign w:val="bottom"/>
            <w:hideMark/>
          </w:tcPr>
          <w:p w:rsidR="0048687E" w:rsidRPr="0048687E" w:rsidRDefault="0048687E" w:rsidP="0048687E">
            <w:pPr>
              <w:rPr>
                <w:rFonts w:ascii="Calibri" w:hAnsi="Calibri" w:cs="Calibri"/>
                <w:color w:val="FFFFFF"/>
                <w:sz w:val="22"/>
                <w:szCs w:val="22"/>
              </w:rPr>
            </w:pPr>
            <w:r w:rsidRPr="0048687E">
              <w:rPr>
                <w:rFonts w:ascii="Calibri" w:hAnsi="Calibri" w:cs="Calibri"/>
                <w:color w:val="FFFFFF"/>
                <w:sz w:val="22"/>
                <w:szCs w:val="22"/>
              </w:rPr>
              <w:t> </w:t>
            </w:r>
          </w:p>
        </w:tc>
        <w:tc>
          <w:tcPr>
            <w:tcW w:w="3813" w:type="dxa"/>
            <w:tcBorders>
              <w:top w:val="nil"/>
              <w:left w:val="nil"/>
              <w:bottom w:val="nil"/>
              <w:right w:val="nil"/>
            </w:tcBorders>
            <w:shd w:val="clear" w:color="000000" w:fill="56008C"/>
            <w:noWrap/>
            <w:vAlign w:val="bottom"/>
            <w:hideMark/>
          </w:tcPr>
          <w:p w:rsidR="0048687E" w:rsidRPr="0048687E" w:rsidRDefault="0048687E" w:rsidP="0048687E">
            <w:pPr>
              <w:rPr>
                <w:rFonts w:ascii="Calibri" w:hAnsi="Calibri" w:cs="Calibri"/>
                <w:b/>
                <w:bCs/>
                <w:color w:val="FFFFFF"/>
                <w:sz w:val="22"/>
                <w:szCs w:val="22"/>
              </w:rPr>
            </w:pPr>
            <w:r w:rsidRPr="0048687E">
              <w:rPr>
                <w:rFonts w:ascii="Calibri" w:hAnsi="Calibri" w:cs="Calibri"/>
                <w:b/>
                <w:bCs/>
                <w:color w:val="FFFFFF"/>
                <w:sz w:val="22"/>
                <w:szCs w:val="22"/>
              </w:rPr>
              <w:t> </w:t>
            </w:r>
          </w:p>
        </w:tc>
        <w:tc>
          <w:tcPr>
            <w:tcW w:w="963" w:type="dxa"/>
            <w:tcBorders>
              <w:top w:val="nil"/>
              <w:left w:val="nil"/>
              <w:bottom w:val="nil"/>
              <w:right w:val="nil"/>
            </w:tcBorders>
            <w:shd w:val="clear" w:color="000000" w:fill="56008C"/>
            <w:noWrap/>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(£'000)</w:t>
            </w:r>
          </w:p>
        </w:tc>
        <w:tc>
          <w:tcPr>
            <w:tcW w:w="1259" w:type="dxa"/>
            <w:tcBorders>
              <w:top w:val="nil"/>
              <w:left w:val="nil"/>
              <w:bottom w:val="nil"/>
              <w:right w:val="nil"/>
            </w:tcBorders>
            <w:shd w:val="clear" w:color="000000" w:fill="56008C"/>
            <w:noWrap/>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(£'000)</w:t>
            </w:r>
          </w:p>
        </w:tc>
        <w:tc>
          <w:tcPr>
            <w:tcW w:w="1278" w:type="dxa"/>
            <w:tcBorders>
              <w:top w:val="nil"/>
              <w:left w:val="nil"/>
              <w:bottom w:val="nil"/>
              <w:right w:val="nil"/>
            </w:tcBorders>
            <w:shd w:val="clear" w:color="000000" w:fill="56008C"/>
            <w:noWrap/>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(£'000)</w:t>
            </w:r>
          </w:p>
        </w:tc>
        <w:tc>
          <w:tcPr>
            <w:tcW w:w="1105" w:type="dxa"/>
            <w:tcBorders>
              <w:top w:val="nil"/>
              <w:left w:val="nil"/>
              <w:bottom w:val="nil"/>
              <w:right w:val="nil"/>
            </w:tcBorders>
            <w:shd w:val="clear" w:color="000000" w:fill="56008C"/>
            <w:noWrap/>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(£'000)</w:t>
            </w:r>
          </w:p>
        </w:tc>
        <w:tc>
          <w:tcPr>
            <w:tcW w:w="973" w:type="dxa"/>
            <w:tcBorders>
              <w:top w:val="nil"/>
              <w:left w:val="nil"/>
              <w:bottom w:val="nil"/>
              <w:right w:val="single" w:sz="4" w:space="0" w:color="auto"/>
            </w:tcBorders>
            <w:shd w:val="clear" w:color="000000" w:fill="56008C"/>
            <w:noWrap/>
            <w:vAlign w:val="bottom"/>
            <w:hideMark/>
          </w:tcPr>
          <w:p w:rsidR="0048687E" w:rsidRPr="0048687E" w:rsidRDefault="0048687E" w:rsidP="0048687E">
            <w:pPr>
              <w:jc w:val="center"/>
              <w:rPr>
                <w:rFonts w:ascii="Calibri" w:hAnsi="Calibri" w:cs="Calibri"/>
                <w:b/>
                <w:bCs/>
                <w:color w:val="FFFFFF"/>
                <w:sz w:val="22"/>
                <w:szCs w:val="22"/>
              </w:rPr>
            </w:pPr>
            <w:r w:rsidRPr="0048687E">
              <w:rPr>
                <w:rFonts w:ascii="Calibri" w:hAnsi="Calibri" w:cs="Calibri"/>
                <w:b/>
                <w:bCs/>
                <w:color w:val="FFFFFF"/>
                <w:sz w:val="22"/>
                <w:szCs w:val="22"/>
              </w:rPr>
              <w:t>(£'000)</w:t>
            </w:r>
          </w:p>
        </w:tc>
      </w:tr>
      <w:tr w:rsidR="0048687E" w:rsidRPr="0048687E" w:rsidTr="0048687E">
        <w:trPr>
          <w:trHeight w:val="228"/>
        </w:trPr>
        <w:tc>
          <w:tcPr>
            <w:tcW w:w="4067" w:type="dxa"/>
            <w:gridSpan w:val="2"/>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b/>
                <w:bCs/>
                <w:color w:val="000000"/>
                <w:sz w:val="22"/>
                <w:szCs w:val="22"/>
              </w:rPr>
            </w:pPr>
            <w:r w:rsidRPr="0048687E">
              <w:rPr>
                <w:rFonts w:ascii="Calibri" w:hAnsi="Calibri" w:cs="Calibri"/>
                <w:b/>
                <w:bCs/>
                <w:color w:val="000000"/>
                <w:sz w:val="22"/>
                <w:szCs w:val="22"/>
              </w:rPr>
              <w:t>Income</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259"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105"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r>
      <w:tr w:rsidR="0048687E" w:rsidRPr="0048687E" w:rsidTr="0048687E">
        <w:trPr>
          <w:trHeight w:val="228"/>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HRA income</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196</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196</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98</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100</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w:t>
            </w:r>
          </w:p>
        </w:tc>
      </w:tr>
      <w:tr w:rsidR="0048687E" w:rsidRPr="0048687E" w:rsidTr="0048687E">
        <w:trPr>
          <w:trHeight w:val="228"/>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Grant in aid (confirmed)</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13,346</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13,346</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9,308</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8,863</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(445)</w:t>
            </w:r>
          </w:p>
        </w:tc>
      </w:tr>
      <w:tr w:rsidR="0048687E" w:rsidRPr="0048687E" w:rsidTr="0048687E">
        <w:trPr>
          <w:trHeight w:val="228"/>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Grant in aid  (CAG2 to be confirmed)</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139</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65</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0</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0</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0</w:t>
            </w:r>
          </w:p>
        </w:tc>
      </w:tr>
      <w:tr w:rsidR="0048687E" w:rsidRPr="0048687E" w:rsidTr="0048687E">
        <w:trPr>
          <w:trHeight w:val="228"/>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Non cash revenue resource limit</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270</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270</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171</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173</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w:t>
            </w:r>
          </w:p>
        </w:tc>
      </w:tr>
      <w:tr w:rsidR="0048687E" w:rsidRPr="0048687E" w:rsidTr="0048687E">
        <w:trPr>
          <w:trHeight w:val="228"/>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b/>
                <w:bCs/>
                <w:color w:val="000000"/>
                <w:sz w:val="22"/>
                <w:szCs w:val="22"/>
              </w:rPr>
            </w:pPr>
            <w:r w:rsidRPr="0048687E">
              <w:rPr>
                <w:rFonts w:ascii="Calibri" w:hAnsi="Calibri" w:cs="Calibri"/>
                <w:b/>
                <w:bCs/>
                <w:color w:val="000000"/>
                <w:sz w:val="22"/>
                <w:szCs w:val="22"/>
              </w:rPr>
              <w:t> </w:t>
            </w:r>
          </w:p>
        </w:tc>
        <w:tc>
          <w:tcPr>
            <w:tcW w:w="381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b/>
                <w:bCs/>
                <w:color w:val="000000"/>
                <w:sz w:val="22"/>
                <w:szCs w:val="22"/>
              </w:rPr>
            </w:pPr>
            <w:r w:rsidRPr="0048687E">
              <w:rPr>
                <w:rFonts w:ascii="Calibri" w:hAnsi="Calibri" w:cs="Calibri"/>
                <w:b/>
                <w:bCs/>
                <w:color w:val="000000"/>
                <w:sz w:val="22"/>
                <w:szCs w:val="22"/>
              </w:rPr>
              <w:t>Total</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13,951</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13,877</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9,577</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9,136</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(441)</w:t>
            </w:r>
          </w:p>
        </w:tc>
      </w:tr>
      <w:tr w:rsidR="0048687E" w:rsidRPr="0048687E" w:rsidTr="0048687E">
        <w:trPr>
          <w:trHeight w:val="228"/>
        </w:trPr>
        <w:tc>
          <w:tcPr>
            <w:tcW w:w="4067" w:type="dxa"/>
            <w:gridSpan w:val="2"/>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b/>
                <w:bCs/>
                <w:color w:val="000000"/>
                <w:sz w:val="22"/>
                <w:szCs w:val="22"/>
              </w:rPr>
            </w:pPr>
            <w:r w:rsidRPr="0048687E">
              <w:rPr>
                <w:rFonts w:ascii="Calibri" w:hAnsi="Calibri" w:cs="Calibri"/>
                <w:b/>
                <w:bCs/>
                <w:color w:val="000000"/>
                <w:sz w:val="22"/>
                <w:szCs w:val="22"/>
              </w:rPr>
              <w:t>Expenditure</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259"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105"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r>
      <w:tr w:rsidR="0048687E" w:rsidRPr="0048687E" w:rsidTr="0048687E">
        <w:trPr>
          <w:trHeight w:val="456"/>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u w:val="single"/>
              </w:rPr>
              <w:t xml:space="preserve">Operations </w:t>
            </w:r>
            <w:r w:rsidRPr="0048687E">
              <w:rPr>
                <w:rFonts w:ascii="Calibri" w:hAnsi="Calibri" w:cs="Calibri"/>
                <w:color w:val="000000"/>
                <w:sz w:val="22"/>
                <w:szCs w:val="22"/>
              </w:rPr>
              <w:t xml:space="preserve"> -Research Ethics Service England </w:t>
            </w:r>
            <w:proofErr w:type="spellStart"/>
            <w:r w:rsidRPr="0048687E">
              <w:rPr>
                <w:rFonts w:ascii="Calibri" w:hAnsi="Calibri" w:cs="Calibri"/>
                <w:color w:val="000000"/>
                <w:sz w:val="22"/>
                <w:szCs w:val="22"/>
              </w:rPr>
              <w:t>incl</w:t>
            </w:r>
            <w:proofErr w:type="spellEnd"/>
            <w:r w:rsidRPr="0048687E">
              <w:rPr>
                <w:rFonts w:ascii="Calibri" w:hAnsi="Calibri" w:cs="Calibri"/>
                <w:color w:val="000000"/>
                <w:sz w:val="22"/>
                <w:szCs w:val="22"/>
              </w:rPr>
              <w:t xml:space="preserve"> CAG</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4,794</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4,723</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3,552</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3,287</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(265)</w:t>
            </w:r>
          </w:p>
        </w:tc>
      </w:tr>
      <w:tr w:rsidR="0048687E" w:rsidRPr="0048687E" w:rsidTr="0048687E">
        <w:trPr>
          <w:trHeight w:val="456"/>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u w:val="single"/>
              </w:rPr>
              <w:t>Chief Exec</w:t>
            </w:r>
            <w:r w:rsidRPr="0048687E">
              <w:rPr>
                <w:rFonts w:ascii="Calibri" w:hAnsi="Calibri" w:cs="Calibri"/>
                <w:color w:val="000000"/>
                <w:sz w:val="22"/>
                <w:szCs w:val="22"/>
              </w:rPr>
              <w:t xml:space="preserve"> - Team, Board and Corporate Secretary</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1,560</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1,801</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1,345</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1,305</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(40)</w:t>
            </w:r>
          </w:p>
        </w:tc>
      </w:tr>
      <w:tr w:rsidR="0048687E" w:rsidRPr="0048687E" w:rsidTr="0048687E">
        <w:trPr>
          <w:trHeight w:val="911"/>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u w:val="single"/>
              </w:rPr>
              <w:t>Corporate Services</w:t>
            </w:r>
            <w:r w:rsidRPr="0048687E">
              <w:rPr>
                <w:rFonts w:ascii="Calibri" w:hAnsi="Calibri" w:cs="Calibri"/>
                <w:color w:val="000000"/>
                <w:sz w:val="22"/>
                <w:szCs w:val="22"/>
              </w:rPr>
              <w:t xml:space="preserve">  </w:t>
            </w:r>
            <w:proofErr w:type="spellStart"/>
            <w:r w:rsidRPr="0048687E">
              <w:rPr>
                <w:rFonts w:ascii="Calibri" w:hAnsi="Calibri" w:cs="Calibri"/>
                <w:color w:val="000000"/>
                <w:sz w:val="22"/>
                <w:szCs w:val="22"/>
              </w:rPr>
              <w:t>incl</w:t>
            </w:r>
            <w:proofErr w:type="spellEnd"/>
            <w:r w:rsidRPr="0048687E">
              <w:rPr>
                <w:rFonts w:ascii="Calibri" w:hAnsi="Calibri" w:cs="Calibri"/>
                <w:color w:val="000000"/>
                <w:sz w:val="22"/>
                <w:szCs w:val="22"/>
              </w:rPr>
              <w:t xml:space="preserve"> Communications, staff training, public involvement, programme office, HR services, IT contract</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1,731</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1,819</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1,360</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1,331</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(29)</w:t>
            </w:r>
          </w:p>
        </w:tc>
      </w:tr>
      <w:tr w:rsidR="0048687E" w:rsidRPr="0048687E" w:rsidTr="0048687E">
        <w:trPr>
          <w:trHeight w:val="456"/>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u w:val="single"/>
              </w:rPr>
              <w:t>Finance, Procurement and Estates</w:t>
            </w:r>
            <w:r w:rsidRPr="0048687E">
              <w:rPr>
                <w:rFonts w:ascii="Calibri" w:hAnsi="Calibri" w:cs="Calibri"/>
                <w:color w:val="000000"/>
                <w:sz w:val="22"/>
                <w:szCs w:val="22"/>
              </w:rPr>
              <w:t xml:space="preserve"> and Reserves</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3,153</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2,013</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749</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765</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16</w:t>
            </w:r>
          </w:p>
        </w:tc>
      </w:tr>
      <w:tr w:rsidR="0048687E" w:rsidRPr="0048687E" w:rsidTr="0048687E">
        <w:trPr>
          <w:trHeight w:val="911"/>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u w:val="single"/>
              </w:rPr>
              <w:t xml:space="preserve">Research </w:t>
            </w:r>
            <w:proofErr w:type="spellStart"/>
            <w:r w:rsidRPr="0048687E">
              <w:rPr>
                <w:rFonts w:ascii="Calibri" w:hAnsi="Calibri" w:cs="Calibri"/>
                <w:color w:val="000000"/>
                <w:sz w:val="22"/>
                <w:szCs w:val="22"/>
                <w:u w:val="single"/>
              </w:rPr>
              <w:t>Systems,Standards</w:t>
            </w:r>
            <w:proofErr w:type="spellEnd"/>
            <w:r w:rsidRPr="0048687E">
              <w:rPr>
                <w:rFonts w:ascii="Calibri" w:hAnsi="Calibri" w:cs="Calibri"/>
                <w:color w:val="000000"/>
                <w:sz w:val="22"/>
                <w:szCs w:val="22"/>
                <w:u w:val="single"/>
              </w:rPr>
              <w:t xml:space="preserve"> and HRA Approval Programme</w:t>
            </w:r>
            <w:r w:rsidRPr="0048687E">
              <w:rPr>
                <w:rFonts w:ascii="Calibri" w:hAnsi="Calibri" w:cs="Calibri"/>
                <w:color w:val="000000"/>
                <w:sz w:val="22"/>
                <w:szCs w:val="22"/>
              </w:rPr>
              <w:t xml:space="preserve"> activity, Quality Assurance, Guidance advice and learning</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2,713</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3,521</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2,571</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2,448</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color w:val="000000"/>
                <w:sz w:val="22"/>
                <w:szCs w:val="22"/>
              </w:rPr>
            </w:pPr>
            <w:r w:rsidRPr="0048687E">
              <w:rPr>
                <w:rFonts w:ascii="Calibri" w:hAnsi="Calibri" w:cs="Calibri"/>
                <w:color w:val="000000"/>
                <w:sz w:val="22"/>
                <w:szCs w:val="22"/>
              </w:rPr>
              <w:t>(123)</w:t>
            </w:r>
          </w:p>
        </w:tc>
      </w:tr>
      <w:tr w:rsidR="0048687E" w:rsidRPr="0048687E" w:rsidTr="0048687E">
        <w:trPr>
          <w:trHeight w:val="228"/>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b/>
                <w:bCs/>
                <w:color w:val="000000"/>
                <w:sz w:val="22"/>
                <w:szCs w:val="22"/>
              </w:rPr>
            </w:pPr>
            <w:r w:rsidRPr="0048687E">
              <w:rPr>
                <w:rFonts w:ascii="Calibri" w:hAnsi="Calibri" w:cs="Calibri"/>
                <w:b/>
                <w:bCs/>
                <w:color w:val="000000"/>
                <w:sz w:val="22"/>
                <w:szCs w:val="22"/>
              </w:rPr>
              <w:t> </w:t>
            </w:r>
          </w:p>
        </w:tc>
        <w:tc>
          <w:tcPr>
            <w:tcW w:w="381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b/>
                <w:bCs/>
                <w:color w:val="000000"/>
                <w:sz w:val="22"/>
                <w:szCs w:val="22"/>
              </w:rPr>
            </w:pPr>
            <w:r w:rsidRPr="0048687E">
              <w:rPr>
                <w:rFonts w:ascii="Calibri" w:hAnsi="Calibri" w:cs="Calibri"/>
                <w:b/>
                <w:bCs/>
                <w:color w:val="000000"/>
                <w:sz w:val="22"/>
                <w:szCs w:val="22"/>
              </w:rPr>
              <w:t>Total</w:t>
            </w:r>
          </w:p>
        </w:tc>
        <w:tc>
          <w:tcPr>
            <w:tcW w:w="963"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13,951</w:t>
            </w:r>
          </w:p>
        </w:tc>
        <w:tc>
          <w:tcPr>
            <w:tcW w:w="1259"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13,877</w:t>
            </w:r>
          </w:p>
        </w:tc>
        <w:tc>
          <w:tcPr>
            <w:tcW w:w="1278"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9,577</w:t>
            </w:r>
          </w:p>
        </w:tc>
        <w:tc>
          <w:tcPr>
            <w:tcW w:w="1105" w:type="dxa"/>
            <w:tcBorders>
              <w:top w:val="nil"/>
              <w:left w:val="nil"/>
              <w:bottom w:val="nil"/>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9,136</w:t>
            </w: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(441)</w:t>
            </w:r>
          </w:p>
        </w:tc>
      </w:tr>
      <w:tr w:rsidR="0048687E" w:rsidRPr="0048687E" w:rsidTr="0048687E">
        <w:trPr>
          <w:trHeight w:val="228"/>
        </w:trPr>
        <w:tc>
          <w:tcPr>
            <w:tcW w:w="255" w:type="dxa"/>
            <w:tcBorders>
              <w:top w:val="nil"/>
              <w:left w:val="single" w:sz="4" w:space="0" w:color="auto"/>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c>
          <w:tcPr>
            <w:tcW w:w="381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259"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1105" w:type="dxa"/>
            <w:tcBorders>
              <w:top w:val="nil"/>
              <w:left w:val="nil"/>
              <w:bottom w:val="nil"/>
              <w:right w:val="nil"/>
            </w:tcBorders>
            <w:shd w:val="clear" w:color="auto" w:fill="auto"/>
            <w:noWrap/>
            <w:vAlign w:val="bottom"/>
            <w:hideMark/>
          </w:tcPr>
          <w:p w:rsidR="0048687E" w:rsidRPr="0048687E" w:rsidRDefault="0048687E" w:rsidP="0048687E">
            <w:pPr>
              <w:rPr>
                <w:rFonts w:ascii="Calibri" w:hAnsi="Calibri" w:cs="Calibri"/>
                <w:color w:val="000000"/>
                <w:sz w:val="22"/>
                <w:szCs w:val="22"/>
              </w:rPr>
            </w:pPr>
          </w:p>
        </w:tc>
        <w:tc>
          <w:tcPr>
            <w:tcW w:w="973" w:type="dxa"/>
            <w:tcBorders>
              <w:top w:val="nil"/>
              <w:left w:val="nil"/>
              <w:bottom w:val="nil"/>
              <w:right w:val="single" w:sz="4" w:space="0" w:color="auto"/>
            </w:tcBorders>
            <w:shd w:val="clear" w:color="auto" w:fill="auto"/>
            <w:noWrap/>
            <w:vAlign w:val="bottom"/>
            <w:hideMark/>
          </w:tcPr>
          <w:p w:rsidR="0048687E" w:rsidRPr="0048687E" w:rsidRDefault="0048687E" w:rsidP="0048687E">
            <w:pPr>
              <w:rPr>
                <w:rFonts w:ascii="Calibri" w:hAnsi="Calibri" w:cs="Calibri"/>
                <w:color w:val="000000"/>
                <w:sz w:val="22"/>
                <w:szCs w:val="22"/>
              </w:rPr>
            </w:pPr>
            <w:r w:rsidRPr="0048687E">
              <w:rPr>
                <w:rFonts w:ascii="Calibri" w:hAnsi="Calibri" w:cs="Calibri"/>
                <w:color w:val="000000"/>
                <w:sz w:val="22"/>
                <w:szCs w:val="22"/>
              </w:rPr>
              <w:t> </w:t>
            </w:r>
          </w:p>
        </w:tc>
      </w:tr>
      <w:tr w:rsidR="0048687E" w:rsidRPr="0048687E" w:rsidTr="0048687E">
        <w:trPr>
          <w:trHeight w:val="228"/>
        </w:trPr>
        <w:tc>
          <w:tcPr>
            <w:tcW w:w="4067" w:type="dxa"/>
            <w:gridSpan w:val="2"/>
            <w:tcBorders>
              <w:top w:val="nil"/>
              <w:left w:val="single" w:sz="4" w:space="0" w:color="auto"/>
              <w:bottom w:val="single" w:sz="4" w:space="0" w:color="auto"/>
              <w:right w:val="nil"/>
            </w:tcBorders>
            <w:shd w:val="clear" w:color="auto" w:fill="auto"/>
            <w:noWrap/>
            <w:vAlign w:val="bottom"/>
            <w:hideMark/>
          </w:tcPr>
          <w:p w:rsidR="0048687E" w:rsidRPr="0048687E" w:rsidRDefault="0048687E" w:rsidP="0048687E">
            <w:pPr>
              <w:rPr>
                <w:rFonts w:ascii="Calibri" w:hAnsi="Calibri" w:cs="Calibri"/>
                <w:b/>
                <w:bCs/>
                <w:color w:val="000000"/>
                <w:sz w:val="22"/>
                <w:szCs w:val="22"/>
              </w:rPr>
            </w:pPr>
            <w:r w:rsidRPr="0048687E">
              <w:rPr>
                <w:rFonts w:ascii="Calibri" w:hAnsi="Calibri" w:cs="Calibri"/>
                <w:b/>
                <w:bCs/>
                <w:color w:val="000000"/>
                <w:sz w:val="22"/>
                <w:szCs w:val="22"/>
              </w:rPr>
              <w:t>Surplus/(Deficit)</w:t>
            </w:r>
          </w:p>
        </w:tc>
        <w:tc>
          <w:tcPr>
            <w:tcW w:w="963" w:type="dxa"/>
            <w:tcBorders>
              <w:top w:val="nil"/>
              <w:left w:val="nil"/>
              <w:bottom w:val="single" w:sz="4" w:space="0" w:color="auto"/>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0</w:t>
            </w:r>
          </w:p>
        </w:tc>
        <w:tc>
          <w:tcPr>
            <w:tcW w:w="1259" w:type="dxa"/>
            <w:tcBorders>
              <w:top w:val="nil"/>
              <w:left w:val="nil"/>
              <w:bottom w:val="single" w:sz="4" w:space="0" w:color="auto"/>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0</w:t>
            </w:r>
          </w:p>
        </w:tc>
        <w:tc>
          <w:tcPr>
            <w:tcW w:w="1278" w:type="dxa"/>
            <w:tcBorders>
              <w:top w:val="nil"/>
              <w:left w:val="nil"/>
              <w:bottom w:val="single" w:sz="4" w:space="0" w:color="auto"/>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0</w:t>
            </w:r>
          </w:p>
        </w:tc>
        <w:tc>
          <w:tcPr>
            <w:tcW w:w="1105" w:type="dxa"/>
            <w:tcBorders>
              <w:top w:val="nil"/>
              <w:left w:val="nil"/>
              <w:bottom w:val="single" w:sz="4" w:space="0" w:color="auto"/>
              <w:right w:val="nil"/>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0</w:t>
            </w:r>
          </w:p>
        </w:tc>
        <w:tc>
          <w:tcPr>
            <w:tcW w:w="973" w:type="dxa"/>
            <w:tcBorders>
              <w:top w:val="nil"/>
              <w:left w:val="nil"/>
              <w:bottom w:val="single" w:sz="4" w:space="0" w:color="auto"/>
              <w:right w:val="single" w:sz="4" w:space="0" w:color="auto"/>
            </w:tcBorders>
            <w:shd w:val="clear" w:color="auto" w:fill="auto"/>
            <w:noWrap/>
            <w:vAlign w:val="bottom"/>
            <w:hideMark/>
          </w:tcPr>
          <w:p w:rsidR="0048687E" w:rsidRPr="0048687E" w:rsidRDefault="0048687E" w:rsidP="0048687E">
            <w:pPr>
              <w:jc w:val="right"/>
              <w:rPr>
                <w:rFonts w:ascii="Calibri" w:hAnsi="Calibri" w:cs="Calibri"/>
                <w:b/>
                <w:bCs/>
                <w:color w:val="000000"/>
                <w:sz w:val="22"/>
                <w:szCs w:val="22"/>
              </w:rPr>
            </w:pPr>
            <w:r w:rsidRPr="0048687E">
              <w:rPr>
                <w:rFonts w:ascii="Calibri" w:hAnsi="Calibri" w:cs="Calibri"/>
                <w:b/>
                <w:bCs/>
                <w:color w:val="000000"/>
                <w:sz w:val="22"/>
                <w:szCs w:val="22"/>
              </w:rPr>
              <w:t>0</w:t>
            </w:r>
          </w:p>
        </w:tc>
      </w:tr>
    </w:tbl>
    <w:p w:rsidR="006E46EB" w:rsidRDefault="006E46EB" w:rsidP="006E46EB">
      <w:pPr>
        <w:jc w:val="both"/>
        <w:rPr>
          <w:rFonts w:ascii="Arial" w:hAnsi="Arial" w:cs="Arial"/>
          <w:sz w:val="22"/>
          <w:szCs w:val="22"/>
        </w:rPr>
      </w:pPr>
      <w:r w:rsidRPr="006E46EB">
        <w:rPr>
          <w:rFonts w:ascii="Arial" w:hAnsi="Arial" w:cs="Arial"/>
          <w:sz w:val="22"/>
          <w:szCs w:val="22"/>
        </w:rPr>
        <w:lastRenderedPageBreak/>
        <w:t>The main points to note in the outturn expenditure position as</w:t>
      </w:r>
      <w:r w:rsidR="003A3805">
        <w:rPr>
          <w:rFonts w:ascii="Arial" w:hAnsi="Arial" w:cs="Arial"/>
          <w:sz w:val="22"/>
          <w:szCs w:val="22"/>
        </w:rPr>
        <w:t xml:space="preserve"> at 31 December</w:t>
      </w:r>
      <w:r w:rsidR="001E2FDD">
        <w:rPr>
          <w:rFonts w:ascii="Arial" w:hAnsi="Arial" w:cs="Arial"/>
          <w:sz w:val="22"/>
          <w:szCs w:val="22"/>
        </w:rPr>
        <w:t xml:space="preserve"> </w:t>
      </w:r>
      <w:r w:rsidR="00A64613">
        <w:rPr>
          <w:rFonts w:ascii="Arial" w:hAnsi="Arial" w:cs="Arial"/>
          <w:sz w:val="22"/>
          <w:szCs w:val="22"/>
        </w:rPr>
        <w:t>2015</w:t>
      </w:r>
      <w:r w:rsidR="00936A58">
        <w:rPr>
          <w:rFonts w:ascii="Arial" w:hAnsi="Arial" w:cs="Arial"/>
          <w:sz w:val="22"/>
          <w:szCs w:val="22"/>
        </w:rPr>
        <w:t xml:space="preserve"> of </w:t>
      </w:r>
      <w:r w:rsidR="00936A58" w:rsidRPr="009B4C8D">
        <w:rPr>
          <w:rFonts w:ascii="Arial" w:hAnsi="Arial" w:cs="Arial"/>
          <w:sz w:val="22"/>
          <w:szCs w:val="22"/>
        </w:rPr>
        <w:t>£</w:t>
      </w:r>
      <w:r w:rsidR="003A3805">
        <w:rPr>
          <w:rFonts w:ascii="Arial" w:hAnsi="Arial" w:cs="Arial"/>
          <w:sz w:val="22"/>
          <w:szCs w:val="22"/>
        </w:rPr>
        <w:t>9.14</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Default="002B67AD" w:rsidP="001F7421">
      <w:pPr>
        <w:pStyle w:val="ListParagraph"/>
        <w:numPr>
          <w:ilvl w:val="0"/>
          <w:numId w:val="17"/>
        </w:numPr>
        <w:jc w:val="both"/>
        <w:rPr>
          <w:rFonts w:ascii="Arial" w:hAnsi="Arial" w:cs="Arial"/>
          <w:sz w:val="22"/>
          <w:szCs w:val="22"/>
        </w:rPr>
      </w:pPr>
      <w:r w:rsidRPr="001F7421">
        <w:rPr>
          <w:rFonts w:ascii="Arial" w:hAnsi="Arial" w:cs="Arial"/>
          <w:sz w:val="22"/>
          <w:szCs w:val="22"/>
        </w:rPr>
        <w:t>Total pa</w:t>
      </w:r>
      <w:r w:rsidR="000C5914" w:rsidRPr="001F7421">
        <w:rPr>
          <w:rFonts w:ascii="Arial" w:hAnsi="Arial" w:cs="Arial"/>
          <w:sz w:val="22"/>
          <w:szCs w:val="22"/>
        </w:rPr>
        <w:t xml:space="preserve">y </w:t>
      </w:r>
      <w:r w:rsidR="00DC096C" w:rsidRPr="001F7421">
        <w:rPr>
          <w:rFonts w:ascii="Arial" w:hAnsi="Arial" w:cs="Arial"/>
          <w:sz w:val="22"/>
          <w:szCs w:val="22"/>
        </w:rPr>
        <w:t>costs incurred to date are £</w:t>
      </w:r>
      <w:r w:rsidR="003A3805">
        <w:rPr>
          <w:rFonts w:ascii="Arial" w:hAnsi="Arial" w:cs="Arial"/>
          <w:sz w:val="22"/>
          <w:szCs w:val="22"/>
        </w:rPr>
        <w:t>5.93</w:t>
      </w:r>
      <w:r w:rsidR="004B5C87" w:rsidRPr="001F7421">
        <w:rPr>
          <w:rFonts w:ascii="Arial" w:hAnsi="Arial" w:cs="Arial"/>
          <w:sz w:val="22"/>
          <w:szCs w:val="22"/>
        </w:rPr>
        <w:t>m</w:t>
      </w:r>
      <w:r w:rsidR="00EF27D7" w:rsidRPr="001F7421">
        <w:rPr>
          <w:rFonts w:ascii="Arial" w:hAnsi="Arial" w:cs="Arial"/>
          <w:sz w:val="22"/>
          <w:szCs w:val="22"/>
        </w:rPr>
        <w:t xml:space="preserve"> (6</w:t>
      </w:r>
      <w:r w:rsidR="003A3805">
        <w:rPr>
          <w:rFonts w:ascii="Arial" w:hAnsi="Arial" w:cs="Arial"/>
          <w:sz w:val="22"/>
          <w:szCs w:val="22"/>
        </w:rPr>
        <w:t>5</w:t>
      </w:r>
      <w:r w:rsidR="003A4D87">
        <w:rPr>
          <w:rFonts w:ascii="Arial" w:hAnsi="Arial" w:cs="Arial"/>
          <w:sz w:val="22"/>
          <w:szCs w:val="22"/>
        </w:rPr>
        <w:t>%</w:t>
      </w:r>
      <w:r w:rsidR="00EF27D7" w:rsidRPr="001F7421">
        <w:rPr>
          <w:rFonts w:ascii="Arial" w:hAnsi="Arial" w:cs="Arial"/>
          <w:sz w:val="22"/>
          <w:szCs w:val="22"/>
        </w:rPr>
        <w:t xml:space="preserve"> of total expenditure costs</w:t>
      </w:r>
      <w:r w:rsidR="003A4D87">
        <w:rPr>
          <w:rFonts w:ascii="Arial" w:hAnsi="Arial" w:cs="Arial"/>
          <w:sz w:val="22"/>
          <w:szCs w:val="22"/>
        </w:rPr>
        <w:t>)</w:t>
      </w:r>
      <w:r w:rsidR="00EF27D7" w:rsidRPr="001F7421">
        <w:rPr>
          <w:rFonts w:ascii="Arial" w:hAnsi="Arial" w:cs="Arial"/>
          <w:sz w:val="22"/>
          <w:szCs w:val="22"/>
        </w:rPr>
        <w:t>.</w:t>
      </w:r>
      <w:r w:rsidR="000C5914" w:rsidRPr="001F7421">
        <w:rPr>
          <w:rFonts w:ascii="Arial" w:hAnsi="Arial" w:cs="Arial"/>
          <w:sz w:val="22"/>
          <w:szCs w:val="22"/>
        </w:rPr>
        <w:t xml:space="preserve"> </w:t>
      </w:r>
    </w:p>
    <w:p w:rsidR="005642DD" w:rsidRDefault="00872F97" w:rsidP="005642DD">
      <w:pPr>
        <w:pStyle w:val="ListParagraph"/>
        <w:numPr>
          <w:ilvl w:val="0"/>
          <w:numId w:val="17"/>
        </w:numPr>
        <w:jc w:val="both"/>
        <w:rPr>
          <w:rFonts w:ascii="Arial" w:hAnsi="Arial" w:cs="Arial"/>
          <w:sz w:val="22"/>
          <w:szCs w:val="22"/>
        </w:rPr>
      </w:pPr>
      <w:r>
        <w:rPr>
          <w:rFonts w:ascii="Arial" w:hAnsi="Arial" w:cs="Arial"/>
          <w:sz w:val="22"/>
          <w:szCs w:val="22"/>
        </w:rPr>
        <w:t>Of this, £552</w:t>
      </w:r>
      <w:r w:rsidR="00B44CC0">
        <w:rPr>
          <w:rFonts w:ascii="Arial" w:hAnsi="Arial" w:cs="Arial"/>
          <w:sz w:val="22"/>
          <w:szCs w:val="22"/>
        </w:rPr>
        <w:t xml:space="preserve">k </w:t>
      </w:r>
      <w:r>
        <w:rPr>
          <w:rFonts w:ascii="Arial" w:hAnsi="Arial" w:cs="Arial"/>
          <w:sz w:val="22"/>
          <w:szCs w:val="22"/>
        </w:rPr>
        <w:t>(9.3</w:t>
      </w:r>
      <w:r w:rsidR="001540D4">
        <w:rPr>
          <w:rFonts w:ascii="Arial" w:hAnsi="Arial" w:cs="Arial"/>
          <w:sz w:val="22"/>
          <w:szCs w:val="22"/>
        </w:rPr>
        <w:t xml:space="preserve">%) </w:t>
      </w:r>
      <w:r w:rsidR="00B44CC0">
        <w:rPr>
          <w:rFonts w:ascii="Arial" w:hAnsi="Arial" w:cs="Arial"/>
          <w:sz w:val="22"/>
          <w:szCs w:val="22"/>
        </w:rPr>
        <w:t>relates to agency costs</w:t>
      </w:r>
      <w:r w:rsidR="006A2EF1">
        <w:rPr>
          <w:rFonts w:ascii="Arial" w:hAnsi="Arial" w:cs="Arial"/>
          <w:sz w:val="22"/>
          <w:szCs w:val="22"/>
        </w:rPr>
        <w:t>. These costs include</w:t>
      </w:r>
      <w:r w:rsidR="00CC740F">
        <w:rPr>
          <w:rFonts w:ascii="Arial" w:hAnsi="Arial" w:cs="Arial"/>
          <w:sz w:val="22"/>
          <w:szCs w:val="22"/>
        </w:rPr>
        <w:t xml:space="preserve"> </w:t>
      </w:r>
      <w:r w:rsidR="00B44CC0">
        <w:rPr>
          <w:rFonts w:ascii="Arial" w:hAnsi="Arial" w:cs="Arial"/>
          <w:sz w:val="22"/>
          <w:szCs w:val="22"/>
        </w:rPr>
        <w:t xml:space="preserve">key research information systems </w:t>
      </w:r>
      <w:r w:rsidR="007B0DBE">
        <w:rPr>
          <w:rFonts w:ascii="Arial" w:hAnsi="Arial" w:cs="Arial"/>
          <w:sz w:val="22"/>
          <w:szCs w:val="22"/>
        </w:rPr>
        <w:t xml:space="preserve">staff </w:t>
      </w:r>
      <w:proofErr w:type="gramStart"/>
      <w:r w:rsidR="00CC740F">
        <w:rPr>
          <w:rFonts w:ascii="Arial" w:hAnsi="Arial" w:cs="Arial"/>
          <w:sz w:val="22"/>
          <w:szCs w:val="22"/>
        </w:rPr>
        <w:t>who</w:t>
      </w:r>
      <w:proofErr w:type="gramEnd"/>
      <w:r w:rsidR="00CC740F">
        <w:rPr>
          <w:rFonts w:ascii="Arial" w:hAnsi="Arial" w:cs="Arial"/>
          <w:sz w:val="22"/>
          <w:szCs w:val="22"/>
        </w:rPr>
        <w:t xml:space="preserve"> are </w:t>
      </w:r>
      <w:r w:rsidR="007B0DBE">
        <w:rPr>
          <w:rFonts w:ascii="Arial" w:hAnsi="Arial" w:cs="Arial"/>
          <w:sz w:val="22"/>
          <w:szCs w:val="22"/>
        </w:rPr>
        <w:t>progress</w:t>
      </w:r>
      <w:r w:rsidR="00CC740F">
        <w:rPr>
          <w:rFonts w:ascii="Arial" w:hAnsi="Arial" w:cs="Arial"/>
          <w:sz w:val="22"/>
          <w:szCs w:val="22"/>
        </w:rPr>
        <w:t>ing</w:t>
      </w:r>
      <w:r w:rsidR="008960CE">
        <w:rPr>
          <w:rFonts w:ascii="Arial" w:hAnsi="Arial" w:cs="Arial"/>
          <w:sz w:val="22"/>
          <w:szCs w:val="22"/>
        </w:rPr>
        <w:t xml:space="preserve"> c</w:t>
      </w:r>
      <w:r>
        <w:rPr>
          <w:rFonts w:ascii="Arial" w:hAnsi="Arial" w:cs="Arial"/>
          <w:sz w:val="22"/>
          <w:szCs w:val="22"/>
        </w:rPr>
        <w:t>ritical work which to December</w:t>
      </w:r>
      <w:r w:rsidR="008960CE">
        <w:rPr>
          <w:rFonts w:ascii="Arial" w:hAnsi="Arial" w:cs="Arial"/>
          <w:sz w:val="22"/>
          <w:szCs w:val="22"/>
        </w:rPr>
        <w:t xml:space="preserve"> repre</w:t>
      </w:r>
      <w:r>
        <w:rPr>
          <w:rFonts w:ascii="Arial" w:hAnsi="Arial" w:cs="Arial"/>
          <w:sz w:val="22"/>
          <w:szCs w:val="22"/>
        </w:rPr>
        <w:t xml:space="preserve">sented 64% of the </w:t>
      </w:r>
      <w:r w:rsidR="005642DD">
        <w:rPr>
          <w:rFonts w:ascii="Arial" w:hAnsi="Arial" w:cs="Arial"/>
          <w:sz w:val="22"/>
          <w:szCs w:val="22"/>
        </w:rPr>
        <w:t>agency costs.</w:t>
      </w:r>
      <w:r w:rsidR="00F961F3">
        <w:rPr>
          <w:rFonts w:ascii="Arial" w:hAnsi="Arial" w:cs="Arial"/>
          <w:sz w:val="22"/>
          <w:szCs w:val="22"/>
        </w:rPr>
        <w:t xml:space="preserve">  The Research Information Systems Strategy is under development which includes consideration of the mix of permanent and contractor roles moving forward.</w:t>
      </w:r>
    </w:p>
    <w:p w:rsidR="00B44CC0" w:rsidRPr="005642DD" w:rsidRDefault="00872F97" w:rsidP="005642DD">
      <w:pPr>
        <w:pStyle w:val="ListParagraph"/>
        <w:numPr>
          <w:ilvl w:val="0"/>
          <w:numId w:val="17"/>
        </w:numPr>
        <w:jc w:val="both"/>
        <w:rPr>
          <w:rFonts w:ascii="Arial" w:hAnsi="Arial" w:cs="Arial"/>
          <w:sz w:val="22"/>
          <w:szCs w:val="22"/>
        </w:rPr>
      </w:pPr>
      <w:r>
        <w:rPr>
          <w:rFonts w:ascii="Arial" w:hAnsi="Arial" w:cs="Arial"/>
          <w:sz w:val="22"/>
          <w:szCs w:val="22"/>
        </w:rPr>
        <w:t>£5k of the December</w:t>
      </w:r>
      <w:r w:rsidR="005642DD">
        <w:rPr>
          <w:rFonts w:ascii="Arial" w:hAnsi="Arial" w:cs="Arial"/>
          <w:sz w:val="22"/>
          <w:szCs w:val="22"/>
        </w:rPr>
        <w:t xml:space="preserve"> pay costs relates to overtime that </w:t>
      </w:r>
      <w:proofErr w:type="gramStart"/>
      <w:r w:rsidR="005642DD">
        <w:rPr>
          <w:rFonts w:ascii="Arial" w:hAnsi="Arial" w:cs="Arial"/>
          <w:sz w:val="22"/>
          <w:szCs w:val="22"/>
        </w:rPr>
        <w:t>staff have</w:t>
      </w:r>
      <w:proofErr w:type="gramEnd"/>
      <w:r w:rsidR="005642DD">
        <w:rPr>
          <w:rFonts w:ascii="Arial" w:hAnsi="Arial" w:cs="Arial"/>
          <w:sz w:val="22"/>
          <w:szCs w:val="22"/>
        </w:rPr>
        <w:t xml:space="preserve"> worked to help cover vacancies for which we are extremely grateful.</w:t>
      </w:r>
      <w:r w:rsidR="00CC740F" w:rsidRPr="005642DD">
        <w:rPr>
          <w:rFonts w:ascii="Arial" w:hAnsi="Arial" w:cs="Arial"/>
          <w:sz w:val="22"/>
          <w:szCs w:val="22"/>
        </w:rPr>
        <w:t xml:space="preserve"> </w:t>
      </w:r>
      <w:r w:rsidR="005642DD">
        <w:rPr>
          <w:rFonts w:ascii="Arial" w:hAnsi="Arial" w:cs="Arial"/>
          <w:sz w:val="22"/>
          <w:szCs w:val="22"/>
        </w:rPr>
        <w:t xml:space="preserve"> Year to </w:t>
      </w:r>
      <w:proofErr w:type="gramStart"/>
      <w:r w:rsidR="005642DD">
        <w:rPr>
          <w:rFonts w:ascii="Arial" w:hAnsi="Arial" w:cs="Arial"/>
          <w:sz w:val="22"/>
          <w:szCs w:val="22"/>
        </w:rPr>
        <w:t>date,</w:t>
      </w:r>
      <w:proofErr w:type="gramEnd"/>
      <w:r w:rsidR="005642DD">
        <w:rPr>
          <w:rFonts w:ascii="Arial" w:hAnsi="Arial" w:cs="Arial"/>
          <w:sz w:val="22"/>
          <w:szCs w:val="22"/>
        </w:rPr>
        <w:t xml:space="preserve"> overtime costs amount to</w:t>
      </w:r>
      <w:r>
        <w:rPr>
          <w:rFonts w:ascii="Arial" w:hAnsi="Arial" w:cs="Arial"/>
          <w:sz w:val="22"/>
          <w:szCs w:val="22"/>
        </w:rPr>
        <w:t xml:space="preserve"> £59</w:t>
      </w:r>
      <w:r w:rsidR="005642DD">
        <w:rPr>
          <w:rFonts w:ascii="Arial" w:hAnsi="Arial" w:cs="Arial"/>
          <w:sz w:val="22"/>
          <w:szCs w:val="22"/>
        </w:rPr>
        <w:t>k.</w:t>
      </w:r>
    </w:p>
    <w:p w:rsidR="005B0FDB" w:rsidRPr="005B0FDB" w:rsidRDefault="005B0FDB" w:rsidP="00A6115B">
      <w:pPr>
        <w:pStyle w:val="ListParagraph"/>
        <w:numPr>
          <w:ilvl w:val="0"/>
          <w:numId w:val="17"/>
        </w:numPr>
        <w:jc w:val="both"/>
        <w:rPr>
          <w:rFonts w:ascii="Arial" w:hAnsi="Arial" w:cs="Arial"/>
          <w:sz w:val="22"/>
          <w:szCs w:val="22"/>
        </w:rPr>
      </w:pPr>
      <w:r>
        <w:rPr>
          <w:rFonts w:ascii="Arial" w:hAnsi="Arial" w:cs="Arial"/>
          <w:sz w:val="22"/>
          <w:szCs w:val="22"/>
        </w:rPr>
        <w:t xml:space="preserve">The largest element of </w:t>
      </w:r>
      <w:r w:rsidR="00773FB5">
        <w:rPr>
          <w:rFonts w:ascii="Arial" w:hAnsi="Arial" w:cs="Arial"/>
          <w:sz w:val="22"/>
          <w:szCs w:val="22"/>
        </w:rPr>
        <w:t xml:space="preserve">the </w:t>
      </w:r>
      <w:r w:rsidR="00C04A23">
        <w:rPr>
          <w:rFonts w:ascii="Arial" w:hAnsi="Arial" w:cs="Arial"/>
          <w:sz w:val="22"/>
          <w:szCs w:val="22"/>
        </w:rPr>
        <w:t>under spend</w:t>
      </w:r>
      <w:r>
        <w:rPr>
          <w:rFonts w:ascii="Arial" w:hAnsi="Arial" w:cs="Arial"/>
          <w:sz w:val="22"/>
          <w:szCs w:val="22"/>
        </w:rPr>
        <w:t xml:space="preserve"> </w:t>
      </w:r>
      <w:r w:rsidR="00773FB5">
        <w:rPr>
          <w:rFonts w:ascii="Arial" w:hAnsi="Arial" w:cs="Arial"/>
          <w:sz w:val="22"/>
          <w:szCs w:val="22"/>
        </w:rPr>
        <w:t xml:space="preserve">year to date </w:t>
      </w:r>
      <w:r>
        <w:rPr>
          <w:rFonts w:ascii="Arial" w:hAnsi="Arial" w:cs="Arial"/>
          <w:sz w:val="22"/>
          <w:szCs w:val="22"/>
        </w:rPr>
        <w:t xml:space="preserve">relates to </w:t>
      </w:r>
      <w:r w:rsidR="00605553">
        <w:rPr>
          <w:rFonts w:ascii="Arial" w:hAnsi="Arial" w:cs="Arial"/>
          <w:sz w:val="22"/>
          <w:szCs w:val="22"/>
        </w:rPr>
        <w:t xml:space="preserve">the </w:t>
      </w:r>
      <w:r w:rsidR="007B0DBE">
        <w:rPr>
          <w:rFonts w:ascii="Arial" w:hAnsi="Arial" w:cs="Arial"/>
          <w:sz w:val="22"/>
          <w:szCs w:val="22"/>
        </w:rPr>
        <w:t>O</w:t>
      </w:r>
      <w:r w:rsidR="00773FB5">
        <w:rPr>
          <w:rFonts w:ascii="Arial" w:hAnsi="Arial" w:cs="Arial"/>
          <w:sz w:val="22"/>
          <w:szCs w:val="22"/>
        </w:rPr>
        <w:t xml:space="preserve">perations </w:t>
      </w:r>
      <w:r w:rsidR="00605553">
        <w:rPr>
          <w:rFonts w:ascii="Arial" w:hAnsi="Arial" w:cs="Arial"/>
          <w:sz w:val="22"/>
          <w:szCs w:val="22"/>
        </w:rPr>
        <w:t xml:space="preserve">directorate </w:t>
      </w:r>
      <w:r w:rsidR="00BC7822">
        <w:rPr>
          <w:rFonts w:ascii="Arial" w:hAnsi="Arial" w:cs="Arial"/>
          <w:sz w:val="22"/>
          <w:szCs w:val="22"/>
        </w:rPr>
        <w:t xml:space="preserve">with a further </w:t>
      </w:r>
      <w:r w:rsidR="00C04A23">
        <w:rPr>
          <w:rFonts w:ascii="Arial" w:hAnsi="Arial" w:cs="Arial"/>
          <w:sz w:val="22"/>
          <w:szCs w:val="22"/>
        </w:rPr>
        <w:t>under spend</w:t>
      </w:r>
      <w:r w:rsidR="00BC7822">
        <w:rPr>
          <w:rFonts w:ascii="Arial" w:hAnsi="Arial" w:cs="Arial"/>
          <w:sz w:val="22"/>
          <w:szCs w:val="22"/>
        </w:rPr>
        <w:t xml:space="preserve"> relating to </w:t>
      </w:r>
      <w:r w:rsidR="00A6115B" w:rsidRPr="00A6115B">
        <w:rPr>
          <w:rFonts w:ascii="Arial" w:hAnsi="Arial" w:cs="Arial"/>
          <w:sz w:val="22"/>
          <w:szCs w:val="22"/>
        </w:rPr>
        <w:t>Research Systems, Standards and</w:t>
      </w:r>
      <w:r w:rsidR="00A6115B">
        <w:rPr>
          <w:rFonts w:ascii="Arial" w:hAnsi="Arial" w:cs="Arial"/>
          <w:sz w:val="22"/>
          <w:szCs w:val="22"/>
        </w:rPr>
        <w:t xml:space="preserve"> HRA Approval Prog</w:t>
      </w:r>
      <w:r w:rsidR="00056576">
        <w:rPr>
          <w:rFonts w:ascii="Arial" w:hAnsi="Arial" w:cs="Arial"/>
          <w:sz w:val="22"/>
          <w:szCs w:val="22"/>
        </w:rPr>
        <w:t>ramme</w:t>
      </w:r>
      <w:r w:rsidR="00A6115B">
        <w:rPr>
          <w:rFonts w:ascii="Arial" w:hAnsi="Arial" w:cs="Arial"/>
          <w:sz w:val="22"/>
          <w:szCs w:val="22"/>
        </w:rPr>
        <w:t xml:space="preserve"> Directorate</w:t>
      </w:r>
      <w:r w:rsidR="00773FB5">
        <w:rPr>
          <w:rFonts w:ascii="Arial" w:hAnsi="Arial" w:cs="Arial"/>
          <w:sz w:val="22"/>
          <w:szCs w:val="22"/>
        </w:rPr>
        <w:t>.</w:t>
      </w:r>
    </w:p>
    <w:p w:rsidR="00773FB5" w:rsidRPr="009D48D2" w:rsidRDefault="00CC7BEE" w:rsidP="009D48D2">
      <w:pPr>
        <w:pStyle w:val="ListParagraph"/>
        <w:numPr>
          <w:ilvl w:val="0"/>
          <w:numId w:val="17"/>
        </w:numPr>
        <w:rPr>
          <w:rFonts w:ascii="Arial" w:hAnsi="Arial" w:cs="Arial"/>
          <w:sz w:val="22"/>
          <w:szCs w:val="22"/>
        </w:rPr>
      </w:pPr>
      <w:r w:rsidRPr="00AA70A4">
        <w:rPr>
          <w:rFonts w:ascii="Arial" w:hAnsi="Arial" w:cs="Arial"/>
          <w:sz w:val="22"/>
          <w:szCs w:val="22"/>
        </w:rPr>
        <w:t xml:space="preserve">Considerable work </w:t>
      </w:r>
      <w:r w:rsidR="00773FB5">
        <w:rPr>
          <w:rFonts w:ascii="Arial" w:hAnsi="Arial" w:cs="Arial"/>
          <w:sz w:val="22"/>
          <w:szCs w:val="22"/>
        </w:rPr>
        <w:t xml:space="preserve">continues to be </w:t>
      </w:r>
      <w:r w:rsidRPr="00AA70A4">
        <w:rPr>
          <w:rFonts w:ascii="Arial" w:hAnsi="Arial" w:cs="Arial"/>
          <w:sz w:val="22"/>
          <w:szCs w:val="22"/>
        </w:rPr>
        <w:t xml:space="preserve">deployed into the recruitment phases supporting </w:t>
      </w:r>
      <w:r w:rsidR="001B0CA4" w:rsidRPr="00AA70A4">
        <w:rPr>
          <w:rFonts w:ascii="Arial" w:hAnsi="Arial" w:cs="Arial"/>
          <w:sz w:val="22"/>
          <w:szCs w:val="22"/>
        </w:rPr>
        <w:t xml:space="preserve">the </w:t>
      </w:r>
      <w:r w:rsidRPr="00AA70A4">
        <w:rPr>
          <w:rFonts w:ascii="Arial" w:hAnsi="Arial" w:cs="Arial"/>
          <w:sz w:val="22"/>
          <w:szCs w:val="22"/>
        </w:rPr>
        <w:t>HRA Approval</w:t>
      </w:r>
      <w:r w:rsidR="001B0CA4" w:rsidRPr="00AA70A4">
        <w:rPr>
          <w:rFonts w:ascii="Arial" w:hAnsi="Arial" w:cs="Arial"/>
          <w:sz w:val="22"/>
          <w:szCs w:val="22"/>
        </w:rPr>
        <w:t xml:space="preserve"> programme</w:t>
      </w:r>
      <w:r w:rsidRPr="00AA70A4">
        <w:rPr>
          <w:rFonts w:ascii="Arial" w:hAnsi="Arial" w:cs="Arial"/>
          <w:sz w:val="22"/>
          <w:szCs w:val="22"/>
        </w:rPr>
        <w:t xml:space="preserve">.  </w:t>
      </w:r>
      <w:r w:rsidR="007C5F95">
        <w:rPr>
          <w:rFonts w:ascii="Arial" w:hAnsi="Arial" w:cs="Arial"/>
          <w:sz w:val="22"/>
          <w:szCs w:val="22"/>
        </w:rPr>
        <w:t>Reporting from senior managers in December indicates that recruitment is mostly complete now, pending confirmation of profile of actual start dates</w:t>
      </w:r>
      <w:r w:rsidR="00773FB5">
        <w:rPr>
          <w:rFonts w:ascii="Arial" w:hAnsi="Arial" w:cs="Arial"/>
          <w:sz w:val="22"/>
          <w:szCs w:val="22"/>
        </w:rPr>
        <w:t>.  T</w:t>
      </w:r>
      <w:r w:rsidR="002B67AD" w:rsidRPr="00AA70A4">
        <w:rPr>
          <w:rFonts w:ascii="Arial" w:hAnsi="Arial" w:cs="Arial"/>
          <w:sz w:val="22"/>
          <w:szCs w:val="22"/>
        </w:rPr>
        <w:t xml:space="preserve">he profile of </w:t>
      </w:r>
      <w:r w:rsidR="000949D1">
        <w:rPr>
          <w:rFonts w:ascii="Arial" w:hAnsi="Arial" w:cs="Arial"/>
          <w:sz w:val="22"/>
          <w:szCs w:val="22"/>
        </w:rPr>
        <w:t xml:space="preserve">actual </w:t>
      </w:r>
      <w:r w:rsidR="002B67AD" w:rsidRPr="00AA70A4">
        <w:rPr>
          <w:rFonts w:ascii="Arial" w:hAnsi="Arial" w:cs="Arial"/>
          <w:sz w:val="22"/>
          <w:szCs w:val="22"/>
        </w:rPr>
        <w:t xml:space="preserve">starters is set out </w:t>
      </w:r>
      <w:r w:rsidR="00AA70A4" w:rsidRPr="00AA70A4">
        <w:rPr>
          <w:rFonts w:ascii="Arial" w:hAnsi="Arial" w:cs="Arial"/>
          <w:sz w:val="22"/>
          <w:szCs w:val="22"/>
        </w:rPr>
        <w:t xml:space="preserve">in the </w:t>
      </w:r>
      <w:r w:rsidR="009D48D2">
        <w:rPr>
          <w:rFonts w:ascii="Arial" w:hAnsi="Arial" w:cs="Arial"/>
          <w:sz w:val="22"/>
          <w:szCs w:val="22"/>
        </w:rPr>
        <w:t>T</w:t>
      </w:r>
      <w:r w:rsidR="00AA70A4" w:rsidRPr="009D48D2">
        <w:rPr>
          <w:rFonts w:ascii="Arial" w:hAnsi="Arial" w:cs="Arial"/>
          <w:sz w:val="22"/>
          <w:szCs w:val="22"/>
        </w:rPr>
        <w:t xml:space="preserve">able </w:t>
      </w:r>
      <w:r w:rsidR="009D48D2">
        <w:rPr>
          <w:rFonts w:ascii="Arial" w:hAnsi="Arial" w:cs="Arial"/>
          <w:sz w:val="22"/>
          <w:szCs w:val="22"/>
        </w:rPr>
        <w:t>2 below</w:t>
      </w:r>
      <w:r w:rsidR="00447D56">
        <w:rPr>
          <w:rFonts w:ascii="Arial" w:hAnsi="Arial" w:cs="Arial"/>
          <w:sz w:val="22"/>
          <w:szCs w:val="22"/>
        </w:rPr>
        <w:t xml:space="preserve"> and shows that there are still a significant number of new starters yet to join the payroll</w:t>
      </w:r>
      <w:r w:rsidR="000949D1">
        <w:rPr>
          <w:rFonts w:ascii="Arial" w:hAnsi="Arial" w:cs="Arial"/>
          <w:sz w:val="22"/>
          <w:szCs w:val="22"/>
        </w:rPr>
        <w:t xml:space="preserve">. </w:t>
      </w:r>
      <w:r w:rsidR="00447D56">
        <w:rPr>
          <w:rFonts w:ascii="Arial" w:hAnsi="Arial" w:cs="Arial"/>
          <w:sz w:val="22"/>
          <w:szCs w:val="22"/>
        </w:rPr>
        <w:t xml:space="preserve"> (</w:t>
      </w:r>
      <w:r w:rsidR="00696B24">
        <w:rPr>
          <w:rFonts w:ascii="Arial" w:hAnsi="Arial" w:cs="Arial"/>
          <w:sz w:val="22"/>
          <w:szCs w:val="22"/>
        </w:rPr>
        <w:t>Revision to the phase 4 plan relate</w:t>
      </w:r>
      <w:r w:rsidR="001540D4">
        <w:rPr>
          <w:rFonts w:ascii="Arial" w:hAnsi="Arial" w:cs="Arial"/>
          <w:sz w:val="22"/>
          <w:szCs w:val="22"/>
        </w:rPr>
        <w:t>s</w:t>
      </w:r>
      <w:r w:rsidR="00696B24">
        <w:rPr>
          <w:rFonts w:ascii="Arial" w:hAnsi="Arial" w:cs="Arial"/>
          <w:sz w:val="22"/>
          <w:szCs w:val="22"/>
        </w:rPr>
        <w:t xml:space="preserve"> to extending the current RIS contractor roles and removal of previously identified potential RIS roles.  There has also been some re</w:t>
      </w:r>
      <w:r w:rsidR="00605553">
        <w:rPr>
          <w:rFonts w:ascii="Arial" w:hAnsi="Arial" w:cs="Arial"/>
          <w:sz w:val="22"/>
          <w:szCs w:val="22"/>
        </w:rPr>
        <w:t>-</w:t>
      </w:r>
      <w:r w:rsidR="00696B24">
        <w:rPr>
          <w:rFonts w:ascii="Arial" w:hAnsi="Arial" w:cs="Arial"/>
          <w:sz w:val="22"/>
          <w:szCs w:val="22"/>
        </w:rPr>
        <w:t xml:space="preserve">phasing of the planned posts from phase 4 to </w:t>
      </w:r>
      <w:proofErr w:type="gramStart"/>
      <w:r w:rsidR="00696B24">
        <w:rPr>
          <w:rFonts w:ascii="Arial" w:hAnsi="Arial" w:cs="Arial"/>
          <w:sz w:val="22"/>
          <w:szCs w:val="22"/>
        </w:rPr>
        <w:t>phase</w:t>
      </w:r>
      <w:proofErr w:type="gramEnd"/>
      <w:r w:rsidR="00696B24">
        <w:rPr>
          <w:rFonts w:ascii="Arial" w:hAnsi="Arial" w:cs="Arial"/>
          <w:sz w:val="22"/>
          <w:szCs w:val="22"/>
        </w:rPr>
        <w:t xml:space="preserve"> 5.</w:t>
      </w:r>
      <w:r w:rsidR="00447D56">
        <w:rPr>
          <w:rFonts w:ascii="Arial" w:hAnsi="Arial" w:cs="Arial"/>
          <w:sz w:val="22"/>
          <w:szCs w:val="22"/>
        </w:rPr>
        <w:t xml:space="preserve">)  </w:t>
      </w:r>
      <w:r w:rsidR="00696B24">
        <w:rPr>
          <w:rFonts w:ascii="Arial" w:hAnsi="Arial" w:cs="Arial"/>
          <w:sz w:val="22"/>
          <w:szCs w:val="22"/>
        </w:rPr>
        <w:t xml:space="preserve"> </w:t>
      </w:r>
      <w:r w:rsidR="0039756E" w:rsidRPr="009D48D2">
        <w:rPr>
          <w:rFonts w:ascii="Arial" w:hAnsi="Arial" w:cs="Arial"/>
          <w:sz w:val="22"/>
          <w:szCs w:val="22"/>
        </w:rPr>
        <w:t xml:space="preserve">Reserves </w:t>
      </w:r>
      <w:r w:rsidR="001B0CA4" w:rsidRPr="009D48D2">
        <w:rPr>
          <w:rFonts w:ascii="Arial" w:hAnsi="Arial" w:cs="Arial"/>
          <w:sz w:val="22"/>
          <w:szCs w:val="22"/>
        </w:rPr>
        <w:t>are not</w:t>
      </w:r>
      <w:r w:rsidR="0039756E" w:rsidRPr="009D48D2">
        <w:rPr>
          <w:rFonts w:ascii="Arial" w:hAnsi="Arial" w:cs="Arial"/>
          <w:sz w:val="22"/>
          <w:szCs w:val="22"/>
        </w:rPr>
        <w:t xml:space="preserve"> released for posts until approvals for grading</w:t>
      </w:r>
      <w:r w:rsidR="00044D07">
        <w:rPr>
          <w:rFonts w:ascii="Arial" w:hAnsi="Arial" w:cs="Arial"/>
          <w:sz w:val="22"/>
          <w:szCs w:val="22"/>
        </w:rPr>
        <w:t>’</w:t>
      </w:r>
      <w:r w:rsidR="0039756E" w:rsidRPr="009D48D2">
        <w:rPr>
          <w:rFonts w:ascii="Arial" w:hAnsi="Arial" w:cs="Arial"/>
          <w:sz w:val="22"/>
          <w:szCs w:val="22"/>
        </w:rPr>
        <w:t xml:space="preserve">s, recruitment and timing </w:t>
      </w:r>
      <w:proofErr w:type="gramStart"/>
      <w:r w:rsidR="001B0CA4" w:rsidRPr="009D48D2">
        <w:rPr>
          <w:rFonts w:ascii="Arial" w:hAnsi="Arial" w:cs="Arial"/>
          <w:sz w:val="22"/>
          <w:szCs w:val="22"/>
        </w:rPr>
        <w:t>are</w:t>
      </w:r>
      <w:proofErr w:type="gramEnd"/>
      <w:r w:rsidR="001B0CA4" w:rsidRPr="009D48D2">
        <w:rPr>
          <w:rFonts w:ascii="Arial" w:hAnsi="Arial" w:cs="Arial"/>
          <w:sz w:val="22"/>
          <w:szCs w:val="22"/>
        </w:rPr>
        <w:t xml:space="preserve"> </w:t>
      </w:r>
      <w:r w:rsidR="00AA70A4" w:rsidRPr="009D48D2">
        <w:rPr>
          <w:rFonts w:ascii="Arial" w:hAnsi="Arial" w:cs="Arial"/>
          <w:sz w:val="22"/>
          <w:szCs w:val="22"/>
        </w:rPr>
        <w:t xml:space="preserve">clear and </w:t>
      </w:r>
      <w:r w:rsidR="001B0CA4" w:rsidRPr="009D48D2">
        <w:rPr>
          <w:rFonts w:ascii="Arial" w:hAnsi="Arial" w:cs="Arial"/>
          <w:sz w:val="22"/>
          <w:szCs w:val="22"/>
        </w:rPr>
        <w:t>in place</w:t>
      </w:r>
      <w:r w:rsidR="00C04A23">
        <w:rPr>
          <w:rFonts w:ascii="Arial" w:hAnsi="Arial" w:cs="Arial"/>
          <w:sz w:val="22"/>
          <w:szCs w:val="22"/>
        </w:rPr>
        <w:t>. The related slippage against earmarked reserves for these posts is tracked as</w:t>
      </w:r>
      <w:r w:rsidR="00311080">
        <w:rPr>
          <w:rFonts w:ascii="Arial" w:hAnsi="Arial" w:cs="Arial"/>
          <w:sz w:val="22"/>
          <w:szCs w:val="22"/>
        </w:rPr>
        <w:t xml:space="preserve"> part of under spend management, and this has seen an increase in the period to end of December. </w:t>
      </w:r>
      <w:r w:rsidR="00222CFA">
        <w:rPr>
          <w:rFonts w:ascii="Arial" w:hAnsi="Arial" w:cs="Arial"/>
          <w:sz w:val="22"/>
          <w:szCs w:val="22"/>
        </w:rPr>
        <w:t xml:space="preserve"> New recruits have largely been appointed at the bottom of the </w:t>
      </w:r>
      <w:proofErr w:type="gramStart"/>
      <w:r w:rsidR="00222CFA">
        <w:rPr>
          <w:rFonts w:ascii="Arial" w:hAnsi="Arial" w:cs="Arial"/>
          <w:sz w:val="22"/>
          <w:szCs w:val="22"/>
        </w:rPr>
        <w:t>scale,</w:t>
      </w:r>
      <w:proofErr w:type="gramEnd"/>
      <w:r w:rsidR="00222CFA">
        <w:rPr>
          <w:rFonts w:ascii="Arial" w:hAnsi="Arial" w:cs="Arial"/>
          <w:sz w:val="22"/>
          <w:szCs w:val="22"/>
        </w:rPr>
        <w:t xml:space="preserve"> however the budgets for these posts had been based on </w:t>
      </w:r>
      <w:proofErr w:type="spellStart"/>
      <w:r w:rsidR="00222CFA">
        <w:rPr>
          <w:rFonts w:ascii="Arial" w:hAnsi="Arial" w:cs="Arial"/>
          <w:sz w:val="22"/>
          <w:szCs w:val="22"/>
        </w:rPr>
        <w:t>mid point</w:t>
      </w:r>
      <w:proofErr w:type="spellEnd"/>
      <w:r w:rsidR="00447D56">
        <w:rPr>
          <w:rFonts w:ascii="Arial" w:hAnsi="Arial" w:cs="Arial"/>
          <w:sz w:val="22"/>
          <w:szCs w:val="22"/>
        </w:rPr>
        <w:t>.</w:t>
      </w:r>
    </w:p>
    <w:p w:rsidR="00A7163B" w:rsidRDefault="00A7163B" w:rsidP="00A7163B">
      <w:pPr>
        <w:pStyle w:val="ListParagraph"/>
        <w:ind w:left="1080"/>
        <w:rPr>
          <w:rFonts w:ascii="Arial" w:hAnsi="Arial" w:cs="Arial"/>
          <w:sz w:val="22"/>
          <w:szCs w:val="22"/>
        </w:rPr>
      </w:pPr>
    </w:p>
    <w:p w:rsidR="009D48D2" w:rsidRPr="009D48D2" w:rsidRDefault="009D48D2" w:rsidP="00A7163B">
      <w:pPr>
        <w:pStyle w:val="ListParagraph"/>
        <w:ind w:left="1080"/>
        <w:rPr>
          <w:rFonts w:ascii="Arial" w:hAnsi="Arial" w:cs="Arial"/>
          <w:b/>
          <w:sz w:val="22"/>
          <w:szCs w:val="22"/>
        </w:rPr>
      </w:pPr>
      <w:r w:rsidRPr="009D48D2">
        <w:rPr>
          <w:rFonts w:ascii="Arial" w:hAnsi="Arial" w:cs="Arial"/>
          <w:b/>
          <w:sz w:val="22"/>
          <w:szCs w:val="22"/>
        </w:rPr>
        <w:t xml:space="preserve">Table 2:  </w:t>
      </w:r>
      <w:r w:rsidRPr="00A30E2F">
        <w:rPr>
          <w:rFonts w:ascii="Arial" w:hAnsi="Arial" w:cs="Arial"/>
          <w:b/>
          <w:sz w:val="22"/>
          <w:szCs w:val="22"/>
        </w:rPr>
        <w:t>HRA Recruitment phases</w:t>
      </w:r>
    </w:p>
    <w:tbl>
      <w:tblPr>
        <w:tblW w:w="9300" w:type="dxa"/>
        <w:tblInd w:w="886" w:type="dxa"/>
        <w:tblLook w:val="04A0" w:firstRow="1" w:lastRow="0" w:firstColumn="1" w:lastColumn="0" w:noHBand="0" w:noVBand="1"/>
      </w:tblPr>
      <w:tblGrid>
        <w:gridCol w:w="3460"/>
        <w:gridCol w:w="1560"/>
        <w:gridCol w:w="1320"/>
        <w:gridCol w:w="1040"/>
        <w:gridCol w:w="960"/>
        <w:gridCol w:w="960"/>
      </w:tblGrid>
      <w:tr w:rsidR="006B7149" w:rsidRPr="006B7149" w:rsidTr="006B7149">
        <w:trPr>
          <w:trHeight w:val="300"/>
        </w:trPr>
        <w:tc>
          <w:tcPr>
            <w:tcW w:w="3460"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6B7149" w:rsidRPr="006B7149" w:rsidRDefault="006B7149" w:rsidP="006B7149">
            <w:pPr>
              <w:jc w:val="center"/>
              <w:rPr>
                <w:rFonts w:ascii="Calibri" w:hAnsi="Calibri" w:cs="Calibri"/>
                <w:color w:val="FFFFFF"/>
                <w:sz w:val="22"/>
                <w:szCs w:val="22"/>
              </w:rPr>
            </w:pPr>
            <w:r w:rsidRPr="006B7149">
              <w:rPr>
                <w:rFonts w:ascii="Calibri" w:hAnsi="Calibri" w:cs="Calibri"/>
                <w:color w:val="FFFFFF"/>
                <w:sz w:val="22"/>
                <w:szCs w:val="22"/>
              </w:rPr>
              <w:t> </w:t>
            </w:r>
          </w:p>
        </w:tc>
        <w:tc>
          <w:tcPr>
            <w:tcW w:w="1560" w:type="dxa"/>
            <w:tcBorders>
              <w:top w:val="single" w:sz="8" w:space="0" w:color="auto"/>
              <w:left w:val="nil"/>
              <w:bottom w:val="single" w:sz="4" w:space="0" w:color="auto"/>
              <w:right w:val="single" w:sz="4" w:space="0" w:color="auto"/>
            </w:tcBorders>
            <w:shd w:val="clear" w:color="000000" w:fill="56008C"/>
            <w:noWrap/>
            <w:vAlign w:val="bottom"/>
            <w:hideMark/>
          </w:tcPr>
          <w:p w:rsidR="006B7149" w:rsidRPr="006B7149" w:rsidRDefault="006B7149" w:rsidP="006B7149">
            <w:pPr>
              <w:jc w:val="center"/>
              <w:rPr>
                <w:rFonts w:ascii="Calibri" w:hAnsi="Calibri" w:cs="Calibri"/>
                <w:b/>
                <w:bCs/>
                <w:color w:val="FFFFFF"/>
                <w:sz w:val="22"/>
                <w:szCs w:val="22"/>
              </w:rPr>
            </w:pPr>
            <w:r w:rsidRPr="006B7149">
              <w:rPr>
                <w:rFonts w:ascii="Calibri" w:hAnsi="Calibri" w:cs="Calibri"/>
                <w:b/>
                <w:bCs/>
                <w:color w:val="FFFFFF"/>
                <w:sz w:val="22"/>
                <w:szCs w:val="22"/>
              </w:rPr>
              <w:t>Phase 4</w:t>
            </w:r>
          </w:p>
        </w:tc>
        <w:tc>
          <w:tcPr>
            <w:tcW w:w="1320" w:type="dxa"/>
            <w:tcBorders>
              <w:top w:val="single" w:sz="8" w:space="0" w:color="auto"/>
              <w:left w:val="nil"/>
              <w:bottom w:val="single" w:sz="4" w:space="0" w:color="auto"/>
              <w:right w:val="single" w:sz="4" w:space="0" w:color="auto"/>
            </w:tcBorders>
            <w:shd w:val="clear" w:color="000000" w:fill="56008C"/>
            <w:noWrap/>
            <w:vAlign w:val="bottom"/>
            <w:hideMark/>
          </w:tcPr>
          <w:p w:rsidR="006B7149" w:rsidRPr="006B7149" w:rsidRDefault="006B7149" w:rsidP="006B7149">
            <w:pPr>
              <w:jc w:val="center"/>
              <w:rPr>
                <w:rFonts w:ascii="Calibri" w:hAnsi="Calibri" w:cs="Calibri"/>
                <w:b/>
                <w:bCs/>
                <w:color w:val="FFFFFF"/>
                <w:sz w:val="22"/>
                <w:szCs w:val="22"/>
              </w:rPr>
            </w:pPr>
            <w:r w:rsidRPr="006B7149">
              <w:rPr>
                <w:rFonts w:ascii="Calibri" w:hAnsi="Calibri" w:cs="Calibri"/>
                <w:b/>
                <w:bCs/>
                <w:color w:val="FFFFFF"/>
                <w:sz w:val="22"/>
                <w:szCs w:val="22"/>
              </w:rPr>
              <w:t>Phase 5</w:t>
            </w:r>
          </w:p>
        </w:tc>
        <w:tc>
          <w:tcPr>
            <w:tcW w:w="1040" w:type="dxa"/>
            <w:tcBorders>
              <w:top w:val="single" w:sz="8" w:space="0" w:color="auto"/>
              <w:left w:val="nil"/>
              <w:bottom w:val="single" w:sz="4" w:space="0" w:color="auto"/>
              <w:right w:val="single" w:sz="8" w:space="0" w:color="auto"/>
            </w:tcBorders>
            <w:shd w:val="clear" w:color="000000" w:fill="56008C"/>
            <w:noWrap/>
            <w:vAlign w:val="bottom"/>
            <w:hideMark/>
          </w:tcPr>
          <w:p w:rsidR="006B7149" w:rsidRPr="006B7149" w:rsidRDefault="006B7149" w:rsidP="006B7149">
            <w:pPr>
              <w:jc w:val="center"/>
              <w:rPr>
                <w:rFonts w:ascii="Calibri" w:hAnsi="Calibri" w:cs="Calibri"/>
                <w:b/>
                <w:bCs/>
                <w:color w:val="FFFFFF"/>
                <w:sz w:val="22"/>
                <w:szCs w:val="22"/>
              </w:rPr>
            </w:pPr>
            <w:r w:rsidRPr="006B7149">
              <w:rPr>
                <w:rFonts w:ascii="Calibri" w:hAnsi="Calibri" w:cs="Calibri"/>
                <w:b/>
                <w:bCs/>
                <w:color w:val="FFFFFF"/>
                <w:sz w:val="22"/>
                <w:szCs w:val="22"/>
              </w:rPr>
              <w:t>Phase 6</w:t>
            </w: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Apr-15</w:t>
            </w:r>
          </w:p>
        </w:tc>
        <w:tc>
          <w:tcPr>
            <w:tcW w:w="132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Jul-15</w:t>
            </w:r>
          </w:p>
        </w:tc>
        <w:tc>
          <w:tcPr>
            <w:tcW w:w="1040" w:type="dxa"/>
            <w:tcBorders>
              <w:top w:val="nil"/>
              <w:left w:val="nil"/>
              <w:bottom w:val="single" w:sz="4" w:space="0" w:color="auto"/>
              <w:right w:val="single" w:sz="8"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Oct-15</w:t>
            </w: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Original Planned headcount</w:t>
            </w:r>
          </w:p>
        </w:tc>
        <w:tc>
          <w:tcPr>
            <w:tcW w:w="156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24</w:t>
            </w:r>
          </w:p>
        </w:tc>
        <w:tc>
          <w:tcPr>
            <w:tcW w:w="132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16</w:t>
            </w:r>
          </w:p>
        </w:tc>
        <w:tc>
          <w:tcPr>
            <w:tcW w:w="1040" w:type="dxa"/>
            <w:tcBorders>
              <w:top w:val="nil"/>
              <w:left w:val="nil"/>
              <w:bottom w:val="single" w:sz="4" w:space="0" w:color="auto"/>
              <w:right w:val="single" w:sz="8"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Orig</w:t>
            </w:r>
            <w:r w:rsidR="000949D1">
              <w:rPr>
                <w:rFonts w:ascii="Calibri" w:hAnsi="Calibri" w:cs="Calibri"/>
                <w:color w:val="000000"/>
                <w:sz w:val="22"/>
                <w:szCs w:val="22"/>
              </w:rPr>
              <w:t>i</w:t>
            </w:r>
            <w:r w:rsidRPr="006B7149">
              <w:rPr>
                <w:rFonts w:ascii="Calibri" w:hAnsi="Calibri" w:cs="Calibri"/>
                <w:color w:val="000000"/>
                <w:sz w:val="22"/>
                <w:szCs w:val="22"/>
              </w:rPr>
              <w:t>nal Planned WTE</w:t>
            </w:r>
          </w:p>
        </w:tc>
        <w:tc>
          <w:tcPr>
            <w:tcW w:w="156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23.75</w:t>
            </w:r>
          </w:p>
        </w:tc>
        <w:tc>
          <w:tcPr>
            <w:tcW w:w="132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15.1</w:t>
            </w:r>
          </w:p>
        </w:tc>
        <w:tc>
          <w:tcPr>
            <w:tcW w:w="1040" w:type="dxa"/>
            <w:tcBorders>
              <w:top w:val="nil"/>
              <w:left w:val="nil"/>
              <w:bottom w:val="single" w:sz="4" w:space="0" w:color="auto"/>
              <w:right w:val="single" w:sz="8"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Revised Planned headcount</w:t>
            </w:r>
          </w:p>
        </w:tc>
        <w:tc>
          <w:tcPr>
            <w:tcW w:w="156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20</w:t>
            </w:r>
          </w:p>
        </w:tc>
        <w:tc>
          <w:tcPr>
            <w:tcW w:w="1040" w:type="dxa"/>
            <w:tcBorders>
              <w:top w:val="nil"/>
              <w:left w:val="nil"/>
              <w:bottom w:val="single" w:sz="4" w:space="0" w:color="auto"/>
              <w:right w:val="single" w:sz="8"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17</w:t>
            </w: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Revised Planned WTE</w:t>
            </w:r>
          </w:p>
        </w:tc>
        <w:tc>
          <w:tcPr>
            <w:tcW w:w="156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15.1</w:t>
            </w:r>
          </w:p>
        </w:tc>
        <w:tc>
          <w:tcPr>
            <w:tcW w:w="1040" w:type="dxa"/>
            <w:tcBorders>
              <w:top w:val="nil"/>
              <w:left w:val="nil"/>
              <w:bottom w:val="single" w:sz="4" w:space="0" w:color="auto"/>
              <w:right w:val="single" w:sz="8"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17</w:t>
            </w: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b/>
                <w:bCs/>
                <w:color w:val="000000"/>
                <w:sz w:val="22"/>
                <w:szCs w:val="22"/>
              </w:rPr>
            </w:pPr>
            <w:r w:rsidRPr="006B7149">
              <w:rPr>
                <w:rFonts w:ascii="Calibri" w:hAnsi="Calibri" w:cs="Calibri"/>
                <w:b/>
                <w:bCs/>
                <w:color w:val="000000"/>
                <w:sz w:val="22"/>
                <w:szCs w:val="22"/>
              </w:rPr>
              <w:t>Actual Headcount</w:t>
            </w:r>
          </w:p>
        </w:tc>
        <w:tc>
          <w:tcPr>
            <w:tcW w:w="156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17</w:t>
            </w:r>
          </w:p>
        </w:tc>
        <w:tc>
          <w:tcPr>
            <w:tcW w:w="1040" w:type="dxa"/>
            <w:tcBorders>
              <w:top w:val="nil"/>
              <w:left w:val="nil"/>
              <w:bottom w:val="single" w:sz="4" w:space="0" w:color="auto"/>
              <w:right w:val="single" w:sz="8"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15"/>
        </w:trPr>
        <w:tc>
          <w:tcPr>
            <w:tcW w:w="3460" w:type="dxa"/>
            <w:tcBorders>
              <w:top w:val="nil"/>
              <w:left w:val="single" w:sz="8" w:space="0" w:color="auto"/>
              <w:bottom w:val="single" w:sz="8"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b/>
                <w:bCs/>
                <w:color w:val="000000"/>
                <w:sz w:val="22"/>
                <w:szCs w:val="22"/>
              </w:rPr>
            </w:pPr>
            <w:r w:rsidRPr="006B7149">
              <w:rPr>
                <w:rFonts w:ascii="Calibri" w:hAnsi="Calibri" w:cs="Calibri"/>
                <w:b/>
                <w:bCs/>
                <w:color w:val="000000"/>
                <w:sz w:val="22"/>
                <w:szCs w:val="22"/>
              </w:rPr>
              <w:t>Actual WTE's</w:t>
            </w:r>
          </w:p>
        </w:tc>
        <w:tc>
          <w:tcPr>
            <w:tcW w:w="1560" w:type="dxa"/>
            <w:tcBorders>
              <w:top w:val="nil"/>
              <w:left w:val="nil"/>
              <w:bottom w:val="single" w:sz="8"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20</w:t>
            </w:r>
          </w:p>
        </w:tc>
        <w:tc>
          <w:tcPr>
            <w:tcW w:w="1320" w:type="dxa"/>
            <w:tcBorders>
              <w:top w:val="nil"/>
              <w:left w:val="nil"/>
              <w:bottom w:val="single" w:sz="8" w:space="0" w:color="auto"/>
              <w:right w:val="single" w:sz="4"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12.5</w:t>
            </w:r>
          </w:p>
        </w:tc>
        <w:tc>
          <w:tcPr>
            <w:tcW w:w="1040" w:type="dxa"/>
            <w:tcBorders>
              <w:top w:val="nil"/>
              <w:left w:val="nil"/>
              <w:bottom w:val="single" w:sz="8" w:space="0" w:color="auto"/>
              <w:right w:val="single" w:sz="8" w:space="0" w:color="auto"/>
            </w:tcBorders>
            <w:shd w:val="clear" w:color="auto" w:fill="auto"/>
            <w:noWrap/>
            <w:vAlign w:val="bottom"/>
            <w:hideMark/>
          </w:tcPr>
          <w:p w:rsidR="006B7149" w:rsidRPr="006B7149" w:rsidRDefault="006B7149" w:rsidP="006B7149">
            <w:pPr>
              <w:jc w:val="center"/>
              <w:rPr>
                <w:rFonts w:ascii="Calibri" w:hAnsi="Calibri" w:cs="Calibri"/>
                <w:color w:val="000000"/>
                <w:sz w:val="22"/>
                <w:szCs w:val="22"/>
              </w:rPr>
            </w:pPr>
            <w:r w:rsidRPr="006B7149">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00"/>
        </w:trPr>
        <w:tc>
          <w:tcPr>
            <w:tcW w:w="34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15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132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00"/>
        </w:trPr>
        <w:tc>
          <w:tcPr>
            <w:tcW w:w="6340" w:type="dxa"/>
            <w:gridSpan w:val="3"/>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r w:rsidRPr="006B7149">
              <w:rPr>
                <w:rFonts w:ascii="Calibri" w:hAnsi="Calibri" w:cs="Calibri"/>
                <w:color w:val="000000"/>
                <w:sz w:val="22"/>
                <w:szCs w:val="22"/>
              </w:rPr>
              <w:t>Phase 5 - new vacancy due to internal Systems transfer</w:t>
            </w:r>
          </w:p>
        </w:tc>
        <w:tc>
          <w:tcPr>
            <w:tcW w:w="104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p>
        </w:tc>
      </w:tr>
      <w:tr w:rsidR="006B7149" w:rsidRPr="006B7149" w:rsidTr="006B7149">
        <w:trPr>
          <w:trHeight w:val="300"/>
        </w:trPr>
        <w:tc>
          <w:tcPr>
            <w:tcW w:w="9300" w:type="dxa"/>
            <w:gridSpan w:val="6"/>
            <w:tcBorders>
              <w:top w:val="nil"/>
              <w:left w:val="nil"/>
              <w:bottom w:val="nil"/>
              <w:right w:val="nil"/>
            </w:tcBorders>
            <w:shd w:val="clear" w:color="auto" w:fill="auto"/>
            <w:noWrap/>
            <w:vAlign w:val="bottom"/>
            <w:hideMark/>
          </w:tcPr>
          <w:p w:rsidR="006B7149" w:rsidRPr="006B7149" w:rsidRDefault="006B7149" w:rsidP="006B7149">
            <w:pPr>
              <w:rPr>
                <w:rFonts w:ascii="Calibri" w:hAnsi="Calibri" w:cs="Calibri"/>
                <w:color w:val="000000"/>
                <w:sz w:val="22"/>
                <w:szCs w:val="22"/>
              </w:rPr>
            </w:pPr>
            <w:r w:rsidRPr="006B7149">
              <w:rPr>
                <w:rFonts w:ascii="Calibri" w:hAnsi="Calibri" w:cs="Calibri"/>
                <w:color w:val="000000"/>
                <w:sz w:val="22"/>
                <w:szCs w:val="22"/>
              </w:rPr>
              <w:t>Phase 6 - number of staff recruited but delayed starts as currently in project roles within Systems</w:t>
            </w:r>
          </w:p>
        </w:tc>
      </w:tr>
    </w:tbl>
    <w:p w:rsidR="00E16EDD" w:rsidRDefault="00E16EDD" w:rsidP="00A7163B">
      <w:pPr>
        <w:pStyle w:val="ListParagraph"/>
        <w:ind w:left="1080"/>
        <w:rPr>
          <w:rFonts w:ascii="Arial" w:hAnsi="Arial" w:cs="Arial"/>
          <w:sz w:val="22"/>
          <w:szCs w:val="22"/>
        </w:rPr>
      </w:pPr>
    </w:p>
    <w:p w:rsidR="00A7163B" w:rsidRDefault="00A7163B" w:rsidP="00A7163B">
      <w:pPr>
        <w:pStyle w:val="ListParagraph"/>
        <w:ind w:left="1080"/>
        <w:rPr>
          <w:rFonts w:ascii="Arial" w:hAnsi="Arial" w:cs="Arial"/>
          <w:sz w:val="22"/>
          <w:szCs w:val="22"/>
        </w:rPr>
      </w:pPr>
    </w:p>
    <w:p w:rsidR="009C5E6B" w:rsidRDefault="001E1F42" w:rsidP="009C5E6B">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After </w:t>
      </w:r>
      <w:r w:rsidR="00AF30AD">
        <w:rPr>
          <w:rFonts w:ascii="Arial" w:hAnsi="Arial" w:cs="Arial"/>
          <w:sz w:val="22"/>
          <w:szCs w:val="22"/>
        </w:rPr>
        <w:t xml:space="preserve">just </w:t>
      </w:r>
      <w:r w:rsidR="00872F97">
        <w:rPr>
          <w:rFonts w:ascii="Arial" w:hAnsi="Arial" w:cs="Arial"/>
          <w:sz w:val="22"/>
          <w:szCs w:val="22"/>
        </w:rPr>
        <w:t>9</w:t>
      </w:r>
      <w:r>
        <w:rPr>
          <w:rFonts w:ascii="Arial" w:hAnsi="Arial" w:cs="Arial"/>
          <w:sz w:val="22"/>
          <w:szCs w:val="22"/>
        </w:rPr>
        <w:t xml:space="preserve"> months</w:t>
      </w:r>
      <w:r w:rsidR="00872F97">
        <w:rPr>
          <w:rFonts w:ascii="Arial" w:hAnsi="Arial" w:cs="Arial"/>
          <w:sz w:val="22"/>
          <w:szCs w:val="22"/>
        </w:rPr>
        <w:t xml:space="preserve"> or 75</w:t>
      </w:r>
      <w:r w:rsidR="007B0DBE">
        <w:rPr>
          <w:rFonts w:ascii="Arial" w:hAnsi="Arial" w:cs="Arial"/>
          <w:sz w:val="22"/>
          <w:szCs w:val="22"/>
        </w:rPr>
        <w:t>% of the financial year</w:t>
      </w:r>
      <w:r>
        <w:rPr>
          <w:rFonts w:ascii="Arial" w:hAnsi="Arial" w:cs="Arial"/>
          <w:sz w:val="22"/>
          <w:szCs w:val="22"/>
        </w:rPr>
        <w:t xml:space="preserve">, a total of </w:t>
      </w:r>
      <w:r w:rsidR="00872F97">
        <w:rPr>
          <w:rFonts w:ascii="Arial" w:hAnsi="Arial" w:cs="Arial"/>
          <w:sz w:val="22"/>
          <w:szCs w:val="22"/>
        </w:rPr>
        <w:t>66</w:t>
      </w:r>
      <w:r w:rsidR="00E0146C" w:rsidRPr="005D3876">
        <w:rPr>
          <w:rFonts w:ascii="Arial" w:hAnsi="Arial" w:cs="Arial"/>
          <w:sz w:val="22"/>
          <w:szCs w:val="22"/>
        </w:rPr>
        <w:t>% of the total expenditure budget</w:t>
      </w:r>
      <w:r w:rsidR="0024691C">
        <w:rPr>
          <w:rFonts w:ascii="Arial" w:hAnsi="Arial" w:cs="Arial"/>
          <w:sz w:val="22"/>
          <w:szCs w:val="22"/>
        </w:rPr>
        <w:t xml:space="preserve"> has been spent within the year</w:t>
      </w:r>
      <w:r w:rsidR="00AF30AD">
        <w:rPr>
          <w:rFonts w:ascii="Arial" w:hAnsi="Arial" w:cs="Arial"/>
          <w:sz w:val="22"/>
          <w:szCs w:val="22"/>
        </w:rPr>
        <w:t>.</w:t>
      </w:r>
      <w:r w:rsidR="00872F97">
        <w:rPr>
          <w:rFonts w:ascii="Arial" w:hAnsi="Arial" w:cs="Arial"/>
          <w:sz w:val="22"/>
          <w:szCs w:val="22"/>
        </w:rPr>
        <w:t xml:space="preserve">  However 95</w:t>
      </w:r>
      <w:r w:rsidR="00F961F3">
        <w:rPr>
          <w:rFonts w:ascii="Arial" w:hAnsi="Arial" w:cs="Arial"/>
          <w:sz w:val="22"/>
          <w:szCs w:val="22"/>
        </w:rPr>
        <w:t xml:space="preserve">% of the profiled </w:t>
      </w:r>
      <w:r w:rsidR="00F961F3" w:rsidRPr="00A6115B">
        <w:rPr>
          <w:rFonts w:ascii="Arial" w:hAnsi="Arial" w:cs="Arial"/>
          <w:sz w:val="22"/>
          <w:szCs w:val="22"/>
        </w:rPr>
        <w:t>budget year to date has been spent.</w:t>
      </w:r>
    </w:p>
    <w:p w:rsidR="00182D5E" w:rsidRPr="00306328" w:rsidRDefault="00B55417" w:rsidP="009C5E6B">
      <w:pPr>
        <w:pStyle w:val="ListParagraph"/>
        <w:numPr>
          <w:ilvl w:val="0"/>
          <w:numId w:val="17"/>
        </w:numPr>
        <w:spacing w:after="200" w:line="276" w:lineRule="auto"/>
        <w:rPr>
          <w:rFonts w:ascii="Arial" w:hAnsi="Arial" w:cs="Arial"/>
          <w:sz w:val="22"/>
          <w:szCs w:val="22"/>
        </w:rPr>
      </w:pPr>
      <w:r w:rsidRPr="009C5E6B">
        <w:rPr>
          <w:rFonts w:ascii="Arial" w:hAnsi="Arial" w:cs="Arial"/>
          <w:sz w:val="22"/>
          <w:szCs w:val="22"/>
        </w:rPr>
        <w:t xml:space="preserve">The </w:t>
      </w:r>
      <w:r w:rsidR="00271847" w:rsidRPr="009C5E6B">
        <w:rPr>
          <w:rFonts w:ascii="Arial" w:hAnsi="Arial" w:cs="Arial"/>
          <w:sz w:val="22"/>
          <w:szCs w:val="22"/>
        </w:rPr>
        <w:t xml:space="preserve">overall </w:t>
      </w:r>
      <w:r w:rsidR="00C04A23" w:rsidRPr="009C5E6B">
        <w:rPr>
          <w:rFonts w:ascii="Arial" w:hAnsi="Arial" w:cs="Arial"/>
          <w:sz w:val="22"/>
          <w:szCs w:val="22"/>
        </w:rPr>
        <w:t>under spend</w:t>
      </w:r>
      <w:r w:rsidR="00271847" w:rsidRPr="009C5E6B">
        <w:rPr>
          <w:rFonts w:ascii="Arial" w:hAnsi="Arial" w:cs="Arial"/>
          <w:sz w:val="22"/>
          <w:szCs w:val="22"/>
        </w:rPr>
        <w:t xml:space="preserve"> of £</w:t>
      </w:r>
      <w:r w:rsidR="00872F97">
        <w:rPr>
          <w:rFonts w:ascii="Arial" w:hAnsi="Arial" w:cs="Arial"/>
          <w:sz w:val="22"/>
          <w:szCs w:val="22"/>
        </w:rPr>
        <w:t>265</w:t>
      </w:r>
      <w:r w:rsidR="00BF58DB" w:rsidRPr="009C5E6B">
        <w:rPr>
          <w:rFonts w:ascii="Arial" w:hAnsi="Arial" w:cs="Arial"/>
          <w:sz w:val="22"/>
          <w:szCs w:val="22"/>
        </w:rPr>
        <w:t>k</w:t>
      </w:r>
      <w:r w:rsidRPr="009C5E6B">
        <w:rPr>
          <w:rFonts w:ascii="Arial" w:hAnsi="Arial" w:cs="Arial"/>
          <w:sz w:val="22"/>
          <w:szCs w:val="22"/>
        </w:rPr>
        <w:t xml:space="preserve"> within </w:t>
      </w:r>
      <w:r w:rsidR="007A585B" w:rsidRPr="009C5E6B">
        <w:rPr>
          <w:rFonts w:ascii="Arial" w:hAnsi="Arial" w:cs="Arial"/>
          <w:b/>
          <w:sz w:val="22"/>
          <w:szCs w:val="22"/>
          <w:u w:val="single"/>
        </w:rPr>
        <w:t xml:space="preserve">Operations </w:t>
      </w:r>
      <w:r w:rsidR="003A4D87" w:rsidRPr="009C5E6B">
        <w:rPr>
          <w:rFonts w:ascii="Arial" w:hAnsi="Arial" w:cs="Arial"/>
          <w:sz w:val="22"/>
          <w:szCs w:val="22"/>
        </w:rPr>
        <w:t xml:space="preserve">directorate </w:t>
      </w:r>
      <w:r w:rsidR="005F5FBB" w:rsidRPr="009C5E6B">
        <w:rPr>
          <w:rFonts w:ascii="Arial" w:hAnsi="Arial" w:cs="Arial"/>
          <w:sz w:val="22"/>
          <w:szCs w:val="22"/>
        </w:rPr>
        <w:t xml:space="preserve">has </w:t>
      </w:r>
      <w:r w:rsidR="00447D56">
        <w:rPr>
          <w:rFonts w:ascii="Arial" w:hAnsi="Arial" w:cs="Arial"/>
          <w:sz w:val="22"/>
          <w:szCs w:val="22"/>
        </w:rPr>
        <w:t xml:space="preserve">unexpectedly </w:t>
      </w:r>
      <w:r w:rsidR="005F5FBB" w:rsidRPr="009C5E6B">
        <w:rPr>
          <w:rFonts w:ascii="Arial" w:hAnsi="Arial" w:cs="Arial"/>
          <w:sz w:val="22"/>
          <w:szCs w:val="22"/>
        </w:rPr>
        <w:t xml:space="preserve">increased </w:t>
      </w:r>
      <w:r w:rsidR="00422BCD" w:rsidRPr="009C5E6B">
        <w:rPr>
          <w:rFonts w:ascii="Arial" w:hAnsi="Arial" w:cs="Arial"/>
          <w:sz w:val="22"/>
          <w:szCs w:val="22"/>
        </w:rPr>
        <w:t xml:space="preserve">from </w:t>
      </w:r>
      <w:r w:rsidR="00605553" w:rsidRPr="009C5E6B">
        <w:rPr>
          <w:rFonts w:ascii="Arial" w:hAnsi="Arial" w:cs="Arial"/>
          <w:sz w:val="22"/>
          <w:szCs w:val="22"/>
        </w:rPr>
        <w:t xml:space="preserve">the </w:t>
      </w:r>
      <w:r w:rsidR="00422BCD" w:rsidRPr="009C5E6B">
        <w:rPr>
          <w:rFonts w:ascii="Arial" w:hAnsi="Arial" w:cs="Arial"/>
          <w:sz w:val="22"/>
          <w:szCs w:val="22"/>
        </w:rPr>
        <w:t>previous month</w:t>
      </w:r>
      <w:r w:rsidR="00872F97">
        <w:rPr>
          <w:rFonts w:ascii="Arial" w:hAnsi="Arial" w:cs="Arial"/>
          <w:sz w:val="22"/>
          <w:szCs w:val="22"/>
        </w:rPr>
        <w:t xml:space="preserve"> (£206k November</w:t>
      </w:r>
      <w:r w:rsidR="005F5FBB" w:rsidRPr="009C5E6B">
        <w:rPr>
          <w:rFonts w:ascii="Arial" w:hAnsi="Arial" w:cs="Arial"/>
          <w:sz w:val="22"/>
          <w:szCs w:val="22"/>
        </w:rPr>
        <w:t>)</w:t>
      </w:r>
      <w:r w:rsidR="00D52847" w:rsidRPr="009C5E6B">
        <w:rPr>
          <w:rFonts w:ascii="Arial" w:hAnsi="Arial" w:cs="Arial"/>
          <w:sz w:val="22"/>
          <w:szCs w:val="22"/>
        </w:rPr>
        <w:t>.</w:t>
      </w:r>
      <w:r w:rsidR="00422BCD" w:rsidRPr="009C5E6B">
        <w:rPr>
          <w:rFonts w:ascii="Arial" w:hAnsi="Arial" w:cs="Arial"/>
          <w:sz w:val="22"/>
          <w:szCs w:val="22"/>
        </w:rPr>
        <w:t xml:space="preserve"> </w:t>
      </w:r>
      <w:r w:rsidR="00D52847" w:rsidRPr="00306328">
        <w:rPr>
          <w:rFonts w:ascii="Arial" w:hAnsi="Arial" w:cs="Arial"/>
          <w:sz w:val="22"/>
          <w:szCs w:val="22"/>
        </w:rPr>
        <w:t>The Operations directorate underspend is largely broken down as follows.  HRA Office Jarrow (£</w:t>
      </w:r>
      <w:r w:rsidR="00306328" w:rsidRPr="00306328">
        <w:rPr>
          <w:rFonts w:ascii="Arial" w:hAnsi="Arial" w:cs="Arial"/>
          <w:sz w:val="22"/>
          <w:szCs w:val="22"/>
        </w:rPr>
        <w:t>32k), HRA Office Manchester (£81k), HRA Office Bristol (£32</w:t>
      </w:r>
      <w:r w:rsidR="00D52847" w:rsidRPr="00306328">
        <w:rPr>
          <w:rFonts w:ascii="Arial" w:hAnsi="Arial" w:cs="Arial"/>
          <w:sz w:val="22"/>
          <w:szCs w:val="22"/>
        </w:rPr>
        <w:t>k), Regio</w:t>
      </w:r>
      <w:r w:rsidR="004F646F" w:rsidRPr="00306328">
        <w:rPr>
          <w:rFonts w:ascii="Arial" w:hAnsi="Arial" w:cs="Arial"/>
          <w:sz w:val="22"/>
          <w:szCs w:val="22"/>
        </w:rPr>
        <w:t>n</w:t>
      </w:r>
      <w:r w:rsidR="00306328" w:rsidRPr="00306328">
        <w:rPr>
          <w:rFonts w:ascii="Arial" w:hAnsi="Arial" w:cs="Arial"/>
          <w:sz w:val="22"/>
          <w:szCs w:val="22"/>
        </w:rPr>
        <w:t>al Manager North and South (£33k), HRA Office London of (£36</w:t>
      </w:r>
      <w:r w:rsidR="00D52847" w:rsidRPr="00306328">
        <w:rPr>
          <w:rFonts w:ascii="Arial" w:hAnsi="Arial" w:cs="Arial"/>
          <w:sz w:val="22"/>
          <w:szCs w:val="22"/>
        </w:rPr>
        <w:t>k</w:t>
      </w:r>
      <w:r w:rsidR="00306328" w:rsidRPr="00306328">
        <w:rPr>
          <w:rFonts w:ascii="Arial" w:hAnsi="Arial" w:cs="Arial"/>
          <w:sz w:val="22"/>
          <w:szCs w:val="22"/>
        </w:rPr>
        <w:t>) and HRA Office Nottingham has an overspend of £10k</w:t>
      </w:r>
      <w:r w:rsidR="00D52847" w:rsidRPr="00306328">
        <w:rPr>
          <w:rFonts w:ascii="Arial" w:hAnsi="Arial" w:cs="Arial"/>
          <w:sz w:val="22"/>
          <w:szCs w:val="22"/>
        </w:rPr>
        <w:t xml:space="preserve">. There is also </w:t>
      </w:r>
      <w:proofErr w:type="gramStart"/>
      <w:r w:rsidR="00D52847" w:rsidRPr="00306328">
        <w:rPr>
          <w:rFonts w:ascii="Arial" w:hAnsi="Arial" w:cs="Arial"/>
          <w:sz w:val="22"/>
          <w:szCs w:val="22"/>
        </w:rPr>
        <w:t>an underspend</w:t>
      </w:r>
      <w:proofErr w:type="gramEnd"/>
      <w:r w:rsidR="00D52847" w:rsidRPr="00306328">
        <w:rPr>
          <w:rFonts w:ascii="Arial" w:hAnsi="Arial" w:cs="Arial"/>
          <w:sz w:val="22"/>
          <w:szCs w:val="22"/>
        </w:rPr>
        <w:t xml:space="preserve"> within Confidentiality Advisory Group and Team</w:t>
      </w:r>
      <w:r w:rsidR="00306328" w:rsidRPr="00306328">
        <w:rPr>
          <w:rFonts w:ascii="Arial" w:hAnsi="Arial" w:cs="Arial"/>
          <w:sz w:val="22"/>
          <w:szCs w:val="22"/>
        </w:rPr>
        <w:t xml:space="preserve"> 1 and 2 (£70k)</w:t>
      </w:r>
      <w:r w:rsidR="00D52847" w:rsidRPr="00306328">
        <w:rPr>
          <w:rFonts w:ascii="Arial" w:hAnsi="Arial" w:cs="Arial"/>
          <w:sz w:val="22"/>
          <w:szCs w:val="22"/>
        </w:rPr>
        <w:t xml:space="preserve"> – which is mostly due to staff vacancies which have a</w:t>
      </w:r>
      <w:r w:rsidR="00306328" w:rsidRPr="00306328">
        <w:rPr>
          <w:rFonts w:ascii="Arial" w:hAnsi="Arial" w:cs="Arial"/>
          <w:sz w:val="22"/>
          <w:szCs w:val="22"/>
        </w:rPr>
        <w:t>risen – and to the delayed training and appointments to the CAG2 team</w:t>
      </w:r>
      <w:r w:rsidR="000140FE" w:rsidRPr="00306328">
        <w:rPr>
          <w:rFonts w:ascii="Arial" w:hAnsi="Arial" w:cs="Arial"/>
          <w:sz w:val="22"/>
          <w:szCs w:val="22"/>
        </w:rPr>
        <w:t>.</w:t>
      </w:r>
      <w:r w:rsidR="00306328" w:rsidRPr="00306328">
        <w:rPr>
          <w:rFonts w:ascii="Arial" w:hAnsi="Arial" w:cs="Arial"/>
          <w:sz w:val="22"/>
          <w:szCs w:val="22"/>
        </w:rPr>
        <w:t xml:space="preserve">  Planned expenditure on training and events in </w:t>
      </w:r>
      <w:r w:rsidR="00306328" w:rsidRPr="00306328">
        <w:rPr>
          <w:rFonts w:ascii="Arial" w:hAnsi="Arial" w:cs="Arial"/>
          <w:sz w:val="22"/>
          <w:szCs w:val="22"/>
        </w:rPr>
        <w:lastRenderedPageBreak/>
        <w:t>relation to the CAG2 committee have been delayed which has impacted the underspend position.</w:t>
      </w:r>
    </w:p>
    <w:p w:rsidR="008D1162" w:rsidRDefault="00872F97"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£210k of the £265</w:t>
      </w:r>
      <w:r w:rsidR="00182D5E" w:rsidRPr="00542A77">
        <w:rPr>
          <w:rFonts w:ascii="Arial" w:hAnsi="Arial" w:cs="Arial"/>
          <w:sz w:val="22"/>
          <w:szCs w:val="22"/>
        </w:rPr>
        <w:t xml:space="preserve">k </w:t>
      </w:r>
      <w:r w:rsidR="00C04A23" w:rsidRPr="00542A77">
        <w:rPr>
          <w:rFonts w:ascii="Arial" w:hAnsi="Arial" w:cs="Arial"/>
          <w:sz w:val="22"/>
          <w:szCs w:val="22"/>
        </w:rPr>
        <w:t>under spend</w:t>
      </w:r>
      <w:r w:rsidR="00182D5E" w:rsidRPr="00542A77">
        <w:rPr>
          <w:rFonts w:ascii="Arial" w:hAnsi="Arial" w:cs="Arial"/>
          <w:sz w:val="22"/>
          <w:szCs w:val="22"/>
        </w:rPr>
        <w:t xml:space="preserve"> </w:t>
      </w:r>
      <w:r w:rsidR="003A4D87" w:rsidRPr="00542A77">
        <w:rPr>
          <w:rFonts w:ascii="Arial" w:hAnsi="Arial" w:cs="Arial"/>
          <w:sz w:val="22"/>
          <w:szCs w:val="22"/>
        </w:rPr>
        <w:t xml:space="preserve">within </w:t>
      </w:r>
      <w:r w:rsidR="009C7573" w:rsidRPr="00542A77">
        <w:rPr>
          <w:rFonts w:ascii="Arial" w:hAnsi="Arial" w:cs="Arial"/>
          <w:sz w:val="22"/>
          <w:szCs w:val="22"/>
        </w:rPr>
        <w:t>O</w:t>
      </w:r>
      <w:r w:rsidR="00A6115B" w:rsidRPr="00542A77">
        <w:rPr>
          <w:rFonts w:ascii="Arial" w:hAnsi="Arial" w:cs="Arial"/>
          <w:sz w:val="22"/>
          <w:szCs w:val="22"/>
        </w:rPr>
        <w:t>perations</w:t>
      </w:r>
      <w:r w:rsidR="003A4D87" w:rsidRPr="00542A77">
        <w:rPr>
          <w:rFonts w:ascii="Arial" w:hAnsi="Arial" w:cs="Arial"/>
          <w:sz w:val="22"/>
          <w:szCs w:val="22"/>
        </w:rPr>
        <w:t xml:space="preserve">, </w:t>
      </w:r>
      <w:r w:rsidR="00182D5E" w:rsidRPr="00542A77">
        <w:rPr>
          <w:rFonts w:ascii="Arial" w:hAnsi="Arial" w:cs="Arial"/>
          <w:sz w:val="22"/>
          <w:szCs w:val="22"/>
        </w:rPr>
        <w:t xml:space="preserve">is pay related and due to vacancies </w:t>
      </w:r>
      <w:r w:rsidR="00761B9E" w:rsidRPr="00542A77">
        <w:rPr>
          <w:rFonts w:ascii="Arial" w:hAnsi="Arial" w:cs="Arial"/>
          <w:sz w:val="22"/>
          <w:szCs w:val="22"/>
        </w:rPr>
        <w:t xml:space="preserve">that have arisen since the budgets were set and which are </w:t>
      </w:r>
      <w:r w:rsidR="00182D5E" w:rsidRPr="00542A77">
        <w:rPr>
          <w:rFonts w:ascii="Arial" w:hAnsi="Arial" w:cs="Arial"/>
          <w:sz w:val="22"/>
          <w:szCs w:val="22"/>
        </w:rPr>
        <w:t>in the process of recruitment following the movement of some RECs between centres</w:t>
      </w:r>
      <w:r w:rsidR="007B0DBE" w:rsidRPr="00542A77">
        <w:rPr>
          <w:rFonts w:ascii="Arial" w:hAnsi="Arial" w:cs="Arial"/>
          <w:sz w:val="22"/>
          <w:szCs w:val="22"/>
        </w:rPr>
        <w:t xml:space="preserve"> and the success of Operations staff obtaining posts supporting the HRA Approval programme</w:t>
      </w:r>
      <w:r w:rsidR="00182D5E" w:rsidRPr="00542A77">
        <w:rPr>
          <w:rFonts w:ascii="Arial" w:hAnsi="Arial" w:cs="Arial"/>
          <w:sz w:val="22"/>
          <w:szCs w:val="22"/>
        </w:rPr>
        <w:t>.</w:t>
      </w:r>
      <w:r w:rsidR="00542A77">
        <w:rPr>
          <w:rFonts w:ascii="Arial" w:hAnsi="Arial" w:cs="Arial"/>
          <w:sz w:val="22"/>
          <w:szCs w:val="22"/>
        </w:rPr>
        <w:t xml:space="preserve"> </w:t>
      </w:r>
      <w:r w:rsidR="00187F7B" w:rsidRPr="00542A77">
        <w:rPr>
          <w:rFonts w:ascii="Arial" w:hAnsi="Arial" w:cs="Arial"/>
          <w:sz w:val="22"/>
          <w:szCs w:val="22"/>
        </w:rPr>
        <w:t xml:space="preserve"> </w:t>
      </w:r>
      <w:r w:rsidR="005200F4">
        <w:rPr>
          <w:rFonts w:ascii="Arial" w:hAnsi="Arial" w:cs="Arial"/>
          <w:sz w:val="22"/>
          <w:szCs w:val="22"/>
        </w:rPr>
        <w:t>The previous forecast plans assumed a move to a full establishment towards the end of October but this has not yet been achieved and this has increased current levels of underspend and current indications suggest this c</w:t>
      </w:r>
      <w:r w:rsidR="008D1162">
        <w:rPr>
          <w:rFonts w:ascii="Arial" w:hAnsi="Arial" w:cs="Arial"/>
          <w:sz w:val="22"/>
          <w:szCs w:val="22"/>
        </w:rPr>
        <w:t>o</w:t>
      </w:r>
      <w:r w:rsidR="005200F4">
        <w:rPr>
          <w:rFonts w:ascii="Arial" w:hAnsi="Arial" w:cs="Arial"/>
          <w:sz w:val="22"/>
          <w:szCs w:val="22"/>
        </w:rPr>
        <w:t>uld remain an issue into February</w:t>
      </w:r>
      <w:r w:rsidR="00447D56">
        <w:rPr>
          <w:rFonts w:ascii="Arial" w:hAnsi="Arial" w:cs="Arial"/>
          <w:sz w:val="22"/>
          <w:szCs w:val="22"/>
        </w:rPr>
        <w:t xml:space="preserve"> and March</w:t>
      </w:r>
      <w:r w:rsidR="005200F4">
        <w:rPr>
          <w:rFonts w:ascii="Arial" w:hAnsi="Arial" w:cs="Arial"/>
          <w:sz w:val="22"/>
          <w:szCs w:val="22"/>
        </w:rPr>
        <w:t>.</w:t>
      </w:r>
    </w:p>
    <w:p w:rsidR="00182D5E" w:rsidRPr="00542A77" w:rsidRDefault="008D1162" w:rsidP="00C041A3">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 </w:t>
      </w:r>
      <w:r w:rsidR="00182D5E" w:rsidRPr="00542A77">
        <w:rPr>
          <w:rFonts w:ascii="Arial" w:hAnsi="Arial" w:cs="Arial"/>
          <w:sz w:val="22"/>
          <w:szCs w:val="22"/>
        </w:rPr>
        <w:t xml:space="preserve">Meeting expenses and catering costs </w:t>
      </w:r>
      <w:r w:rsidR="00F961F3" w:rsidRPr="00542A77">
        <w:rPr>
          <w:rFonts w:ascii="Arial" w:hAnsi="Arial" w:cs="Arial"/>
          <w:sz w:val="22"/>
          <w:szCs w:val="22"/>
        </w:rPr>
        <w:t xml:space="preserve">within the Operations directorate </w:t>
      </w:r>
      <w:r w:rsidR="00182D5E" w:rsidRPr="00542A77">
        <w:rPr>
          <w:rFonts w:ascii="Arial" w:hAnsi="Arial" w:cs="Arial"/>
          <w:sz w:val="22"/>
          <w:szCs w:val="22"/>
        </w:rPr>
        <w:t>a</w:t>
      </w:r>
      <w:r w:rsidR="006A2EF1" w:rsidRPr="00542A77">
        <w:rPr>
          <w:rFonts w:ascii="Arial" w:hAnsi="Arial" w:cs="Arial"/>
          <w:sz w:val="22"/>
          <w:szCs w:val="22"/>
        </w:rPr>
        <w:t>ccount for an under spend</w:t>
      </w:r>
      <w:r w:rsidR="00E75517">
        <w:rPr>
          <w:rFonts w:ascii="Arial" w:hAnsi="Arial" w:cs="Arial"/>
          <w:sz w:val="22"/>
          <w:szCs w:val="22"/>
        </w:rPr>
        <w:t xml:space="preserve"> of £4</w:t>
      </w:r>
      <w:r w:rsidR="00542A77" w:rsidRPr="00542A77">
        <w:rPr>
          <w:rFonts w:ascii="Arial" w:hAnsi="Arial" w:cs="Arial"/>
          <w:sz w:val="22"/>
          <w:szCs w:val="22"/>
        </w:rPr>
        <w:t>4</w:t>
      </w:r>
      <w:r w:rsidR="00182D5E" w:rsidRPr="00542A77">
        <w:rPr>
          <w:rFonts w:ascii="Arial" w:hAnsi="Arial" w:cs="Arial"/>
          <w:sz w:val="22"/>
          <w:szCs w:val="22"/>
        </w:rPr>
        <w:t>k</w:t>
      </w:r>
      <w:r w:rsidR="00422BCD" w:rsidRPr="00542A77">
        <w:rPr>
          <w:rFonts w:ascii="Arial" w:hAnsi="Arial" w:cs="Arial"/>
          <w:sz w:val="22"/>
          <w:szCs w:val="22"/>
        </w:rPr>
        <w:t>.  F</w:t>
      </w:r>
      <w:r w:rsidR="00182D5E" w:rsidRPr="00542A77">
        <w:rPr>
          <w:rFonts w:ascii="Arial" w:hAnsi="Arial" w:cs="Arial"/>
          <w:sz w:val="22"/>
          <w:szCs w:val="22"/>
        </w:rPr>
        <w:t xml:space="preserve">urther work </w:t>
      </w:r>
      <w:r w:rsidR="000140FE" w:rsidRPr="00542A77">
        <w:rPr>
          <w:rFonts w:ascii="Arial" w:hAnsi="Arial" w:cs="Arial"/>
          <w:sz w:val="22"/>
          <w:szCs w:val="22"/>
        </w:rPr>
        <w:t xml:space="preserve">continues </w:t>
      </w:r>
      <w:r w:rsidR="00182D5E" w:rsidRPr="00542A77">
        <w:rPr>
          <w:rFonts w:ascii="Arial" w:hAnsi="Arial" w:cs="Arial"/>
          <w:sz w:val="22"/>
          <w:szCs w:val="22"/>
        </w:rPr>
        <w:t>to finesse the periodic payments register that finance is setting up to ensure that required accruals are actioned each month</w:t>
      </w:r>
      <w:r w:rsidR="001A01D0" w:rsidRPr="00542A77">
        <w:rPr>
          <w:rFonts w:ascii="Arial" w:hAnsi="Arial" w:cs="Arial"/>
          <w:sz w:val="22"/>
          <w:szCs w:val="22"/>
        </w:rPr>
        <w:t>, along with realignment of RECs to HRA Centres which will also incur savings due to reduced associated travel costs</w:t>
      </w:r>
      <w:r w:rsidR="00182D5E" w:rsidRPr="00542A77">
        <w:rPr>
          <w:rFonts w:ascii="Arial" w:hAnsi="Arial" w:cs="Arial"/>
          <w:sz w:val="22"/>
          <w:szCs w:val="22"/>
        </w:rPr>
        <w:t>.</w:t>
      </w:r>
      <w:r w:rsidR="00DF00CA" w:rsidRPr="00542A77">
        <w:rPr>
          <w:rFonts w:ascii="Arial" w:hAnsi="Arial" w:cs="Arial"/>
          <w:sz w:val="22"/>
          <w:szCs w:val="22"/>
        </w:rPr>
        <w:t xml:space="preserve">  Tra</w:t>
      </w:r>
      <w:r w:rsidR="00E75517">
        <w:rPr>
          <w:rFonts w:ascii="Arial" w:hAnsi="Arial" w:cs="Arial"/>
          <w:sz w:val="22"/>
          <w:szCs w:val="22"/>
        </w:rPr>
        <w:t>vel is overspent by £14</w:t>
      </w:r>
      <w:r w:rsidR="00F31B10" w:rsidRPr="00542A77">
        <w:rPr>
          <w:rFonts w:ascii="Arial" w:hAnsi="Arial" w:cs="Arial"/>
          <w:sz w:val="22"/>
          <w:szCs w:val="22"/>
        </w:rPr>
        <w:t xml:space="preserve">k and stationery </w:t>
      </w:r>
      <w:r w:rsidR="00E75517">
        <w:rPr>
          <w:rFonts w:ascii="Arial" w:hAnsi="Arial" w:cs="Arial"/>
          <w:sz w:val="22"/>
          <w:szCs w:val="22"/>
        </w:rPr>
        <w:t>underspent by £4</w:t>
      </w:r>
      <w:r w:rsidR="00DF00CA" w:rsidRPr="00542A77">
        <w:rPr>
          <w:rFonts w:ascii="Arial" w:hAnsi="Arial" w:cs="Arial"/>
          <w:sz w:val="22"/>
          <w:szCs w:val="22"/>
        </w:rPr>
        <w:t>k.</w:t>
      </w:r>
    </w:p>
    <w:p w:rsidR="00DF00CA" w:rsidRPr="00542A77" w:rsidRDefault="00DF00CA" w:rsidP="00C041A3">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A final review of all </w:t>
      </w:r>
      <w:r w:rsidR="007B0DBE" w:rsidRPr="00542A77">
        <w:rPr>
          <w:rFonts w:ascii="Arial" w:hAnsi="Arial" w:cs="Arial"/>
          <w:sz w:val="22"/>
          <w:szCs w:val="22"/>
        </w:rPr>
        <w:t>O</w:t>
      </w:r>
      <w:r w:rsidRPr="00542A77">
        <w:rPr>
          <w:rFonts w:ascii="Arial" w:hAnsi="Arial" w:cs="Arial"/>
          <w:sz w:val="22"/>
          <w:szCs w:val="22"/>
        </w:rPr>
        <w:t xml:space="preserve">perations budgets </w:t>
      </w:r>
      <w:r w:rsidR="00422BCD" w:rsidRPr="00542A77">
        <w:rPr>
          <w:rFonts w:ascii="Arial" w:hAnsi="Arial" w:cs="Arial"/>
          <w:sz w:val="22"/>
          <w:szCs w:val="22"/>
        </w:rPr>
        <w:t xml:space="preserve">has </w:t>
      </w:r>
      <w:r w:rsidRPr="00542A77">
        <w:rPr>
          <w:rFonts w:ascii="Arial" w:hAnsi="Arial" w:cs="Arial"/>
          <w:sz w:val="22"/>
          <w:szCs w:val="22"/>
        </w:rPr>
        <w:t>take</w:t>
      </w:r>
      <w:r w:rsidR="00422BCD" w:rsidRPr="00542A77">
        <w:rPr>
          <w:rFonts w:ascii="Arial" w:hAnsi="Arial" w:cs="Arial"/>
          <w:sz w:val="22"/>
          <w:szCs w:val="22"/>
        </w:rPr>
        <w:t>n</w:t>
      </w:r>
      <w:r w:rsidRPr="00542A77">
        <w:rPr>
          <w:rFonts w:ascii="Arial" w:hAnsi="Arial" w:cs="Arial"/>
          <w:sz w:val="22"/>
          <w:szCs w:val="22"/>
        </w:rPr>
        <w:t xml:space="preserve"> place </w:t>
      </w:r>
      <w:r w:rsidR="00422BCD" w:rsidRPr="00542A77">
        <w:rPr>
          <w:rFonts w:ascii="Arial" w:hAnsi="Arial" w:cs="Arial"/>
          <w:sz w:val="22"/>
          <w:szCs w:val="22"/>
        </w:rPr>
        <w:t xml:space="preserve">and budgets </w:t>
      </w:r>
      <w:r w:rsidRPr="00542A77">
        <w:rPr>
          <w:rFonts w:ascii="Arial" w:hAnsi="Arial" w:cs="Arial"/>
          <w:sz w:val="22"/>
          <w:szCs w:val="22"/>
        </w:rPr>
        <w:t>adjust</w:t>
      </w:r>
      <w:r w:rsidR="00422BCD" w:rsidRPr="00542A77">
        <w:rPr>
          <w:rFonts w:ascii="Arial" w:hAnsi="Arial" w:cs="Arial"/>
          <w:sz w:val="22"/>
          <w:szCs w:val="22"/>
        </w:rPr>
        <w:t>ed</w:t>
      </w:r>
      <w:r w:rsidRPr="00542A77">
        <w:rPr>
          <w:rFonts w:ascii="Arial" w:hAnsi="Arial" w:cs="Arial"/>
          <w:sz w:val="22"/>
          <w:szCs w:val="22"/>
        </w:rPr>
        <w:t xml:space="preserve"> for agreed efficiencies</w:t>
      </w:r>
      <w:r w:rsidR="00422BCD" w:rsidRPr="00542A77">
        <w:rPr>
          <w:rFonts w:ascii="Arial" w:hAnsi="Arial" w:cs="Arial"/>
          <w:sz w:val="22"/>
          <w:szCs w:val="22"/>
        </w:rPr>
        <w:t>.</w:t>
      </w:r>
    </w:p>
    <w:p w:rsidR="001D1C69" w:rsidRPr="00DF4C69" w:rsidRDefault="006E5CB4" w:rsidP="00A6115B">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Within the </w:t>
      </w:r>
      <w:r w:rsidR="00A6115B" w:rsidRPr="00542A77">
        <w:rPr>
          <w:rFonts w:ascii="Arial" w:hAnsi="Arial" w:cs="Arial"/>
          <w:b/>
          <w:sz w:val="22"/>
          <w:szCs w:val="22"/>
          <w:u w:val="single"/>
        </w:rPr>
        <w:t>Research Systems, Standards and HRA Approval Prog</w:t>
      </w:r>
      <w:r w:rsidR="000140FE" w:rsidRPr="00542A77">
        <w:rPr>
          <w:rFonts w:ascii="Arial" w:hAnsi="Arial" w:cs="Arial"/>
          <w:b/>
          <w:sz w:val="22"/>
          <w:szCs w:val="22"/>
          <w:u w:val="single"/>
        </w:rPr>
        <w:t>ramme</w:t>
      </w:r>
      <w:r w:rsidR="00A6115B" w:rsidRPr="00542A77">
        <w:rPr>
          <w:rFonts w:ascii="Arial" w:hAnsi="Arial" w:cs="Arial"/>
          <w:b/>
          <w:sz w:val="22"/>
          <w:szCs w:val="22"/>
          <w:u w:val="single"/>
        </w:rPr>
        <w:t xml:space="preserve">. </w:t>
      </w:r>
      <w:r w:rsidRPr="00542A77">
        <w:rPr>
          <w:rFonts w:ascii="Arial" w:hAnsi="Arial" w:cs="Arial"/>
          <w:b/>
          <w:sz w:val="22"/>
          <w:szCs w:val="22"/>
          <w:u w:val="single"/>
        </w:rPr>
        <w:t>Director</w:t>
      </w:r>
      <w:r w:rsidR="000D7316" w:rsidRPr="00542A77">
        <w:rPr>
          <w:rFonts w:ascii="Arial" w:hAnsi="Arial" w:cs="Arial"/>
          <w:b/>
          <w:sz w:val="22"/>
          <w:szCs w:val="22"/>
          <w:u w:val="single"/>
        </w:rPr>
        <w:t>ate</w:t>
      </w:r>
      <w:r w:rsidR="000D7316" w:rsidRPr="00542A77">
        <w:rPr>
          <w:rFonts w:ascii="Arial" w:hAnsi="Arial" w:cs="Arial"/>
          <w:sz w:val="22"/>
          <w:szCs w:val="22"/>
        </w:rPr>
        <w:t xml:space="preserve"> there is an under</w:t>
      </w:r>
      <w:r w:rsidR="00D809B7" w:rsidRPr="00542A77">
        <w:rPr>
          <w:rFonts w:ascii="Arial" w:hAnsi="Arial" w:cs="Arial"/>
          <w:sz w:val="22"/>
          <w:szCs w:val="22"/>
        </w:rPr>
        <w:t xml:space="preserve"> </w:t>
      </w:r>
      <w:r w:rsidR="009911D1" w:rsidRPr="00542A77">
        <w:rPr>
          <w:rFonts w:ascii="Arial" w:hAnsi="Arial" w:cs="Arial"/>
          <w:sz w:val="22"/>
          <w:szCs w:val="22"/>
        </w:rPr>
        <w:t>spend of £</w:t>
      </w:r>
      <w:r w:rsidR="00E75517">
        <w:rPr>
          <w:rFonts w:ascii="Arial" w:hAnsi="Arial" w:cs="Arial"/>
          <w:sz w:val="22"/>
          <w:szCs w:val="22"/>
        </w:rPr>
        <w:t>123</w:t>
      </w:r>
      <w:r w:rsidR="000D7316" w:rsidRPr="00542A77">
        <w:rPr>
          <w:rFonts w:ascii="Arial" w:hAnsi="Arial" w:cs="Arial"/>
          <w:sz w:val="22"/>
          <w:szCs w:val="22"/>
        </w:rPr>
        <w:t>k</w:t>
      </w:r>
      <w:r w:rsidR="00E75517">
        <w:rPr>
          <w:rFonts w:ascii="Arial" w:hAnsi="Arial" w:cs="Arial"/>
          <w:sz w:val="22"/>
          <w:szCs w:val="22"/>
        </w:rPr>
        <w:t xml:space="preserve"> (£91k November)</w:t>
      </w:r>
      <w:r w:rsidR="000D7316" w:rsidRPr="00542A77">
        <w:rPr>
          <w:rFonts w:ascii="Arial" w:hAnsi="Arial" w:cs="Arial"/>
          <w:sz w:val="22"/>
          <w:szCs w:val="22"/>
        </w:rPr>
        <w:t xml:space="preserve">.  </w:t>
      </w:r>
      <w:r w:rsidR="009C7573" w:rsidRPr="00542A77">
        <w:rPr>
          <w:rFonts w:ascii="Arial" w:hAnsi="Arial" w:cs="Arial"/>
          <w:sz w:val="22"/>
          <w:szCs w:val="22"/>
        </w:rPr>
        <w:t xml:space="preserve">External facing and member training is now managed from within the </w:t>
      </w:r>
      <w:r w:rsidR="00A6115B" w:rsidRPr="00542A77">
        <w:rPr>
          <w:rFonts w:ascii="Arial" w:hAnsi="Arial" w:cs="Arial"/>
          <w:sz w:val="22"/>
          <w:szCs w:val="22"/>
        </w:rPr>
        <w:t>Research Systems, Standards and HRA Approval Prog</w:t>
      </w:r>
      <w:r w:rsidR="000140FE" w:rsidRPr="00542A77">
        <w:rPr>
          <w:rFonts w:ascii="Arial" w:hAnsi="Arial" w:cs="Arial"/>
          <w:sz w:val="22"/>
          <w:szCs w:val="22"/>
        </w:rPr>
        <w:t>ramme</w:t>
      </w:r>
      <w:r w:rsidR="00A6115B" w:rsidRPr="00542A77">
        <w:rPr>
          <w:rFonts w:ascii="Arial" w:hAnsi="Arial" w:cs="Arial"/>
          <w:sz w:val="22"/>
          <w:szCs w:val="22"/>
        </w:rPr>
        <w:t xml:space="preserve"> Directorate</w:t>
      </w:r>
      <w:r w:rsidR="000140FE" w:rsidRPr="00542A77">
        <w:rPr>
          <w:rFonts w:ascii="Arial" w:hAnsi="Arial" w:cs="Arial"/>
          <w:sz w:val="22"/>
          <w:szCs w:val="22"/>
        </w:rPr>
        <w:t>.</w:t>
      </w:r>
      <w:r w:rsidR="009C7573" w:rsidRPr="00542A77">
        <w:rPr>
          <w:rFonts w:ascii="Arial" w:hAnsi="Arial" w:cs="Arial"/>
          <w:sz w:val="22"/>
          <w:szCs w:val="22"/>
        </w:rPr>
        <w:t xml:space="preserve"> </w:t>
      </w:r>
      <w:r w:rsidR="00E75517">
        <w:rPr>
          <w:rFonts w:ascii="Arial" w:hAnsi="Arial" w:cs="Arial"/>
          <w:sz w:val="22"/>
          <w:szCs w:val="22"/>
        </w:rPr>
        <w:t>£</w:t>
      </w:r>
      <w:r w:rsidR="00E75517" w:rsidRPr="00DF4C69">
        <w:rPr>
          <w:rFonts w:ascii="Arial" w:hAnsi="Arial" w:cs="Arial"/>
          <w:sz w:val="22"/>
          <w:szCs w:val="22"/>
        </w:rPr>
        <w:t>55</w:t>
      </w:r>
      <w:r w:rsidR="001D1C69" w:rsidRPr="00DF4C69">
        <w:rPr>
          <w:rFonts w:ascii="Arial" w:hAnsi="Arial" w:cs="Arial"/>
          <w:sz w:val="22"/>
          <w:szCs w:val="22"/>
        </w:rPr>
        <w:t xml:space="preserve">k </w:t>
      </w:r>
      <w:r w:rsidR="009C7573" w:rsidRPr="00DF4C69">
        <w:rPr>
          <w:rFonts w:ascii="Arial" w:hAnsi="Arial" w:cs="Arial"/>
          <w:sz w:val="22"/>
          <w:szCs w:val="22"/>
        </w:rPr>
        <w:t xml:space="preserve">of the under spend </w:t>
      </w:r>
      <w:r w:rsidR="001D1C69" w:rsidRPr="00DF4C69">
        <w:rPr>
          <w:rFonts w:ascii="Arial" w:hAnsi="Arial" w:cs="Arial"/>
          <w:sz w:val="22"/>
          <w:szCs w:val="22"/>
        </w:rPr>
        <w:t xml:space="preserve">relates to </w:t>
      </w:r>
      <w:r w:rsidR="00FA1F5F" w:rsidRPr="00DF4C69">
        <w:rPr>
          <w:rFonts w:ascii="Arial" w:hAnsi="Arial" w:cs="Arial"/>
          <w:sz w:val="22"/>
          <w:szCs w:val="22"/>
        </w:rPr>
        <w:t>this service</w:t>
      </w:r>
      <w:r w:rsidR="009C0D17">
        <w:rPr>
          <w:rFonts w:ascii="Arial" w:hAnsi="Arial" w:cs="Arial"/>
          <w:sz w:val="22"/>
          <w:szCs w:val="22"/>
        </w:rPr>
        <w:t xml:space="preserve"> which continues to deliver the required programmes to members, but the anticipated costs are lower than original estimates and it is now unlikely that this underspend will be utilised in year. A</w:t>
      </w:r>
      <w:r w:rsidR="001D1C69" w:rsidRPr="00DF4C69">
        <w:rPr>
          <w:rFonts w:ascii="Arial" w:hAnsi="Arial" w:cs="Arial"/>
          <w:sz w:val="22"/>
          <w:szCs w:val="22"/>
        </w:rPr>
        <w:t xml:space="preserve"> contributing factor is thought to be the accounting </w:t>
      </w:r>
      <w:r w:rsidR="00FA1F5F" w:rsidRPr="00DF4C69">
        <w:rPr>
          <w:rFonts w:ascii="Arial" w:hAnsi="Arial" w:cs="Arial"/>
          <w:sz w:val="22"/>
          <w:szCs w:val="22"/>
        </w:rPr>
        <w:t xml:space="preserve">treatment </w:t>
      </w:r>
      <w:r w:rsidR="001D1C69" w:rsidRPr="00DF4C69">
        <w:rPr>
          <w:rFonts w:ascii="Arial" w:hAnsi="Arial" w:cs="Arial"/>
          <w:sz w:val="22"/>
          <w:szCs w:val="22"/>
        </w:rPr>
        <w:t>for training related travel which will be corrected</w:t>
      </w:r>
      <w:r w:rsidR="000140FE" w:rsidRPr="00DF4C69">
        <w:rPr>
          <w:rFonts w:ascii="Arial" w:hAnsi="Arial" w:cs="Arial"/>
          <w:sz w:val="22"/>
          <w:szCs w:val="22"/>
        </w:rPr>
        <w:t xml:space="preserve"> following a change in expense claim processes</w:t>
      </w:r>
      <w:r w:rsidR="00447D56">
        <w:rPr>
          <w:rFonts w:ascii="Arial" w:hAnsi="Arial" w:cs="Arial"/>
          <w:sz w:val="22"/>
          <w:szCs w:val="22"/>
        </w:rPr>
        <w:t xml:space="preserve"> (held up despite huge efforts, by the limitations of the NHS SBS payroll process)</w:t>
      </w:r>
      <w:r w:rsidR="001D1C69" w:rsidRPr="00DF4C69">
        <w:rPr>
          <w:rFonts w:ascii="Arial" w:hAnsi="Arial" w:cs="Arial"/>
          <w:sz w:val="22"/>
          <w:szCs w:val="22"/>
        </w:rPr>
        <w:t xml:space="preserve">. </w:t>
      </w:r>
      <w:r w:rsidR="000D7316" w:rsidRPr="00DF4C69">
        <w:rPr>
          <w:rFonts w:ascii="Arial" w:hAnsi="Arial" w:cs="Arial"/>
          <w:sz w:val="22"/>
          <w:szCs w:val="22"/>
        </w:rPr>
        <w:t xml:space="preserve">The </w:t>
      </w:r>
      <w:r w:rsidR="001D1C69" w:rsidRPr="00DF4C69">
        <w:rPr>
          <w:rFonts w:ascii="Arial" w:hAnsi="Arial" w:cs="Arial"/>
          <w:sz w:val="22"/>
          <w:szCs w:val="22"/>
        </w:rPr>
        <w:t xml:space="preserve">remainder of the </w:t>
      </w:r>
      <w:r w:rsidR="00C04A23" w:rsidRPr="00DF4C69">
        <w:rPr>
          <w:rFonts w:ascii="Arial" w:hAnsi="Arial" w:cs="Arial"/>
          <w:sz w:val="22"/>
          <w:szCs w:val="22"/>
        </w:rPr>
        <w:t>under spend</w:t>
      </w:r>
      <w:r w:rsidR="000D7316" w:rsidRPr="00DF4C69">
        <w:rPr>
          <w:rFonts w:ascii="Arial" w:hAnsi="Arial" w:cs="Arial"/>
          <w:sz w:val="22"/>
          <w:szCs w:val="22"/>
        </w:rPr>
        <w:t xml:space="preserve"> </w:t>
      </w:r>
      <w:r w:rsidR="009C0D17">
        <w:rPr>
          <w:rFonts w:ascii="Arial" w:hAnsi="Arial" w:cs="Arial"/>
          <w:sz w:val="22"/>
          <w:szCs w:val="22"/>
        </w:rPr>
        <w:t xml:space="preserve">within the directorate (£45k) </w:t>
      </w:r>
      <w:r w:rsidR="000D7316" w:rsidRPr="00DF4C69">
        <w:rPr>
          <w:rFonts w:ascii="Arial" w:hAnsi="Arial" w:cs="Arial"/>
          <w:sz w:val="22"/>
          <w:szCs w:val="22"/>
        </w:rPr>
        <w:t xml:space="preserve">relates to </w:t>
      </w:r>
      <w:r w:rsidR="001D1C69" w:rsidRPr="00DF4C69">
        <w:rPr>
          <w:rFonts w:ascii="Arial" w:hAnsi="Arial" w:cs="Arial"/>
          <w:sz w:val="22"/>
          <w:szCs w:val="22"/>
        </w:rPr>
        <w:t xml:space="preserve">vacancies that have either been recruited to or will be very shortly. </w:t>
      </w:r>
      <w:r w:rsidR="009C0D17">
        <w:rPr>
          <w:rFonts w:ascii="Arial" w:hAnsi="Arial" w:cs="Arial"/>
          <w:sz w:val="22"/>
          <w:szCs w:val="22"/>
        </w:rPr>
        <w:t xml:space="preserve">Some </w:t>
      </w:r>
      <w:r w:rsidR="00E75517" w:rsidRPr="00DF4C69">
        <w:rPr>
          <w:rFonts w:ascii="Arial" w:hAnsi="Arial" w:cs="Arial"/>
          <w:sz w:val="22"/>
          <w:szCs w:val="22"/>
        </w:rPr>
        <w:t>vacancies are arising as current Research Systems</w:t>
      </w:r>
      <w:r w:rsidR="009C0D17">
        <w:rPr>
          <w:rFonts w:ascii="Arial" w:hAnsi="Arial" w:cs="Arial"/>
          <w:sz w:val="22"/>
          <w:szCs w:val="22"/>
        </w:rPr>
        <w:t xml:space="preserve">, Standards and HRA Approval </w:t>
      </w:r>
      <w:proofErr w:type="gramStart"/>
      <w:r w:rsidR="00E75517" w:rsidRPr="00DF4C69">
        <w:rPr>
          <w:rFonts w:ascii="Arial" w:hAnsi="Arial" w:cs="Arial"/>
          <w:sz w:val="22"/>
          <w:szCs w:val="22"/>
        </w:rPr>
        <w:t>staf</w:t>
      </w:r>
      <w:r w:rsidR="009C0D17">
        <w:rPr>
          <w:rFonts w:ascii="Arial" w:hAnsi="Arial" w:cs="Arial"/>
          <w:sz w:val="22"/>
          <w:szCs w:val="22"/>
        </w:rPr>
        <w:t>f secure</w:t>
      </w:r>
      <w:proofErr w:type="gramEnd"/>
      <w:r w:rsidR="009C0D17">
        <w:rPr>
          <w:rFonts w:ascii="Arial" w:hAnsi="Arial" w:cs="Arial"/>
          <w:sz w:val="22"/>
          <w:szCs w:val="22"/>
        </w:rPr>
        <w:t xml:space="preserve"> new roles within the </w:t>
      </w:r>
      <w:r w:rsidR="00B81659">
        <w:rPr>
          <w:rFonts w:ascii="Arial" w:hAnsi="Arial" w:cs="Arial"/>
          <w:sz w:val="22"/>
          <w:szCs w:val="22"/>
        </w:rPr>
        <w:t xml:space="preserve">planned phased recruitment within the </w:t>
      </w:r>
      <w:r w:rsidR="009C0D17">
        <w:rPr>
          <w:rFonts w:ascii="Arial" w:hAnsi="Arial" w:cs="Arial"/>
          <w:sz w:val="22"/>
          <w:szCs w:val="22"/>
        </w:rPr>
        <w:t>directorate</w:t>
      </w:r>
      <w:r w:rsidR="0093732D" w:rsidRPr="00DF4C69">
        <w:rPr>
          <w:rFonts w:ascii="Arial" w:hAnsi="Arial" w:cs="Arial"/>
          <w:sz w:val="22"/>
          <w:szCs w:val="22"/>
        </w:rPr>
        <w:t xml:space="preserve"> and create additional vacancies.</w:t>
      </w:r>
      <w:r w:rsidR="001D1C69" w:rsidRPr="00DF4C69">
        <w:rPr>
          <w:rFonts w:ascii="Arial" w:hAnsi="Arial" w:cs="Arial"/>
          <w:sz w:val="22"/>
          <w:szCs w:val="22"/>
        </w:rPr>
        <w:t xml:space="preserve"> These non</w:t>
      </w:r>
      <w:r w:rsidR="00506D7B">
        <w:rPr>
          <w:rFonts w:ascii="Arial" w:hAnsi="Arial" w:cs="Arial"/>
          <w:sz w:val="22"/>
          <w:szCs w:val="22"/>
        </w:rPr>
        <w:t>-</w:t>
      </w:r>
      <w:r w:rsidR="0093732D" w:rsidRPr="00DF4C69">
        <w:rPr>
          <w:rFonts w:ascii="Arial" w:hAnsi="Arial" w:cs="Arial"/>
          <w:sz w:val="22"/>
          <w:szCs w:val="22"/>
        </w:rPr>
        <w:t>recurrent under spends have now been included into the forecast outturn position</w:t>
      </w:r>
      <w:r w:rsidR="001D1C69" w:rsidRPr="00DF4C69">
        <w:rPr>
          <w:rFonts w:ascii="Arial" w:hAnsi="Arial" w:cs="Arial"/>
          <w:sz w:val="22"/>
          <w:szCs w:val="22"/>
        </w:rPr>
        <w:t xml:space="preserve">.  </w:t>
      </w:r>
    </w:p>
    <w:p w:rsidR="00542A77" w:rsidRDefault="00542A77" w:rsidP="00A6115B">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Within the Research Systems team </w:t>
      </w:r>
      <w:proofErr w:type="gramStart"/>
      <w:r w:rsidRPr="00542A77">
        <w:rPr>
          <w:rFonts w:ascii="Arial" w:hAnsi="Arial" w:cs="Arial"/>
          <w:sz w:val="22"/>
          <w:szCs w:val="22"/>
        </w:rPr>
        <w:t>an underspend</w:t>
      </w:r>
      <w:proofErr w:type="gramEnd"/>
      <w:r w:rsidRPr="00542A77">
        <w:rPr>
          <w:rFonts w:ascii="Arial" w:hAnsi="Arial" w:cs="Arial"/>
          <w:sz w:val="22"/>
          <w:szCs w:val="22"/>
        </w:rPr>
        <w:t xml:space="preserve"> </w:t>
      </w:r>
      <w:r w:rsidR="00E75517">
        <w:rPr>
          <w:rFonts w:ascii="Arial" w:hAnsi="Arial" w:cs="Arial"/>
          <w:sz w:val="22"/>
          <w:szCs w:val="22"/>
        </w:rPr>
        <w:t>developed last month</w:t>
      </w:r>
      <w:r w:rsidRPr="00542A77">
        <w:rPr>
          <w:rFonts w:ascii="Arial" w:hAnsi="Arial" w:cs="Arial"/>
          <w:sz w:val="22"/>
          <w:szCs w:val="22"/>
        </w:rPr>
        <w:t xml:space="preserve"> </w:t>
      </w:r>
      <w:r w:rsidR="00E75517">
        <w:rPr>
          <w:rFonts w:ascii="Arial" w:hAnsi="Arial" w:cs="Arial"/>
          <w:sz w:val="22"/>
          <w:szCs w:val="22"/>
        </w:rPr>
        <w:t>(£24k)</w:t>
      </w:r>
      <w:r w:rsidR="00F03CDB">
        <w:rPr>
          <w:rFonts w:ascii="Arial" w:hAnsi="Arial" w:cs="Arial"/>
          <w:sz w:val="22"/>
          <w:szCs w:val="22"/>
        </w:rPr>
        <w:t xml:space="preserve"> </w:t>
      </w:r>
      <w:r w:rsidRPr="00542A77">
        <w:rPr>
          <w:rFonts w:ascii="Arial" w:hAnsi="Arial" w:cs="Arial"/>
          <w:sz w:val="22"/>
          <w:szCs w:val="22"/>
        </w:rPr>
        <w:t xml:space="preserve">with regard to contractor costs.  </w:t>
      </w:r>
      <w:r w:rsidR="00E75517">
        <w:rPr>
          <w:rFonts w:ascii="Arial" w:hAnsi="Arial" w:cs="Arial"/>
          <w:sz w:val="22"/>
          <w:szCs w:val="22"/>
        </w:rPr>
        <w:t>With reduced working days during December this underspend has not corrected.  Further work will be</w:t>
      </w:r>
      <w:r w:rsidR="00F03CDB">
        <w:rPr>
          <w:rFonts w:ascii="Arial" w:hAnsi="Arial" w:cs="Arial"/>
          <w:sz w:val="22"/>
          <w:szCs w:val="22"/>
        </w:rPr>
        <w:t xml:space="preserve"> </w:t>
      </w:r>
      <w:r w:rsidR="00E75517">
        <w:rPr>
          <w:rFonts w:ascii="Arial" w:hAnsi="Arial" w:cs="Arial"/>
          <w:sz w:val="22"/>
          <w:szCs w:val="22"/>
        </w:rPr>
        <w:t>undertaken with the budget manager but it is anticipated this underspend will remain and is included in the forecast outturn.</w:t>
      </w:r>
    </w:p>
    <w:p w:rsidR="00594040" w:rsidRPr="00542A77" w:rsidRDefault="0072331F" w:rsidP="00CB2751">
      <w:pPr>
        <w:pStyle w:val="ListParagraph"/>
        <w:numPr>
          <w:ilvl w:val="0"/>
          <w:numId w:val="17"/>
        </w:numPr>
        <w:spacing w:after="200" w:line="276" w:lineRule="auto"/>
        <w:ind w:left="1134" w:hanging="708"/>
        <w:rPr>
          <w:rFonts w:ascii="Arial" w:hAnsi="Arial" w:cs="Arial"/>
          <w:b/>
          <w:sz w:val="22"/>
          <w:szCs w:val="22"/>
        </w:rPr>
      </w:pPr>
      <w:r w:rsidRPr="00542A77">
        <w:rPr>
          <w:rFonts w:ascii="Arial" w:hAnsi="Arial" w:cs="Arial"/>
          <w:sz w:val="22"/>
          <w:szCs w:val="22"/>
        </w:rPr>
        <w:t>Overall e</w:t>
      </w:r>
      <w:r w:rsidR="00440BCB" w:rsidRPr="00542A77">
        <w:rPr>
          <w:rFonts w:ascii="Arial" w:hAnsi="Arial" w:cs="Arial"/>
          <w:sz w:val="22"/>
          <w:szCs w:val="22"/>
        </w:rPr>
        <w:t xml:space="preserve">xpenditure year to date is below that expected at the time the Financial Plan was presented.  A comparison of the expected </w:t>
      </w:r>
      <w:r w:rsidR="00447D56">
        <w:rPr>
          <w:rFonts w:ascii="Arial" w:hAnsi="Arial" w:cs="Arial"/>
          <w:sz w:val="22"/>
          <w:szCs w:val="22"/>
        </w:rPr>
        <w:t xml:space="preserve">profiled plan against actual year to date expenditure can be seen in the tables 3 and 4 overleaf.  The reasons for the pay variances have already been presented.  The main reasons for the variances in </w:t>
      </w:r>
      <w:proofErr w:type="spellStart"/>
      <w:r w:rsidR="00447D56">
        <w:rPr>
          <w:rFonts w:ascii="Arial" w:hAnsi="Arial" w:cs="Arial"/>
          <w:sz w:val="22"/>
          <w:szCs w:val="22"/>
        </w:rPr>
        <w:t>non pay</w:t>
      </w:r>
      <w:proofErr w:type="spellEnd"/>
      <w:r w:rsidR="00447D56">
        <w:rPr>
          <w:rFonts w:ascii="Arial" w:hAnsi="Arial" w:cs="Arial"/>
          <w:sz w:val="22"/>
          <w:szCs w:val="22"/>
        </w:rPr>
        <w:t xml:space="preserve"> are due to:</w:t>
      </w:r>
    </w:p>
    <w:p w:rsidR="00594040" w:rsidRPr="00194497" w:rsidRDefault="00594040" w:rsidP="00594040">
      <w:pPr>
        <w:pStyle w:val="ListParagraph"/>
        <w:numPr>
          <w:ilvl w:val="1"/>
          <w:numId w:val="17"/>
        </w:numPr>
        <w:spacing w:after="200" w:line="276" w:lineRule="auto"/>
        <w:rPr>
          <w:rFonts w:ascii="Arial" w:hAnsi="Arial" w:cs="Arial"/>
          <w:b/>
          <w:sz w:val="22"/>
          <w:szCs w:val="22"/>
        </w:rPr>
      </w:pPr>
      <w:r w:rsidRPr="00194497">
        <w:rPr>
          <w:rFonts w:ascii="Arial" w:hAnsi="Arial" w:cs="Arial"/>
          <w:sz w:val="22"/>
          <w:szCs w:val="22"/>
        </w:rPr>
        <w:t xml:space="preserve">Quarterly non pay property costs – mainly </w:t>
      </w:r>
      <w:r w:rsidR="00447D56" w:rsidRPr="00542A77">
        <w:rPr>
          <w:rFonts w:ascii="Arial" w:hAnsi="Arial" w:cs="Arial"/>
          <w:sz w:val="22"/>
          <w:szCs w:val="22"/>
        </w:rPr>
        <w:t xml:space="preserve">profiled plan against the actual year to date expenditure can be seen in the graph overleaf.  The main reasons for the variance highlighted in the graph </w:t>
      </w:r>
      <w:r w:rsidR="00447D56">
        <w:rPr>
          <w:rFonts w:ascii="Arial" w:hAnsi="Arial" w:cs="Arial"/>
          <w:sz w:val="22"/>
          <w:szCs w:val="22"/>
        </w:rPr>
        <w:t xml:space="preserve">are due to a </w:t>
      </w:r>
      <w:r w:rsidRPr="00194497">
        <w:rPr>
          <w:rFonts w:ascii="Arial" w:hAnsi="Arial" w:cs="Arial"/>
          <w:sz w:val="22"/>
          <w:szCs w:val="22"/>
        </w:rPr>
        <w:t xml:space="preserve">rent free period from June </w:t>
      </w:r>
      <w:r w:rsidR="00C04A23" w:rsidRPr="00194497">
        <w:rPr>
          <w:rFonts w:ascii="Arial" w:hAnsi="Arial" w:cs="Arial"/>
          <w:sz w:val="22"/>
          <w:szCs w:val="22"/>
        </w:rPr>
        <w:t xml:space="preserve">only </w:t>
      </w:r>
      <w:r w:rsidRPr="00194497">
        <w:rPr>
          <w:rFonts w:ascii="Arial" w:hAnsi="Arial" w:cs="Arial"/>
          <w:sz w:val="22"/>
          <w:szCs w:val="22"/>
        </w:rPr>
        <w:t xml:space="preserve">being profiled </w:t>
      </w:r>
      <w:r w:rsidR="00C04A23" w:rsidRPr="00194497">
        <w:rPr>
          <w:rFonts w:ascii="Arial" w:hAnsi="Arial" w:cs="Arial"/>
          <w:sz w:val="22"/>
          <w:szCs w:val="22"/>
        </w:rPr>
        <w:t>after agreement</w:t>
      </w:r>
      <w:r w:rsidR="00447D56">
        <w:rPr>
          <w:rFonts w:ascii="Arial" w:hAnsi="Arial" w:cs="Arial"/>
          <w:sz w:val="22"/>
          <w:szCs w:val="22"/>
        </w:rPr>
        <w:t xml:space="preserve"> following </w:t>
      </w:r>
      <w:r w:rsidR="00447D56" w:rsidRPr="00194497">
        <w:rPr>
          <w:rFonts w:ascii="Arial" w:hAnsi="Arial" w:cs="Arial"/>
          <w:sz w:val="22"/>
          <w:szCs w:val="22"/>
        </w:rPr>
        <w:t>the successful lease exemption case agreed in Manchester</w:t>
      </w:r>
      <w:r w:rsidRPr="00194497">
        <w:rPr>
          <w:rFonts w:ascii="Arial" w:hAnsi="Arial" w:cs="Arial"/>
          <w:sz w:val="22"/>
          <w:szCs w:val="22"/>
        </w:rPr>
        <w:t>.</w:t>
      </w:r>
      <w:r w:rsidR="0004366E" w:rsidRPr="00194497">
        <w:rPr>
          <w:rFonts w:ascii="Arial" w:hAnsi="Arial" w:cs="Arial"/>
          <w:sz w:val="22"/>
          <w:szCs w:val="22"/>
        </w:rPr>
        <w:t xml:space="preserve"> A </w:t>
      </w:r>
      <w:r w:rsidR="000140FE" w:rsidRPr="00194497">
        <w:rPr>
          <w:rFonts w:ascii="Arial" w:hAnsi="Arial" w:cs="Arial"/>
          <w:sz w:val="22"/>
          <w:szCs w:val="22"/>
        </w:rPr>
        <w:t xml:space="preserve">further adjustment </w:t>
      </w:r>
      <w:r w:rsidR="0004366E" w:rsidRPr="00194497">
        <w:rPr>
          <w:rFonts w:ascii="Arial" w:hAnsi="Arial" w:cs="Arial"/>
          <w:sz w:val="22"/>
          <w:szCs w:val="22"/>
        </w:rPr>
        <w:t xml:space="preserve">was actioned </w:t>
      </w:r>
      <w:r w:rsidR="000140FE" w:rsidRPr="00194497">
        <w:rPr>
          <w:rFonts w:ascii="Arial" w:hAnsi="Arial" w:cs="Arial"/>
          <w:sz w:val="22"/>
          <w:szCs w:val="22"/>
        </w:rPr>
        <w:t xml:space="preserve">in November following a review of accounting treatments whereby the rent free period should be spread across the length of the lease. </w:t>
      </w:r>
    </w:p>
    <w:p w:rsidR="00194497" w:rsidRPr="00194497" w:rsidRDefault="00194497" w:rsidP="00594040">
      <w:pPr>
        <w:pStyle w:val="ListParagraph"/>
        <w:numPr>
          <w:ilvl w:val="1"/>
          <w:numId w:val="17"/>
        </w:numPr>
        <w:spacing w:after="200" w:line="276" w:lineRule="auto"/>
        <w:rPr>
          <w:rFonts w:ascii="Arial" w:hAnsi="Arial" w:cs="Arial"/>
          <w:b/>
          <w:sz w:val="22"/>
          <w:szCs w:val="22"/>
        </w:rPr>
      </w:pPr>
      <w:proofErr w:type="gramStart"/>
      <w:r w:rsidRPr="00194497">
        <w:rPr>
          <w:rFonts w:ascii="Arial" w:hAnsi="Arial" w:cs="Arial"/>
          <w:sz w:val="22"/>
          <w:szCs w:val="22"/>
        </w:rPr>
        <w:lastRenderedPageBreak/>
        <w:t>Impact on non-pay spend</w:t>
      </w:r>
      <w:proofErr w:type="gramEnd"/>
      <w:r w:rsidRPr="00194497">
        <w:rPr>
          <w:rFonts w:ascii="Arial" w:hAnsi="Arial" w:cs="Arial"/>
          <w:sz w:val="22"/>
          <w:szCs w:val="22"/>
        </w:rPr>
        <w:t xml:space="preserve"> </w:t>
      </w:r>
      <w:r w:rsidR="007C5F95">
        <w:rPr>
          <w:rFonts w:ascii="Arial" w:hAnsi="Arial" w:cs="Arial"/>
          <w:sz w:val="22"/>
          <w:szCs w:val="22"/>
        </w:rPr>
        <w:t xml:space="preserve">such as travel </w:t>
      </w:r>
      <w:r w:rsidRPr="00194497">
        <w:rPr>
          <w:rFonts w:ascii="Arial" w:hAnsi="Arial" w:cs="Arial"/>
          <w:sz w:val="22"/>
          <w:szCs w:val="22"/>
        </w:rPr>
        <w:t>with the slippage of recruitment to HRA Approval posts.</w:t>
      </w:r>
    </w:p>
    <w:p w:rsidR="00106106" w:rsidRPr="00194497" w:rsidRDefault="00E14583" w:rsidP="00594040">
      <w:pPr>
        <w:pStyle w:val="ListParagraph"/>
        <w:numPr>
          <w:ilvl w:val="1"/>
          <w:numId w:val="17"/>
        </w:numPr>
        <w:spacing w:after="200" w:line="276" w:lineRule="auto"/>
        <w:rPr>
          <w:rFonts w:ascii="Arial" w:hAnsi="Arial" w:cs="Arial"/>
          <w:b/>
          <w:sz w:val="22"/>
          <w:szCs w:val="22"/>
        </w:rPr>
      </w:pPr>
      <w:r w:rsidRPr="00194497">
        <w:rPr>
          <w:rFonts w:ascii="Arial" w:hAnsi="Arial" w:cs="Arial"/>
          <w:sz w:val="22"/>
          <w:szCs w:val="22"/>
        </w:rPr>
        <w:t>Original quarterly p</w:t>
      </w:r>
      <w:r w:rsidR="00594040" w:rsidRPr="00194497">
        <w:rPr>
          <w:rFonts w:ascii="Arial" w:hAnsi="Arial" w:cs="Arial"/>
          <w:sz w:val="22"/>
          <w:szCs w:val="22"/>
        </w:rPr>
        <w:t xml:space="preserve">rofiling </w:t>
      </w:r>
      <w:r w:rsidRPr="00194497">
        <w:rPr>
          <w:rFonts w:ascii="Arial" w:hAnsi="Arial" w:cs="Arial"/>
          <w:sz w:val="22"/>
          <w:szCs w:val="22"/>
        </w:rPr>
        <w:t xml:space="preserve">of </w:t>
      </w:r>
      <w:r w:rsidR="00594040" w:rsidRPr="00194497">
        <w:rPr>
          <w:rFonts w:ascii="Arial" w:hAnsi="Arial" w:cs="Arial"/>
          <w:sz w:val="22"/>
          <w:szCs w:val="22"/>
        </w:rPr>
        <w:t>non</w:t>
      </w:r>
      <w:r w:rsidR="00044D07" w:rsidRPr="00194497">
        <w:rPr>
          <w:rFonts w:ascii="Arial" w:hAnsi="Arial" w:cs="Arial"/>
          <w:sz w:val="22"/>
          <w:szCs w:val="22"/>
        </w:rPr>
        <w:t xml:space="preserve"> </w:t>
      </w:r>
      <w:r w:rsidR="00594040" w:rsidRPr="00194497">
        <w:rPr>
          <w:rFonts w:ascii="Arial" w:hAnsi="Arial" w:cs="Arial"/>
          <w:sz w:val="22"/>
          <w:szCs w:val="22"/>
        </w:rPr>
        <w:t>pay areas of earmarked reserves</w:t>
      </w:r>
      <w:r w:rsidR="00106106" w:rsidRPr="00194497">
        <w:rPr>
          <w:rFonts w:ascii="Arial" w:hAnsi="Arial" w:cs="Arial"/>
          <w:sz w:val="22"/>
          <w:szCs w:val="22"/>
        </w:rPr>
        <w:t xml:space="preserve"> in the plan </w:t>
      </w:r>
      <w:r w:rsidR="00594040" w:rsidRPr="00194497">
        <w:rPr>
          <w:rFonts w:ascii="Arial" w:hAnsi="Arial" w:cs="Arial"/>
          <w:sz w:val="22"/>
          <w:szCs w:val="22"/>
        </w:rPr>
        <w:t>which we now have a clearer picture of</w:t>
      </w:r>
      <w:r w:rsidR="00106106" w:rsidRPr="00194497">
        <w:rPr>
          <w:rFonts w:ascii="Arial" w:hAnsi="Arial" w:cs="Arial"/>
          <w:sz w:val="22"/>
          <w:szCs w:val="22"/>
        </w:rPr>
        <w:t xml:space="preserve"> such as estates strategy related spend. </w:t>
      </w:r>
      <w:r w:rsidR="0076311E">
        <w:rPr>
          <w:rFonts w:ascii="Arial" w:hAnsi="Arial" w:cs="Arial"/>
          <w:sz w:val="22"/>
          <w:szCs w:val="22"/>
        </w:rPr>
        <w:t xml:space="preserve">Estates strategy related costs dipped in November but are expected to pick up further momentum in the December to </w:t>
      </w:r>
      <w:r w:rsidR="00210E3A">
        <w:rPr>
          <w:rFonts w:ascii="Arial" w:hAnsi="Arial" w:cs="Arial"/>
          <w:sz w:val="22"/>
          <w:szCs w:val="22"/>
        </w:rPr>
        <w:t xml:space="preserve">March </w:t>
      </w:r>
      <w:r w:rsidR="0076311E">
        <w:rPr>
          <w:rFonts w:ascii="Arial" w:hAnsi="Arial" w:cs="Arial"/>
          <w:sz w:val="22"/>
          <w:szCs w:val="22"/>
        </w:rPr>
        <w:t>period as the Bristol proof of concept project (home working) completes, and re-ordering of offices in Nottingham, Jarrow and Bristol complete.</w:t>
      </w:r>
    </w:p>
    <w:p w:rsidR="00106106" w:rsidRPr="00194497" w:rsidRDefault="00106106"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Incorrect profiling of external training – members - £50k planned in quarter one originally which has now been re-profiled following discussion and agreement with the budget manager.  </w:t>
      </w:r>
      <w:r w:rsidR="007C5F95">
        <w:rPr>
          <w:rFonts w:ascii="Arial" w:hAnsi="Arial" w:cs="Arial"/>
          <w:sz w:val="22"/>
          <w:szCs w:val="22"/>
        </w:rPr>
        <w:t xml:space="preserve">This area requires careful review as </w:t>
      </w:r>
      <w:r w:rsidR="0076311E">
        <w:rPr>
          <w:rFonts w:ascii="Arial" w:hAnsi="Arial" w:cs="Arial"/>
          <w:sz w:val="22"/>
          <w:szCs w:val="22"/>
        </w:rPr>
        <w:t xml:space="preserve">risks of an under spend at year end </w:t>
      </w:r>
      <w:r w:rsidR="007C5F95">
        <w:rPr>
          <w:rFonts w:ascii="Arial" w:hAnsi="Arial" w:cs="Arial"/>
          <w:sz w:val="22"/>
          <w:szCs w:val="22"/>
        </w:rPr>
        <w:t>are emerging</w:t>
      </w:r>
      <w:r w:rsidR="0076311E">
        <w:rPr>
          <w:rFonts w:ascii="Arial" w:hAnsi="Arial" w:cs="Arial"/>
          <w:sz w:val="22"/>
          <w:szCs w:val="22"/>
        </w:rPr>
        <w:t>.</w:t>
      </w:r>
    </w:p>
    <w:p w:rsidR="00187F7B" w:rsidRPr="00194497" w:rsidRDefault="00187F7B"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There are no meetings of RECs in August and this is thought to be one of the reasons for the dip in expenditure alongside the fact that leave impacts on activity.  Profiling of budgets </w:t>
      </w:r>
      <w:r w:rsidR="00951DD0" w:rsidRPr="00194497">
        <w:rPr>
          <w:rFonts w:ascii="Arial" w:hAnsi="Arial" w:cs="Arial"/>
          <w:sz w:val="22"/>
          <w:szCs w:val="22"/>
        </w:rPr>
        <w:t xml:space="preserve">continue to </w:t>
      </w:r>
      <w:r w:rsidRPr="00194497">
        <w:rPr>
          <w:rFonts w:ascii="Arial" w:hAnsi="Arial" w:cs="Arial"/>
          <w:sz w:val="22"/>
          <w:szCs w:val="22"/>
        </w:rPr>
        <w:t>be reviewed.</w:t>
      </w:r>
    </w:p>
    <w:p w:rsidR="00106106" w:rsidRPr="00194497" w:rsidRDefault="009D48D2"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Table 3 and 4 below set out </w:t>
      </w:r>
      <w:r w:rsidR="00106106" w:rsidRPr="00194497">
        <w:rPr>
          <w:rFonts w:ascii="Arial" w:hAnsi="Arial" w:cs="Arial"/>
          <w:sz w:val="22"/>
          <w:szCs w:val="22"/>
        </w:rPr>
        <w:t>separate graphical presentation</w:t>
      </w:r>
      <w:r w:rsidRPr="00194497">
        <w:rPr>
          <w:rFonts w:ascii="Arial" w:hAnsi="Arial" w:cs="Arial"/>
          <w:sz w:val="22"/>
          <w:szCs w:val="22"/>
        </w:rPr>
        <w:t>s</w:t>
      </w:r>
      <w:r w:rsidR="00106106" w:rsidRPr="00194497">
        <w:rPr>
          <w:rFonts w:ascii="Arial" w:hAnsi="Arial" w:cs="Arial"/>
          <w:sz w:val="22"/>
          <w:szCs w:val="22"/>
        </w:rPr>
        <w:t xml:space="preserve"> of pay and non pay</w:t>
      </w:r>
      <w:r w:rsidR="00044D07" w:rsidRPr="00194497">
        <w:rPr>
          <w:rFonts w:ascii="Arial" w:hAnsi="Arial" w:cs="Arial"/>
          <w:sz w:val="22"/>
          <w:szCs w:val="22"/>
        </w:rPr>
        <w:t xml:space="preserve"> including</w:t>
      </w:r>
      <w:r w:rsidR="00106106" w:rsidRPr="00194497">
        <w:rPr>
          <w:rFonts w:ascii="Arial" w:hAnsi="Arial" w:cs="Arial"/>
          <w:sz w:val="22"/>
          <w:szCs w:val="22"/>
        </w:rPr>
        <w:t xml:space="preserve"> </w:t>
      </w:r>
      <w:r w:rsidRPr="00194497">
        <w:rPr>
          <w:rFonts w:ascii="Arial" w:hAnsi="Arial" w:cs="Arial"/>
          <w:sz w:val="22"/>
          <w:szCs w:val="22"/>
        </w:rPr>
        <w:t xml:space="preserve">the </w:t>
      </w:r>
      <w:r w:rsidR="006562DE" w:rsidRPr="00194497">
        <w:rPr>
          <w:rFonts w:ascii="Arial" w:hAnsi="Arial" w:cs="Arial"/>
          <w:sz w:val="22"/>
          <w:szCs w:val="22"/>
        </w:rPr>
        <w:t xml:space="preserve">updated and </w:t>
      </w:r>
      <w:r w:rsidR="00A310F0" w:rsidRPr="00194497">
        <w:rPr>
          <w:rFonts w:ascii="Arial" w:hAnsi="Arial" w:cs="Arial"/>
          <w:sz w:val="22"/>
          <w:szCs w:val="22"/>
        </w:rPr>
        <w:t>revised profile</w:t>
      </w:r>
      <w:r w:rsidRPr="00194497">
        <w:rPr>
          <w:rFonts w:ascii="Arial" w:hAnsi="Arial" w:cs="Arial"/>
          <w:sz w:val="22"/>
          <w:szCs w:val="22"/>
        </w:rPr>
        <w:t>d plan</w:t>
      </w:r>
      <w:r w:rsidR="00A310F0" w:rsidRPr="00194497">
        <w:rPr>
          <w:rFonts w:ascii="Arial" w:hAnsi="Arial" w:cs="Arial"/>
          <w:sz w:val="22"/>
          <w:szCs w:val="22"/>
        </w:rPr>
        <w:t xml:space="preserve"> to the original</w:t>
      </w:r>
      <w:r w:rsidR="00AE42CA" w:rsidRPr="00194497">
        <w:rPr>
          <w:rFonts w:ascii="Arial" w:hAnsi="Arial" w:cs="Arial"/>
          <w:sz w:val="22"/>
          <w:szCs w:val="22"/>
        </w:rPr>
        <w:t xml:space="preserve"> </w:t>
      </w:r>
      <w:r w:rsidR="00106106" w:rsidRPr="00194497">
        <w:rPr>
          <w:rFonts w:ascii="Arial" w:hAnsi="Arial" w:cs="Arial"/>
          <w:sz w:val="22"/>
          <w:szCs w:val="22"/>
        </w:rPr>
        <w:t>profile of the plan in light of new information.</w:t>
      </w:r>
      <w:r w:rsidR="00044D07" w:rsidRPr="00194497">
        <w:rPr>
          <w:rFonts w:ascii="Arial" w:hAnsi="Arial" w:cs="Arial"/>
          <w:sz w:val="22"/>
          <w:szCs w:val="22"/>
        </w:rPr>
        <w:t xml:space="preserve">  These illustrate that the monthly spend is m</w:t>
      </w:r>
      <w:r w:rsidR="006A2789">
        <w:rPr>
          <w:rFonts w:ascii="Arial" w:hAnsi="Arial" w:cs="Arial"/>
          <w:sz w:val="22"/>
          <w:szCs w:val="22"/>
        </w:rPr>
        <w:t xml:space="preserve">uch closer to this revised </w:t>
      </w:r>
      <w:proofErr w:type="gramStart"/>
      <w:r w:rsidR="006A2789">
        <w:rPr>
          <w:rFonts w:ascii="Arial" w:hAnsi="Arial" w:cs="Arial"/>
          <w:sz w:val="22"/>
          <w:szCs w:val="22"/>
        </w:rPr>
        <w:t>plan,</w:t>
      </w:r>
      <w:proofErr w:type="gramEnd"/>
      <w:r w:rsidR="006A2789">
        <w:rPr>
          <w:rFonts w:ascii="Arial" w:hAnsi="Arial" w:cs="Arial"/>
          <w:sz w:val="22"/>
          <w:szCs w:val="22"/>
        </w:rPr>
        <w:t xml:space="preserve"> however a consistent gap continues between the planned pay expenditure and the actual.</w:t>
      </w:r>
    </w:p>
    <w:p w:rsidR="00106106" w:rsidRPr="00106106" w:rsidRDefault="00106106" w:rsidP="00106106">
      <w:pPr>
        <w:pStyle w:val="ListParagraph"/>
        <w:spacing w:after="200" w:line="276" w:lineRule="auto"/>
        <w:ind w:left="1440"/>
        <w:rPr>
          <w:rFonts w:ascii="Arial" w:hAnsi="Arial" w:cs="Arial"/>
          <w:b/>
          <w:sz w:val="22"/>
          <w:szCs w:val="22"/>
        </w:rPr>
      </w:pPr>
    </w:p>
    <w:p w:rsidR="007E40A4" w:rsidRPr="00F03CDB" w:rsidRDefault="00210E3A" w:rsidP="001C6861">
      <w:pPr>
        <w:pStyle w:val="ListParagraph"/>
        <w:numPr>
          <w:ilvl w:val="0"/>
          <w:numId w:val="17"/>
        </w:numPr>
        <w:spacing w:after="200" w:line="276" w:lineRule="auto"/>
        <w:ind w:left="1134" w:hanging="708"/>
        <w:rPr>
          <w:rFonts w:ascii="Arial" w:hAnsi="Arial" w:cs="Arial"/>
          <w:b/>
          <w:sz w:val="22"/>
          <w:szCs w:val="22"/>
        </w:rPr>
      </w:pPr>
      <w:r>
        <w:rPr>
          <w:rFonts w:ascii="Arial" w:hAnsi="Arial" w:cs="Arial"/>
          <w:sz w:val="22"/>
          <w:szCs w:val="22"/>
        </w:rPr>
        <w:t>In light of the December position</w:t>
      </w:r>
      <w:proofErr w:type="gramStart"/>
      <w:r>
        <w:rPr>
          <w:rFonts w:ascii="Arial" w:hAnsi="Arial" w:cs="Arial"/>
          <w:sz w:val="22"/>
          <w:szCs w:val="22"/>
        </w:rPr>
        <w:t>,  urgent</w:t>
      </w:r>
      <w:proofErr w:type="gramEnd"/>
      <w:r>
        <w:rPr>
          <w:rFonts w:ascii="Arial" w:hAnsi="Arial" w:cs="Arial"/>
          <w:sz w:val="22"/>
          <w:szCs w:val="22"/>
        </w:rPr>
        <w:t xml:space="preserve"> and further c</w:t>
      </w:r>
      <w:r w:rsidR="00905E9B" w:rsidRPr="00594040">
        <w:rPr>
          <w:rFonts w:ascii="Arial" w:hAnsi="Arial" w:cs="Arial"/>
          <w:sz w:val="22"/>
          <w:szCs w:val="22"/>
        </w:rPr>
        <w:t>orrective action</w:t>
      </w:r>
      <w:r w:rsidR="00FA1F5F" w:rsidRPr="00594040">
        <w:rPr>
          <w:rFonts w:ascii="Arial" w:hAnsi="Arial" w:cs="Arial"/>
          <w:sz w:val="22"/>
          <w:szCs w:val="22"/>
        </w:rPr>
        <w:t xml:space="preserve"> </w:t>
      </w:r>
      <w:r w:rsidR="0076311E">
        <w:rPr>
          <w:rFonts w:ascii="Arial" w:hAnsi="Arial" w:cs="Arial"/>
          <w:sz w:val="22"/>
          <w:szCs w:val="22"/>
        </w:rPr>
        <w:t xml:space="preserve">has been </w:t>
      </w:r>
      <w:r w:rsidR="00FA1F5F" w:rsidRPr="00594040">
        <w:rPr>
          <w:rFonts w:ascii="Arial" w:hAnsi="Arial" w:cs="Arial"/>
          <w:sz w:val="22"/>
          <w:szCs w:val="22"/>
        </w:rPr>
        <w:t xml:space="preserve">taken by the Executive Management Team to </w:t>
      </w:r>
      <w:r>
        <w:rPr>
          <w:rFonts w:ascii="Arial" w:hAnsi="Arial" w:cs="Arial"/>
          <w:sz w:val="22"/>
          <w:szCs w:val="22"/>
        </w:rPr>
        <w:t xml:space="preserve">push ahead on recruitment and staff related costs to ensure </w:t>
      </w:r>
      <w:r w:rsidR="00FA1F5F" w:rsidRPr="00594040">
        <w:rPr>
          <w:rFonts w:ascii="Arial" w:hAnsi="Arial" w:cs="Arial"/>
          <w:sz w:val="22"/>
          <w:szCs w:val="22"/>
        </w:rPr>
        <w:t xml:space="preserve">support </w:t>
      </w:r>
      <w:r>
        <w:rPr>
          <w:rFonts w:ascii="Arial" w:hAnsi="Arial" w:cs="Arial"/>
          <w:sz w:val="22"/>
          <w:szCs w:val="22"/>
        </w:rPr>
        <w:t xml:space="preserve">is in place to </w:t>
      </w:r>
      <w:r w:rsidR="00FA1F5F" w:rsidRPr="00594040">
        <w:rPr>
          <w:rFonts w:ascii="Arial" w:hAnsi="Arial" w:cs="Arial"/>
          <w:sz w:val="22"/>
          <w:szCs w:val="22"/>
        </w:rPr>
        <w:t>key areas of the business to mitigate the risks to maintaining our delivery of key performance indicators</w:t>
      </w:r>
      <w:r>
        <w:rPr>
          <w:rFonts w:ascii="Arial" w:hAnsi="Arial" w:cs="Arial"/>
          <w:sz w:val="22"/>
          <w:szCs w:val="22"/>
        </w:rPr>
        <w:t xml:space="preserve"> in light of the number of vacancies</w:t>
      </w:r>
      <w:r w:rsidR="00FA1F5F" w:rsidRPr="00594040">
        <w:rPr>
          <w:rFonts w:ascii="Arial" w:hAnsi="Arial" w:cs="Arial"/>
          <w:sz w:val="22"/>
          <w:szCs w:val="22"/>
        </w:rPr>
        <w:t xml:space="preserve">.  </w:t>
      </w:r>
      <w:r w:rsidR="001C6861">
        <w:rPr>
          <w:rFonts w:ascii="Arial" w:hAnsi="Arial" w:cs="Arial"/>
          <w:sz w:val="22"/>
          <w:szCs w:val="22"/>
        </w:rPr>
        <w:t xml:space="preserve"> </w:t>
      </w:r>
    </w:p>
    <w:p w:rsidR="00F03CDB" w:rsidRDefault="00F03CDB" w:rsidP="00F03CDB">
      <w:pPr>
        <w:pStyle w:val="ListParagraph"/>
        <w:spacing w:after="200" w:line="276" w:lineRule="auto"/>
        <w:ind w:left="1134"/>
        <w:rPr>
          <w:rFonts w:ascii="Arial" w:hAnsi="Arial" w:cs="Arial"/>
          <w:sz w:val="22"/>
          <w:szCs w:val="22"/>
        </w:rPr>
      </w:pPr>
    </w:p>
    <w:p w:rsidR="009C5E6B" w:rsidRPr="0076311E" w:rsidRDefault="009C5E6B" w:rsidP="0076311E">
      <w:pPr>
        <w:pStyle w:val="ListParagraph"/>
        <w:spacing w:after="200" w:line="276" w:lineRule="auto"/>
        <w:ind w:left="1134"/>
        <w:rPr>
          <w:rFonts w:ascii="Arial" w:hAnsi="Arial" w:cs="Arial"/>
          <w:b/>
          <w:sz w:val="22"/>
          <w:szCs w:val="22"/>
        </w:rPr>
      </w:pPr>
    </w:p>
    <w:p w:rsidR="00905E9B"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Table 3:  Profile of planned and actual Pay costs 2015/16</w:t>
      </w:r>
    </w:p>
    <w:p w:rsidR="00F03CDB" w:rsidRDefault="00F03CDB" w:rsidP="00E16DE6">
      <w:pPr>
        <w:pStyle w:val="ListParagraph"/>
        <w:spacing w:after="200" w:line="276" w:lineRule="auto"/>
        <w:ind w:left="709"/>
        <w:rPr>
          <w:rFonts w:ascii="Arial" w:hAnsi="Arial" w:cs="Arial"/>
          <w:b/>
          <w:sz w:val="22"/>
          <w:szCs w:val="22"/>
        </w:rPr>
      </w:pPr>
    </w:p>
    <w:p w:rsidR="00A310F0" w:rsidRDefault="00F03CDB"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54BB4555">
            <wp:extent cx="5487035" cy="3609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609340"/>
                    </a:xfrm>
                    <a:prstGeom prst="rect">
                      <a:avLst/>
                    </a:prstGeom>
                    <a:noFill/>
                  </pic:spPr>
                </pic:pic>
              </a:graphicData>
            </a:graphic>
          </wp:inline>
        </w:drawing>
      </w:r>
    </w:p>
    <w:p w:rsidR="001D5F0F" w:rsidRDefault="001D5F0F" w:rsidP="00E16DE6">
      <w:pPr>
        <w:pStyle w:val="ListParagraph"/>
        <w:spacing w:after="200" w:line="276" w:lineRule="auto"/>
        <w:ind w:left="709"/>
        <w:rPr>
          <w:rFonts w:ascii="Arial" w:hAnsi="Arial" w:cs="Arial"/>
          <w:b/>
          <w:sz w:val="22"/>
          <w:szCs w:val="22"/>
        </w:rPr>
      </w:pPr>
    </w:p>
    <w:p w:rsidR="00447D56" w:rsidRDefault="00447D56" w:rsidP="00E16DE6">
      <w:pPr>
        <w:pStyle w:val="ListParagraph"/>
        <w:spacing w:after="200" w:line="276" w:lineRule="auto"/>
        <w:ind w:left="709"/>
        <w:rPr>
          <w:rFonts w:ascii="Arial" w:hAnsi="Arial" w:cs="Arial"/>
          <w:b/>
          <w:sz w:val="22"/>
          <w:szCs w:val="22"/>
        </w:rPr>
      </w:pPr>
    </w:p>
    <w:p w:rsidR="00447D56" w:rsidRDefault="00447D56" w:rsidP="00E16DE6">
      <w:pPr>
        <w:pStyle w:val="ListParagraph"/>
        <w:spacing w:after="200" w:line="276" w:lineRule="auto"/>
        <w:ind w:left="709"/>
        <w:rPr>
          <w:rFonts w:ascii="Arial" w:hAnsi="Arial" w:cs="Arial"/>
          <w:b/>
          <w:sz w:val="22"/>
          <w:szCs w:val="22"/>
        </w:rPr>
      </w:pPr>
    </w:p>
    <w:p w:rsidR="00447D56" w:rsidRDefault="00447D56"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lastRenderedPageBreak/>
        <w:t xml:space="preserve">Table 4:  </w:t>
      </w:r>
      <w:r w:rsidRPr="009D48D2">
        <w:rPr>
          <w:rFonts w:ascii="Arial" w:hAnsi="Arial" w:cs="Arial"/>
          <w:b/>
          <w:sz w:val="22"/>
          <w:szCs w:val="22"/>
        </w:rPr>
        <w:t xml:space="preserve">Profile of planned and actual </w:t>
      </w:r>
      <w:r>
        <w:rPr>
          <w:rFonts w:ascii="Arial" w:hAnsi="Arial" w:cs="Arial"/>
          <w:b/>
          <w:sz w:val="22"/>
          <w:szCs w:val="22"/>
        </w:rPr>
        <w:t xml:space="preserve">Non </w:t>
      </w:r>
      <w:r w:rsidRPr="009D48D2">
        <w:rPr>
          <w:rFonts w:ascii="Arial" w:hAnsi="Arial" w:cs="Arial"/>
          <w:b/>
          <w:sz w:val="22"/>
          <w:szCs w:val="22"/>
        </w:rPr>
        <w:t>Pay costs 2015/16</w:t>
      </w:r>
    </w:p>
    <w:p w:rsidR="00A310F0" w:rsidRDefault="00F03CDB"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7056E66D">
            <wp:extent cx="5487035" cy="3602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60299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E575FA">
        <w:rPr>
          <w:rFonts w:ascii="Arial" w:hAnsi="Arial" w:cs="Arial"/>
          <w:b/>
          <w:sz w:val="22"/>
          <w:szCs w:val="22"/>
        </w:rPr>
        <w:t>5</w:t>
      </w:r>
      <w:r>
        <w:rPr>
          <w:rFonts w:ascii="Arial" w:hAnsi="Arial" w:cs="Arial"/>
          <w:b/>
          <w:sz w:val="22"/>
          <w:szCs w:val="22"/>
        </w:rPr>
        <w:t>/1</w:t>
      </w:r>
      <w:r w:rsidR="00E575FA">
        <w:rPr>
          <w:rFonts w:ascii="Arial" w:hAnsi="Arial" w:cs="Arial"/>
          <w:b/>
          <w:sz w:val="22"/>
          <w:szCs w:val="22"/>
        </w:rPr>
        <w:t>6</w:t>
      </w:r>
    </w:p>
    <w:p w:rsidR="00210E3A" w:rsidRDefault="004B1C3A"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Early forecasts </w:t>
      </w:r>
      <w:r w:rsidR="00951DD0" w:rsidRPr="005200F4">
        <w:rPr>
          <w:rFonts w:ascii="Arial" w:hAnsi="Arial" w:cs="Arial"/>
          <w:sz w:val="22"/>
          <w:szCs w:val="22"/>
        </w:rPr>
        <w:t>point</w:t>
      </w:r>
      <w:r w:rsidR="0020721C">
        <w:rPr>
          <w:rFonts w:ascii="Arial" w:hAnsi="Arial" w:cs="Arial"/>
          <w:sz w:val="22"/>
          <w:szCs w:val="22"/>
        </w:rPr>
        <w:t>ed</w:t>
      </w:r>
      <w:r w:rsidR="00951DD0" w:rsidRPr="005200F4">
        <w:rPr>
          <w:rFonts w:ascii="Arial" w:hAnsi="Arial" w:cs="Arial"/>
          <w:sz w:val="22"/>
          <w:szCs w:val="22"/>
        </w:rPr>
        <w:t xml:space="preserve"> to a</w:t>
      </w:r>
      <w:r w:rsidR="0004366E" w:rsidRPr="005200F4">
        <w:rPr>
          <w:rFonts w:ascii="Arial" w:hAnsi="Arial" w:cs="Arial"/>
          <w:sz w:val="22"/>
          <w:szCs w:val="22"/>
        </w:rPr>
        <w:t>n</w:t>
      </w:r>
      <w:r w:rsidR="004E25D4" w:rsidRPr="005200F4">
        <w:rPr>
          <w:rFonts w:ascii="Arial" w:hAnsi="Arial" w:cs="Arial"/>
          <w:sz w:val="22"/>
          <w:szCs w:val="22"/>
        </w:rPr>
        <w:t xml:space="preserve"> </w:t>
      </w:r>
      <w:r w:rsidR="00951DD0" w:rsidRPr="005200F4">
        <w:rPr>
          <w:rFonts w:ascii="Arial" w:hAnsi="Arial" w:cs="Arial"/>
          <w:sz w:val="22"/>
          <w:szCs w:val="22"/>
        </w:rPr>
        <w:t xml:space="preserve">underspend position </w:t>
      </w:r>
      <w:r w:rsidR="0004366E" w:rsidRPr="005200F4">
        <w:rPr>
          <w:rFonts w:ascii="Arial" w:hAnsi="Arial" w:cs="Arial"/>
          <w:sz w:val="22"/>
          <w:szCs w:val="22"/>
        </w:rPr>
        <w:t xml:space="preserve">of </w:t>
      </w:r>
      <w:r w:rsidR="004E25D4" w:rsidRPr="005200F4">
        <w:rPr>
          <w:rFonts w:ascii="Arial" w:hAnsi="Arial" w:cs="Arial"/>
          <w:sz w:val="22"/>
          <w:szCs w:val="22"/>
        </w:rPr>
        <w:t>£</w:t>
      </w:r>
      <w:r w:rsidR="0004366E" w:rsidRPr="005200F4">
        <w:rPr>
          <w:rFonts w:ascii="Arial" w:hAnsi="Arial" w:cs="Arial"/>
          <w:sz w:val="22"/>
          <w:szCs w:val="22"/>
        </w:rPr>
        <w:t>5</w:t>
      </w:r>
      <w:r w:rsidR="004E25D4" w:rsidRPr="005200F4">
        <w:rPr>
          <w:rFonts w:ascii="Arial" w:hAnsi="Arial" w:cs="Arial"/>
          <w:sz w:val="22"/>
          <w:szCs w:val="22"/>
        </w:rPr>
        <w:t>00k</w:t>
      </w:r>
      <w:r w:rsidR="00210E3A">
        <w:rPr>
          <w:rFonts w:ascii="Arial" w:hAnsi="Arial" w:cs="Arial"/>
          <w:sz w:val="22"/>
          <w:szCs w:val="22"/>
        </w:rPr>
        <w:t xml:space="preserve"> and this was predicated on:</w:t>
      </w:r>
      <w:r w:rsidR="0076311E" w:rsidRPr="005200F4">
        <w:rPr>
          <w:rFonts w:ascii="Arial" w:hAnsi="Arial" w:cs="Arial"/>
          <w:sz w:val="22"/>
          <w:szCs w:val="22"/>
        </w:rPr>
        <w:t xml:space="preserve">  </w:t>
      </w:r>
    </w:p>
    <w:p w:rsidR="00210E3A" w:rsidRDefault="00210E3A" w:rsidP="004B1C3A">
      <w:pPr>
        <w:pStyle w:val="ListParagraph"/>
        <w:spacing w:line="276" w:lineRule="auto"/>
        <w:ind w:left="0"/>
        <w:rPr>
          <w:rFonts w:ascii="Arial" w:hAnsi="Arial" w:cs="Arial"/>
          <w:sz w:val="22"/>
          <w:szCs w:val="22"/>
        </w:rPr>
      </w:pPr>
    </w:p>
    <w:p w:rsidR="00210E3A" w:rsidRPr="00210E3A" w:rsidRDefault="00210E3A" w:rsidP="00210E3A">
      <w:pPr>
        <w:pStyle w:val="ListParagraph"/>
        <w:numPr>
          <w:ilvl w:val="0"/>
          <w:numId w:val="26"/>
        </w:numPr>
        <w:spacing w:after="200" w:line="276" w:lineRule="auto"/>
        <w:rPr>
          <w:rFonts w:ascii="Arial" w:hAnsi="Arial" w:cs="Arial"/>
          <w:sz w:val="22"/>
          <w:szCs w:val="22"/>
        </w:rPr>
      </w:pPr>
      <w:proofErr w:type="gramStart"/>
      <w:r w:rsidRPr="00210E3A">
        <w:rPr>
          <w:rFonts w:ascii="Arial" w:hAnsi="Arial" w:cs="Arial"/>
          <w:sz w:val="22"/>
          <w:szCs w:val="22"/>
        </w:rPr>
        <w:t>plans</w:t>
      </w:r>
      <w:proofErr w:type="gramEnd"/>
      <w:r w:rsidRPr="00210E3A">
        <w:rPr>
          <w:rFonts w:ascii="Arial" w:hAnsi="Arial" w:cs="Arial"/>
          <w:sz w:val="22"/>
          <w:szCs w:val="22"/>
        </w:rPr>
        <w:t xml:space="preserve"> to mitigate and reduce the year to date income and expenditure under spend expected to be around £250k  through additional project spend and over recruitment within Operations to mitigate against any further vacancies arising through successful applications to HRA Approval position.  Thus a breakeven on the income and expenditure (less reserves).</w:t>
      </w:r>
    </w:p>
    <w:p w:rsidR="00210E3A" w:rsidRPr="00210E3A" w:rsidRDefault="00210E3A" w:rsidP="00210E3A">
      <w:pPr>
        <w:pStyle w:val="ListParagraph"/>
        <w:numPr>
          <w:ilvl w:val="0"/>
          <w:numId w:val="26"/>
        </w:numPr>
        <w:spacing w:after="200" w:line="276" w:lineRule="auto"/>
        <w:rPr>
          <w:rFonts w:ascii="Arial" w:hAnsi="Arial" w:cs="Arial"/>
          <w:sz w:val="22"/>
          <w:szCs w:val="22"/>
        </w:rPr>
      </w:pPr>
      <w:r w:rsidRPr="00210E3A">
        <w:rPr>
          <w:rFonts w:ascii="Arial" w:hAnsi="Arial" w:cs="Arial"/>
          <w:sz w:val="22"/>
          <w:szCs w:val="22"/>
        </w:rPr>
        <w:t>Management and visibility of reserves position and a linked and expected £500k under spend largely due to holding back in reserves with a profiled March impact the following:</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Continued time taken to recruit to posts for HRA Approval and expectations of future time line</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Appointments on bottom of scale to HRA A posts rather than midpoint</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Delays in regulations supporting handling of patient information in research with knock on effect of delayed recruitment of staff and members for CAG 2</w:t>
      </w:r>
    </w:p>
    <w:p w:rsidR="00210E3A" w:rsidRDefault="00210E3A" w:rsidP="004B1C3A">
      <w:pPr>
        <w:pStyle w:val="ListParagraph"/>
        <w:spacing w:line="276" w:lineRule="auto"/>
        <w:ind w:left="0"/>
        <w:rPr>
          <w:rFonts w:ascii="Arial" w:hAnsi="Arial" w:cs="Arial"/>
          <w:sz w:val="22"/>
          <w:szCs w:val="22"/>
        </w:rPr>
      </w:pPr>
    </w:p>
    <w:p w:rsidR="00210E3A" w:rsidRDefault="0020721C" w:rsidP="004B1C3A">
      <w:pPr>
        <w:pStyle w:val="ListParagraph"/>
        <w:spacing w:line="276" w:lineRule="auto"/>
        <w:ind w:left="0"/>
        <w:rPr>
          <w:rFonts w:ascii="Arial" w:hAnsi="Arial" w:cs="Arial"/>
          <w:sz w:val="22"/>
          <w:szCs w:val="22"/>
        </w:rPr>
      </w:pPr>
      <w:r>
        <w:rPr>
          <w:rFonts w:ascii="Arial" w:hAnsi="Arial" w:cs="Arial"/>
          <w:sz w:val="22"/>
          <w:szCs w:val="22"/>
        </w:rPr>
        <w:t xml:space="preserve">However, the significant shift in the Income and Expenditure position </w:t>
      </w:r>
      <w:r w:rsidR="00210E3A">
        <w:rPr>
          <w:rFonts w:ascii="Arial" w:hAnsi="Arial" w:cs="Arial"/>
          <w:sz w:val="22"/>
          <w:szCs w:val="22"/>
        </w:rPr>
        <w:t xml:space="preserve">which began in November and continued into December,  </w:t>
      </w:r>
      <w:r>
        <w:rPr>
          <w:rFonts w:ascii="Arial" w:hAnsi="Arial" w:cs="Arial"/>
          <w:sz w:val="22"/>
          <w:szCs w:val="22"/>
        </w:rPr>
        <w:t xml:space="preserve">and </w:t>
      </w:r>
      <w:r w:rsidR="00210E3A">
        <w:rPr>
          <w:rFonts w:ascii="Arial" w:hAnsi="Arial" w:cs="Arial"/>
          <w:sz w:val="22"/>
          <w:szCs w:val="22"/>
        </w:rPr>
        <w:t xml:space="preserve">continued </w:t>
      </w:r>
      <w:r>
        <w:rPr>
          <w:rFonts w:ascii="Arial" w:hAnsi="Arial" w:cs="Arial"/>
          <w:sz w:val="22"/>
          <w:szCs w:val="22"/>
        </w:rPr>
        <w:t xml:space="preserve">delayed recruitment to posts on reserves has led to </w:t>
      </w:r>
      <w:r w:rsidR="006A2789">
        <w:rPr>
          <w:rFonts w:ascii="Arial" w:hAnsi="Arial" w:cs="Arial"/>
          <w:sz w:val="22"/>
          <w:szCs w:val="22"/>
        </w:rPr>
        <w:t xml:space="preserve">a </w:t>
      </w:r>
      <w:r w:rsidR="00210E3A">
        <w:rPr>
          <w:rFonts w:ascii="Arial" w:hAnsi="Arial" w:cs="Arial"/>
          <w:sz w:val="22"/>
          <w:szCs w:val="22"/>
        </w:rPr>
        <w:t xml:space="preserve">significant </w:t>
      </w:r>
      <w:r w:rsidR="006A2789">
        <w:rPr>
          <w:rFonts w:ascii="Arial" w:hAnsi="Arial" w:cs="Arial"/>
          <w:sz w:val="22"/>
          <w:szCs w:val="22"/>
        </w:rPr>
        <w:t xml:space="preserve">change in </w:t>
      </w:r>
      <w:r w:rsidR="00885A96">
        <w:rPr>
          <w:rFonts w:ascii="Arial" w:hAnsi="Arial" w:cs="Arial"/>
          <w:sz w:val="22"/>
          <w:szCs w:val="22"/>
        </w:rPr>
        <w:t>the forecast to a range of £ 1.0</w:t>
      </w:r>
      <w:r w:rsidR="006A2789">
        <w:rPr>
          <w:rFonts w:ascii="Arial" w:hAnsi="Arial" w:cs="Arial"/>
          <w:sz w:val="22"/>
          <w:szCs w:val="22"/>
        </w:rPr>
        <w:t>m possible underspend to £1.3</w:t>
      </w:r>
      <w:r>
        <w:rPr>
          <w:rFonts w:ascii="Arial" w:hAnsi="Arial" w:cs="Arial"/>
          <w:sz w:val="22"/>
          <w:szCs w:val="22"/>
        </w:rPr>
        <w:t>m</w:t>
      </w:r>
      <w:r w:rsidR="006A2789">
        <w:rPr>
          <w:rFonts w:ascii="Arial" w:hAnsi="Arial" w:cs="Arial"/>
          <w:sz w:val="22"/>
          <w:szCs w:val="22"/>
        </w:rPr>
        <w:t xml:space="preserve"> probable underspend</w:t>
      </w:r>
      <w:r>
        <w:rPr>
          <w:rFonts w:ascii="Arial" w:hAnsi="Arial" w:cs="Arial"/>
          <w:sz w:val="22"/>
          <w:szCs w:val="22"/>
        </w:rPr>
        <w:t xml:space="preserve">. </w:t>
      </w:r>
    </w:p>
    <w:p w:rsidR="00210E3A" w:rsidRDefault="00210E3A" w:rsidP="004B1C3A">
      <w:pPr>
        <w:pStyle w:val="ListParagraph"/>
        <w:spacing w:line="276" w:lineRule="auto"/>
        <w:ind w:left="0"/>
        <w:rPr>
          <w:rFonts w:ascii="Arial" w:hAnsi="Arial" w:cs="Arial"/>
          <w:sz w:val="22"/>
          <w:szCs w:val="22"/>
        </w:rPr>
      </w:pPr>
    </w:p>
    <w:p w:rsidR="00831A14" w:rsidRDefault="0076311E"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There is still </w:t>
      </w:r>
      <w:r w:rsidR="0004366E" w:rsidRPr="005200F4">
        <w:rPr>
          <w:rFonts w:ascii="Arial" w:hAnsi="Arial" w:cs="Arial"/>
          <w:sz w:val="22"/>
          <w:szCs w:val="22"/>
        </w:rPr>
        <w:t xml:space="preserve">some </w:t>
      </w:r>
      <w:r w:rsidRPr="005200F4">
        <w:rPr>
          <w:rFonts w:ascii="Arial" w:hAnsi="Arial" w:cs="Arial"/>
          <w:sz w:val="22"/>
          <w:szCs w:val="22"/>
        </w:rPr>
        <w:t>risk related to</w:t>
      </w:r>
      <w:r w:rsidR="0004366E" w:rsidRPr="005200F4">
        <w:rPr>
          <w:rFonts w:ascii="Arial" w:hAnsi="Arial" w:cs="Arial"/>
          <w:sz w:val="22"/>
          <w:szCs w:val="22"/>
        </w:rPr>
        <w:t xml:space="preserve"> a few key earmarked reserves</w:t>
      </w:r>
      <w:r w:rsidRPr="005200F4">
        <w:rPr>
          <w:rFonts w:ascii="Arial" w:hAnsi="Arial" w:cs="Arial"/>
          <w:sz w:val="22"/>
          <w:szCs w:val="22"/>
        </w:rPr>
        <w:t xml:space="preserve"> which are dependent on the timing of decisions by others such as the conclusion of the review of new models of </w:t>
      </w:r>
      <w:r w:rsidR="006A2789">
        <w:rPr>
          <w:rFonts w:ascii="Arial" w:hAnsi="Arial" w:cs="Arial"/>
          <w:sz w:val="22"/>
          <w:szCs w:val="22"/>
        </w:rPr>
        <w:t xml:space="preserve">consent by Dame Fiona </w:t>
      </w:r>
      <w:proofErr w:type="spellStart"/>
      <w:r w:rsidR="006A2789">
        <w:rPr>
          <w:rFonts w:ascii="Arial" w:hAnsi="Arial" w:cs="Arial"/>
          <w:sz w:val="22"/>
          <w:szCs w:val="22"/>
        </w:rPr>
        <w:t>Caldicott</w:t>
      </w:r>
      <w:proofErr w:type="spellEnd"/>
      <w:r w:rsidR="006A2789">
        <w:rPr>
          <w:rFonts w:ascii="Arial" w:hAnsi="Arial" w:cs="Arial"/>
          <w:sz w:val="22"/>
          <w:szCs w:val="22"/>
        </w:rPr>
        <w:t>, completion date</w:t>
      </w:r>
      <w:r w:rsidR="00210E3A">
        <w:rPr>
          <w:rFonts w:ascii="Arial" w:hAnsi="Arial" w:cs="Arial"/>
          <w:sz w:val="22"/>
          <w:szCs w:val="22"/>
        </w:rPr>
        <w:t>s</w:t>
      </w:r>
      <w:r w:rsidR="006A2789">
        <w:rPr>
          <w:rFonts w:ascii="Arial" w:hAnsi="Arial" w:cs="Arial"/>
          <w:sz w:val="22"/>
          <w:szCs w:val="22"/>
        </w:rPr>
        <w:t xml:space="preserve"> of projects and agreement of business cases via DH.</w:t>
      </w:r>
    </w:p>
    <w:p w:rsidR="00210E3A" w:rsidRPr="005200F4" w:rsidRDefault="00210E3A" w:rsidP="004B1C3A">
      <w:pPr>
        <w:pStyle w:val="ListParagraph"/>
        <w:spacing w:line="276" w:lineRule="auto"/>
        <w:ind w:left="0"/>
        <w:rPr>
          <w:rFonts w:ascii="Arial" w:hAnsi="Arial" w:cs="Arial"/>
          <w:sz w:val="22"/>
          <w:szCs w:val="22"/>
        </w:rPr>
      </w:pPr>
    </w:p>
    <w:p w:rsidR="005200F4" w:rsidRDefault="00831A14"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The active tracking of </w:t>
      </w:r>
      <w:proofErr w:type="gramStart"/>
      <w:r w:rsidRPr="005200F4">
        <w:rPr>
          <w:rFonts w:ascii="Arial" w:hAnsi="Arial" w:cs="Arial"/>
          <w:sz w:val="22"/>
          <w:szCs w:val="22"/>
        </w:rPr>
        <w:t xml:space="preserve">the </w:t>
      </w:r>
      <w:r w:rsidR="00BC0D6A" w:rsidRPr="005200F4">
        <w:rPr>
          <w:rFonts w:ascii="Arial" w:hAnsi="Arial" w:cs="Arial"/>
          <w:sz w:val="22"/>
          <w:szCs w:val="22"/>
        </w:rPr>
        <w:t>underspend</w:t>
      </w:r>
      <w:proofErr w:type="gramEnd"/>
      <w:r w:rsidR="00BC0D6A" w:rsidRPr="005200F4">
        <w:rPr>
          <w:rFonts w:ascii="Arial" w:hAnsi="Arial" w:cs="Arial"/>
          <w:sz w:val="22"/>
          <w:szCs w:val="22"/>
        </w:rPr>
        <w:t xml:space="preserve"> </w:t>
      </w:r>
      <w:r w:rsidRPr="005200F4">
        <w:rPr>
          <w:rFonts w:ascii="Arial" w:hAnsi="Arial" w:cs="Arial"/>
          <w:sz w:val="22"/>
          <w:szCs w:val="22"/>
        </w:rPr>
        <w:t>suggested we would be moving to a fully establ</w:t>
      </w:r>
      <w:r w:rsidR="00BC0D6A" w:rsidRPr="005200F4">
        <w:rPr>
          <w:rFonts w:ascii="Arial" w:hAnsi="Arial" w:cs="Arial"/>
          <w:sz w:val="22"/>
          <w:szCs w:val="22"/>
        </w:rPr>
        <w:t>is</w:t>
      </w:r>
      <w:r w:rsidRPr="005200F4">
        <w:rPr>
          <w:rFonts w:ascii="Arial" w:hAnsi="Arial" w:cs="Arial"/>
          <w:sz w:val="22"/>
          <w:szCs w:val="22"/>
        </w:rPr>
        <w:t>hed position by the end of October</w:t>
      </w:r>
      <w:r w:rsidR="005200F4" w:rsidRPr="005200F4">
        <w:rPr>
          <w:rFonts w:ascii="Arial" w:hAnsi="Arial" w:cs="Arial"/>
          <w:sz w:val="22"/>
          <w:szCs w:val="22"/>
        </w:rPr>
        <w:t xml:space="preserve"> and that </w:t>
      </w:r>
      <w:r w:rsidR="0020721C">
        <w:rPr>
          <w:rFonts w:ascii="Arial" w:hAnsi="Arial" w:cs="Arial"/>
          <w:sz w:val="22"/>
          <w:szCs w:val="22"/>
        </w:rPr>
        <w:t xml:space="preserve">the Income and Expenditure </w:t>
      </w:r>
      <w:r w:rsidR="005200F4" w:rsidRPr="005200F4">
        <w:rPr>
          <w:rFonts w:ascii="Arial" w:hAnsi="Arial" w:cs="Arial"/>
          <w:sz w:val="22"/>
          <w:szCs w:val="22"/>
        </w:rPr>
        <w:t xml:space="preserve">underspend would cease to grow and the </w:t>
      </w:r>
      <w:r w:rsidR="006A2789">
        <w:rPr>
          <w:rFonts w:ascii="Arial" w:hAnsi="Arial" w:cs="Arial"/>
          <w:sz w:val="22"/>
          <w:szCs w:val="22"/>
        </w:rPr>
        <w:t xml:space="preserve">additional managed </w:t>
      </w:r>
      <w:r w:rsidR="005200F4" w:rsidRPr="005200F4">
        <w:rPr>
          <w:rFonts w:ascii="Arial" w:hAnsi="Arial" w:cs="Arial"/>
          <w:sz w:val="22"/>
          <w:szCs w:val="22"/>
        </w:rPr>
        <w:t xml:space="preserve">planned activities would reduce the current </w:t>
      </w:r>
      <w:r w:rsidR="005200F4" w:rsidRPr="005200F4">
        <w:rPr>
          <w:rFonts w:ascii="Arial" w:hAnsi="Arial" w:cs="Arial"/>
          <w:sz w:val="22"/>
          <w:szCs w:val="22"/>
        </w:rPr>
        <w:lastRenderedPageBreak/>
        <w:t xml:space="preserve">underspend position.  However, indications now are that a number of vacancies have remained and we have not reached </w:t>
      </w:r>
      <w:r w:rsidR="0020721C">
        <w:rPr>
          <w:rFonts w:ascii="Arial" w:hAnsi="Arial" w:cs="Arial"/>
          <w:sz w:val="22"/>
          <w:szCs w:val="22"/>
        </w:rPr>
        <w:t>full establishment which has le</w:t>
      </w:r>
      <w:r w:rsidR="005200F4" w:rsidRPr="005200F4">
        <w:rPr>
          <w:rFonts w:ascii="Arial" w:hAnsi="Arial" w:cs="Arial"/>
          <w:sz w:val="22"/>
          <w:szCs w:val="22"/>
        </w:rPr>
        <w:t>d to an unanticipated growth</w:t>
      </w:r>
      <w:r w:rsidRPr="005200F4">
        <w:rPr>
          <w:rFonts w:ascii="Arial" w:hAnsi="Arial" w:cs="Arial"/>
          <w:sz w:val="22"/>
          <w:szCs w:val="22"/>
        </w:rPr>
        <w:t xml:space="preserve"> in the underspend</w:t>
      </w:r>
      <w:r w:rsidR="005200F4" w:rsidRPr="005200F4">
        <w:rPr>
          <w:rFonts w:ascii="Arial" w:hAnsi="Arial" w:cs="Arial"/>
          <w:sz w:val="22"/>
          <w:szCs w:val="22"/>
        </w:rPr>
        <w:t xml:space="preserve"> position.</w:t>
      </w:r>
      <w:r w:rsidRPr="005200F4">
        <w:rPr>
          <w:rFonts w:ascii="Arial" w:hAnsi="Arial" w:cs="Arial"/>
          <w:sz w:val="22"/>
          <w:szCs w:val="22"/>
        </w:rPr>
        <w:t xml:space="preserve"> </w:t>
      </w:r>
      <w:r w:rsidR="00311080">
        <w:rPr>
          <w:rFonts w:ascii="Arial" w:hAnsi="Arial" w:cs="Arial"/>
          <w:sz w:val="22"/>
          <w:szCs w:val="22"/>
        </w:rPr>
        <w:t>These relate to posts mostly within the Operations and the Research Systems and Standards directorate.</w:t>
      </w:r>
      <w:r w:rsidR="006A2789">
        <w:rPr>
          <w:rFonts w:ascii="Arial" w:hAnsi="Arial" w:cs="Arial"/>
          <w:sz w:val="22"/>
          <w:szCs w:val="22"/>
        </w:rPr>
        <w:t xml:space="preserve">  Delays to planned expenditure have also resulted from rejection or delayed approval of Professional Service business cases currently being considered by the DH FAP.</w:t>
      </w:r>
    </w:p>
    <w:p w:rsidR="00210E3A" w:rsidRDefault="00210E3A" w:rsidP="004B1C3A">
      <w:pPr>
        <w:pStyle w:val="ListParagraph"/>
        <w:spacing w:line="276" w:lineRule="auto"/>
        <w:ind w:left="0"/>
        <w:rPr>
          <w:rFonts w:ascii="Arial" w:hAnsi="Arial" w:cs="Arial"/>
          <w:sz w:val="22"/>
          <w:szCs w:val="22"/>
        </w:rPr>
      </w:pPr>
    </w:p>
    <w:p w:rsidR="005200F4" w:rsidRDefault="005200F4" w:rsidP="004B1C3A">
      <w:pPr>
        <w:pStyle w:val="ListParagraph"/>
        <w:spacing w:line="276" w:lineRule="auto"/>
        <w:ind w:left="0"/>
        <w:rPr>
          <w:rFonts w:ascii="Arial" w:hAnsi="Arial" w:cs="Arial"/>
          <w:sz w:val="22"/>
          <w:szCs w:val="22"/>
        </w:rPr>
      </w:pPr>
      <w:r>
        <w:rPr>
          <w:rFonts w:ascii="Arial" w:hAnsi="Arial" w:cs="Arial"/>
          <w:sz w:val="22"/>
          <w:szCs w:val="22"/>
        </w:rPr>
        <w:t xml:space="preserve">Additional changes in anticipated spend have also arisen with regards to non-pay.  </w:t>
      </w:r>
      <w:r w:rsidR="00311080">
        <w:rPr>
          <w:rFonts w:ascii="Arial" w:hAnsi="Arial" w:cs="Arial"/>
          <w:sz w:val="22"/>
          <w:szCs w:val="22"/>
        </w:rPr>
        <w:t>These are in relation to external training, late confirmation from DH with regards to reductions resulting from the move to the managed print service (£25k), alongside clarification regarding previous year charges (£22k)</w:t>
      </w:r>
      <w:r w:rsidR="006A2789">
        <w:rPr>
          <w:rFonts w:ascii="Arial" w:hAnsi="Arial" w:cs="Arial"/>
          <w:sz w:val="22"/>
          <w:szCs w:val="22"/>
        </w:rPr>
        <w:t xml:space="preserve"> </w:t>
      </w:r>
      <w:r w:rsidR="00311080">
        <w:rPr>
          <w:rFonts w:ascii="Arial" w:hAnsi="Arial" w:cs="Arial"/>
          <w:sz w:val="22"/>
          <w:szCs w:val="22"/>
        </w:rPr>
        <w:t>and the decision to reschedule the All Staff Day to May 2016 (£18k).</w:t>
      </w:r>
    </w:p>
    <w:p w:rsidR="004717CC" w:rsidRPr="005200F4" w:rsidRDefault="004717CC" w:rsidP="004B1C3A">
      <w:pPr>
        <w:pStyle w:val="ListParagraph"/>
        <w:spacing w:line="276" w:lineRule="auto"/>
        <w:ind w:left="0"/>
        <w:rPr>
          <w:rFonts w:ascii="Arial" w:hAnsi="Arial" w:cs="Arial"/>
          <w:sz w:val="22"/>
          <w:szCs w:val="22"/>
        </w:rPr>
      </w:pPr>
    </w:p>
    <w:p w:rsidR="00453EFB" w:rsidRDefault="001138E6" w:rsidP="004B1C3A">
      <w:pPr>
        <w:pStyle w:val="ListParagraph"/>
        <w:spacing w:line="276" w:lineRule="auto"/>
        <w:ind w:left="0"/>
        <w:rPr>
          <w:rFonts w:ascii="Arial" w:hAnsi="Arial" w:cs="Arial"/>
          <w:sz w:val="22"/>
          <w:szCs w:val="22"/>
        </w:rPr>
      </w:pPr>
      <w:r w:rsidRPr="005200F4">
        <w:rPr>
          <w:rFonts w:ascii="Arial" w:hAnsi="Arial" w:cs="Arial"/>
          <w:sz w:val="22"/>
          <w:szCs w:val="22"/>
        </w:rPr>
        <w:t>Work is being undertaken to further clarify spending plans with budget managers and exploration of invest to save initiatives which may impact on spend in this financial year</w:t>
      </w:r>
      <w:r w:rsidR="00453EFB" w:rsidRPr="005200F4">
        <w:rPr>
          <w:rFonts w:ascii="Arial" w:hAnsi="Arial" w:cs="Arial"/>
          <w:sz w:val="22"/>
          <w:szCs w:val="22"/>
        </w:rPr>
        <w:t xml:space="preserve">.  </w:t>
      </w:r>
      <w:r w:rsidR="00831A14" w:rsidRPr="005200F4">
        <w:rPr>
          <w:rFonts w:ascii="Arial" w:hAnsi="Arial" w:cs="Arial"/>
          <w:sz w:val="22"/>
          <w:szCs w:val="22"/>
        </w:rPr>
        <w:t>Further r</w:t>
      </w:r>
      <w:r w:rsidR="00453EFB" w:rsidRPr="005200F4">
        <w:rPr>
          <w:rFonts w:ascii="Arial" w:hAnsi="Arial" w:cs="Arial"/>
          <w:sz w:val="22"/>
          <w:szCs w:val="22"/>
        </w:rPr>
        <w:t xml:space="preserve">isks to the position relate to any </w:t>
      </w:r>
      <w:r w:rsidR="00FA1F5F" w:rsidRPr="005200F4">
        <w:rPr>
          <w:rFonts w:ascii="Arial" w:hAnsi="Arial" w:cs="Arial"/>
          <w:sz w:val="22"/>
          <w:szCs w:val="22"/>
        </w:rPr>
        <w:t xml:space="preserve">further </w:t>
      </w:r>
      <w:r w:rsidR="00453EFB" w:rsidRPr="005200F4">
        <w:rPr>
          <w:rFonts w:ascii="Arial" w:hAnsi="Arial" w:cs="Arial"/>
          <w:sz w:val="22"/>
          <w:szCs w:val="22"/>
        </w:rPr>
        <w:t>unexpected delays</w:t>
      </w:r>
      <w:r w:rsidR="00605553" w:rsidRPr="005200F4">
        <w:rPr>
          <w:rFonts w:ascii="Arial" w:hAnsi="Arial" w:cs="Arial"/>
          <w:sz w:val="22"/>
          <w:szCs w:val="22"/>
        </w:rPr>
        <w:t xml:space="preserve"> to expected recruitment plans alongside the actual pay point that </w:t>
      </w:r>
      <w:r w:rsidR="00222CFA" w:rsidRPr="005200F4">
        <w:rPr>
          <w:rFonts w:ascii="Arial" w:hAnsi="Arial" w:cs="Arial"/>
          <w:sz w:val="22"/>
          <w:szCs w:val="22"/>
        </w:rPr>
        <w:t>additional new recruits are appointed on, which are the two main factors behind the early forecast position.</w:t>
      </w:r>
    </w:p>
    <w:p w:rsidR="00831A14" w:rsidRDefault="00831A14" w:rsidP="004B1C3A">
      <w:pPr>
        <w:pStyle w:val="ListParagraph"/>
        <w:spacing w:line="276" w:lineRule="auto"/>
        <w:ind w:left="0"/>
        <w:rPr>
          <w:rFonts w:ascii="Arial" w:hAnsi="Arial" w:cs="Arial"/>
          <w:sz w:val="22"/>
          <w:szCs w:val="22"/>
        </w:rPr>
      </w:pPr>
    </w:p>
    <w:p w:rsidR="00831A14" w:rsidRDefault="00831A14" w:rsidP="004B1C3A">
      <w:pPr>
        <w:pStyle w:val="ListParagraph"/>
        <w:spacing w:line="276" w:lineRule="auto"/>
        <w:ind w:left="0"/>
        <w:rPr>
          <w:rFonts w:ascii="Arial" w:hAnsi="Arial" w:cs="Arial"/>
          <w:sz w:val="22"/>
          <w:szCs w:val="22"/>
        </w:rPr>
      </w:pPr>
      <w:r>
        <w:rPr>
          <w:rFonts w:ascii="Arial" w:hAnsi="Arial" w:cs="Arial"/>
          <w:sz w:val="22"/>
          <w:szCs w:val="22"/>
        </w:rPr>
        <w:t>The table</w:t>
      </w:r>
      <w:r w:rsidR="005200F4">
        <w:rPr>
          <w:rFonts w:ascii="Arial" w:hAnsi="Arial" w:cs="Arial"/>
          <w:sz w:val="22"/>
          <w:szCs w:val="22"/>
        </w:rPr>
        <w:t>s below highlight</w:t>
      </w:r>
      <w:r>
        <w:rPr>
          <w:rFonts w:ascii="Arial" w:hAnsi="Arial" w:cs="Arial"/>
          <w:sz w:val="22"/>
          <w:szCs w:val="22"/>
        </w:rPr>
        <w:t xml:space="preserve"> the accumulated underspend by month and highlights the significant </w:t>
      </w:r>
      <w:r w:rsidR="001839DD">
        <w:rPr>
          <w:rFonts w:ascii="Arial" w:hAnsi="Arial" w:cs="Arial"/>
          <w:sz w:val="22"/>
          <w:szCs w:val="22"/>
        </w:rPr>
        <w:t>unexpected change</w:t>
      </w:r>
      <w:r>
        <w:rPr>
          <w:rFonts w:ascii="Arial" w:hAnsi="Arial" w:cs="Arial"/>
          <w:sz w:val="22"/>
          <w:szCs w:val="22"/>
        </w:rPr>
        <w:t xml:space="preserve"> in the pos</w:t>
      </w:r>
      <w:r w:rsidR="005200F4">
        <w:rPr>
          <w:rFonts w:ascii="Arial" w:hAnsi="Arial" w:cs="Arial"/>
          <w:sz w:val="22"/>
          <w:szCs w:val="22"/>
        </w:rPr>
        <w:t>itions for November and December.</w:t>
      </w:r>
    </w:p>
    <w:p w:rsidR="005200F4" w:rsidRDefault="005200F4" w:rsidP="004B1C3A">
      <w:pPr>
        <w:pStyle w:val="ListParagraph"/>
        <w:spacing w:line="276" w:lineRule="auto"/>
        <w:ind w:left="0"/>
        <w:rPr>
          <w:rFonts w:ascii="Arial" w:hAnsi="Arial" w:cs="Arial"/>
          <w:sz w:val="22"/>
          <w:szCs w:val="22"/>
        </w:rPr>
      </w:pPr>
    </w:p>
    <w:p w:rsidR="005200F4" w:rsidRDefault="005200F4" w:rsidP="004B1C3A">
      <w:pPr>
        <w:pStyle w:val="ListParagraph"/>
        <w:spacing w:line="276" w:lineRule="auto"/>
        <w:ind w:left="0"/>
        <w:rPr>
          <w:rFonts w:ascii="Arial" w:hAnsi="Arial" w:cs="Arial"/>
          <w:sz w:val="22"/>
          <w:szCs w:val="22"/>
        </w:rPr>
      </w:pPr>
      <w:r>
        <w:rPr>
          <w:rFonts w:ascii="Arial" w:hAnsi="Arial" w:cs="Arial"/>
          <w:noProof/>
          <w:sz w:val="22"/>
          <w:szCs w:val="22"/>
        </w:rPr>
        <w:drawing>
          <wp:inline distT="0" distB="0" distL="0" distR="0" wp14:anchorId="24CC8E08">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200F4" w:rsidRDefault="005200F4" w:rsidP="004B1C3A">
      <w:pPr>
        <w:pStyle w:val="ListParagraph"/>
        <w:spacing w:line="276" w:lineRule="auto"/>
        <w:ind w:left="0"/>
        <w:rPr>
          <w:rFonts w:ascii="Arial" w:hAnsi="Arial" w:cs="Arial"/>
          <w:sz w:val="22"/>
          <w:szCs w:val="22"/>
        </w:rPr>
      </w:pPr>
    </w:p>
    <w:p w:rsidR="005200F4" w:rsidRDefault="005200F4" w:rsidP="004B1C3A">
      <w:pPr>
        <w:pStyle w:val="ListParagraph"/>
        <w:spacing w:line="276" w:lineRule="auto"/>
        <w:ind w:left="0"/>
        <w:rPr>
          <w:rFonts w:ascii="Arial" w:hAnsi="Arial" w:cs="Arial"/>
          <w:sz w:val="22"/>
          <w:szCs w:val="22"/>
        </w:rPr>
      </w:pPr>
    </w:p>
    <w:p w:rsidR="005200F4" w:rsidRDefault="005200F4" w:rsidP="004B1C3A">
      <w:pPr>
        <w:pStyle w:val="ListParagraph"/>
        <w:spacing w:line="276" w:lineRule="auto"/>
        <w:ind w:left="0"/>
        <w:rPr>
          <w:rFonts w:ascii="Arial" w:hAnsi="Arial" w:cs="Arial"/>
          <w:sz w:val="22"/>
          <w:szCs w:val="22"/>
        </w:rPr>
      </w:pPr>
      <w:r>
        <w:rPr>
          <w:rFonts w:ascii="Arial" w:hAnsi="Arial" w:cs="Arial"/>
          <w:noProof/>
          <w:sz w:val="22"/>
          <w:szCs w:val="22"/>
        </w:rPr>
        <w:lastRenderedPageBreak/>
        <w:drawing>
          <wp:inline distT="0" distB="0" distL="0" distR="0" wp14:anchorId="28F5FB49">
            <wp:extent cx="45847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05553" w:rsidRDefault="00605553" w:rsidP="004B1C3A">
      <w:pPr>
        <w:pStyle w:val="ListParagraph"/>
        <w:spacing w:line="276" w:lineRule="auto"/>
        <w:ind w:left="0"/>
        <w:rPr>
          <w:rFonts w:ascii="Arial" w:hAnsi="Arial" w:cs="Arial"/>
          <w:sz w:val="22"/>
          <w:szCs w:val="22"/>
        </w:rPr>
      </w:pPr>
    </w:p>
    <w:p w:rsidR="00DD6897" w:rsidRPr="00996C5F" w:rsidRDefault="00453EFB" w:rsidP="00951DD0">
      <w:pPr>
        <w:pStyle w:val="ListParagraph"/>
        <w:spacing w:line="276" w:lineRule="auto"/>
        <w:ind w:left="0"/>
        <w:rPr>
          <w:rFonts w:ascii="Arial" w:hAnsi="Arial" w:cs="Arial"/>
          <w:b/>
          <w:color w:val="FF0000"/>
          <w:sz w:val="22"/>
          <w:szCs w:val="22"/>
        </w:rPr>
      </w:pPr>
      <w:r>
        <w:rPr>
          <w:rFonts w:ascii="Arial" w:hAnsi="Arial" w:cs="Arial"/>
          <w:sz w:val="22"/>
          <w:szCs w:val="22"/>
        </w:rPr>
        <w:t xml:space="preserve"> </w:t>
      </w:r>
      <w:r w:rsidR="00BA3A5A">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F053C9">
        <w:rPr>
          <w:rFonts w:ascii="Arial" w:hAnsi="Arial" w:cs="Arial"/>
          <w:sz w:val="22"/>
          <w:szCs w:val="22"/>
        </w:rPr>
        <w:t xml:space="preserve">Better payment performance has </w:t>
      </w:r>
      <w:r w:rsidR="00E713F5">
        <w:rPr>
          <w:rFonts w:ascii="Arial" w:hAnsi="Arial" w:cs="Arial"/>
          <w:sz w:val="22"/>
          <w:szCs w:val="22"/>
        </w:rPr>
        <w:t xml:space="preserve">continued to </w:t>
      </w:r>
      <w:r w:rsidRPr="00F053C9">
        <w:rPr>
          <w:rFonts w:ascii="Arial" w:hAnsi="Arial" w:cs="Arial"/>
          <w:sz w:val="22"/>
          <w:szCs w:val="22"/>
        </w:rPr>
        <w:t>me</w:t>
      </w:r>
      <w:r w:rsidR="00E713F5">
        <w:rPr>
          <w:rFonts w:ascii="Arial" w:hAnsi="Arial" w:cs="Arial"/>
          <w:sz w:val="22"/>
          <w:szCs w:val="22"/>
        </w:rPr>
        <w:t>e</w:t>
      </w:r>
      <w:r w:rsidRPr="00F053C9">
        <w:rPr>
          <w:rFonts w:ascii="Arial" w:hAnsi="Arial" w:cs="Arial"/>
          <w:sz w:val="22"/>
          <w:szCs w:val="22"/>
        </w:rPr>
        <w:t xml:space="preserve">t the duty to pay 95% of </w:t>
      </w:r>
      <w:r w:rsidR="00F053C9" w:rsidRPr="00F053C9">
        <w:rPr>
          <w:rFonts w:ascii="Arial" w:hAnsi="Arial" w:cs="Arial"/>
          <w:sz w:val="22"/>
          <w:szCs w:val="22"/>
        </w:rPr>
        <w:t>invoices in 30 days achieving 98</w:t>
      </w:r>
      <w:r w:rsidRPr="00F053C9">
        <w:rPr>
          <w:rFonts w:ascii="Arial" w:hAnsi="Arial" w:cs="Arial"/>
          <w:sz w:val="22"/>
          <w:szCs w:val="22"/>
        </w:rPr>
        <w:t xml:space="preserve">% based on number of invoices, </w:t>
      </w:r>
      <w:r w:rsidR="003C121B" w:rsidRPr="00F053C9">
        <w:rPr>
          <w:rFonts w:ascii="Arial" w:hAnsi="Arial" w:cs="Arial"/>
          <w:sz w:val="22"/>
          <w:szCs w:val="22"/>
        </w:rPr>
        <w:t xml:space="preserve">and </w:t>
      </w:r>
      <w:r w:rsidR="00945882" w:rsidRPr="00F053C9">
        <w:rPr>
          <w:rFonts w:ascii="Arial" w:hAnsi="Arial" w:cs="Arial"/>
          <w:sz w:val="22"/>
          <w:szCs w:val="22"/>
        </w:rPr>
        <w:t>achieved the targe</w:t>
      </w:r>
      <w:r w:rsidR="000D47A6" w:rsidRPr="00F053C9">
        <w:rPr>
          <w:rFonts w:ascii="Arial" w:hAnsi="Arial" w:cs="Arial"/>
          <w:sz w:val="22"/>
          <w:szCs w:val="22"/>
        </w:rPr>
        <w:t>t based on</w:t>
      </w:r>
      <w:r w:rsidR="00E350FE">
        <w:rPr>
          <w:rFonts w:ascii="Arial" w:hAnsi="Arial" w:cs="Arial"/>
          <w:sz w:val="22"/>
          <w:szCs w:val="22"/>
        </w:rPr>
        <w:t xml:space="preserve"> value by achieving 96</w:t>
      </w:r>
      <w:r w:rsidR="00945882" w:rsidRPr="00F053C9">
        <w:rPr>
          <w:rFonts w:ascii="Arial" w:hAnsi="Arial" w:cs="Arial"/>
          <w:sz w:val="22"/>
          <w:szCs w:val="22"/>
        </w:rPr>
        <w:t>%</w:t>
      </w:r>
      <w:r w:rsidR="0016044C" w:rsidRPr="00F053C9">
        <w:rPr>
          <w:rFonts w:ascii="Arial" w:hAnsi="Arial" w:cs="Arial"/>
          <w:sz w:val="22"/>
          <w:szCs w:val="22"/>
        </w:rPr>
        <w:t>.  HRA are committed to paying suppliers promptly and have increased the target of paying suppliers within 10 days to 60% for 2015/16.</w:t>
      </w:r>
      <w:r w:rsidRPr="00F053C9">
        <w:rPr>
          <w:rFonts w:ascii="Arial" w:hAnsi="Arial" w:cs="Arial"/>
          <w:sz w:val="22"/>
          <w:szCs w:val="22"/>
        </w:rPr>
        <w:t xml:space="preserve">  </w:t>
      </w:r>
      <w:r w:rsidR="004D1652" w:rsidRPr="00F053C9">
        <w:rPr>
          <w:rFonts w:ascii="Arial" w:hAnsi="Arial" w:cs="Arial"/>
          <w:sz w:val="22"/>
          <w:szCs w:val="22"/>
        </w:rPr>
        <w:t xml:space="preserve">The performance </w:t>
      </w:r>
      <w:r w:rsidR="00F053C9" w:rsidRPr="00F053C9">
        <w:rPr>
          <w:rFonts w:ascii="Arial" w:hAnsi="Arial" w:cs="Arial"/>
          <w:sz w:val="22"/>
          <w:szCs w:val="22"/>
        </w:rPr>
        <w:t>at the end o</w:t>
      </w:r>
      <w:r w:rsidR="00E713F5">
        <w:rPr>
          <w:rFonts w:ascii="Arial" w:hAnsi="Arial" w:cs="Arial"/>
          <w:sz w:val="22"/>
          <w:szCs w:val="22"/>
        </w:rPr>
        <w:t>f November</w:t>
      </w:r>
      <w:r w:rsidR="0016044C" w:rsidRPr="00F053C9">
        <w:rPr>
          <w:rFonts w:ascii="Arial" w:hAnsi="Arial" w:cs="Arial"/>
          <w:sz w:val="22"/>
          <w:szCs w:val="22"/>
        </w:rPr>
        <w:t xml:space="preserve"> 2015 </w:t>
      </w:r>
      <w:r w:rsidR="004D1652" w:rsidRPr="00F053C9">
        <w:rPr>
          <w:rFonts w:ascii="Arial" w:hAnsi="Arial" w:cs="Arial"/>
          <w:sz w:val="22"/>
          <w:szCs w:val="22"/>
        </w:rPr>
        <w:t>for pa</w:t>
      </w:r>
      <w:r w:rsidR="000F4DF3">
        <w:rPr>
          <w:rFonts w:ascii="Arial" w:hAnsi="Arial" w:cs="Arial"/>
          <w:sz w:val="22"/>
          <w:szCs w:val="22"/>
        </w:rPr>
        <w:t>yments made within 10 days is 59</w:t>
      </w:r>
      <w:r w:rsidR="004D1652" w:rsidRPr="00F053C9">
        <w:rPr>
          <w:rFonts w:ascii="Arial" w:hAnsi="Arial" w:cs="Arial"/>
          <w:sz w:val="22"/>
          <w:szCs w:val="22"/>
        </w:rPr>
        <w:t>%</w:t>
      </w:r>
      <w:r w:rsidR="00F70F38" w:rsidRPr="00F053C9">
        <w:rPr>
          <w:rFonts w:ascii="Arial" w:hAnsi="Arial" w:cs="Arial"/>
          <w:sz w:val="22"/>
          <w:szCs w:val="22"/>
        </w:rPr>
        <w:t xml:space="preserve"> (number of invoice</w:t>
      </w:r>
      <w:r w:rsidR="00B06BAE" w:rsidRPr="00F053C9">
        <w:rPr>
          <w:rFonts w:ascii="Arial" w:hAnsi="Arial" w:cs="Arial"/>
          <w:sz w:val="22"/>
          <w:szCs w:val="22"/>
        </w:rPr>
        <w:t>s)</w:t>
      </w:r>
      <w:r w:rsidR="0016044C" w:rsidRPr="00F053C9">
        <w:rPr>
          <w:rFonts w:ascii="Arial" w:hAnsi="Arial" w:cs="Arial"/>
          <w:sz w:val="22"/>
          <w:szCs w:val="22"/>
        </w:rPr>
        <w:t xml:space="preserve">, which is </w:t>
      </w:r>
      <w:r w:rsidR="00590197">
        <w:rPr>
          <w:rFonts w:ascii="Arial" w:hAnsi="Arial" w:cs="Arial"/>
          <w:sz w:val="22"/>
          <w:szCs w:val="22"/>
        </w:rPr>
        <w:t xml:space="preserve">broadly in line with </w:t>
      </w:r>
      <w:r w:rsidR="0016044C" w:rsidRPr="00F053C9">
        <w:rPr>
          <w:rFonts w:ascii="Arial" w:hAnsi="Arial" w:cs="Arial"/>
          <w:sz w:val="22"/>
          <w:szCs w:val="22"/>
        </w:rPr>
        <w:t xml:space="preserve">the </w:t>
      </w:r>
      <w:r w:rsidR="00E575FA" w:rsidRPr="00F053C9">
        <w:rPr>
          <w:rFonts w:ascii="Arial" w:hAnsi="Arial" w:cs="Arial"/>
          <w:sz w:val="22"/>
          <w:szCs w:val="22"/>
        </w:rPr>
        <w:t>stretched 60% target</w:t>
      </w:r>
      <w:r w:rsidR="00945882" w:rsidRPr="00F053C9">
        <w:rPr>
          <w:rFonts w:ascii="Arial" w:hAnsi="Arial" w:cs="Arial"/>
          <w:sz w:val="22"/>
          <w:szCs w:val="22"/>
        </w:rPr>
        <w:t xml:space="preserve">, </w:t>
      </w:r>
      <w:r w:rsidR="00FE71FF">
        <w:rPr>
          <w:rFonts w:ascii="Arial" w:hAnsi="Arial" w:cs="Arial"/>
          <w:sz w:val="22"/>
          <w:szCs w:val="22"/>
        </w:rPr>
        <w:t>and 56</w:t>
      </w:r>
      <w:r w:rsidRPr="00F053C9">
        <w:rPr>
          <w:rFonts w:ascii="Arial" w:hAnsi="Arial" w:cs="Arial"/>
          <w:sz w:val="22"/>
          <w:szCs w:val="22"/>
        </w:rPr>
        <w:t>% based on value</w:t>
      </w:r>
      <w:r w:rsidR="0016044C" w:rsidRPr="00F053C9">
        <w:rPr>
          <w:rFonts w:ascii="Arial" w:hAnsi="Arial" w:cs="Arial"/>
          <w:sz w:val="22"/>
          <w:szCs w:val="22"/>
        </w:rPr>
        <w:t xml:space="preserve">.  </w:t>
      </w:r>
      <w:r w:rsidR="00272AA5">
        <w:rPr>
          <w:rFonts w:ascii="Arial" w:hAnsi="Arial" w:cs="Arial"/>
          <w:sz w:val="22"/>
          <w:szCs w:val="22"/>
        </w:rPr>
        <w:t xml:space="preserve">The escalation days for invoices awaiting approval have been reduced from 7 days to 4 days </w:t>
      </w:r>
      <w:r w:rsidR="00F961F3">
        <w:rPr>
          <w:rFonts w:ascii="Arial" w:hAnsi="Arial" w:cs="Arial"/>
          <w:sz w:val="22"/>
          <w:szCs w:val="22"/>
        </w:rPr>
        <w:t xml:space="preserve">(after which invoices are escalated to line managers) </w:t>
      </w:r>
      <w:r w:rsidR="00272AA5">
        <w:rPr>
          <w:rFonts w:ascii="Arial" w:hAnsi="Arial" w:cs="Arial"/>
          <w:sz w:val="22"/>
          <w:szCs w:val="22"/>
        </w:rPr>
        <w:t xml:space="preserve">and further reminders on vacation rules and the importance of checking the workflow daily, have been issued to staff. </w:t>
      </w:r>
      <w:r w:rsidR="00222CFA">
        <w:rPr>
          <w:rFonts w:ascii="Arial" w:hAnsi="Arial" w:cs="Arial"/>
          <w:sz w:val="22"/>
          <w:szCs w:val="22"/>
        </w:rPr>
        <w:t xml:space="preserve"> An additional payment run has also been actioned </w:t>
      </w:r>
      <w:r w:rsidR="00E713F5">
        <w:rPr>
          <w:rFonts w:ascii="Arial" w:hAnsi="Arial" w:cs="Arial"/>
          <w:sz w:val="22"/>
          <w:szCs w:val="22"/>
        </w:rPr>
        <w:t xml:space="preserve">as reported in </w:t>
      </w:r>
      <w:r w:rsidR="00FE71FF">
        <w:rPr>
          <w:rFonts w:ascii="Arial" w:hAnsi="Arial" w:cs="Arial"/>
          <w:sz w:val="22"/>
          <w:szCs w:val="22"/>
        </w:rPr>
        <w:t>previous months</w:t>
      </w:r>
      <w:r w:rsidR="00E713F5">
        <w:rPr>
          <w:rFonts w:ascii="Arial" w:hAnsi="Arial" w:cs="Arial"/>
          <w:sz w:val="22"/>
          <w:szCs w:val="22"/>
        </w:rPr>
        <w:t xml:space="preserve"> </w:t>
      </w:r>
      <w:r w:rsidR="00222CFA">
        <w:rPr>
          <w:rFonts w:ascii="Arial" w:hAnsi="Arial" w:cs="Arial"/>
          <w:sz w:val="22"/>
          <w:szCs w:val="22"/>
        </w:rPr>
        <w:t>t</w:t>
      </w:r>
      <w:r w:rsidRPr="00F053C9">
        <w:rPr>
          <w:rFonts w:ascii="Arial" w:hAnsi="Arial" w:cs="Arial"/>
          <w:sz w:val="22"/>
          <w:szCs w:val="22"/>
        </w:rPr>
        <w:t xml:space="preserve">o </w:t>
      </w:r>
      <w:r w:rsidR="008F0A10" w:rsidRPr="00F053C9">
        <w:rPr>
          <w:rFonts w:ascii="Arial" w:hAnsi="Arial" w:cs="Arial"/>
          <w:sz w:val="22"/>
          <w:szCs w:val="22"/>
        </w:rPr>
        <w:t xml:space="preserve">further </w:t>
      </w:r>
      <w:r w:rsidRPr="00F053C9">
        <w:rPr>
          <w:rFonts w:ascii="Arial" w:hAnsi="Arial" w:cs="Arial"/>
          <w:sz w:val="22"/>
          <w:szCs w:val="22"/>
        </w:rPr>
        <w:t>improve per</w:t>
      </w:r>
      <w:r w:rsidR="004D1652" w:rsidRPr="00F053C9">
        <w:rPr>
          <w:rFonts w:ascii="Arial" w:hAnsi="Arial" w:cs="Arial"/>
          <w:sz w:val="22"/>
          <w:szCs w:val="22"/>
        </w:rPr>
        <w:t>formance in 2015/16.</w:t>
      </w: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7C66A5" w:rsidRDefault="007C66A5" w:rsidP="00AE0798">
      <w:pPr>
        <w:spacing w:after="200" w:line="276" w:lineRule="auto"/>
        <w:rPr>
          <w:rFonts w:ascii="Arial" w:hAnsi="Arial" w:cs="Arial"/>
          <w:sz w:val="22"/>
          <w:szCs w:val="22"/>
        </w:rPr>
      </w:pPr>
      <w:r>
        <w:rPr>
          <w:rFonts w:ascii="Arial" w:hAnsi="Arial" w:cs="Arial"/>
          <w:sz w:val="22"/>
          <w:szCs w:val="22"/>
        </w:rPr>
        <w:t xml:space="preserve">Over £500k has been allocated for planned travel costs in 2015/16. </w:t>
      </w:r>
      <w:r w:rsidR="006874A4" w:rsidRPr="00AE0798">
        <w:rPr>
          <w:rFonts w:ascii="Arial" w:hAnsi="Arial" w:cs="Arial"/>
          <w:sz w:val="22"/>
          <w:szCs w:val="22"/>
        </w:rPr>
        <w:t xml:space="preserve">Travel </w:t>
      </w:r>
      <w:r>
        <w:rPr>
          <w:rFonts w:ascii="Arial" w:hAnsi="Arial" w:cs="Arial"/>
          <w:sz w:val="22"/>
          <w:szCs w:val="22"/>
        </w:rPr>
        <w:t xml:space="preserve">continues to be </w:t>
      </w:r>
      <w:r w:rsidR="006874A4" w:rsidRPr="00AE0798">
        <w:rPr>
          <w:rFonts w:ascii="Arial" w:hAnsi="Arial" w:cs="Arial"/>
          <w:sz w:val="22"/>
          <w:szCs w:val="22"/>
        </w:rPr>
        <w:t xml:space="preserve">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w:t>
      </w:r>
      <w:r w:rsidR="00181BB8">
        <w:rPr>
          <w:rFonts w:ascii="Arial" w:hAnsi="Arial" w:cs="Arial"/>
          <w:sz w:val="22"/>
          <w:szCs w:val="22"/>
        </w:rPr>
        <w:t xml:space="preserve">staff </w:t>
      </w:r>
      <w:r w:rsidR="00585FFC" w:rsidRPr="00AE0798">
        <w:rPr>
          <w:rFonts w:ascii="Arial" w:hAnsi="Arial" w:cs="Arial"/>
          <w:sz w:val="22"/>
          <w:szCs w:val="22"/>
        </w:rPr>
        <w:t xml:space="preserve">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590197">
        <w:rPr>
          <w:rFonts w:ascii="Arial" w:hAnsi="Arial" w:cs="Arial"/>
          <w:sz w:val="22"/>
          <w:szCs w:val="22"/>
        </w:rPr>
        <w:t xml:space="preserve">  The graph below shows that we are achieving this aim compared to </w:t>
      </w:r>
      <w:r w:rsidR="002E7A27">
        <w:rPr>
          <w:rFonts w:ascii="Arial" w:hAnsi="Arial" w:cs="Arial"/>
          <w:sz w:val="22"/>
          <w:szCs w:val="22"/>
        </w:rPr>
        <w:t xml:space="preserve">a benchmark of </w:t>
      </w:r>
      <w:r w:rsidR="00590197">
        <w:rPr>
          <w:rFonts w:ascii="Arial" w:hAnsi="Arial" w:cs="Arial"/>
          <w:sz w:val="22"/>
          <w:szCs w:val="22"/>
        </w:rPr>
        <w:t xml:space="preserve">2013/14. </w:t>
      </w:r>
    </w:p>
    <w:p w:rsidR="009D48D2" w:rsidRDefault="00F24686" w:rsidP="00AE0798">
      <w:pPr>
        <w:spacing w:after="200" w:line="276" w:lineRule="auto"/>
        <w:rPr>
          <w:rFonts w:ascii="Arial" w:hAnsi="Arial" w:cs="Arial"/>
          <w:sz w:val="22"/>
          <w:szCs w:val="22"/>
        </w:rPr>
      </w:pPr>
      <w:r w:rsidRPr="00AE0798">
        <w:rPr>
          <w:rFonts w:ascii="Arial" w:hAnsi="Arial" w:cs="Arial"/>
          <w:sz w:val="22"/>
          <w:szCs w:val="22"/>
        </w:rPr>
        <w:t xml:space="preserve">Table </w:t>
      </w:r>
      <w:r w:rsidR="009D48D2">
        <w:rPr>
          <w:rFonts w:ascii="Arial" w:hAnsi="Arial" w:cs="Arial"/>
          <w:sz w:val="22"/>
          <w:szCs w:val="22"/>
        </w:rPr>
        <w:t xml:space="preserve">5 </w:t>
      </w:r>
      <w:r w:rsidRPr="00AE0798">
        <w:rPr>
          <w:rFonts w:ascii="Arial" w:hAnsi="Arial" w:cs="Arial"/>
          <w:sz w:val="22"/>
          <w:szCs w:val="22"/>
        </w:rPr>
        <w:t xml:space="preserve">below sets out the </w:t>
      </w:r>
      <w:r>
        <w:rPr>
          <w:rFonts w:ascii="Arial" w:hAnsi="Arial" w:cs="Arial"/>
          <w:sz w:val="22"/>
          <w:szCs w:val="22"/>
        </w:rPr>
        <w:t xml:space="preserve">total travel costs </w:t>
      </w:r>
      <w:r w:rsidRPr="00AE0798">
        <w:rPr>
          <w:rFonts w:ascii="Arial" w:hAnsi="Arial" w:cs="Arial"/>
          <w:sz w:val="22"/>
          <w:szCs w:val="22"/>
        </w:rPr>
        <w:t xml:space="preserve">position </w:t>
      </w:r>
      <w:r>
        <w:rPr>
          <w:rFonts w:ascii="Arial" w:hAnsi="Arial" w:cs="Arial"/>
          <w:sz w:val="22"/>
          <w:szCs w:val="22"/>
        </w:rPr>
        <w:t xml:space="preserve">(staff, members inclusive) </w:t>
      </w:r>
      <w:r w:rsidRPr="00AE0798">
        <w:rPr>
          <w:rFonts w:ascii="Arial" w:hAnsi="Arial" w:cs="Arial"/>
          <w:sz w:val="22"/>
          <w:szCs w:val="22"/>
        </w:rPr>
        <w:t>at t</w:t>
      </w:r>
      <w:r w:rsidR="00E23DA3">
        <w:rPr>
          <w:rFonts w:ascii="Arial" w:hAnsi="Arial" w:cs="Arial"/>
          <w:sz w:val="22"/>
          <w:szCs w:val="22"/>
        </w:rPr>
        <w:t xml:space="preserve">he end of </w:t>
      </w:r>
      <w:r w:rsidR="00F03CDB">
        <w:rPr>
          <w:rFonts w:ascii="Arial" w:hAnsi="Arial" w:cs="Arial"/>
          <w:sz w:val="22"/>
          <w:szCs w:val="22"/>
        </w:rPr>
        <w:t xml:space="preserve">December </w:t>
      </w:r>
      <w:r w:rsidR="006B7A85">
        <w:rPr>
          <w:rFonts w:ascii="Arial" w:hAnsi="Arial" w:cs="Arial"/>
          <w:sz w:val="22"/>
          <w:szCs w:val="22"/>
        </w:rPr>
        <w:t>an</w:t>
      </w:r>
      <w:r w:rsidR="00976999">
        <w:rPr>
          <w:rFonts w:ascii="Arial" w:hAnsi="Arial" w:cs="Arial"/>
          <w:sz w:val="22"/>
          <w:szCs w:val="22"/>
        </w:rPr>
        <w:t>d</w:t>
      </w:r>
      <w:r w:rsidR="00E23DA3">
        <w:rPr>
          <w:rFonts w:ascii="Arial" w:hAnsi="Arial" w:cs="Arial"/>
          <w:sz w:val="22"/>
          <w:szCs w:val="22"/>
        </w:rPr>
        <w:t xml:space="preserve"> reflects </w:t>
      </w:r>
      <w:r w:rsidR="00BC0D6A">
        <w:rPr>
          <w:rFonts w:ascii="Arial" w:hAnsi="Arial" w:cs="Arial"/>
          <w:sz w:val="22"/>
          <w:szCs w:val="22"/>
        </w:rPr>
        <w:t>a</w:t>
      </w:r>
      <w:r w:rsidR="00E23DA3">
        <w:rPr>
          <w:rFonts w:ascii="Arial" w:hAnsi="Arial" w:cs="Arial"/>
          <w:sz w:val="22"/>
          <w:szCs w:val="22"/>
        </w:rPr>
        <w:t xml:space="preserve">n </w:t>
      </w:r>
      <w:r w:rsidR="00D773F0">
        <w:rPr>
          <w:rFonts w:ascii="Arial" w:hAnsi="Arial" w:cs="Arial"/>
          <w:sz w:val="22"/>
          <w:szCs w:val="22"/>
        </w:rPr>
        <w:t>over spend</w:t>
      </w:r>
      <w:r w:rsidR="00E23DA3">
        <w:rPr>
          <w:rFonts w:ascii="Arial" w:hAnsi="Arial" w:cs="Arial"/>
          <w:sz w:val="22"/>
          <w:szCs w:val="22"/>
        </w:rPr>
        <w:t xml:space="preserve"> of £</w:t>
      </w:r>
      <w:r w:rsidR="00F03CDB">
        <w:rPr>
          <w:rFonts w:ascii="Arial" w:hAnsi="Arial" w:cs="Arial"/>
          <w:sz w:val="22"/>
          <w:szCs w:val="22"/>
        </w:rPr>
        <w:t>25.8</w:t>
      </w:r>
      <w:r w:rsidRPr="00AE0798">
        <w:rPr>
          <w:rFonts w:ascii="Arial" w:hAnsi="Arial" w:cs="Arial"/>
          <w:sz w:val="22"/>
          <w:szCs w:val="22"/>
        </w:rPr>
        <w:t>k</w:t>
      </w:r>
      <w:r w:rsidR="00590197">
        <w:rPr>
          <w:rFonts w:ascii="Arial" w:hAnsi="Arial" w:cs="Arial"/>
          <w:sz w:val="22"/>
          <w:szCs w:val="22"/>
        </w:rPr>
        <w:t xml:space="preserve"> </w:t>
      </w:r>
      <w:r w:rsidR="00312045">
        <w:rPr>
          <w:rFonts w:ascii="Arial" w:hAnsi="Arial" w:cs="Arial"/>
          <w:sz w:val="22"/>
          <w:szCs w:val="22"/>
        </w:rPr>
        <w:t>(£</w:t>
      </w:r>
      <w:r w:rsidR="00F03CDB">
        <w:rPr>
          <w:rFonts w:ascii="Arial" w:hAnsi="Arial" w:cs="Arial"/>
          <w:sz w:val="22"/>
          <w:szCs w:val="22"/>
        </w:rPr>
        <w:t>48.0</w:t>
      </w:r>
      <w:r w:rsidR="00312045">
        <w:rPr>
          <w:rFonts w:ascii="Arial" w:hAnsi="Arial" w:cs="Arial"/>
          <w:sz w:val="22"/>
          <w:szCs w:val="22"/>
        </w:rPr>
        <w:t xml:space="preserve">k </w:t>
      </w:r>
      <w:r w:rsidR="00D773F0">
        <w:rPr>
          <w:rFonts w:ascii="Arial" w:hAnsi="Arial" w:cs="Arial"/>
          <w:sz w:val="22"/>
          <w:szCs w:val="22"/>
        </w:rPr>
        <w:t>over spend</w:t>
      </w:r>
      <w:r w:rsidR="00F03CDB">
        <w:rPr>
          <w:rFonts w:ascii="Arial" w:hAnsi="Arial" w:cs="Arial"/>
          <w:sz w:val="22"/>
          <w:szCs w:val="22"/>
        </w:rPr>
        <w:t xml:space="preserve"> November</w:t>
      </w:r>
      <w:r w:rsidR="00A7163B">
        <w:rPr>
          <w:rFonts w:ascii="Arial" w:hAnsi="Arial" w:cs="Arial"/>
          <w:sz w:val="22"/>
          <w:szCs w:val="22"/>
        </w:rPr>
        <w:t>)</w:t>
      </w:r>
      <w:r w:rsidR="007C66A5">
        <w:rPr>
          <w:rFonts w:ascii="Arial" w:hAnsi="Arial" w:cs="Arial"/>
          <w:sz w:val="22"/>
          <w:szCs w:val="22"/>
        </w:rPr>
        <w:t>.</w:t>
      </w:r>
      <w:r w:rsidR="00485908">
        <w:rPr>
          <w:rFonts w:ascii="Arial" w:hAnsi="Arial" w:cs="Arial"/>
          <w:sz w:val="22"/>
          <w:szCs w:val="22"/>
        </w:rPr>
        <w:t xml:space="preserve">  </w:t>
      </w:r>
      <w:r w:rsidR="00044D07">
        <w:rPr>
          <w:rFonts w:ascii="Arial" w:hAnsi="Arial" w:cs="Arial"/>
          <w:sz w:val="22"/>
          <w:szCs w:val="22"/>
        </w:rPr>
        <w:t xml:space="preserve">It should be noted that one explanation for the </w:t>
      </w:r>
      <w:r w:rsidR="00D773F0">
        <w:rPr>
          <w:rFonts w:ascii="Arial" w:hAnsi="Arial" w:cs="Arial"/>
          <w:sz w:val="22"/>
          <w:szCs w:val="22"/>
        </w:rPr>
        <w:t>over spend</w:t>
      </w:r>
      <w:r w:rsidR="00044D07">
        <w:rPr>
          <w:rFonts w:ascii="Arial" w:hAnsi="Arial" w:cs="Arial"/>
          <w:sz w:val="22"/>
          <w:szCs w:val="22"/>
        </w:rPr>
        <w:t xml:space="preserve"> is due to the number of update meetings held to discuss HRA Approval with every Research Ethics Committee.  Another is due to face to face meetings being held to discuss and clarify new processes and build new teams now that recruitment to posts is </w:t>
      </w:r>
      <w:r w:rsidR="00A86F0C">
        <w:rPr>
          <w:rFonts w:ascii="Arial" w:hAnsi="Arial" w:cs="Arial"/>
          <w:sz w:val="22"/>
          <w:szCs w:val="22"/>
        </w:rPr>
        <w:t>well underway.</w:t>
      </w:r>
      <w:r w:rsidR="00044D07">
        <w:rPr>
          <w:rFonts w:ascii="Arial" w:hAnsi="Arial" w:cs="Arial"/>
          <w:sz w:val="22"/>
          <w:szCs w:val="22"/>
        </w:rPr>
        <w:t xml:space="preserve"> </w:t>
      </w:r>
      <w:r w:rsidR="00485908">
        <w:rPr>
          <w:rFonts w:ascii="Arial" w:hAnsi="Arial" w:cs="Arial"/>
          <w:sz w:val="22"/>
          <w:szCs w:val="22"/>
        </w:rPr>
        <w:t xml:space="preserve">The treatment of travel costs associated with training </w:t>
      </w:r>
      <w:r w:rsidR="00271399">
        <w:rPr>
          <w:rFonts w:ascii="Arial" w:hAnsi="Arial" w:cs="Arial"/>
          <w:sz w:val="22"/>
          <w:szCs w:val="22"/>
        </w:rPr>
        <w:t xml:space="preserve">continues to be </w:t>
      </w:r>
      <w:r w:rsidR="00485908">
        <w:rPr>
          <w:rFonts w:ascii="Arial" w:hAnsi="Arial" w:cs="Arial"/>
          <w:sz w:val="22"/>
          <w:szCs w:val="22"/>
        </w:rPr>
        <w:t>investigated</w:t>
      </w:r>
      <w:r w:rsidR="007C66A5">
        <w:rPr>
          <w:rFonts w:ascii="Arial" w:hAnsi="Arial" w:cs="Arial"/>
          <w:sz w:val="22"/>
          <w:szCs w:val="22"/>
        </w:rPr>
        <w:t xml:space="preserve"> </w:t>
      </w:r>
      <w:r w:rsidR="00271399">
        <w:rPr>
          <w:rFonts w:ascii="Arial" w:hAnsi="Arial" w:cs="Arial"/>
          <w:sz w:val="22"/>
          <w:szCs w:val="22"/>
        </w:rPr>
        <w:t xml:space="preserve">and a solution planned, </w:t>
      </w:r>
      <w:r w:rsidR="00761B9E">
        <w:rPr>
          <w:rFonts w:ascii="Arial" w:hAnsi="Arial" w:cs="Arial"/>
          <w:sz w:val="22"/>
          <w:szCs w:val="22"/>
        </w:rPr>
        <w:t xml:space="preserve">and could be one explanation for the over spends within Directorates as there have been staff related training </w:t>
      </w:r>
      <w:r w:rsidR="009D48D2">
        <w:rPr>
          <w:rFonts w:ascii="Arial" w:hAnsi="Arial" w:cs="Arial"/>
          <w:sz w:val="22"/>
          <w:szCs w:val="22"/>
        </w:rPr>
        <w:t>(</w:t>
      </w:r>
      <w:proofErr w:type="spellStart"/>
      <w:r w:rsidR="009D48D2">
        <w:rPr>
          <w:rFonts w:ascii="Arial" w:hAnsi="Arial" w:cs="Arial"/>
          <w:sz w:val="22"/>
          <w:szCs w:val="22"/>
        </w:rPr>
        <w:t>Arbinger</w:t>
      </w:r>
      <w:proofErr w:type="spellEnd"/>
      <w:r w:rsidR="009D48D2">
        <w:rPr>
          <w:rFonts w:ascii="Arial" w:hAnsi="Arial" w:cs="Arial"/>
          <w:sz w:val="22"/>
          <w:szCs w:val="22"/>
        </w:rPr>
        <w:t xml:space="preserve"> development day across the organisation, </w:t>
      </w:r>
      <w:r w:rsidR="009D48D2" w:rsidRPr="009D48D2">
        <w:rPr>
          <w:rFonts w:ascii="Arial" w:hAnsi="Arial" w:cs="Arial"/>
          <w:sz w:val="22"/>
          <w:szCs w:val="22"/>
        </w:rPr>
        <w:t>training for new staff</w:t>
      </w:r>
      <w:r w:rsidR="009D48D2">
        <w:rPr>
          <w:rFonts w:ascii="Arial" w:hAnsi="Arial" w:cs="Arial"/>
          <w:sz w:val="22"/>
          <w:szCs w:val="22"/>
        </w:rPr>
        <w:t xml:space="preserve"> relating to HRA Approval and </w:t>
      </w:r>
      <w:r w:rsidR="009D48D2" w:rsidRPr="009D48D2">
        <w:rPr>
          <w:rFonts w:ascii="Arial" w:hAnsi="Arial" w:cs="Arial"/>
          <w:sz w:val="22"/>
          <w:szCs w:val="22"/>
        </w:rPr>
        <w:t>workshop</w:t>
      </w:r>
      <w:r w:rsidR="009D48D2">
        <w:rPr>
          <w:rFonts w:ascii="Arial" w:hAnsi="Arial" w:cs="Arial"/>
          <w:sz w:val="22"/>
          <w:szCs w:val="22"/>
        </w:rPr>
        <w:t>s</w:t>
      </w:r>
      <w:r w:rsidR="00D773F0">
        <w:rPr>
          <w:rFonts w:ascii="Arial" w:hAnsi="Arial" w:cs="Arial"/>
          <w:sz w:val="22"/>
          <w:szCs w:val="22"/>
        </w:rPr>
        <w:t xml:space="preserve"> </w:t>
      </w:r>
      <w:r w:rsidR="009D48D2" w:rsidRPr="009D48D2">
        <w:rPr>
          <w:rFonts w:ascii="Arial" w:hAnsi="Arial" w:cs="Arial"/>
          <w:sz w:val="22"/>
          <w:szCs w:val="22"/>
        </w:rPr>
        <w:t xml:space="preserve">for the first cohort, </w:t>
      </w:r>
      <w:r w:rsidR="009D48D2">
        <w:rPr>
          <w:rFonts w:ascii="Arial" w:hAnsi="Arial" w:cs="Arial"/>
          <w:sz w:val="22"/>
          <w:szCs w:val="22"/>
        </w:rPr>
        <w:t xml:space="preserve">plus </w:t>
      </w:r>
      <w:proofErr w:type="gramStart"/>
      <w:r w:rsidR="009D48D2" w:rsidRPr="009D48D2">
        <w:rPr>
          <w:rFonts w:ascii="Arial" w:hAnsi="Arial" w:cs="Arial"/>
          <w:sz w:val="22"/>
          <w:szCs w:val="22"/>
        </w:rPr>
        <w:t>interviews</w:t>
      </w:r>
      <w:r w:rsidR="009D48D2">
        <w:rPr>
          <w:rFonts w:ascii="Arial" w:hAnsi="Arial" w:cs="Arial"/>
          <w:sz w:val="22"/>
          <w:szCs w:val="22"/>
        </w:rPr>
        <w:t xml:space="preserve"> )</w:t>
      </w:r>
      <w:proofErr w:type="gramEnd"/>
      <w:r w:rsidR="00761B9E">
        <w:rPr>
          <w:rFonts w:ascii="Arial" w:hAnsi="Arial" w:cs="Arial"/>
          <w:sz w:val="22"/>
          <w:szCs w:val="22"/>
        </w:rPr>
        <w:t xml:space="preserve">.  Additionally, </w:t>
      </w:r>
      <w:r w:rsidR="007C66A5">
        <w:rPr>
          <w:rFonts w:ascii="Arial" w:hAnsi="Arial" w:cs="Arial"/>
          <w:sz w:val="22"/>
          <w:szCs w:val="22"/>
        </w:rPr>
        <w:t xml:space="preserve">the arrangements for staff training </w:t>
      </w:r>
      <w:r w:rsidR="00761B9E">
        <w:rPr>
          <w:rFonts w:ascii="Arial" w:hAnsi="Arial" w:cs="Arial"/>
          <w:sz w:val="22"/>
          <w:szCs w:val="22"/>
        </w:rPr>
        <w:t xml:space="preserve">are being </w:t>
      </w:r>
      <w:r w:rsidR="007C66A5">
        <w:rPr>
          <w:rFonts w:ascii="Arial" w:hAnsi="Arial" w:cs="Arial"/>
          <w:sz w:val="22"/>
          <w:szCs w:val="22"/>
        </w:rPr>
        <w:t xml:space="preserve">reviewed to see if any savings can be realised from the </w:t>
      </w:r>
      <w:r w:rsidR="00761B9E">
        <w:rPr>
          <w:rFonts w:ascii="Arial" w:hAnsi="Arial" w:cs="Arial"/>
          <w:sz w:val="22"/>
          <w:szCs w:val="22"/>
        </w:rPr>
        <w:t xml:space="preserve">choice of venue </w:t>
      </w:r>
      <w:r w:rsidR="007C66A5">
        <w:rPr>
          <w:rFonts w:ascii="Arial" w:hAnsi="Arial" w:cs="Arial"/>
          <w:sz w:val="22"/>
          <w:szCs w:val="22"/>
        </w:rPr>
        <w:t>and method</w:t>
      </w:r>
      <w:r w:rsidR="00761B9E">
        <w:rPr>
          <w:rFonts w:ascii="Arial" w:hAnsi="Arial" w:cs="Arial"/>
          <w:sz w:val="22"/>
          <w:szCs w:val="22"/>
        </w:rPr>
        <w:t>s</w:t>
      </w:r>
      <w:r w:rsidR="007C66A5">
        <w:rPr>
          <w:rFonts w:ascii="Arial" w:hAnsi="Arial" w:cs="Arial"/>
          <w:sz w:val="22"/>
          <w:szCs w:val="22"/>
        </w:rPr>
        <w:t xml:space="preserve"> of training provision</w:t>
      </w:r>
      <w:r w:rsidR="00485908">
        <w:rPr>
          <w:rFonts w:ascii="Arial" w:hAnsi="Arial" w:cs="Arial"/>
          <w:sz w:val="22"/>
          <w:szCs w:val="22"/>
        </w:rPr>
        <w:t>.</w:t>
      </w:r>
      <w:r w:rsidR="00181BB8">
        <w:rPr>
          <w:rFonts w:ascii="Arial" w:hAnsi="Arial" w:cs="Arial"/>
          <w:sz w:val="22"/>
          <w:szCs w:val="22"/>
        </w:rPr>
        <w:t xml:space="preserve"> </w:t>
      </w:r>
      <w:r w:rsidR="009D48D2">
        <w:rPr>
          <w:rFonts w:ascii="Arial" w:hAnsi="Arial" w:cs="Arial"/>
          <w:sz w:val="22"/>
          <w:szCs w:val="22"/>
        </w:rPr>
        <w:t xml:space="preserve"> The estates strategy work is also encouraging greater use of video conferencing or “Lync” </w:t>
      </w:r>
      <w:proofErr w:type="gramStart"/>
      <w:r w:rsidR="009D48D2">
        <w:rPr>
          <w:rFonts w:ascii="Arial" w:hAnsi="Arial" w:cs="Arial"/>
          <w:sz w:val="22"/>
          <w:szCs w:val="22"/>
        </w:rPr>
        <w:t>meetings</w:t>
      </w:r>
      <w:r w:rsidR="006C26D7">
        <w:rPr>
          <w:rFonts w:ascii="Arial" w:hAnsi="Arial" w:cs="Arial"/>
          <w:sz w:val="22"/>
          <w:szCs w:val="22"/>
        </w:rPr>
        <w:t>,</w:t>
      </w:r>
      <w:proofErr w:type="gramEnd"/>
      <w:r w:rsidR="006C26D7">
        <w:rPr>
          <w:rFonts w:ascii="Arial" w:hAnsi="Arial" w:cs="Arial"/>
          <w:sz w:val="22"/>
          <w:szCs w:val="22"/>
        </w:rPr>
        <w:t xml:space="preserve"> however this aspect is strongly dependent on the reliability and capacity of the IT service</w:t>
      </w:r>
      <w:r w:rsidR="00271399">
        <w:rPr>
          <w:rFonts w:ascii="Arial" w:hAnsi="Arial" w:cs="Arial"/>
          <w:sz w:val="22"/>
          <w:szCs w:val="22"/>
        </w:rPr>
        <w:t xml:space="preserve"> which has been subject to some failings recently</w:t>
      </w:r>
      <w:r w:rsidR="009D48D2">
        <w:rPr>
          <w:rFonts w:ascii="Arial" w:hAnsi="Arial" w:cs="Arial"/>
          <w:sz w:val="22"/>
          <w:szCs w:val="22"/>
        </w:rPr>
        <w:t>.</w:t>
      </w:r>
      <w:r w:rsidR="00181BB8">
        <w:rPr>
          <w:rFonts w:ascii="Arial" w:hAnsi="Arial" w:cs="Arial"/>
          <w:sz w:val="22"/>
          <w:szCs w:val="22"/>
        </w:rPr>
        <w:t xml:space="preserve">  </w:t>
      </w:r>
    </w:p>
    <w:p w:rsidR="00C53CE3" w:rsidRDefault="00590197" w:rsidP="00AE0798">
      <w:pPr>
        <w:spacing w:after="200" w:line="276" w:lineRule="auto"/>
        <w:rPr>
          <w:rFonts w:ascii="Arial" w:hAnsi="Arial" w:cs="Arial"/>
          <w:sz w:val="22"/>
          <w:szCs w:val="22"/>
        </w:rPr>
      </w:pPr>
      <w:r>
        <w:rPr>
          <w:rFonts w:ascii="Arial" w:hAnsi="Arial" w:cs="Arial"/>
          <w:sz w:val="22"/>
          <w:szCs w:val="22"/>
        </w:rPr>
        <w:t>A contributing factor to the position</w:t>
      </w:r>
      <w:r w:rsidR="00C53CE3">
        <w:rPr>
          <w:rFonts w:ascii="Arial" w:hAnsi="Arial" w:cs="Arial"/>
          <w:sz w:val="22"/>
          <w:szCs w:val="22"/>
        </w:rPr>
        <w:t xml:space="preserve"> within Operations may be the minimal member related training events in the first 2 months of the year.  </w:t>
      </w:r>
    </w:p>
    <w:p w:rsidR="004717CC" w:rsidRDefault="004717CC" w:rsidP="00AE0798">
      <w:pPr>
        <w:spacing w:after="200" w:line="276" w:lineRule="auto"/>
        <w:rPr>
          <w:rFonts w:ascii="Arial" w:hAnsi="Arial" w:cs="Arial"/>
          <w:b/>
          <w:sz w:val="22"/>
          <w:szCs w:val="22"/>
        </w:rPr>
      </w:pPr>
    </w:p>
    <w:p w:rsidR="009D48D2" w:rsidRPr="009D48D2" w:rsidRDefault="009D48D2" w:rsidP="00AE0798">
      <w:pPr>
        <w:spacing w:after="200" w:line="276" w:lineRule="auto"/>
        <w:rPr>
          <w:rFonts w:ascii="Arial" w:hAnsi="Arial" w:cs="Arial"/>
          <w:b/>
          <w:sz w:val="22"/>
          <w:szCs w:val="22"/>
        </w:rPr>
      </w:pPr>
      <w:r w:rsidRPr="009D48D2">
        <w:rPr>
          <w:rFonts w:ascii="Arial" w:hAnsi="Arial" w:cs="Arial"/>
          <w:b/>
          <w:sz w:val="22"/>
          <w:szCs w:val="22"/>
        </w:rPr>
        <w:lastRenderedPageBreak/>
        <w:t>Table 5:  Travel costs and budget across the HRA by Directorate</w:t>
      </w:r>
    </w:p>
    <w:p w:rsidR="006B7A85" w:rsidRDefault="00F03CDB" w:rsidP="006976EC">
      <w:pPr>
        <w:pStyle w:val="ListParagraph"/>
        <w:spacing w:after="200" w:line="276" w:lineRule="auto"/>
        <w:ind w:left="0"/>
        <w:rPr>
          <w:rFonts w:ascii="Arial" w:hAnsi="Arial" w:cs="Arial"/>
          <w:sz w:val="22"/>
          <w:szCs w:val="22"/>
        </w:rPr>
      </w:pPr>
      <w:r w:rsidRPr="00F03CDB">
        <w:rPr>
          <w:noProof/>
        </w:rPr>
        <w:drawing>
          <wp:inline distT="0" distB="0" distL="0" distR="0">
            <wp:extent cx="4743450" cy="2676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2676525"/>
                    </a:xfrm>
                    <a:prstGeom prst="rect">
                      <a:avLst/>
                    </a:prstGeom>
                    <a:noFill/>
                    <a:ln>
                      <a:noFill/>
                    </a:ln>
                  </pic:spPr>
                </pic:pic>
              </a:graphicData>
            </a:graphic>
          </wp:inline>
        </w:drawing>
      </w:r>
    </w:p>
    <w:p w:rsidR="00F03CDB" w:rsidRDefault="00F03CDB"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Year to date </w:t>
      </w:r>
      <w:r w:rsidR="00F24686" w:rsidRPr="00F24686">
        <w:rPr>
          <w:rFonts w:ascii="Arial" w:hAnsi="Arial" w:cs="Arial"/>
          <w:sz w:val="22"/>
          <w:szCs w:val="22"/>
        </w:rPr>
        <w:t>staff travel costs for 201</w:t>
      </w:r>
      <w:r>
        <w:rPr>
          <w:rFonts w:ascii="Arial" w:hAnsi="Arial" w:cs="Arial"/>
          <w:sz w:val="22"/>
          <w:szCs w:val="22"/>
        </w:rPr>
        <w:t>5</w:t>
      </w:r>
      <w:r w:rsidR="00F24686" w:rsidRPr="00F24686">
        <w:rPr>
          <w:rFonts w:ascii="Arial" w:hAnsi="Arial" w:cs="Arial"/>
          <w:sz w:val="22"/>
          <w:szCs w:val="22"/>
        </w:rPr>
        <w:t>/1</w:t>
      </w:r>
      <w:r>
        <w:rPr>
          <w:rFonts w:ascii="Arial" w:hAnsi="Arial" w:cs="Arial"/>
          <w:sz w:val="22"/>
          <w:szCs w:val="22"/>
        </w:rPr>
        <w:t>6</w:t>
      </w:r>
      <w:r w:rsidR="00F24686" w:rsidRPr="00F24686">
        <w:rPr>
          <w:rFonts w:ascii="Arial" w:hAnsi="Arial" w:cs="Arial"/>
          <w:sz w:val="22"/>
          <w:szCs w:val="22"/>
        </w:rPr>
        <w:t xml:space="preserve"> </w:t>
      </w:r>
      <w:r>
        <w:rPr>
          <w:rFonts w:ascii="Arial" w:hAnsi="Arial" w:cs="Arial"/>
          <w:sz w:val="22"/>
          <w:szCs w:val="22"/>
        </w:rPr>
        <w:t xml:space="preserve">are presented in </w:t>
      </w:r>
      <w:r w:rsidR="009D48D2">
        <w:rPr>
          <w:rFonts w:ascii="Arial" w:hAnsi="Arial" w:cs="Arial"/>
          <w:sz w:val="22"/>
          <w:szCs w:val="22"/>
        </w:rPr>
        <w:t xml:space="preserve">Table 6 </w:t>
      </w:r>
      <w:r w:rsidR="00951DD0">
        <w:rPr>
          <w:rFonts w:ascii="Arial" w:hAnsi="Arial" w:cs="Arial"/>
          <w:sz w:val="22"/>
          <w:szCs w:val="22"/>
        </w:rPr>
        <w:t>below</w:t>
      </w:r>
      <w:r>
        <w:rPr>
          <w:rFonts w:ascii="Arial" w:hAnsi="Arial" w:cs="Arial"/>
          <w:sz w:val="22"/>
          <w:szCs w:val="22"/>
        </w:rPr>
        <w:t xml:space="preserve"> allowing comparison </w:t>
      </w:r>
      <w:r w:rsidR="008F0A10">
        <w:rPr>
          <w:rFonts w:ascii="Arial" w:hAnsi="Arial" w:cs="Arial"/>
          <w:sz w:val="22"/>
          <w:szCs w:val="22"/>
        </w:rPr>
        <w:t xml:space="preserve">with the average cost </w:t>
      </w:r>
      <w:r>
        <w:rPr>
          <w:rFonts w:ascii="Arial" w:hAnsi="Arial" w:cs="Arial"/>
          <w:sz w:val="22"/>
          <w:szCs w:val="22"/>
        </w:rPr>
        <w:t xml:space="preserve">per head </w:t>
      </w:r>
      <w:r w:rsidR="008F0A10">
        <w:rPr>
          <w:rFonts w:ascii="Arial" w:hAnsi="Arial" w:cs="Arial"/>
          <w:sz w:val="22"/>
          <w:szCs w:val="22"/>
        </w:rPr>
        <w:t xml:space="preserve">in </w:t>
      </w:r>
      <w:r>
        <w:rPr>
          <w:rFonts w:ascii="Arial" w:hAnsi="Arial" w:cs="Arial"/>
          <w:sz w:val="22"/>
          <w:szCs w:val="22"/>
        </w:rPr>
        <w:t xml:space="preserve">2014/15 and 2013/14.  </w:t>
      </w:r>
      <w:r w:rsidR="00D773F0">
        <w:rPr>
          <w:rFonts w:ascii="Arial" w:hAnsi="Arial" w:cs="Arial"/>
          <w:sz w:val="22"/>
          <w:szCs w:val="22"/>
        </w:rPr>
        <w:t>This clearly demonstrates the reductions in costs per head being achieved</w:t>
      </w:r>
      <w:r w:rsidR="003342CA">
        <w:rPr>
          <w:rFonts w:ascii="Arial" w:hAnsi="Arial" w:cs="Arial"/>
          <w:sz w:val="22"/>
          <w:szCs w:val="22"/>
        </w:rPr>
        <w:t xml:space="preserve"> year to date. The</w:t>
      </w:r>
      <w:r w:rsidR="00BC0D6A">
        <w:rPr>
          <w:rFonts w:ascii="Arial" w:hAnsi="Arial" w:cs="Arial"/>
          <w:sz w:val="22"/>
          <w:szCs w:val="22"/>
        </w:rPr>
        <w:t xml:space="preserve"> peak</w:t>
      </w:r>
      <w:r w:rsidR="003342CA">
        <w:rPr>
          <w:rFonts w:ascii="Arial" w:hAnsi="Arial" w:cs="Arial"/>
          <w:sz w:val="22"/>
          <w:szCs w:val="22"/>
        </w:rPr>
        <w:t xml:space="preserve"> in </w:t>
      </w:r>
      <w:r w:rsidR="00111951">
        <w:rPr>
          <w:rFonts w:ascii="Arial" w:hAnsi="Arial" w:cs="Arial"/>
          <w:sz w:val="22"/>
          <w:szCs w:val="22"/>
        </w:rPr>
        <w:t>October results mostly from activity within the Research Systems and HRA Approval directorate and will be discussed as part of the December budget management meetings.</w:t>
      </w:r>
    </w:p>
    <w:p w:rsidR="007C66A5" w:rsidRDefault="007C66A5"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lower travel costs in April and May is likely to be linked to fewer training events being held in these months.  </w:t>
      </w:r>
      <w:r w:rsidR="00D773F0">
        <w:rPr>
          <w:rFonts w:ascii="Arial" w:hAnsi="Arial" w:cs="Arial"/>
          <w:sz w:val="22"/>
          <w:szCs w:val="22"/>
        </w:rPr>
        <w:t xml:space="preserve">The peak in 2014/15 November is due to the All Staff Training day.  </w:t>
      </w:r>
      <w:r>
        <w:rPr>
          <w:rFonts w:ascii="Arial" w:hAnsi="Arial" w:cs="Arial"/>
          <w:sz w:val="22"/>
          <w:szCs w:val="22"/>
        </w:rPr>
        <w:t xml:space="preserve">Efforts continue </w:t>
      </w:r>
      <w:r w:rsidRPr="007C66A5">
        <w:rPr>
          <w:rFonts w:ascii="Arial" w:hAnsi="Arial" w:cs="Arial"/>
          <w:sz w:val="22"/>
          <w:szCs w:val="22"/>
        </w:rPr>
        <w:t>with staff and line managers working hard to ensure costs are minimised wherever possible, for example use of telephone or video conference</w:t>
      </w:r>
      <w:r>
        <w:rPr>
          <w:rFonts w:ascii="Arial" w:hAnsi="Arial" w:cs="Arial"/>
          <w:sz w:val="22"/>
          <w:szCs w:val="22"/>
        </w:rPr>
        <w:t xml:space="preserve"> c</w:t>
      </w:r>
      <w:r w:rsidRPr="007C66A5">
        <w:rPr>
          <w:rFonts w:ascii="Arial" w:hAnsi="Arial" w:cs="Arial"/>
          <w:sz w:val="22"/>
          <w:szCs w:val="22"/>
        </w:rPr>
        <w:t>alls, tickets booked in advance and on timed trains</w:t>
      </w:r>
      <w:r>
        <w:rPr>
          <w:rFonts w:ascii="Arial" w:hAnsi="Arial" w:cs="Arial"/>
          <w:sz w:val="22"/>
          <w:szCs w:val="22"/>
        </w:rPr>
        <w:t xml:space="preserve">. </w:t>
      </w:r>
    </w:p>
    <w:p w:rsidR="004717CC" w:rsidRDefault="004717CC"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b/>
          <w:sz w:val="22"/>
          <w:szCs w:val="22"/>
        </w:rPr>
      </w:pPr>
      <w:r w:rsidRPr="009D48D2">
        <w:rPr>
          <w:rFonts w:ascii="Arial" w:hAnsi="Arial" w:cs="Arial"/>
          <w:b/>
          <w:sz w:val="22"/>
          <w:szCs w:val="22"/>
        </w:rPr>
        <w:t xml:space="preserve">Table 6:  </w:t>
      </w:r>
      <w:r w:rsidRPr="008A7910">
        <w:rPr>
          <w:rFonts w:ascii="Arial" w:hAnsi="Arial" w:cs="Arial"/>
          <w:b/>
          <w:sz w:val="22"/>
          <w:szCs w:val="22"/>
        </w:rPr>
        <w:t>Staff travel costs per head</w:t>
      </w:r>
    </w:p>
    <w:p w:rsidR="008A7910" w:rsidRDefault="008A7910" w:rsidP="006976EC">
      <w:pPr>
        <w:pStyle w:val="ListParagraph"/>
        <w:spacing w:after="200" w:line="276" w:lineRule="auto"/>
        <w:ind w:left="0"/>
        <w:rPr>
          <w:rFonts w:ascii="Arial" w:hAnsi="Arial" w:cs="Arial"/>
          <w:b/>
          <w:sz w:val="22"/>
          <w:szCs w:val="22"/>
        </w:rPr>
      </w:pPr>
    </w:p>
    <w:p w:rsidR="009D48D2" w:rsidRDefault="0030786C"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771F4F44">
            <wp:extent cx="4749165" cy="3719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165" cy="3719195"/>
                    </a:xfrm>
                    <a:prstGeom prst="rect">
                      <a:avLst/>
                    </a:prstGeom>
                    <a:noFill/>
                  </pic:spPr>
                </pic:pic>
              </a:graphicData>
            </a:graphic>
          </wp:inline>
        </w:drawing>
      </w:r>
    </w:p>
    <w:p w:rsidR="007C66A5" w:rsidRDefault="007C66A5"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lastRenderedPageBreak/>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30786C">
        <w:rPr>
          <w:rFonts w:ascii="Arial" w:hAnsi="Arial" w:cs="Arial"/>
          <w:sz w:val="22"/>
          <w:szCs w:val="22"/>
        </w:rPr>
        <w:t>5</w:t>
      </w:r>
      <w:r w:rsidR="006D14D3">
        <w:rPr>
          <w:rFonts w:ascii="Arial" w:hAnsi="Arial" w:cs="Arial"/>
          <w:sz w:val="22"/>
          <w:szCs w:val="22"/>
        </w:rPr>
        <w:t xml:space="preserve">% of the costs incurred </w:t>
      </w:r>
      <w:r w:rsidR="007C66A5">
        <w:rPr>
          <w:rFonts w:ascii="Arial" w:hAnsi="Arial" w:cs="Arial"/>
          <w:sz w:val="22"/>
          <w:szCs w:val="22"/>
        </w:rPr>
        <w:t xml:space="preserve">so far </w:t>
      </w:r>
      <w:r w:rsidR="00E31CA4">
        <w:rPr>
          <w:rFonts w:ascii="Arial" w:hAnsi="Arial" w:cs="Arial"/>
          <w:sz w:val="22"/>
          <w:szCs w:val="22"/>
        </w:rPr>
        <w:t>in year</w:t>
      </w:r>
      <w:r w:rsidR="007C66A5">
        <w:rPr>
          <w:rFonts w:ascii="Arial" w:hAnsi="Arial" w:cs="Arial"/>
          <w:sz w:val="22"/>
          <w:szCs w:val="22"/>
        </w:rPr>
        <w:t>.  T</w:t>
      </w:r>
      <w:r w:rsidR="006D14D3">
        <w:rPr>
          <w:rFonts w:ascii="Arial" w:hAnsi="Arial" w:cs="Arial"/>
          <w:sz w:val="22"/>
          <w:szCs w:val="22"/>
        </w:rPr>
        <w:t xml:space="preserve">he profile of our staff headcount is presented </w:t>
      </w:r>
      <w:r w:rsidR="00C2265B">
        <w:rPr>
          <w:rFonts w:ascii="Arial" w:hAnsi="Arial" w:cs="Arial"/>
          <w:sz w:val="22"/>
          <w:szCs w:val="22"/>
        </w:rPr>
        <w:t xml:space="preserve">in Table 7 </w:t>
      </w:r>
      <w:r w:rsidR="006D14D3">
        <w:rPr>
          <w:rFonts w:ascii="Arial" w:hAnsi="Arial" w:cs="Arial"/>
          <w:sz w:val="22"/>
          <w:szCs w:val="22"/>
        </w:rPr>
        <w:t>below for information</w:t>
      </w:r>
      <w:r w:rsidR="004717CC">
        <w:rPr>
          <w:rFonts w:ascii="Arial" w:hAnsi="Arial" w:cs="Arial"/>
          <w:sz w:val="22"/>
          <w:szCs w:val="22"/>
        </w:rPr>
        <w:t xml:space="preserve">.  The expected </w:t>
      </w:r>
      <w:r w:rsidR="009E5B29">
        <w:rPr>
          <w:rFonts w:ascii="Arial" w:hAnsi="Arial" w:cs="Arial"/>
          <w:sz w:val="22"/>
          <w:szCs w:val="22"/>
        </w:rPr>
        <w:t xml:space="preserve">overall </w:t>
      </w:r>
      <w:r w:rsidR="004717CC">
        <w:rPr>
          <w:rFonts w:ascii="Arial" w:hAnsi="Arial" w:cs="Arial"/>
          <w:sz w:val="22"/>
          <w:szCs w:val="22"/>
        </w:rPr>
        <w:t xml:space="preserve">upward trend has </w:t>
      </w:r>
      <w:r w:rsidR="009E5B29">
        <w:rPr>
          <w:rFonts w:ascii="Arial" w:hAnsi="Arial" w:cs="Arial"/>
          <w:sz w:val="22"/>
          <w:szCs w:val="22"/>
        </w:rPr>
        <w:t xml:space="preserve">only increased slightly and is expected to continue to rise in January to March. </w:t>
      </w:r>
      <w:r w:rsidR="00E10273">
        <w:rPr>
          <w:rFonts w:ascii="Arial" w:hAnsi="Arial" w:cs="Arial"/>
          <w:sz w:val="22"/>
          <w:szCs w:val="22"/>
        </w:rPr>
        <w:t xml:space="preserve">  </w:t>
      </w:r>
    </w:p>
    <w:p w:rsidR="009E5B29" w:rsidRDefault="009E5B29" w:rsidP="006976EC">
      <w:pPr>
        <w:pStyle w:val="ListParagraph"/>
        <w:spacing w:after="200" w:line="276" w:lineRule="auto"/>
        <w:ind w:left="0"/>
        <w:rPr>
          <w:rFonts w:ascii="Arial" w:hAnsi="Arial" w:cs="Arial"/>
          <w:sz w:val="22"/>
          <w:szCs w:val="22"/>
        </w:rPr>
      </w:pPr>
    </w:p>
    <w:p w:rsidR="009E5B29" w:rsidRDefault="009E5B29" w:rsidP="006976EC">
      <w:pPr>
        <w:pStyle w:val="ListParagraph"/>
        <w:spacing w:after="200" w:line="276" w:lineRule="auto"/>
        <w:ind w:left="0"/>
        <w:rPr>
          <w:rFonts w:ascii="Arial" w:hAnsi="Arial" w:cs="Arial"/>
          <w:sz w:val="22"/>
          <w:szCs w:val="22"/>
        </w:rPr>
      </w:pPr>
      <w:r>
        <w:rPr>
          <w:rFonts w:ascii="Arial" w:hAnsi="Arial" w:cs="Arial"/>
          <w:sz w:val="22"/>
          <w:szCs w:val="22"/>
        </w:rPr>
        <w:t xml:space="preserve">Permanent and fixed term headcount continues to increase slightly as </w:t>
      </w:r>
      <w:proofErr w:type="gramStart"/>
      <w:r>
        <w:rPr>
          <w:rFonts w:ascii="Arial" w:hAnsi="Arial" w:cs="Arial"/>
          <w:sz w:val="22"/>
          <w:szCs w:val="22"/>
        </w:rPr>
        <w:t>does</w:t>
      </w:r>
      <w:proofErr w:type="gramEnd"/>
      <w:r>
        <w:rPr>
          <w:rFonts w:ascii="Arial" w:hAnsi="Arial" w:cs="Arial"/>
          <w:sz w:val="22"/>
          <w:szCs w:val="22"/>
        </w:rPr>
        <w:t xml:space="preserve"> bank headcount, however the number of </w:t>
      </w:r>
      <w:proofErr w:type="spellStart"/>
      <w:r>
        <w:rPr>
          <w:rFonts w:ascii="Arial" w:hAnsi="Arial" w:cs="Arial"/>
          <w:sz w:val="22"/>
          <w:szCs w:val="22"/>
        </w:rPr>
        <w:t>secondee</w:t>
      </w:r>
      <w:proofErr w:type="spellEnd"/>
      <w:r>
        <w:rPr>
          <w:rFonts w:ascii="Arial" w:hAnsi="Arial" w:cs="Arial"/>
          <w:sz w:val="22"/>
          <w:szCs w:val="22"/>
        </w:rPr>
        <w:t xml:space="preserve"> staff has reduced.</w:t>
      </w:r>
    </w:p>
    <w:p w:rsidR="001C6861" w:rsidRDefault="001C6861" w:rsidP="006976EC">
      <w:pPr>
        <w:pStyle w:val="ListParagraph"/>
        <w:spacing w:after="200" w:line="276" w:lineRule="auto"/>
        <w:ind w:left="0"/>
        <w:rPr>
          <w:rFonts w:ascii="Arial" w:hAnsi="Arial" w:cs="Arial"/>
          <w:sz w:val="22"/>
          <w:szCs w:val="22"/>
        </w:rPr>
      </w:pPr>
    </w:p>
    <w:p w:rsidR="006D14D3" w:rsidRDefault="00C2265B" w:rsidP="006D14D3">
      <w:pPr>
        <w:pStyle w:val="ListParagraph"/>
        <w:spacing w:after="200" w:line="276" w:lineRule="auto"/>
        <w:rPr>
          <w:rFonts w:ascii="Arial" w:hAnsi="Arial" w:cs="Arial"/>
          <w:b/>
          <w:sz w:val="22"/>
          <w:szCs w:val="22"/>
        </w:rPr>
      </w:pPr>
      <w:r>
        <w:rPr>
          <w:rFonts w:ascii="Arial" w:hAnsi="Arial" w:cs="Arial"/>
          <w:b/>
          <w:sz w:val="22"/>
          <w:szCs w:val="22"/>
        </w:rPr>
        <w:t xml:space="preserve">Table 7: </w:t>
      </w:r>
      <w:r w:rsidR="006D14D3"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00273479">
        <w:rPr>
          <w:rFonts w:ascii="Arial" w:hAnsi="Arial" w:cs="Arial"/>
          <w:b/>
          <w:sz w:val="22"/>
          <w:szCs w:val="22"/>
        </w:rPr>
        <w:t>so far in 2015</w:t>
      </w:r>
    </w:p>
    <w:p w:rsidR="00BC0710" w:rsidRDefault="00BC0710" w:rsidP="006D14D3">
      <w:pPr>
        <w:pStyle w:val="ListParagraph"/>
        <w:spacing w:after="200" w:line="276" w:lineRule="auto"/>
        <w:rPr>
          <w:rFonts w:ascii="Arial" w:hAnsi="Arial" w:cs="Arial"/>
          <w:b/>
          <w:sz w:val="22"/>
          <w:szCs w:val="22"/>
        </w:rPr>
      </w:pPr>
    </w:p>
    <w:p w:rsidR="00B75EB4" w:rsidRDefault="0030786C"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6EB0ED6C">
            <wp:extent cx="4584700" cy="2493645"/>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inline>
        </w:drawing>
      </w:r>
    </w:p>
    <w:p w:rsidR="00136DAB" w:rsidRDefault="000C0ACC" w:rsidP="00136DAB">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Finance team have over the last few months moved to working flexibly with most Finance team members working a proportion of their time from home.  The achievement of key deadlines </w:t>
      </w:r>
      <w:r w:rsidR="00D773F0">
        <w:rPr>
          <w:rFonts w:ascii="Arial" w:hAnsi="Arial" w:cs="Arial"/>
          <w:sz w:val="22"/>
          <w:szCs w:val="22"/>
        </w:rPr>
        <w:t>continues to be maintained</w:t>
      </w:r>
      <w:r>
        <w:rPr>
          <w:rFonts w:ascii="Arial" w:hAnsi="Arial" w:cs="Arial"/>
          <w:sz w:val="22"/>
          <w:szCs w:val="22"/>
        </w:rPr>
        <w:t>.</w:t>
      </w:r>
      <w:r w:rsidR="00D773F0">
        <w:rPr>
          <w:rFonts w:ascii="Arial" w:hAnsi="Arial" w:cs="Arial"/>
          <w:sz w:val="22"/>
          <w:szCs w:val="22"/>
        </w:rPr>
        <w:t xml:space="preserve"> </w:t>
      </w:r>
      <w:r w:rsidR="0030786C">
        <w:rPr>
          <w:rFonts w:ascii="Arial" w:hAnsi="Arial" w:cs="Arial"/>
          <w:sz w:val="22"/>
          <w:szCs w:val="22"/>
        </w:rPr>
        <w:t xml:space="preserve">The 4 day close for </w:t>
      </w:r>
      <w:r w:rsidR="00E05C45">
        <w:rPr>
          <w:rFonts w:ascii="Arial" w:hAnsi="Arial" w:cs="Arial"/>
          <w:sz w:val="22"/>
          <w:szCs w:val="22"/>
        </w:rPr>
        <w:t>the month end closure</w:t>
      </w:r>
      <w:r w:rsidR="003342CA">
        <w:rPr>
          <w:rFonts w:ascii="Arial" w:hAnsi="Arial" w:cs="Arial"/>
          <w:sz w:val="22"/>
          <w:szCs w:val="22"/>
        </w:rPr>
        <w:t xml:space="preserve"> </w:t>
      </w:r>
      <w:r w:rsidR="0030786C">
        <w:rPr>
          <w:rFonts w:ascii="Arial" w:hAnsi="Arial" w:cs="Arial"/>
          <w:sz w:val="22"/>
          <w:szCs w:val="22"/>
        </w:rPr>
        <w:t>for December</w:t>
      </w:r>
      <w:r w:rsidR="00271399">
        <w:rPr>
          <w:rFonts w:ascii="Arial" w:hAnsi="Arial" w:cs="Arial"/>
          <w:sz w:val="22"/>
          <w:szCs w:val="22"/>
        </w:rPr>
        <w:t xml:space="preserve"> </w:t>
      </w:r>
      <w:r w:rsidR="0030786C">
        <w:rPr>
          <w:rFonts w:ascii="Arial" w:hAnsi="Arial" w:cs="Arial"/>
          <w:sz w:val="22"/>
          <w:szCs w:val="22"/>
        </w:rPr>
        <w:t>was achieved</w:t>
      </w:r>
      <w:r w:rsidR="00E05C45">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30786C">
        <w:rPr>
          <w:rFonts w:ascii="Arial" w:hAnsi="Arial" w:cs="Arial"/>
          <w:sz w:val="22"/>
          <w:szCs w:val="22"/>
        </w:rPr>
        <w:t>required</w:t>
      </w:r>
      <w:r w:rsidR="00B45965">
        <w:rPr>
          <w:rFonts w:ascii="Arial" w:hAnsi="Arial" w:cs="Arial"/>
          <w:sz w:val="22"/>
          <w:szCs w:val="22"/>
        </w:rPr>
        <w:t xml:space="preserve">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306328" w:rsidRDefault="00306328" w:rsidP="00136DAB">
      <w:pPr>
        <w:spacing w:line="276" w:lineRule="auto"/>
        <w:rPr>
          <w:rFonts w:ascii="Arial" w:hAnsi="Arial" w:cs="Arial"/>
          <w:sz w:val="22"/>
          <w:szCs w:val="22"/>
        </w:rPr>
      </w:pPr>
    </w:p>
    <w:p w:rsidR="00B25826" w:rsidRPr="00136DAB" w:rsidRDefault="00B25826" w:rsidP="00136DAB">
      <w:pPr>
        <w:spacing w:line="276" w:lineRule="auto"/>
        <w:rPr>
          <w:rFonts w:ascii="Arial" w:hAnsi="Arial" w:cs="Arial"/>
          <w:b/>
          <w:sz w:val="22"/>
          <w:szCs w:val="22"/>
        </w:rPr>
      </w:pP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56428E" w:rsidRDefault="00C129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E87571">
        <w:rPr>
          <w:rFonts w:ascii="Arial" w:hAnsi="Arial" w:cs="Arial"/>
          <w:sz w:val="22"/>
          <w:szCs w:val="22"/>
        </w:rPr>
        <w:t>elow for December</w:t>
      </w:r>
      <w:r w:rsidR="008E34B5" w:rsidRPr="00765609">
        <w:rPr>
          <w:rFonts w:ascii="Arial" w:hAnsi="Arial" w:cs="Arial"/>
          <w:sz w:val="22"/>
          <w:szCs w:val="22"/>
        </w:rPr>
        <w:t xml:space="preserve"> 2015.  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capital work within their roles.</w:t>
      </w:r>
      <w:r w:rsidR="000F4DF3">
        <w:rPr>
          <w:rFonts w:ascii="Arial" w:hAnsi="Arial" w:cs="Arial"/>
          <w:sz w:val="22"/>
          <w:szCs w:val="22"/>
        </w:rPr>
        <w:t xml:space="preserve">  </w:t>
      </w:r>
      <w:r w:rsidR="0056428E">
        <w:rPr>
          <w:rFonts w:ascii="Arial" w:hAnsi="Arial" w:cs="Arial"/>
          <w:sz w:val="22"/>
          <w:szCs w:val="22"/>
        </w:rPr>
        <w:t xml:space="preserve">A review of these posts </w:t>
      </w:r>
      <w:r w:rsidR="00E87571">
        <w:rPr>
          <w:rFonts w:ascii="Arial" w:hAnsi="Arial" w:cs="Arial"/>
          <w:sz w:val="22"/>
          <w:szCs w:val="22"/>
        </w:rPr>
        <w:t>has been undertaken and the original assumptions remain the same.</w:t>
      </w:r>
    </w:p>
    <w:p w:rsidR="00BB4161" w:rsidRPr="00765609" w:rsidRDefault="00EC2525" w:rsidP="00716AC4">
      <w:pPr>
        <w:spacing w:after="200" w:line="276" w:lineRule="auto"/>
        <w:rPr>
          <w:rFonts w:ascii="Arial" w:hAnsi="Arial" w:cs="Arial"/>
          <w:sz w:val="22"/>
          <w:szCs w:val="22"/>
        </w:rPr>
      </w:pPr>
      <w:r>
        <w:rPr>
          <w:rFonts w:ascii="Arial" w:hAnsi="Arial" w:cs="Arial"/>
          <w:sz w:val="22"/>
          <w:szCs w:val="22"/>
        </w:rPr>
        <w:t>A total of 61</w:t>
      </w:r>
      <w:r w:rsidR="00BB4161" w:rsidRPr="00765609">
        <w:rPr>
          <w:rFonts w:ascii="Arial" w:hAnsi="Arial" w:cs="Arial"/>
          <w:sz w:val="22"/>
          <w:szCs w:val="22"/>
        </w:rPr>
        <w:t xml:space="preserve">% of the capital budget </w:t>
      </w:r>
      <w:r w:rsidR="006B3D92" w:rsidRPr="00765609">
        <w:rPr>
          <w:rFonts w:ascii="Arial" w:hAnsi="Arial" w:cs="Arial"/>
          <w:sz w:val="22"/>
          <w:szCs w:val="22"/>
        </w:rPr>
        <w:t>has</w:t>
      </w:r>
      <w:r w:rsidR="00467649">
        <w:rPr>
          <w:rFonts w:ascii="Arial" w:hAnsi="Arial" w:cs="Arial"/>
          <w:sz w:val="22"/>
          <w:szCs w:val="22"/>
        </w:rPr>
        <w:t xml:space="preserve"> be</w:t>
      </w:r>
      <w:r w:rsidR="00E87571">
        <w:rPr>
          <w:rFonts w:ascii="Arial" w:hAnsi="Arial" w:cs="Arial"/>
          <w:sz w:val="22"/>
          <w:szCs w:val="22"/>
        </w:rPr>
        <w:t>en spent at the end of December</w:t>
      </w:r>
      <w:r w:rsidR="00BB4161" w:rsidRPr="00765609">
        <w:rPr>
          <w:rFonts w:ascii="Arial" w:hAnsi="Arial" w:cs="Arial"/>
          <w:sz w:val="22"/>
          <w:szCs w:val="22"/>
        </w:rPr>
        <w:t xml:space="preserve"> 2015</w:t>
      </w:r>
      <w:r w:rsidR="00E87571">
        <w:rPr>
          <w:rFonts w:ascii="Arial" w:hAnsi="Arial" w:cs="Arial"/>
          <w:sz w:val="22"/>
          <w:szCs w:val="22"/>
        </w:rPr>
        <w:t xml:space="preserve"> (75</w:t>
      </w:r>
      <w:r w:rsidR="0027173D">
        <w:rPr>
          <w:rFonts w:ascii="Arial" w:hAnsi="Arial" w:cs="Arial"/>
          <w:sz w:val="22"/>
          <w:szCs w:val="22"/>
        </w:rPr>
        <w:t>% of the year)</w:t>
      </w:r>
      <w:r w:rsidR="00BB4161" w:rsidRPr="00765609">
        <w:rPr>
          <w:rFonts w:ascii="Arial" w:hAnsi="Arial" w:cs="Arial"/>
          <w:sz w:val="22"/>
          <w:szCs w:val="22"/>
        </w:rPr>
        <w:t>.</w:t>
      </w:r>
    </w:p>
    <w:p w:rsidR="00765609" w:rsidRPr="00765609" w:rsidRDefault="00765609" w:rsidP="00716AC4">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£1.060m from the Department of Health on the 25</w:t>
      </w:r>
      <w:r w:rsidRPr="00765609">
        <w:rPr>
          <w:rFonts w:ascii="Arial" w:hAnsi="Arial" w:cs="Arial"/>
          <w:sz w:val="22"/>
          <w:szCs w:val="22"/>
          <w:vertAlign w:val="superscript"/>
        </w:rPr>
        <w:t>th</w:t>
      </w:r>
      <w:r w:rsidRPr="00765609">
        <w:rPr>
          <w:rFonts w:ascii="Arial" w:hAnsi="Arial" w:cs="Arial"/>
          <w:sz w:val="22"/>
          <w:szCs w:val="22"/>
        </w:rPr>
        <w:t xml:space="preserve"> June 2015.  </w:t>
      </w:r>
      <w:r w:rsidR="004A1994">
        <w:rPr>
          <w:rFonts w:ascii="Arial" w:hAnsi="Arial" w:cs="Arial"/>
          <w:sz w:val="22"/>
          <w:szCs w:val="22"/>
        </w:rPr>
        <w:t>T</w:t>
      </w:r>
      <w:r w:rsidR="004E2AEC">
        <w:rPr>
          <w:rFonts w:ascii="Arial" w:hAnsi="Arial" w:cs="Arial"/>
          <w:sz w:val="22"/>
          <w:szCs w:val="22"/>
        </w:rPr>
        <w:t xml:space="preserve">he required investment in digital telephony </w:t>
      </w:r>
      <w:r w:rsidR="00E87571">
        <w:rPr>
          <w:rFonts w:ascii="Arial" w:hAnsi="Arial" w:cs="Arial"/>
          <w:sz w:val="22"/>
          <w:szCs w:val="22"/>
        </w:rPr>
        <w:t>led</w:t>
      </w:r>
      <w:r w:rsidR="004E2AEC">
        <w:rPr>
          <w:rFonts w:ascii="Arial" w:hAnsi="Arial" w:cs="Arial"/>
          <w:sz w:val="22"/>
          <w:szCs w:val="22"/>
        </w:rPr>
        <w:t xml:space="preserve"> to a review of cost treatments </w:t>
      </w:r>
      <w:r w:rsidR="00E87571">
        <w:rPr>
          <w:rFonts w:ascii="Arial" w:hAnsi="Arial" w:cs="Arial"/>
          <w:sz w:val="22"/>
          <w:szCs w:val="22"/>
        </w:rPr>
        <w:t xml:space="preserve">of new laptops which the HRA had capitalised in previous months whilst discussions took place with the auditors to determine whether any further costs required capitalisation.  Following guidance from the auditors, the £117k of costs relating to the laptops has been removed from capital and charged to revenue, due to the immaterial value of the laptops.  </w:t>
      </w:r>
    </w:p>
    <w:p w:rsidR="004A1994" w:rsidRDefault="00F51731" w:rsidP="00716AC4">
      <w:pPr>
        <w:spacing w:after="200" w:line="276" w:lineRule="auto"/>
        <w:rPr>
          <w:rFonts w:ascii="Arial" w:hAnsi="Arial" w:cs="Arial"/>
          <w:sz w:val="22"/>
          <w:szCs w:val="22"/>
        </w:rPr>
      </w:pPr>
      <w:proofErr w:type="gramStart"/>
      <w:r>
        <w:rPr>
          <w:rFonts w:ascii="Arial" w:hAnsi="Arial" w:cs="Arial"/>
          <w:sz w:val="22"/>
          <w:szCs w:val="22"/>
        </w:rPr>
        <w:t>A</w:t>
      </w:r>
      <w:r w:rsidR="008E34B5" w:rsidRPr="00765609">
        <w:rPr>
          <w:rFonts w:ascii="Arial" w:hAnsi="Arial" w:cs="Arial"/>
          <w:sz w:val="22"/>
          <w:szCs w:val="22"/>
        </w:rPr>
        <w:t xml:space="preserve"> report on the monthly spend</w:t>
      </w:r>
      <w:proofErr w:type="gramEnd"/>
      <w:r w:rsidR="008E34B5" w:rsidRPr="00765609">
        <w:rPr>
          <w:rFonts w:ascii="Arial" w:hAnsi="Arial" w:cs="Arial"/>
          <w:sz w:val="22"/>
          <w:szCs w:val="22"/>
        </w:rPr>
        <w:t xml:space="preserve"> against budget </w:t>
      </w:r>
      <w:r w:rsidR="00BB4161" w:rsidRPr="00765609">
        <w:rPr>
          <w:rFonts w:ascii="Arial" w:hAnsi="Arial" w:cs="Arial"/>
          <w:sz w:val="22"/>
          <w:szCs w:val="22"/>
        </w:rPr>
        <w:t>for each of the capital programmes</w:t>
      </w:r>
      <w:r>
        <w:rPr>
          <w:rFonts w:ascii="Arial" w:hAnsi="Arial" w:cs="Arial"/>
          <w:sz w:val="22"/>
          <w:szCs w:val="22"/>
        </w:rPr>
        <w:t xml:space="preserve"> has been developed and is shared with the </w:t>
      </w:r>
      <w:r w:rsidR="00C1038A">
        <w:rPr>
          <w:rFonts w:ascii="Arial" w:hAnsi="Arial" w:cs="Arial"/>
          <w:sz w:val="22"/>
          <w:szCs w:val="22"/>
        </w:rPr>
        <w:t>Deputy Director – Research Information Systems.  This</w:t>
      </w:r>
      <w:r w:rsidR="00BB4161" w:rsidRPr="00765609">
        <w:rPr>
          <w:rFonts w:ascii="Arial" w:hAnsi="Arial" w:cs="Arial"/>
          <w:sz w:val="22"/>
          <w:szCs w:val="22"/>
        </w:rPr>
        <w:t xml:space="preserve"> enable</w:t>
      </w:r>
      <w:r w:rsidR="00C1038A">
        <w:rPr>
          <w:rFonts w:ascii="Arial" w:hAnsi="Arial" w:cs="Arial"/>
          <w:sz w:val="22"/>
          <w:szCs w:val="22"/>
        </w:rPr>
        <w:t>s</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r w:rsidR="00486466">
        <w:rPr>
          <w:rFonts w:ascii="Arial" w:hAnsi="Arial" w:cs="Arial"/>
          <w:sz w:val="22"/>
          <w:szCs w:val="22"/>
        </w:rPr>
        <w:t xml:space="preserve">  </w:t>
      </w:r>
      <w:r w:rsidR="00EC2525">
        <w:rPr>
          <w:rFonts w:ascii="Arial" w:hAnsi="Arial" w:cs="Arial"/>
          <w:sz w:val="22"/>
          <w:szCs w:val="22"/>
        </w:rPr>
        <w:lastRenderedPageBreak/>
        <w:t>Early forecasts ind</w:t>
      </w:r>
      <w:r w:rsidR="00161C29">
        <w:rPr>
          <w:rFonts w:ascii="Arial" w:hAnsi="Arial" w:cs="Arial"/>
          <w:sz w:val="22"/>
          <w:szCs w:val="22"/>
        </w:rPr>
        <w:t xml:space="preserve">icate that the </w:t>
      </w:r>
      <w:proofErr w:type="spellStart"/>
      <w:r w:rsidR="00161C29">
        <w:rPr>
          <w:rFonts w:ascii="Arial" w:hAnsi="Arial" w:cs="Arial"/>
          <w:sz w:val="22"/>
          <w:szCs w:val="22"/>
        </w:rPr>
        <w:t>year end</w:t>
      </w:r>
      <w:proofErr w:type="spellEnd"/>
      <w:r w:rsidR="00161C29">
        <w:rPr>
          <w:rFonts w:ascii="Arial" w:hAnsi="Arial" w:cs="Arial"/>
          <w:sz w:val="22"/>
          <w:szCs w:val="22"/>
        </w:rPr>
        <w:t xml:space="preserve"> position for capital will be underspent by circa £175k.  This is partly due to the transfer of the costs for the laptops from capital to revenue.</w:t>
      </w: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t>Capital expenditure 2</w:t>
      </w:r>
      <w:r w:rsidR="00534292">
        <w:rPr>
          <w:rFonts w:ascii="Arial" w:hAnsi="Arial" w:cs="Arial"/>
          <w:b/>
          <w:sz w:val="22"/>
          <w:szCs w:val="22"/>
        </w:rPr>
        <w:t>015/16</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HARP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275</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6B5109" w:rsidP="000C5914">
            <w:pPr>
              <w:jc w:val="center"/>
              <w:rPr>
                <w:rFonts w:ascii="Arial" w:hAnsi="Arial" w:cs="Arial"/>
                <w:color w:val="000000"/>
                <w:sz w:val="18"/>
                <w:szCs w:val="18"/>
              </w:rPr>
            </w:pPr>
            <w:r>
              <w:rPr>
                <w:rFonts w:ascii="Arial" w:hAnsi="Arial" w:cs="Arial"/>
                <w:color w:val="000000"/>
                <w:sz w:val="18"/>
                <w:szCs w:val="18"/>
              </w:rPr>
              <w:t>197.7</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6B5109" w:rsidP="000C5914">
            <w:pPr>
              <w:jc w:val="center"/>
              <w:rPr>
                <w:rFonts w:ascii="Arial" w:hAnsi="Arial" w:cs="Arial"/>
                <w:color w:val="000000"/>
                <w:sz w:val="18"/>
                <w:szCs w:val="18"/>
              </w:rPr>
            </w:pPr>
            <w:r>
              <w:rPr>
                <w:rFonts w:ascii="Arial" w:hAnsi="Arial" w:cs="Arial"/>
                <w:color w:val="000000"/>
                <w:sz w:val="18"/>
                <w:szCs w:val="18"/>
              </w:rPr>
              <w:t>77.3</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IRAS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765609" w:rsidP="000C5914">
            <w:pPr>
              <w:jc w:val="center"/>
              <w:rPr>
                <w:rFonts w:ascii="Arial" w:hAnsi="Arial" w:cs="Arial"/>
                <w:color w:val="000000"/>
                <w:sz w:val="18"/>
                <w:szCs w:val="18"/>
              </w:rPr>
            </w:pPr>
            <w:r>
              <w:rPr>
                <w:rFonts w:ascii="Arial" w:hAnsi="Arial" w:cs="Arial"/>
                <w:color w:val="000000"/>
                <w:sz w:val="18"/>
                <w:szCs w:val="18"/>
              </w:rPr>
              <w:t>542</w:t>
            </w:r>
            <w:r w:rsidR="00534292">
              <w:rPr>
                <w:rFonts w:ascii="Arial" w:hAnsi="Arial" w:cs="Arial"/>
                <w:color w:val="000000"/>
                <w:sz w:val="18"/>
                <w:szCs w:val="18"/>
              </w:rPr>
              <w:t>.0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6B5109" w:rsidP="000C5914">
            <w:pPr>
              <w:jc w:val="center"/>
              <w:rPr>
                <w:rFonts w:ascii="Arial" w:hAnsi="Arial" w:cs="Arial"/>
                <w:color w:val="000000"/>
                <w:sz w:val="18"/>
                <w:szCs w:val="18"/>
              </w:rPr>
            </w:pPr>
            <w:r>
              <w:rPr>
                <w:rFonts w:ascii="Arial" w:hAnsi="Arial" w:cs="Arial"/>
                <w:color w:val="000000"/>
                <w:sz w:val="18"/>
                <w:szCs w:val="18"/>
              </w:rPr>
              <w:t>336.0</w:t>
            </w:r>
          </w:p>
        </w:tc>
        <w:tc>
          <w:tcPr>
            <w:tcW w:w="996" w:type="dxa"/>
            <w:tcBorders>
              <w:top w:val="nil"/>
              <w:left w:val="nil"/>
              <w:bottom w:val="single" w:sz="8" w:space="0" w:color="FFFFFF"/>
              <w:right w:val="single" w:sz="8" w:space="0" w:color="FFFFFF"/>
            </w:tcBorders>
            <w:shd w:val="clear" w:color="000000" w:fill="E28C05"/>
            <w:vAlign w:val="bottom"/>
          </w:tcPr>
          <w:p w:rsidR="009B2F1B" w:rsidRPr="004C536A" w:rsidRDefault="006B5109" w:rsidP="009B2F1B">
            <w:pPr>
              <w:jc w:val="center"/>
              <w:rPr>
                <w:rFonts w:ascii="Arial" w:hAnsi="Arial" w:cs="Arial"/>
                <w:color w:val="000000"/>
                <w:sz w:val="18"/>
                <w:szCs w:val="18"/>
              </w:rPr>
            </w:pPr>
            <w:r>
              <w:rPr>
                <w:rFonts w:ascii="Arial" w:hAnsi="Arial" w:cs="Arial"/>
                <w:color w:val="000000"/>
                <w:sz w:val="18"/>
                <w:szCs w:val="18"/>
              </w:rPr>
              <w:t>206.0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IS Team – capitalised salaries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243.0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27173D" w:rsidRPr="004C536A" w:rsidRDefault="006B5109" w:rsidP="0027173D">
            <w:pPr>
              <w:jc w:val="center"/>
              <w:rPr>
                <w:rFonts w:ascii="Arial" w:hAnsi="Arial" w:cs="Arial"/>
                <w:color w:val="000000"/>
                <w:sz w:val="18"/>
                <w:szCs w:val="18"/>
              </w:rPr>
            </w:pPr>
            <w:r>
              <w:rPr>
                <w:rFonts w:ascii="Arial" w:hAnsi="Arial" w:cs="Arial"/>
                <w:color w:val="000000"/>
                <w:sz w:val="18"/>
                <w:szCs w:val="18"/>
              </w:rPr>
              <w:t>116.6</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EC2525" w:rsidP="000C5914">
            <w:pPr>
              <w:jc w:val="center"/>
              <w:rPr>
                <w:rFonts w:ascii="Arial" w:hAnsi="Arial" w:cs="Arial"/>
                <w:color w:val="000000"/>
                <w:sz w:val="18"/>
                <w:szCs w:val="18"/>
              </w:rPr>
            </w:pPr>
            <w:r>
              <w:rPr>
                <w:rFonts w:ascii="Arial" w:hAnsi="Arial" w:cs="Arial"/>
                <w:color w:val="000000"/>
                <w:sz w:val="18"/>
                <w:szCs w:val="18"/>
              </w:rPr>
              <w:t>126.4</w:t>
            </w:r>
          </w:p>
        </w:tc>
      </w:tr>
      <w:tr w:rsidR="0027173D"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27173D" w:rsidRDefault="0027173D" w:rsidP="000C5914">
            <w:pPr>
              <w:rPr>
                <w:rFonts w:ascii="Arial" w:hAnsi="Arial" w:cs="Arial"/>
                <w:color w:val="000000"/>
                <w:sz w:val="18"/>
                <w:szCs w:val="18"/>
              </w:rPr>
            </w:pPr>
            <w:r>
              <w:rPr>
                <w:rFonts w:ascii="Arial" w:hAnsi="Arial" w:cs="Arial"/>
                <w:color w:val="000000"/>
                <w:sz w:val="18"/>
                <w:szCs w:val="18"/>
              </w:rPr>
              <w:t>IT Equipment</w:t>
            </w:r>
            <w:r w:rsidR="00D773F0">
              <w:rPr>
                <w:rFonts w:ascii="Arial" w:hAnsi="Arial" w:cs="Arial"/>
                <w:color w:val="000000"/>
                <w:sz w:val="18"/>
                <w:szCs w:val="18"/>
              </w:rPr>
              <w:t xml:space="preserve"> (digital telephony)</w:t>
            </w:r>
          </w:p>
        </w:tc>
        <w:tc>
          <w:tcPr>
            <w:tcW w:w="222" w:type="dxa"/>
            <w:tcBorders>
              <w:top w:val="nil"/>
              <w:left w:val="nil"/>
              <w:bottom w:val="nil"/>
              <w:right w:val="nil"/>
            </w:tcBorders>
            <w:shd w:val="clear" w:color="auto" w:fill="auto"/>
            <w:noWrap/>
            <w:vAlign w:val="bottom"/>
          </w:tcPr>
          <w:p w:rsidR="0027173D" w:rsidRPr="004C536A" w:rsidRDefault="0027173D"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27173D" w:rsidRDefault="0027173D" w:rsidP="000C5914">
            <w:pPr>
              <w:jc w:val="center"/>
              <w:rPr>
                <w:rFonts w:ascii="Arial" w:hAnsi="Arial" w:cs="Arial"/>
                <w:color w:val="000000"/>
                <w:sz w:val="18"/>
                <w:szCs w:val="18"/>
              </w:rPr>
            </w:pPr>
            <w:r>
              <w:rPr>
                <w:rFonts w:ascii="Arial" w:hAnsi="Arial" w:cs="Arial"/>
                <w:color w:val="000000"/>
                <w:sz w:val="18"/>
                <w:szCs w:val="18"/>
              </w:rPr>
              <w:t>0.00</w:t>
            </w:r>
          </w:p>
        </w:tc>
        <w:tc>
          <w:tcPr>
            <w:tcW w:w="1151" w:type="dxa"/>
            <w:tcBorders>
              <w:top w:val="nil"/>
              <w:left w:val="nil"/>
              <w:bottom w:val="single" w:sz="8" w:space="0" w:color="FFFFFF"/>
              <w:right w:val="single" w:sz="8" w:space="0" w:color="FFFFFF"/>
            </w:tcBorders>
            <w:shd w:val="clear" w:color="000000" w:fill="E28C05"/>
            <w:vAlign w:val="bottom"/>
          </w:tcPr>
          <w:p w:rsidR="0027173D" w:rsidRDefault="006B5109" w:rsidP="0027173D">
            <w:pPr>
              <w:jc w:val="center"/>
              <w:rPr>
                <w:rFonts w:ascii="Arial" w:hAnsi="Arial" w:cs="Arial"/>
                <w:color w:val="000000"/>
                <w:sz w:val="18"/>
                <w:szCs w:val="18"/>
              </w:rPr>
            </w:pPr>
            <w:r>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27173D" w:rsidRDefault="006B5109" w:rsidP="000C5914">
            <w:pPr>
              <w:jc w:val="center"/>
              <w:rPr>
                <w:rFonts w:ascii="Arial" w:hAnsi="Arial" w:cs="Arial"/>
                <w:color w:val="000000"/>
                <w:sz w:val="18"/>
                <w:szCs w:val="18"/>
              </w:rPr>
            </w:pPr>
            <w:r>
              <w:rPr>
                <w:rFonts w:ascii="Arial" w:hAnsi="Arial" w:cs="Arial"/>
                <w:color w:val="000000"/>
                <w:sz w:val="18"/>
                <w:szCs w:val="18"/>
              </w:rPr>
              <w:t>0.00</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534292" w:rsidP="000C5914">
            <w:pPr>
              <w:jc w:val="center"/>
              <w:rPr>
                <w:rFonts w:ascii="Arial" w:hAnsi="Arial" w:cs="Arial"/>
                <w:b/>
                <w:bCs/>
                <w:color w:val="FFFFFF"/>
                <w:sz w:val="18"/>
                <w:szCs w:val="18"/>
              </w:rPr>
            </w:pPr>
            <w:r>
              <w:rPr>
                <w:rFonts w:ascii="Arial" w:hAnsi="Arial" w:cs="Arial"/>
                <w:b/>
                <w:bCs/>
                <w:color w:val="FFFFFF"/>
                <w:sz w:val="18"/>
                <w:szCs w:val="18"/>
              </w:rPr>
              <w:t>1</w:t>
            </w:r>
            <w:r w:rsidR="007813E1">
              <w:rPr>
                <w:rFonts w:ascii="Arial" w:hAnsi="Arial" w:cs="Arial"/>
                <w:b/>
                <w:bCs/>
                <w:color w:val="FFFFFF"/>
                <w:sz w:val="18"/>
                <w:szCs w:val="18"/>
              </w:rPr>
              <w:t>,</w:t>
            </w:r>
            <w:r w:rsidR="00765609">
              <w:rPr>
                <w:rFonts w:ascii="Arial" w:hAnsi="Arial" w:cs="Arial"/>
                <w:b/>
                <w:bCs/>
                <w:color w:val="FFFFFF"/>
                <w:sz w:val="18"/>
                <w:szCs w:val="18"/>
              </w:rPr>
              <w:t>060</w:t>
            </w:r>
            <w:r>
              <w:rPr>
                <w:rFonts w:ascii="Arial" w:hAnsi="Arial" w:cs="Arial"/>
                <w:b/>
                <w:bCs/>
                <w:color w:val="FFFFFF"/>
                <w:sz w:val="18"/>
                <w:szCs w:val="18"/>
              </w:rPr>
              <w:t>.00</w:t>
            </w:r>
          </w:p>
        </w:tc>
        <w:tc>
          <w:tcPr>
            <w:tcW w:w="1151" w:type="dxa"/>
            <w:tcBorders>
              <w:top w:val="nil"/>
              <w:left w:val="nil"/>
              <w:bottom w:val="nil"/>
              <w:right w:val="single" w:sz="8" w:space="0" w:color="FFFFFF"/>
            </w:tcBorders>
            <w:shd w:val="clear" w:color="000000" w:fill="56008C"/>
            <w:vAlign w:val="bottom"/>
          </w:tcPr>
          <w:p w:rsidR="00DD2D40" w:rsidRPr="004C536A" w:rsidRDefault="006B5109" w:rsidP="000C5914">
            <w:pPr>
              <w:jc w:val="center"/>
              <w:rPr>
                <w:rFonts w:ascii="Arial" w:hAnsi="Arial" w:cs="Arial"/>
                <w:b/>
                <w:bCs/>
                <w:color w:val="FFFFFF"/>
                <w:sz w:val="18"/>
                <w:szCs w:val="18"/>
              </w:rPr>
            </w:pPr>
            <w:r>
              <w:rPr>
                <w:rFonts w:ascii="Arial" w:hAnsi="Arial" w:cs="Arial"/>
                <w:b/>
                <w:bCs/>
                <w:color w:val="FFFFFF"/>
                <w:sz w:val="18"/>
                <w:szCs w:val="18"/>
              </w:rPr>
              <w:t>650.3</w:t>
            </w:r>
          </w:p>
        </w:tc>
        <w:tc>
          <w:tcPr>
            <w:tcW w:w="996" w:type="dxa"/>
            <w:tcBorders>
              <w:top w:val="nil"/>
              <w:left w:val="nil"/>
              <w:bottom w:val="nil"/>
              <w:right w:val="single" w:sz="8" w:space="0" w:color="FFFFFF"/>
            </w:tcBorders>
            <w:shd w:val="clear" w:color="000000" w:fill="56008C"/>
            <w:vAlign w:val="bottom"/>
            <w:hideMark/>
          </w:tcPr>
          <w:p w:rsidR="00DD2D40" w:rsidRPr="004C536A" w:rsidRDefault="006B5109" w:rsidP="000C5914">
            <w:pPr>
              <w:jc w:val="center"/>
              <w:rPr>
                <w:rFonts w:ascii="Arial" w:hAnsi="Arial" w:cs="Arial"/>
                <w:b/>
                <w:bCs/>
                <w:color w:val="FFFFFF"/>
                <w:sz w:val="18"/>
                <w:szCs w:val="18"/>
              </w:rPr>
            </w:pPr>
            <w:r>
              <w:rPr>
                <w:rFonts w:ascii="Arial" w:hAnsi="Arial" w:cs="Arial"/>
                <w:b/>
                <w:bCs/>
                <w:color w:val="FFFFFF"/>
                <w:sz w:val="18"/>
                <w:szCs w:val="18"/>
              </w:rPr>
              <w:t>409.7</w:t>
            </w:r>
          </w:p>
        </w:tc>
      </w:tr>
    </w:tbl>
    <w:p w:rsidR="004E06FA" w:rsidRDefault="004E06FA"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544EF0">
        <w:rPr>
          <w:rFonts w:ascii="Arial" w:hAnsi="Arial" w:cs="Arial"/>
          <w:b/>
          <w:sz w:val="22"/>
          <w:szCs w:val="22"/>
        </w:rPr>
        <w:t>. Statement of Financial Position</w:t>
      </w:r>
      <w:r w:rsidR="00716AC4" w:rsidRPr="00C20315">
        <w:rPr>
          <w:rFonts w:ascii="Arial" w:hAnsi="Arial" w:cs="Arial"/>
          <w:b/>
          <w:sz w:val="22"/>
          <w:szCs w:val="22"/>
        </w:rPr>
        <w:t xml:space="preserve"> and cash</w:t>
      </w:r>
    </w:p>
    <w:p w:rsidR="00161C29" w:rsidRDefault="00BB4161" w:rsidP="00053090">
      <w:pPr>
        <w:tabs>
          <w:tab w:val="left" w:pos="2172"/>
          <w:tab w:val="left" w:pos="2835"/>
        </w:tabs>
        <w:contextualSpacing/>
        <w:rPr>
          <w:rFonts w:ascii="Arial" w:hAnsi="Arial" w:cs="Arial"/>
          <w:sz w:val="22"/>
          <w:szCs w:val="22"/>
        </w:rPr>
      </w:pPr>
      <w:r w:rsidRPr="00553F42">
        <w:rPr>
          <w:rFonts w:ascii="Arial" w:hAnsi="Arial" w:cs="Arial"/>
          <w:sz w:val="22"/>
          <w:szCs w:val="22"/>
        </w:rPr>
        <w:t xml:space="preserve">To align with the quarterly accountability meetings with the Department of Health, </w:t>
      </w:r>
      <w:r w:rsidR="00923A03" w:rsidRPr="00553F42">
        <w:rPr>
          <w:rFonts w:ascii="Arial" w:hAnsi="Arial" w:cs="Arial"/>
          <w:sz w:val="22"/>
          <w:szCs w:val="22"/>
        </w:rPr>
        <w:t xml:space="preserve">during 2015/16 </w:t>
      </w:r>
      <w:r w:rsidR="00544EF0">
        <w:rPr>
          <w:rFonts w:ascii="Arial" w:hAnsi="Arial" w:cs="Arial"/>
          <w:sz w:val="22"/>
          <w:szCs w:val="22"/>
        </w:rPr>
        <w:t>a quarterly Statement of Financial Position (formerly balance sheet)</w:t>
      </w:r>
      <w:r w:rsidRPr="00553F42">
        <w:rPr>
          <w:rFonts w:ascii="Arial" w:hAnsi="Arial" w:cs="Arial"/>
          <w:sz w:val="22"/>
          <w:szCs w:val="22"/>
        </w:rPr>
        <w:t xml:space="preserve"> and cash</w:t>
      </w:r>
      <w:r w:rsidR="004E06FA">
        <w:rPr>
          <w:rFonts w:ascii="Arial" w:hAnsi="Arial" w:cs="Arial"/>
          <w:sz w:val="22"/>
          <w:szCs w:val="22"/>
        </w:rPr>
        <w:t xml:space="preserve"> </w:t>
      </w:r>
      <w:r w:rsidRPr="00553F42">
        <w:rPr>
          <w:rFonts w:ascii="Arial" w:hAnsi="Arial" w:cs="Arial"/>
          <w:sz w:val="22"/>
          <w:szCs w:val="22"/>
        </w:rPr>
        <w:t>flow forecast will be produced</w:t>
      </w:r>
      <w:r w:rsidR="00923A03" w:rsidRPr="00553F42">
        <w:rPr>
          <w:rFonts w:ascii="Arial" w:hAnsi="Arial" w:cs="Arial"/>
          <w:sz w:val="22"/>
          <w:szCs w:val="22"/>
        </w:rPr>
        <w:t xml:space="preserve"> and reported to EMT</w:t>
      </w:r>
      <w:r w:rsidRPr="00553F42">
        <w:rPr>
          <w:rFonts w:ascii="Arial" w:hAnsi="Arial" w:cs="Arial"/>
          <w:sz w:val="22"/>
          <w:szCs w:val="22"/>
        </w:rPr>
        <w:t>.</w:t>
      </w:r>
      <w:r w:rsidR="00C2265B">
        <w:rPr>
          <w:rFonts w:ascii="Arial" w:hAnsi="Arial" w:cs="Arial"/>
          <w:sz w:val="22"/>
          <w:szCs w:val="22"/>
        </w:rPr>
        <w:t xml:space="preserve">   </w:t>
      </w:r>
      <w:r w:rsidR="00161C29">
        <w:rPr>
          <w:rFonts w:ascii="Arial" w:hAnsi="Arial" w:cs="Arial"/>
          <w:sz w:val="22"/>
          <w:szCs w:val="22"/>
        </w:rPr>
        <w:t>The Statement of Financial Position as at the 31</w:t>
      </w:r>
      <w:r w:rsidR="00161C29" w:rsidRPr="00161C29">
        <w:rPr>
          <w:rFonts w:ascii="Arial" w:hAnsi="Arial" w:cs="Arial"/>
          <w:sz w:val="22"/>
          <w:szCs w:val="22"/>
          <w:vertAlign w:val="superscript"/>
        </w:rPr>
        <w:t>st</w:t>
      </w:r>
      <w:r w:rsidR="00161C29">
        <w:rPr>
          <w:rFonts w:ascii="Arial" w:hAnsi="Arial" w:cs="Arial"/>
          <w:sz w:val="22"/>
          <w:szCs w:val="22"/>
        </w:rPr>
        <w:t xml:space="preserve"> December is shown in Appendix F</w:t>
      </w:r>
      <w:r w:rsidR="00161C29" w:rsidRPr="00553F42">
        <w:rPr>
          <w:rFonts w:ascii="Arial" w:hAnsi="Arial" w:cs="Arial"/>
          <w:sz w:val="22"/>
          <w:szCs w:val="22"/>
        </w:rPr>
        <w:t xml:space="preserve">, </w:t>
      </w:r>
      <w:r w:rsidR="00161C29">
        <w:rPr>
          <w:rFonts w:ascii="Arial" w:hAnsi="Arial" w:cs="Arial"/>
          <w:sz w:val="22"/>
          <w:szCs w:val="22"/>
        </w:rPr>
        <w:t>comparing against t</w:t>
      </w:r>
      <w:r w:rsidR="00161C29" w:rsidRPr="00553F42">
        <w:rPr>
          <w:rFonts w:ascii="Arial" w:hAnsi="Arial" w:cs="Arial"/>
          <w:sz w:val="22"/>
          <w:szCs w:val="22"/>
        </w:rPr>
        <w:t xml:space="preserve">he </w:t>
      </w:r>
      <w:r w:rsidR="00161C29">
        <w:rPr>
          <w:rFonts w:ascii="Arial" w:hAnsi="Arial" w:cs="Arial"/>
          <w:sz w:val="22"/>
          <w:szCs w:val="22"/>
        </w:rPr>
        <w:t>Statement of Financial Position</w:t>
      </w:r>
      <w:r w:rsidR="00161C29" w:rsidRPr="00553F42">
        <w:rPr>
          <w:rFonts w:ascii="Arial" w:hAnsi="Arial" w:cs="Arial"/>
          <w:sz w:val="22"/>
          <w:szCs w:val="22"/>
        </w:rPr>
        <w:t xml:space="preserve"> as at the 31</w:t>
      </w:r>
      <w:r w:rsidR="00161C29" w:rsidRPr="00553F42">
        <w:rPr>
          <w:rFonts w:ascii="Arial" w:hAnsi="Arial" w:cs="Arial"/>
          <w:sz w:val="22"/>
          <w:szCs w:val="22"/>
          <w:vertAlign w:val="superscript"/>
        </w:rPr>
        <w:t>st</w:t>
      </w:r>
      <w:r w:rsidR="00161C29" w:rsidRPr="00553F42">
        <w:rPr>
          <w:rFonts w:ascii="Arial" w:hAnsi="Arial" w:cs="Arial"/>
          <w:sz w:val="22"/>
          <w:szCs w:val="22"/>
        </w:rPr>
        <w:t xml:space="preserve"> March 201</w:t>
      </w:r>
      <w:r w:rsidR="00161C29">
        <w:rPr>
          <w:rFonts w:ascii="Arial" w:hAnsi="Arial" w:cs="Arial"/>
          <w:sz w:val="22"/>
          <w:szCs w:val="22"/>
        </w:rPr>
        <w:t>5</w:t>
      </w:r>
      <w:r w:rsidR="00161C29" w:rsidRPr="00553F42">
        <w:rPr>
          <w:rFonts w:ascii="Arial" w:hAnsi="Arial" w:cs="Arial"/>
          <w:sz w:val="22"/>
          <w:szCs w:val="22"/>
        </w:rPr>
        <w:t xml:space="preserve"> a</w:t>
      </w:r>
      <w:r w:rsidR="00161C29">
        <w:rPr>
          <w:rFonts w:ascii="Arial" w:hAnsi="Arial" w:cs="Arial"/>
          <w:sz w:val="22"/>
          <w:szCs w:val="22"/>
        </w:rPr>
        <w:t>nd the Statement of Financial Position</w:t>
      </w:r>
      <w:r w:rsidR="00161C29" w:rsidRPr="00553F42">
        <w:rPr>
          <w:rFonts w:ascii="Arial" w:hAnsi="Arial" w:cs="Arial"/>
          <w:sz w:val="22"/>
          <w:szCs w:val="22"/>
        </w:rPr>
        <w:t xml:space="preserve"> </w:t>
      </w:r>
      <w:r w:rsidR="00161C29">
        <w:rPr>
          <w:rFonts w:ascii="Arial" w:hAnsi="Arial" w:cs="Arial"/>
          <w:sz w:val="22"/>
          <w:szCs w:val="22"/>
        </w:rPr>
        <w:t xml:space="preserve">forecast for </w:t>
      </w:r>
      <w:r w:rsidR="00161C29" w:rsidRPr="00553F42">
        <w:rPr>
          <w:rFonts w:ascii="Arial" w:hAnsi="Arial" w:cs="Arial"/>
          <w:sz w:val="22"/>
          <w:szCs w:val="22"/>
        </w:rPr>
        <w:t>31</w:t>
      </w:r>
      <w:r w:rsidR="00161C29" w:rsidRPr="00553F42">
        <w:rPr>
          <w:rFonts w:ascii="Arial" w:hAnsi="Arial" w:cs="Arial"/>
          <w:sz w:val="22"/>
          <w:szCs w:val="22"/>
          <w:vertAlign w:val="superscript"/>
        </w:rPr>
        <w:t>st</w:t>
      </w:r>
      <w:r w:rsidR="00161C29" w:rsidRPr="00553F42">
        <w:rPr>
          <w:rFonts w:ascii="Arial" w:hAnsi="Arial" w:cs="Arial"/>
          <w:sz w:val="22"/>
          <w:szCs w:val="22"/>
        </w:rPr>
        <w:t xml:space="preserve"> March 2016.</w:t>
      </w:r>
      <w:r w:rsidR="00161C29">
        <w:rPr>
          <w:rFonts w:ascii="Arial" w:hAnsi="Arial" w:cs="Arial"/>
          <w:sz w:val="22"/>
          <w:szCs w:val="22"/>
        </w:rPr>
        <w:t xml:space="preserve">  </w:t>
      </w:r>
    </w:p>
    <w:p w:rsidR="00161C29" w:rsidRDefault="00161C29" w:rsidP="00161C29">
      <w:pPr>
        <w:tabs>
          <w:tab w:val="left" w:pos="2172"/>
        </w:tabs>
        <w:contextualSpacing/>
        <w:rPr>
          <w:rFonts w:ascii="Arial" w:hAnsi="Arial" w:cs="Arial"/>
          <w:sz w:val="22"/>
          <w:szCs w:val="22"/>
        </w:rPr>
      </w:pPr>
    </w:p>
    <w:p w:rsidR="00A51B6C" w:rsidRDefault="00161C29" w:rsidP="00A51B6C">
      <w:pPr>
        <w:tabs>
          <w:tab w:val="left" w:pos="2172"/>
        </w:tabs>
        <w:contextualSpacing/>
        <w:rPr>
          <w:rFonts w:ascii="Arial" w:hAnsi="Arial" w:cs="Arial"/>
          <w:sz w:val="22"/>
          <w:szCs w:val="22"/>
        </w:rPr>
      </w:pPr>
      <w:r>
        <w:rPr>
          <w:rFonts w:ascii="Arial" w:hAnsi="Arial" w:cs="Arial"/>
          <w:sz w:val="22"/>
          <w:szCs w:val="22"/>
        </w:rPr>
        <w:t>A forecast cash flow is included in Appendix G.  The cas</w:t>
      </w:r>
      <w:r w:rsidR="00053090">
        <w:rPr>
          <w:rFonts w:ascii="Arial" w:hAnsi="Arial" w:cs="Arial"/>
          <w:sz w:val="22"/>
          <w:szCs w:val="22"/>
        </w:rPr>
        <w:t>h figures for April to December</w:t>
      </w:r>
      <w:r>
        <w:rPr>
          <w:rFonts w:ascii="Arial" w:hAnsi="Arial" w:cs="Arial"/>
          <w:sz w:val="22"/>
          <w:szCs w:val="22"/>
        </w:rPr>
        <w:t xml:space="preserve"> are actuals, with the remaining month’s receipts and payments based on budget profiling and assumptions regarding required accruals.  The forecast cash balance at</w:t>
      </w:r>
      <w:r w:rsidR="00405763">
        <w:rPr>
          <w:rFonts w:ascii="Arial" w:hAnsi="Arial" w:cs="Arial"/>
          <w:sz w:val="22"/>
          <w:szCs w:val="22"/>
        </w:rPr>
        <w:t xml:space="preserve"> the end of March 2016 is £4.813</w:t>
      </w:r>
      <w:r>
        <w:rPr>
          <w:rFonts w:ascii="Arial" w:hAnsi="Arial" w:cs="Arial"/>
          <w:sz w:val="22"/>
          <w:szCs w:val="22"/>
        </w:rPr>
        <w:t xml:space="preserve">m, which is a slightly higher than the balance held at the end of March 2015.  This assumes </w:t>
      </w:r>
      <w:r w:rsidR="00405763">
        <w:rPr>
          <w:rFonts w:ascii="Arial" w:hAnsi="Arial" w:cs="Arial"/>
          <w:sz w:val="22"/>
          <w:szCs w:val="22"/>
        </w:rPr>
        <w:t>the lower range of the forecast outturn underspend position and should this position move,</w:t>
      </w:r>
      <w:r>
        <w:rPr>
          <w:rFonts w:ascii="Arial" w:hAnsi="Arial" w:cs="Arial"/>
          <w:sz w:val="22"/>
          <w:szCs w:val="22"/>
        </w:rPr>
        <w:t xml:space="preserve"> then this will impact on the cash position.</w:t>
      </w:r>
    </w:p>
    <w:p w:rsidR="00562279" w:rsidRPr="0074522C" w:rsidRDefault="00562279" w:rsidP="00803D4B">
      <w:pPr>
        <w:tabs>
          <w:tab w:val="left" w:pos="2172"/>
        </w:tabs>
        <w:contextualSpacing/>
        <w:rPr>
          <w:rFonts w:ascii="Arial" w:hAnsi="Arial" w:cs="Arial"/>
          <w:sz w:val="22"/>
          <w:szCs w:val="22"/>
          <w:highlight w:val="yellow"/>
        </w:rPr>
      </w:pPr>
    </w:p>
    <w:p w:rsidR="00B40EA9" w:rsidRPr="00011FDF" w:rsidRDefault="00D15F0D" w:rsidP="00803D4B">
      <w:pPr>
        <w:tabs>
          <w:tab w:val="left" w:pos="2172"/>
        </w:tabs>
        <w:contextualSpacing/>
        <w:rPr>
          <w:rFonts w:ascii="Arial" w:hAnsi="Arial" w:cs="Arial"/>
          <w:sz w:val="22"/>
          <w:szCs w:val="22"/>
        </w:rPr>
      </w:pPr>
      <w:r w:rsidRPr="00011FDF">
        <w:rPr>
          <w:rFonts w:ascii="Arial" w:hAnsi="Arial" w:cs="Arial"/>
          <w:sz w:val="22"/>
          <w:szCs w:val="22"/>
        </w:rPr>
        <w:t xml:space="preserve">At the end of the reporting period, the cash balance was </w:t>
      </w:r>
      <w:r w:rsidR="00272AA5">
        <w:rPr>
          <w:rFonts w:ascii="Arial" w:hAnsi="Arial" w:cs="Arial"/>
          <w:sz w:val="22"/>
          <w:szCs w:val="22"/>
        </w:rPr>
        <w:t>£</w:t>
      </w:r>
      <w:r w:rsidR="00053090">
        <w:rPr>
          <w:rFonts w:ascii="Arial" w:hAnsi="Arial" w:cs="Arial"/>
          <w:sz w:val="22"/>
          <w:szCs w:val="22"/>
        </w:rPr>
        <w:t>2.657</w:t>
      </w:r>
      <w:r w:rsidR="00544EF0">
        <w:rPr>
          <w:rFonts w:ascii="Arial" w:hAnsi="Arial" w:cs="Arial"/>
          <w:sz w:val="22"/>
          <w:szCs w:val="22"/>
        </w:rPr>
        <w:t xml:space="preserve">m, which is </w:t>
      </w:r>
      <w:r w:rsidR="00124E28">
        <w:rPr>
          <w:rFonts w:ascii="Arial" w:hAnsi="Arial" w:cs="Arial"/>
          <w:sz w:val="22"/>
          <w:szCs w:val="22"/>
        </w:rPr>
        <w:t>broadly in line with the b</w:t>
      </w:r>
      <w:r w:rsidR="0031644E">
        <w:rPr>
          <w:rFonts w:ascii="Arial" w:hAnsi="Arial" w:cs="Arial"/>
          <w:sz w:val="22"/>
          <w:szCs w:val="22"/>
        </w:rPr>
        <w:t>alance held at the</w:t>
      </w:r>
      <w:r w:rsidR="00053090">
        <w:rPr>
          <w:rFonts w:ascii="Arial" w:hAnsi="Arial" w:cs="Arial"/>
          <w:sz w:val="22"/>
          <w:szCs w:val="22"/>
        </w:rPr>
        <w:t xml:space="preserve"> end of November 2015 of £2.593</w:t>
      </w:r>
      <w:r w:rsidR="00B72C94">
        <w:rPr>
          <w:rFonts w:ascii="Arial" w:hAnsi="Arial" w:cs="Arial"/>
          <w:sz w:val="22"/>
          <w:szCs w:val="22"/>
        </w:rPr>
        <w:t>m</w:t>
      </w:r>
      <w:r w:rsidR="00286A07">
        <w:rPr>
          <w:rFonts w:ascii="Arial" w:hAnsi="Arial" w:cs="Arial"/>
          <w:sz w:val="22"/>
          <w:szCs w:val="22"/>
        </w:rPr>
        <w:t xml:space="preserve">, and a reduction against the </w:t>
      </w:r>
      <w:r w:rsidR="00562279" w:rsidRPr="00011FDF">
        <w:rPr>
          <w:rFonts w:ascii="Arial" w:hAnsi="Arial" w:cs="Arial"/>
          <w:sz w:val="22"/>
          <w:szCs w:val="22"/>
        </w:rPr>
        <w:t xml:space="preserve">balance of £3.741m held at the end of the </w:t>
      </w:r>
      <w:r w:rsidR="001C4432">
        <w:rPr>
          <w:rFonts w:ascii="Arial" w:hAnsi="Arial" w:cs="Arial"/>
          <w:sz w:val="22"/>
          <w:szCs w:val="22"/>
        </w:rPr>
        <w:t xml:space="preserve">2014/15 financial </w:t>
      </w:r>
      <w:r w:rsidR="00562279" w:rsidRPr="00011FDF">
        <w:rPr>
          <w:rFonts w:ascii="Arial" w:hAnsi="Arial" w:cs="Arial"/>
          <w:sz w:val="22"/>
          <w:szCs w:val="22"/>
        </w:rPr>
        <w:t>year.</w:t>
      </w:r>
      <w:r w:rsidR="00286A07">
        <w:rPr>
          <w:rFonts w:ascii="Arial" w:hAnsi="Arial" w:cs="Arial"/>
          <w:sz w:val="22"/>
          <w:szCs w:val="22"/>
        </w:rPr>
        <w:t xml:space="preserve">  </w:t>
      </w:r>
      <w:r w:rsidR="00053090">
        <w:rPr>
          <w:rFonts w:ascii="Arial" w:hAnsi="Arial" w:cs="Arial"/>
          <w:sz w:val="22"/>
          <w:szCs w:val="22"/>
        </w:rPr>
        <w:t>At the end of December</w:t>
      </w:r>
      <w:r w:rsidR="00DA70FE">
        <w:rPr>
          <w:rFonts w:ascii="Arial" w:hAnsi="Arial" w:cs="Arial"/>
          <w:sz w:val="22"/>
          <w:szCs w:val="22"/>
        </w:rPr>
        <w:t xml:space="preserve">, </w:t>
      </w:r>
      <w:r w:rsidR="00053090">
        <w:rPr>
          <w:rFonts w:ascii="Arial" w:hAnsi="Arial" w:cs="Arial"/>
          <w:sz w:val="22"/>
          <w:szCs w:val="22"/>
        </w:rPr>
        <w:t>58</w:t>
      </w:r>
      <w:r w:rsidR="00286A07" w:rsidRPr="00DA70FE">
        <w:rPr>
          <w:rFonts w:ascii="Arial" w:hAnsi="Arial" w:cs="Arial"/>
          <w:sz w:val="22"/>
          <w:szCs w:val="22"/>
        </w:rPr>
        <w:t>%</w:t>
      </w:r>
      <w:r w:rsidR="00286A07">
        <w:rPr>
          <w:rFonts w:ascii="Arial" w:hAnsi="Arial" w:cs="Arial"/>
          <w:sz w:val="22"/>
          <w:szCs w:val="22"/>
        </w:rPr>
        <w:t xml:space="preserve"> of the total cash limit had been drawn down.</w:t>
      </w:r>
      <w:r w:rsidR="00DB1038" w:rsidRPr="00DB1038">
        <w:rPr>
          <w:rFonts w:ascii="Arial" w:hAnsi="Arial" w:cs="Arial"/>
          <w:sz w:val="22"/>
          <w:szCs w:val="22"/>
        </w:rPr>
        <w:t xml:space="preserve"> </w:t>
      </w:r>
      <w:r w:rsidR="00DB1038" w:rsidRPr="00011FDF">
        <w:rPr>
          <w:rFonts w:ascii="Arial" w:hAnsi="Arial" w:cs="Arial"/>
          <w:sz w:val="22"/>
          <w:szCs w:val="22"/>
        </w:rPr>
        <w:t>In order to fulfil the duty to avoid holding excess levels of cash, the HRA will continue to monitor the cash position during 2015/16 to ensure that sufficient cash is held for future needs, but will aim to reduce the cash balances held.</w:t>
      </w:r>
      <w:r w:rsidR="00DB1038">
        <w:rPr>
          <w:rFonts w:ascii="Arial" w:hAnsi="Arial" w:cs="Arial"/>
          <w:sz w:val="22"/>
          <w:szCs w:val="22"/>
        </w:rPr>
        <w:t xml:space="preserve">  </w:t>
      </w:r>
    </w:p>
    <w:p w:rsidR="00B40EA9" w:rsidRDefault="00B40EA9" w:rsidP="00B40EA9">
      <w:pPr>
        <w:jc w:val="both"/>
        <w:rPr>
          <w:rFonts w:ascii="Arial" w:hAnsi="Arial" w:cs="Arial"/>
          <w:b/>
          <w:sz w:val="22"/>
          <w:szCs w:val="22"/>
          <w:highlight w:val="yellow"/>
        </w:rPr>
      </w:pPr>
    </w:p>
    <w:p w:rsidR="007326AA" w:rsidRDefault="0028079F" w:rsidP="0028079F">
      <w:pPr>
        <w:jc w:val="both"/>
        <w:rPr>
          <w:rFonts w:ascii="Arial" w:hAnsi="Arial" w:cs="Arial"/>
          <w:b/>
          <w:sz w:val="22"/>
          <w:szCs w:val="22"/>
        </w:rPr>
      </w:pPr>
      <w:r w:rsidRPr="00B1174F">
        <w:rPr>
          <w:rFonts w:ascii="Arial" w:hAnsi="Arial" w:cs="Arial"/>
          <w:b/>
          <w:sz w:val="22"/>
          <w:szCs w:val="22"/>
        </w:rPr>
        <w:t xml:space="preserve">11. </w:t>
      </w:r>
      <w:r w:rsidR="007326AA">
        <w:rPr>
          <w:rFonts w:ascii="Arial" w:hAnsi="Arial" w:cs="Arial"/>
          <w:b/>
          <w:sz w:val="22"/>
          <w:szCs w:val="22"/>
        </w:rPr>
        <w:t>Cash releasing Savings</w:t>
      </w:r>
    </w:p>
    <w:p w:rsidR="007326AA" w:rsidRDefault="007326AA" w:rsidP="0028079F">
      <w:pPr>
        <w:jc w:val="both"/>
        <w:rPr>
          <w:rFonts w:ascii="Arial" w:hAnsi="Arial" w:cs="Arial"/>
          <w:sz w:val="22"/>
          <w:szCs w:val="22"/>
        </w:rPr>
      </w:pPr>
      <w:r>
        <w:rPr>
          <w:rFonts w:ascii="Arial" w:hAnsi="Arial" w:cs="Arial"/>
          <w:sz w:val="22"/>
          <w:szCs w:val="22"/>
        </w:rPr>
        <w:t>Work on the Spending Review has completed and an indicative budget for 2016/17 shared which indicates a 6% reduction in Grant in Aid, in line with expectations.</w:t>
      </w:r>
    </w:p>
    <w:p w:rsidR="007326AA" w:rsidRDefault="007326AA" w:rsidP="0028079F">
      <w:pPr>
        <w:jc w:val="both"/>
        <w:rPr>
          <w:rFonts w:ascii="Arial" w:hAnsi="Arial" w:cs="Arial"/>
          <w:sz w:val="22"/>
          <w:szCs w:val="22"/>
        </w:rPr>
      </w:pPr>
    </w:p>
    <w:p w:rsidR="007326AA" w:rsidRDefault="007326AA" w:rsidP="0028079F">
      <w:pPr>
        <w:jc w:val="both"/>
        <w:rPr>
          <w:rFonts w:ascii="Arial" w:hAnsi="Arial" w:cs="Arial"/>
          <w:sz w:val="22"/>
          <w:szCs w:val="22"/>
        </w:rPr>
      </w:pPr>
      <w:r>
        <w:rPr>
          <w:rFonts w:ascii="Arial" w:hAnsi="Arial" w:cs="Arial"/>
          <w:sz w:val="22"/>
          <w:szCs w:val="22"/>
        </w:rPr>
        <w:t>The following areas will form the basis of ensuring that the HRA continues to remain within its financial envelope over the term of the spending review</w:t>
      </w:r>
      <w:r w:rsidR="00086661">
        <w:rPr>
          <w:rFonts w:ascii="Arial" w:hAnsi="Arial" w:cs="Arial"/>
          <w:sz w:val="22"/>
          <w:szCs w:val="22"/>
        </w:rPr>
        <w:t xml:space="preserve"> and further details will be provided as part of financial and business planning for 2016/17</w:t>
      </w:r>
      <w:r>
        <w:rPr>
          <w:rFonts w:ascii="Arial" w:hAnsi="Arial" w:cs="Arial"/>
          <w:sz w:val="22"/>
          <w:szCs w:val="22"/>
        </w:rPr>
        <w:t>:</w:t>
      </w:r>
    </w:p>
    <w:p w:rsidR="007326AA" w:rsidRDefault="007326AA" w:rsidP="0028079F">
      <w:pPr>
        <w:jc w:val="both"/>
        <w:rPr>
          <w:rFonts w:ascii="Arial" w:hAnsi="Arial" w:cs="Arial"/>
          <w:sz w:val="22"/>
          <w:szCs w:val="22"/>
        </w:rPr>
      </w:pP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Vacancy factor</w:t>
      </w:r>
      <w:r w:rsidR="00065B3F">
        <w:rPr>
          <w:rFonts w:ascii="Arial" w:hAnsi="Arial" w:cs="Arial"/>
          <w:sz w:val="22"/>
          <w:szCs w:val="22"/>
        </w:rPr>
        <w:t>;</w:t>
      </w: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 xml:space="preserve">Saving on </w:t>
      </w:r>
      <w:r w:rsidR="00065B3F">
        <w:rPr>
          <w:rFonts w:ascii="Arial" w:hAnsi="Arial" w:cs="Arial"/>
          <w:sz w:val="22"/>
          <w:szCs w:val="22"/>
        </w:rPr>
        <w:t>Estates costs;</w:t>
      </w: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 xml:space="preserve">Continued savings in estates costs through improved use of footprint.    £900 saving per head on estates costs in 2015/16 compared to </w:t>
      </w:r>
      <w:r w:rsidR="00065B3F">
        <w:rPr>
          <w:rFonts w:ascii="Arial" w:hAnsi="Arial" w:cs="Arial"/>
          <w:sz w:val="22"/>
          <w:szCs w:val="22"/>
        </w:rPr>
        <w:t>2014/15);</w:t>
      </w:r>
    </w:p>
    <w:p w:rsidR="007326AA"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in introduction of Managed Print Service and roll out of this service as leases expire on</w:t>
      </w:r>
      <w:r w:rsidR="00065B3F">
        <w:rPr>
          <w:rFonts w:ascii="Arial" w:hAnsi="Arial" w:cs="Arial"/>
          <w:sz w:val="22"/>
          <w:szCs w:val="22"/>
        </w:rPr>
        <w:t xml:space="preserve"> current photocopier agreements;</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through the use of the Member Portal</w:t>
      </w:r>
      <w:r w:rsidR="00065B3F">
        <w:rPr>
          <w:rFonts w:ascii="Arial" w:hAnsi="Arial" w:cs="Arial"/>
          <w:sz w:val="22"/>
          <w:szCs w:val="22"/>
        </w:rPr>
        <w:t>;</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on external learning budgets</w:t>
      </w:r>
      <w:r w:rsidR="00065B3F">
        <w:rPr>
          <w:rFonts w:ascii="Arial" w:hAnsi="Arial" w:cs="Arial"/>
          <w:sz w:val="22"/>
          <w:szCs w:val="22"/>
        </w:rPr>
        <w:t>;</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on largest information sys</w:t>
      </w:r>
      <w:r w:rsidR="00065B3F">
        <w:rPr>
          <w:rFonts w:ascii="Arial" w:hAnsi="Arial" w:cs="Arial"/>
          <w:sz w:val="22"/>
          <w:szCs w:val="22"/>
        </w:rPr>
        <w:t>tems contract;</w:t>
      </w:r>
    </w:p>
    <w:p w:rsidR="00086661" w:rsidRPr="007326AA" w:rsidRDefault="00086661" w:rsidP="00086661">
      <w:pPr>
        <w:pStyle w:val="ListParagraph"/>
        <w:jc w:val="both"/>
        <w:rPr>
          <w:rFonts w:ascii="Arial" w:hAnsi="Arial" w:cs="Arial"/>
          <w:sz w:val="22"/>
          <w:szCs w:val="22"/>
        </w:rPr>
      </w:pPr>
    </w:p>
    <w:p w:rsidR="007326AA" w:rsidRDefault="007326AA" w:rsidP="0028079F">
      <w:pPr>
        <w:jc w:val="both"/>
        <w:rPr>
          <w:rFonts w:ascii="Arial" w:hAnsi="Arial" w:cs="Arial"/>
          <w:b/>
          <w:sz w:val="22"/>
          <w:szCs w:val="22"/>
        </w:rPr>
      </w:pPr>
    </w:p>
    <w:p w:rsidR="0028079F" w:rsidRPr="00B1174F" w:rsidRDefault="007326AA" w:rsidP="0028079F">
      <w:pPr>
        <w:jc w:val="both"/>
        <w:rPr>
          <w:rFonts w:ascii="Arial" w:hAnsi="Arial" w:cs="Arial"/>
          <w:b/>
          <w:sz w:val="22"/>
          <w:szCs w:val="22"/>
        </w:rPr>
      </w:pPr>
      <w:r>
        <w:rPr>
          <w:rFonts w:ascii="Arial" w:hAnsi="Arial" w:cs="Arial"/>
          <w:b/>
          <w:sz w:val="22"/>
          <w:szCs w:val="22"/>
        </w:rPr>
        <w:lastRenderedPageBreak/>
        <w:t xml:space="preserve">12. </w:t>
      </w:r>
      <w:r w:rsidR="0028079F" w:rsidRPr="00B1174F">
        <w:rPr>
          <w:rFonts w:ascii="Arial" w:hAnsi="Arial" w:cs="Arial"/>
          <w:b/>
          <w:sz w:val="22"/>
          <w:szCs w:val="22"/>
        </w:rPr>
        <w:t>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1C4432">
        <w:rPr>
          <w:rFonts w:ascii="Arial" w:hAnsi="Arial" w:cs="Arial"/>
          <w:sz w:val="22"/>
          <w:szCs w:val="22"/>
        </w:rPr>
        <w:t xml:space="preserve">Board </w:t>
      </w:r>
      <w:proofErr w:type="gramStart"/>
      <w:r w:rsidR="001C4432">
        <w:rPr>
          <w:rFonts w:ascii="Arial" w:hAnsi="Arial" w:cs="Arial"/>
          <w:sz w:val="22"/>
          <w:szCs w:val="22"/>
        </w:rPr>
        <w:t>notes</w:t>
      </w:r>
      <w:proofErr w:type="gramEnd"/>
      <w:r w:rsidR="001C4432">
        <w:rPr>
          <w:rFonts w:ascii="Arial" w:hAnsi="Arial" w:cs="Arial"/>
          <w:sz w:val="22"/>
          <w:szCs w:val="22"/>
        </w:rPr>
        <w:t xml:space="preserve"> </w:t>
      </w:r>
      <w:r w:rsidRPr="00B1174F">
        <w:rPr>
          <w:rFonts w:ascii="Arial" w:hAnsi="Arial" w:cs="Arial"/>
          <w:sz w:val="22"/>
          <w:szCs w:val="22"/>
        </w:rPr>
        <w:t>the final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254D93"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The u</w:t>
      </w:r>
      <w:r w:rsidR="00E31CA4" w:rsidRPr="00B1174F">
        <w:rPr>
          <w:rFonts w:ascii="Arial" w:hAnsi="Arial" w:cs="Arial"/>
          <w:sz w:val="22"/>
          <w:szCs w:val="22"/>
        </w:rPr>
        <w:t>nder</w:t>
      </w:r>
      <w:r w:rsidR="0047213E" w:rsidRPr="00B1174F">
        <w:rPr>
          <w:rFonts w:ascii="Arial" w:hAnsi="Arial" w:cs="Arial"/>
          <w:sz w:val="22"/>
          <w:szCs w:val="22"/>
        </w:rPr>
        <w:t xml:space="preserve"> </w:t>
      </w:r>
      <w:r w:rsidR="00E31CA4" w:rsidRPr="00B1174F">
        <w:rPr>
          <w:rFonts w:ascii="Arial" w:hAnsi="Arial" w:cs="Arial"/>
          <w:sz w:val="22"/>
          <w:szCs w:val="22"/>
        </w:rPr>
        <w:t xml:space="preserve">spend </w:t>
      </w:r>
      <w:r w:rsidR="001E1F42" w:rsidRPr="00B1174F">
        <w:rPr>
          <w:rFonts w:ascii="Arial" w:hAnsi="Arial" w:cs="Arial"/>
          <w:sz w:val="22"/>
          <w:szCs w:val="22"/>
        </w:rPr>
        <w:t xml:space="preserve">year </w:t>
      </w:r>
      <w:r w:rsidR="00254D93" w:rsidRPr="00B1174F">
        <w:rPr>
          <w:rFonts w:ascii="Arial" w:hAnsi="Arial" w:cs="Arial"/>
          <w:sz w:val="22"/>
          <w:szCs w:val="22"/>
        </w:rPr>
        <w:t xml:space="preserve">to date and the </w:t>
      </w:r>
      <w:r w:rsidR="001C4432">
        <w:rPr>
          <w:rFonts w:ascii="Arial" w:hAnsi="Arial" w:cs="Arial"/>
          <w:sz w:val="22"/>
          <w:szCs w:val="22"/>
        </w:rPr>
        <w:t xml:space="preserve">ongoing </w:t>
      </w:r>
      <w:r w:rsidR="00254D93" w:rsidRPr="00B1174F">
        <w:rPr>
          <w:rFonts w:ascii="Arial" w:hAnsi="Arial" w:cs="Arial"/>
          <w:sz w:val="22"/>
          <w:szCs w:val="22"/>
        </w:rPr>
        <w:t>work required by finance to present the under spends relating to vacancies year to date</w:t>
      </w:r>
      <w:r w:rsidR="005B3EAA">
        <w:rPr>
          <w:rFonts w:ascii="Arial" w:hAnsi="Arial" w:cs="Arial"/>
          <w:sz w:val="22"/>
          <w:szCs w:val="22"/>
        </w:rPr>
        <w:t>, non recurrent expenditure plans to offset</w:t>
      </w:r>
      <w:r w:rsidR="001C4432">
        <w:rPr>
          <w:rFonts w:ascii="Arial" w:hAnsi="Arial" w:cs="Arial"/>
          <w:sz w:val="22"/>
          <w:szCs w:val="22"/>
        </w:rPr>
        <w:t xml:space="preserve"> and </w:t>
      </w:r>
      <w:r w:rsidR="005B3EAA">
        <w:rPr>
          <w:rFonts w:ascii="Arial" w:hAnsi="Arial" w:cs="Arial"/>
          <w:sz w:val="22"/>
          <w:szCs w:val="22"/>
        </w:rPr>
        <w:t xml:space="preserve">the </w:t>
      </w:r>
      <w:r w:rsidR="001C4432">
        <w:rPr>
          <w:rFonts w:ascii="Arial" w:hAnsi="Arial" w:cs="Arial"/>
          <w:sz w:val="22"/>
          <w:szCs w:val="22"/>
        </w:rPr>
        <w:t>likely forecast for the year</w:t>
      </w:r>
      <w:r w:rsidR="00254D93" w:rsidRPr="00B1174F">
        <w:rPr>
          <w:rFonts w:ascii="Arial" w:hAnsi="Arial" w:cs="Arial"/>
          <w:sz w:val="22"/>
          <w:szCs w:val="22"/>
        </w:rPr>
        <w:t>.</w:t>
      </w:r>
    </w:p>
    <w:p w:rsidR="009E5B29" w:rsidRPr="00B1174F" w:rsidRDefault="009E5B2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movement in the year end forecast to a likely £1.3million to £1.0 million under spend which requires management attention and continued focus.</w:t>
      </w:r>
    </w:p>
    <w:p w:rsidR="00A86F0C" w:rsidRDefault="00A86F0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amended presentation of the profiled planned expenditure as requested by the Board and the closer match between actual monthly spend and this revised profile</w:t>
      </w:r>
    </w:p>
    <w:p w:rsidR="001A2303" w:rsidRPr="00B1174F"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maintained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122DA1" w:rsidRPr="00B1174F">
        <w:rPr>
          <w:rFonts w:ascii="Arial" w:hAnsi="Arial" w:cs="Arial"/>
          <w:sz w:val="22"/>
          <w:szCs w:val="22"/>
        </w:rPr>
        <w:t xml:space="preserve"> and the </w:t>
      </w:r>
      <w:r w:rsidR="00254D93" w:rsidRPr="00B1174F">
        <w:rPr>
          <w:rFonts w:ascii="Arial" w:hAnsi="Arial" w:cs="Arial"/>
          <w:sz w:val="22"/>
          <w:szCs w:val="22"/>
        </w:rPr>
        <w:t xml:space="preserve">continued </w:t>
      </w:r>
      <w:r w:rsidR="00122DA1" w:rsidRPr="00B1174F">
        <w:rPr>
          <w:rFonts w:ascii="Arial" w:hAnsi="Arial" w:cs="Arial"/>
          <w:sz w:val="22"/>
          <w:szCs w:val="22"/>
        </w:rPr>
        <w:t>requirement to review invoices in the workflow on a daily basis</w:t>
      </w:r>
      <w:r w:rsidR="008B77EA" w:rsidRPr="00B1174F">
        <w:rPr>
          <w:rFonts w:ascii="Arial" w:hAnsi="Arial" w:cs="Arial"/>
          <w:sz w:val="22"/>
          <w:szCs w:val="22"/>
        </w:rPr>
        <w:t>, put invoices on hold if under dispute</w:t>
      </w:r>
      <w:r w:rsidR="00122DA1" w:rsidRPr="00B1174F">
        <w:rPr>
          <w:rFonts w:ascii="Arial" w:hAnsi="Arial" w:cs="Arial"/>
          <w:sz w:val="22"/>
          <w:szCs w:val="22"/>
        </w:rPr>
        <w:t xml:space="preserve"> or set up a substitute.</w:t>
      </w:r>
    </w:p>
    <w:p w:rsidR="00592E36" w:rsidRPr="00B1174F"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B1174F">
        <w:rPr>
          <w:rFonts w:ascii="Arial" w:hAnsi="Arial" w:cs="Arial"/>
          <w:sz w:val="22"/>
          <w:szCs w:val="22"/>
        </w:rPr>
        <w:t xml:space="preserve">The </w:t>
      </w:r>
      <w:r w:rsidR="00DB1038">
        <w:rPr>
          <w:rFonts w:ascii="Arial" w:hAnsi="Arial" w:cs="Arial"/>
          <w:sz w:val="22"/>
          <w:szCs w:val="22"/>
        </w:rPr>
        <w:t>cash posi</w:t>
      </w:r>
      <w:r w:rsidR="00053090">
        <w:rPr>
          <w:rFonts w:ascii="Arial" w:hAnsi="Arial" w:cs="Arial"/>
          <w:sz w:val="22"/>
          <w:szCs w:val="22"/>
        </w:rPr>
        <w:t>tion of £2.657</w:t>
      </w:r>
      <w:r w:rsidR="000D6E69">
        <w:rPr>
          <w:rFonts w:ascii="Arial" w:hAnsi="Arial" w:cs="Arial"/>
          <w:sz w:val="22"/>
          <w:szCs w:val="22"/>
        </w:rPr>
        <w:t xml:space="preserve">m </w:t>
      </w:r>
      <w:r w:rsidR="00053090">
        <w:rPr>
          <w:rFonts w:ascii="Arial" w:hAnsi="Arial" w:cs="Arial"/>
          <w:sz w:val="22"/>
          <w:szCs w:val="22"/>
        </w:rPr>
        <w:t>at the end of the period and to consider not drawing down the full cash limit for the year</w:t>
      </w:r>
      <w:r w:rsidR="009E5B29">
        <w:rPr>
          <w:rFonts w:ascii="Arial" w:hAnsi="Arial" w:cs="Arial"/>
          <w:sz w:val="22"/>
          <w:szCs w:val="22"/>
        </w:rPr>
        <w:t xml:space="preserve"> to assist with the overall system wide position, subject to discussions with ALB finance colleagues</w:t>
      </w:r>
      <w:r w:rsidR="00053090">
        <w:rPr>
          <w:rFonts w:ascii="Arial" w:hAnsi="Arial" w:cs="Arial"/>
          <w:sz w:val="22"/>
          <w:szCs w:val="22"/>
        </w:rPr>
        <w:t>.</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161C29">
        <w:rPr>
          <w:rFonts w:ascii="Arial" w:hAnsi="Arial" w:cs="Arial"/>
          <w:sz w:val="22"/>
          <w:szCs w:val="22"/>
        </w:rPr>
        <w:t xml:space="preserve"> and the forecast position for the end of the year.</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r w:rsidR="00E05C45">
        <w:rPr>
          <w:rFonts w:ascii="Arial" w:hAnsi="Arial" w:cs="Arial"/>
          <w:b/>
          <w:sz w:val="22"/>
          <w:szCs w:val="22"/>
        </w:rPr>
        <w:t>, Procurement and Estates</w:t>
      </w:r>
    </w:p>
    <w:p w:rsidR="00A86A0C" w:rsidRPr="00480953" w:rsidRDefault="009E5B29" w:rsidP="00480953">
      <w:pPr>
        <w:spacing w:line="276" w:lineRule="auto"/>
        <w:rPr>
          <w:rFonts w:ascii="Arial" w:hAnsi="Arial" w:cs="Arial"/>
          <w:b/>
          <w:sz w:val="22"/>
          <w:szCs w:val="22"/>
        </w:rPr>
        <w:sectPr w:rsidR="00A86A0C" w:rsidRPr="00480953" w:rsidSect="00467649">
          <w:headerReference w:type="default" r:id="rId17"/>
          <w:pgSz w:w="11906" w:h="16838"/>
          <w:pgMar w:top="992" w:right="1276" w:bottom="568" w:left="1559" w:header="567" w:footer="709" w:gutter="0"/>
          <w:cols w:space="708"/>
          <w:docGrid w:linePitch="360"/>
        </w:sectPr>
      </w:pPr>
      <w:r>
        <w:rPr>
          <w:rFonts w:ascii="Arial" w:hAnsi="Arial" w:cs="Arial"/>
          <w:b/>
          <w:sz w:val="22"/>
          <w:szCs w:val="22"/>
        </w:rPr>
        <w:t>26</w:t>
      </w:r>
      <w:r w:rsidR="0030786C">
        <w:rPr>
          <w:rFonts w:ascii="Arial" w:hAnsi="Arial" w:cs="Arial"/>
          <w:b/>
          <w:sz w:val="22"/>
          <w:szCs w:val="22"/>
        </w:rPr>
        <w:t xml:space="preserve"> January 2016</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30786C">
        <w:rPr>
          <w:rFonts w:ascii="Arial" w:eastAsia="Calibri" w:hAnsi="Arial"/>
          <w:b/>
          <w:bCs/>
          <w:color w:val="56008C"/>
          <w:szCs w:val="26"/>
          <w:lang w:eastAsia="en-US"/>
        </w:rPr>
        <w:t>31 December</w:t>
      </w:r>
      <w:r w:rsidR="003342CA">
        <w:rPr>
          <w:rFonts w:ascii="Arial" w:eastAsia="Calibri" w:hAnsi="Arial"/>
          <w:b/>
          <w:bCs/>
          <w:color w:val="56008C"/>
          <w:szCs w:val="26"/>
          <w:lang w:eastAsia="en-US"/>
        </w:rPr>
        <w:t xml:space="preserve"> </w:t>
      </w:r>
      <w:r w:rsidR="001E1F42">
        <w:rPr>
          <w:rFonts w:ascii="Arial" w:eastAsia="Calibri" w:hAnsi="Arial"/>
          <w:b/>
          <w:bCs/>
          <w:color w:val="56008C"/>
          <w:szCs w:val="26"/>
          <w:lang w:eastAsia="en-US"/>
        </w:rPr>
        <w:t>2015</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254D93" w:rsidRDefault="00C11CD4" w:rsidP="004C7812">
            <w:pPr>
              <w:numPr>
                <w:ilvl w:val="0"/>
                <w:numId w:val="2"/>
              </w:numPr>
              <w:contextualSpacing/>
              <w:rPr>
                <w:rFonts w:ascii="Arial" w:hAnsi="Arial" w:cs="Arial"/>
                <w:sz w:val="22"/>
                <w:szCs w:val="22"/>
              </w:rPr>
            </w:pPr>
            <w:r w:rsidRPr="00254D93">
              <w:rPr>
                <w:rFonts w:ascii="Arial" w:hAnsi="Arial" w:cs="Arial"/>
                <w:sz w:val="22"/>
                <w:szCs w:val="22"/>
              </w:rPr>
              <w:t xml:space="preserve">HRA is reporting an </w:t>
            </w:r>
            <w:r w:rsidR="00252EDF" w:rsidRPr="00254D93">
              <w:rPr>
                <w:rFonts w:ascii="Arial" w:hAnsi="Arial" w:cs="Arial"/>
                <w:sz w:val="22"/>
                <w:szCs w:val="22"/>
              </w:rPr>
              <w:t xml:space="preserve">expenditure budget </w:t>
            </w:r>
            <w:r w:rsidR="00C04A23">
              <w:rPr>
                <w:rFonts w:ascii="Arial" w:hAnsi="Arial" w:cs="Arial"/>
                <w:sz w:val="22"/>
                <w:szCs w:val="22"/>
              </w:rPr>
              <w:t>under spend</w:t>
            </w:r>
            <w:r w:rsidRPr="00254D93">
              <w:rPr>
                <w:rFonts w:ascii="Arial" w:hAnsi="Arial" w:cs="Arial"/>
                <w:sz w:val="22"/>
                <w:szCs w:val="22"/>
              </w:rPr>
              <w:t xml:space="preserve"> </w:t>
            </w:r>
            <w:r w:rsidR="00B734B9" w:rsidRPr="00254D93">
              <w:rPr>
                <w:rFonts w:ascii="Arial" w:hAnsi="Arial" w:cs="Arial"/>
                <w:sz w:val="22"/>
                <w:szCs w:val="22"/>
              </w:rPr>
              <w:t>of £</w:t>
            </w:r>
            <w:r w:rsidR="0030786C">
              <w:rPr>
                <w:rFonts w:ascii="Arial" w:hAnsi="Arial" w:cs="Arial"/>
                <w:sz w:val="22"/>
                <w:szCs w:val="22"/>
              </w:rPr>
              <w:t>441</w:t>
            </w:r>
            <w:r w:rsidR="00254D93" w:rsidRPr="00254D93">
              <w:rPr>
                <w:rFonts w:ascii="Arial" w:hAnsi="Arial" w:cs="Arial"/>
                <w:sz w:val="22"/>
                <w:szCs w:val="22"/>
              </w:rPr>
              <w:t>k</w:t>
            </w:r>
            <w:r w:rsidR="00252EDF" w:rsidRPr="00254D93">
              <w:rPr>
                <w:rFonts w:ascii="Arial" w:hAnsi="Arial" w:cs="Arial"/>
                <w:sz w:val="22"/>
                <w:szCs w:val="22"/>
              </w:rPr>
              <w:t xml:space="preserve"> </w:t>
            </w:r>
            <w:r w:rsidR="00987F84" w:rsidRPr="00254D93">
              <w:rPr>
                <w:rFonts w:ascii="Arial" w:hAnsi="Arial" w:cs="Arial"/>
                <w:sz w:val="22"/>
                <w:szCs w:val="22"/>
              </w:rPr>
              <w:t xml:space="preserve">at the end of </w:t>
            </w:r>
            <w:r w:rsidR="0030786C">
              <w:rPr>
                <w:rFonts w:ascii="Arial" w:hAnsi="Arial" w:cs="Arial"/>
                <w:sz w:val="22"/>
                <w:szCs w:val="22"/>
              </w:rPr>
              <w:t>December</w:t>
            </w:r>
            <w:r w:rsidR="00252EDF" w:rsidRPr="00254D93">
              <w:rPr>
                <w:rFonts w:ascii="Arial" w:hAnsi="Arial" w:cs="Arial"/>
                <w:sz w:val="22"/>
                <w:szCs w:val="22"/>
              </w:rPr>
              <w:t xml:space="preserve"> </w:t>
            </w:r>
            <w:r w:rsidR="0030786C">
              <w:rPr>
                <w:rFonts w:ascii="Arial" w:hAnsi="Arial" w:cs="Arial"/>
                <w:sz w:val="22"/>
                <w:szCs w:val="22"/>
              </w:rPr>
              <w:t>(£345</w:t>
            </w:r>
            <w:r w:rsidR="003342CA">
              <w:rPr>
                <w:rFonts w:ascii="Arial" w:hAnsi="Arial" w:cs="Arial"/>
                <w:sz w:val="22"/>
                <w:szCs w:val="22"/>
              </w:rPr>
              <w:t>k e</w:t>
            </w:r>
            <w:r w:rsidR="0030786C">
              <w:rPr>
                <w:rFonts w:ascii="Arial" w:hAnsi="Arial" w:cs="Arial"/>
                <w:sz w:val="22"/>
                <w:szCs w:val="22"/>
              </w:rPr>
              <w:t>nd of November</w:t>
            </w:r>
            <w:r w:rsidR="0074522C">
              <w:rPr>
                <w:rFonts w:ascii="Arial" w:hAnsi="Arial" w:cs="Arial"/>
                <w:sz w:val="22"/>
                <w:szCs w:val="22"/>
              </w:rPr>
              <w:t>)</w:t>
            </w:r>
          </w:p>
          <w:p w:rsidR="00254D93" w:rsidRDefault="00254D93" w:rsidP="00254D93">
            <w:pPr>
              <w:ind w:left="720"/>
              <w:contextualSpacing/>
              <w:rPr>
                <w:rFonts w:ascii="Arial" w:hAnsi="Arial" w:cs="Arial"/>
                <w:sz w:val="22"/>
                <w:szCs w:val="22"/>
              </w:rPr>
            </w:pPr>
          </w:p>
          <w:p w:rsidR="00C11CD4" w:rsidRPr="00A30E2F" w:rsidRDefault="00634D6C" w:rsidP="004C7812">
            <w:pPr>
              <w:numPr>
                <w:ilvl w:val="0"/>
                <w:numId w:val="2"/>
              </w:numPr>
              <w:contextualSpacing/>
              <w:rPr>
                <w:rFonts w:ascii="Arial" w:hAnsi="Arial" w:cs="Arial"/>
                <w:sz w:val="22"/>
                <w:szCs w:val="22"/>
              </w:rPr>
            </w:pPr>
            <w:r>
              <w:rPr>
                <w:rFonts w:ascii="Arial" w:hAnsi="Arial" w:cs="Arial"/>
                <w:sz w:val="22"/>
                <w:szCs w:val="22"/>
              </w:rPr>
              <w:t>6</w:t>
            </w:r>
            <w:r w:rsidR="00072739">
              <w:rPr>
                <w:rFonts w:ascii="Arial" w:hAnsi="Arial" w:cs="Arial"/>
                <w:sz w:val="22"/>
                <w:szCs w:val="22"/>
              </w:rPr>
              <w:t>6</w:t>
            </w:r>
            <w:r w:rsidR="00C11CD4" w:rsidRPr="00A30E2F">
              <w:rPr>
                <w:rFonts w:ascii="Arial" w:hAnsi="Arial" w:cs="Arial"/>
                <w:sz w:val="22"/>
                <w:szCs w:val="22"/>
              </w:rPr>
              <w:t>% (£</w:t>
            </w:r>
            <w:r>
              <w:rPr>
                <w:rFonts w:ascii="Arial" w:hAnsi="Arial" w:cs="Arial"/>
                <w:sz w:val="22"/>
                <w:szCs w:val="22"/>
              </w:rPr>
              <w:t>9.14</w:t>
            </w:r>
            <w:r w:rsidR="006120D4" w:rsidRPr="00A30E2F">
              <w:rPr>
                <w:rFonts w:ascii="Arial" w:hAnsi="Arial" w:cs="Arial"/>
                <w:sz w:val="22"/>
                <w:szCs w:val="22"/>
              </w:rPr>
              <w:t>m</w:t>
            </w:r>
            <w:r w:rsidR="00C11CD4" w:rsidRPr="00A30E2F">
              <w:rPr>
                <w:rFonts w:ascii="Arial" w:hAnsi="Arial" w:cs="Arial"/>
                <w:sz w:val="22"/>
                <w:szCs w:val="22"/>
              </w:rPr>
              <w:t>illion) of the annual budget has been spent</w:t>
            </w:r>
            <w:r>
              <w:rPr>
                <w:rFonts w:ascii="Arial" w:hAnsi="Arial" w:cs="Arial"/>
                <w:sz w:val="22"/>
                <w:szCs w:val="22"/>
              </w:rPr>
              <w:t xml:space="preserve"> after 75</w:t>
            </w:r>
            <w:r w:rsidR="001C4432" w:rsidRPr="00A30E2F">
              <w:rPr>
                <w:rFonts w:ascii="Arial" w:hAnsi="Arial" w:cs="Arial"/>
                <w:sz w:val="22"/>
                <w:szCs w:val="22"/>
              </w:rPr>
              <w:t>% of the year has passed</w:t>
            </w:r>
            <w:r w:rsidR="00C11CD4" w:rsidRPr="00A30E2F">
              <w:rPr>
                <w:rFonts w:ascii="Arial" w:hAnsi="Arial" w:cs="Arial"/>
                <w:sz w:val="22"/>
                <w:szCs w:val="22"/>
              </w:rPr>
              <w:t>.</w:t>
            </w:r>
            <w:r w:rsidR="00C15155" w:rsidRPr="00A30E2F">
              <w:rPr>
                <w:rFonts w:ascii="Arial" w:hAnsi="Arial" w:cs="Arial"/>
                <w:sz w:val="22"/>
                <w:szCs w:val="22"/>
              </w:rPr>
              <w:t xml:space="preserve"> </w:t>
            </w:r>
          </w:p>
          <w:p w:rsidR="00561B03" w:rsidRPr="00A6201C" w:rsidRDefault="00561B03" w:rsidP="00561B03">
            <w:pPr>
              <w:pStyle w:val="ListParagraph"/>
              <w:rPr>
                <w:rFonts w:ascii="Arial" w:hAnsi="Arial" w:cs="Arial"/>
                <w:sz w:val="22"/>
                <w:szCs w:val="22"/>
                <w:highlight w:val="yellow"/>
              </w:rPr>
            </w:pPr>
          </w:p>
          <w:p w:rsidR="00561B03" w:rsidRPr="00A30E2F" w:rsidRDefault="00DF4C69" w:rsidP="004C7812">
            <w:pPr>
              <w:numPr>
                <w:ilvl w:val="0"/>
                <w:numId w:val="2"/>
              </w:numPr>
              <w:contextualSpacing/>
              <w:rPr>
                <w:rFonts w:ascii="Arial" w:hAnsi="Arial" w:cs="Arial"/>
                <w:sz w:val="22"/>
                <w:szCs w:val="22"/>
              </w:rPr>
            </w:pPr>
            <w:proofErr w:type="gramStart"/>
            <w:r>
              <w:rPr>
                <w:rFonts w:ascii="Arial" w:hAnsi="Arial" w:cs="Arial"/>
                <w:sz w:val="22"/>
                <w:szCs w:val="22"/>
              </w:rPr>
              <w:t>A shift within the profile of underspend</w:t>
            </w:r>
            <w:proofErr w:type="gramEnd"/>
            <w:r>
              <w:rPr>
                <w:rFonts w:ascii="Arial" w:hAnsi="Arial" w:cs="Arial"/>
                <w:sz w:val="22"/>
                <w:szCs w:val="22"/>
              </w:rPr>
              <w:t xml:space="preserve"> which has resulted in a changed forecast position.</w:t>
            </w:r>
          </w:p>
          <w:p w:rsidR="00254D93" w:rsidRPr="00A30E2F" w:rsidRDefault="00254D93" w:rsidP="00254D93">
            <w:pPr>
              <w:contextualSpacing/>
              <w:rPr>
                <w:rFonts w:ascii="Arial" w:hAnsi="Arial" w:cs="Arial"/>
                <w:sz w:val="22"/>
                <w:szCs w:val="22"/>
              </w:rPr>
            </w:pPr>
          </w:p>
          <w:p w:rsidR="00274232" w:rsidRPr="00A30E2F" w:rsidRDefault="00C11CD4" w:rsidP="00274232">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largest variance at month </w:t>
            </w:r>
            <w:r w:rsidR="00634D6C">
              <w:rPr>
                <w:rFonts w:ascii="Arial" w:hAnsi="Arial" w:cs="Arial"/>
                <w:sz w:val="22"/>
                <w:szCs w:val="22"/>
              </w:rPr>
              <w:t>9</w:t>
            </w:r>
            <w:r w:rsidR="00757DC4" w:rsidRPr="00A30E2F">
              <w:rPr>
                <w:rFonts w:ascii="Arial" w:hAnsi="Arial" w:cs="Arial"/>
                <w:sz w:val="22"/>
                <w:szCs w:val="22"/>
              </w:rPr>
              <w:t xml:space="preserve"> </w:t>
            </w:r>
            <w:r w:rsidRPr="00A30E2F">
              <w:rPr>
                <w:rFonts w:ascii="Arial" w:hAnsi="Arial" w:cs="Arial"/>
                <w:sz w:val="22"/>
                <w:szCs w:val="22"/>
              </w:rPr>
              <w:t>(</w:t>
            </w:r>
            <w:r w:rsidR="00634D6C">
              <w:rPr>
                <w:rFonts w:ascii="Arial" w:hAnsi="Arial" w:cs="Arial"/>
                <w:sz w:val="22"/>
                <w:szCs w:val="22"/>
              </w:rPr>
              <w:t>December</w:t>
            </w:r>
            <w:r w:rsidR="00697117" w:rsidRPr="00A30E2F">
              <w:rPr>
                <w:rFonts w:ascii="Arial" w:hAnsi="Arial" w:cs="Arial"/>
                <w:sz w:val="22"/>
                <w:szCs w:val="22"/>
              </w:rPr>
              <w:t xml:space="preserve">) is the </w:t>
            </w:r>
            <w:r w:rsidR="00D0058C" w:rsidRPr="00A30E2F">
              <w:rPr>
                <w:rFonts w:ascii="Arial" w:hAnsi="Arial" w:cs="Arial"/>
                <w:sz w:val="22"/>
                <w:szCs w:val="22"/>
              </w:rPr>
              <w:t>under</w:t>
            </w:r>
            <w:r w:rsidR="00252EDF" w:rsidRPr="00A30E2F">
              <w:rPr>
                <w:rFonts w:ascii="Arial" w:hAnsi="Arial" w:cs="Arial"/>
                <w:sz w:val="22"/>
                <w:szCs w:val="22"/>
              </w:rPr>
              <w:t xml:space="preserve"> </w:t>
            </w:r>
            <w:r w:rsidR="00D0058C" w:rsidRPr="00A30E2F">
              <w:rPr>
                <w:rFonts w:ascii="Arial" w:hAnsi="Arial" w:cs="Arial"/>
                <w:sz w:val="22"/>
                <w:szCs w:val="22"/>
              </w:rPr>
              <w:t>spend</w:t>
            </w:r>
            <w:r w:rsidR="009440A7" w:rsidRPr="00A30E2F">
              <w:rPr>
                <w:rFonts w:ascii="Arial" w:hAnsi="Arial" w:cs="Arial"/>
                <w:sz w:val="22"/>
                <w:szCs w:val="22"/>
              </w:rPr>
              <w:t xml:space="preserve"> within the Operations</w:t>
            </w:r>
            <w:r w:rsidR="002220C8" w:rsidRPr="00A30E2F">
              <w:rPr>
                <w:rFonts w:ascii="Arial" w:hAnsi="Arial" w:cs="Arial"/>
                <w:sz w:val="22"/>
                <w:szCs w:val="22"/>
              </w:rPr>
              <w:t xml:space="preserve"> and Approval directorate</w:t>
            </w:r>
            <w:r w:rsidR="00A87591" w:rsidRPr="00A30E2F">
              <w:rPr>
                <w:rFonts w:ascii="Arial" w:hAnsi="Arial" w:cs="Arial"/>
                <w:sz w:val="22"/>
                <w:szCs w:val="22"/>
              </w:rPr>
              <w:t xml:space="preserve"> cost centres. </w:t>
            </w:r>
          </w:p>
          <w:p w:rsidR="00254D93" w:rsidRPr="00A30E2F" w:rsidRDefault="00254D93" w:rsidP="00254D93">
            <w:pPr>
              <w:tabs>
                <w:tab w:val="left" w:pos="2172"/>
              </w:tabs>
              <w:contextualSpacing/>
              <w:rPr>
                <w:rFonts w:ascii="Arial" w:hAnsi="Arial" w:cs="Arial"/>
                <w:sz w:val="22"/>
                <w:szCs w:val="22"/>
              </w:rPr>
            </w:pPr>
          </w:p>
          <w:p w:rsidR="00254D93" w:rsidRPr="00A30E2F" w:rsidRDefault="0039154E"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w:t>
            </w:r>
            <w:r w:rsidR="0047213E" w:rsidRPr="00A30E2F">
              <w:rPr>
                <w:rFonts w:ascii="Arial" w:hAnsi="Arial" w:cs="Arial"/>
                <w:sz w:val="22"/>
                <w:szCs w:val="22"/>
              </w:rPr>
              <w:t>u</w:t>
            </w:r>
            <w:r w:rsidRPr="00A30E2F">
              <w:rPr>
                <w:rFonts w:ascii="Arial" w:hAnsi="Arial" w:cs="Arial"/>
                <w:sz w:val="22"/>
                <w:szCs w:val="22"/>
              </w:rPr>
              <w:t>nder</w:t>
            </w:r>
            <w:r w:rsidR="0047213E" w:rsidRPr="00A30E2F">
              <w:rPr>
                <w:rFonts w:ascii="Arial" w:hAnsi="Arial" w:cs="Arial"/>
                <w:sz w:val="22"/>
                <w:szCs w:val="22"/>
              </w:rPr>
              <w:t xml:space="preserve"> </w:t>
            </w:r>
            <w:r w:rsidRPr="00A30E2F">
              <w:rPr>
                <w:rFonts w:ascii="Arial" w:hAnsi="Arial" w:cs="Arial"/>
                <w:sz w:val="22"/>
                <w:szCs w:val="22"/>
              </w:rPr>
              <w:t xml:space="preserve">spend </w:t>
            </w:r>
            <w:r w:rsidR="00254D93" w:rsidRPr="00A30E2F">
              <w:rPr>
                <w:rFonts w:ascii="Arial" w:hAnsi="Arial" w:cs="Arial"/>
                <w:sz w:val="22"/>
                <w:szCs w:val="22"/>
              </w:rPr>
              <w:t xml:space="preserve">within Operations largely relates to pay costs.  </w:t>
            </w:r>
            <w:r w:rsidR="007C4EA5">
              <w:rPr>
                <w:rFonts w:ascii="Arial" w:hAnsi="Arial" w:cs="Arial"/>
                <w:sz w:val="22"/>
                <w:szCs w:val="22"/>
              </w:rPr>
              <w:t>T</w:t>
            </w:r>
            <w:r w:rsidR="00254D93" w:rsidRPr="00A30E2F">
              <w:rPr>
                <w:rFonts w:ascii="Arial" w:hAnsi="Arial" w:cs="Arial"/>
                <w:sz w:val="22"/>
                <w:szCs w:val="22"/>
              </w:rPr>
              <w:t xml:space="preserve">he efficiencies made as a result of reducing the number of RECs </w:t>
            </w:r>
            <w:r w:rsidR="007C4EA5">
              <w:rPr>
                <w:rFonts w:ascii="Arial" w:hAnsi="Arial" w:cs="Arial"/>
                <w:sz w:val="22"/>
                <w:szCs w:val="22"/>
              </w:rPr>
              <w:t xml:space="preserve">has been identified and </w:t>
            </w:r>
            <w:r w:rsidR="00254D93" w:rsidRPr="00A30E2F">
              <w:rPr>
                <w:rFonts w:ascii="Arial" w:hAnsi="Arial" w:cs="Arial"/>
                <w:sz w:val="22"/>
                <w:szCs w:val="22"/>
              </w:rPr>
              <w:t xml:space="preserve">a budget adjustment </w:t>
            </w:r>
            <w:r w:rsidR="007C4EA5">
              <w:rPr>
                <w:rFonts w:ascii="Arial" w:hAnsi="Arial" w:cs="Arial"/>
                <w:sz w:val="22"/>
                <w:szCs w:val="22"/>
              </w:rPr>
              <w:t>undertaken in September</w:t>
            </w:r>
            <w:r w:rsidR="00254D93" w:rsidRPr="00A30E2F">
              <w:rPr>
                <w:rFonts w:ascii="Arial" w:hAnsi="Arial" w:cs="Arial"/>
                <w:sz w:val="22"/>
                <w:szCs w:val="22"/>
              </w:rPr>
              <w:t>.</w:t>
            </w:r>
          </w:p>
          <w:p w:rsidR="00254D93" w:rsidRPr="00A30E2F" w:rsidRDefault="00254D93" w:rsidP="00254D93">
            <w:pPr>
              <w:pStyle w:val="ListParagraph"/>
              <w:rPr>
                <w:rFonts w:ascii="Arial" w:hAnsi="Arial" w:cs="Arial"/>
                <w:sz w:val="22"/>
                <w:szCs w:val="22"/>
              </w:rPr>
            </w:pPr>
          </w:p>
          <w:p w:rsidR="00254D93" w:rsidRPr="00A30E2F" w:rsidRDefault="00254D93"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W</w:t>
            </w:r>
            <w:r w:rsidR="00951DD0">
              <w:rPr>
                <w:rFonts w:ascii="Arial" w:hAnsi="Arial" w:cs="Arial"/>
                <w:sz w:val="22"/>
                <w:szCs w:val="22"/>
              </w:rPr>
              <w:t>ork has begun</w:t>
            </w:r>
            <w:r w:rsidR="00725C43" w:rsidRPr="00A30E2F">
              <w:rPr>
                <w:rFonts w:ascii="Arial" w:hAnsi="Arial" w:cs="Arial"/>
                <w:sz w:val="22"/>
                <w:szCs w:val="22"/>
              </w:rPr>
              <w:t xml:space="preserve"> during </w:t>
            </w:r>
            <w:r w:rsidR="00A30E2F" w:rsidRPr="00A30E2F">
              <w:rPr>
                <w:rFonts w:ascii="Arial" w:hAnsi="Arial" w:cs="Arial"/>
                <w:sz w:val="22"/>
                <w:szCs w:val="22"/>
              </w:rPr>
              <w:t>September</w:t>
            </w:r>
            <w:r w:rsidR="00634D6C">
              <w:rPr>
                <w:rFonts w:ascii="Arial" w:hAnsi="Arial" w:cs="Arial"/>
                <w:sz w:val="22"/>
                <w:szCs w:val="22"/>
              </w:rPr>
              <w:t xml:space="preserve"> and continues </w:t>
            </w:r>
            <w:r w:rsidRPr="00A30E2F">
              <w:rPr>
                <w:rFonts w:ascii="Arial" w:hAnsi="Arial" w:cs="Arial"/>
                <w:sz w:val="22"/>
                <w:szCs w:val="22"/>
              </w:rPr>
              <w:t xml:space="preserve">to </w:t>
            </w:r>
            <w:r w:rsidR="00634D6C">
              <w:rPr>
                <w:rFonts w:ascii="Arial" w:hAnsi="Arial" w:cs="Arial"/>
                <w:sz w:val="22"/>
                <w:szCs w:val="22"/>
              </w:rPr>
              <w:t xml:space="preserve">introduce </w:t>
            </w:r>
            <w:r w:rsidR="00951DD0">
              <w:rPr>
                <w:rFonts w:ascii="Arial" w:hAnsi="Arial" w:cs="Arial"/>
                <w:sz w:val="22"/>
                <w:szCs w:val="22"/>
              </w:rPr>
              <w:t>a process to correctly capture</w:t>
            </w:r>
            <w:r w:rsidRPr="00A30E2F">
              <w:rPr>
                <w:rFonts w:ascii="Arial" w:hAnsi="Arial" w:cs="Arial"/>
                <w:sz w:val="22"/>
                <w:szCs w:val="22"/>
              </w:rPr>
              <w:t xml:space="preserve"> the training related travel costs and</w:t>
            </w:r>
            <w:r w:rsidR="007C4EA5">
              <w:rPr>
                <w:rFonts w:ascii="Arial" w:hAnsi="Arial" w:cs="Arial"/>
                <w:sz w:val="22"/>
                <w:szCs w:val="22"/>
              </w:rPr>
              <w:t xml:space="preserve"> will provide opportunity for subsequent analysis</w:t>
            </w:r>
            <w:r w:rsidRPr="00A30E2F">
              <w:rPr>
                <w:rFonts w:ascii="Arial" w:hAnsi="Arial" w:cs="Arial"/>
                <w:sz w:val="22"/>
                <w:szCs w:val="22"/>
              </w:rPr>
              <w:t xml:space="preserve"> to transfer them to the training cost centres which are currently underspent along with a revised process for administering these travel costs.</w:t>
            </w:r>
          </w:p>
          <w:p w:rsidR="00254D93" w:rsidRDefault="00254D93" w:rsidP="00254D93">
            <w:pPr>
              <w:tabs>
                <w:tab w:val="left" w:pos="2172"/>
              </w:tabs>
              <w:ind w:left="720"/>
              <w:contextualSpacing/>
              <w:rPr>
                <w:rFonts w:ascii="Arial" w:hAnsi="Arial" w:cs="Arial"/>
                <w:sz w:val="22"/>
                <w:szCs w:val="22"/>
              </w:rPr>
            </w:pPr>
          </w:p>
          <w:p w:rsidR="00344274" w:rsidRPr="00286A07" w:rsidRDefault="00DD6897" w:rsidP="00344274">
            <w:pPr>
              <w:numPr>
                <w:ilvl w:val="0"/>
                <w:numId w:val="2"/>
              </w:numPr>
              <w:tabs>
                <w:tab w:val="left" w:pos="2172"/>
              </w:tabs>
              <w:contextualSpacing/>
              <w:rPr>
                <w:rFonts w:ascii="Arial" w:hAnsi="Arial" w:cs="Arial"/>
                <w:sz w:val="22"/>
                <w:szCs w:val="22"/>
              </w:rPr>
            </w:pPr>
            <w:r w:rsidRPr="00286A07">
              <w:rPr>
                <w:rFonts w:ascii="Arial" w:hAnsi="Arial" w:cs="Arial"/>
                <w:sz w:val="22"/>
                <w:szCs w:val="22"/>
              </w:rPr>
              <w:t>The Better Payment Practice Code (B</w:t>
            </w:r>
            <w:r w:rsidR="003C2211" w:rsidRPr="00286A07">
              <w:rPr>
                <w:rFonts w:ascii="Arial" w:hAnsi="Arial" w:cs="Arial"/>
                <w:sz w:val="22"/>
                <w:szCs w:val="22"/>
              </w:rPr>
              <w:t>P</w:t>
            </w:r>
            <w:r w:rsidR="008A31A7" w:rsidRPr="00286A07">
              <w:rPr>
                <w:rFonts w:ascii="Arial" w:hAnsi="Arial" w:cs="Arial"/>
                <w:sz w:val="22"/>
                <w:szCs w:val="22"/>
              </w:rPr>
              <w:t>P</w:t>
            </w:r>
            <w:r w:rsidR="00FD0AE5" w:rsidRPr="00286A07">
              <w:rPr>
                <w:rFonts w:ascii="Arial" w:hAnsi="Arial" w:cs="Arial"/>
                <w:sz w:val="22"/>
                <w:szCs w:val="22"/>
              </w:rPr>
              <w:t>C) c</w:t>
            </w:r>
            <w:r w:rsidR="00703BA7" w:rsidRPr="00286A07">
              <w:rPr>
                <w:rFonts w:ascii="Arial" w:hAnsi="Arial" w:cs="Arial"/>
                <w:sz w:val="22"/>
                <w:szCs w:val="22"/>
              </w:rPr>
              <w:t xml:space="preserve">ompliance for April to </w:t>
            </w:r>
            <w:r w:rsidR="00DB1038">
              <w:rPr>
                <w:rFonts w:ascii="Arial" w:hAnsi="Arial" w:cs="Arial"/>
                <w:sz w:val="22"/>
                <w:szCs w:val="22"/>
              </w:rPr>
              <w:t>October</w:t>
            </w:r>
            <w:r w:rsidR="00DF0843" w:rsidRPr="00286A07">
              <w:rPr>
                <w:rFonts w:ascii="Arial" w:hAnsi="Arial" w:cs="Arial"/>
                <w:sz w:val="22"/>
                <w:szCs w:val="22"/>
              </w:rPr>
              <w:t xml:space="preserve"> </w:t>
            </w:r>
            <w:r w:rsidR="00F053C9" w:rsidRPr="00286A07">
              <w:rPr>
                <w:rFonts w:ascii="Arial" w:hAnsi="Arial" w:cs="Arial"/>
                <w:sz w:val="22"/>
                <w:szCs w:val="22"/>
              </w:rPr>
              <w:t>was 98</w:t>
            </w:r>
            <w:r w:rsidRPr="00286A07">
              <w:rPr>
                <w:rFonts w:ascii="Arial" w:hAnsi="Arial" w:cs="Arial"/>
                <w:sz w:val="22"/>
                <w:szCs w:val="22"/>
              </w:rPr>
              <w:t>% for the number</w:t>
            </w:r>
            <w:r w:rsidR="00DF0843" w:rsidRPr="00286A07">
              <w:rPr>
                <w:rFonts w:ascii="Arial" w:hAnsi="Arial" w:cs="Arial"/>
                <w:sz w:val="22"/>
                <w:szCs w:val="22"/>
              </w:rPr>
              <w:t xml:space="preserve"> of invoices p</w:t>
            </w:r>
            <w:r w:rsidR="00784B55" w:rsidRPr="00286A07">
              <w:rPr>
                <w:rFonts w:ascii="Arial" w:hAnsi="Arial" w:cs="Arial"/>
                <w:sz w:val="22"/>
                <w:szCs w:val="22"/>
              </w:rPr>
              <w:t>aid,</w:t>
            </w:r>
            <w:r w:rsidR="00210D21" w:rsidRPr="00286A07">
              <w:rPr>
                <w:rFonts w:ascii="Arial" w:hAnsi="Arial" w:cs="Arial"/>
                <w:sz w:val="22"/>
                <w:szCs w:val="22"/>
              </w:rPr>
              <w:t xml:space="preserve"> </w:t>
            </w:r>
            <w:r w:rsidR="00F053C9" w:rsidRPr="00286A07">
              <w:rPr>
                <w:rFonts w:ascii="Arial" w:hAnsi="Arial" w:cs="Arial"/>
                <w:sz w:val="22"/>
                <w:szCs w:val="22"/>
              </w:rPr>
              <w:t xml:space="preserve">which is in line with the </w:t>
            </w:r>
            <w:r w:rsidR="004E0021" w:rsidRPr="00286A07">
              <w:rPr>
                <w:rFonts w:ascii="Arial" w:hAnsi="Arial" w:cs="Arial"/>
                <w:sz w:val="22"/>
                <w:szCs w:val="22"/>
              </w:rPr>
              <w:t xml:space="preserve">overall performance for 2014/15, </w:t>
            </w:r>
            <w:r w:rsidR="0086694E" w:rsidRPr="00286A07">
              <w:rPr>
                <w:rFonts w:ascii="Arial" w:hAnsi="Arial" w:cs="Arial"/>
                <w:sz w:val="22"/>
                <w:szCs w:val="22"/>
              </w:rPr>
              <w:t>and is</w:t>
            </w:r>
            <w:r w:rsidR="00E350FE">
              <w:rPr>
                <w:rFonts w:ascii="Arial" w:hAnsi="Arial" w:cs="Arial"/>
                <w:sz w:val="22"/>
                <w:szCs w:val="22"/>
              </w:rPr>
              <w:t xml:space="preserve"> reporting 96</w:t>
            </w:r>
            <w:r w:rsidR="00F053C9" w:rsidRPr="00286A07">
              <w:rPr>
                <w:rFonts w:ascii="Arial" w:hAnsi="Arial" w:cs="Arial"/>
                <w:sz w:val="22"/>
                <w:szCs w:val="22"/>
              </w:rPr>
              <w:t>%</w:t>
            </w:r>
            <w:r w:rsidR="004E0021" w:rsidRPr="00286A07">
              <w:rPr>
                <w:rFonts w:ascii="Arial" w:hAnsi="Arial" w:cs="Arial"/>
                <w:sz w:val="22"/>
                <w:szCs w:val="22"/>
              </w:rPr>
              <w:t xml:space="preserve"> for value of invoices paid</w:t>
            </w:r>
            <w:r w:rsidR="00F053C9" w:rsidRPr="00286A07">
              <w:rPr>
                <w:rFonts w:ascii="Arial" w:hAnsi="Arial" w:cs="Arial"/>
                <w:sz w:val="22"/>
                <w:szCs w:val="22"/>
              </w:rPr>
              <w:t>, which is a slight improvement against the</w:t>
            </w:r>
            <w:r w:rsidR="004E0021" w:rsidRPr="00286A07">
              <w:rPr>
                <w:rFonts w:ascii="Arial" w:hAnsi="Arial" w:cs="Arial"/>
                <w:sz w:val="22"/>
                <w:szCs w:val="22"/>
              </w:rPr>
              <w:t xml:space="preserve"> previous year 2014/15.</w:t>
            </w:r>
            <w:r w:rsidR="003C2211" w:rsidRPr="00286A07">
              <w:rPr>
                <w:rFonts w:ascii="Arial" w:hAnsi="Arial" w:cs="Arial"/>
                <w:sz w:val="22"/>
                <w:szCs w:val="22"/>
              </w:rPr>
              <w:t xml:space="preserve">  </w:t>
            </w:r>
            <w:r w:rsidR="004E0021" w:rsidRPr="00286A07">
              <w:rPr>
                <w:rFonts w:ascii="Arial" w:hAnsi="Arial" w:cs="Arial"/>
                <w:sz w:val="22"/>
                <w:szCs w:val="22"/>
              </w:rPr>
              <w:t>Having achieved the 50% target of paying invoices within 10 days during 2014/1</w:t>
            </w:r>
            <w:r w:rsidR="001C4432" w:rsidRPr="00286A07">
              <w:rPr>
                <w:rFonts w:ascii="Arial" w:hAnsi="Arial" w:cs="Arial"/>
                <w:sz w:val="22"/>
                <w:szCs w:val="22"/>
              </w:rPr>
              <w:t>5</w:t>
            </w:r>
            <w:r w:rsidR="004E0021" w:rsidRPr="00286A07">
              <w:rPr>
                <w:rFonts w:ascii="Arial" w:hAnsi="Arial" w:cs="Arial"/>
                <w:sz w:val="22"/>
                <w:szCs w:val="22"/>
              </w:rPr>
              <w:t>, the HRA is aiming to pay 6</w:t>
            </w:r>
            <w:r w:rsidRPr="00286A07">
              <w:rPr>
                <w:rFonts w:ascii="Arial" w:hAnsi="Arial" w:cs="Arial"/>
                <w:sz w:val="22"/>
                <w:szCs w:val="22"/>
              </w:rPr>
              <w:t>0% of</w:t>
            </w:r>
            <w:r w:rsidR="004E0021" w:rsidRPr="00286A07">
              <w:rPr>
                <w:rFonts w:ascii="Arial" w:hAnsi="Arial" w:cs="Arial"/>
                <w:sz w:val="22"/>
                <w:szCs w:val="22"/>
              </w:rPr>
              <w:t xml:space="preserve"> invoices within 10 days</w:t>
            </w:r>
            <w:r w:rsidR="008A31A7" w:rsidRPr="00286A07">
              <w:rPr>
                <w:rFonts w:ascii="Arial" w:hAnsi="Arial" w:cs="Arial"/>
                <w:sz w:val="22"/>
                <w:szCs w:val="22"/>
              </w:rPr>
              <w:t xml:space="preserve"> – current performance</w:t>
            </w:r>
            <w:r w:rsidR="00DB1038">
              <w:rPr>
                <w:rFonts w:ascii="Arial" w:hAnsi="Arial" w:cs="Arial"/>
                <w:sz w:val="22"/>
                <w:szCs w:val="22"/>
              </w:rPr>
              <w:t xml:space="preserve"> shows 59</w:t>
            </w:r>
            <w:r w:rsidRPr="00286A07">
              <w:rPr>
                <w:rFonts w:ascii="Arial" w:hAnsi="Arial" w:cs="Arial"/>
                <w:sz w:val="22"/>
                <w:szCs w:val="22"/>
              </w:rPr>
              <w:t xml:space="preserve">% </w:t>
            </w:r>
            <w:r w:rsidR="00CD540D" w:rsidRPr="00286A07">
              <w:rPr>
                <w:rFonts w:ascii="Arial" w:hAnsi="Arial" w:cs="Arial"/>
                <w:sz w:val="22"/>
                <w:szCs w:val="22"/>
              </w:rPr>
              <w:t>on the number of invo</w:t>
            </w:r>
            <w:r w:rsidR="00F053C9" w:rsidRPr="00286A07">
              <w:rPr>
                <w:rFonts w:ascii="Arial" w:hAnsi="Arial" w:cs="Arial"/>
                <w:sz w:val="22"/>
                <w:szCs w:val="22"/>
              </w:rPr>
              <w:t>ices a</w:t>
            </w:r>
            <w:r w:rsidR="00FE71FF">
              <w:rPr>
                <w:rFonts w:ascii="Arial" w:hAnsi="Arial" w:cs="Arial"/>
                <w:sz w:val="22"/>
                <w:szCs w:val="22"/>
              </w:rPr>
              <w:t>nd 56</w:t>
            </w:r>
            <w:r w:rsidRPr="00286A07">
              <w:rPr>
                <w:rFonts w:ascii="Arial" w:hAnsi="Arial" w:cs="Arial"/>
                <w:sz w:val="22"/>
                <w:szCs w:val="22"/>
              </w:rPr>
              <w:t>% based on invoice values.  All approvers are asked to note this and to approve invoices promptly or place on hold if there is a dispute.  Performance is published on our website.</w:t>
            </w:r>
            <w:r w:rsidR="00344274" w:rsidRPr="00286A07">
              <w:rPr>
                <w:rFonts w:ascii="Arial" w:hAnsi="Arial" w:cs="Arial"/>
                <w:sz w:val="22"/>
                <w:szCs w:val="22"/>
              </w:rPr>
              <w:t xml:space="preserve"> </w:t>
            </w:r>
          </w:p>
          <w:p w:rsidR="00254D93" w:rsidRPr="00951DD0" w:rsidRDefault="00254D93" w:rsidP="0086694E">
            <w:pPr>
              <w:rPr>
                <w:rFonts w:ascii="Arial" w:hAnsi="Arial" w:cs="Arial"/>
                <w:sz w:val="22"/>
                <w:szCs w:val="22"/>
                <w:highlight w:val="yellow"/>
              </w:rPr>
            </w:pPr>
          </w:p>
          <w:p w:rsidR="00A51B6C" w:rsidRDefault="00123FF0" w:rsidP="00A51B6C">
            <w:pPr>
              <w:numPr>
                <w:ilvl w:val="0"/>
                <w:numId w:val="2"/>
              </w:numPr>
              <w:tabs>
                <w:tab w:val="left" w:pos="2172"/>
              </w:tabs>
              <w:contextualSpacing/>
              <w:rPr>
                <w:rFonts w:ascii="Arial" w:hAnsi="Arial" w:cs="Arial"/>
                <w:sz w:val="22"/>
                <w:szCs w:val="22"/>
              </w:rPr>
            </w:pPr>
            <w:r>
              <w:rPr>
                <w:rFonts w:ascii="Arial" w:hAnsi="Arial" w:cs="Arial"/>
                <w:sz w:val="22"/>
                <w:szCs w:val="22"/>
              </w:rPr>
              <w:t>Statement of Financial Position</w:t>
            </w:r>
            <w:r w:rsidRPr="00344274">
              <w:rPr>
                <w:rFonts w:ascii="Arial" w:hAnsi="Arial" w:cs="Arial"/>
                <w:sz w:val="22"/>
                <w:szCs w:val="22"/>
              </w:rPr>
              <w:t xml:space="preserve"> highlights –</w:t>
            </w:r>
            <w:r w:rsidRPr="00344274">
              <w:rPr>
                <w:rFonts w:ascii="Arial" w:hAnsi="Arial" w:cs="Arial"/>
                <w:color w:val="FF0000"/>
                <w:sz w:val="22"/>
                <w:szCs w:val="22"/>
              </w:rPr>
              <w:t xml:space="preserve"> </w:t>
            </w:r>
            <w:r w:rsidRPr="00344274">
              <w:rPr>
                <w:rFonts w:ascii="Arial" w:hAnsi="Arial" w:cs="Arial"/>
                <w:sz w:val="22"/>
                <w:szCs w:val="22"/>
              </w:rPr>
              <w:t>Net Assets and Taxpayers Equity are positive at £</w:t>
            </w:r>
            <w:r>
              <w:rPr>
                <w:rFonts w:ascii="Arial" w:hAnsi="Arial" w:cs="Arial"/>
                <w:sz w:val="22"/>
                <w:szCs w:val="22"/>
              </w:rPr>
              <w:t>2.</w:t>
            </w:r>
            <w:r w:rsidR="005E103E">
              <w:rPr>
                <w:rFonts w:ascii="Arial" w:hAnsi="Arial" w:cs="Arial"/>
                <w:sz w:val="22"/>
                <w:szCs w:val="22"/>
              </w:rPr>
              <w:t>727</w:t>
            </w:r>
            <w:r w:rsidRPr="00344274">
              <w:rPr>
                <w:rFonts w:ascii="Arial" w:hAnsi="Arial" w:cs="Arial"/>
                <w:sz w:val="22"/>
                <w:szCs w:val="22"/>
              </w:rPr>
              <w:t>million</w:t>
            </w:r>
            <w:r>
              <w:rPr>
                <w:rFonts w:ascii="Arial" w:hAnsi="Arial" w:cs="Arial"/>
                <w:sz w:val="22"/>
                <w:szCs w:val="22"/>
              </w:rPr>
              <w:t>.</w:t>
            </w:r>
            <w:r w:rsidRPr="00344274">
              <w:rPr>
                <w:rFonts w:ascii="Arial" w:hAnsi="Arial" w:cs="Arial"/>
                <w:sz w:val="22"/>
                <w:szCs w:val="22"/>
              </w:rPr>
              <w:t xml:space="preserve"> </w:t>
            </w:r>
            <w:r w:rsidR="00A51B6C" w:rsidRPr="00344274">
              <w:rPr>
                <w:rFonts w:ascii="Arial" w:hAnsi="Arial" w:cs="Arial"/>
                <w:sz w:val="22"/>
                <w:szCs w:val="22"/>
              </w:rPr>
              <w:t>Cash balance has reduced from year end £3</w:t>
            </w:r>
            <w:r w:rsidR="00A51B6C">
              <w:rPr>
                <w:rFonts w:ascii="Arial" w:hAnsi="Arial" w:cs="Arial"/>
                <w:sz w:val="22"/>
                <w:szCs w:val="22"/>
              </w:rPr>
              <w:t>.7</w:t>
            </w:r>
            <w:r w:rsidR="00A51B6C" w:rsidRPr="00344274">
              <w:rPr>
                <w:rFonts w:ascii="Arial" w:hAnsi="Arial" w:cs="Arial"/>
                <w:sz w:val="22"/>
                <w:szCs w:val="22"/>
              </w:rPr>
              <w:t xml:space="preserve"> million (with liabilities to pay of £1.</w:t>
            </w:r>
            <w:r w:rsidR="00A51B6C">
              <w:rPr>
                <w:rFonts w:ascii="Arial" w:hAnsi="Arial" w:cs="Arial"/>
                <w:sz w:val="22"/>
                <w:szCs w:val="22"/>
              </w:rPr>
              <w:t>37</w:t>
            </w:r>
            <w:r w:rsidR="00A51B6C" w:rsidRPr="00344274">
              <w:rPr>
                <w:rFonts w:ascii="Arial" w:hAnsi="Arial" w:cs="Arial"/>
                <w:sz w:val="22"/>
                <w:szCs w:val="22"/>
              </w:rPr>
              <w:t>million) to £</w:t>
            </w:r>
            <w:r w:rsidR="00053090">
              <w:rPr>
                <w:rFonts w:ascii="Arial" w:hAnsi="Arial" w:cs="Arial"/>
                <w:sz w:val="22"/>
                <w:szCs w:val="22"/>
              </w:rPr>
              <w:t>2.657</w:t>
            </w:r>
            <w:r w:rsidR="00A51B6C" w:rsidRPr="00344274">
              <w:rPr>
                <w:rFonts w:ascii="Arial" w:hAnsi="Arial" w:cs="Arial"/>
                <w:sz w:val="22"/>
                <w:szCs w:val="22"/>
              </w:rPr>
              <w:t xml:space="preserve"> million (with liabilities to pay </w:t>
            </w:r>
            <w:r w:rsidR="00A51B6C" w:rsidRPr="00CB79FE">
              <w:rPr>
                <w:rFonts w:ascii="Arial" w:hAnsi="Arial" w:cs="Arial"/>
                <w:sz w:val="22"/>
                <w:szCs w:val="22"/>
              </w:rPr>
              <w:t>of £</w:t>
            </w:r>
            <w:r>
              <w:rPr>
                <w:rFonts w:ascii="Arial" w:hAnsi="Arial" w:cs="Arial"/>
                <w:sz w:val="22"/>
                <w:szCs w:val="22"/>
              </w:rPr>
              <w:t>1.315</w:t>
            </w:r>
            <w:r w:rsidR="00A51B6C" w:rsidRPr="00CB79FE">
              <w:rPr>
                <w:rFonts w:ascii="Arial" w:hAnsi="Arial" w:cs="Arial"/>
                <w:sz w:val="22"/>
                <w:szCs w:val="22"/>
              </w:rPr>
              <w:t>million</w:t>
            </w:r>
            <w:r w:rsidR="00A51B6C">
              <w:rPr>
                <w:rFonts w:ascii="Arial" w:hAnsi="Arial" w:cs="Arial"/>
                <w:sz w:val="22"/>
                <w:szCs w:val="22"/>
              </w:rPr>
              <w:t>).</w:t>
            </w:r>
          </w:p>
          <w:p w:rsidR="00A51B6C" w:rsidRPr="00344274" w:rsidRDefault="00A51B6C" w:rsidP="00A51B6C">
            <w:pPr>
              <w:tabs>
                <w:tab w:val="left" w:pos="2172"/>
              </w:tabs>
              <w:contextualSpacing/>
              <w:rPr>
                <w:rFonts w:ascii="Arial" w:hAnsi="Arial" w:cs="Arial"/>
                <w:sz w:val="22"/>
                <w:szCs w:val="22"/>
              </w:rPr>
            </w:pPr>
          </w:p>
          <w:p w:rsidR="00B72C94" w:rsidRPr="00286A07" w:rsidRDefault="0086694E" w:rsidP="00D144B8">
            <w:pPr>
              <w:numPr>
                <w:ilvl w:val="0"/>
                <w:numId w:val="2"/>
              </w:numPr>
              <w:tabs>
                <w:tab w:val="left" w:pos="2172"/>
              </w:tabs>
              <w:contextualSpacing/>
              <w:rPr>
                <w:rFonts w:ascii="Arial" w:hAnsi="Arial" w:cs="Arial"/>
                <w:sz w:val="22"/>
                <w:szCs w:val="22"/>
              </w:rPr>
            </w:pPr>
            <w:r w:rsidRPr="00286A07">
              <w:rPr>
                <w:rFonts w:ascii="Arial" w:hAnsi="Arial" w:cs="Arial"/>
                <w:sz w:val="22"/>
                <w:szCs w:val="22"/>
              </w:rPr>
              <w:t xml:space="preserve">The cash balance at </w:t>
            </w:r>
            <w:r w:rsidR="00286A07" w:rsidRPr="00286A07">
              <w:rPr>
                <w:rFonts w:ascii="Arial" w:hAnsi="Arial" w:cs="Arial"/>
                <w:sz w:val="22"/>
                <w:szCs w:val="22"/>
              </w:rPr>
              <w:t xml:space="preserve">the </w:t>
            </w:r>
            <w:r w:rsidR="00053090">
              <w:rPr>
                <w:rFonts w:ascii="Arial" w:hAnsi="Arial" w:cs="Arial"/>
                <w:sz w:val="22"/>
                <w:szCs w:val="22"/>
              </w:rPr>
              <w:t>end of December 2015 was £2.657</w:t>
            </w:r>
            <w:r w:rsidR="00286A07" w:rsidRPr="00286A07">
              <w:rPr>
                <w:rFonts w:ascii="Arial" w:hAnsi="Arial" w:cs="Arial"/>
                <w:sz w:val="22"/>
                <w:szCs w:val="22"/>
              </w:rPr>
              <w:t>m, which is broadly in line with</w:t>
            </w:r>
            <w:r w:rsidRPr="00286A07">
              <w:rPr>
                <w:rFonts w:ascii="Arial" w:hAnsi="Arial" w:cs="Arial"/>
                <w:sz w:val="22"/>
                <w:szCs w:val="22"/>
              </w:rPr>
              <w:t xml:space="preserve"> the</w:t>
            </w:r>
            <w:r w:rsidR="00286A07" w:rsidRPr="00286A07">
              <w:rPr>
                <w:rFonts w:ascii="Arial" w:hAnsi="Arial" w:cs="Arial"/>
                <w:sz w:val="22"/>
                <w:szCs w:val="22"/>
              </w:rPr>
              <w:t xml:space="preserve"> balance hel</w:t>
            </w:r>
            <w:r w:rsidR="00277DB0">
              <w:rPr>
                <w:rFonts w:ascii="Arial" w:hAnsi="Arial" w:cs="Arial"/>
                <w:sz w:val="22"/>
                <w:szCs w:val="22"/>
              </w:rPr>
              <w:t>d a</w:t>
            </w:r>
            <w:r w:rsidR="00DA70FE">
              <w:rPr>
                <w:rFonts w:ascii="Arial" w:hAnsi="Arial" w:cs="Arial"/>
                <w:sz w:val="22"/>
                <w:szCs w:val="22"/>
              </w:rPr>
              <w:t xml:space="preserve">t the end of </w:t>
            </w:r>
            <w:r w:rsidR="00053090">
              <w:rPr>
                <w:rFonts w:ascii="Arial" w:hAnsi="Arial" w:cs="Arial"/>
                <w:sz w:val="22"/>
                <w:szCs w:val="22"/>
              </w:rPr>
              <w:t>November of £2.593</w:t>
            </w:r>
            <w:r w:rsidR="00286A07" w:rsidRPr="00286A07">
              <w:rPr>
                <w:rFonts w:ascii="Arial" w:hAnsi="Arial" w:cs="Arial"/>
                <w:sz w:val="22"/>
                <w:szCs w:val="22"/>
              </w:rPr>
              <w:t>m.</w:t>
            </w:r>
            <w:r w:rsidR="00273C65">
              <w:rPr>
                <w:rFonts w:ascii="Arial" w:hAnsi="Arial" w:cs="Arial"/>
                <w:sz w:val="22"/>
                <w:szCs w:val="22"/>
              </w:rPr>
              <w:t xml:space="preserve">  </w:t>
            </w:r>
          </w:p>
          <w:p w:rsidR="00D144B8" w:rsidRPr="00951DD0" w:rsidRDefault="00D144B8" w:rsidP="00D144B8">
            <w:pPr>
              <w:pStyle w:val="ListParagraph"/>
              <w:rPr>
                <w:rFonts w:ascii="Arial" w:hAnsi="Arial" w:cs="Arial"/>
                <w:sz w:val="22"/>
                <w:szCs w:val="22"/>
                <w:highlight w:val="yellow"/>
              </w:rPr>
            </w:pPr>
          </w:p>
          <w:p w:rsidR="00D144B8" w:rsidRPr="000D6E69" w:rsidRDefault="00277DB0" w:rsidP="00D144B8">
            <w:pPr>
              <w:numPr>
                <w:ilvl w:val="0"/>
                <w:numId w:val="2"/>
              </w:numPr>
              <w:tabs>
                <w:tab w:val="left" w:pos="2172"/>
              </w:tabs>
              <w:contextualSpacing/>
              <w:rPr>
                <w:rFonts w:ascii="Arial" w:hAnsi="Arial" w:cs="Arial"/>
                <w:sz w:val="22"/>
                <w:szCs w:val="22"/>
              </w:rPr>
            </w:pPr>
            <w:r>
              <w:rPr>
                <w:rFonts w:ascii="Arial" w:hAnsi="Arial" w:cs="Arial"/>
                <w:sz w:val="22"/>
                <w:szCs w:val="22"/>
              </w:rPr>
              <w:t xml:space="preserve">The </w:t>
            </w:r>
            <w:r w:rsidR="00123FF0">
              <w:rPr>
                <w:rFonts w:ascii="Arial" w:hAnsi="Arial" w:cs="Arial"/>
                <w:sz w:val="22"/>
                <w:szCs w:val="22"/>
              </w:rPr>
              <w:t>HRA has drawn down £8.3</w:t>
            </w:r>
            <w:r w:rsidR="00DA70FE">
              <w:rPr>
                <w:rFonts w:ascii="Arial" w:hAnsi="Arial" w:cs="Arial"/>
                <w:sz w:val="22"/>
                <w:szCs w:val="22"/>
              </w:rPr>
              <w:t>00</w:t>
            </w:r>
            <w:r w:rsidR="00D144B8" w:rsidRPr="000D6E69">
              <w:rPr>
                <w:rFonts w:ascii="Arial" w:hAnsi="Arial" w:cs="Arial"/>
                <w:sz w:val="22"/>
                <w:szCs w:val="22"/>
              </w:rPr>
              <w:t>m in cas</w:t>
            </w:r>
            <w:r w:rsidR="00273C65" w:rsidRPr="000D6E69">
              <w:rPr>
                <w:rFonts w:ascii="Arial" w:hAnsi="Arial" w:cs="Arial"/>
                <w:sz w:val="22"/>
                <w:szCs w:val="22"/>
              </w:rPr>
              <w:t>h f</w:t>
            </w:r>
            <w:r w:rsidR="00123FF0">
              <w:rPr>
                <w:rFonts w:ascii="Arial" w:hAnsi="Arial" w:cs="Arial"/>
                <w:sz w:val="22"/>
                <w:szCs w:val="22"/>
              </w:rPr>
              <w:t>or the period April to December.  This represents 58</w:t>
            </w:r>
            <w:r w:rsidR="00D144B8" w:rsidRPr="000D6E69">
              <w:rPr>
                <w:rFonts w:ascii="Arial" w:hAnsi="Arial" w:cs="Arial"/>
                <w:sz w:val="22"/>
                <w:szCs w:val="22"/>
              </w:rPr>
              <w:t>% of the total cash drawdown for the year</w:t>
            </w:r>
            <w:r w:rsidR="005B3EAA" w:rsidRPr="000D6E69">
              <w:rPr>
                <w:rFonts w:ascii="Arial" w:hAnsi="Arial" w:cs="Arial"/>
                <w:sz w:val="22"/>
                <w:szCs w:val="22"/>
              </w:rPr>
              <w:t xml:space="preserve"> and reflects management of cash drawdowns to match expected need</w:t>
            </w:r>
            <w:r w:rsidR="00D144B8" w:rsidRPr="000D6E69">
              <w:rPr>
                <w:rFonts w:ascii="Arial" w:hAnsi="Arial" w:cs="Arial"/>
                <w:sz w:val="22"/>
                <w:szCs w:val="22"/>
              </w:rPr>
              <w:t xml:space="preserve">.  </w:t>
            </w: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127C34">
        <w:rPr>
          <w:rFonts w:ascii="Arial" w:eastAsia="Calibri" w:hAnsi="Arial"/>
          <w:b/>
          <w:bCs/>
          <w:color w:val="56008C"/>
          <w:szCs w:val="26"/>
          <w:lang w:eastAsia="en-US"/>
        </w:rPr>
        <w:t xml:space="preserve"> end December</w:t>
      </w:r>
      <w:r w:rsidR="00072739">
        <w:rPr>
          <w:rFonts w:ascii="Arial" w:eastAsia="Calibri" w:hAnsi="Arial"/>
          <w:b/>
          <w:bCs/>
          <w:color w:val="56008C"/>
          <w:szCs w:val="26"/>
          <w:lang w:eastAsia="en-US"/>
        </w:rPr>
        <w:t xml:space="preserve"> </w:t>
      </w:r>
      <w:r w:rsidR="00167B08">
        <w:rPr>
          <w:rFonts w:ascii="Arial" w:eastAsia="Calibri" w:hAnsi="Arial"/>
          <w:b/>
          <w:bCs/>
          <w:color w:val="56008C"/>
          <w:szCs w:val="26"/>
          <w:lang w:eastAsia="en-US"/>
        </w:rPr>
        <w:t>2015</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E05C45" w:rsidRPr="00BC0710"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3783" w:type="dxa"/>
              <w:tblLayout w:type="fixed"/>
              <w:tblLook w:val="04A0" w:firstRow="1" w:lastRow="0" w:firstColumn="1" w:lastColumn="0" w:noHBand="0" w:noVBand="1"/>
            </w:tblPr>
            <w:tblGrid>
              <w:gridCol w:w="5562"/>
              <w:gridCol w:w="992"/>
              <w:gridCol w:w="970"/>
              <w:gridCol w:w="1014"/>
              <w:gridCol w:w="993"/>
              <w:gridCol w:w="1134"/>
              <w:gridCol w:w="992"/>
              <w:gridCol w:w="928"/>
              <w:gridCol w:w="1198"/>
            </w:tblGrid>
            <w:tr w:rsidR="00127C34" w:rsidRPr="00127C34" w:rsidTr="00127C34">
              <w:trPr>
                <w:trHeight w:val="298"/>
              </w:trPr>
              <w:tc>
                <w:tcPr>
                  <w:tcW w:w="5562" w:type="dxa"/>
                  <w:tcBorders>
                    <w:top w:val="nil"/>
                    <w:left w:val="nil"/>
                    <w:bottom w:val="nil"/>
                    <w:right w:val="single" w:sz="8" w:space="0" w:color="FFFFFF"/>
                  </w:tcBorders>
                  <w:shd w:val="clear" w:color="000000" w:fill="53B9B7"/>
                  <w:vAlign w:val="center"/>
                  <w:hideMark/>
                </w:tcPr>
                <w:p w:rsidR="00127C34" w:rsidRPr="00127C34" w:rsidRDefault="00127C34" w:rsidP="00127C34">
                  <w:pPr>
                    <w:jc w:val="center"/>
                    <w:rPr>
                      <w:rFonts w:ascii="Arial" w:hAnsi="Arial" w:cs="Arial"/>
                      <w:b/>
                      <w:bCs/>
                      <w:color w:val="FFFFFF"/>
                      <w:sz w:val="22"/>
                      <w:szCs w:val="22"/>
                    </w:rPr>
                  </w:pPr>
                  <w:r w:rsidRPr="00127C34">
                    <w:rPr>
                      <w:rFonts w:ascii="Arial" w:hAnsi="Arial" w:cs="Arial"/>
                      <w:b/>
                      <w:bCs/>
                      <w:color w:val="FFFFFF"/>
                      <w:sz w:val="22"/>
                      <w:szCs w:val="22"/>
                    </w:rPr>
                    <w:t>Subjective</w:t>
                  </w:r>
                </w:p>
              </w:tc>
              <w:tc>
                <w:tcPr>
                  <w:tcW w:w="992" w:type="dxa"/>
                  <w:tcBorders>
                    <w:top w:val="nil"/>
                    <w:left w:val="nil"/>
                    <w:bottom w:val="nil"/>
                    <w:right w:val="single" w:sz="8" w:space="0" w:color="FFFFFF"/>
                  </w:tcBorders>
                  <w:shd w:val="clear" w:color="000000" w:fill="D1819A"/>
                  <w:vAlign w:val="center"/>
                  <w:hideMark/>
                </w:tcPr>
                <w:p w:rsidR="00127C34" w:rsidRPr="00127C34" w:rsidRDefault="00127C34" w:rsidP="00127C34">
                  <w:pPr>
                    <w:jc w:val="center"/>
                    <w:rPr>
                      <w:rFonts w:ascii="Arial" w:hAnsi="Arial" w:cs="Arial"/>
                      <w:b/>
                      <w:bCs/>
                      <w:color w:val="FFFFFF"/>
                      <w:sz w:val="22"/>
                      <w:szCs w:val="22"/>
                    </w:rPr>
                  </w:pPr>
                  <w:r w:rsidRPr="00127C34">
                    <w:rPr>
                      <w:rFonts w:ascii="Arial" w:hAnsi="Arial" w:cs="Arial"/>
                      <w:b/>
                      <w:bCs/>
                      <w:color w:val="FFFFFF"/>
                      <w:sz w:val="22"/>
                      <w:szCs w:val="22"/>
                    </w:rPr>
                    <w:t>Annual</w:t>
                  </w:r>
                </w:p>
              </w:tc>
              <w:tc>
                <w:tcPr>
                  <w:tcW w:w="970" w:type="dxa"/>
                  <w:tcBorders>
                    <w:top w:val="nil"/>
                    <w:left w:val="nil"/>
                    <w:bottom w:val="nil"/>
                    <w:right w:val="single" w:sz="8" w:space="0" w:color="FFFFFF"/>
                  </w:tcBorders>
                  <w:shd w:val="clear" w:color="000000" w:fill="C8508F"/>
                  <w:vAlign w:val="center"/>
                  <w:hideMark/>
                </w:tcPr>
                <w:p w:rsidR="00127C34" w:rsidRPr="00127C34" w:rsidRDefault="00127C34" w:rsidP="00127C34">
                  <w:pPr>
                    <w:rPr>
                      <w:rFonts w:ascii="Arial" w:hAnsi="Arial" w:cs="Arial"/>
                      <w:b/>
                      <w:bCs/>
                      <w:color w:val="FFFFFF"/>
                      <w:sz w:val="22"/>
                      <w:szCs w:val="22"/>
                    </w:rPr>
                  </w:pPr>
                  <w:r w:rsidRPr="00127C34">
                    <w:rPr>
                      <w:rFonts w:ascii="Arial" w:hAnsi="Arial" w:cs="Arial"/>
                      <w:b/>
                      <w:bCs/>
                      <w:color w:val="FFFFFF"/>
                      <w:sz w:val="22"/>
                      <w:szCs w:val="22"/>
                    </w:rPr>
                    <w:t>Next year</w:t>
                  </w:r>
                </w:p>
              </w:tc>
              <w:tc>
                <w:tcPr>
                  <w:tcW w:w="3141" w:type="dxa"/>
                  <w:gridSpan w:val="3"/>
                  <w:tcBorders>
                    <w:top w:val="nil"/>
                    <w:left w:val="nil"/>
                    <w:bottom w:val="nil"/>
                    <w:right w:val="single" w:sz="8" w:space="0" w:color="FFFFFF"/>
                  </w:tcBorders>
                  <w:shd w:val="clear" w:color="000000" w:fill="816EA6"/>
                  <w:vAlign w:val="center"/>
                  <w:hideMark/>
                </w:tcPr>
                <w:p w:rsidR="00127C34" w:rsidRPr="00127C34" w:rsidRDefault="00127C34" w:rsidP="00127C34">
                  <w:pPr>
                    <w:jc w:val="center"/>
                    <w:rPr>
                      <w:rFonts w:ascii="Arial" w:hAnsi="Arial" w:cs="Arial"/>
                      <w:b/>
                      <w:bCs/>
                      <w:color w:val="FFFFFF"/>
                      <w:sz w:val="22"/>
                      <w:szCs w:val="22"/>
                    </w:rPr>
                  </w:pPr>
                  <w:r w:rsidRPr="00127C34">
                    <w:rPr>
                      <w:rFonts w:ascii="Arial" w:hAnsi="Arial" w:cs="Arial"/>
                      <w:b/>
                      <w:bCs/>
                      <w:color w:val="FFFFFF"/>
                      <w:sz w:val="22"/>
                      <w:szCs w:val="22"/>
                    </w:rPr>
                    <w:t>In month (£)</w:t>
                  </w:r>
                </w:p>
              </w:tc>
              <w:tc>
                <w:tcPr>
                  <w:tcW w:w="3118" w:type="dxa"/>
                  <w:gridSpan w:val="3"/>
                  <w:tcBorders>
                    <w:top w:val="nil"/>
                    <w:left w:val="nil"/>
                    <w:bottom w:val="nil"/>
                    <w:right w:val="single" w:sz="8" w:space="0" w:color="FFFFFF"/>
                  </w:tcBorders>
                  <w:shd w:val="clear" w:color="000000" w:fill="55ACD3"/>
                  <w:vAlign w:val="center"/>
                  <w:hideMark/>
                </w:tcPr>
                <w:p w:rsidR="00127C34" w:rsidRPr="00127C34" w:rsidRDefault="00127C34" w:rsidP="00127C34">
                  <w:pPr>
                    <w:jc w:val="center"/>
                    <w:rPr>
                      <w:rFonts w:ascii="Arial" w:hAnsi="Arial" w:cs="Arial"/>
                      <w:b/>
                      <w:bCs/>
                      <w:color w:val="FFFFFF"/>
                      <w:sz w:val="22"/>
                      <w:szCs w:val="22"/>
                    </w:rPr>
                  </w:pPr>
                  <w:r w:rsidRPr="00127C34">
                    <w:rPr>
                      <w:rFonts w:ascii="Arial" w:hAnsi="Arial" w:cs="Arial"/>
                      <w:b/>
                      <w:bCs/>
                      <w:color w:val="FFFFFF"/>
                      <w:sz w:val="22"/>
                      <w:szCs w:val="22"/>
                    </w:rPr>
                    <w:t>Year to date (£)</w:t>
                  </w:r>
                </w:p>
              </w:tc>
            </w:tr>
            <w:tr w:rsidR="00127C34" w:rsidRPr="00127C34" w:rsidTr="00127C34">
              <w:trPr>
                <w:trHeight w:val="298"/>
              </w:trPr>
              <w:tc>
                <w:tcPr>
                  <w:tcW w:w="5562" w:type="dxa"/>
                  <w:tcBorders>
                    <w:top w:val="nil"/>
                    <w:left w:val="nil"/>
                    <w:bottom w:val="nil"/>
                    <w:right w:val="single" w:sz="8" w:space="0" w:color="FFFFFF"/>
                  </w:tcBorders>
                  <w:shd w:val="clear" w:color="000000" w:fill="C7E3E0"/>
                  <w:vAlign w:val="center"/>
                  <w:hideMark/>
                </w:tcPr>
                <w:p w:rsidR="00127C34" w:rsidRPr="00127C34" w:rsidRDefault="00127C34" w:rsidP="00127C34">
                  <w:pPr>
                    <w:jc w:val="center"/>
                    <w:rPr>
                      <w:rFonts w:ascii="Arial" w:hAnsi="Arial" w:cs="Arial"/>
                      <w:b/>
                      <w:bCs/>
                      <w:color w:val="000000"/>
                      <w:sz w:val="22"/>
                      <w:szCs w:val="22"/>
                    </w:rPr>
                  </w:pPr>
                  <w:r w:rsidRPr="00127C34">
                    <w:rPr>
                      <w:rFonts w:ascii="Arial" w:hAnsi="Arial" w:cs="Arial"/>
                      <w:b/>
                      <w:bCs/>
                      <w:color w:val="000000"/>
                      <w:sz w:val="22"/>
                      <w:szCs w:val="22"/>
                    </w:rPr>
                    <w:t>Name</w:t>
                  </w:r>
                </w:p>
              </w:tc>
              <w:tc>
                <w:tcPr>
                  <w:tcW w:w="992" w:type="dxa"/>
                  <w:tcBorders>
                    <w:top w:val="nil"/>
                    <w:left w:val="nil"/>
                    <w:bottom w:val="nil"/>
                    <w:right w:val="single" w:sz="8" w:space="0" w:color="FFFFFF"/>
                  </w:tcBorders>
                  <w:shd w:val="clear" w:color="000000" w:fill="D1819A"/>
                  <w:vAlign w:val="center"/>
                  <w:hideMark/>
                </w:tcPr>
                <w:p w:rsidR="00127C34" w:rsidRPr="00127C34" w:rsidRDefault="00127C34" w:rsidP="00127C34">
                  <w:pPr>
                    <w:jc w:val="center"/>
                    <w:rPr>
                      <w:rFonts w:ascii="Arial" w:hAnsi="Arial" w:cs="Arial"/>
                      <w:b/>
                      <w:bCs/>
                      <w:color w:val="FFFFFF"/>
                      <w:sz w:val="22"/>
                      <w:szCs w:val="22"/>
                    </w:rPr>
                  </w:pPr>
                  <w:r w:rsidRPr="00127C34">
                    <w:rPr>
                      <w:rFonts w:ascii="Arial" w:hAnsi="Arial" w:cs="Arial"/>
                      <w:b/>
                      <w:bCs/>
                      <w:color w:val="FFFFFF"/>
                      <w:sz w:val="22"/>
                      <w:szCs w:val="22"/>
                    </w:rPr>
                    <w:t>budget (£)</w:t>
                  </w:r>
                </w:p>
              </w:tc>
              <w:tc>
                <w:tcPr>
                  <w:tcW w:w="970" w:type="dxa"/>
                  <w:tcBorders>
                    <w:top w:val="nil"/>
                    <w:left w:val="nil"/>
                    <w:bottom w:val="nil"/>
                    <w:right w:val="single" w:sz="8" w:space="0" w:color="FFFFFF"/>
                  </w:tcBorders>
                  <w:shd w:val="clear" w:color="000000" w:fill="C8508F"/>
                  <w:hideMark/>
                </w:tcPr>
                <w:p w:rsidR="00127C34" w:rsidRPr="00127C34" w:rsidRDefault="00127C34" w:rsidP="00127C34">
                  <w:pPr>
                    <w:rPr>
                      <w:rFonts w:ascii="Arial" w:hAnsi="Arial" w:cs="Arial"/>
                      <w:b/>
                      <w:bCs/>
                      <w:color w:val="FFFFFF"/>
                      <w:sz w:val="22"/>
                      <w:szCs w:val="22"/>
                    </w:rPr>
                  </w:pPr>
                  <w:r w:rsidRPr="00127C34">
                    <w:rPr>
                      <w:rFonts w:ascii="Arial" w:hAnsi="Arial" w:cs="Arial"/>
                      <w:b/>
                      <w:bCs/>
                      <w:color w:val="FFFFFF"/>
                      <w:sz w:val="22"/>
                      <w:szCs w:val="22"/>
                    </w:rPr>
                    <w:t>plan (£)</w:t>
                  </w:r>
                </w:p>
              </w:tc>
              <w:tc>
                <w:tcPr>
                  <w:tcW w:w="1014" w:type="dxa"/>
                  <w:tcBorders>
                    <w:top w:val="nil"/>
                    <w:left w:val="nil"/>
                    <w:bottom w:val="nil"/>
                    <w:right w:val="single" w:sz="8" w:space="0" w:color="816EA6"/>
                  </w:tcBorders>
                  <w:shd w:val="clear" w:color="000000" w:fill="C0B8D0"/>
                  <w:vAlign w:val="center"/>
                  <w:hideMark/>
                </w:tcPr>
                <w:p w:rsidR="00127C34" w:rsidRPr="00127C34" w:rsidRDefault="00127C34" w:rsidP="00127C34">
                  <w:pPr>
                    <w:jc w:val="center"/>
                    <w:rPr>
                      <w:rFonts w:ascii="Arial" w:hAnsi="Arial" w:cs="Arial"/>
                      <w:b/>
                      <w:bCs/>
                      <w:color w:val="000000"/>
                      <w:sz w:val="22"/>
                      <w:szCs w:val="22"/>
                    </w:rPr>
                  </w:pPr>
                  <w:r w:rsidRPr="00127C34">
                    <w:rPr>
                      <w:rFonts w:ascii="Arial" w:hAnsi="Arial" w:cs="Arial"/>
                      <w:b/>
                      <w:bCs/>
                      <w:color w:val="000000"/>
                      <w:sz w:val="22"/>
                      <w:szCs w:val="22"/>
                    </w:rPr>
                    <w:t>Budget</w:t>
                  </w:r>
                </w:p>
              </w:tc>
              <w:tc>
                <w:tcPr>
                  <w:tcW w:w="993" w:type="dxa"/>
                  <w:tcBorders>
                    <w:top w:val="nil"/>
                    <w:left w:val="nil"/>
                    <w:bottom w:val="nil"/>
                    <w:right w:val="single" w:sz="8" w:space="0" w:color="816EA6"/>
                  </w:tcBorders>
                  <w:shd w:val="clear" w:color="000000" w:fill="C0B8D0"/>
                  <w:vAlign w:val="center"/>
                  <w:hideMark/>
                </w:tcPr>
                <w:p w:rsidR="00127C34" w:rsidRPr="00127C34" w:rsidRDefault="00127C34" w:rsidP="00127C34">
                  <w:pPr>
                    <w:jc w:val="center"/>
                    <w:rPr>
                      <w:rFonts w:ascii="Arial" w:hAnsi="Arial" w:cs="Arial"/>
                      <w:b/>
                      <w:bCs/>
                      <w:color w:val="000000"/>
                      <w:sz w:val="22"/>
                      <w:szCs w:val="22"/>
                    </w:rPr>
                  </w:pPr>
                  <w:r w:rsidRPr="00127C34">
                    <w:rPr>
                      <w:rFonts w:ascii="Arial" w:hAnsi="Arial" w:cs="Arial"/>
                      <w:b/>
                      <w:bCs/>
                      <w:color w:val="000000"/>
                      <w:sz w:val="22"/>
                      <w:szCs w:val="22"/>
                    </w:rPr>
                    <w:t>Actual</w:t>
                  </w:r>
                </w:p>
              </w:tc>
              <w:tc>
                <w:tcPr>
                  <w:tcW w:w="1134" w:type="dxa"/>
                  <w:tcBorders>
                    <w:top w:val="nil"/>
                    <w:left w:val="nil"/>
                    <w:bottom w:val="nil"/>
                    <w:right w:val="single" w:sz="8" w:space="0" w:color="FFFFFF"/>
                  </w:tcBorders>
                  <w:shd w:val="clear" w:color="000000" w:fill="C0B8D0"/>
                  <w:vAlign w:val="center"/>
                  <w:hideMark/>
                </w:tcPr>
                <w:p w:rsidR="00127C34" w:rsidRPr="00127C34" w:rsidRDefault="00127C34" w:rsidP="00127C34">
                  <w:pPr>
                    <w:jc w:val="center"/>
                    <w:rPr>
                      <w:rFonts w:ascii="Arial" w:hAnsi="Arial" w:cs="Arial"/>
                      <w:b/>
                      <w:bCs/>
                      <w:color w:val="000000"/>
                      <w:sz w:val="22"/>
                      <w:szCs w:val="22"/>
                    </w:rPr>
                  </w:pPr>
                  <w:r w:rsidRPr="00127C34">
                    <w:rPr>
                      <w:rFonts w:ascii="Arial" w:hAnsi="Arial" w:cs="Arial"/>
                      <w:b/>
                      <w:bCs/>
                      <w:color w:val="000000"/>
                      <w:sz w:val="22"/>
                      <w:szCs w:val="22"/>
                    </w:rPr>
                    <w:t>Variance</w:t>
                  </w:r>
                </w:p>
              </w:tc>
              <w:tc>
                <w:tcPr>
                  <w:tcW w:w="992" w:type="dxa"/>
                  <w:tcBorders>
                    <w:top w:val="nil"/>
                    <w:left w:val="nil"/>
                    <w:bottom w:val="nil"/>
                    <w:right w:val="single" w:sz="8" w:space="0" w:color="55ACD3"/>
                  </w:tcBorders>
                  <w:shd w:val="clear" w:color="000000" w:fill="B6D5E4"/>
                  <w:vAlign w:val="center"/>
                  <w:hideMark/>
                </w:tcPr>
                <w:p w:rsidR="00127C34" w:rsidRPr="00127C34" w:rsidRDefault="00127C34" w:rsidP="00127C34">
                  <w:pPr>
                    <w:rPr>
                      <w:rFonts w:ascii="Arial" w:hAnsi="Arial" w:cs="Arial"/>
                      <w:b/>
                      <w:bCs/>
                      <w:color w:val="000000"/>
                      <w:sz w:val="22"/>
                      <w:szCs w:val="22"/>
                    </w:rPr>
                  </w:pPr>
                  <w:r w:rsidRPr="00127C34">
                    <w:rPr>
                      <w:rFonts w:ascii="Arial" w:hAnsi="Arial" w:cs="Arial"/>
                      <w:b/>
                      <w:bCs/>
                      <w:color w:val="000000"/>
                      <w:sz w:val="22"/>
                      <w:szCs w:val="22"/>
                    </w:rPr>
                    <w:t>Budget</w:t>
                  </w:r>
                </w:p>
              </w:tc>
              <w:tc>
                <w:tcPr>
                  <w:tcW w:w="928" w:type="dxa"/>
                  <w:tcBorders>
                    <w:top w:val="nil"/>
                    <w:left w:val="nil"/>
                    <w:bottom w:val="nil"/>
                    <w:right w:val="single" w:sz="8" w:space="0" w:color="55ACD3"/>
                  </w:tcBorders>
                  <w:shd w:val="clear" w:color="000000" w:fill="B6D5E4"/>
                  <w:vAlign w:val="center"/>
                  <w:hideMark/>
                </w:tcPr>
                <w:p w:rsidR="00127C34" w:rsidRPr="00127C34" w:rsidRDefault="00127C34" w:rsidP="00127C34">
                  <w:pPr>
                    <w:rPr>
                      <w:rFonts w:ascii="Arial" w:hAnsi="Arial" w:cs="Arial"/>
                      <w:b/>
                      <w:bCs/>
                      <w:color w:val="000000"/>
                      <w:sz w:val="22"/>
                      <w:szCs w:val="22"/>
                    </w:rPr>
                  </w:pPr>
                  <w:r w:rsidRPr="00127C34">
                    <w:rPr>
                      <w:rFonts w:ascii="Arial" w:hAnsi="Arial" w:cs="Arial"/>
                      <w:b/>
                      <w:bCs/>
                      <w:color w:val="000000"/>
                      <w:sz w:val="22"/>
                      <w:szCs w:val="22"/>
                    </w:rPr>
                    <w:t>Actual</w:t>
                  </w:r>
                </w:p>
              </w:tc>
              <w:tc>
                <w:tcPr>
                  <w:tcW w:w="1198" w:type="dxa"/>
                  <w:tcBorders>
                    <w:top w:val="nil"/>
                    <w:left w:val="nil"/>
                    <w:bottom w:val="nil"/>
                    <w:right w:val="nil"/>
                  </w:tcBorders>
                  <w:shd w:val="clear" w:color="000000" w:fill="B6D5E4"/>
                  <w:vAlign w:val="center"/>
                  <w:hideMark/>
                </w:tcPr>
                <w:p w:rsidR="00127C34" w:rsidRPr="00127C34" w:rsidRDefault="00127C34" w:rsidP="00127C34">
                  <w:pPr>
                    <w:rPr>
                      <w:rFonts w:ascii="Arial" w:hAnsi="Arial" w:cs="Arial"/>
                      <w:b/>
                      <w:bCs/>
                      <w:color w:val="000000"/>
                      <w:sz w:val="22"/>
                      <w:szCs w:val="22"/>
                    </w:rPr>
                  </w:pPr>
                  <w:r w:rsidRPr="00127C34">
                    <w:rPr>
                      <w:rFonts w:ascii="Arial" w:hAnsi="Arial" w:cs="Arial"/>
                      <w:b/>
                      <w:bCs/>
                      <w:color w:val="000000"/>
                      <w:sz w:val="22"/>
                      <w:szCs w:val="22"/>
                    </w:rPr>
                    <w:t>Variance</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1 Meeting Rooms/Catering</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247,797</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213,776</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50,339</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19,622</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(30,717)</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186,400</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113,278</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(73,122)</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2 Office equipment/Stationery/Furniture/Consumable</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61,314</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59,114</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5,290</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16,192</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10,902</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45,748</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177,391</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131,643</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3 Photocopying/Printing/Postage/Storage/Waste</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160,850</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161,730</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14,835</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17,202</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2,367</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119,062</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137,738</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18,676</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 xml:space="preserve">4 Premises - </w:t>
                  </w:r>
                  <w:proofErr w:type="spellStart"/>
                  <w:r w:rsidRPr="00127C34">
                    <w:rPr>
                      <w:rFonts w:ascii="Arial Narrow" w:hAnsi="Arial Narrow" w:cs="Calibri"/>
                      <w:b/>
                      <w:bCs/>
                      <w:color w:val="000000"/>
                      <w:sz w:val="20"/>
                      <w:szCs w:val="20"/>
                    </w:rPr>
                    <w:t>inc</w:t>
                  </w:r>
                  <w:proofErr w:type="spellEnd"/>
                  <w:r w:rsidRPr="00127C34">
                    <w:rPr>
                      <w:rFonts w:ascii="Arial Narrow" w:hAnsi="Arial Narrow" w:cs="Calibri"/>
                      <w:b/>
                      <w:bCs/>
                      <w:color w:val="000000"/>
                      <w:sz w:val="20"/>
                      <w:szCs w:val="20"/>
                    </w:rPr>
                    <w:t xml:space="preserve"> premise removal costs</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822,068</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781,772</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172,112</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138,104</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(34,009)</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636,640</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582,516</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(54,125)</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5 Training Expenses - expenses/mats. , conference, workshops</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168,295</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86,600</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14,486</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11,619</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(2,867)</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99,543</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73,150</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(26,393)</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7 Other Staff costs - Recruitment/adverts/redundancy/PILON</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12,000</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12,000</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0</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0</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0</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6,000</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5,646</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(354)</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8 Travel costs - include excess mileage/interview expenses</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582,143</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520,014</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69,420</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47,158</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(22,262)</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440,019</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467,855</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27,836</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9 Chairs/Members/Participation - activity costs</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290,081</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281,854</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25,801</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21,645</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(4,156)</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212,737</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189,133</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(23,604)</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10 Publications</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8,000</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1,500</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125</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356</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231</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5,625</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6,998</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1,373</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11 Mobile Phones/Mobile Data</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23,232</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22,303</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1,937</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2,753</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816</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17,330</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13,669</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(3,661)</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12 Statutory Costs - Health &amp; Safety/Legal/Audit Fees/Dep. &amp; Amort.</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529,222</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368,722</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74,157</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61,835</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(12,322)</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374,663</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364,525</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(10,138)</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13 Computer Costs - Software/licences/system maintenance/purchases</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337,470</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313,597</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33,979</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171,418</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137,439</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256,524</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433,026</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176,502</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14 Other External Contracts - SLA's - Premises, SBS,BSA, DH IT</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1,124,303</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845,500</w:t>
                  </w: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153,446</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49,162</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(104,284)</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891,393</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643,520</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(247,873)</w:t>
                  </w:r>
                </w:p>
              </w:tc>
            </w:tr>
            <w:tr w:rsidR="00127C34" w:rsidRPr="00127C34" w:rsidTr="00127C34">
              <w:trPr>
                <w:trHeight w:val="224"/>
              </w:trPr>
              <w:tc>
                <w:tcPr>
                  <w:tcW w:w="5562" w:type="dxa"/>
                  <w:tcBorders>
                    <w:top w:val="nil"/>
                    <w:left w:val="nil"/>
                    <w:bottom w:val="nil"/>
                    <w:right w:val="nil"/>
                  </w:tcBorders>
                  <w:shd w:val="clear" w:color="auto" w:fill="auto"/>
                  <w:noWrap/>
                  <w:vAlign w:val="bottom"/>
                  <w:hideMark/>
                </w:tcPr>
                <w:p w:rsidR="00127C34" w:rsidRPr="00127C34" w:rsidRDefault="00127C34" w:rsidP="00127C34">
                  <w:pPr>
                    <w:outlineLvl w:val="0"/>
                    <w:rPr>
                      <w:rFonts w:ascii="Arial Narrow" w:hAnsi="Arial Narrow" w:cs="Calibri"/>
                      <w:b/>
                      <w:bCs/>
                      <w:color w:val="000000"/>
                      <w:sz w:val="20"/>
                      <w:szCs w:val="20"/>
                    </w:rPr>
                  </w:pPr>
                  <w:r w:rsidRPr="00127C34">
                    <w:rPr>
                      <w:rFonts w:ascii="Arial Narrow" w:hAnsi="Arial Narrow" w:cs="Calibri"/>
                      <w:b/>
                      <w:bCs/>
                      <w:color w:val="000000"/>
                      <w:sz w:val="20"/>
                      <w:szCs w:val="20"/>
                    </w:rPr>
                    <w:t xml:space="preserve">15 Other - </w:t>
                  </w:r>
                  <w:proofErr w:type="spellStart"/>
                  <w:r w:rsidRPr="00127C34">
                    <w:rPr>
                      <w:rFonts w:ascii="Arial Narrow" w:hAnsi="Arial Narrow" w:cs="Calibri"/>
                      <w:b/>
                      <w:bCs/>
                      <w:color w:val="000000"/>
                      <w:sz w:val="20"/>
                      <w:szCs w:val="20"/>
                    </w:rPr>
                    <w:t>Misc</w:t>
                  </w:r>
                  <w:proofErr w:type="spellEnd"/>
                  <w:r w:rsidRPr="00127C34">
                    <w:rPr>
                      <w:rFonts w:ascii="Arial Narrow" w:hAnsi="Arial Narrow" w:cs="Calibri"/>
                      <w:b/>
                      <w:bCs/>
                      <w:color w:val="000000"/>
                      <w:sz w:val="20"/>
                      <w:szCs w:val="20"/>
                    </w:rPr>
                    <w:t>/Reserves</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1,077,059</w:t>
                  </w:r>
                </w:p>
              </w:tc>
              <w:tc>
                <w:tcPr>
                  <w:tcW w:w="970"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p>
              </w:tc>
              <w:tc>
                <w:tcPr>
                  <w:tcW w:w="101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0</w:t>
                  </w:r>
                </w:p>
              </w:tc>
              <w:tc>
                <w:tcPr>
                  <w:tcW w:w="993"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w:t>
                  </w:r>
                </w:p>
              </w:tc>
              <w:tc>
                <w:tcPr>
                  <w:tcW w:w="1134"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w:t>
                  </w:r>
                </w:p>
              </w:tc>
              <w:tc>
                <w:tcPr>
                  <w:tcW w:w="992"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0</w:t>
                  </w:r>
                </w:p>
              </w:tc>
              <w:tc>
                <w:tcPr>
                  <w:tcW w:w="92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(14)</w:t>
                  </w:r>
                </w:p>
              </w:tc>
              <w:tc>
                <w:tcPr>
                  <w:tcW w:w="1198" w:type="dxa"/>
                  <w:tcBorders>
                    <w:top w:val="nil"/>
                    <w:left w:val="nil"/>
                    <w:bottom w:val="nil"/>
                    <w:right w:val="nil"/>
                  </w:tcBorders>
                  <w:shd w:val="clear" w:color="auto" w:fill="auto"/>
                  <w:vAlign w:val="bottom"/>
                  <w:hideMark/>
                </w:tcPr>
                <w:p w:rsidR="00127C34" w:rsidRPr="00127C34" w:rsidRDefault="00127C34" w:rsidP="00127C34">
                  <w:pPr>
                    <w:jc w:val="right"/>
                    <w:outlineLvl w:val="0"/>
                    <w:rPr>
                      <w:rFonts w:ascii="Arial" w:hAnsi="Arial" w:cs="Arial"/>
                      <w:color w:val="000000"/>
                      <w:sz w:val="16"/>
                      <w:szCs w:val="16"/>
                    </w:rPr>
                  </w:pPr>
                  <w:r w:rsidRPr="00127C34">
                    <w:rPr>
                      <w:rFonts w:ascii="Arial" w:hAnsi="Arial" w:cs="Arial"/>
                      <w:color w:val="000000"/>
                      <w:sz w:val="16"/>
                      <w:szCs w:val="16"/>
                    </w:rPr>
                    <w:t>(14)</w:t>
                  </w:r>
                </w:p>
              </w:tc>
            </w:tr>
            <w:tr w:rsidR="00127C34" w:rsidRPr="00127C34" w:rsidTr="00127C34">
              <w:trPr>
                <w:trHeight w:val="298"/>
              </w:trPr>
              <w:tc>
                <w:tcPr>
                  <w:tcW w:w="5562" w:type="dxa"/>
                  <w:tcBorders>
                    <w:top w:val="single" w:sz="4" w:space="0" w:color="999999"/>
                    <w:left w:val="nil"/>
                    <w:bottom w:val="single" w:sz="4" w:space="0" w:color="999999"/>
                    <w:right w:val="single" w:sz="4" w:space="0" w:color="999999"/>
                  </w:tcBorders>
                  <w:shd w:val="clear" w:color="000000" w:fill="CCCCCC"/>
                  <w:vAlign w:val="bottom"/>
                  <w:hideMark/>
                </w:tcPr>
                <w:p w:rsidR="00127C34" w:rsidRPr="00127C34" w:rsidRDefault="00127C34" w:rsidP="00127C34">
                  <w:pPr>
                    <w:jc w:val="center"/>
                    <w:rPr>
                      <w:rFonts w:ascii="Arial" w:hAnsi="Arial" w:cs="Arial"/>
                      <w:b/>
                      <w:bCs/>
                      <w:color w:val="000066"/>
                      <w:sz w:val="16"/>
                      <w:szCs w:val="16"/>
                    </w:rPr>
                  </w:pPr>
                  <w:r w:rsidRPr="00127C34">
                    <w:rPr>
                      <w:rFonts w:ascii="Arial" w:hAnsi="Arial" w:cs="Arial"/>
                      <w:b/>
                      <w:bCs/>
                      <w:color w:val="000066"/>
                      <w:sz w:val="16"/>
                      <w:szCs w:val="16"/>
                    </w:rPr>
                    <w:t>Total end December</w:t>
                  </w:r>
                </w:p>
              </w:tc>
              <w:tc>
                <w:tcPr>
                  <w:tcW w:w="992" w:type="dxa"/>
                  <w:tcBorders>
                    <w:top w:val="nil"/>
                    <w:left w:val="nil"/>
                    <w:bottom w:val="nil"/>
                    <w:right w:val="single" w:sz="8" w:space="0" w:color="FFFFFF"/>
                  </w:tcBorders>
                  <w:shd w:val="clear" w:color="000000" w:fill="53B9B7"/>
                  <w:vAlign w:val="bottom"/>
                  <w:hideMark/>
                </w:tcPr>
                <w:p w:rsidR="00127C34" w:rsidRPr="00127C34" w:rsidRDefault="00127C34" w:rsidP="00127C34">
                  <w:pPr>
                    <w:jc w:val="right"/>
                    <w:rPr>
                      <w:rFonts w:ascii="Arial" w:hAnsi="Arial" w:cs="Arial"/>
                      <w:b/>
                      <w:bCs/>
                      <w:color w:val="FFFFFF"/>
                      <w:sz w:val="16"/>
                      <w:szCs w:val="16"/>
                    </w:rPr>
                  </w:pPr>
                  <w:r w:rsidRPr="00127C34">
                    <w:rPr>
                      <w:rFonts w:ascii="Arial" w:hAnsi="Arial" w:cs="Arial"/>
                      <w:b/>
                      <w:bCs/>
                      <w:color w:val="FFFFFF"/>
                      <w:sz w:val="16"/>
                      <w:szCs w:val="16"/>
                    </w:rPr>
                    <w:t>5,443,834</w:t>
                  </w:r>
                </w:p>
              </w:tc>
              <w:tc>
                <w:tcPr>
                  <w:tcW w:w="970" w:type="dxa"/>
                  <w:tcBorders>
                    <w:top w:val="nil"/>
                    <w:left w:val="nil"/>
                    <w:bottom w:val="nil"/>
                    <w:right w:val="single" w:sz="8" w:space="0" w:color="FFFFFF"/>
                  </w:tcBorders>
                  <w:shd w:val="clear" w:color="000000" w:fill="53B9B7"/>
                  <w:vAlign w:val="bottom"/>
                  <w:hideMark/>
                </w:tcPr>
                <w:p w:rsidR="00127C34" w:rsidRPr="00127C34" w:rsidRDefault="00127C34" w:rsidP="00127C34">
                  <w:pPr>
                    <w:jc w:val="right"/>
                    <w:rPr>
                      <w:rFonts w:ascii="Arial" w:hAnsi="Arial" w:cs="Arial"/>
                      <w:b/>
                      <w:bCs/>
                      <w:color w:val="FFFFFF"/>
                      <w:sz w:val="16"/>
                      <w:szCs w:val="16"/>
                    </w:rPr>
                  </w:pPr>
                  <w:r w:rsidRPr="00127C34">
                    <w:rPr>
                      <w:rFonts w:ascii="Arial" w:hAnsi="Arial" w:cs="Arial"/>
                      <w:b/>
                      <w:bCs/>
                      <w:color w:val="FFFFFF"/>
                      <w:sz w:val="16"/>
                      <w:szCs w:val="16"/>
                    </w:rPr>
                    <w:t>3,668,482</w:t>
                  </w:r>
                </w:p>
              </w:tc>
              <w:tc>
                <w:tcPr>
                  <w:tcW w:w="1014" w:type="dxa"/>
                  <w:tcBorders>
                    <w:top w:val="nil"/>
                    <w:left w:val="nil"/>
                    <w:bottom w:val="nil"/>
                    <w:right w:val="single" w:sz="8" w:space="0" w:color="FFFFFF"/>
                  </w:tcBorders>
                  <w:shd w:val="clear" w:color="000000" w:fill="53B9B7"/>
                  <w:vAlign w:val="bottom"/>
                  <w:hideMark/>
                </w:tcPr>
                <w:p w:rsidR="00127C34" w:rsidRPr="00127C34" w:rsidRDefault="00127C34" w:rsidP="00127C34">
                  <w:pPr>
                    <w:jc w:val="right"/>
                    <w:rPr>
                      <w:rFonts w:ascii="Arial" w:hAnsi="Arial" w:cs="Arial"/>
                      <w:b/>
                      <w:bCs/>
                      <w:color w:val="FFFFFF"/>
                      <w:sz w:val="16"/>
                      <w:szCs w:val="16"/>
                    </w:rPr>
                  </w:pPr>
                  <w:r w:rsidRPr="00127C34">
                    <w:rPr>
                      <w:rFonts w:ascii="Arial" w:hAnsi="Arial" w:cs="Arial"/>
                      <w:b/>
                      <w:bCs/>
                      <w:color w:val="FFFFFF"/>
                      <w:sz w:val="16"/>
                      <w:szCs w:val="16"/>
                    </w:rPr>
                    <w:t>615,927</w:t>
                  </w:r>
                </w:p>
              </w:tc>
              <w:tc>
                <w:tcPr>
                  <w:tcW w:w="993" w:type="dxa"/>
                  <w:tcBorders>
                    <w:top w:val="nil"/>
                    <w:left w:val="nil"/>
                    <w:bottom w:val="nil"/>
                    <w:right w:val="single" w:sz="8" w:space="0" w:color="FFFFFF"/>
                  </w:tcBorders>
                  <w:shd w:val="clear" w:color="000000" w:fill="53B9B7"/>
                  <w:vAlign w:val="bottom"/>
                  <w:hideMark/>
                </w:tcPr>
                <w:p w:rsidR="00127C34" w:rsidRPr="00127C34" w:rsidRDefault="00127C34" w:rsidP="00127C34">
                  <w:pPr>
                    <w:jc w:val="right"/>
                    <w:rPr>
                      <w:rFonts w:ascii="Arial" w:hAnsi="Arial" w:cs="Arial"/>
                      <w:b/>
                      <w:bCs/>
                      <w:color w:val="FFFFFF"/>
                      <w:sz w:val="16"/>
                      <w:szCs w:val="16"/>
                    </w:rPr>
                  </w:pPr>
                  <w:r w:rsidRPr="00127C34">
                    <w:rPr>
                      <w:rFonts w:ascii="Arial" w:hAnsi="Arial" w:cs="Arial"/>
                      <w:b/>
                      <w:bCs/>
                      <w:color w:val="FFFFFF"/>
                      <w:sz w:val="16"/>
                      <w:szCs w:val="16"/>
                    </w:rPr>
                    <w:t>557,065</w:t>
                  </w:r>
                </w:p>
              </w:tc>
              <w:tc>
                <w:tcPr>
                  <w:tcW w:w="1134" w:type="dxa"/>
                  <w:tcBorders>
                    <w:top w:val="nil"/>
                    <w:left w:val="nil"/>
                    <w:bottom w:val="nil"/>
                    <w:right w:val="single" w:sz="8" w:space="0" w:color="FFFFFF"/>
                  </w:tcBorders>
                  <w:shd w:val="clear" w:color="000000" w:fill="53B9B7"/>
                  <w:vAlign w:val="bottom"/>
                  <w:hideMark/>
                </w:tcPr>
                <w:p w:rsidR="00127C34" w:rsidRPr="00127C34" w:rsidRDefault="00127C34" w:rsidP="00127C34">
                  <w:pPr>
                    <w:jc w:val="right"/>
                    <w:rPr>
                      <w:rFonts w:ascii="Arial" w:hAnsi="Arial" w:cs="Arial"/>
                      <w:b/>
                      <w:bCs/>
                      <w:color w:val="FFFFFF"/>
                      <w:sz w:val="16"/>
                      <w:szCs w:val="16"/>
                    </w:rPr>
                  </w:pPr>
                  <w:r w:rsidRPr="00127C34">
                    <w:rPr>
                      <w:rFonts w:ascii="Arial" w:hAnsi="Arial" w:cs="Arial"/>
                      <w:b/>
                      <w:bCs/>
                      <w:color w:val="FFFFFF"/>
                      <w:sz w:val="16"/>
                      <w:szCs w:val="16"/>
                    </w:rPr>
                    <w:t>-58,863</w:t>
                  </w:r>
                </w:p>
              </w:tc>
              <w:tc>
                <w:tcPr>
                  <w:tcW w:w="992" w:type="dxa"/>
                  <w:tcBorders>
                    <w:top w:val="nil"/>
                    <w:left w:val="nil"/>
                    <w:bottom w:val="nil"/>
                    <w:right w:val="single" w:sz="8" w:space="0" w:color="FFFFFF"/>
                  </w:tcBorders>
                  <w:shd w:val="clear" w:color="000000" w:fill="53B9B7"/>
                  <w:vAlign w:val="bottom"/>
                  <w:hideMark/>
                </w:tcPr>
                <w:p w:rsidR="00127C34" w:rsidRPr="00127C34" w:rsidRDefault="00127C34" w:rsidP="00127C34">
                  <w:pPr>
                    <w:jc w:val="right"/>
                    <w:rPr>
                      <w:rFonts w:ascii="Arial" w:hAnsi="Arial" w:cs="Arial"/>
                      <w:b/>
                      <w:bCs/>
                      <w:color w:val="FFFFFF"/>
                      <w:sz w:val="16"/>
                      <w:szCs w:val="16"/>
                    </w:rPr>
                  </w:pPr>
                  <w:r w:rsidRPr="00127C34">
                    <w:rPr>
                      <w:rFonts w:ascii="Arial" w:hAnsi="Arial" w:cs="Arial"/>
                      <w:b/>
                      <w:bCs/>
                      <w:color w:val="FFFFFF"/>
                      <w:sz w:val="16"/>
                      <w:szCs w:val="16"/>
                    </w:rPr>
                    <w:t>3,291,684</w:t>
                  </w:r>
                </w:p>
              </w:tc>
              <w:tc>
                <w:tcPr>
                  <w:tcW w:w="928" w:type="dxa"/>
                  <w:tcBorders>
                    <w:top w:val="nil"/>
                    <w:left w:val="nil"/>
                    <w:bottom w:val="nil"/>
                    <w:right w:val="single" w:sz="8" w:space="0" w:color="FFFFFF"/>
                  </w:tcBorders>
                  <w:shd w:val="clear" w:color="000000" w:fill="53B9B7"/>
                  <w:vAlign w:val="bottom"/>
                  <w:hideMark/>
                </w:tcPr>
                <w:p w:rsidR="00127C34" w:rsidRPr="00127C34" w:rsidRDefault="00127C34" w:rsidP="00127C34">
                  <w:pPr>
                    <w:jc w:val="right"/>
                    <w:rPr>
                      <w:rFonts w:ascii="Arial" w:hAnsi="Arial" w:cs="Arial"/>
                      <w:b/>
                      <w:bCs/>
                      <w:color w:val="FFFFFF"/>
                      <w:sz w:val="16"/>
                      <w:szCs w:val="16"/>
                    </w:rPr>
                  </w:pPr>
                  <w:r w:rsidRPr="00127C34">
                    <w:rPr>
                      <w:rFonts w:ascii="Arial" w:hAnsi="Arial" w:cs="Arial"/>
                      <w:b/>
                      <w:bCs/>
                      <w:color w:val="FFFFFF"/>
                      <w:sz w:val="16"/>
                      <w:szCs w:val="16"/>
                    </w:rPr>
                    <w:t>3,208,431</w:t>
                  </w:r>
                </w:p>
              </w:tc>
              <w:tc>
                <w:tcPr>
                  <w:tcW w:w="1198" w:type="dxa"/>
                  <w:tcBorders>
                    <w:top w:val="nil"/>
                    <w:left w:val="nil"/>
                    <w:bottom w:val="nil"/>
                    <w:right w:val="single" w:sz="8" w:space="0" w:color="FFFFFF"/>
                  </w:tcBorders>
                  <w:shd w:val="clear" w:color="000000" w:fill="53B9B7"/>
                  <w:vAlign w:val="bottom"/>
                  <w:hideMark/>
                </w:tcPr>
                <w:p w:rsidR="00127C34" w:rsidRPr="00127C34" w:rsidRDefault="00127C34" w:rsidP="00127C34">
                  <w:pPr>
                    <w:jc w:val="right"/>
                    <w:rPr>
                      <w:rFonts w:ascii="Arial" w:hAnsi="Arial" w:cs="Arial"/>
                      <w:b/>
                      <w:bCs/>
                      <w:color w:val="FFFFFF"/>
                      <w:sz w:val="16"/>
                      <w:szCs w:val="16"/>
                    </w:rPr>
                  </w:pPr>
                  <w:r w:rsidRPr="00127C34">
                    <w:rPr>
                      <w:rFonts w:ascii="Arial" w:hAnsi="Arial" w:cs="Arial"/>
                      <w:b/>
                      <w:bCs/>
                      <w:color w:val="FFFFFF"/>
                      <w:sz w:val="16"/>
                      <w:szCs w:val="16"/>
                    </w:rPr>
                    <w:t>-83,254</w:t>
                  </w:r>
                </w:p>
              </w:tc>
            </w:tr>
          </w:tbl>
          <w:p w:rsidR="00A86F0C" w:rsidRDefault="00A86F0C" w:rsidP="00BC0710">
            <w:pPr>
              <w:tabs>
                <w:tab w:val="left" w:pos="2172"/>
              </w:tabs>
              <w:spacing w:after="200" w:line="276" w:lineRule="auto"/>
              <w:rPr>
                <w:rFonts w:ascii="Arial" w:hAnsi="Arial" w:cs="Arial"/>
                <w:sz w:val="22"/>
                <w:szCs w:val="22"/>
              </w:rPr>
            </w:pPr>
          </w:p>
          <w:p w:rsidR="00DD4FE0" w:rsidRPr="00DD4FE0" w:rsidRDefault="00DD4FE0" w:rsidP="00BC0710">
            <w:pPr>
              <w:tabs>
                <w:tab w:val="left" w:pos="2172"/>
              </w:tabs>
              <w:spacing w:after="200" w:line="276" w:lineRule="auto"/>
              <w:rPr>
                <w:rFonts w:ascii="Arial" w:hAnsi="Arial" w:cs="Arial"/>
                <w:sz w:val="16"/>
                <w:szCs w:val="16"/>
              </w:rPr>
            </w:pPr>
            <w:r>
              <w:rPr>
                <w:rFonts w:ascii="Arial" w:hAnsi="Arial" w:cs="Arial"/>
                <w:sz w:val="22"/>
                <w:szCs w:val="22"/>
              </w:rPr>
              <w:t>Note:</w:t>
            </w:r>
            <w:r>
              <w:rPr>
                <w:rFonts w:ascii="Arial" w:hAnsi="Arial" w:cs="Arial"/>
                <w:sz w:val="16"/>
                <w:szCs w:val="16"/>
              </w:rPr>
              <w:t xml:space="preserve"> The budgets for the Estates strategy may need adjustment to match spend type – for furniture and other external contracts above.</w:t>
            </w:r>
            <w:r w:rsidR="00127C34">
              <w:rPr>
                <w:rFonts w:ascii="Arial" w:hAnsi="Arial" w:cs="Arial"/>
                <w:sz w:val="16"/>
                <w:szCs w:val="16"/>
              </w:rPr>
              <w:t xml:space="preserve">  The </w:t>
            </w:r>
            <w:proofErr w:type="gramStart"/>
            <w:r w:rsidR="00127C34">
              <w:rPr>
                <w:rFonts w:ascii="Arial" w:hAnsi="Arial" w:cs="Arial"/>
                <w:sz w:val="16"/>
                <w:szCs w:val="16"/>
              </w:rPr>
              <w:t>underspend  within</w:t>
            </w:r>
            <w:proofErr w:type="gramEnd"/>
            <w:r w:rsidR="00127C34">
              <w:rPr>
                <w:rFonts w:ascii="Arial" w:hAnsi="Arial" w:cs="Arial"/>
                <w:sz w:val="16"/>
                <w:szCs w:val="16"/>
              </w:rPr>
              <w:t xml:space="preserve"> Premises mostly relates to confirmed rent for Nottingham Standard Court – confirmed late and below estimated cost.</w:t>
            </w:r>
          </w:p>
          <w:p w:rsidR="007C4EA5" w:rsidRDefault="007C4EA5" w:rsidP="00BC0710">
            <w:pPr>
              <w:tabs>
                <w:tab w:val="left" w:pos="2172"/>
              </w:tabs>
              <w:spacing w:after="200" w:line="276" w:lineRule="auto"/>
              <w:rPr>
                <w:rFonts w:ascii="Arial" w:hAnsi="Arial" w:cs="Arial"/>
                <w:sz w:val="22"/>
                <w:szCs w:val="22"/>
              </w:rPr>
            </w:pPr>
          </w:p>
          <w:p w:rsidR="00127C34" w:rsidRPr="00BC0710" w:rsidRDefault="00127C34" w:rsidP="00BC0710">
            <w:pPr>
              <w:tabs>
                <w:tab w:val="left" w:pos="2172"/>
              </w:tabs>
              <w:spacing w:after="200" w:line="276" w:lineRule="auto"/>
              <w:rPr>
                <w:rFonts w:ascii="Arial" w:hAnsi="Arial" w:cs="Arial"/>
                <w:sz w:val="22"/>
                <w:szCs w:val="22"/>
              </w:rPr>
            </w:pPr>
          </w:p>
        </w:tc>
      </w:tr>
    </w:tbl>
    <w:p w:rsidR="00127C34" w:rsidRDefault="00127C34"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9B64AA" w:rsidRPr="00A422D8" w:rsidRDefault="005373EA"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9B64AA">
        <w:rPr>
          <w:rFonts w:ascii="Arial" w:eastAsia="Calibri" w:hAnsi="Arial"/>
          <w:b/>
          <w:bCs/>
          <w:color w:val="56008C"/>
          <w:szCs w:val="26"/>
          <w:lang w:eastAsia="en-US"/>
        </w:rPr>
        <w:t>HRA</w:t>
      </w:r>
      <w:r w:rsidRPr="009B64AA">
        <w:rPr>
          <w:rFonts w:ascii="Arial" w:eastAsia="Calibri" w:hAnsi="Arial"/>
          <w:b/>
          <w:bCs/>
          <w:color w:val="56008C"/>
          <w:szCs w:val="26"/>
          <w:highlight w:val="lightGray"/>
          <w:lang w:eastAsia="en-US"/>
        </w:rPr>
        <w:t xml:space="preserve"> </w:t>
      </w:r>
      <w:r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FE71FF">
        <w:rPr>
          <w:rFonts w:ascii="Arial" w:eastAsia="Calibri" w:hAnsi="Arial"/>
          <w:b/>
          <w:bCs/>
          <w:color w:val="56008C"/>
          <w:szCs w:val="26"/>
          <w:lang w:eastAsia="en-US"/>
        </w:rPr>
        <w:t>to 31 December</w:t>
      </w:r>
      <w:r w:rsidR="00B04C6C" w:rsidRPr="009B64AA">
        <w:rPr>
          <w:rFonts w:ascii="Arial" w:eastAsia="Calibri" w:hAnsi="Arial"/>
          <w:b/>
          <w:bCs/>
          <w:color w:val="56008C"/>
          <w:szCs w:val="26"/>
          <w:lang w:eastAsia="en-US"/>
        </w:rPr>
        <w:t xml:space="preserve"> </w:t>
      </w:r>
      <w:r w:rsidR="007D0BF0" w:rsidRPr="009B64AA">
        <w:rPr>
          <w:rFonts w:ascii="Arial" w:eastAsia="Calibri" w:hAnsi="Arial"/>
          <w:b/>
          <w:bCs/>
          <w:color w:val="56008C"/>
          <w:szCs w:val="26"/>
          <w:lang w:eastAsia="en-US"/>
        </w:rPr>
        <w:t>2015</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tbl>
      <w:tblPr>
        <w:tblW w:w="6599" w:type="dxa"/>
        <w:tblInd w:w="2655" w:type="dxa"/>
        <w:tblLook w:val="04A0" w:firstRow="1" w:lastRow="0" w:firstColumn="1" w:lastColumn="0" w:noHBand="0" w:noVBand="1"/>
      </w:tblPr>
      <w:tblGrid>
        <w:gridCol w:w="2033"/>
        <w:gridCol w:w="1202"/>
        <w:gridCol w:w="1072"/>
        <w:gridCol w:w="1220"/>
        <w:gridCol w:w="1072"/>
      </w:tblGrid>
      <w:tr w:rsidR="00E713F5" w:rsidRPr="00E713F5" w:rsidTr="00E713F5">
        <w:trPr>
          <w:trHeight w:val="327"/>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3F5" w:rsidRPr="00E713F5" w:rsidRDefault="00E713F5" w:rsidP="00E713F5">
            <w:pPr>
              <w:rPr>
                <w:rFonts w:ascii="Calibri" w:hAnsi="Calibri" w:cs="Calibri"/>
                <w:color w:val="000000"/>
              </w:rPr>
            </w:pPr>
            <w:r w:rsidRPr="00E713F5">
              <w:rPr>
                <w:rFonts w:ascii="Calibri" w:hAnsi="Calibri" w:cs="Calibri"/>
                <w:color w:val="000000"/>
              </w:rPr>
              <w:t> </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rPr>
                <w:rFonts w:ascii="Calibri" w:hAnsi="Calibri" w:cs="Calibri"/>
                <w:color w:val="FFFFFF"/>
                <w:sz w:val="22"/>
                <w:szCs w:val="22"/>
              </w:rPr>
            </w:pPr>
            <w:r w:rsidRPr="00E713F5">
              <w:rPr>
                <w:rFonts w:ascii="Calibri" w:hAnsi="Calibri" w:cs="Calibri"/>
                <w:color w:val="FFFFFF"/>
                <w:sz w:val="22"/>
                <w:szCs w:val="22"/>
              </w:rPr>
              <w:t>Number</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center"/>
              <w:rPr>
                <w:rFonts w:ascii="Calibri" w:hAnsi="Calibri" w:cs="Calibri"/>
                <w:color w:val="FFFFFF"/>
                <w:sz w:val="22"/>
                <w:szCs w:val="22"/>
              </w:rPr>
            </w:pPr>
            <w:r w:rsidRPr="00E713F5">
              <w:rPr>
                <w:rFonts w:ascii="Calibri" w:hAnsi="Calibri" w:cs="Calibri"/>
                <w:color w:val="FFFFFF"/>
                <w:sz w:val="22"/>
                <w:szCs w:val="22"/>
              </w:rPr>
              <w:t>%</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rPr>
                <w:rFonts w:ascii="Calibri" w:hAnsi="Calibri" w:cs="Calibri"/>
                <w:color w:val="FFFFFF"/>
                <w:sz w:val="22"/>
                <w:szCs w:val="22"/>
              </w:rPr>
            </w:pPr>
            <w:r w:rsidRPr="00E713F5">
              <w:rPr>
                <w:rFonts w:ascii="Calibri" w:hAnsi="Calibri" w:cs="Calibri"/>
                <w:color w:val="FFFFFF"/>
                <w:sz w:val="22"/>
                <w:szCs w:val="22"/>
              </w:rPr>
              <w:t>Value (£)</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center"/>
              <w:rPr>
                <w:rFonts w:ascii="Calibri" w:hAnsi="Calibri" w:cs="Calibri"/>
                <w:color w:val="FFFFFF"/>
                <w:sz w:val="22"/>
                <w:szCs w:val="22"/>
              </w:rPr>
            </w:pPr>
            <w:r w:rsidRPr="00E713F5">
              <w:rPr>
                <w:rFonts w:ascii="Calibri" w:hAnsi="Calibri" w:cs="Calibri"/>
                <w:color w:val="FFFFFF"/>
                <w:sz w:val="22"/>
                <w:szCs w:val="22"/>
              </w:rPr>
              <w:t>%</w:t>
            </w:r>
          </w:p>
        </w:tc>
      </w:tr>
      <w:tr w:rsidR="00FE71FF" w:rsidRPr="00E713F5" w:rsidTr="00E713F5">
        <w:trPr>
          <w:trHeight w:val="327"/>
        </w:trPr>
        <w:tc>
          <w:tcPr>
            <w:tcW w:w="2033" w:type="dxa"/>
            <w:tcBorders>
              <w:top w:val="nil"/>
              <w:left w:val="single" w:sz="8" w:space="0" w:color="auto"/>
              <w:bottom w:val="single" w:sz="8" w:space="0" w:color="auto"/>
              <w:right w:val="single" w:sz="8" w:space="0" w:color="auto"/>
            </w:tcBorders>
            <w:shd w:val="clear" w:color="auto" w:fill="auto"/>
            <w:noWrap/>
            <w:vAlign w:val="bottom"/>
            <w:hideMark/>
          </w:tcPr>
          <w:p w:rsidR="00FE71FF" w:rsidRPr="00E713F5" w:rsidRDefault="00FE71FF" w:rsidP="00E713F5">
            <w:pPr>
              <w:rPr>
                <w:rFonts w:ascii="Calibri" w:hAnsi="Calibri" w:cs="Calibri"/>
                <w:color w:val="000000"/>
              </w:rPr>
            </w:pPr>
            <w:r w:rsidRPr="00E713F5">
              <w:rPr>
                <w:rFonts w:ascii="Calibri" w:hAnsi="Calibri" w:cs="Calibri"/>
                <w:color w:val="000000"/>
              </w:rPr>
              <w:t>0-5</w:t>
            </w:r>
          </w:p>
        </w:tc>
        <w:tc>
          <w:tcPr>
            <w:tcW w:w="1202" w:type="dxa"/>
            <w:tcBorders>
              <w:top w:val="nil"/>
              <w:left w:val="nil"/>
              <w:bottom w:val="nil"/>
              <w:right w:val="single" w:sz="8" w:space="0" w:color="auto"/>
            </w:tcBorders>
            <w:shd w:val="clear" w:color="000000" w:fill="56008C"/>
            <w:noWrap/>
            <w:vAlign w:val="bottom"/>
          </w:tcPr>
          <w:p w:rsidR="00FE71FF" w:rsidRDefault="00FE71FF">
            <w:pPr>
              <w:jc w:val="right"/>
              <w:rPr>
                <w:rFonts w:ascii="Calibri" w:hAnsi="Calibri" w:cs="Calibri"/>
                <w:color w:val="FFFFFF"/>
                <w:sz w:val="22"/>
                <w:szCs w:val="22"/>
              </w:rPr>
            </w:pPr>
            <w:r>
              <w:rPr>
                <w:rFonts w:ascii="Calibri" w:hAnsi="Calibri" w:cs="Calibri"/>
                <w:color w:val="FFFFFF"/>
                <w:sz w:val="22"/>
                <w:szCs w:val="22"/>
              </w:rPr>
              <w:t>196</w:t>
            </w:r>
          </w:p>
        </w:tc>
        <w:tc>
          <w:tcPr>
            <w:tcW w:w="1072" w:type="dxa"/>
            <w:tcBorders>
              <w:top w:val="nil"/>
              <w:left w:val="nil"/>
              <w:bottom w:val="single" w:sz="8" w:space="0" w:color="auto"/>
              <w:right w:val="single" w:sz="8" w:space="0" w:color="auto"/>
            </w:tcBorders>
            <w:shd w:val="clear" w:color="000000" w:fill="56008C"/>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6%</w:t>
            </w:r>
          </w:p>
        </w:tc>
        <w:tc>
          <w:tcPr>
            <w:tcW w:w="1220"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688,098</w:t>
            </w:r>
          </w:p>
        </w:tc>
        <w:tc>
          <w:tcPr>
            <w:tcW w:w="1072"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15%</w:t>
            </w:r>
          </w:p>
        </w:tc>
      </w:tr>
      <w:tr w:rsidR="00FE71FF"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FE71FF" w:rsidRPr="00E713F5" w:rsidRDefault="00FE71FF" w:rsidP="00E713F5">
            <w:pPr>
              <w:rPr>
                <w:rFonts w:ascii="Calibri" w:hAnsi="Calibri" w:cs="Calibri"/>
                <w:color w:val="000000"/>
                <w:sz w:val="22"/>
                <w:szCs w:val="22"/>
              </w:rPr>
            </w:pPr>
            <w:r w:rsidRPr="00E713F5">
              <w:rPr>
                <w:rFonts w:ascii="Calibri" w:hAnsi="Calibri" w:cs="Calibri"/>
                <w:color w:val="000000"/>
                <w:sz w:val="22"/>
                <w:szCs w:val="22"/>
              </w:rPr>
              <w:t>6-10 Days</w:t>
            </w:r>
          </w:p>
        </w:tc>
        <w:tc>
          <w:tcPr>
            <w:tcW w:w="1202" w:type="dxa"/>
            <w:tcBorders>
              <w:top w:val="single" w:sz="8" w:space="0" w:color="auto"/>
              <w:left w:val="nil"/>
              <w:bottom w:val="nil"/>
              <w:right w:val="single" w:sz="8" w:space="0" w:color="auto"/>
            </w:tcBorders>
            <w:shd w:val="clear" w:color="000000" w:fill="56008C"/>
            <w:noWrap/>
            <w:vAlign w:val="bottom"/>
          </w:tcPr>
          <w:p w:rsidR="00FE71FF" w:rsidRDefault="00FE71FF">
            <w:pPr>
              <w:jc w:val="right"/>
              <w:rPr>
                <w:rFonts w:ascii="Calibri" w:hAnsi="Calibri" w:cs="Calibri"/>
                <w:color w:val="FFFFFF"/>
                <w:sz w:val="22"/>
                <w:szCs w:val="22"/>
              </w:rPr>
            </w:pPr>
            <w:r>
              <w:rPr>
                <w:rFonts w:ascii="Calibri" w:hAnsi="Calibri" w:cs="Calibri"/>
                <w:color w:val="FFFFFF"/>
                <w:sz w:val="22"/>
                <w:szCs w:val="22"/>
              </w:rPr>
              <w:t>1740</w:t>
            </w:r>
          </w:p>
        </w:tc>
        <w:tc>
          <w:tcPr>
            <w:tcW w:w="1072" w:type="dxa"/>
            <w:tcBorders>
              <w:top w:val="nil"/>
              <w:left w:val="nil"/>
              <w:bottom w:val="single" w:sz="8" w:space="0" w:color="auto"/>
              <w:right w:val="single" w:sz="8" w:space="0" w:color="auto"/>
            </w:tcBorders>
            <w:shd w:val="clear" w:color="000000" w:fill="56008C"/>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53%</w:t>
            </w:r>
          </w:p>
        </w:tc>
        <w:tc>
          <w:tcPr>
            <w:tcW w:w="1220"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1,838,849</w:t>
            </w:r>
          </w:p>
        </w:tc>
        <w:tc>
          <w:tcPr>
            <w:tcW w:w="1072"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41%</w:t>
            </w:r>
          </w:p>
        </w:tc>
      </w:tr>
      <w:tr w:rsidR="00FE71FF"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FE71FF" w:rsidRPr="00E713F5" w:rsidRDefault="00FE71FF" w:rsidP="00E713F5">
            <w:pPr>
              <w:rPr>
                <w:rFonts w:ascii="Calibri" w:hAnsi="Calibri" w:cs="Calibri"/>
                <w:color w:val="000000"/>
                <w:sz w:val="22"/>
                <w:szCs w:val="22"/>
              </w:rPr>
            </w:pPr>
            <w:r w:rsidRPr="00E713F5">
              <w:rPr>
                <w:rFonts w:ascii="Calibri" w:hAnsi="Calibri" w:cs="Calibri"/>
                <w:color w:val="000000"/>
                <w:sz w:val="22"/>
                <w:szCs w:val="22"/>
              </w:rPr>
              <w:t>11-20 Days</w:t>
            </w:r>
          </w:p>
        </w:tc>
        <w:tc>
          <w:tcPr>
            <w:tcW w:w="1202" w:type="dxa"/>
            <w:tcBorders>
              <w:top w:val="single" w:sz="8" w:space="0" w:color="auto"/>
              <w:left w:val="nil"/>
              <w:bottom w:val="single" w:sz="8" w:space="0" w:color="auto"/>
              <w:right w:val="single" w:sz="8" w:space="0" w:color="auto"/>
            </w:tcBorders>
            <w:shd w:val="clear" w:color="000000" w:fill="56008C"/>
            <w:noWrap/>
            <w:vAlign w:val="bottom"/>
          </w:tcPr>
          <w:p w:rsidR="00FE71FF" w:rsidRDefault="00FE71FF">
            <w:pPr>
              <w:jc w:val="right"/>
              <w:rPr>
                <w:rFonts w:ascii="Calibri" w:hAnsi="Calibri" w:cs="Calibri"/>
                <w:color w:val="FFFFFF"/>
                <w:sz w:val="22"/>
                <w:szCs w:val="22"/>
              </w:rPr>
            </w:pPr>
            <w:r>
              <w:rPr>
                <w:rFonts w:ascii="Calibri" w:hAnsi="Calibri" w:cs="Calibri"/>
                <w:color w:val="FFFFFF"/>
                <w:sz w:val="22"/>
                <w:szCs w:val="22"/>
              </w:rPr>
              <w:t>1219</w:t>
            </w:r>
          </w:p>
        </w:tc>
        <w:tc>
          <w:tcPr>
            <w:tcW w:w="1072" w:type="dxa"/>
            <w:tcBorders>
              <w:top w:val="nil"/>
              <w:left w:val="nil"/>
              <w:bottom w:val="single" w:sz="8" w:space="0" w:color="auto"/>
              <w:right w:val="single" w:sz="8" w:space="0" w:color="auto"/>
            </w:tcBorders>
            <w:shd w:val="clear" w:color="000000" w:fill="56008C"/>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37%</w:t>
            </w:r>
          </w:p>
        </w:tc>
        <w:tc>
          <w:tcPr>
            <w:tcW w:w="1220"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1,458,513</w:t>
            </w:r>
          </w:p>
        </w:tc>
        <w:tc>
          <w:tcPr>
            <w:tcW w:w="1072"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33%</w:t>
            </w:r>
          </w:p>
        </w:tc>
      </w:tr>
      <w:tr w:rsidR="00FE71FF"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FE71FF" w:rsidRPr="00E713F5" w:rsidRDefault="00FE71FF" w:rsidP="00E713F5">
            <w:pPr>
              <w:rPr>
                <w:rFonts w:ascii="Calibri" w:hAnsi="Calibri" w:cs="Calibri"/>
                <w:color w:val="000000"/>
                <w:sz w:val="22"/>
                <w:szCs w:val="22"/>
              </w:rPr>
            </w:pPr>
            <w:r w:rsidRPr="00E713F5">
              <w:rPr>
                <w:rFonts w:ascii="Calibri" w:hAnsi="Calibri" w:cs="Calibri"/>
                <w:color w:val="000000"/>
                <w:sz w:val="22"/>
                <w:szCs w:val="22"/>
              </w:rPr>
              <w:t>21-30 Days</w:t>
            </w:r>
          </w:p>
        </w:tc>
        <w:tc>
          <w:tcPr>
            <w:tcW w:w="1202" w:type="dxa"/>
            <w:tcBorders>
              <w:top w:val="nil"/>
              <w:left w:val="nil"/>
              <w:bottom w:val="single" w:sz="8" w:space="0" w:color="auto"/>
              <w:right w:val="single" w:sz="8" w:space="0" w:color="auto"/>
            </w:tcBorders>
            <w:shd w:val="clear" w:color="000000" w:fill="56008C"/>
            <w:noWrap/>
            <w:vAlign w:val="bottom"/>
          </w:tcPr>
          <w:p w:rsidR="00FE71FF" w:rsidRDefault="00FE71FF">
            <w:pPr>
              <w:jc w:val="right"/>
              <w:rPr>
                <w:rFonts w:ascii="Calibri" w:hAnsi="Calibri" w:cs="Calibri"/>
                <w:color w:val="FFFFFF"/>
                <w:sz w:val="22"/>
                <w:szCs w:val="22"/>
              </w:rPr>
            </w:pPr>
            <w:r>
              <w:rPr>
                <w:rFonts w:ascii="Calibri" w:hAnsi="Calibri" w:cs="Calibri"/>
                <w:color w:val="FFFFFF"/>
                <w:sz w:val="22"/>
                <w:szCs w:val="22"/>
              </w:rPr>
              <w:t>53</w:t>
            </w:r>
          </w:p>
        </w:tc>
        <w:tc>
          <w:tcPr>
            <w:tcW w:w="1072" w:type="dxa"/>
            <w:tcBorders>
              <w:top w:val="nil"/>
              <w:left w:val="nil"/>
              <w:bottom w:val="single" w:sz="8" w:space="0" w:color="auto"/>
              <w:right w:val="single" w:sz="8" w:space="0" w:color="auto"/>
            </w:tcBorders>
            <w:shd w:val="clear" w:color="000000" w:fill="56008C"/>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2%</w:t>
            </w:r>
          </w:p>
        </w:tc>
        <w:tc>
          <w:tcPr>
            <w:tcW w:w="1220"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309,958</w:t>
            </w:r>
          </w:p>
        </w:tc>
        <w:tc>
          <w:tcPr>
            <w:tcW w:w="1072"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7%</w:t>
            </w:r>
          </w:p>
        </w:tc>
      </w:tr>
      <w:tr w:rsidR="00FE71FF"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FE71FF" w:rsidRPr="00E713F5" w:rsidRDefault="00FE71FF" w:rsidP="00E713F5">
            <w:pPr>
              <w:rPr>
                <w:rFonts w:ascii="Calibri" w:hAnsi="Calibri" w:cs="Calibri"/>
                <w:color w:val="000000"/>
                <w:sz w:val="22"/>
                <w:szCs w:val="22"/>
              </w:rPr>
            </w:pPr>
            <w:r w:rsidRPr="00E713F5">
              <w:rPr>
                <w:rFonts w:ascii="Calibri" w:hAnsi="Calibri" w:cs="Calibri"/>
                <w:color w:val="000000"/>
                <w:sz w:val="22"/>
                <w:szCs w:val="22"/>
              </w:rPr>
              <w:t>Over 30 Days</w:t>
            </w:r>
          </w:p>
        </w:tc>
        <w:tc>
          <w:tcPr>
            <w:tcW w:w="1202" w:type="dxa"/>
            <w:tcBorders>
              <w:top w:val="nil"/>
              <w:left w:val="nil"/>
              <w:bottom w:val="single" w:sz="8" w:space="0" w:color="auto"/>
              <w:right w:val="single" w:sz="8" w:space="0" w:color="auto"/>
            </w:tcBorders>
            <w:shd w:val="clear" w:color="000000" w:fill="56008C"/>
            <w:noWrap/>
            <w:vAlign w:val="bottom"/>
          </w:tcPr>
          <w:p w:rsidR="00FE71FF" w:rsidRDefault="00FE71FF">
            <w:pPr>
              <w:jc w:val="right"/>
              <w:rPr>
                <w:rFonts w:ascii="Calibri" w:hAnsi="Calibri" w:cs="Calibri"/>
                <w:color w:val="FFFFFF"/>
                <w:sz w:val="22"/>
                <w:szCs w:val="22"/>
              </w:rPr>
            </w:pPr>
            <w:r>
              <w:rPr>
                <w:rFonts w:ascii="Calibri" w:hAnsi="Calibri" w:cs="Calibri"/>
                <w:color w:val="FFFFFF"/>
                <w:sz w:val="22"/>
                <w:szCs w:val="22"/>
              </w:rPr>
              <w:t>73</w:t>
            </w:r>
          </w:p>
        </w:tc>
        <w:tc>
          <w:tcPr>
            <w:tcW w:w="1072" w:type="dxa"/>
            <w:tcBorders>
              <w:top w:val="nil"/>
              <w:left w:val="nil"/>
              <w:bottom w:val="single" w:sz="8" w:space="0" w:color="auto"/>
              <w:right w:val="single" w:sz="8" w:space="0" w:color="auto"/>
            </w:tcBorders>
            <w:shd w:val="clear" w:color="000000" w:fill="56008C"/>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2%</w:t>
            </w:r>
          </w:p>
        </w:tc>
        <w:tc>
          <w:tcPr>
            <w:tcW w:w="1220"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155,882</w:t>
            </w:r>
          </w:p>
        </w:tc>
        <w:tc>
          <w:tcPr>
            <w:tcW w:w="1072"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4%</w:t>
            </w:r>
          </w:p>
        </w:tc>
      </w:tr>
      <w:tr w:rsidR="00FE71FF"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FE71FF" w:rsidRPr="00E713F5" w:rsidRDefault="00FE71FF" w:rsidP="00E713F5">
            <w:pPr>
              <w:rPr>
                <w:rFonts w:ascii="Calibri" w:hAnsi="Calibri" w:cs="Calibri"/>
                <w:color w:val="000000"/>
                <w:sz w:val="22"/>
                <w:szCs w:val="22"/>
              </w:rPr>
            </w:pPr>
            <w:r w:rsidRPr="00E713F5">
              <w:rPr>
                <w:rFonts w:ascii="Calibri" w:hAnsi="Calibri" w:cs="Calibri"/>
                <w:color w:val="000000"/>
                <w:sz w:val="22"/>
                <w:szCs w:val="22"/>
              </w:rPr>
              <w:t>Total</w:t>
            </w:r>
          </w:p>
        </w:tc>
        <w:tc>
          <w:tcPr>
            <w:tcW w:w="1202" w:type="dxa"/>
            <w:tcBorders>
              <w:top w:val="nil"/>
              <w:left w:val="nil"/>
              <w:bottom w:val="single" w:sz="8" w:space="0" w:color="auto"/>
              <w:right w:val="single" w:sz="8" w:space="0" w:color="auto"/>
            </w:tcBorders>
            <w:shd w:val="clear" w:color="000000" w:fill="56008C"/>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3,281</w:t>
            </w:r>
          </w:p>
        </w:tc>
        <w:tc>
          <w:tcPr>
            <w:tcW w:w="1072" w:type="dxa"/>
            <w:tcBorders>
              <w:top w:val="nil"/>
              <w:left w:val="nil"/>
              <w:bottom w:val="single" w:sz="8" w:space="0" w:color="auto"/>
              <w:right w:val="single" w:sz="8" w:space="0" w:color="auto"/>
            </w:tcBorders>
            <w:shd w:val="clear" w:color="000000" w:fill="56008C"/>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100%</w:t>
            </w:r>
          </w:p>
        </w:tc>
        <w:tc>
          <w:tcPr>
            <w:tcW w:w="1220"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4,451,299</w:t>
            </w:r>
          </w:p>
        </w:tc>
        <w:tc>
          <w:tcPr>
            <w:tcW w:w="1072" w:type="dxa"/>
            <w:tcBorders>
              <w:top w:val="nil"/>
              <w:left w:val="nil"/>
              <w:bottom w:val="single" w:sz="8" w:space="0" w:color="auto"/>
              <w:right w:val="single" w:sz="8" w:space="0" w:color="auto"/>
            </w:tcBorders>
            <w:shd w:val="clear" w:color="000000" w:fill="E28C05"/>
            <w:noWrap/>
            <w:vAlign w:val="center"/>
          </w:tcPr>
          <w:p w:rsidR="00FE71FF" w:rsidRDefault="00FE71FF">
            <w:pPr>
              <w:jc w:val="right"/>
              <w:rPr>
                <w:rFonts w:ascii="Calibri" w:hAnsi="Calibri" w:cs="Calibri"/>
                <w:color w:val="FFFFFF"/>
                <w:sz w:val="22"/>
                <w:szCs w:val="22"/>
              </w:rPr>
            </w:pPr>
            <w:r>
              <w:rPr>
                <w:rFonts w:ascii="Calibri" w:hAnsi="Calibri" w:cs="Calibri"/>
                <w:color w:val="FFFFFF"/>
                <w:sz w:val="22"/>
                <w:szCs w:val="22"/>
              </w:rPr>
              <w:t>100%</w:t>
            </w:r>
          </w:p>
        </w:tc>
      </w:tr>
      <w:tr w:rsidR="00E713F5" w:rsidRPr="00E713F5" w:rsidTr="00E713F5">
        <w:trPr>
          <w:trHeight w:val="312"/>
        </w:trPr>
        <w:tc>
          <w:tcPr>
            <w:tcW w:w="2033" w:type="dxa"/>
            <w:tcBorders>
              <w:top w:val="nil"/>
              <w:left w:val="nil"/>
              <w:bottom w:val="nil"/>
              <w:right w:val="nil"/>
            </w:tcBorders>
            <w:shd w:val="clear" w:color="auto" w:fill="auto"/>
            <w:noWrap/>
            <w:vAlign w:val="bottom"/>
            <w:hideMark/>
          </w:tcPr>
          <w:p w:rsidR="00E713F5" w:rsidRPr="00E713F5" w:rsidRDefault="00E713F5" w:rsidP="00E713F5">
            <w:pPr>
              <w:rPr>
                <w:rFonts w:ascii="Calibri" w:hAnsi="Calibri" w:cs="Calibri"/>
                <w:color w:val="000000"/>
                <w:sz w:val="22"/>
                <w:szCs w:val="22"/>
              </w:rPr>
            </w:pPr>
          </w:p>
        </w:tc>
        <w:tc>
          <w:tcPr>
            <w:tcW w:w="1202" w:type="dxa"/>
            <w:tcBorders>
              <w:top w:val="nil"/>
              <w:left w:val="nil"/>
              <w:bottom w:val="nil"/>
              <w:right w:val="nil"/>
            </w:tcBorders>
            <w:shd w:val="clear" w:color="auto" w:fill="auto"/>
            <w:noWrap/>
            <w:vAlign w:val="bottom"/>
            <w:hideMark/>
          </w:tcPr>
          <w:p w:rsidR="00E713F5" w:rsidRPr="00E713F5" w:rsidRDefault="00E713F5" w:rsidP="00E713F5">
            <w:pPr>
              <w:rPr>
                <w:rFonts w:ascii="Calibri" w:hAnsi="Calibri" w:cs="Calibri"/>
                <w:color w:val="FFFFFF"/>
                <w:sz w:val="22"/>
                <w:szCs w:val="22"/>
              </w:rPr>
            </w:pPr>
          </w:p>
        </w:tc>
        <w:tc>
          <w:tcPr>
            <w:tcW w:w="1072" w:type="dxa"/>
            <w:tcBorders>
              <w:top w:val="nil"/>
              <w:left w:val="nil"/>
              <w:bottom w:val="nil"/>
              <w:right w:val="nil"/>
            </w:tcBorders>
            <w:shd w:val="clear" w:color="auto" w:fill="auto"/>
            <w:noWrap/>
            <w:vAlign w:val="bottom"/>
            <w:hideMark/>
          </w:tcPr>
          <w:p w:rsidR="00E713F5" w:rsidRPr="00E713F5" w:rsidRDefault="00E713F5" w:rsidP="00E713F5">
            <w:pPr>
              <w:rPr>
                <w:rFonts w:ascii="Calibri" w:hAnsi="Calibri" w:cs="Calibri"/>
                <w:color w:val="FFFFFF"/>
                <w:sz w:val="22"/>
                <w:szCs w:val="22"/>
              </w:rPr>
            </w:pPr>
          </w:p>
        </w:tc>
        <w:tc>
          <w:tcPr>
            <w:tcW w:w="1220" w:type="dxa"/>
            <w:tcBorders>
              <w:top w:val="nil"/>
              <w:left w:val="nil"/>
              <w:bottom w:val="nil"/>
              <w:right w:val="nil"/>
            </w:tcBorders>
            <w:shd w:val="clear" w:color="auto" w:fill="auto"/>
            <w:noWrap/>
            <w:vAlign w:val="bottom"/>
            <w:hideMark/>
          </w:tcPr>
          <w:p w:rsidR="00E713F5" w:rsidRPr="00E713F5" w:rsidRDefault="00E713F5" w:rsidP="00E713F5">
            <w:pPr>
              <w:rPr>
                <w:rFonts w:ascii="Calibri" w:hAnsi="Calibri" w:cs="Calibri"/>
                <w:color w:val="000000"/>
                <w:sz w:val="22"/>
                <w:szCs w:val="22"/>
              </w:rPr>
            </w:pPr>
          </w:p>
        </w:tc>
        <w:tc>
          <w:tcPr>
            <w:tcW w:w="1072" w:type="dxa"/>
            <w:tcBorders>
              <w:top w:val="nil"/>
              <w:left w:val="nil"/>
              <w:bottom w:val="nil"/>
              <w:right w:val="nil"/>
            </w:tcBorders>
            <w:shd w:val="clear" w:color="auto" w:fill="auto"/>
            <w:noWrap/>
            <w:vAlign w:val="bottom"/>
            <w:hideMark/>
          </w:tcPr>
          <w:p w:rsidR="00E713F5" w:rsidRPr="00E713F5" w:rsidRDefault="00E713F5" w:rsidP="00E713F5">
            <w:pPr>
              <w:rPr>
                <w:rFonts w:ascii="Calibri" w:hAnsi="Calibri" w:cs="Calibri"/>
                <w:color w:val="000000"/>
                <w:sz w:val="22"/>
                <w:szCs w:val="22"/>
              </w:rPr>
            </w:pPr>
          </w:p>
        </w:tc>
      </w:tr>
      <w:tr w:rsidR="00E713F5" w:rsidRPr="00E713F5" w:rsidTr="00E713F5">
        <w:trPr>
          <w:trHeight w:val="312"/>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13F5" w:rsidRPr="00E713F5" w:rsidRDefault="00E713F5" w:rsidP="00E713F5">
            <w:pPr>
              <w:rPr>
                <w:rFonts w:ascii="Calibri" w:hAnsi="Calibri" w:cs="Calibri"/>
                <w:b/>
                <w:bCs/>
                <w:color w:val="000000"/>
                <w:sz w:val="22"/>
                <w:szCs w:val="22"/>
              </w:rPr>
            </w:pPr>
            <w:r w:rsidRPr="00E713F5">
              <w:rPr>
                <w:rFonts w:ascii="Calibri" w:hAnsi="Calibri" w:cs="Calibri"/>
                <w:b/>
                <w:bCs/>
                <w:color w:val="000000"/>
                <w:sz w:val="22"/>
                <w:szCs w:val="22"/>
              </w:rPr>
              <w:t>BPPC achieved</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98%</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98%</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Pr>
                <w:rFonts w:ascii="Calibri" w:hAnsi="Calibri" w:cs="Calibri"/>
                <w:color w:val="FFFFFF"/>
                <w:sz w:val="22"/>
                <w:szCs w:val="22"/>
              </w:rPr>
              <w:t>96</w:t>
            </w:r>
            <w:r w:rsidRPr="00E713F5">
              <w:rPr>
                <w:rFonts w:ascii="Calibri" w:hAnsi="Calibri" w:cs="Calibri"/>
                <w:color w:val="FFFFFF"/>
                <w:sz w:val="22"/>
                <w:szCs w:val="22"/>
              </w:rPr>
              <w:t>%</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Pr>
                <w:rFonts w:ascii="Calibri" w:hAnsi="Calibri" w:cs="Calibri"/>
                <w:color w:val="FFFFFF"/>
                <w:sz w:val="22"/>
                <w:szCs w:val="22"/>
              </w:rPr>
              <w:t>96</w:t>
            </w:r>
            <w:r w:rsidRPr="00E713F5">
              <w:rPr>
                <w:rFonts w:ascii="Calibri" w:hAnsi="Calibri" w:cs="Calibri"/>
                <w:color w:val="FFFFFF"/>
                <w:sz w:val="22"/>
                <w:szCs w:val="22"/>
              </w:rPr>
              <w:t>%</w:t>
            </w:r>
          </w:p>
        </w:tc>
      </w:tr>
      <w:tr w:rsidR="00E713F5" w:rsidRPr="00E713F5" w:rsidTr="00E713F5">
        <w:trPr>
          <w:trHeight w:val="312"/>
        </w:trPr>
        <w:tc>
          <w:tcPr>
            <w:tcW w:w="2033" w:type="dxa"/>
            <w:tcBorders>
              <w:top w:val="nil"/>
              <w:left w:val="nil"/>
              <w:bottom w:val="nil"/>
              <w:right w:val="nil"/>
            </w:tcBorders>
            <w:shd w:val="clear" w:color="auto" w:fill="auto"/>
            <w:noWrap/>
            <w:vAlign w:val="center"/>
            <w:hideMark/>
          </w:tcPr>
          <w:p w:rsidR="00E713F5" w:rsidRPr="00E713F5" w:rsidRDefault="00E713F5" w:rsidP="00E713F5">
            <w:pPr>
              <w:rPr>
                <w:rFonts w:ascii="Calibri" w:hAnsi="Calibri" w:cs="Calibri"/>
                <w:b/>
                <w:bCs/>
                <w:color w:val="000000"/>
                <w:sz w:val="22"/>
                <w:szCs w:val="22"/>
              </w:rPr>
            </w:pPr>
          </w:p>
        </w:tc>
        <w:tc>
          <w:tcPr>
            <w:tcW w:w="1202" w:type="dxa"/>
            <w:tcBorders>
              <w:top w:val="nil"/>
              <w:left w:val="nil"/>
              <w:bottom w:val="nil"/>
              <w:right w:val="nil"/>
            </w:tcBorders>
            <w:shd w:val="clear" w:color="auto" w:fill="auto"/>
            <w:noWrap/>
            <w:vAlign w:val="center"/>
            <w:hideMark/>
          </w:tcPr>
          <w:p w:rsidR="00E713F5" w:rsidRPr="00E713F5" w:rsidRDefault="00E713F5" w:rsidP="00E713F5">
            <w:pPr>
              <w:jc w:val="right"/>
              <w:rPr>
                <w:rFonts w:ascii="Calibri" w:hAnsi="Calibri" w:cs="Calibri"/>
                <w:color w:val="000000"/>
                <w:sz w:val="22"/>
                <w:szCs w:val="22"/>
              </w:rPr>
            </w:pPr>
          </w:p>
        </w:tc>
        <w:tc>
          <w:tcPr>
            <w:tcW w:w="1072" w:type="dxa"/>
            <w:tcBorders>
              <w:top w:val="nil"/>
              <w:left w:val="nil"/>
              <w:bottom w:val="nil"/>
              <w:right w:val="nil"/>
            </w:tcBorders>
            <w:shd w:val="clear" w:color="auto" w:fill="auto"/>
            <w:noWrap/>
            <w:vAlign w:val="center"/>
            <w:hideMark/>
          </w:tcPr>
          <w:p w:rsidR="00E713F5" w:rsidRPr="00E713F5" w:rsidRDefault="00E713F5" w:rsidP="00E713F5">
            <w:pPr>
              <w:jc w:val="right"/>
              <w:rPr>
                <w:rFonts w:ascii="Calibri" w:hAnsi="Calibri" w:cs="Calibri"/>
                <w:color w:val="000000"/>
                <w:sz w:val="22"/>
                <w:szCs w:val="22"/>
              </w:rPr>
            </w:pPr>
          </w:p>
        </w:tc>
        <w:tc>
          <w:tcPr>
            <w:tcW w:w="1220" w:type="dxa"/>
            <w:tcBorders>
              <w:top w:val="nil"/>
              <w:left w:val="nil"/>
              <w:bottom w:val="nil"/>
              <w:right w:val="nil"/>
            </w:tcBorders>
            <w:shd w:val="clear" w:color="auto" w:fill="auto"/>
            <w:noWrap/>
            <w:vAlign w:val="center"/>
            <w:hideMark/>
          </w:tcPr>
          <w:p w:rsidR="00E713F5" w:rsidRPr="00E713F5" w:rsidRDefault="00E713F5" w:rsidP="00E713F5">
            <w:pPr>
              <w:jc w:val="right"/>
              <w:rPr>
                <w:rFonts w:ascii="Calibri" w:hAnsi="Calibri" w:cs="Calibri"/>
                <w:color w:val="000000"/>
                <w:sz w:val="22"/>
                <w:szCs w:val="22"/>
              </w:rPr>
            </w:pPr>
          </w:p>
        </w:tc>
        <w:tc>
          <w:tcPr>
            <w:tcW w:w="1072" w:type="dxa"/>
            <w:tcBorders>
              <w:top w:val="nil"/>
              <w:left w:val="nil"/>
              <w:bottom w:val="nil"/>
              <w:right w:val="nil"/>
            </w:tcBorders>
            <w:shd w:val="clear" w:color="auto" w:fill="auto"/>
            <w:noWrap/>
            <w:vAlign w:val="center"/>
            <w:hideMark/>
          </w:tcPr>
          <w:p w:rsidR="00E713F5" w:rsidRPr="00E713F5" w:rsidRDefault="00E713F5" w:rsidP="00E713F5">
            <w:pPr>
              <w:jc w:val="right"/>
              <w:rPr>
                <w:rFonts w:ascii="Calibri" w:hAnsi="Calibri" w:cs="Calibri"/>
                <w:color w:val="000000"/>
                <w:sz w:val="22"/>
                <w:szCs w:val="22"/>
              </w:rPr>
            </w:pPr>
          </w:p>
        </w:tc>
      </w:tr>
      <w:tr w:rsidR="00E713F5" w:rsidRPr="00E713F5" w:rsidTr="00E713F5">
        <w:trPr>
          <w:trHeight w:val="312"/>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13F5" w:rsidRPr="00E713F5" w:rsidRDefault="00E713F5" w:rsidP="00E713F5">
            <w:pPr>
              <w:rPr>
                <w:rFonts w:ascii="Calibri" w:hAnsi="Calibri" w:cs="Calibri"/>
                <w:b/>
                <w:bCs/>
                <w:color w:val="000000"/>
                <w:sz w:val="22"/>
                <w:szCs w:val="22"/>
              </w:rPr>
            </w:pPr>
            <w:r w:rsidRPr="00E713F5">
              <w:rPr>
                <w:rFonts w:ascii="Calibri" w:hAnsi="Calibri" w:cs="Calibri"/>
                <w:b/>
                <w:bCs/>
                <w:color w:val="000000"/>
                <w:sz w:val="22"/>
                <w:szCs w:val="22"/>
              </w:rPr>
              <w:t>2014/15 Performance</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98%</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98%</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97%</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97%</w:t>
            </w:r>
          </w:p>
        </w:tc>
      </w:tr>
      <w:tr w:rsidR="00E713F5" w:rsidRPr="00E713F5" w:rsidTr="00E713F5">
        <w:trPr>
          <w:trHeight w:val="609"/>
        </w:trPr>
        <w:tc>
          <w:tcPr>
            <w:tcW w:w="2033" w:type="dxa"/>
            <w:tcBorders>
              <w:top w:val="nil"/>
              <w:left w:val="single" w:sz="8" w:space="0" w:color="auto"/>
              <w:bottom w:val="single" w:sz="8" w:space="0" w:color="auto"/>
              <w:right w:val="single" w:sz="8" w:space="0" w:color="auto"/>
            </w:tcBorders>
            <w:shd w:val="clear" w:color="auto" w:fill="auto"/>
            <w:vAlign w:val="center"/>
            <w:hideMark/>
          </w:tcPr>
          <w:p w:rsidR="00E713F5" w:rsidRPr="00E713F5" w:rsidRDefault="00E713F5" w:rsidP="00E713F5">
            <w:pPr>
              <w:rPr>
                <w:rFonts w:ascii="Calibri" w:hAnsi="Calibri" w:cs="Calibri"/>
                <w:b/>
                <w:bCs/>
                <w:color w:val="000000"/>
                <w:sz w:val="22"/>
                <w:szCs w:val="22"/>
              </w:rPr>
            </w:pPr>
            <w:r w:rsidRPr="00E713F5">
              <w:rPr>
                <w:rFonts w:ascii="Calibri" w:hAnsi="Calibri" w:cs="Calibri"/>
                <w:b/>
                <w:bCs/>
                <w:color w:val="000000"/>
                <w:sz w:val="22"/>
                <w:szCs w:val="22"/>
              </w:rPr>
              <w:t>2014/15 0-5 day performance</w:t>
            </w:r>
          </w:p>
        </w:tc>
        <w:tc>
          <w:tcPr>
            <w:tcW w:w="1202" w:type="dxa"/>
            <w:tcBorders>
              <w:top w:val="nil"/>
              <w:left w:val="nil"/>
              <w:bottom w:val="nil"/>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225</w:t>
            </w:r>
          </w:p>
        </w:tc>
        <w:tc>
          <w:tcPr>
            <w:tcW w:w="1072" w:type="dxa"/>
            <w:tcBorders>
              <w:top w:val="nil"/>
              <w:left w:val="nil"/>
              <w:bottom w:val="single" w:sz="8" w:space="0" w:color="auto"/>
              <w:right w:val="single" w:sz="8" w:space="0" w:color="auto"/>
            </w:tcBorders>
            <w:shd w:val="clear" w:color="000000" w:fill="56008C"/>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6%</w:t>
            </w:r>
          </w:p>
        </w:tc>
        <w:tc>
          <w:tcPr>
            <w:tcW w:w="1220" w:type="dxa"/>
            <w:tcBorders>
              <w:top w:val="nil"/>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1,143,656</w:t>
            </w:r>
          </w:p>
        </w:tc>
        <w:tc>
          <w:tcPr>
            <w:tcW w:w="1072" w:type="dxa"/>
            <w:tcBorders>
              <w:top w:val="nil"/>
              <w:left w:val="nil"/>
              <w:bottom w:val="single" w:sz="8" w:space="0" w:color="auto"/>
              <w:right w:val="single" w:sz="8" w:space="0" w:color="auto"/>
            </w:tcBorders>
            <w:shd w:val="clear" w:color="000000" w:fill="E28C05"/>
            <w:noWrap/>
            <w:vAlign w:val="center"/>
            <w:hideMark/>
          </w:tcPr>
          <w:p w:rsidR="00E713F5" w:rsidRPr="00E713F5" w:rsidRDefault="00E713F5" w:rsidP="00E713F5">
            <w:pPr>
              <w:jc w:val="right"/>
              <w:rPr>
                <w:rFonts w:ascii="Calibri" w:hAnsi="Calibri" w:cs="Calibri"/>
                <w:color w:val="FFFFFF"/>
                <w:sz w:val="22"/>
                <w:szCs w:val="22"/>
              </w:rPr>
            </w:pPr>
            <w:r w:rsidRPr="00E713F5">
              <w:rPr>
                <w:rFonts w:ascii="Calibri" w:hAnsi="Calibri" w:cs="Calibri"/>
                <w:color w:val="FFFFFF"/>
                <w:sz w:val="22"/>
                <w:szCs w:val="22"/>
              </w:rPr>
              <w:t>24%</w:t>
            </w:r>
          </w:p>
        </w:tc>
      </w:tr>
    </w:tbl>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E87571">
        <w:rPr>
          <w:rFonts w:ascii="Arial" w:eastAsia="Calibri" w:hAnsi="Arial"/>
          <w:b/>
          <w:bCs/>
          <w:color w:val="56008C"/>
          <w:szCs w:val="26"/>
          <w:lang w:eastAsia="en-US"/>
        </w:rPr>
        <w:t>ditors at 31 December</w:t>
      </w:r>
      <w:r w:rsidR="007D0BF0">
        <w:rPr>
          <w:rFonts w:ascii="Arial" w:eastAsia="Calibri" w:hAnsi="Arial"/>
          <w:b/>
          <w:bCs/>
          <w:color w:val="56008C"/>
          <w:szCs w:val="26"/>
          <w:lang w:eastAsia="en-US"/>
        </w:rPr>
        <w:t xml:space="preserve"> 2015</w:t>
      </w:r>
    </w:p>
    <w:p w:rsidR="009B64AA" w:rsidRPr="009B64AA"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 there are no issues of concern.</w:t>
      </w:r>
      <w:r w:rsidR="009B64AA" w:rsidRPr="009B64AA">
        <w:rPr>
          <w:rFonts w:ascii="Arial" w:hAnsi="Arial" w:cs="Arial"/>
          <w:bCs/>
          <w:sz w:val="22"/>
          <w:szCs w:val="22"/>
        </w:rPr>
        <w:t xml:space="preserve"> </w:t>
      </w:r>
    </w:p>
    <w:p w:rsidR="009B64AA" w:rsidRPr="009B64AA" w:rsidRDefault="009B64AA" w:rsidP="00A74E5F">
      <w:pPr>
        <w:rPr>
          <w:rFonts w:ascii="Arial" w:hAnsi="Arial" w:cs="Arial"/>
          <w:bCs/>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E87571"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87571" w:rsidRPr="004C536A" w:rsidRDefault="00E87571"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000000"/>
                <w:sz w:val="22"/>
                <w:szCs w:val="22"/>
              </w:rPr>
              <w:t>5,684.36</w:t>
            </w:r>
          </w:p>
        </w:tc>
        <w:tc>
          <w:tcPr>
            <w:tcW w:w="2700" w:type="dxa"/>
            <w:tcBorders>
              <w:top w:val="nil"/>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FF0000"/>
                <w:sz w:val="22"/>
                <w:szCs w:val="22"/>
              </w:rPr>
              <w:t>(238.85)</w:t>
            </w:r>
          </w:p>
        </w:tc>
        <w:tc>
          <w:tcPr>
            <w:tcW w:w="2430" w:type="dxa"/>
            <w:tcBorders>
              <w:top w:val="nil"/>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FF0000"/>
                <w:sz w:val="22"/>
                <w:szCs w:val="22"/>
              </w:rPr>
              <w:t>(112.88)</w:t>
            </w:r>
          </w:p>
        </w:tc>
      </w:tr>
      <w:tr w:rsidR="00E87571"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87571" w:rsidRPr="004C536A" w:rsidRDefault="00E87571"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000000"/>
                <w:sz w:val="22"/>
                <w:szCs w:val="22"/>
              </w:rPr>
              <w:t>0.00</w:t>
            </w:r>
          </w:p>
        </w:tc>
        <w:tc>
          <w:tcPr>
            <w:tcW w:w="2700" w:type="dxa"/>
            <w:tcBorders>
              <w:top w:val="nil"/>
              <w:left w:val="nil"/>
              <w:bottom w:val="nil"/>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000000"/>
                <w:sz w:val="22"/>
                <w:szCs w:val="22"/>
              </w:rPr>
              <w:t>184.40</w:t>
            </w:r>
          </w:p>
        </w:tc>
        <w:tc>
          <w:tcPr>
            <w:tcW w:w="2430" w:type="dxa"/>
            <w:tcBorders>
              <w:top w:val="nil"/>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000000"/>
                <w:sz w:val="22"/>
                <w:szCs w:val="22"/>
              </w:rPr>
              <w:t>3,006.90</w:t>
            </w:r>
          </w:p>
        </w:tc>
      </w:tr>
      <w:tr w:rsidR="00E87571"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87571" w:rsidRPr="004C536A" w:rsidRDefault="00E87571"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000000"/>
                <w:sz w:val="22"/>
                <w:szCs w:val="22"/>
              </w:rPr>
              <w:t>3,094.70</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FF0000"/>
                <w:sz w:val="22"/>
                <w:szCs w:val="22"/>
              </w:rPr>
              <w:t>(1,818.38)</w:t>
            </w:r>
          </w:p>
        </w:tc>
      </w:tr>
      <w:tr w:rsidR="00E87571"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E87571" w:rsidRPr="004C536A" w:rsidRDefault="00E87571"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E87571" w:rsidRDefault="00E87571">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E87571" w:rsidRDefault="00E87571">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E87571" w:rsidRDefault="00E87571">
            <w:pPr>
              <w:rPr>
                <w:rFonts w:ascii="Calibri" w:hAnsi="Calibri" w:cs="Calibri"/>
                <w:color w:val="000000"/>
                <w:sz w:val="22"/>
                <w:szCs w:val="22"/>
              </w:rPr>
            </w:pPr>
            <w:r>
              <w:rPr>
                <w:rFonts w:ascii="Calibri" w:hAnsi="Calibri" w:cs="Calibri"/>
                <w:color w:val="000000"/>
                <w:sz w:val="22"/>
                <w:szCs w:val="22"/>
              </w:rPr>
              <w:t> </w:t>
            </w:r>
          </w:p>
        </w:tc>
      </w:tr>
      <w:tr w:rsidR="00E87571"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7571" w:rsidRPr="004C536A" w:rsidRDefault="00E87571"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000000"/>
                <w:sz w:val="22"/>
                <w:szCs w:val="22"/>
              </w:rPr>
              <w:t>8,779.06</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FF0000"/>
                <w:sz w:val="22"/>
                <w:szCs w:val="22"/>
              </w:rPr>
              <w:t>(54.45)</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E87571" w:rsidRDefault="00E87571">
            <w:pPr>
              <w:jc w:val="right"/>
              <w:rPr>
                <w:rFonts w:ascii="Calibri" w:hAnsi="Calibri" w:cs="Calibri"/>
                <w:color w:val="000000"/>
                <w:sz w:val="22"/>
                <w:szCs w:val="22"/>
              </w:rPr>
            </w:pPr>
            <w:r>
              <w:rPr>
                <w:rFonts w:ascii="Calibri" w:hAnsi="Calibri" w:cs="Calibri"/>
                <w:color w:val="000000"/>
                <w:sz w:val="22"/>
                <w:szCs w:val="22"/>
              </w:rPr>
              <w:t>1,075.64</w:t>
            </w:r>
          </w:p>
        </w:tc>
      </w:tr>
    </w:tbl>
    <w:bookmarkEnd w:id="1"/>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634D6C">
        <w:rPr>
          <w:rFonts w:ascii="Arial" w:eastAsia="Calibri" w:hAnsi="Arial"/>
          <w:b/>
          <w:bCs/>
          <w:color w:val="56008C"/>
          <w:szCs w:val="26"/>
          <w:lang w:eastAsia="en-US"/>
        </w:rPr>
        <w:t>31 December</w:t>
      </w:r>
      <w:r w:rsidR="000F2E5B">
        <w:rPr>
          <w:rFonts w:ascii="Arial" w:eastAsia="Calibri" w:hAnsi="Arial"/>
          <w:b/>
          <w:bCs/>
          <w:color w:val="56008C"/>
          <w:szCs w:val="26"/>
          <w:lang w:eastAsia="en-US"/>
        </w:rPr>
        <w:t xml:space="preserve"> 2015</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D</w:t>
      </w:r>
    </w:p>
    <w:tbl>
      <w:tblPr>
        <w:tblW w:w="15120" w:type="dxa"/>
        <w:tblInd w:w="98" w:type="dxa"/>
        <w:tblLook w:val="04A0" w:firstRow="1" w:lastRow="0" w:firstColumn="1" w:lastColumn="0" w:noHBand="0" w:noVBand="1"/>
      </w:tblPr>
      <w:tblGrid>
        <w:gridCol w:w="959"/>
        <w:gridCol w:w="959"/>
        <w:gridCol w:w="1119"/>
        <w:gridCol w:w="300"/>
        <w:gridCol w:w="3277"/>
        <w:gridCol w:w="300"/>
        <w:gridCol w:w="1119"/>
        <w:gridCol w:w="1559"/>
        <w:gridCol w:w="1120"/>
        <w:gridCol w:w="328"/>
        <w:gridCol w:w="960"/>
        <w:gridCol w:w="960"/>
        <w:gridCol w:w="960"/>
        <w:gridCol w:w="1200"/>
      </w:tblGrid>
      <w:tr w:rsidR="004959F4" w:rsidRPr="004959F4" w:rsidTr="004959F4">
        <w:trPr>
          <w:trHeight w:val="300"/>
        </w:trPr>
        <w:tc>
          <w:tcPr>
            <w:tcW w:w="3037" w:type="dxa"/>
            <w:gridSpan w:val="3"/>
            <w:tcBorders>
              <w:top w:val="single" w:sz="8" w:space="0" w:color="FFFFFF"/>
              <w:left w:val="single" w:sz="8" w:space="0" w:color="FFFFFF"/>
              <w:bottom w:val="nil"/>
              <w:right w:val="nil"/>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bookmarkStart w:id="2" w:name="RANGE!B51:O68"/>
            <w:r w:rsidRPr="004959F4">
              <w:rPr>
                <w:rFonts w:ascii="Arial" w:hAnsi="Arial" w:cs="Arial"/>
                <w:b/>
                <w:bCs/>
                <w:color w:val="56008C"/>
                <w:sz w:val="20"/>
                <w:szCs w:val="20"/>
              </w:rPr>
              <w:t>Period (£'000)</w:t>
            </w:r>
            <w:bookmarkEnd w:id="2"/>
          </w:p>
        </w:tc>
        <w:tc>
          <w:tcPr>
            <w:tcW w:w="300" w:type="dxa"/>
            <w:tcBorders>
              <w:top w:val="nil"/>
              <w:left w:val="nil"/>
              <w:bottom w:val="nil"/>
              <w:right w:val="nil"/>
            </w:tcBorders>
            <w:shd w:val="clear" w:color="auto" w:fill="auto"/>
            <w:vAlign w:val="center"/>
            <w:hideMark/>
          </w:tcPr>
          <w:p w:rsidR="004959F4" w:rsidRPr="004959F4" w:rsidRDefault="004959F4" w:rsidP="004959F4">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4959F4" w:rsidRPr="004959F4" w:rsidRDefault="004959F4" w:rsidP="004959F4">
            <w:pPr>
              <w:jc w:val="center"/>
              <w:rPr>
                <w:rFonts w:ascii="Arial" w:hAnsi="Arial" w:cs="Arial"/>
                <w:b/>
                <w:bCs/>
                <w:color w:val="FFFFFF"/>
                <w:sz w:val="20"/>
                <w:szCs w:val="20"/>
              </w:rPr>
            </w:pPr>
            <w:r w:rsidRPr="004959F4">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4959F4" w:rsidRPr="004959F4" w:rsidRDefault="004959F4" w:rsidP="004959F4">
            <w:pPr>
              <w:jc w:val="center"/>
              <w:rPr>
                <w:rFonts w:ascii="Arial" w:hAnsi="Arial" w:cs="Arial"/>
                <w:b/>
                <w:bCs/>
                <w:color w:val="FFFFFF"/>
                <w:sz w:val="20"/>
                <w:szCs w:val="20"/>
              </w:rPr>
            </w:pPr>
          </w:p>
        </w:tc>
        <w:tc>
          <w:tcPr>
            <w:tcW w:w="379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0"/>
                <w:szCs w:val="20"/>
              </w:rPr>
            </w:pPr>
          </w:p>
        </w:tc>
        <w:tc>
          <w:tcPr>
            <w:tcW w:w="408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4959F4" w:rsidRPr="004959F4" w:rsidRDefault="004959F4" w:rsidP="004959F4">
            <w:pPr>
              <w:jc w:val="center"/>
              <w:rPr>
                <w:rFonts w:ascii="Arial" w:hAnsi="Arial" w:cs="Arial"/>
                <w:b/>
                <w:bCs/>
                <w:color w:val="FFFFFF"/>
                <w:sz w:val="20"/>
                <w:szCs w:val="20"/>
              </w:rPr>
            </w:pPr>
            <w:r w:rsidRPr="004959F4">
              <w:rPr>
                <w:rFonts w:ascii="Arial" w:hAnsi="Arial" w:cs="Arial"/>
                <w:b/>
                <w:bCs/>
                <w:color w:val="FFFFFF"/>
                <w:sz w:val="20"/>
                <w:szCs w:val="20"/>
              </w:rPr>
              <w:t>Full year (£'000)</w:t>
            </w:r>
          </w:p>
        </w:tc>
      </w:tr>
      <w:tr w:rsidR="004959F4" w:rsidRPr="004959F4" w:rsidTr="004959F4">
        <w:trPr>
          <w:trHeight w:val="300"/>
        </w:trPr>
        <w:tc>
          <w:tcPr>
            <w:tcW w:w="959" w:type="dxa"/>
            <w:tcBorders>
              <w:top w:val="nil"/>
              <w:left w:val="nil"/>
              <w:bottom w:val="nil"/>
              <w:right w:val="nil"/>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 </w:t>
            </w:r>
          </w:p>
        </w:tc>
        <w:tc>
          <w:tcPr>
            <w:tcW w:w="959" w:type="dxa"/>
            <w:tcBorders>
              <w:top w:val="nil"/>
              <w:left w:val="nil"/>
              <w:bottom w:val="nil"/>
              <w:right w:val="nil"/>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 </w:t>
            </w:r>
          </w:p>
        </w:tc>
        <w:tc>
          <w:tcPr>
            <w:tcW w:w="1119" w:type="dxa"/>
            <w:tcBorders>
              <w:top w:val="nil"/>
              <w:left w:val="nil"/>
              <w:bottom w:val="nil"/>
              <w:right w:val="nil"/>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 </w:t>
            </w:r>
          </w:p>
        </w:tc>
        <w:tc>
          <w:tcPr>
            <w:tcW w:w="300" w:type="dxa"/>
            <w:tcBorders>
              <w:top w:val="nil"/>
              <w:left w:val="nil"/>
              <w:bottom w:val="nil"/>
              <w:right w:val="nil"/>
            </w:tcBorders>
            <w:shd w:val="clear" w:color="auto" w:fill="auto"/>
            <w:vAlign w:val="center"/>
            <w:hideMark/>
          </w:tcPr>
          <w:p w:rsidR="004959F4" w:rsidRPr="004959F4" w:rsidRDefault="004959F4" w:rsidP="004959F4">
            <w:pPr>
              <w:jc w:val="center"/>
              <w:rPr>
                <w:rFonts w:ascii="Arial" w:hAnsi="Arial" w:cs="Arial"/>
                <w:b/>
                <w:bCs/>
                <w:color w:val="FFFFFF"/>
                <w:sz w:val="20"/>
                <w:szCs w:val="20"/>
              </w:rPr>
            </w:pPr>
          </w:p>
        </w:tc>
        <w:tc>
          <w:tcPr>
            <w:tcW w:w="3277" w:type="dxa"/>
            <w:tcBorders>
              <w:top w:val="nil"/>
              <w:left w:val="nil"/>
              <w:bottom w:val="nil"/>
              <w:right w:val="nil"/>
            </w:tcBorders>
            <w:shd w:val="clear" w:color="000000" w:fill="56008C"/>
            <w:vAlign w:val="center"/>
            <w:hideMark/>
          </w:tcPr>
          <w:p w:rsidR="004959F4" w:rsidRPr="004959F4" w:rsidRDefault="004959F4" w:rsidP="004959F4">
            <w:pPr>
              <w:jc w:val="center"/>
              <w:rPr>
                <w:rFonts w:ascii="Arial" w:hAnsi="Arial" w:cs="Arial"/>
                <w:b/>
                <w:bCs/>
                <w:color w:val="FFFFFF"/>
                <w:sz w:val="20"/>
                <w:szCs w:val="20"/>
              </w:rPr>
            </w:pPr>
            <w:r w:rsidRPr="004959F4">
              <w:rPr>
                <w:rFonts w:ascii="Arial" w:hAnsi="Arial" w:cs="Arial"/>
                <w:b/>
                <w:bCs/>
                <w:color w:val="FFFFFF"/>
                <w:sz w:val="20"/>
                <w:szCs w:val="20"/>
              </w:rPr>
              <w:t> </w:t>
            </w:r>
          </w:p>
        </w:tc>
        <w:tc>
          <w:tcPr>
            <w:tcW w:w="300" w:type="dxa"/>
            <w:tcBorders>
              <w:top w:val="nil"/>
              <w:left w:val="nil"/>
              <w:bottom w:val="nil"/>
              <w:right w:val="nil"/>
            </w:tcBorders>
            <w:shd w:val="clear" w:color="auto" w:fill="auto"/>
            <w:vAlign w:val="center"/>
            <w:hideMark/>
          </w:tcPr>
          <w:p w:rsidR="004959F4" w:rsidRPr="004959F4" w:rsidRDefault="004959F4" w:rsidP="004959F4">
            <w:pPr>
              <w:jc w:val="center"/>
              <w:rPr>
                <w:rFonts w:ascii="Arial" w:hAnsi="Arial" w:cs="Arial"/>
                <w:b/>
                <w:bCs/>
                <w:color w:val="FFFFFF"/>
                <w:sz w:val="20"/>
                <w:szCs w:val="20"/>
              </w:rPr>
            </w:pPr>
          </w:p>
        </w:tc>
        <w:tc>
          <w:tcPr>
            <w:tcW w:w="1119" w:type="dxa"/>
            <w:tcBorders>
              <w:top w:val="nil"/>
              <w:left w:val="nil"/>
              <w:bottom w:val="nil"/>
              <w:right w:val="nil"/>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 </w:t>
            </w:r>
          </w:p>
        </w:tc>
        <w:tc>
          <w:tcPr>
            <w:tcW w:w="1559" w:type="dxa"/>
            <w:tcBorders>
              <w:top w:val="nil"/>
              <w:left w:val="nil"/>
              <w:bottom w:val="nil"/>
              <w:right w:val="nil"/>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 </w:t>
            </w:r>
          </w:p>
        </w:tc>
        <w:tc>
          <w:tcPr>
            <w:tcW w:w="1120" w:type="dxa"/>
            <w:tcBorders>
              <w:top w:val="nil"/>
              <w:left w:val="nil"/>
              <w:bottom w:val="nil"/>
              <w:right w:val="nil"/>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 </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0"/>
                <w:szCs w:val="20"/>
              </w:rPr>
            </w:pPr>
          </w:p>
        </w:tc>
        <w:tc>
          <w:tcPr>
            <w:tcW w:w="960" w:type="dxa"/>
            <w:tcBorders>
              <w:top w:val="nil"/>
              <w:left w:val="nil"/>
              <w:bottom w:val="nil"/>
              <w:right w:val="nil"/>
            </w:tcBorders>
            <w:shd w:val="clear" w:color="000000" w:fill="56008C"/>
            <w:vAlign w:val="center"/>
            <w:hideMark/>
          </w:tcPr>
          <w:p w:rsidR="004959F4" w:rsidRPr="004959F4" w:rsidRDefault="004959F4" w:rsidP="004959F4">
            <w:pPr>
              <w:jc w:val="center"/>
              <w:rPr>
                <w:rFonts w:ascii="Arial" w:hAnsi="Arial" w:cs="Arial"/>
                <w:b/>
                <w:bCs/>
                <w:color w:val="FFFFFF"/>
                <w:sz w:val="20"/>
                <w:szCs w:val="20"/>
              </w:rPr>
            </w:pPr>
            <w:r w:rsidRPr="004959F4">
              <w:rPr>
                <w:rFonts w:ascii="Arial" w:hAnsi="Arial" w:cs="Arial"/>
                <w:b/>
                <w:bCs/>
                <w:color w:val="FFFFFF"/>
                <w:sz w:val="20"/>
                <w:szCs w:val="20"/>
              </w:rPr>
              <w:t> </w:t>
            </w:r>
          </w:p>
        </w:tc>
        <w:tc>
          <w:tcPr>
            <w:tcW w:w="3120" w:type="dxa"/>
            <w:gridSpan w:val="3"/>
            <w:tcBorders>
              <w:top w:val="nil"/>
              <w:left w:val="single" w:sz="8" w:space="0" w:color="538DD5"/>
              <w:bottom w:val="nil"/>
              <w:right w:val="nil"/>
            </w:tcBorders>
            <w:shd w:val="clear" w:color="000000" w:fill="56008C"/>
            <w:vAlign w:val="center"/>
            <w:hideMark/>
          </w:tcPr>
          <w:p w:rsidR="004959F4" w:rsidRPr="004959F4" w:rsidRDefault="004959F4" w:rsidP="004959F4">
            <w:pPr>
              <w:jc w:val="center"/>
              <w:rPr>
                <w:rFonts w:ascii="Arial" w:hAnsi="Arial" w:cs="Arial"/>
                <w:b/>
                <w:bCs/>
                <w:color w:val="FFFFFF"/>
                <w:sz w:val="20"/>
                <w:szCs w:val="20"/>
              </w:rPr>
            </w:pPr>
            <w:r w:rsidRPr="004959F4">
              <w:rPr>
                <w:rFonts w:ascii="Arial" w:hAnsi="Arial" w:cs="Arial"/>
                <w:b/>
                <w:bCs/>
                <w:color w:val="FFFFFF"/>
                <w:sz w:val="20"/>
                <w:szCs w:val="20"/>
              </w:rPr>
              <w:t>2015/16</w:t>
            </w:r>
          </w:p>
        </w:tc>
      </w:tr>
      <w:tr w:rsidR="004959F4" w:rsidRPr="004959F4" w:rsidTr="004959F4">
        <w:trPr>
          <w:trHeight w:val="525"/>
        </w:trPr>
        <w:tc>
          <w:tcPr>
            <w:tcW w:w="959" w:type="dxa"/>
            <w:tcBorders>
              <w:top w:val="nil"/>
              <w:left w:val="nil"/>
              <w:bottom w:val="nil"/>
              <w:right w:val="single" w:sz="8" w:space="0" w:color="816EA6"/>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4959F4" w:rsidRPr="004959F4" w:rsidRDefault="004959F4" w:rsidP="004959F4">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4959F4" w:rsidRPr="004959F4" w:rsidRDefault="004959F4" w:rsidP="004959F4">
            <w:pPr>
              <w:jc w:val="center"/>
              <w:rPr>
                <w:rFonts w:ascii="Arial" w:hAnsi="Arial" w:cs="Arial"/>
                <w:b/>
                <w:bCs/>
                <w:color w:val="FFFFFF"/>
                <w:sz w:val="20"/>
                <w:szCs w:val="20"/>
              </w:rPr>
            </w:pPr>
            <w:r w:rsidRPr="004959F4">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4959F4" w:rsidRPr="004959F4" w:rsidRDefault="004959F4" w:rsidP="004959F4">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4959F4" w:rsidRPr="004959F4" w:rsidRDefault="004959F4" w:rsidP="004959F4">
            <w:pPr>
              <w:rPr>
                <w:rFonts w:ascii="Arial" w:hAnsi="Arial" w:cs="Arial"/>
                <w:b/>
                <w:bCs/>
                <w:color w:val="56008C"/>
                <w:sz w:val="20"/>
                <w:szCs w:val="20"/>
              </w:rPr>
            </w:pPr>
            <w:r w:rsidRPr="004959F4">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4959F4" w:rsidRPr="004959F4" w:rsidRDefault="004959F4" w:rsidP="004959F4">
            <w:pPr>
              <w:rPr>
                <w:rFonts w:ascii="Arial" w:hAnsi="Arial" w:cs="Arial"/>
                <w:b/>
                <w:bCs/>
                <w:color w:val="56008C"/>
                <w:sz w:val="20"/>
                <w:szCs w:val="20"/>
              </w:rPr>
            </w:pPr>
            <w:r w:rsidRPr="004959F4">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4959F4" w:rsidRPr="004959F4" w:rsidRDefault="004959F4" w:rsidP="004959F4">
            <w:pPr>
              <w:rPr>
                <w:rFonts w:ascii="Arial" w:hAnsi="Arial" w:cs="Arial"/>
                <w:b/>
                <w:bCs/>
                <w:color w:val="56008C"/>
                <w:sz w:val="20"/>
                <w:szCs w:val="20"/>
              </w:rPr>
            </w:pPr>
            <w:r w:rsidRPr="004959F4">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4959F4" w:rsidRPr="004959F4" w:rsidRDefault="004959F4" w:rsidP="004959F4">
            <w:pPr>
              <w:jc w:val="center"/>
              <w:rPr>
                <w:rFonts w:ascii="Arial" w:hAnsi="Arial" w:cs="Arial"/>
                <w:b/>
                <w:bCs/>
                <w:color w:val="FFFFFF"/>
                <w:sz w:val="20"/>
                <w:szCs w:val="20"/>
              </w:rPr>
            </w:pPr>
            <w:r w:rsidRPr="004959F4">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4959F4" w:rsidRPr="004959F4" w:rsidRDefault="004959F4" w:rsidP="004959F4">
            <w:pPr>
              <w:rPr>
                <w:rFonts w:ascii="Arial" w:hAnsi="Arial" w:cs="Arial"/>
                <w:b/>
                <w:bCs/>
                <w:color w:val="FFFFFF"/>
                <w:sz w:val="20"/>
                <w:szCs w:val="20"/>
              </w:rPr>
            </w:pPr>
            <w:r w:rsidRPr="004959F4">
              <w:rPr>
                <w:rFonts w:ascii="Arial" w:hAnsi="Arial" w:cs="Arial"/>
                <w:b/>
                <w:bCs/>
                <w:color w:val="FFFFFF"/>
                <w:sz w:val="20"/>
                <w:szCs w:val="20"/>
              </w:rPr>
              <w:t xml:space="preserve"> Initial budget</w:t>
            </w:r>
          </w:p>
        </w:tc>
        <w:tc>
          <w:tcPr>
            <w:tcW w:w="960" w:type="dxa"/>
            <w:tcBorders>
              <w:top w:val="nil"/>
              <w:left w:val="nil"/>
              <w:bottom w:val="nil"/>
              <w:right w:val="single" w:sz="8" w:space="0" w:color="55ACD3"/>
            </w:tcBorders>
            <w:shd w:val="clear" w:color="000000" w:fill="56008C"/>
            <w:vAlign w:val="center"/>
            <w:hideMark/>
          </w:tcPr>
          <w:p w:rsidR="004959F4" w:rsidRPr="004959F4" w:rsidRDefault="004959F4" w:rsidP="004959F4">
            <w:pPr>
              <w:rPr>
                <w:rFonts w:ascii="Arial" w:hAnsi="Arial" w:cs="Arial"/>
                <w:b/>
                <w:bCs/>
                <w:color w:val="FFFFFF"/>
                <w:sz w:val="20"/>
                <w:szCs w:val="20"/>
              </w:rPr>
            </w:pPr>
            <w:r w:rsidRPr="004959F4">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4959F4" w:rsidRPr="004959F4" w:rsidRDefault="004959F4" w:rsidP="004959F4">
            <w:pPr>
              <w:rPr>
                <w:rFonts w:ascii="Arial" w:hAnsi="Arial" w:cs="Arial"/>
                <w:b/>
                <w:bCs/>
                <w:color w:val="FFFFFF"/>
                <w:sz w:val="20"/>
                <w:szCs w:val="20"/>
              </w:rPr>
            </w:pPr>
            <w:r w:rsidRPr="004959F4">
              <w:rPr>
                <w:rFonts w:ascii="Arial" w:hAnsi="Arial" w:cs="Arial"/>
                <w:b/>
                <w:bCs/>
                <w:color w:val="FFFFFF"/>
                <w:sz w:val="20"/>
                <w:szCs w:val="20"/>
              </w:rPr>
              <w:t>Forecast</w:t>
            </w:r>
          </w:p>
        </w:tc>
      </w:tr>
      <w:tr w:rsidR="004959F4" w:rsidRPr="004959F4" w:rsidTr="004959F4">
        <w:trPr>
          <w:trHeight w:val="315"/>
        </w:trPr>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w:t>
            </w: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4959F4" w:rsidRPr="004959F4" w:rsidRDefault="004959F4" w:rsidP="004959F4">
            <w:pPr>
              <w:rPr>
                <w:rFonts w:ascii="Arial" w:hAnsi="Arial" w:cs="Arial"/>
                <w:color w:val="000000"/>
                <w:sz w:val="18"/>
                <w:szCs w:val="18"/>
              </w:rPr>
            </w:pPr>
            <w:r w:rsidRPr="004959F4">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98</w:t>
            </w:r>
          </w:p>
        </w:tc>
        <w:tc>
          <w:tcPr>
            <w:tcW w:w="15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100</w:t>
            </w:r>
          </w:p>
        </w:tc>
        <w:tc>
          <w:tcPr>
            <w:tcW w:w="112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327</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196</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196</w:t>
            </w:r>
          </w:p>
        </w:tc>
        <w:tc>
          <w:tcPr>
            <w:tcW w:w="120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196</w:t>
            </w:r>
          </w:p>
        </w:tc>
      </w:tr>
      <w:tr w:rsidR="004959F4" w:rsidRPr="004959F4" w:rsidTr="004959F4">
        <w:trPr>
          <w:trHeight w:val="315"/>
        </w:trPr>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1,278</w:t>
            </w:r>
          </w:p>
        </w:tc>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1,179</w:t>
            </w: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-99</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4959F4" w:rsidRPr="004959F4" w:rsidRDefault="004959F4" w:rsidP="004959F4">
            <w:pPr>
              <w:rPr>
                <w:rFonts w:ascii="Arial" w:hAnsi="Arial" w:cs="Arial"/>
                <w:color w:val="000000"/>
                <w:sz w:val="18"/>
                <w:szCs w:val="18"/>
              </w:rPr>
            </w:pPr>
            <w:r w:rsidRPr="004959F4">
              <w:rPr>
                <w:rFonts w:ascii="Arial" w:hAnsi="Arial" w:cs="Arial"/>
                <w:color w:val="000000"/>
                <w:sz w:val="18"/>
                <w:szCs w:val="18"/>
              </w:rPr>
              <w:t>Grant in Aid confirmed</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9,308</w:t>
            </w:r>
          </w:p>
        </w:tc>
        <w:tc>
          <w:tcPr>
            <w:tcW w:w="15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8,863</w:t>
            </w:r>
          </w:p>
        </w:tc>
        <w:tc>
          <w:tcPr>
            <w:tcW w:w="112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-445</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10,343</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13,346</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13,346</w:t>
            </w:r>
          </w:p>
        </w:tc>
        <w:tc>
          <w:tcPr>
            <w:tcW w:w="120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13,346</w:t>
            </w:r>
          </w:p>
        </w:tc>
      </w:tr>
      <w:tr w:rsidR="004959F4" w:rsidRPr="004959F4" w:rsidTr="004959F4">
        <w:trPr>
          <w:trHeight w:val="300"/>
        </w:trPr>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4959F4" w:rsidRPr="004959F4" w:rsidRDefault="004959F4" w:rsidP="004959F4">
            <w:pPr>
              <w:rPr>
                <w:rFonts w:ascii="Arial" w:hAnsi="Arial" w:cs="Arial"/>
                <w:color w:val="000000"/>
                <w:sz w:val="18"/>
                <w:szCs w:val="18"/>
              </w:rPr>
            </w:pPr>
            <w:r w:rsidRPr="004959F4">
              <w:rPr>
                <w:rFonts w:ascii="Arial" w:hAnsi="Arial" w:cs="Arial"/>
                <w:color w:val="000000"/>
                <w:sz w:val="18"/>
                <w:szCs w:val="18"/>
              </w:rPr>
              <w:t>Grant in aid - to be confirmed CAG2</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0</w:t>
            </w:r>
          </w:p>
        </w:tc>
        <w:tc>
          <w:tcPr>
            <w:tcW w:w="112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65</w:t>
            </w:r>
          </w:p>
        </w:tc>
        <w:tc>
          <w:tcPr>
            <w:tcW w:w="120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65</w:t>
            </w:r>
          </w:p>
        </w:tc>
      </w:tr>
      <w:tr w:rsidR="004959F4" w:rsidRPr="004959F4" w:rsidTr="004959F4">
        <w:trPr>
          <w:trHeight w:val="300"/>
        </w:trPr>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67</w:t>
            </w:r>
          </w:p>
        </w:tc>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69</w:t>
            </w: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4959F4" w:rsidRPr="004959F4" w:rsidRDefault="004959F4" w:rsidP="004959F4">
            <w:pPr>
              <w:rPr>
                <w:rFonts w:ascii="Arial" w:hAnsi="Arial" w:cs="Arial"/>
                <w:color w:val="000000"/>
                <w:sz w:val="18"/>
                <w:szCs w:val="18"/>
              </w:rPr>
            </w:pPr>
            <w:r w:rsidRPr="004959F4">
              <w:rPr>
                <w:rFonts w:ascii="Arial" w:hAnsi="Arial" w:cs="Arial"/>
                <w:color w:val="000000"/>
                <w:sz w:val="18"/>
                <w:szCs w:val="18"/>
              </w:rPr>
              <w:t>Non cash revenue resource limit</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171</w:t>
            </w:r>
          </w:p>
        </w:tc>
        <w:tc>
          <w:tcPr>
            <w:tcW w:w="15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173</w:t>
            </w:r>
          </w:p>
        </w:tc>
        <w:tc>
          <w:tcPr>
            <w:tcW w:w="112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270</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270</w:t>
            </w:r>
          </w:p>
        </w:tc>
        <w:tc>
          <w:tcPr>
            <w:tcW w:w="120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270</w:t>
            </w:r>
          </w:p>
        </w:tc>
      </w:tr>
      <w:tr w:rsidR="004959F4" w:rsidRPr="004959F4" w:rsidTr="004959F4">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1,345</w:t>
            </w:r>
          </w:p>
        </w:tc>
        <w:tc>
          <w:tcPr>
            <w:tcW w:w="95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1,251</w:t>
            </w:r>
          </w:p>
        </w:tc>
        <w:tc>
          <w:tcPr>
            <w:tcW w:w="111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-94</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4959F4" w:rsidRPr="004959F4" w:rsidRDefault="004959F4" w:rsidP="004959F4">
            <w:pPr>
              <w:rPr>
                <w:rFonts w:ascii="Arial" w:hAnsi="Arial" w:cs="Arial"/>
                <w:b/>
                <w:bCs/>
                <w:color w:val="000000"/>
                <w:sz w:val="18"/>
                <w:szCs w:val="18"/>
              </w:rPr>
            </w:pPr>
            <w:r w:rsidRPr="004959F4">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9,577</w:t>
            </w:r>
          </w:p>
        </w:tc>
        <w:tc>
          <w:tcPr>
            <w:tcW w:w="155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9,136</w:t>
            </w:r>
          </w:p>
        </w:tc>
        <w:tc>
          <w:tcPr>
            <w:tcW w:w="112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-441</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13,877</w:t>
            </w:r>
          </w:p>
        </w:tc>
      </w:tr>
      <w:tr w:rsidR="004959F4" w:rsidRPr="004959F4" w:rsidTr="004959F4">
        <w:trPr>
          <w:trHeight w:val="300"/>
        </w:trPr>
        <w:tc>
          <w:tcPr>
            <w:tcW w:w="959" w:type="dxa"/>
            <w:tcBorders>
              <w:top w:val="nil"/>
              <w:left w:val="nil"/>
              <w:bottom w:val="nil"/>
              <w:right w:val="nil"/>
            </w:tcBorders>
            <w:shd w:val="clear" w:color="auto" w:fill="auto"/>
            <w:vAlign w:val="bottom"/>
            <w:hideMark/>
          </w:tcPr>
          <w:p w:rsidR="004959F4" w:rsidRPr="004959F4" w:rsidRDefault="004959F4" w:rsidP="004959F4">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4959F4" w:rsidRPr="004959F4" w:rsidRDefault="004959F4" w:rsidP="004959F4">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4959F4" w:rsidRPr="004959F4" w:rsidRDefault="004959F4" w:rsidP="004959F4">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4959F4" w:rsidRPr="004959F4" w:rsidRDefault="004959F4" w:rsidP="004959F4">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4959F4" w:rsidRPr="004959F4" w:rsidRDefault="004959F4" w:rsidP="004959F4">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4959F4" w:rsidRPr="004959F4" w:rsidRDefault="004959F4" w:rsidP="004959F4">
            <w:pPr>
              <w:jc w:val="right"/>
              <w:rPr>
                <w:rFonts w:ascii="Arial" w:hAnsi="Arial" w:cs="Arial"/>
                <w:b/>
                <w:bCs/>
                <w:color w:val="000000"/>
                <w:sz w:val="18"/>
                <w:szCs w:val="18"/>
              </w:rPr>
            </w:pPr>
          </w:p>
        </w:tc>
        <w:tc>
          <w:tcPr>
            <w:tcW w:w="1559" w:type="dxa"/>
            <w:tcBorders>
              <w:top w:val="nil"/>
              <w:left w:val="nil"/>
              <w:bottom w:val="nil"/>
              <w:right w:val="nil"/>
            </w:tcBorders>
            <w:shd w:val="clear" w:color="auto" w:fill="auto"/>
            <w:vAlign w:val="bottom"/>
            <w:hideMark/>
          </w:tcPr>
          <w:p w:rsidR="004959F4" w:rsidRPr="004959F4" w:rsidRDefault="004959F4" w:rsidP="004959F4">
            <w:pPr>
              <w:rPr>
                <w:rFonts w:ascii="Arial" w:hAnsi="Arial" w:cs="Arial"/>
                <w:b/>
                <w:bCs/>
                <w:color w:val="000000"/>
                <w:sz w:val="18"/>
                <w:szCs w:val="18"/>
              </w:rPr>
            </w:pPr>
          </w:p>
        </w:tc>
        <w:tc>
          <w:tcPr>
            <w:tcW w:w="1120" w:type="dxa"/>
            <w:tcBorders>
              <w:top w:val="nil"/>
              <w:left w:val="nil"/>
              <w:bottom w:val="nil"/>
              <w:right w:val="nil"/>
            </w:tcBorders>
            <w:shd w:val="clear" w:color="auto" w:fill="auto"/>
            <w:vAlign w:val="bottom"/>
            <w:hideMark/>
          </w:tcPr>
          <w:p w:rsidR="004959F4" w:rsidRPr="004959F4" w:rsidRDefault="004959F4" w:rsidP="004959F4">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4959F4" w:rsidRPr="004959F4" w:rsidRDefault="004959F4" w:rsidP="004959F4">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4959F4" w:rsidRPr="004959F4" w:rsidRDefault="004959F4" w:rsidP="004959F4">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4959F4" w:rsidRPr="004959F4" w:rsidRDefault="004959F4" w:rsidP="004959F4">
            <w:pPr>
              <w:rPr>
                <w:rFonts w:ascii="Arial" w:hAnsi="Arial" w:cs="Arial"/>
                <w:b/>
                <w:bCs/>
                <w:color w:val="000000"/>
                <w:sz w:val="18"/>
                <w:szCs w:val="18"/>
              </w:rPr>
            </w:pPr>
          </w:p>
        </w:tc>
        <w:tc>
          <w:tcPr>
            <w:tcW w:w="1200" w:type="dxa"/>
            <w:tcBorders>
              <w:top w:val="nil"/>
              <w:left w:val="nil"/>
              <w:bottom w:val="nil"/>
              <w:right w:val="nil"/>
            </w:tcBorders>
            <w:shd w:val="clear" w:color="auto" w:fill="auto"/>
            <w:vAlign w:val="bottom"/>
            <w:hideMark/>
          </w:tcPr>
          <w:p w:rsidR="004959F4" w:rsidRPr="004959F4" w:rsidRDefault="004959F4" w:rsidP="004959F4">
            <w:pPr>
              <w:rPr>
                <w:rFonts w:ascii="Arial" w:hAnsi="Arial" w:cs="Arial"/>
                <w:b/>
                <w:bCs/>
                <w:color w:val="000000"/>
                <w:sz w:val="18"/>
                <w:szCs w:val="18"/>
              </w:rPr>
            </w:pPr>
          </w:p>
        </w:tc>
      </w:tr>
      <w:tr w:rsidR="004959F4" w:rsidRPr="004959F4" w:rsidTr="004959F4">
        <w:trPr>
          <w:trHeight w:val="525"/>
        </w:trPr>
        <w:tc>
          <w:tcPr>
            <w:tcW w:w="959" w:type="dxa"/>
            <w:tcBorders>
              <w:top w:val="nil"/>
              <w:left w:val="nil"/>
              <w:bottom w:val="nil"/>
              <w:right w:val="single" w:sz="8" w:space="0" w:color="816EA6"/>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4959F4" w:rsidRPr="004959F4" w:rsidRDefault="004959F4" w:rsidP="004959F4">
            <w:pPr>
              <w:jc w:val="center"/>
              <w:rPr>
                <w:rFonts w:ascii="Arial" w:hAnsi="Arial" w:cs="Arial"/>
                <w:b/>
                <w:bCs/>
                <w:color w:val="56008C"/>
                <w:sz w:val="20"/>
                <w:szCs w:val="20"/>
              </w:rPr>
            </w:pPr>
            <w:r w:rsidRPr="004959F4">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4959F4" w:rsidRPr="004959F4" w:rsidRDefault="004959F4" w:rsidP="004959F4">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4959F4" w:rsidRPr="004959F4" w:rsidRDefault="004959F4" w:rsidP="004959F4">
            <w:pPr>
              <w:jc w:val="center"/>
              <w:rPr>
                <w:rFonts w:ascii="Arial" w:hAnsi="Arial" w:cs="Arial"/>
                <w:b/>
                <w:bCs/>
                <w:color w:val="FFFFFF"/>
                <w:sz w:val="20"/>
                <w:szCs w:val="20"/>
              </w:rPr>
            </w:pPr>
            <w:r w:rsidRPr="004959F4">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4959F4" w:rsidRPr="004959F4" w:rsidRDefault="004959F4" w:rsidP="004959F4">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4959F4" w:rsidRPr="004959F4" w:rsidRDefault="004959F4" w:rsidP="004959F4">
            <w:pPr>
              <w:rPr>
                <w:rFonts w:ascii="Arial" w:hAnsi="Arial" w:cs="Arial"/>
                <w:b/>
                <w:bCs/>
                <w:color w:val="56008C"/>
                <w:sz w:val="20"/>
                <w:szCs w:val="20"/>
              </w:rPr>
            </w:pPr>
            <w:r w:rsidRPr="004959F4">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4959F4" w:rsidRPr="004959F4" w:rsidRDefault="004959F4" w:rsidP="004959F4">
            <w:pPr>
              <w:rPr>
                <w:rFonts w:ascii="Arial" w:hAnsi="Arial" w:cs="Arial"/>
                <w:b/>
                <w:bCs/>
                <w:color w:val="56008C"/>
                <w:sz w:val="20"/>
                <w:szCs w:val="20"/>
              </w:rPr>
            </w:pPr>
            <w:r w:rsidRPr="004959F4">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4959F4" w:rsidRPr="004959F4" w:rsidRDefault="004959F4" w:rsidP="004959F4">
            <w:pPr>
              <w:rPr>
                <w:rFonts w:ascii="Arial" w:hAnsi="Arial" w:cs="Arial"/>
                <w:b/>
                <w:bCs/>
                <w:color w:val="56008C"/>
                <w:sz w:val="20"/>
                <w:szCs w:val="20"/>
              </w:rPr>
            </w:pPr>
            <w:r w:rsidRPr="004959F4">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4959F4" w:rsidRPr="004959F4" w:rsidRDefault="004959F4" w:rsidP="004959F4">
            <w:pPr>
              <w:jc w:val="center"/>
              <w:rPr>
                <w:rFonts w:ascii="Arial" w:hAnsi="Arial" w:cs="Arial"/>
                <w:b/>
                <w:bCs/>
                <w:color w:val="FFFFFF"/>
                <w:sz w:val="20"/>
                <w:szCs w:val="20"/>
              </w:rPr>
            </w:pPr>
            <w:r w:rsidRPr="004959F4">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4959F4" w:rsidRPr="004959F4" w:rsidRDefault="004959F4" w:rsidP="004959F4">
            <w:pPr>
              <w:rPr>
                <w:rFonts w:ascii="Arial" w:hAnsi="Arial" w:cs="Arial"/>
                <w:b/>
                <w:bCs/>
                <w:color w:val="FFFFFF"/>
                <w:sz w:val="20"/>
                <w:szCs w:val="20"/>
              </w:rPr>
            </w:pPr>
            <w:r w:rsidRPr="004959F4">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4959F4" w:rsidRPr="004959F4" w:rsidRDefault="004959F4" w:rsidP="004959F4">
            <w:pPr>
              <w:rPr>
                <w:rFonts w:ascii="Arial" w:hAnsi="Arial" w:cs="Arial"/>
                <w:b/>
                <w:bCs/>
                <w:color w:val="FFFFFF"/>
                <w:sz w:val="20"/>
                <w:szCs w:val="20"/>
              </w:rPr>
            </w:pPr>
            <w:r w:rsidRPr="004959F4">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4959F4" w:rsidRPr="004959F4" w:rsidRDefault="004959F4" w:rsidP="004959F4">
            <w:pPr>
              <w:rPr>
                <w:rFonts w:ascii="Arial" w:hAnsi="Arial" w:cs="Arial"/>
                <w:b/>
                <w:bCs/>
                <w:color w:val="FFFFFF"/>
                <w:sz w:val="20"/>
                <w:szCs w:val="20"/>
              </w:rPr>
            </w:pPr>
            <w:r w:rsidRPr="004959F4">
              <w:rPr>
                <w:rFonts w:ascii="Arial" w:hAnsi="Arial" w:cs="Arial"/>
                <w:b/>
                <w:bCs/>
                <w:color w:val="FFFFFF"/>
                <w:sz w:val="20"/>
                <w:szCs w:val="20"/>
              </w:rPr>
              <w:t>Forecast</w:t>
            </w:r>
          </w:p>
        </w:tc>
      </w:tr>
      <w:tr w:rsidR="004959F4" w:rsidRPr="004959F4" w:rsidTr="004959F4">
        <w:trPr>
          <w:trHeight w:val="315"/>
        </w:trPr>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451</w:t>
            </w:r>
          </w:p>
        </w:tc>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393</w:t>
            </w: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-58</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4959F4" w:rsidRPr="004959F4" w:rsidRDefault="004959F4" w:rsidP="004959F4">
            <w:pPr>
              <w:rPr>
                <w:rFonts w:ascii="Arial" w:hAnsi="Arial" w:cs="Arial"/>
                <w:color w:val="000000"/>
                <w:sz w:val="18"/>
                <w:szCs w:val="18"/>
              </w:rPr>
            </w:pPr>
            <w:r w:rsidRPr="004959F4">
              <w:rPr>
                <w:rFonts w:ascii="Arial" w:hAnsi="Arial" w:cs="Arial"/>
                <w:color w:val="000000"/>
                <w:sz w:val="18"/>
                <w:szCs w:val="18"/>
              </w:rPr>
              <w:t xml:space="preserve">Operations </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3,552</w:t>
            </w:r>
          </w:p>
        </w:tc>
        <w:tc>
          <w:tcPr>
            <w:tcW w:w="15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3,287</w:t>
            </w:r>
          </w:p>
        </w:tc>
        <w:tc>
          <w:tcPr>
            <w:tcW w:w="112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-265</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4,429</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4,794</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4,723</w:t>
            </w:r>
          </w:p>
        </w:tc>
        <w:tc>
          <w:tcPr>
            <w:tcW w:w="120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4,595</w:t>
            </w:r>
          </w:p>
        </w:tc>
      </w:tr>
      <w:tr w:rsidR="004959F4" w:rsidRPr="004959F4" w:rsidTr="004959F4">
        <w:trPr>
          <w:trHeight w:val="315"/>
        </w:trPr>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180</w:t>
            </w:r>
          </w:p>
        </w:tc>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164</w:t>
            </w: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-16</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4959F4" w:rsidRPr="004959F4" w:rsidRDefault="004959F4" w:rsidP="004959F4">
            <w:pPr>
              <w:rPr>
                <w:rFonts w:ascii="Arial" w:hAnsi="Arial" w:cs="Arial"/>
                <w:color w:val="000000"/>
                <w:sz w:val="18"/>
                <w:szCs w:val="18"/>
              </w:rPr>
            </w:pPr>
            <w:r w:rsidRPr="004959F4">
              <w:rPr>
                <w:rFonts w:ascii="Arial" w:hAnsi="Arial" w:cs="Arial"/>
                <w:color w:val="000000"/>
                <w:sz w:val="18"/>
                <w:szCs w:val="18"/>
              </w:rPr>
              <w:t xml:space="preserve">Chief Executive </w:t>
            </w:r>
            <w:proofErr w:type="spellStart"/>
            <w:r w:rsidRPr="004959F4">
              <w:rPr>
                <w:rFonts w:ascii="Arial" w:hAnsi="Arial" w:cs="Arial"/>
                <w:color w:val="000000"/>
                <w:sz w:val="18"/>
                <w:szCs w:val="18"/>
              </w:rPr>
              <w:t>inc.</w:t>
            </w:r>
            <w:proofErr w:type="spellEnd"/>
            <w:r w:rsidRPr="004959F4">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1,345</w:t>
            </w:r>
          </w:p>
        </w:tc>
        <w:tc>
          <w:tcPr>
            <w:tcW w:w="15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1,305</w:t>
            </w:r>
          </w:p>
        </w:tc>
        <w:tc>
          <w:tcPr>
            <w:tcW w:w="112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-40</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1,768</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1,560</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1,801</w:t>
            </w:r>
          </w:p>
        </w:tc>
        <w:tc>
          <w:tcPr>
            <w:tcW w:w="120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1,758</w:t>
            </w:r>
          </w:p>
        </w:tc>
      </w:tr>
      <w:tr w:rsidR="004959F4" w:rsidRPr="004959F4" w:rsidTr="004959F4">
        <w:trPr>
          <w:trHeight w:val="315"/>
        </w:trPr>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234</w:t>
            </w:r>
          </w:p>
        </w:tc>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204</w:t>
            </w: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-30</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4959F4" w:rsidRPr="004959F4" w:rsidRDefault="004959F4" w:rsidP="004959F4">
            <w:pPr>
              <w:rPr>
                <w:rFonts w:ascii="Arial" w:hAnsi="Arial" w:cs="Arial"/>
                <w:color w:val="000000"/>
                <w:sz w:val="18"/>
                <w:szCs w:val="18"/>
              </w:rPr>
            </w:pPr>
            <w:r w:rsidRPr="004959F4">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1,360</w:t>
            </w:r>
          </w:p>
        </w:tc>
        <w:tc>
          <w:tcPr>
            <w:tcW w:w="15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1,331</w:t>
            </w:r>
          </w:p>
        </w:tc>
        <w:tc>
          <w:tcPr>
            <w:tcW w:w="112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-29</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1,984</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1,731</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1,819</w:t>
            </w:r>
          </w:p>
        </w:tc>
        <w:tc>
          <w:tcPr>
            <w:tcW w:w="120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1,823</w:t>
            </w:r>
          </w:p>
        </w:tc>
      </w:tr>
      <w:tr w:rsidR="004959F4" w:rsidRPr="004959F4" w:rsidTr="004959F4">
        <w:trPr>
          <w:trHeight w:val="315"/>
        </w:trPr>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149</w:t>
            </w:r>
          </w:p>
        </w:tc>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190</w:t>
            </w: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41</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4959F4" w:rsidRPr="004959F4" w:rsidRDefault="004959F4" w:rsidP="004959F4">
            <w:pPr>
              <w:rPr>
                <w:rFonts w:ascii="Arial" w:hAnsi="Arial" w:cs="Arial"/>
                <w:color w:val="000000"/>
                <w:sz w:val="18"/>
                <w:szCs w:val="18"/>
              </w:rPr>
            </w:pPr>
            <w:r w:rsidRPr="004959F4">
              <w:rPr>
                <w:rFonts w:ascii="Arial" w:hAnsi="Arial" w:cs="Arial"/>
                <w:color w:val="000000"/>
                <w:sz w:val="18"/>
                <w:szCs w:val="18"/>
              </w:rPr>
              <w:t>Finance, Procurement and Estates</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749</w:t>
            </w:r>
          </w:p>
        </w:tc>
        <w:tc>
          <w:tcPr>
            <w:tcW w:w="15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765</w:t>
            </w:r>
          </w:p>
        </w:tc>
        <w:tc>
          <w:tcPr>
            <w:tcW w:w="112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16</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639</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3,153</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2,013</w:t>
            </w:r>
          </w:p>
        </w:tc>
        <w:tc>
          <w:tcPr>
            <w:tcW w:w="120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1,266</w:t>
            </w:r>
          </w:p>
        </w:tc>
      </w:tr>
      <w:tr w:rsidR="004959F4" w:rsidRPr="004959F4" w:rsidTr="004959F4">
        <w:trPr>
          <w:trHeight w:val="510"/>
        </w:trPr>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331</w:t>
            </w:r>
          </w:p>
        </w:tc>
        <w:tc>
          <w:tcPr>
            <w:tcW w:w="9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300</w:t>
            </w: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-31</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4959F4" w:rsidRPr="004959F4" w:rsidRDefault="004959F4" w:rsidP="004959F4">
            <w:pPr>
              <w:rPr>
                <w:rFonts w:ascii="Arial" w:hAnsi="Arial" w:cs="Arial"/>
                <w:color w:val="000000"/>
                <w:sz w:val="18"/>
                <w:szCs w:val="18"/>
              </w:rPr>
            </w:pPr>
            <w:r w:rsidRPr="004959F4">
              <w:rPr>
                <w:rFonts w:ascii="Arial" w:hAnsi="Arial" w:cs="Arial"/>
                <w:color w:val="000000"/>
                <w:sz w:val="18"/>
                <w:szCs w:val="18"/>
              </w:rPr>
              <w:t xml:space="preserve">Research Systems, Standards and HRA Approval </w:t>
            </w:r>
            <w:proofErr w:type="spellStart"/>
            <w:r w:rsidRPr="004959F4">
              <w:rPr>
                <w:rFonts w:ascii="Arial" w:hAnsi="Arial" w:cs="Arial"/>
                <w:color w:val="000000"/>
                <w:sz w:val="18"/>
                <w:szCs w:val="18"/>
              </w:rPr>
              <w:t>Prog</w:t>
            </w:r>
            <w:proofErr w:type="spellEnd"/>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2,571</w:t>
            </w:r>
          </w:p>
        </w:tc>
        <w:tc>
          <w:tcPr>
            <w:tcW w:w="1559"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2,448</w:t>
            </w:r>
          </w:p>
        </w:tc>
        <w:tc>
          <w:tcPr>
            <w:tcW w:w="112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-123</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1,850</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2,713</w:t>
            </w:r>
          </w:p>
        </w:tc>
        <w:tc>
          <w:tcPr>
            <w:tcW w:w="96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3,521</w:t>
            </w:r>
          </w:p>
        </w:tc>
        <w:tc>
          <w:tcPr>
            <w:tcW w:w="1200" w:type="dxa"/>
            <w:tcBorders>
              <w:top w:val="nil"/>
              <w:left w:val="nil"/>
              <w:bottom w:val="nil"/>
              <w:right w:val="nil"/>
            </w:tcBorders>
            <w:shd w:val="clear" w:color="auto" w:fill="auto"/>
            <w:noWrap/>
            <w:vAlign w:val="bottom"/>
            <w:hideMark/>
          </w:tcPr>
          <w:p w:rsidR="004959F4" w:rsidRPr="004959F4" w:rsidRDefault="004959F4" w:rsidP="004959F4">
            <w:pPr>
              <w:jc w:val="right"/>
              <w:rPr>
                <w:rFonts w:ascii="Calibri" w:hAnsi="Calibri" w:cs="Calibri"/>
                <w:color w:val="000000"/>
                <w:sz w:val="22"/>
                <w:szCs w:val="22"/>
              </w:rPr>
            </w:pPr>
            <w:r w:rsidRPr="004959F4">
              <w:rPr>
                <w:rFonts w:ascii="Calibri" w:hAnsi="Calibri" w:cs="Calibri"/>
                <w:color w:val="000000"/>
                <w:sz w:val="22"/>
                <w:szCs w:val="22"/>
              </w:rPr>
              <w:t>3,426</w:t>
            </w:r>
          </w:p>
        </w:tc>
      </w:tr>
      <w:tr w:rsidR="004959F4" w:rsidRPr="004959F4" w:rsidTr="004959F4">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1,345</w:t>
            </w:r>
          </w:p>
        </w:tc>
        <w:tc>
          <w:tcPr>
            <w:tcW w:w="95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1,251</w:t>
            </w:r>
          </w:p>
        </w:tc>
        <w:tc>
          <w:tcPr>
            <w:tcW w:w="111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-94</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4959F4" w:rsidRPr="004959F4" w:rsidRDefault="004959F4" w:rsidP="004959F4">
            <w:pPr>
              <w:rPr>
                <w:rFonts w:ascii="Arial" w:hAnsi="Arial" w:cs="Arial"/>
                <w:b/>
                <w:bCs/>
                <w:color w:val="000000"/>
                <w:sz w:val="18"/>
                <w:szCs w:val="18"/>
              </w:rPr>
            </w:pPr>
            <w:r w:rsidRPr="004959F4">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9,577</w:t>
            </w:r>
          </w:p>
        </w:tc>
        <w:tc>
          <w:tcPr>
            <w:tcW w:w="155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9,136</w:t>
            </w:r>
          </w:p>
        </w:tc>
        <w:tc>
          <w:tcPr>
            <w:tcW w:w="112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-441</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12,868</w:t>
            </w:r>
          </w:p>
        </w:tc>
      </w:tr>
      <w:tr w:rsidR="004959F4" w:rsidRPr="004959F4" w:rsidTr="004959F4">
        <w:trPr>
          <w:trHeight w:val="300"/>
        </w:trPr>
        <w:tc>
          <w:tcPr>
            <w:tcW w:w="959"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r>
      <w:tr w:rsidR="004959F4" w:rsidRPr="004959F4" w:rsidTr="004959F4">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0</w:t>
            </w:r>
          </w:p>
        </w:tc>
        <w:tc>
          <w:tcPr>
            <w:tcW w:w="111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4959F4" w:rsidRPr="004959F4" w:rsidRDefault="004959F4" w:rsidP="004959F4">
            <w:pPr>
              <w:rPr>
                <w:rFonts w:ascii="Arial" w:hAnsi="Arial" w:cs="Arial"/>
                <w:b/>
                <w:bCs/>
                <w:color w:val="000000"/>
                <w:sz w:val="18"/>
                <w:szCs w:val="18"/>
              </w:rPr>
            </w:pPr>
            <w:r w:rsidRPr="004959F4">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0</w:t>
            </w:r>
          </w:p>
        </w:tc>
        <w:tc>
          <w:tcPr>
            <w:tcW w:w="1559"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0</w:t>
            </w:r>
          </w:p>
        </w:tc>
        <w:tc>
          <w:tcPr>
            <w:tcW w:w="112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4959F4" w:rsidRPr="004959F4" w:rsidRDefault="004959F4" w:rsidP="004959F4">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0</w:t>
            </w:r>
          </w:p>
        </w:tc>
        <w:tc>
          <w:tcPr>
            <w:tcW w:w="1200" w:type="dxa"/>
            <w:tcBorders>
              <w:top w:val="nil"/>
              <w:left w:val="nil"/>
              <w:bottom w:val="nil"/>
              <w:right w:val="single" w:sz="8" w:space="0" w:color="FFFFFF"/>
            </w:tcBorders>
            <w:shd w:val="clear" w:color="000000" w:fill="C0C0C0"/>
            <w:vAlign w:val="bottom"/>
            <w:hideMark/>
          </w:tcPr>
          <w:p w:rsidR="004959F4" w:rsidRPr="004959F4" w:rsidRDefault="004959F4" w:rsidP="004959F4">
            <w:pPr>
              <w:jc w:val="right"/>
              <w:rPr>
                <w:rFonts w:ascii="Arial" w:hAnsi="Arial" w:cs="Arial"/>
                <w:b/>
                <w:bCs/>
                <w:color w:val="000000"/>
                <w:sz w:val="18"/>
                <w:szCs w:val="18"/>
              </w:rPr>
            </w:pPr>
            <w:r w:rsidRPr="004959F4">
              <w:rPr>
                <w:rFonts w:ascii="Arial" w:hAnsi="Arial" w:cs="Arial"/>
                <w:b/>
                <w:bCs/>
                <w:color w:val="000000"/>
                <w:sz w:val="18"/>
                <w:szCs w:val="18"/>
              </w:rPr>
              <w:t>-1,009</w:t>
            </w:r>
          </w:p>
        </w:tc>
      </w:tr>
    </w:tbl>
    <w:p w:rsidR="006935C1" w:rsidRDefault="006935C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086661" w:rsidRDefault="0008666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A46CA2" w:rsidRPr="00A422D8" w:rsidRDefault="00A46CA2" w:rsidP="00A46CA2">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3" w:name="OLE_LINK1"/>
      <w:r>
        <w:rPr>
          <w:rFonts w:ascii="Arial" w:eastAsia="Calibri" w:hAnsi="Arial"/>
          <w:b/>
          <w:bCs/>
          <w:color w:val="56008C"/>
          <w:szCs w:val="26"/>
          <w:lang w:eastAsia="en-US"/>
        </w:rPr>
        <w:lastRenderedPageBreak/>
        <w:t>Reconciliation of grant in aid to 2015/16 financial plan</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E</w:t>
      </w:r>
    </w:p>
    <w:p w:rsidR="00A46CA2" w:rsidRDefault="00A46CA2" w:rsidP="00D84750">
      <w:pPr>
        <w:pStyle w:val="ListParagraph"/>
        <w:spacing w:after="200" w:line="276" w:lineRule="auto"/>
        <w:rPr>
          <w:rFonts w:ascii="Arial" w:hAnsi="Arial" w:cs="Arial"/>
          <w:sz w:val="22"/>
          <w:szCs w:val="22"/>
        </w:rPr>
      </w:pPr>
    </w:p>
    <w:p w:rsidR="00A46CA2" w:rsidRDefault="00A46CA2" w:rsidP="00D84750">
      <w:pPr>
        <w:pStyle w:val="ListParagraph"/>
        <w:spacing w:after="200" w:line="276" w:lineRule="auto"/>
        <w:rPr>
          <w:rFonts w:ascii="Arial" w:hAnsi="Arial" w:cs="Arial"/>
          <w:sz w:val="22"/>
          <w:szCs w:val="22"/>
        </w:rPr>
      </w:pPr>
    </w:p>
    <w:p w:rsidR="00544EF0" w:rsidRDefault="00544EF0" w:rsidP="00D84750">
      <w:pPr>
        <w:pStyle w:val="ListParagraph"/>
        <w:spacing w:after="200" w:line="276" w:lineRule="auto"/>
        <w:rPr>
          <w:rFonts w:ascii="Arial" w:hAnsi="Arial" w:cs="Arial"/>
          <w:sz w:val="22"/>
          <w:szCs w:val="22"/>
        </w:rPr>
      </w:pPr>
    </w:p>
    <w:bookmarkEnd w:id="3"/>
    <w:p w:rsidR="00273C65" w:rsidRDefault="00273C65" w:rsidP="00D84750">
      <w:pPr>
        <w:pStyle w:val="ListParagraph"/>
        <w:spacing w:after="200" w:line="276" w:lineRule="auto"/>
        <w:rPr>
          <w:rFonts w:ascii="Arial" w:hAnsi="Arial" w:cs="Arial"/>
          <w:sz w:val="18"/>
          <w:szCs w:val="18"/>
        </w:rPr>
      </w:pPr>
    </w:p>
    <w:p w:rsidR="005E103E" w:rsidRDefault="00FA1EAD" w:rsidP="00273C65">
      <w:pPr>
        <w:spacing w:after="200" w:line="276" w:lineRule="auto"/>
        <w:rPr>
          <w:rFonts w:ascii="Arial" w:hAnsi="Arial" w:cs="Arial"/>
          <w:sz w:val="18"/>
          <w:szCs w:val="18"/>
        </w:rPr>
      </w:pPr>
      <w:r w:rsidRPr="00FA1EAD">
        <w:rPr>
          <w:noProof/>
        </w:rPr>
        <w:drawing>
          <wp:inline distT="0" distB="0" distL="0" distR="0" wp14:anchorId="4C1B2E50" wp14:editId="49CCA2C8">
            <wp:extent cx="6000750" cy="2981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2981325"/>
                    </a:xfrm>
                    <a:prstGeom prst="rect">
                      <a:avLst/>
                    </a:prstGeom>
                    <a:noFill/>
                    <a:ln>
                      <a:noFill/>
                    </a:ln>
                  </pic:spPr>
                </pic:pic>
              </a:graphicData>
            </a:graphic>
          </wp:inline>
        </w:drawing>
      </w:r>
    </w:p>
    <w:p w:rsidR="005E103E" w:rsidRDefault="005E103E">
      <w:pPr>
        <w:spacing w:after="200" w:line="276" w:lineRule="auto"/>
        <w:rPr>
          <w:rFonts w:ascii="Arial" w:hAnsi="Arial" w:cs="Arial"/>
          <w:sz w:val="18"/>
          <w:szCs w:val="18"/>
        </w:rPr>
      </w:pPr>
      <w:r>
        <w:rPr>
          <w:rFonts w:ascii="Arial" w:hAnsi="Arial" w:cs="Arial"/>
          <w:sz w:val="18"/>
          <w:szCs w:val="18"/>
        </w:rPr>
        <w:br w:type="page"/>
      </w:r>
    </w:p>
    <w:p w:rsidR="005E103E" w:rsidRPr="00A422D8" w:rsidRDefault="005E103E" w:rsidP="005E103E">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Pr>
          <w:rFonts w:ascii="Arial" w:eastAsia="Calibri" w:hAnsi="Arial"/>
          <w:b/>
          <w:bCs/>
          <w:color w:val="56008C"/>
          <w:szCs w:val="26"/>
          <w:lang w:eastAsia="en-US"/>
        </w:rPr>
        <w:lastRenderedPageBreak/>
        <w:t>Statement of Financial Position as at 31</w:t>
      </w:r>
      <w:r w:rsidRPr="005E103E">
        <w:rPr>
          <w:rFonts w:ascii="Arial" w:eastAsia="Calibri" w:hAnsi="Arial"/>
          <w:b/>
          <w:bCs/>
          <w:color w:val="56008C"/>
          <w:szCs w:val="26"/>
          <w:vertAlign w:val="superscript"/>
          <w:lang w:eastAsia="en-US"/>
        </w:rPr>
        <w:t>st</w:t>
      </w:r>
      <w:r>
        <w:rPr>
          <w:rFonts w:ascii="Arial" w:eastAsia="Calibri" w:hAnsi="Arial"/>
          <w:b/>
          <w:bCs/>
          <w:color w:val="56008C"/>
          <w:szCs w:val="26"/>
          <w:lang w:eastAsia="en-US"/>
        </w:rPr>
        <w:t xml:space="preserve"> December 2015</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F</w:t>
      </w:r>
    </w:p>
    <w:tbl>
      <w:tblPr>
        <w:tblW w:w="8820" w:type="dxa"/>
        <w:tblInd w:w="93" w:type="dxa"/>
        <w:tblLook w:val="04A0" w:firstRow="1" w:lastRow="0" w:firstColumn="1" w:lastColumn="0" w:noHBand="0" w:noVBand="1"/>
      </w:tblPr>
      <w:tblGrid>
        <w:gridCol w:w="4020"/>
        <w:gridCol w:w="960"/>
        <w:gridCol w:w="960"/>
        <w:gridCol w:w="960"/>
        <w:gridCol w:w="960"/>
        <w:gridCol w:w="989"/>
      </w:tblGrid>
      <w:tr w:rsidR="005E103E" w:rsidRPr="005E103E" w:rsidTr="005E103E">
        <w:trPr>
          <w:trHeight w:val="300"/>
        </w:trPr>
        <w:tc>
          <w:tcPr>
            <w:tcW w:w="402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FFFF00"/>
            <w:noWrap/>
            <w:vAlign w:val="center"/>
            <w:hideMark/>
          </w:tcPr>
          <w:p w:rsidR="005E103E" w:rsidRPr="005E103E" w:rsidRDefault="005E103E" w:rsidP="005E103E">
            <w:pPr>
              <w:jc w:val="center"/>
              <w:rPr>
                <w:rFonts w:ascii="Calibri" w:hAnsi="Calibri" w:cs="Calibri"/>
                <w:b/>
                <w:bCs/>
                <w:color w:val="000000"/>
                <w:sz w:val="22"/>
                <w:szCs w:val="22"/>
              </w:rPr>
            </w:pPr>
            <w:r w:rsidRPr="005E103E">
              <w:rPr>
                <w:rFonts w:ascii="Calibri" w:hAnsi="Calibri" w:cs="Calibri"/>
                <w:b/>
                <w:bCs/>
                <w:color w:val="000000"/>
                <w:sz w:val="22"/>
                <w:szCs w:val="22"/>
              </w:rPr>
              <w:t>Mar-15</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Dec-15</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8DB4E2"/>
            <w:noWrap/>
            <w:vAlign w:val="center"/>
            <w:hideMark/>
          </w:tcPr>
          <w:p w:rsidR="005E103E" w:rsidRPr="005E103E" w:rsidRDefault="005E103E" w:rsidP="005E103E">
            <w:pPr>
              <w:jc w:val="center"/>
              <w:rPr>
                <w:rFonts w:ascii="Calibri" w:hAnsi="Calibri" w:cs="Calibri"/>
                <w:b/>
                <w:bCs/>
                <w:color w:val="000000"/>
                <w:sz w:val="22"/>
                <w:szCs w:val="22"/>
              </w:rPr>
            </w:pPr>
            <w:r w:rsidRPr="005E103E">
              <w:rPr>
                <w:rFonts w:ascii="Calibri" w:hAnsi="Calibri" w:cs="Calibri"/>
                <w:b/>
                <w:bCs/>
                <w:color w:val="000000"/>
                <w:sz w:val="22"/>
                <w:szCs w:val="22"/>
              </w:rPr>
              <w:t>Forecast</w:t>
            </w:r>
          </w:p>
        </w:tc>
      </w:tr>
      <w:tr w:rsidR="005E103E" w:rsidRPr="005E103E" w:rsidTr="005E103E">
        <w:trPr>
          <w:trHeight w:val="315"/>
        </w:trPr>
        <w:tc>
          <w:tcPr>
            <w:tcW w:w="402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5E103E" w:rsidRPr="005E103E" w:rsidRDefault="005E103E" w:rsidP="005E103E">
            <w:pPr>
              <w:jc w:val="center"/>
              <w:rPr>
                <w:rFonts w:ascii="Calibri" w:hAnsi="Calibri" w:cs="Calibri"/>
                <w:b/>
                <w:bCs/>
                <w:color w:val="000000"/>
                <w:sz w:val="22"/>
                <w:szCs w:val="22"/>
              </w:rPr>
            </w:pPr>
            <w:r w:rsidRPr="005E103E">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5E103E" w:rsidRPr="005E103E" w:rsidRDefault="005E103E" w:rsidP="005E103E">
            <w:pPr>
              <w:jc w:val="center"/>
              <w:rPr>
                <w:rFonts w:ascii="Calibri" w:hAnsi="Calibri" w:cs="Calibri"/>
                <w:b/>
                <w:bCs/>
                <w:color w:val="000000"/>
                <w:sz w:val="22"/>
                <w:szCs w:val="22"/>
              </w:rPr>
            </w:pPr>
            <w:r w:rsidRPr="005E103E">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8DB4E2"/>
            <w:noWrap/>
            <w:vAlign w:val="center"/>
            <w:hideMark/>
          </w:tcPr>
          <w:p w:rsidR="005E103E" w:rsidRPr="005E103E" w:rsidRDefault="005E103E" w:rsidP="005E103E">
            <w:pPr>
              <w:jc w:val="center"/>
              <w:rPr>
                <w:rFonts w:ascii="Calibri" w:hAnsi="Calibri" w:cs="Calibri"/>
                <w:b/>
                <w:bCs/>
                <w:color w:val="000000"/>
                <w:sz w:val="22"/>
                <w:szCs w:val="22"/>
              </w:rPr>
            </w:pPr>
            <w:r w:rsidRPr="005E103E">
              <w:rPr>
                <w:rFonts w:ascii="Calibri" w:hAnsi="Calibri" w:cs="Calibri"/>
                <w:b/>
                <w:bCs/>
                <w:color w:val="000000"/>
                <w:sz w:val="22"/>
                <w:szCs w:val="22"/>
              </w:rPr>
              <w:t>£k</w:t>
            </w:r>
          </w:p>
        </w:tc>
      </w:tr>
      <w:tr w:rsidR="005E103E" w:rsidRPr="005E103E" w:rsidTr="005E103E">
        <w:trPr>
          <w:trHeight w:val="300"/>
        </w:trPr>
        <w:tc>
          <w:tcPr>
            <w:tcW w:w="4020" w:type="dxa"/>
            <w:tcBorders>
              <w:top w:val="nil"/>
              <w:left w:val="nil"/>
              <w:bottom w:val="nil"/>
              <w:right w:val="nil"/>
            </w:tcBorders>
            <w:shd w:val="clear" w:color="auto" w:fill="auto"/>
            <w:noWrap/>
            <w:vAlign w:val="center"/>
            <w:hideMark/>
          </w:tcPr>
          <w:p w:rsidR="005E103E" w:rsidRPr="005E103E" w:rsidRDefault="005E103E" w:rsidP="005E103E">
            <w:pPr>
              <w:rPr>
                <w:rFonts w:ascii="Calibri" w:hAnsi="Calibri" w:cs="Calibri"/>
                <w:b/>
                <w:bCs/>
                <w:color w:val="000000"/>
                <w:sz w:val="22"/>
                <w:szCs w:val="22"/>
                <w:u w:val="single"/>
              </w:rPr>
            </w:pPr>
            <w:r w:rsidRPr="005E103E">
              <w:rPr>
                <w:rFonts w:ascii="Calibri" w:hAnsi="Calibri" w:cs="Calibri"/>
                <w:b/>
                <w:bCs/>
                <w:color w:val="000000"/>
                <w:sz w:val="22"/>
                <w:szCs w:val="22"/>
                <w:u w:val="single"/>
              </w:rPr>
              <w:t>Fixed assets</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892</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1,370</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1,520</w:t>
            </w:r>
          </w:p>
        </w:tc>
      </w:tr>
      <w:tr w:rsidR="005E103E" w:rsidRPr="005E103E" w:rsidTr="005E103E">
        <w:trPr>
          <w:trHeight w:val="300"/>
        </w:trPr>
        <w:tc>
          <w:tcPr>
            <w:tcW w:w="402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00"/>
        </w:trPr>
        <w:tc>
          <w:tcPr>
            <w:tcW w:w="4020" w:type="dxa"/>
            <w:tcBorders>
              <w:top w:val="nil"/>
              <w:left w:val="nil"/>
              <w:bottom w:val="nil"/>
              <w:right w:val="nil"/>
            </w:tcBorders>
            <w:shd w:val="clear" w:color="auto" w:fill="auto"/>
            <w:noWrap/>
            <w:vAlign w:val="center"/>
            <w:hideMark/>
          </w:tcPr>
          <w:p w:rsidR="005E103E" w:rsidRPr="005E103E" w:rsidRDefault="005E103E" w:rsidP="005E103E">
            <w:pPr>
              <w:rPr>
                <w:rFonts w:ascii="Arial" w:hAnsi="Arial" w:cs="Arial"/>
                <w:b/>
                <w:bCs/>
                <w:color w:val="000000"/>
                <w:sz w:val="20"/>
                <w:szCs w:val="20"/>
                <w:u w:val="single"/>
              </w:rPr>
            </w:pPr>
            <w:r w:rsidRPr="005E103E">
              <w:rPr>
                <w:rFonts w:ascii="Arial" w:hAnsi="Arial" w:cs="Arial"/>
                <w:b/>
                <w:bCs/>
                <w:color w:val="000000"/>
                <w:sz w:val="20"/>
                <w:szCs w:val="20"/>
                <w:u w:val="single"/>
              </w:rPr>
              <w:t>Current assets</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00"/>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color w:val="000000"/>
                <w:sz w:val="20"/>
                <w:szCs w:val="20"/>
              </w:rPr>
            </w:pPr>
            <w:r w:rsidRPr="005E103E">
              <w:rPr>
                <w:rFonts w:ascii="Arial" w:hAnsi="Arial" w:cs="Arial"/>
                <w:color w:val="000000"/>
                <w:sz w:val="20"/>
                <w:szCs w:val="20"/>
              </w:rPr>
              <w:t>Trade and other receivables</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203</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16</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20</w:t>
            </w:r>
          </w:p>
        </w:tc>
      </w:tr>
      <w:tr w:rsidR="005E103E" w:rsidRPr="005E103E" w:rsidTr="005E103E">
        <w:trPr>
          <w:trHeight w:val="315"/>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color w:val="000000"/>
                <w:sz w:val="20"/>
                <w:szCs w:val="20"/>
              </w:rPr>
            </w:pPr>
            <w:r w:rsidRPr="005E103E">
              <w:rPr>
                <w:rFonts w:ascii="Arial" w:hAnsi="Arial" w:cs="Arial"/>
                <w:color w:val="000000"/>
                <w:sz w:val="20"/>
                <w:szCs w:val="20"/>
              </w:rPr>
              <w:t>Cash and cash equivalents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3,741</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2,657</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4,813</w:t>
            </w:r>
          </w:p>
        </w:tc>
      </w:tr>
      <w:tr w:rsidR="005E103E" w:rsidRPr="005E103E" w:rsidTr="005E103E">
        <w:trPr>
          <w:trHeight w:val="315"/>
        </w:trPr>
        <w:tc>
          <w:tcPr>
            <w:tcW w:w="402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3,944</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2,673</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4,833</w:t>
            </w:r>
          </w:p>
        </w:tc>
      </w:tr>
      <w:tr w:rsidR="005E103E" w:rsidRPr="005E103E" w:rsidTr="005E103E">
        <w:trPr>
          <w:trHeight w:val="300"/>
        </w:trPr>
        <w:tc>
          <w:tcPr>
            <w:tcW w:w="4020" w:type="dxa"/>
            <w:tcBorders>
              <w:top w:val="nil"/>
              <w:left w:val="nil"/>
              <w:bottom w:val="nil"/>
              <w:right w:val="nil"/>
            </w:tcBorders>
            <w:shd w:val="clear" w:color="auto" w:fill="auto"/>
            <w:noWrap/>
            <w:vAlign w:val="center"/>
            <w:hideMark/>
          </w:tcPr>
          <w:p w:rsidR="005E103E" w:rsidRPr="005E103E" w:rsidRDefault="005E103E" w:rsidP="005E103E">
            <w:pPr>
              <w:rPr>
                <w:rFonts w:ascii="Arial" w:hAnsi="Arial" w:cs="Arial"/>
                <w:b/>
                <w:bCs/>
                <w:color w:val="000000"/>
                <w:sz w:val="20"/>
                <w:szCs w:val="20"/>
              </w:rPr>
            </w:pPr>
            <w:r w:rsidRPr="005E103E">
              <w:rPr>
                <w:rFonts w:ascii="Arial" w:hAnsi="Arial" w:cs="Arial"/>
                <w:b/>
                <w:bCs/>
                <w:color w:val="000000"/>
                <w:sz w:val="20"/>
                <w:szCs w:val="20"/>
              </w:rPr>
              <w:t>Less</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00"/>
        </w:trPr>
        <w:tc>
          <w:tcPr>
            <w:tcW w:w="402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00"/>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b/>
                <w:bCs/>
                <w:color w:val="000000"/>
                <w:sz w:val="20"/>
                <w:szCs w:val="20"/>
                <w:u w:val="single"/>
              </w:rPr>
            </w:pPr>
            <w:r w:rsidRPr="005E103E">
              <w:rPr>
                <w:rFonts w:ascii="Arial" w:hAnsi="Arial" w:cs="Arial"/>
                <w:b/>
                <w:bCs/>
                <w:color w:val="000000"/>
                <w:sz w:val="20"/>
                <w:szCs w:val="20"/>
                <w:u w:val="single"/>
              </w:rPr>
              <w:t>Current Liabilities</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00"/>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color w:val="000000"/>
                <w:sz w:val="20"/>
                <w:szCs w:val="20"/>
              </w:rPr>
            </w:pPr>
            <w:r w:rsidRPr="005E103E">
              <w:rPr>
                <w:rFonts w:ascii="Arial" w:hAnsi="Arial" w:cs="Arial"/>
                <w:color w:val="000000"/>
                <w:sz w:val="20"/>
                <w:szCs w:val="20"/>
              </w:rPr>
              <w:t>Trade and other payables</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1,362</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1,315</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999</w:t>
            </w:r>
          </w:p>
        </w:tc>
      </w:tr>
      <w:tr w:rsidR="005E103E" w:rsidRPr="005E103E" w:rsidTr="005E103E">
        <w:trPr>
          <w:trHeight w:val="300"/>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color w:val="000000"/>
                <w:sz w:val="20"/>
                <w:szCs w:val="20"/>
              </w:rPr>
            </w:pPr>
            <w:r w:rsidRPr="005E103E">
              <w:rPr>
                <w:rFonts w:ascii="Arial" w:hAnsi="Arial" w:cs="Arial"/>
                <w:color w:val="000000"/>
                <w:sz w:val="20"/>
                <w:szCs w:val="20"/>
              </w:rPr>
              <w:t>Provisions for liabilities and charges</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15"/>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color w:val="000000"/>
                <w:sz w:val="20"/>
                <w:szCs w:val="20"/>
              </w:rPr>
            </w:pPr>
            <w:r w:rsidRPr="005E103E">
              <w:rPr>
                <w:rFonts w:ascii="Arial" w:hAnsi="Arial" w:cs="Arial"/>
                <w:color w:val="000000"/>
                <w:sz w:val="20"/>
                <w:szCs w:val="20"/>
              </w:rPr>
              <w:t>Other 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15"/>
        </w:trPr>
        <w:tc>
          <w:tcPr>
            <w:tcW w:w="402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1,370</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1,315</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999</w:t>
            </w:r>
          </w:p>
        </w:tc>
      </w:tr>
      <w:tr w:rsidR="005E103E" w:rsidRPr="005E103E" w:rsidTr="005E103E">
        <w:trPr>
          <w:trHeight w:val="315"/>
        </w:trPr>
        <w:tc>
          <w:tcPr>
            <w:tcW w:w="402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rPr>
                <w:rFonts w:ascii="Calibri" w:hAnsi="Calibri" w:cs="Calibri"/>
                <w:b/>
                <w:bCs/>
                <w:color w:val="000000"/>
                <w:sz w:val="22"/>
                <w:szCs w:val="22"/>
              </w:rPr>
            </w:pPr>
            <w:r w:rsidRPr="005E103E">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rPr>
                <w:rFonts w:ascii="Calibri" w:hAnsi="Calibri" w:cs="Calibri"/>
                <w:b/>
                <w:bCs/>
                <w:color w:val="000000"/>
                <w:sz w:val="22"/>
                <w:szCs w:val="22"/>
              </w:rPr>
            </w:pPr>
            <w:r w:rsidRPr="005E103E">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rPr>
                <w:rFonts w:ascii="Calibri" w:hAnsi="Calibri" w:cs="Calibri"/>
                <w:b/>
                <w:bCs/>
                <w:color w:val="000000"/>
                <w:sz w:val="22"/>
                <w:szCs w:val="22"/>
              </w:rPr>
            </w:pPr>
            <w:r w:rsidRPr="005E103E">
              <w:rPr>
                <w:rFonts w:ascii="Calibri" w:hAnsi="Calibri" w:cs="Calibri"/>
                <w:b/>
                <w:bCs/>
                <w:color w:val="000000"/>
                <w:sz w:val="22"/>
                <w:szCs w:val="22"/>
              </w:rPr>
              <w:t> </w:t>
            </w:r>
          </w:p>
        </w:tc>
      </w:tr>
      <w:tr w:rsidR="005E103E" w:rsidRPr="005E103E" w:rsidTr="005E103E">
        <w:trPr>
          <w:trHeight w:val="315"/>
        </w:trPr>
        <w:tc>
          <w:tcPr>
            <w:tcW w:w="4020" w:type="dxa"/>
            <w:tcBorders>
              <w:top w:val="nil"/>
              <w:left w:val="nil"/>
              <w:bottom w:val="nil"/>
              <w:right w:val="nil"/>
            </w:tcBorders>
            <w:shd w:val="clear" w:color="auto" w:fill="auto"/>
            <w:noWrap/>
            <w:vAlign w:val="center"/>
            <w:hideMark/>
          </w:tcPr>
          <w:p w:rsidR="005E103E" w:rsidRPr="005E103E" w:rsidRDefault="005E103E" w:rsidP="005E103E">
            <w:pPr>
              <w:rPr>
                <w:rFonts w:ascii="Arial" w:hAnsi="Arial" w:cs="Arial"/>
                <w:b/>
                <w:bCs/>
                <w:color w:val="000000"/>
                <w:sz w:val="20"/>
                <w:szCs w:val="20"/>
              </w:rPr>
            </w:pPr>
            <w:r w:rsidRPr="005E103E">
              <w:rPr>
                <w:rFonts w:ascii="Arial" w:hAnsi="Arial" w:cs="Arial"/>
                <w:b/>
                <w:bCs/>
                <w:color w:val="000000"/>
                <w:sz w:val="20"/>
                <w:szCs w:val="20"/>
              </w:rPr>
              <w:t>Net Current Assets/(Liabilities)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2,574</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1,358</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3,834</w:t>
            </w:r>
          </w:p>
        </w:tc>
      </w:tr>
      <w:tr w:rsidR="005E103E" w:rsidRPr="005E103E" w:rsidTr="005E103E">
        <w:trPr>
          <w:trHeight w:val="315"/>
        </w:trPr>
        <w:tc>
          <w:tcPr>
            <w:tcW w:w="4020" w:type="dxa"/>
            <w:tcBorders>
              <w:top w:val="nil"/>
              <w:left w:val="nil"/>
              <w:bottom w:val="nil"/>
              <w:right w:val="nil"/>
            </w:tcBorders>
            <w:shd w:val="clear" w:color="auto" w:fill="auto"/>
            <w:noWrap/>
            <w:vAlign w:val="center"/>
            <w:hideMark/>
          </w:tcPr>
          <w:p w:rsidR="005E103E" w:rsidRPr="005E103E" w:rsidRDefault="005E103E" w:rsidP="005E103E">
            <w:pPr>
              <w:rPr>
                <w:rFonts w:ascii="Arial" w:hAnsi="Arial" w:cs="Arial"/>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00"/>
        </w:trPr>
        <w:tc>
          <w:tcPr>
            <w:tcW w:w="4020" w:type="dxa"/>
            <w:tcBorders>
              <w:top w:val="nil"/>
              <w:left w:val="nil"/>
              <w:bottom w:val="nil"/>
              <w:right w:val="nil"/>
            </w:tcBorders>
            <w:shd w:val="clear" w:color="auto" w:fill="auto"/>
            <w:noWrap/>
            <w:vAlign w:val="center"/>
            <w:hideMark/>
          </w:tcPr>
          <w:p w:rsidR="005E103E" w:rsidRPr="005E103E" w:rsidRDefault="005E103E" w:rsidP="005E103E">
            <w:pPr>
              <w:rPr>
                <w:rFonts w:ascii="Arial" w:hAnsi="Arial" w:cs="Arial"/>
                <w:color w:val="000000"/>
                <w:sz w:val="20"/>
                <w:szCs w:val="20"/>
              </w:rPr>
            </w:pPr>
          </w:p>
        </w:tc>
        <w:tc>
          <w:tcPr>
            <w:tcW w:w="96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3,466</w:t>
            </w:r>
          </w:p>
        </w:tc>
        <w:tc>
          <w:tcPr>
            <w:tcW w:w="960" w:type="dxa"/>
            <w:tcBorders>
              <w:top w:val="nil"/>
              <w:left w:val="nil"/>
              <w:bottom w:val="nil"/>
              <w:right w:val="single" w:sz="8" w:space="0" w:color="auto"/>
            </w:tcBorders>
            <w:shd w:val="clear" w:color="auto" w:fill="auto"/>
            <w:noWrap/>
            <w:vAlign w:val="bottom"/>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000000" w:fill="E5B8B7"/>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2,727</w:t>
            </w:r>
          </w:p>
        </w:tc>
        <w:tc>
          <w:tcPr>
            <w:tcW w:w="960" w:type="dxa"/>
            <w:tcBorders>
              <w:top w:val="nil"/>
              <w:left w:val="nil"/>
              <w:bottom w:val="nil"/>
              <w:right w:val="single" w:sz="8" w:space="0" w:color="auto"/>
            </w:tcBorders>
            <w:shd w:val="clear" w:color="auto" w:fill="auto"/>
            <w:noWrap/>
            <w:vAlign w:val="bottom"/>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000000" w:fill="E5B8B7"/>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5,354</w:t>
            </w:r>
          </w:p>
        </w:tc>
      </w:tr>
      <w:tr w:rsidR="005E103E" w:rsidRPr="005E103E" w:rsidTr="005E103E">
        <w:trPr>
          <w:trHeight w:val="315"/>
        </w:trPr>
        <w:tc>
          <w:tcPr>
            <w:tcW w:w="4020" w:type="dxa"/>
            <w:tcBorders>
              <w:top w:val="nil"/>
              <w:left w:val="nil"/>
              <w:bottom w:val="nil"/>
              <w:right w:val="nil"/>
            </w:tcBorders>
            <w:shd w:val="clear" w:color="auto" w:fill="auto"/>
            <w:noWrap/>
            <w:vAlign w:val="center"/>
            <w:hideMark/>
          </w:tcPr>
          <w:p w:rsidR="005E103E" w:rsidRPr="005E103E" w:rsidRDefault="005E103E" w:rsidP="005E103E">
            <w:pPr>
              <w:rPr>
                <w:rFonts w:ascii="Arial" w:hAnsi="Arial" w:cs="Arial"/>
                <w:b/>
                <w:bCs/>
                <w:color w:val="000000"/>
                <w:sz w:val="20"/>
                <w:szCs w:val="20"/>
              </w:rPr>
            </w:pPr>
            <w:r w:rsidRPr="005E103E">
              <w:rPr>
                <w:rFonts w:ascii="Arial" w:hAnsi="Arial" w:cs="Arial"/>
                <w:b/>
                <w:bCs/>
                <w:color w:val="000000"/>
                <w:sz w:val="20"/>
                <w:szCs w:val="20"/>
              </w:rPr>
              <w:t>Net Assets/(Liabilities)</w:t>
            </w:r>
          </w:p>
        </w:tc>
        <w:tc>
          <w:tcPr>
            <w:tcW w:w="960" w:type="dxa"/>
            <w:vMerge/>
            <w:tcBorders>
              <w:top w:val="nil"/>
              <w:left w:val="single" w:sz="8" w:space="0" w:color="auto"/>
              <w:bottom w:val="single" w:sz="8" w:space="0" w:color="000000"/>
              <w:right w:val="single" w:sz="8" w:space="0" w:color="auto"/>
            </w:tcBorders>
            <w:vAlign w:val="center"/>
            <w:hideMark/>
          </w:tcPr>
          <w:p w:rsidR="005E103E" w:rsidRPr="005E103E" w:rsidRDefault="005E103E" w:rsidP="005E103E">
            <w:pP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5E103E" w:rsidRPr="005E103E" w:rsidRDefault="005E103E" w:rsidP="005E103E">
            <w:pP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5E103E" w:rsidRPr="005E103E" w:rsidRDefault="005E103E" w:rsidP="005E103E">
            <w:pPr>
              <w:rPr>
                <w:rFonts w:ascii="Calibri" w:hAnsi="Calibri" w:cs="Calibri"/>
                <w:b/>
                <w:bCs/>
                <w:color w:val="000000"/>
                <w:sz w:val="22"/>
                <w:szCs w:val="22"/>
              </w:rPr>
            </w:pPr>
          </w:p>
        </w:tc>
      </w:tr>
      <w:tr w:rsidR="005E103E" w:rsidRPr="005E103E" w:rsidTr="005E103E">
        <w:trPr>
          <w:trHeight w:val="300"/>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color w:val="000000"/>
                <w:sz w:val="20"/>
                <w:szCs w:val="20"/>
              </w:rPr>
            </w:pPr>
            <w:r w:rsidRPr="005E103E">
              <w:rPr>
                <w:rFonts w:ascii="Arial" w:hAnsi="Arial" w:cs="Arial"/>
                <w:color w:val="000000"/>
                <w:sz w:val="20"/>
                <w:szCs w:val="20"/>
              </w:rPr>
              <w:t> </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00"/>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b/>
                <w:bCs/>
                <w:color w:val="000000"/>
                <w:sz w:val="20"/>
                <w:szCs w:val="20"/>
              </w:rPr>
            </w:pPr>
            <w:r w:rsidRPr="005E103E">
              <w:rPr>
                <w:rFonts w:ascii="Arial" w:hAnsi="Arial" w:cs="Arial"/>
                <w:b/>
                <w:bCs/>
                <w:color w:val="000000"/>
                <w:sz w:val="20"/>
                <w:szCs w:val="20"/>
              </w:rPr>
              <w:t xml:space="preserve">Represented by:- </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00"/>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b/>
                <w:bCs/>
                <w:color w:val="000000"/>
                <w:sz w:val="20"/>
                <w:szCs w:val="20"/>
              </w:rPr>
            </w:pPr>
            <w:r w:rsidRPr="005E103E">
              <w:rPr>
                <w:rFonts w:ascii="Arial" w:hAnsi="Arial" w:cs="Arial"/>
                <w:b/>
                <w:bCs/>
                <w:color w:val="000000"/>
                <w:sz w:val="20"/>
                <w:szCs w:val="20"/>
              </w:rPr>
              <w:t>Tax payers Equity</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00"/>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color w:val="000000"/>
                <w:sz w:val="20"/>
                <w:szCs w:val="20"/>
              </w:rPr>
            </w:pPr>
            <w:r w:rsidRPr="005E103E">
              <w:rPr>
                <w:rFonts w:ascii="Arial" w:hAnsi="Arial" w:cs="Arial"/>
                <w:color w:val="000000"/>
                <w:sz w:val="20"/>
                <w:szCs w:val="20"/>
              </w:rPr>
              <w:t>Department of Health Funding General Fund</w:t>
            </w: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3,466</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2,727</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5E103E" w:rsidRPr="005E103E" w:rsidRDefault="005E103E" w:rsidP="005E103E">
            <w:pPr>
              <w:jc w:val="right"/>
              <w:rPr>
                <w:rFonts w:ascii="Calibri" w:hAnsi="Calibri" w:cs="Calibri"/>
                <w:color w:val="000000"/>
                <w:sz w:val="22"/>
                <w:szCs w:val="22"/>
              </w:rPr>
            </w:pPr>
            <w:r w:rsidRPr="005E103E">
              <w:rPr>
                <w:rFonts w:ascii="Calibri" w:hAnsi="Calibri" w:cs="Calibri"/>
                <w:color w:val="000000"/>
                <w:sz w:val="22"/>
                <w:szCs w:val="22"/>
              </w:rPr>
              <w:t>5,354</w:t>
            </w:r>
          </w:p>
        </w:tc>
      </w:tr>
      <w:tr w:rsidR="005E103E" w:rsidRPr="005E103E" w:rsidTr="005E103E">
        <w:trPr>
          <w:trHeight w:val="315"/>
        </w:trPr>
        <w:tc>
          <w:tcPr>
            <w:tcW w:w="4020" w:type="dxa"/>
            <w:tcBorders>
              <w:top w:val="nil"/>
              <w:left w:val="nil"/>
              <w:bottom w:val="nil"/>
              <w:right w:val="nil"/>
            </w:tcBorders>
            <w:shd w:val="clear" w:color="000000" w:fill="FFFFFF"/>
            <w:noWrap/>
            <w:vAlign w:val="center"/>
            <w:hideMark/>
          </w:tcPr>
          <w:p w:rsidR="005E103E" w:rsidRPr="005E103E" w:rsidRDefault="005E103E" w:rsidP="005E103E">
            <w:pPr>
              <w:rPr>
                <w:rFonts w:ascii="Arial" w:hAnsi="Arial" w:cs="Arial"/>
                <w:color w:val="000000"/>
                <w:sz w:val="20"/>
                <w:szCs w:val="20"/>
              </w:rPr>
            </w:pPr>
            <w:r w:rsidRPr="005E103E">
              <w:rPr>
                <w:rFonts w:ascii="Arial" w:hAnsi="Arial" w:cs="Arial"/>
                <w:color w:val="000000"/>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103E" w:rsidRPr="005E103E" w:rsidRDefault="005E103E" w:rsidP="005E103E">
            <w:pPr>
              <w:rPr>
                <w:rFonts w:ascii="Calibri" w:hAnsi="Calibri" w:cs="Calibri"/>
                <w:color w:val="000000"/>
                <w:sz w:val="22"/>
                <w:szCs w:val="22"/>
              </w:rPr>
            </w:pPr>
            <w:r w:rsidRPr="005E103E">
              <w:rPr>
                <w:rFonts w:ascii="Calibri" w:hAnsi="Calibri" w:cs="Calibri"/>
                <w:color w:val="000000"/>
                <w:sz w:val="22"/>
                <w:szCs w:val="22"/>
              </w:rPr>
              <w:t> </w:t>
            </w:r>
          </w:p>
        </w:tc>
      </w:tr>
      <w:tr w:rsidR="005E103E" w:rsidRPr="005E103E" w:rsidTr="005E103E">
        <w:trPr>
          <w:trHeight w:val="315"/>
        </w:trPr>
        <w:tc>
          <w:tcPr>
            <w:tcW w:w="4020" w:type="dxa"/>
            <w:tcBorders>
              <w:top w:val="nil"/>
              <w:left w:val="nil"/>
              <w:bottom w:val="nil"/>
              <w:right w:val="nil"/>
            </w:tcBorders>
            <w:shd w:val="clear" w:color="auto" w:fill="auto"/>
            <w:noWrap/>
            <w:vAlign w:val="center"/>
            <w:hideMark/>
          </w:tcPr>
          <w:p w:rsidR="005E103E" w:rsidRPr="005E103E" w:rsidRDefault="005E103E" w:rsidP="005E103E">
            <w:pPr>
              <w:rPr>
                <w:rFonts w:ascii="Arial" w:hAnsi="Arial" w:cs="Arial"/>
                <w:b/>
                <w:bCs/>
                <w:color w:val="000000"/>
                <w:sz w:val="20"/>
                <w:szCs w:val="20"/>
              </w:rPr>
            </w:pPr>
            <w:r w:rsidRPr="005E103E">
              <w:rPr>
                <w:rFonts w:ascii="Arial" w:hAnsi="Arial" w:cs="Arial"/>
                <w:b/>
                <w:bCs/>
                <w:color w:val="000000"/>
                <w:sz w:val="20"/>
                <w:szCs w:val="20"/>
              </w:rPr>
              <w:t>Total Taxpayers' Equity</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3,466</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2,727</w:t>
            </w:r>
          </w:p>
        </w:tc>
        <w:tc>
          <w:tcPr>
            <w:tcW w:w="960" w:type="dxa"/>
            <w:tcBorders>
              <w:top w:val="nil"/>
              <w:left w:val="nil"/>
              <w:bottom w:val="nil"/>
              <w:right w:val="nil"/>
            </w:tcBorders>
            <w:shd w:val="clear" w:color="auto" w:fill="auto"/>
            <w:noWrap/>
            <w:vAlign w:val="bottom"/>
            <w:hideMark/>
          </w:tcPr>
          <w:p w:rsidR="005E103E" w:rsidRPr="005E103E" w:rsidRDefault="005E103E" w:rsidP="005E103E">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5E103E" w:rsidRPr="005E103E" w:rsidRDefault="005E103E" w:rsidP="005E103E">
            <w:pPr>
              <w:jc w:val="right"/>
              <w:rPr>
                <w:rFonts w:ascii="Calibri" w:hAnsi="Calibri" w:cs="Calibri"/>
                <w:b/>
                <w:bCs/>
                <w:color w:val="000000"/>
                <w:sz w:val="22"/>
                <w:szCs w:val="22"/>
              </w:rPr>
            </w:pPr>
            <w:r w:rsidRPr="005E103E">
              <w:rPr>
                <w:rFonts w:ascii="Calibri" w:hAnsi="Calibri" w:cs="Calibri"/>
                <w:b/>
                <w:bCs/>
                <w:color w:val="000000"/>
                <w:sz w:val="22"/>
                <w:szCs w:val="22"/>
              </w:rPr>
              <w:t>5,354</w:t>
            </w:r>
          </w:p>
        </w:tc>
      </w:tr>
    </w:tbl>
    <w:p w:rsidR="005E103E" w:rsidRDefault="005E103E" w:rsidP="00273C65">
      <w:pPr>
        <w:spacing w:after="200" w:line="276" w:lineRule="auto"/>
        <w:rPr>
          <w:rFonts w:ascii="Arial" w:hAnsi="Arial" w:cs="Arial"/>
          <w:sz w:val="18"/>
          <w:szCs w:val="18"/>
        </w:rPr>
      </w:pPr>
    </w:p>
    <w:p w:rsidR="005E103E" w:rsidRDefault="005E103E">
      <w:pPr>
        <w:spacing w:after="200" w:line="276" w:lineRule="auto"/>
        <w:rPr>
          <w:rFonts w:ascii="Arial" w:hAnsi="Arial" w:cs="Arial"/>
          <w:sz w:val="18"/>
          <w:szCs w:val="18"/>
        </w:rPr>
      </w:pPr>
      <w:r>
        <w:rPr>
          <w:rFonts w:ascii="Arial" w:hAnsi="Arial" w:cs="Arial"/>
          <w:sz w:val="18"/>
          <w:szCs w:val="18"/>
        </w:rPr>
        <w:br w:type="page"/>
      </w:r>
    </w:p>
    <w:p w:rsidR="005E103E" w:rsidRPr="00A422D8" w:rsidRDefault="005E103E" w:rsidP="005E103E">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roofErr w:type="spellStart"/>
      <w:r>
        <w:rPr>
          <w:rFonts w:ascii="Arial" w:eastAsia="Calibri" w:hAnsi="Arial"/>
          <w:b/>
          <w:bCs/>
          <w:color w:val="56008C"/>
          <w:szCs w:val="26"/>
          <w:lang w:eastAsia="en-US"/>
        </w:rPr>
        <w:lastRenderedPageBreak/>
        <w:t>Cashflow</w:t>
      </w:r>
      <w:proofErr w:type="spellEnd"/>
      <w:r>
        <w:rPr>
          <w:rFonts w:ascii="Arial" w:eastAsia="Calibri" w:hAnsi="Arial"/>
          <w:b/>
          <w:bCs/>
          <w:color w:val="56008C"/>
          <w:szCs w:val="26"/>
          <w:lang w:eastAsia="en-US"/>
        </w:rPr>
        <w:t xml:space="preserve"> forecast as at 31</w:t>
      </w:r>
      <w:r w:rsidRPr="005E103E">
        <w:rPr>
          <w:rFonts w:ascii="Arial" w:eastAsia="Calibri" w:hAnsi="Arial"/>
          <w:b/>
          <w:bCs/>
          <w:color w:val="56008C"/>
          <w:szCs w:val="26"/>
          <w:vertAlign w:val="superscript"/>
          <w:lang w:eastAsia="en-US"/>
        </w:rPr>
        <w:t>st</w:t>
      </w:r>
      <w:r>
        <w:rPr>
          <w:rFonts w:ascii="Arial" w:eastAsia="Calibri" w:hAnsi="Arial"/>
          <w:b/>
          <w:bCs/>
          <w:color w:val="56008C"/>
          <w:szCs w:val="26"/>
          <w:lang w:eastAsia="en-US"/>
        </w:rPr>
        <w:t xml:space="preserve"> December 2015</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G</w:t>
      </w:r>
    </w:p>
    <w:p w:rsidR="005E103E" w:rsidRDefault="005E103E" w:rsidP="00273C65">
      <w:pPr>
        <w:spacing w:after="200" w:line="276" w:lineRule="auto"/>
        <w:rPr>
          <w:rFonts w:ascii="Arial" w:hAnsi="Arial" w:cs="Arial"/>
          <w:sz w:val="18"/>
          <w:szCs w:val="18"/>
        </w:rPr>
      </w:pPr>
    </w:p>
    <w:p w:rsidR="005E103E" w:rsidRDefault="005E103E" w:rsidP="00273C65">
      <w:pPr>
        <w:spacing w:after="200" w:line="276" w:lineRule="auto"/>
        <w:rPr>
          <w:rFonts w:ascii="Arial" w:hAnsi="Arial" w:cs="Arial"/>
          <w:sz w:val="18"/>
          <w:szCs w:val="18"/>
        </w:rPr>
      </w:pPr>
    </w:p>
    <w:p w:rsidR="007A03AB" w:rsidRDefault="005E103E" w:rsidP="00273C65">
      <w:pPr>
        <w:spacing w:after="200" w:line="276" w:lineRule="auto"/>
        <w:rPr>
          <w:rFonts w:ascii="Arial" w:hAnsi="Arial" w:cs="Arial"/>
          <w:sz w:val="18"/>
          <w:szCs w:val="18"/>
        </w:rPr>
      </w:pPr>
      <w:r w:rsidRPr="005E103E">
        <w:rPr>
          <w:noProof/>
        </w:rPr>
        <w:drawing>
          <wp:inline distT="0" distB="0" distL="0" distR="0" wp14:anchorId="7D197480" wp14:editId="549757DF">
            <wp:extent cx="9786620" cy="3532731"/>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86620" cy="3532731"/>
                    </a:xfrm>
                    <a:prstGeom prst="rect">
                      <a:avLst/>
                    </a:prstGeom>
                    <a:noFill/>
                    <a:ln>
                      <a:noFill/>
                    </a:ln>
                  </pic:spPr>
                </pic:pic>
              </a:graphicData>
            </a:graphic>
          </wp:inline>
        </w:drawing>
      </w:r>
    </w:p>
    <w:p w:rsidR="005E103E" w:rsidRDefault="005E103E" w:rsidP="00273C65">
      <w:pPr>
        <w:spacing w:after="200" w:line="276" w:lineRule="auto"/>
        <w:rPr>
          <w:rFonts w:ascii="Arial" w:hAnsi="Arial" w:cs="Arial"/>
          <w:sz w:val="18"/>
          <w:szCs w:val="18"/>
        </w:rPr>
      </w:pPr>
      <w:r>
        <w:rPr>
          <w:rFonts w:ascii="Arial" w:hAnsi="Arial" w:cs="Arial"/>
          <w:sz w:val="18"/>
          <w:szCs w:val="18"/>
        </w:rPr>
        <w:t>Notes and assumptions:</w:t>
      </w:r>
    </w:p>
    <w:tbl>
      <w:tblPr>
        <w:tblW w:w="9208" w:type="dxa"/>
        <w:tblInd w:w="108" w:type="dxa"/>
        <w:tblLook w:val="04A0" w:firstRow="1" w:lastRow="0" w:firstColumn="1" w:lastColumn="0" w:noHBand="0" w:noVBand="1"/>
      </w:tblPr>
      <w:tblGrid>
        <w:gridCol w:w="9208"/>
      </w:tblGrid>
      <w:tr w:rsidR="005E103E" w:rsidRPr="005E103E" w:rsidTr="005E103E">
        <w:trPr>
          <w:trHeight w:val="300"/>
        </w:trPr>
        <w:tc>
          <w:tcPr>
            <w:tcW w:w="9208" w:type="dxa"/>
            <w:tcBorders>
              <w:top w:val="nil"/>
              <w:left w:val="nil"/>
              <w:bottom w:val="nil"/>
              <w:right w:val="nil"/>
            </w:tcBorders>
            <w:shd w:val="clear" w:color="auto" w:fill="auto"/>
            <w:noWrap/>
            <w:vAlign w:val="bottom"/>
            <w:hideMark/>
          </w:tcPr>
          <w:p w:rsidR="005E103E" w:rsidRPr="005E103E" w:rsidRDefault="005E103E" w:rsidP="005E103E">
            <w:pPr>
              <w:spacing w:after="200" w:line="276" w:lineRule="auto"/>
              <w:rPr>
                <w:rFonts w:ascii="Arial" w:hAnsi="Arial" w:cs="Arial"/>
                <w:sz w:val="18"/>
                <w:szCs w:val="18"/>
              </w:rPr>
            </w:pPr>
            <w:r w:rsidRPr="005E103E">
              <w:rPr>
                <w:rFonts w:ascii="Arial" w:hAnsi="Arial" w:cs="Arial"/>
                <w:sz w:val="18"/>
                <w:szCs w:val="18"/>
              </w:rPr>
              <w:t>(1)  April to December are cash actuals</w:t>
            </w:r>
          </w:p>
        </w:tc>
      </w:tr>
      <w:tr w:rsidR="005E103E" w:rsidRPr="005E103E" w:rsidTr="005E103E">
        <w:trPr>
          <w:trHeight w:val="300"/>
        </w:trPr>
        <w:tc>
          <w:tcPr>
            <w:tcW w:w="9208" w:type="dxa"/>
            <w:tcBorders>
              <w:top w:val="nil"/>
              <w:left w:val="nil"/>
              <w:bottom w:val="nil"/>
              <w:right w:val="nil"/>
            </w:tcBorders>
            <w:shd w:val="clear" w:color="auto" w:fill="auto"/>
            <w:noWrap/>
            <w:vAlign w:val="bottom"/>
            <w:hideMark/>
          </w:tcPr>
          <w:p w:rsidR="005E103E" w:rsidRPr="005E103E" w:rsidRDefault="005E103E" w:rsidP="005E103E">
            <w:pPr>
              <w:spacing w:after="200" w:line="276" w:lineRule="auto"/>
              <w:rPr>
                <w:rFonts w:ascii="Arial" w:hAnsi="Arial" w:cs="Arial"/>
                <w:sz w:val="18"/>
                <w:szCs w:val="18"/>
              </w:rPr>
            </w:pPr>
            <w:r w:rsidRPr="005E103E">
              <w:rPr>
                <w:rFonts w:ascii="Arial" w:hAnsi="Arial" w:cs="Arial"/>
                <w:sz w:val="18"/>
                <w:szCs w:val="18"/>
              </w:rPr>
              <w:t>(2)  Assumes underspend position to reflect the lower end of the range of the forecast outturn position</w:t>
            </w:r>
          </w:p>
        </w:tc>
      </w:tr>
      <w:tr w:rsidR="005E103E" w:rsidRPr="005E103E" w:rsidTr="005E103E">
        <w:trPr>
          <w:trHeight w:val="300"/>
        </w:trPr>
        <w:tc>
          <w:tcPr>
            <w:tcW w:w="9208" w:type="dxa"/>
            <w:tcBorders>
              <w:top w:val="nil"/>
              <w:left w:val="nil"/>
              <w:bottom w:val="nil"/>
              <w:right w:val="nil"/>
            </w:tcBorders>
            <w:shd w:val="clear" w:color="auto" w:fill="auto"/>
            <w:noWrap/>
            <w:vAlign w:val="bottom"/>
            <w:hideMark/>
          </w:tcPr>
          <w:p w:rsidR="005E103E" w:rsidRPr="005E103E" w:rsidRDefault="005E103E" w:rsidP="005E103E">
            <w:pPr>
              <w:spacing w:after="200" w:line="276" w:lineRule="auto"/>
              <w:rPr>
                <w:rFonts w:ascii="Arial" w:hAnsi="Arial" w:cs="Arial"/>
                <w:sz w:val="18"/>
                <w:szCs w:val="18"/>
              </w:rPr>
            </w:pPr>
            <w:r w:rsidRPr="005E103E">
              <w:rPr>
                <w:rFonts w:ascii="Arial" w:hAnsi="Arial" w:cs="Arial"/>
                <w:sz w:val="18"/>
                <w:szCs w:val="18"/>
              </w:rPr>
              <w:t>(3)  Assume that Tax/NI and Pensions for March 16 are paid in March 16</w:t>
            </w:r>
          </w:p>
        </w:tc>
      </w:tr>
      <w:tr w:rsidR="005E103E" w:rsidRPr="005E103E" w:rsidTr="005E103E">
        <w:trPr>
          <w:trHeight w:val="300"/>
        </w:trPr>
        <w:tc>
          <w:tcPr>
            <w:tcW w:w="9208" w:type="dxa"/>
            <w:tcBorders>
              <w:top w:val="nil"/>
              <w:left w:val="nil"/>
              <w:bottom w:val="nil"/>
              <w:right w:val="nil"/>
            </w:tcBorders>
            <w:shd w:val="clear" w:color="auto" w:fill="auto"/>
            <w:noWrap/>
            <w:vAlign w:val="bottom"/>
            <w:hideMark/>
          </w:tcPr>
          <w:p w:rsidR="005E103E" w:rsidRPr="005E103E" w:rsidRDefault="005E103E" w:rsidP="005E103E">
            <w:pPr>
              <w:spacing w:after="200" w:line="276" w:lineRule="auto"/>
              <w:rPr>
                <w:rFonts w:ascii="Arial" w:hAnsi="Arial" w:cs="Arial"/>
                <w:sz w:val="18"/>
                <w:szCs w:val="18"/>
              </w:rPr>
            </w:pPr>
            <w:r w:rsidRPr="005E103E">
              <w:rPr>
                <w:rFonts w:ascii="Arial" w:hAnsi="Arial" w:cs="Arial"/>
                <w:sz w:val="18"/>
                <w:szCs w:val="18"/>
              </w:rPr>
              <w:t>(4)  Assume that level of creditors at year end will be similar to previous years</w:t>
            </w:r>
          </w:p>
        </w:tc>
      </w:tr>
    </w:tbl>
    <w:p w:rsidR="005E103E" w:rsidRPr="00273C65" w:rsidRDefault="005E103E" w:rsidP="00273C65">
      <w:pPr>
        <w:spacing w:after="200" w:line="276" w:lineRule="auto"/>
        <w:rPr>
          <w:rFonts w:ascii="Arial" w:hAnsi="Arial" w:cs="Arial"/>
          <w:sz w:val="18"/>
          <w:szCs w:val="18"/>
        </w:rPr>
      </w:pPr>
    </w:p>
    <w:sectPr w:rsidR="005E103E" w:rsidRPr="00273C65"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3" w:rsidRDefault="005148A3" w:rsidP="00412C00">
      <w:r>
        <w:separator/>
      </w:r>
    </w:p>
  </w:endnote>
  <w:endnote w:type="continuationSeparator" w:id="0">
    <w:p w:rsidR="005148A3" w:rsidRDefault="005148A3"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3" w:rsidRDefault="005148A3" w:rsidP="00412C00">
      <w:r>
        <w:separator/>
      </w:r>
    </w:p>
  </w:footnote>
  <w:footnote w:type="continuationSeparator" w:id="0">
    <w:p w:rsidR="005148A3" w:rsidRDefault="005148A3"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5148A3" w:rsidRDefault="00D943E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8"/>
  </w:num>
  <w:num w:numId="4">
    <w:abstractNumId w:val="26"/>
  </w:num>
  <w:num w:numId="5">
    <w:abstractNumId w:val="15"/>
  </w:num>
  <w:num w:numId="6">
    <w:abstractNumId w:val="3"/>
  </w:num>
  <w:num w:numId="7">
    <w:abstractNumId w:val="4"/>
  </w:num>
  <w:num w:numId="8">
    <w:abstractNumId w:val="20"/>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2"/>
  </w:num>
  <w:num w:numId="16">
    <w:abstractNumId w:val="21"/>
  </w:num>
  <w:num w:numId="17">
    <w:abstractNumId w:val="25"/>
  </w:num>
  <w:num w:numId="18">
    <w:abstractNumId w:val="17"/>
  </w:num>
  <w:num w:numId="19">
    <w:abstractNumId w:val="13"/>
  </w:num>
  <w:num w:numId="20">
    <w:abstractNumId w:val="19"/>
  </w:num>
  <w:num w:numId="21">
    <w:abstractNumId w:val="18"/>
  </w:num>
  <w:num w:numId="22">
    <w:abstractNumId w:val="6"/>
  </w:num>
  <w:num w:numId="23">
    <w:abstractNumId w:val="14"/>
  </w:num>
  <w:num w:numId="24">
    <w:abstractNumId w:val="24"/>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A45"/>
    <w:rsid w:val="00011FDF"/>
    <w:rsid w:val="000140FE"/>
    <w:rsid w:val="00015D1D"/>
    <w:rsid w:val="00017760"/>
    <w:rsid w:val="000200FA"/>
    <w:rsid w:val="00020E2E"/>
    <w:rsid w:val="000217E9"/>
    <w:rsid w:val="00021ABB"/>
    <w:rsid w:val="00022301"/>
    <w:rsid w:val="0002376C"/>
    <w:rsid w:val="000239F7"/>
    <w:rsid w:val="00024BC8"/>
    <w:rsid w:val="000271F4"/>
    <w:rsid w:val="00030167"/>
    <w:rsid w:val="0003250E"/>
    <w:rsid w:val="00033BC9"/>
    <w:rsid w:val="00033FF1"/>
    <w:rsid w:val="00034A25"/>
    <w:rsid w:val="00035367"/>
    <w:rsid w:val="0003758C"/>
    <w:rsid w:val="00037838"/>
    <w:rsid w:val="00040F35"/>
    <w:rsid w:val="0004366E"/>
    <w:rsid w:val="0004442F"/>
    <w:rsid w:val="00044467"/>
    <w:rsid w:val="0004446C"/>
    <w:rsid w:val="00044D07"/>
    <w:rsid w:val="00047960"/>
    <w:rsid w:val="00053090"/>
    <w:rsid w:val="00054430"/>
    <w:rsid w:val="000550DF"/>
    <w:rsid w:val="00055303"/>
    <w:rsid w:val="00055506"/>
    <w:rsid w:val="00056576"/>
    <w:rsid w:val="0006158F"/>
    <w:rsid w:val="0006430C"/>
    <w:rsid w:val="000658EF"/>
    <w:rsid w:val="00065B3F"/>
    <w:rsid w:val="00066196"/>
    <w:rsid w:val="0006732B"/>
    <w:rsid w:val="00070A74"/>
    <w:rsid w:val="000719DD"/>
    <w:rsid w:val="00072739"/>
    <w:rsid w:val="00075A82"/>
    <w:rsid w:val="000776EB"/>
    <w:rsid w:val="0008642A"/>
    <w:rsid w:val="00086661"/>
    <w:rsid w:val="00086665"/>
    <w:rsid w:val="00087B0A"/>
    <w:rsid w:val="00090AC3"/>
    <w:rsid w:val="000949D1"/>
    <w:rsid w:val="00096422"/>
    <w:rsid w:val="0009793E"/>
    <w:rsid w:val="000A0F37"/>
    <w:rsid w:val="000A469D"/>
    <w:rsid w:val="000A5374"/>
    <w:rsid w:val="000B79E8"/>
    <w:rsid w:val="000C0ACC"/>
    <w:rsid w:val="000C1DF1"/>
    <w:rsid w:val="000C29D5"/>
    <w:rsid w:val="000C5914"/>
    <w:rsid w:val="000C6150"/>
    <w:rsid w:val="000C6D92"/>
    <w:rsid w:val="000D1E92"/>
    <w:rsid w:val="000D2212"/>
    <w:rsid w:val="000D2990"/>
    <w:rsid w:val="000D3D3A"/>
    <w:rsid w:val="000D3DBD"/>
    <w:rsid w:val="000D4339"/>
    <w:rsid w:val="000D4449"/>
    <w:rsid w:val="000D471E"/>
    <w:rsid w:val="000D47A6"/>
    <w:rsid w:val="000D5B3D"/>
    <w:rsid w:val="000D6B10"/>
    <w:rsid w:val="000D6E69"/>
    <w:rsid w:val="000D711F"/>
    <w:rsid w:val="000D7316"/>
    <w:rsid w:val="000E0B72"/>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11951"/>
    <w:rsid w:val="0011341B"/>
    <w:rsid w:val="001138E6"/>
    <w:rsid w:val="00115E84"/>
    <w:rsid w:val="00116098"/>
    <w:rsid w:val="00122DA1"/>
    <w:rsid w:val="00123FF0"/>
    <w:rsid w:val="00124893"/>
    <w:rsid w:val="00124AA3"/>
    <w:rsid w:val="00124E28"/>
    <w:rsid w:val="00127C34"/>
    <w:rsid w:val="00130783"/>
    <w:rsid w:val="00132DB0"/>
    <w:rsid w:val="001339A4"/>
    <w:rsid w:val="00135C17"/>
    <w:rsid w:val="00136DAB"/>
    <w:rsid w:val="0013718B"/>
    <w:rsid w:val="001415A5"/>
    <w:rsid w:val="001504B0"/>
    <w:rsid w:val="001516FA"/>
    <w:rsid w:val="001528FE"/>
    <w:rsid w:val="0015351D"/>
    <w:rsid w:val="00153A62"/>
    <w:rsid w:val="00153E82"/>
    <w:rsid w:val="001540D4"/>
    <w:rsid w:val="00154E36"/>
    <w:rsid w:val="0016044C"/>
    <w:rsid w:val="001609ED"/>
    <w:rsid w:val="00160F9B"/>
    <w:rsid w:val="00161C29"/>
    <w:rsid w:val="00162CB2"/>
    <w:rsid w:val="00163364"/>
    <w:rsid w:val="00163A5A"/>
    <w:rsid w:val="001679C3"/>
    <w:rsid w:val="00167A33"/>
    <w:rsid w:val="00167B08"/>
    <w:rsid w:val="00171C23"/>
    <w:rsid w:val="001721FC"/>
    <w:rsid w:val="00172DD0"/>
    <w:rsid w:val="00181BB8"/>
    <w:rsid w:val="00182577"/>
    <w:rsid w:val="00182D5E"/>
    <w:rsid w:val="001839DD"/>
    <w:rsid w:val="00185C18"/>
    <w:rsid w:val="0018609F"/>
    <w:rsid w:val="00187F7B"/>
    <w:rsid w:val="001924BC"/>
    <w:rsid w:val="00194497"/>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0721C"/>
    <w:rsid w:val="00210D21"/>
    <w:rsid w:val="00210E3A"/>
    <w:rsid w:val="002132BF"/>
    <w:rsid w:val="00215D81"/>
    <w:rsid w:val="00217F4F"/>
    <w:rsid w:val="002220C8"/>
    <w:rsid w:val="002228B6"/>
    <w:rsid w:val="00222CFA"/>
    <w:rsid w:val="00222E1A"/>
    <w:rsid w:val="00225904"/>
    <w:rsid w:val="002260C0"/>
    <w:rsid w:val="002279D6"/>
    <w:rsid w:val="002303C6"/>
    <w:rsid w:val="00232B6B"/>
    <w:rsid w:val="0023394B"/>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E08"/>
    <w:rsid w:val="00297100"/>
    <w:rsid w:val="002974DC"/>
    <w:rsid w:val="002A13D0"/>
    <w:rsid w:val="002A6EF8"/>
    <w:rsid w:val="002A77E4"/>
    <w:rsid w:val="002B0554"/>
    <w:rsid w:val="002B1ABB"/>
    <w:rsid w:val="002B2061"/>
    <w:rsid w:val="002B2EAA"/>
    <w:rsid w:val="002B3AF7"/>
    <w:rsid w:val="002B3BD5"/>
    <w:rsid w:val="002B41F8"/>
    <w:rsid w:val="002B587B"/>
    <w:rsid w:val="002B67AD"/>
    <w:rsid w:val="002B6BA1"/>
    <w:rsid w:val="002B72F1"/>
    <w:rsid w:val="002B7A58"/>
    <w:rsid w:val="002C0638"/>
    <w:rsid w:val="002C274E"/>
    <w:rsid w:val="002C31D0"/>
    <w:rsid w:val="002C390E"/>
    <w:rsid w:val="002C5578"/>
    <w:rsid w:val="002D19A0"/>
    <w:rsid w:val="002D2375"/>
    <w:rsid w:val="002D25C2"/>
    <w:rsid w:val="002D34F7"/>
    <w:rsid w:val="002D3762"/>
    <w:rsid w:val="002E0613"/>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328"/>
    <w:rsid w:val="00306F9F"/>
    <w:rsid w:val="0030786C"/>
    <w:rsid w:val="003078FC"/>
    <w:rsid w:val="00307E54"/>
    <w:rsid w:val="00307FB7"/>
    <w:rsid w:val="00310095"/>
    <w:rsid w:val="00310852"/>
    <w:rsid w:val="00311080"/>
    <w:rsid w:val="00312045"/>
    <w:rsid w:val="00313F03"/>
    <w:rsid w:val="0031644E"/>
    <w:rsid w:val="00316BE4"/>
    <w:rsid w:val="003179D5"/>
    <w:rsid w:val="00320F7E"/>
    <w:rsid w:val="00322070"/>
    <w:rsid w:val="00323ABE"/>
    <w:rsid w:val="00333010"/>
    <w:rsid w:val="0033373F"/>
    <w:rsid w:val="003339C3"/>
    <w:rsid w:val="003342CA"/>
    <w:rsid w:val="003374E1"/>
    <w:rsid w:val="00344274"/>
    <w:rsid w:val="00344985"/>
    <w:rsid w:val="003449ED"/>
    <w:rsid w:val="003450BD"/>
    <w:rsid w:val="00354EC4"/>
    <w:rsid w:val="00357BF3"/>
    <w:rsid w:val="00360238"/>
    <w:rsid w:val="00361367"/>
    <w:rsid w:val="00364482"/>
    <w:rsid w:val="00366C8F"/>
    <w:rsid w:val="00375EE1"/>
    <w:rsid w:val="003764E7"/>
    <w:rsid w:val="003771DA"/>
    <w:rsid w:val="003837D4"/>
    <w:rsid w:val="00386586"/>
    <w:rsid w:val="00386AD1"/>
    <w:rsid w:val="0039154E"/>
    <w:rsid w:val="00392D76"/>
    <w:rsid w:val="003930D4"/>
    <w:rsid w:val="00393BEC"/>
    <w:rsid w:val="0039756E"/>
    <w:rsid w:val="003A1D2D"/>
    <w:rsid w:val="003A3805"/>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D76E0"/>
    <w:rsid w:val="003E3D23"/>
    <w:rsid w:val="003E70FC"/>
    <w:rsid w:val="003F3BB4"/>
    <w:rsid w:val="003F57C1"/>
    <w:rsid w:val="00401265"/>
    <w:rsid w:val="00405763"/>
    <w:rsid w:val="00406C23"/>
    <w:rsid w:val="0040751E"/>
    <w:rsid w:val="00411FE9"/>
    <w:rsid w:val="00412C00"/>
    <w:rsid w:val="00412F67"/>
    <w:rsid w:val="00413148"/>
    <w:rsid w:val="00413357"/>
    <w:rsid w:val="00416EA8"/>
    <w:rsid w:val="0042029E"/>
    <w:rsid w:val="00421288"/>
    <w:rsid w:val="0042146B"/>
    <w:rsid w:val="00422BCD"/>
    <w:rsid w:val="00425DFA"/>
    <w:rsid w:val="00430D14"/>
    <w:rsid w:val="00431F96"/>
    <w:rsid w:val="00435640"/>
    <w:rsid w:val="004365C6"/>
    <w:rsid w:val="0043662D"/>
    <w:rsid w:val="00440BCB"/>
    <w:rsid w:val="00442D4D"/>
    <w:rsid w:val="004458A7"/>
    <w:rsid w:val="00445C3C"/>
    <w:rsid w:val="00447C0C"/>
    <w:rsid w:val="00447D56"/>
    <w:rsid w:val="004516BD"/>
    <w:rsid w:val="00453EFB"/>
    <w:rsid w:val="00454254"/>
    <w:rsid w:val="00461A11"/>
    <w:rsid w:val="00461E1B"/>
    <w:rsid w:val="00467605"/>
    <w:rsid w:val="00467624"/>
    <w:rsid w:val="00467649"/>
    <w:rsid w:val="0047014D"/>
    <w:rsid w:val="004704FD"/>
    <w:rsid w:val="00470CB0"/>
    <w:rsid w:val="0047125F"/>
    <w:rsid w:val="004717CC"/>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994"/>
    <w:rsid w:val="004A250F"/>
    <w:rsid w:val="004A26E0"/>
    <w:rsid w:val="004B1C3A"/>
    <w:rsid w:val="004B455E"/>
    <w:rsid w:val="004B5487"/>
    <w:rsid w:val="004B57FB"/>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5D4"/>
    <w:rsid w:val="004E2AEC"/>
    <w:rsid w:val="004E3AAD"/>
    <w:rsid w:val="004E73A6"/>
    <w:rsid w:val="004F1024"/>
    <w:rsid w:val="004F1E1A"/>
    <w:rsid w:val="004F3A45"/>
    <w:rsid w:val="004F4030"/>
    <w:rsid w:val="004F646F"/>
    <w:rsid w:val="005009CA"/>
    <w:rsid w:val="00500E52"/>
    <w:rsid w:val="005064E8"/>
    <w:rsid w:val="00506D7B"/>
    <w:rsid w:val="00513000"/>
    <w:rsid w:val="00513557"/>
    <w:rsid w:val="005137D7"/>
    <w:rsid w:val="005147D8"/>
    <w:rsid w:val="005148A3"/>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DC5"/>
    <w:rsid w:val="00553F42"/>
    <w:rsid w:val="00560E95"/>
    <w:rsid w:val="00560F8E"/>
    <w:rsid w:val="00561B03"/>
    <w:rsid w:val="00562279"/>
    <w:rsid w:val="0056428E"/>
    <w:rsid w:val="005642DD"/>
    <w:rsid w:val="0057009C"/>
    <w:rsid w:val="00574331"/>
    <w:rsid w:val="005743EE"/>
    <w:rsid w:val="00575DD6"/>
    <w:rsid w:val="00577406"/>
    <w:rsid w:val="005836C1"/>
    <w:rsid w:val="0058476E"/>
    <w:rsid w:val="00584F18"/>
    <w:rsid w:val="00585FFC"/>
    <w:rsid w:val="00590197"/>
    <w:rsid w:val="0059044A"/>
    <w:rsid w:val="00592E36"/>
    <w:rsid w:val="00594040"/>
    <w:rsid w:val="00597AF4"/>
    <w:rsid w:val="005A2A17"/>
    <w:rsid w:val="005A3E19"/>
    <w:rsid w:val="005B0FDB"/>
    <w:rsid w:val="005B2CF0"/>
    <w:rsid w:val="005B2ED3"/>
    <w:rsid w:val="005B3EAA"/>
    <w:rsid w:val="005B60D5"/>
    <w:rsid w:val="005B62D4"/>
    <w:rsid w:val="005C0C86"/>
    <w:rsid w:val="005C0DAE"/>
    <w:rsid w:val="005C11A4"/>
    <w:rsid w:val="005C269A"/>
    <w:rsid w:val="005C3262"/>
    <w:rsid w:val="005C34A2"/>
    <w:rsid w:val="005C4B0A"/>
    <w:rsid w:val="005C6E51"/>
    <w:rsid w:val="005C76AA"/>
    <w:rsid w:val="005D3876"/>
    <w:rsid w:val="005D3904"/>
    <w:rsid w:val="005E103E"/>
    <w:rsid w:val="005E10A2"/>
    <w:rsid w:val="005E6B5C"/>
    <w:rsid w:val="005E6E81"/>
    <w:rsid w:val="005E715B"/>
    <w:rsid w:val="005F2504"/>
    <w:rsid w:val="005F5FBB"/>
    <w:rsid w:val="006006D4"/>
    <w:rsid w:val="0060330C"/>
    <w:rsid w:val="006054C2"/>
    <w:rsid w:val="00605553"/>
    <w:rsid w:val="006059DC"/>
    <w:rsid w:val="00606CBA"/>
    <w:rsid w:val="006120D4"/>
    <w:rsid w:val="0061231A"/>
    <w:rsid w:val="00612681"/>
    <w:rsid w:val="00613941"/>
    <w:rsid w:val="00615A53"/>
    <w:rsid w:val="00616C9F"/>
    <w:rsid w:val="00622610"/>
    <w:rsid w:val="00623DCB"/>
    <w:rsid w:val="006256EB"/>
    <w:rsid w:val="0062607A"/>
    <w:rsid w:val="006273CF"/>
    <w:rsid w:val="00627FC3"/>
    <w:rsid w:val="0063161D"/>
    <w:rsid w:val="00631A38"/>
    <w:rsid w:val="00633529"/>
    <w:rsid w:val="00633BB4"/>
    <w:rsid w:val="00634D6C"/>
    <w:rsid w:val="00634E33"/>
    <w:rsid w:val="00637E98"/>
    <w:rsid w:val="00641123"/>
    <w:rsid w:val="00642455"/>
    <w:rsid w:val="00643128"/>
    <w:rsid w:val="00643927"/>
    <w:rsid w:val="00645669"/>
    <w:rsid w:val="00646BC4"/>
    <w:rsid w:val="0064750A"/>
    <w:rsid w:val="00647D7D"/>
    <w:rsid w:val="00652DA7"/>
    <w:rsid w:val="006562DE"/>
    <w:rsid w:val="00661E0A"/>
    <w:rsid w:val="00667AA6"/>
    <w:rsid w:val="0067132A"/>
    <w:rsid w:val="00673ADE"/>
    <w:rsid w:val="006843BB"/>
    <w:rsid w:val="00684B3B"/>
    <w:rsid w:val="006874A4"/>
    <w:rsid w:val="0068754E"/>
    <w:rsid w:val="006908F4"/>
    <w:rsid w:val="006935C1"/>
    <w:rsid w:val="006941E3"/>
    <w:rsid w:val="00694679"/>
    <w:rsid w:val="00696B24"/>
    <w:rsid w:val="00697117"/>
    <w:rsid w:val="0069728E"/>
    <w:rsid w:val="006976EC"/>
    <w:rsid w:val="006A08E2"/>
    <w:rsid w:val="006A19BA"/>
    <w:rsid w:val="006A2367"/>
    <w:rsid w:val="006A2789"/>
    <w:rsid w:val="006A2923"/>
    <w:rsid w:val="006A29F0"/>
    <w:rsid w:val="006A2EF1"/>
    <w:rsid w:val="006A4B31"/>
    <w:rsid w:val="006A67BA"/>
    <w:rsid w:val="006B165D"/>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06F89"/>
    <w:rsid w:val="007136E5"/>
    <w:rsid w:val="00714DBE"/>
    <w:rsid w:val="00714E4B"/>
    <w:rsid w:val="007162EA"/>
    <w:rsid w:val="00716AC4"/>
    <w:rsid w:val="0072331F"/>
    <w:rsid w:val="00725C43"/>
    <w:rsid w:val="007326AA"/>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311E"/>
    <w:rsid w:val="00765609"/>
    <w:rsid w:val="00766455"/>
    <w:rsid w:val="007719C1"/>
    <w:rsid w:val="0077211A"/>
    <w:rsid w:val="00772701"/>
    <w:rsid w:val="00773FB5"/>
    <w:rsid w:val="00774CB5"/>
    <w:rsid w:val="007750D1"/>
    <w:rsid w:val="00781179"/>
    <w:rsid w:val="007813E1"/>
    <w:rsid w:val="0078207C"/>
    <w:rsid w:val="00784B55"/>
    <w:rsid w:val="007913AA"/>
    <w:rsid w:val="00794745"/>
    <w:rsid w:val="007948D4"/>
    <w:rsid w:val="007A03AB"/>
    <w:rsid w:val="007A585B"/>
    <w:rsid w:val="007B0DBE"/>
    <w:rsid w:val="007B0F30"/>
    <w:rsid w:val="007B31F5"/>
    <w:rsid w:val="007B5BC7"/>
    <w:rsid w:val="007B7FEB"/>
    <w:rsid w:val="007C1E31"/>
    <w:rsid w:val="007C3356"/>
    <w:rsid w:val="007C4EA5"/>
    <w:rsid w:val="007C55A4"/>
    <w:rsid w:val="007C5F95"/>
    <w:rsid w:val="007C66A5"/>
    <w:rsid w:val="007C7418"/>
    <w:rsid w:val="007D0BF0"/>
    <w:rsid w:val="007D0D17"/>
    <w:rsid w:val="007D5E35"/>
    <w:rsid w:val="007D6292"/>
    <w:rsid w:val="007E017B"/>
    <w:rsid w:val="007E40A4"/>
    <w:rsid w:val="007F4552"/>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6265"/>
    <w:rsid w:val="00826F20"/>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2F97"/>
    <w:rsid w:val="0087383E"/>
    <w:rsid w:val="00877858"/>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5028"/>
    <w:rsid w:val="008B70B1"/>
    <w:rsid w:val="008B77EA"/>
    <w:rsid w:val="008C0981"/>
    <w:rsid w:val="008C1699"/>
    <w:rsid w:val="008C3DB3"/>
    <w:rsid w:val="008C4753"/>
    <w:rsid w:val="008C50D7"/>
    <w:rsid w:val="008C6ADC"/>
    <w:rsid w:val="008D1162"/>
    <w:rsid w:val="008D1704"/>
    <w:rsid w:val="008D435D"/>
    <w:rsid w:val="008D5822"/>
    <w:rsid w:val="008E34B5"/>
    <w:rsid w:val="008E3EC7"/>
    <w:rsid w:val="008E4FF4"/>
    <w:rsid w:val="008E5A03"/>
    <w:rsid w:val="008E77EB"/>
    <w:rsid w:val="008E7A72"/>
    <w:rsid w:val="008F0929"/>
    <w:rsid w:val="008F0991"/>
    <w:rsid w:val="008F0A10"/>
    <w:rsid w:val="008F0FD5"/>
    <w:rsid w:val="008F1582"/>
    <w:rsid w:val="008F54E1"/>
    <w:rsid w:val="008F7981"/>
    <w:rsid w:val="0090472C"/>
    <w:rsid w:val="00905E9B"/>
    <w:rsid w:val="00907BC3"/>
    <w:rsid w:val="00910362"/>
    <w:rsid w:val="00911928"/>
    <w:rsid w:val="0091291C"/>
    <w:rsid w:val="00920A51"/>
    <w:rsid w:val="00920BAC"/>
    <w:rsid w:val="00921CE5"/>
    <w:rsid w:val="00923A03"/>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1DD0"/>
    <w:rsid w:val="00953F8E"/>
    <w:rsid w:val="00954A12"/>
    <w:rsid w:val="0095771A"/>
    <w:rsid w:val="00960E89"/>
    <w:rsid w:val="00964491"/>
    <w:rsid w:val="009748F9"/>
    <w:rsid w:val="0097609F"/>
    <w:rsid w:val="00976999"/>
    <w:rsid w:val="00976B43"/>
    <w:rsid w:val="009804CC"/>
    <w:rsid w:val="00981DAC"/>
    <w:rsid w:val="00983569"/>
    <w:rsid w:val="00984611"/>
    <w:rsid w:val="00986583"/>
    <w:rsid w:val="00987F84"/>
    <w:rsid w:val="009911D1"/>
    <w:rsid w:val="00994215"/>
    <w:rsid w:val="0099485D"/>
    <w:rsid w:val="00994B77"/>
    <w:rsid w:val="00996AC5"/>
    <w:rsid w:val="00996C5F"/>
    <w:rsid w:val="00996DD6"/>
    <w:rsid w:val="009972EE"/>
    <w:rsid w:val="009A430F"/>
    <w:rsid w:val="009A5782"/>
    <w:rsid w:val="009A5789"/>
    <w:rsid w:val="009A6EA9"/>
    <w:rsid w:val="009B0129"/>
    <w:rsid w:val="009B097E"/>
    <w:rsid w:val="009B2F1B"/>
    <w:rsid w:val="009B3468"/>
    <w:rsid w:val="009B4C8D"/>
    <w:rsid w:val="009B5D7F"/>
    <w:rsid w:val="009B64AA"/>
    <w:rsid w:val="009B73F7"/>
    <w:rsid w:val="009C0D17"/>
    <w:rsid w:val="009C19DA"/>
    <w:rsid w:val="009C23E7"/>
    <w:rsid w:val="009C423A"/>
    <w:rsid w:val="009C594C"/>
    <w:rsid w:val="009C5E6B"/>
    <w:rsid w:val="009C6E35"/>
    <w:rsid w:val="009C7573"/>
    <w:rsid w:val="009D1B59"/>
    <w:rsid w:val="009D2B26"/>
    <w:rsid w:val="009D48D2"/>
    <w:rsid w:val="009D60C8"/>
    <w:rsid w:val="009E0E2F"/>
    <w:rsid w:val="009E101F"/>
    <w:rsid w:val="009E14D7"/>
    <w:rsid w:val="009E1B54"/>
    <w:rsid w:val="009E247C"/>
    <w:rsid w:val="009E2CCC"/>
    <w:rsid w:val="009E3915"/>
    <w:rsid w:val="009E5B29"/>
    <w:rsid w:val="009E6647"/>
    <w:rsid w:val="009E6D54"/>
    <w:rsid w:val="009F0FA3"/>
    <w:rsid w:val="009F3FB3"/>
    <w:rsid w:val="009F5BD4"/>
    <w:rsid w:val="00A0085E"/>
    <w:rsid w:val="00A015C8"/>
    <w:rsid w:val="00A028DA"/>
    <w:rsid w:val="00A0358D"/>
    <w:rsid w:val="00A04714"/>
    <w:rsid w:val="00A05E1F"/>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A74"/>
    <w:rsid w:val="00A6115B"/>
    <w:rsid w:val="00A6201C"/>
    <w:rsid w:val="00A64613"/>
    <w:rsid w:val="00A65E0D"/>
    <w:rsid w:val="00A6685A"/>
    <w:rsid w:val="00A70357"/>
    <w:rsid w:val="00A71600"/>
    <w:rsid w:val="00A7163B"/>
    <w:rsid w:val="00A72531"/>
    <w:rsid w:val="00A74E5F"/>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718"/>
    <w:rsid w:val="00AF2EE1"/>
    <w:rsid w:val="00AF30AD"/>
    <w:rsid w:val="00AF37DF"/>
    <w:rsid w:val="00B01C8A"/>
    <w:rsid w:val="00B01D16"/>
    <w:rsid w:val="00B01FC4"/>
    <w:rsid w:val="00B02375"/>
    <w:rsid w:val="00B0474A"/>
    <w:rsid w:val="00B04A89"/>
    <w:rsid w:val="00B04C6C"/>
    <w:rsid w:val="00B06515"/>
    <w:rsid w:val="00B06AFA"/>
    <w:rsid w:val="00B06BAE"/>
    <w:rsid w:val="00B076D7"/>
    <w:rsid w:val="00B07E4C"/>
    <w:rsid w:val="00B1174F"/>
    <w:rsid w:val="00B134B9"/>
    <w:rsid w:val="00B14BF6"/>
    <w:rsid w:val="00B17169"/>
    <w:rsid w:val="00B2011F"/>
    <w:rsid w:val="00B21BB6"/>
    <w:rsid w:val="00B25826"/>
    <w:rsid w:val="00B26EFB"/>
    <w:rsid w:val="00B27E7E"/>
    <w:rsid w:val="00B30A18"/>
    <w:rsid w:val="00B3402D"/>
    <w:rsid w:val="00B40A76"/>
    <w:rsid w:val="00B40EA9"/>
    <w:rsid w:val="00B41C51"/>
    <w:rsid w:val="00B430A1"/>
    <w:rsid w:val="00B43880"/>
    <w:rsid w:val="00B4473B"/>
    <w:rsid w:val="00B44CC0"/>
    <w:rsid w:val="00B45965"/>
    <w:rsid w:val="00B465A2"/>
    <w:rsid w:val="00B51F80"/>
    <w:rsid w:val="00B5494A"/>
    <w:rsid w:val="00B55417"/>
    <w:rsid w:val="00B61983"/>
    <w:rsid w:val="00B65461"/>
    <w:rsid w:val="00B654E3"/>
    <w:rsid w:val="00B7000D"/>
    <w:rsid w:val="00B7154A"/>
    <w:rsid w:val="00B72C94"/>
    <w:rsid w:val="00B734B9"/>
    <w:rsid w:val="00B7584B"/>
    <w:rsid w:val="00B75EB4"/>
    <w:rsid w:val="00B803BF"/>
    <w:rsid w:val="00B80995"/>
    <w:rsid w:val="00B80F37"/>
    <w:rsid w:val="00B81659"/>
    <w:rsid w:val="00B85394"/>
    <w:rsid w:val="00B91545"/>
    <w:rsid w:val="00B91D33"/>
    <w:rsid w:val="00B93553"/>
    <w:rsid w:val="00B9445F"/>
    <w:rsid w:val="00BA3A5A"/>
    <w:rsid w:val="00BA4988"/>
    <w:rsid w:val="00BA60A6"/>
    <w:rsid w:val="00BA72BF"/>
    <w:rsid w:val="00BB25EF"/>
    <w:rsid w:val="00BB2B8A"/>
    <w:rsid w:val="00BB2F36"/>
    <w:rsid w:val="00BB4161"/>
    <w:rsid w:val="00BB55C4"/>
    <w:rsid w:val="00BB6714"/>
    <w:rsid w:val="00BC027A"/>
    <w:rsid w:val="00BC0710"/>
    <w:rsid w:val="00BC0D6A"/>
    <w:rsid w:val="00BC4C58"/>
    <w:rsid w:val="00BC7822"/>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7718"/>
    <w:rsid w:val="00C101BA"/>
    <w:rsid w:val="00C1038A"/>
    <w:rsid w:val="00C1071F"/>
    <w:rsid w:val="00C11CD4"/>
    <w:rsid w:val="00C123FF"/>
    <w:rsid w:val="00C129B5"/>
    <w:rsid w:val="00C13499"/>
    <w:rsid w:val="00C147AD"/>
    <w:rsid w:val="00C15155"/>
    <w:rsid w:val="00C20315"/>
    <w:rsid w:val="00C2170D"/>
    <w:rsid w:val="00C21991"/>
    <w:rsid w:val="00C2265B"/>
    <w:rsid w:val="00C247A6"/>
    <w:rsid w:val="00C2538D"/>
    <w:rsid w:val="00C25B34"/>
    <w:rsid w:val="00C25D57"/>
    <w:rsid w:val="00C31944"/>
    <w:rsid w:val="00C369E4"/>
    <w:rsid w:val="00C409A5"/>
    <w:rsid w:val="00C40EA7"/>
    <w:rsid w:val="00C40FC4"/>
    <w:rsid w:val="00C42136"/>
    <w:rsid w:val="00C42404"/>
    <w:rsid w:val="00C45ED2"/>
    <w:rsid w:val="00C4745A"/>
    <w:rsid w:val="00C4787B"/>
    <w:rsid w:val="00C52506"/>
    <w:rsid w:val="00C53CE3"/>
    <w:rsid w:val="00C550A2"/>
    <w:rsid w:val="00C56469"/>
    <w:rsid w:val="00C60C6D"/>
    <w:rsid w:val="00C62877"/>
    <w:rsid w:val="00C62D4B"/>
    <w:rsid w:val="00C64C09"/>
    <w:rsid w:val="00C70F53"/>
    <w:rsid w:val="00C71064"/>
    <w:rsid w:val="00C722B6"/>
    <w:rsid w:val="00C75C3C"/>
    <w:rsid w:val="00C76FF6"/>
    <w:rsid w:val="00C8038E"/>
    <w:rsid w:val="00C9206F"/>
    <w:rsid w:val="00C92EC3"/>
    <w:rsid w:val="00C931C3"/>
    <w:rsid w:val="00C95A63"/>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88"/>
    <w:rsid w:val="00D15F0D"/>
    <w:rsid w:val="00D2020A"/>
    <w:rsid w:val="00D30586"/>
    <w:rsid w:val="00D33070"/>
    <w:rsid w:val="00D33CFD"/>
    <w:rsid w:val="00D36331"/>
    <w:rsid w:val="00D363C2"/>
    <w:rsid w:val="00D363E9"/>
    <w:rsid w:val="00D37596"/>
    <w:rsid w:val="00D37753"/>
    <w:rsid w:val="00D427CB"/>
    <w:rsid w:val="00D429DF"/>
    <w:rsid w:val="00D46677"/>
    <w:rsid w:val="00D4764A"/>
    <w:rsid w:val="00D50BFA"/>
    <w:rsid w:val="00D51DEC"/>
    <w:rsid w:val="00D52847"/>
    <w:rsid w:val="00D552C4"/>
    <w:rsid w:val="00D55330"/>
    <w:rsid w:val="00D55E1F"/>
    <w:rsid w:val="00D62F91"/>
    <w:rsid w:val="00D6518F"/>
    <w:rsid w:val="00D65E0A"/>
    <w:rsid w:val="00D66419"/>
    <w:rsid w:val="00D750FE"/>
    <w:rsid w:val="00D75573"/>
    <w:rsid w:val="00D773F0"/>
    <w:rsid w:val="00D809B7"/>
    <w:rsid w:val="00D814C2"/>
    <w:rsid w:val="00D81504"/>
    <w:rsid w:val="00D831E5"/>
    <w:rsid w:val="00D84750"/>
    <w:rsid w:val="00D87321"/>
    <w:rsid w:val="00D9051B"/>
    <w:rsid w:val="00D925D5"/>
    <w:rsid w:val="00D943EE"/>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4FE0"/>
    <w:rsid w:val="00DD64AD"/>
    <w:rsid w:val="00DD6897"/>
    <w:rsid w:val="00DE33D0"/>
    <w:rsid w:val="00DE38D6"/>
    <w:rsid w:val="00DE3B1C"/>
    <w:rsid w:val="00DE659B"/>
    <w:rsid w:val="00DE7664"/>
    <w:rsid w:val="00DF00CA"/>
    <w:rsid w:val="00DF0843"/>
    <w:rsid w:val="00DF0A25"/>
    <w:rsid w:val="00DF1AD3"/>
    <w:rsid w:val="00DF3EE3"/>
    <w:rsid w:val="00DF4039"/>
    <w:rsid w:val="00DF44EE"/>
    <w:rsid w:val="00DF46BD"/>
    <w:rsid w:val="00DF4C69"/>
    <w:rsid w:val="00DF4D40"/>
    <w:rsid w:val="00E011DA"/>
    <w:rsid w:val="00E0146C"/>
    <w:rsid w:val="00E01D6B"/>
    <w:rsid w:val="00E02E6F"/>
    <w:rsid w:val="00E02F42"/>
    <w:rsid w:val="00E0364F"/>
    <w:rsid w:val="00E0502E"/>
    <w:rsid w:val="00E05C45"/>
    <w:rsid w:val="00E07A37"/>
    <w:rsid w:val="00E10273"/>
    <w:rsid w:val="00E13AF5"/>
    <w:rsid w:val="00E13E6E"/>
    <w:rsid w:val="00E14583"/>
    <w:rsid w:val="00E16DE6"/>
    <w:rsid w:val="00E16EDD"/>
    <w:rsid w:val="00E173B7"/>
    <w:rsid w:val="00E17F22"/>
    <w:rsid w:val="00E21205"/>
    <w:rsid w:val="00E23DA3"/>
    <w:rsid w:val="00E31839"/>
    <w:rsid w:val="00E31CA4"/>
    <w:rsid w:val="00E32EB6"/>
    <w:rsid w:val="00E34821"/>
    <w:rsid w:val="00E350FE"/>
    <w:rsid w:val="00E44973"/>
    <w:rsid w:val="00E4531A"/>
    <w:rsid w:val="00E475D3"/>
    <w:rsid w:val="00E47B5B"/>
    <w:rsid w:val="00E50E55"/>
    <w:rsid w:val="00E51F68"/>
    <w:rsid w:val="00E5214C"/>
    <w:rsid w:val="00E5355C"/>
    <w:rsid w:val="00E53B49"/>
    <w:rsid w:val="00E53DE1"/>
    <w:rsid w:val="00E575FA"/>
    <w:rsid w:val="00E601B0"/>
    <w:rsid w:val="00E61AA4"/>
    <w:rsid w:val="00E6328C"/>
    <w:rsid w:val="00E63F79"/>
    <w:rsid w:val="00E6420E"/>
    <w:rsid w:val="00E713F5"/>
    <w:rsid w:val="00E72B98"/>
    <w:rsid w:val="00E74373"/>
    <w:rsid w:val="00E75225"/>
    <w:rsid w:val="00E75517"/>
    <w:rsid w:val="00E825C5"/>
    <w:rsid w:val="00E82962"/>
    <w:rsid w:val="00E82F54"/>
    <w:rsid w:val="00E8417B"/>
    <w:rsid w:val="00E85298"/>
    <w:rsid w:val="00E87571"/>
    <w:rsid w:val="00E93E08"/>
    <w:rsid w:val="00E97EB3"/>
    <w:rsid w:val="00EA0507"/>
    <w:rsid w:val="00EA10AB"/>
    <w:rsid w:val="00EA4491"/>
    <w:rsid w:val="00EA580D"/>
    <w:rsid w:val="00EA77E1"/>
    <w:rsid w:val="00EB048A"/>
    <w:rsid w:val="00EB148B"/>
    <w:rsid w:val="00EB22E9"/>
    <w:rsid w:val="00EB3C17"/>
    <w:rsid w:val="00EC0486"/>
    <w:rsid w:val="00EC2525"/>
    <w:rsid w:val="00EC2EBA"/>
    <w:rsid w:val="00EC64D7"/>
    <w:rsid w:val="00ED1A56"/>
    <w:rsid w:val="00ED7806"/>
    <w:rsid w:val="00EE5E42"/>
    <w:rsid w:val="00EE6EE0"/>
    <w:rsid w:val="00EE76E6"/>
    <w:rsid w:val="00EF010F"/>
    <w:rsid w:val="00EF0952"/>
    <w:rsid w:val="00EF0A73"/>
    <w:rsid w:val="00EF2180"/>
    <w:rsid w:val="00EF27D7"/>
    <w:rsid w:val="00EF4A75"/>
    <w:rsid w:val="00EF6841"/>
    <w:rsid w:val="00F004E6"/>
    <w:rsid w:val="00F02709"/>
    <w:rsid w:val="00F03CDB"/>
    <w:rsid w:val="00F0408B"/>
    <w:rsid w:val="00F053C9"/>
    <w:rsid w:val="00F06479"/>
    <w:rsid w:val="00F1414F"/>
    <w:rsid w:val="00F14D16"/>
    <w:rsid w:val="00F15412"/>
    <w:rsid w:val="00F16278"/>
    <w:rsid w:val="00F16FCE"/>
    <w:rsid w:val="00F17BDD"/>
    <w:rsid w:val="00F24686"/>
    <w:rsid w:val="00F273CB"/>
    <w:rsid w:val="00F317A0"/>
    <w:rsid w:val="00F31B10"/>
    <w:rsid w:val="00F3391E"/>
    <w:rsid w:val="00F408D6"/>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505C"/>
    <w:rsid w:val="00F85086"/>
    <w:rsid w:val="00F86186"/>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B56CC"/>
    <w:rsid w:val="00FB71AF"/>
    <w:rsid w:val="00FC6EBF"/>
    <w:rsid w:val="00FD0AE5"/>
    <w:rsid w:val="00FD22AD"/>
    <w:rsid w:val="00FD451A"/>
    <w:rsid w:val="00FD47B4"/>
    <w:rsid w:val="00FE3A8F"/>
    <w:rsid w:val="00FE71F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BC46-C992-4D2B-9CCE-91D37D89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2016-02-09T11:56:00Z</dcterms:created>
  <dcterms:modified xsi:type="dcterms:W3CDTF">2016-02-10T15:03:00Z</dcterms:modified>
</cp:coreProperties>
</file>