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A2F84" w14:textId="568AAE88" w:rsidR="00C22F37" w:rsidRDefault="005E6FFB" w:rsidP="00C22F37">
      <w:pPr>
        <w:jc w:val="center"/>
        <w:rPr>
          <w:rFonts w:ascii="Arial" w:hAnsi="Arial" w:cs="Arial"/>
          <w:b/>
          <w:sz w:val="24"/>
          <w:szCs w:val="24"/>
        </w:rPr>
      </w:pPr>
      <w:r>
        <w:rPr>
          <w:rFonts w:ascii="Arial" w:hAnsi="Arial" w:cs="Arial"/>
          <w:b/>
          <w:sz w:val="24"/>
          <w:szCs w:val="24"/>
        </w:rPr>
        <w:t>N</w:t>
      </w:r>
      <w:r w:rsidR="00C22F37">
        <w:rPr>
          <w:rFonts w:ascii="Arial" w:hAnsi="Arial" w:cs="Arial"/>
          <w:b/>
          <w:sz w:val="24"/>
          <w:szCs w:val="24"/>
        </w:rPr>
        <w:t>ote of HRA Meeting 3/12/2015</w:t>
      </w:r>
    </w:p>
    <w:p w14:paraId="072DBA91" w14:textId="77A65395" w:rsidR="00C22F37" w:rsidRDefault="00C22F37" w:rsidP="00C22F37">
      <w:pPr>
        <w:jc w:val="center"/>
        <w:rPr>
          <w:rFonts w:ascii="Arial" w:hAnsi="Arial" w:cs="Arial"/>
          <w:b/>
          <w:sz w:val="24"/>
          <w:szCs w:val="24"/>
        </w:rPr>
      </w:pPr>
      <w:r>
        <w:rPr>
          <w:rFonts w:ascii="Arial" w:hAnsi="Arial" w:cs="Arial"/>
          <w:b/>
          <w:sz w:val="24"/>
          <w:szCs w:val="24"/>
        </w:rPr>
        <w:t>“Point of Care” trials: Their importance for public and patients and helping RECs review them fairly</w:t>
      </w:r>
    </w:p>
    <w:p w14:paraId="005AF777" w14:textId="77777777" w:rsidR="00C22F37" w:rsidRDefault="00C22F37" w:rsidP="00C22F37">
      <w:pPr>
        <w:jc w:val="center"/>
        <w:rPr>
          <w:rFonts w:ascii="Arial" w:hAnsi="Arial" w:cs="Arial"/>
          <w:sz w:val="24"/>
          <w:szCs w:val="24"/>
        </w:rPr>
      </w:pPr>
    </w:p>
    <w:p w14:paraId="3CD438D8" w14:textId="77777777" w:rsidR="00C22F37" w:rsidRDefault="00C22F37" w:rsidP="00C22F37">
      <w:pPr>
        <w:rPr>
          <w:rFonts w:ascii="Arial" w:hAnsi="Arial" w:cs="Arial"/>
          <w:b/>
          <w:sz w:val="24"/>
          <w:szCs w:val="24"/>
        </w:rPr>
      </w:pPr>
      <w:r>
        <w:rPr>
          <w:rFonts w:ascii="Arial" w:hAnsi="Arial" w:cs="Arial"/>
          <w:b/>
          <w:sz w:val="24"/>
          <w:szCs w:val="24"/>
        </w:rPr>
        <w:t>Background</w:t>
      </w:r>
    </w:p>
    <w:p w14:paraId="34957B2E" w14:textId="657E7607" w:rsidR="005B54CD" w:rsidRPr="005B54CD" w:rsidRDefault="00C22F37" w:rsidP="005B54CD">
      <w:pPr>
        <w:spacing w:after="0"/>
        <w:rPr>
          <w:rFonts w:ascii="Arial" w:hAnsi="Arial" w:cs="Arial"/>
          <w:sz w:val="24"/>
        </w:rPr>
      </w:pPr>
      <w:r>
        <w:rPr>
          <w:rFonts w:ascii="Arial" w:hAnsi="Arial" w:cs="Arial"/>
          <w:sz w:val="24"/>
          <w:szCs w:val="24"/>
        </w:rPr>
        <w:t xml:space="preserve">This note summarises a workshop, hosted and funded by the </w:t>
      </w:r>
      <w:r w:rsidR="00AE2CAE">
        <w:rPr>
          <w:rFonts w:ascii="Arial" w:hAnsi="Arial" w:cs="Arial"/>
          <w:sz w:val="24"/>
          <w:szCs w:val="24"/>
        </w:rPr>
        <w:t>Health Research Authority (</w:t>
      </w:r>
      <w:r>
        <w:rPr>
          <w:rFonts w:ascii="Arial" w:hAnsi="Arial" w:cs="Arial"/>
          <w:sz w:val="24"/>
          <w:szCs w:val="24"/>
        </w:rPr>
        <w:t>HRA</w:t>
      </w:r>
      <w:r w:rsidR="00AE2CAE">
        <w:rPr>
          <w:rFonts w:ascii="Arial" w:hAnsi="Arial" w:cs="Arial"/>
          <w:sz w:val="24"/>
          <w:szCs w:val="24"/>
        </w:rPr>
        <w:t>)</w:t>
      </w:r>
      <w:r w:rsidR="007E2F0B">
        <w:rPr>
          <w:rFonts w:ascii="Arial" w:hAnsi="Arial" w:cs="Arial"/>
          <w:sz w:val="24"/>
          <w:szCs w:val="24"/>
        </w:rPr>
        <w:t xml:space="preserve"> in December 2015</w:t>
      </w:r>
      <w:r>
        <w:rPr>
          <w:rFonts w:ascii="Arial" w:hAnsi="Arial" w:cs="Arial"/>
          <w:sz w:val="24"/>
          <w:szCs w:val="24"/>
        </w:rPr>
        <w:t xml:space="preserve">, aimed at </w:t>
      </w:r>
      <w:r w:rsidR="003062D6">
        <w:rPr>
          <w:rFonts w:ascii="Arial" w:hAnsi="Arial" w:cs="Arial"/>
          <w:sz w:val="24"/>
          <w:szCs w:val="24"/>
        </w:rPr>
        <w:t xml:space="preserve">gaining a wider understanding </w:t>
      </w:r>
      <w:r>
        <w:rPr>
          <w:rFonts w:ascii="Arial" w:hAnsi="Arial" w:cs="Arial"/>
          <w:sz w:val="24"/>
          <w:szCs w:val="24"/>
        </w:rPr>
        <w:t>o</w:t>
      </w:r>
      <w:r w:rsidR="005B54CD">
        <w:rPr>
          <w:rFonts w:ascii="Arial" w:hAnsi="Arial" w:cs="Arial"/>
          <w:sz w:val="24"/>
          <w:szCs w:val="24"/>
        </w:rPr>
        <w:t>f</w:t>
      </w:r>
      <w:r>
        <w:rPr>
          <w:rFonts w:ascii="Arial" w:hAnsi="Arial" w:cs="Arial"/>
          <w:sz w:val="24"/>
          <w:szCs w:val="24"/>
        </w:rPr>
        <w:t xml:space="preserve"> the </w:t>
      </w:r>
      <w:r w:rsidR="007E2F0B">
        <w:rPr>
          <w:rFonts w:ascii="Arial" w:hAnsi="Arial" w:cs="Arial"/>
          <w:sz w:val="24"/>
          <w:szCs w:val="24"/>
        </w:rPr>
        <w:t>potential o</w:t>
      </w:r>
      <w:r>
        <w:rPr>
          <w:rFonts w:ascii="Arial" w:hAnsi="Arial" w:cs="Arial"/>
          <w:sz w:val="24"/>
          <w:szCs w:val="24"/>
        </w:rPr>
        <w:t xml:space="preserve">f Point of Care </w:t>
      </w:r>
      <w:r w:rsidR="007E2F0B">
        <w:rPr>
          <w:rFonts w:ascii="Arial" w:hAnsi="Arial" w:cs="Arial"/>
          <w:sz w:val="24"/>
          <w:szCs w:val="24"/>
        </w:rPr>
        <w:t>trials</w:t>
      </w:r>
      <w:r w:rsidR="00637C03">
        <w:rPr>
          <w:rFonts w:ascii="Arial" w:hAnsi="Arial" w:cs="Arial"/>
          <w:sz w:val="24"/>
          <w:szCs w:val="24"/>
        </w:rPr>
        <w:t xml:space="preserve"> (</w:t>
      </w:r>
      <w:proofErr w:type="spellStart"/>
      <w:r w:rsidR="00637C03">
        <w:rPr>
          <w:rFonts w:ascii="Arial" w:hAnsi="Arial" w:cs="Arial"/>
          <w:sz w:val="24"/>
          <w:szCs w:val="24"/>
        </w:rPr>
        <w:t>PoCTs</w:t>
      </w:r>
      <w:proofErr w:type="spellEnd"/>
      <w:r w:rsidR="00441756">
        <w:rPr>
          <w:rFonts w:ascii="Arial" w:hAnsi="Arial" w:cs="Arial"/>
          <w:sz w:val="24"/>
          <w:szCs w:val="24"/>
        </w:rPr>
        <w:t>)</w:t>
      </w:r>
      <w:r w:rsidR="00D06571">
        <w:rPr>
          <w:rFonts w:ascii="Arial" w:hAnsi="Arial" w:cs="Arial"/>
          <w:sz w:val="24"/>
          <w:szCs w:val="24"/>
        </w:rPr>
        <w:t xml:space="preserve"> </w:t>
      </w:r>
      <w:r w:rsidR="00FA5214">
        <w:rPr>
          <w:rFonts w:ascii="Arial" w:hAnsi="Arial" w:cs="Arial"/>
          <w:sz w:val="24"/>
          <w:szCs w:val="24"/>
        </w:rPr>
        <w:t>– one of the forms</w:t>
      </w:r>
      <w:r w:rsidR="00355696">
        <w:rPr>
          <w:rFonts w:ascii="Arial" w:hAnsi="Arial" w:cs="Arial"/>
          <w:sz w:val="24"/>
          <w:szCs w:val="24"/>
        </w:rPr>
        <w:t xml:space="preserve"> of</w:t>
      </w:r>
      <w:r w:rsidR="00D06571">
        <w:rPr>
          <w:rFonts w:ascii="Arial" w:hAnsi="Arial" w:cs="Arial"/>
          <w:sz w:val="24"/>
          <w:szCs w:val="24"/>
        </w:rPr>
        <w:t xml:space="preserve"> </w:t>
      </w:r>
      <w:r w:rsidR="005E6FFB">
        <w:rPr>
          <w:rFonts w:ascii="Arial" w:hAnsi="Arial" w:cs="Arial"/>
          <w:sz w:val="24"/>
          <w:szCs w:val="24"/>
        </w:rPr>
        <w:t>‘</w:t>
      </w:r>
      <w:r w:rsidR="00D06571">
        <w:rPr>
          <w:rFonts w:ascii="Arial" w:hAnsi="Arial" w:cs="Arial"/>
          <w:sz w:val="24"/>
          <w:szCs w:val="24"/>
        </w:rPr>
        <w:t>pragmatic trials</w:t>
      </w:r>
      <w:r w:rsidR="005E6FFB">
        <w:rPr>
          <w:rFonts w:ascii="Arial" w:hAnsi="Arial" w:cs="Arial"/>
          <w:sz w:val="24"/>
          <w:szCs w:val="24"/>
        </w:rPr>
        <w:t>’</w:t>
      </w:r>
      <w:r w:rsidR="00A5367C">
        <w:rPr>
          <w:rFonts w:ascii="Arial" w:hAnsi="Arial" w:cs="Arial"/>
          <w:sz w:val="24"/>
          <w:szCs w:val="24"/>
        </w:rPr>
        <w:t xml:space="preserve"> -</w:t>
      </w:r>
      <w:r>
        <w:rPr>
          <w:rFonts w:ascii="Arial" w:hAnsi="Arial" w:cs="Arial"/>
          <w:sz w:val="24"/>
          <w:szCs w:val="24"/>
        </w:rPr>
        <w:t xml:space="preserve"> in achieving better health care</w:t>
      </w:r>
      <w:r w:rsidR="003E2465">
        <w:rPr>
          <w:rFonts w:ascii="Arial" w:hAnsi="Arial" w:cs="Arial"/>
          <w:sz w:val="24"/>
          <w:szCs w:val="24"/>
        </w:rPr>
        <w:t xml:space="preserve">. </w:t>
      </w:r>
      <w:r w:rsidR="005B54CD" w:rsidRPr="005B54CD">
        <w:rPr>
          <w:rFonts w:ascii="Arial" w:hAnsi="Arial" w:cs="Arial"/>
          <w:sz w:val="24"/>
        </w:rPr>
        <w:t xml:space="preserve">The workshop explored the issues raised by </w:t>
      </w:r>
      <w:proofErr w:type="spellStart"/>
      <w:r w:rsidR="005B54CD" w:rsidRPr="005B54CD">
        <w:rPr>
          <w:rFonts w:ascii="Arial" w:hAnsi="Arial" w:cs="Arial"/>
          <w:sz w:val="24"/>
        </w:rPr>
        <w:t>PoCTs</w:t>
      </w:r>
      <w:proofErr w:type="spellEnd"/>
      <w:r w:rsidR="005B54CD" w:rsidRPr="005B54CD">
        <w:rPr>
          <w:rFonts w:ascii="Arial" w:hAnsi="Arial" w:cs="Arial"/>
          <w:sz w:val="24"/>
        </w:rPr>
        <w:t xml:space="preserve">, both to inform </w:t>
      </w:r>
      <w:r w:rsidR="00637C03">
        <w:rPr>
          <w:rFonts w:ascii="Arial" w:hAnsi="Arial" w:cs="Arial"/>
          <w:sz w:val="24"/>
        </w:rPr>
        <w:t xml:space="preserve">developing HRA </w:t>
      </w:r>
      <w:r w:rsidR="005B54CD" w:rsidRPr="005B54CD">
        <w:rPr>
          <w:rFonts w:ascii="Arial" w:hAnsi="Arial" w:cs="Arial"/>
          <w:sz w:val="24"/>
        </w:rPr>
        <w:t>policy and guidance</w:t>
      </w:r>
      <w:r w:rsidR="00637C03">
        <w:rPr>
          <w:rFonts w:ascii="Arial" w:hAnsi="Arial" w:cs="Arial"/>
          <w:sz w:val="24"/>
        </w:rPr>
        <w:t xml:space="preserve"> on proportionate consent</w:t>
      </w:r>
      <w:r w:rsidR="005B54CD" w:rsidRPr="005B54CD">
        <w:rPr>
          <w:rFonts w:ascii="Arial" w:hAnsi="Arial" w:cs="Arial"/>
          <w:sz w:val="24"/>
        </w:rPr>
        <w:t xml:space="preserve"> and to provide a training and learning opportunity for</w:t>
      </w:r>
      <w:r w:rsidR="00355696">
        <w:rPr>
          <w:rFonts w:ascii="Arial" w:hAnsi="Arial" w:cs="Arial"/>
          <w:sz w:val="24"/>
        </w:rPr>
        <w:t xml:space="preserve"> members of</w:t>
      </w:r>
      <w:r w:rsidR="005B54CD" w:rsidRPr="005B54CD">
        <w:rPr>
          <w:rFonts w:ascii="Arial" w:hAnsi="Arial" w:cs="Arial"/>
          <w:sz w:val="24"/>
        </w:rPr>
        <w:t xml:space="preserve"> Research Ethics Committee </w:t>
      </w:r>
      <w:r w:rsidR="00A124C3">
        <w:rPr>
          <w:rFonts w:ascii="Arial" w:hAnsi="Arial" w:cs="Arial"/>
          <w:sz w:val="24"/>
        </w:rPr>
        <w:t xml:space="preserve">(REC) </w:t>
      </w:r>
      <w:r w:rsidR="005B54CD" w:rsidRPr="005B54CD">
        <w:rPr>
          <w:rFonts w:ascii="Arial" w:hAnsi="Arial" w:cs="Arial"/>
          <w:sz w:val="24"/>
        </w:rPr>
        <w:t>and other</w:t>
      </w:r>
      <w:r w:rsidR="00BE626C">
        <w:rPr>
          <w:rFonts w:ascii="Arial" w:hAnsi="Arial" w:cs="Arial"/>
          <w:sz w:val="24"/>
        </w:rPr>
        <w:t xml:space="preserve"> stakeholders</w:t>
      </w:r>
      <w:r w:rsidR="005B54CD" w:rsidRPr="005B54CD">
        <w:rPr>
          <w:rFonts w:ascii="Arial" w:hAnsi="Arial" w:cs="Arial"/>
          <w:sz w:val="24"/>
        </w:rPr>
        <w:t>. Video footage from the day will be used to develop further materials for training and awareness</w:t>
      </w:r>
      <w:r w:rsidR="00046AA0">
        <w:rPr>
          <w:rFonts w:ascii="Arial" w:hAnsi="Arial" w:cs="Arial"/>
          <w:sz w:val="24"/>
        </w:rPr>
        <w:t xml:space="preserve"> </w:t>
      </w:r>
      <w:r w:rsidR="005B54CD" w:rsidRPr="005B54CD">
        <w:rPr>
          <w:rFonts w:ascii="Arial" w:hAnsi="Arial" w:cs="Arial"/>
          <w:sz w:val="24"/>
        </w:rPr>
        <w:t xml:space="preserve">to support the effective design, review and conduct of </w:t>
      </w:r>
      <w:proofErr w:type="spellStart"/>
      <w:r w:rsidR="005B54CD" w:rsidRPr="005B54CD">
        <w:rPr>
          <w:rFonts w:ascii="Arial" w:hAnsi="Arial" w:cs="Arial"/>
          <w:sz w:val="24"/>
        </w:rPr>
        <w:t>PoCTs</w:t>
      </w:r>
      <w:proofErr w:type="spellEnd"/>
      <w:r w:rsidR="005B54CD" w:rsidRPr="005B54CD">
        <w:rPr>
          <w:rFonts w:ascii="Arial" w:hAnsi="Arial" w:cs="Arial"/>
          <w:sz w:val="24"/>
        </w:rPr>
        <w:t>.</w:t>
      </w:r>
    </w:p>
    <w:p w14:paraId="65A36B3A" w14:textId="77777777" w:rsidR="005B54CD" w:rsidRPr="005B54CD" w:rsidRDefault="005B54CD" w:rsidP="005B54CD">
      <w:pPr>
        <w:spacing w:after="0"/>
        <w:rPr>
          <w:rFonts w:ascii="Arial" w:hAnsi="Arial" w:cs="Arial"/>
          <w:sz w:val="24"/>
        </w:rPr>
      </w:pPr>
    </w:p>
    <w:p w14:paraId="49556FE7" w14:textId="4D5B6359" w:rsidR="00C22F37" w:rsidRDefault="00C22F37" w:rsidP="00C22F37">
      <w:pPr>
        <w:rPr>
          <w:rFonts w:ascii="Arial" w:hAnsi="Arial" w:cs="Arial"/>
          <w:sz w:val="24"/>
          <w:szCs w:val="24"/>
        </w:rPr>
      </w:pPr>
      <w:r>
        <w:rPr>
          <w:rFonts w:ascii="Arial" w:hAnsi="Arial" w:cs="Arial"/>
          <w:sz w:val="24"/>
          <w:szCs w:val="24"/>
        </w:rPr>
        <w:t xml:space="preserve">The HRA </w:t>
      </w:r>
      <w:r w:rsidR="001402C9">
        <w:rPr>
          <w:rFonts w:ascii="Arial" w:hAnsi="Arial" w:cs="Arial"/>
          <w:sz w:val="24"/>
          <w:szCs w:val="24"/>
        </w:rPr>
        <w:t xml:space="preserve">aims </w:t>
      </w:r>
      <w:r>
        <w:rPr>
          <w:rFonts w:ascii="Arial" w:hAnsi="Arial" w:cs="Arial"/>
          <w:sz w:val="24"/>
          <w:szCs w:val="24"/>
        </w:rPr>
        <w:t xml:space="preserve">to give more patients the opportunity to take part in research studies and feel safe when doing so. </w:t>
      </w:r>
      <w:proofErr w:type="spellStart"/>
      <w:r>
        <w:rPr>
          <w:rFonts w:ascii="Arial" w:hAnsi="Arial" w:cs="Arial"/>
          <w:sz w:val="24"/>
          <w:szCs w:val="24"/>
        </w:rPr>
        <w:t>Po</w:t>
      </w:r>
      <w:r w:rsidR="00637C03">
        <w:rPr>
          <w:rFonts w:ascii="Arial" w:hAnsi="Arial" w:cs="Arial"/>
          <w:sz w:val="24"/>
          <w:szCs w:val="24"/>
        </w:rPr>
        <w:t>CTs</w:t>
      </w:r>
      <w:proofErr w:type="spellEnd"/>
      <w:r>
        <w:rPr>
          <w:rFonts w:ascii="Arial" w:hAnsi="Arial" w:cs="Arial"/>
          <w:sz w:val="24"/>
          <w:szCs w:val="24"/>
        </w:rPr>
        <w:t xml:space="preserve"> are an important component of an overall commitment from the HRA to ensure effective and proportionate regulation and governance of health research. </w:t>
      </w:r>
      <w:r w:rsidR="00D477C1">
        <w:rPr>
          <w:rFonts w:ascii="Arial" w:hAnsi="Arial" w:cs="Arial"/>
          <w:sz w:val="24"/>
          <w:szCs w:val="24"/>
        </w:rPr>
        <w:t xml:space="preserve">The HRA is a signatory to The Lancet’s </w:t>
      </w:r>
      <w:proofErr w:type="spellStart"/>
      <w:r w:rsidR="00D477C1">
        <w:rPr>
          <w:rFonts w:ascii="Arial" w:hAnsi="Arial" w:cs="Arial"/>
          <w:sz w:val="24"/>
          <w:szCs w:val="24"/>
        </w:rPr>
        <w:t>REduce</w:t>
      </w:r>
      <w:proofErr w:type="spellEnd"/>
      <w:r w:rsidR="00D477C1">
        <w:rPr>
          <w:rFonts w:ascii="Arial" w:hAnsi="Arial" w:cs="Arial"/>
          <w:sz w:val="24"/>
          <w:szCs w:val="24"/>
        </w:rPr>
        <w:t xml:space="preserve"> research Waste And Reward Diligence (REWARD) campaign.</w:t>
      </w:r>
    </w:p>
    <w:p w14:paraId="6DB2D6F8" w14:textId="77777777" w:rsidR="00C22F37" w:rsidRDefault="00C22F37" w:rsidP="00C22F37">
      <w:pPr>
        <w:rPr>
          <w:rFonts w:ascii="Arial" w:hAnsi="Arial" w:cs="Arial"/>
          <w:sz w:val="24"/>
          <w:szCs w:val="24"/>
        </w:rPr>
      </w:pPr>
    </w:p>
    <w:p w14:paraId="00EDD113" w14:textId="77777777" w:rsidR="00C22F37" w:rsidRDefault="00C22F37" w:rsidP="00C22F37">
      <w:pPr>
        <w:rPr>
          <w:rFonts w:ascii="Arial" w:hAnsi="Arial" w:cs="Arial"/>
          <w:b/>
          <w:sz w:val="24"/>
          <w:szCs w:val="24"/>
        </w:rPr>
      </w:pPr>
      <w:r>
        <w:rPr>
          <w:rFonts w:ascii="Arial" w:hAnsi="Arial" w:cs="Arial"/>
          <w:b/>
          <w:sz w:val="24"/>
          <w:szCs w:val="24"/>
        </w:rPr>
        <w:t>Introduction</w:t>
      </w:r>
    </w:p>
    <w:p w14:paraId="3E7A6573" w14:textId="233062B0" w:rsidR="00C22F37" w:rsidRDefault="00F5647F" w:rsidP="00C22F37">
      <w:pPr>
        <w:spacing w:after="0"/>
        <w:rPr>
          <w:rFonts w:ascii="Arial" w:hAnsi="Arial" w:cs="Arial"/>
          <w:sz w:val="24"/>
          <w:szCs w:val="24"/>
        </w:rPr>
      </w:pPr>
      <w:r w:rsidRPr="00F5647F">
        <w:rPr>
          <w:rFonts w:ascii="Arial" w:hAnsi="Arial" w:cs="Arial"/>
          <w:sz w:val="24"/>
          <w:szCs w:val="24"/>
        </w:rPr>
        <w:t>In many cases we do</w:t>
      </w:r>
      <w:r w:rsidR="00D06571">
        <w:rPr>
          <w:rFonts w:ascii="Arial" w:hAnsi="Arial" w:cs="Arial"/>
          <w:sz w:val="24"/>
          <w:szCs w:val="24"/>
        </w:rPr>
        <w:t xml:space="preserve"> not</w:t>
      </w:r>
      <w:r w:rsidRPr="00F5647F">
        <w:rPr>
          <w:rFonts w:ascii="Arial" w:hAnsi="Arial" w:cs="Arial"/>
          <w:sz w:val="24"/>
          <w:szCs w:val="24"/>
        </w:rPr>
        <w:t xml:space="preserve"> always know (due to a lack of evidence) which of the large number of treatments routinely used in the NHS is best for an individual patient, or group of patients</w:t>
      </w:r>
      <w:r w:rsidR="00441756">
        <w:rPr>
          <w:rFonts w:ascii="Arial" w:hAnsi="Arial" w:cs="Arial"/>
          <w:sz w:val="24"/>
          <w:szCs w:val="24"/>
        </w:rPr>
        <w:t xml:space="preserve"> with similar health problems</w:t>
      </w:r>
      <w:r w:rsidRPr="00F5647F">
        <w:rPr>
          <w:rFonts w:ascii="Arial" w:hAnsi="Arial" w:cs="Arial"/>
          <w:sz w:val="24"/>
          <w:szCs w:val="24"/>
        </w:rPr>
        <w:t xml:space="preserve">. </w:t>
      </w:r>
      <w:r w:rsidR="00D06571">
        <w:rPr>
          <w:rFonts w:ascii="Arial" w:hAnsi="Arial" w:cs="Arial"/>
          <w:sz w:val="24"/>
          <w:szCs w:val="24"/>
        </w:rPr>
        <w:t xml:space="preserve">Clinical trials conducted for licensing purposes may focus on short term outcomes such as biomarkers rather than long term outcomes. </w:t>
      </w:r>
      <w:r w:rsidRPr="00F5647F">
        <w:rPr>
          <w:rFonts w:ascii="Arial" w:hAnsi="Arial" w:cs="Arial"/>
          <w:sz w:val="24"/>
          <w:szCs w:val="24"/>
        </w:rPr>
        <w:t>It</w:t>
      </w:r>
      <w:r w:rsidR="00A124C3">
        <w:rPr>
          <w:rFonts w:ascii="Arial" w:hAnsi="Arial" w:cs="Arial"/>
          <w:sz w:val="24"/>
          <w:szCs w:val="24"/>
        </w:rPr>
        <w:t xml:space="preserve"> i</w:t>
      </w:r>
      <w:r w:rsidRPr="00F5647F">
        <w:rPr>
          <w:rFonts w:ascii="Arial" w:hAnsi="Arial" w:cs="Arial"/>
          <w:sz w:val="24"/>
          <w:szCs w:val="24"/>
        </w:rPr>
        <w:t xml:space="preserve">s important, therefore, to compare medicines and other treatments used in order to better inform </w:t>
      </w:r>
      <w:r w:rsidR="00A124C3">
        <w:rPr>
          <w:rFonts w:ascii="Arial" w:hAnsi="Arial" w:cs="Arial"/>
          <w:sz w:val="24"/>
          <w:szCs w:val="24"/>
        </w:rPr>
        <w:t>clinical care</w:t>
      </w:r>
      <w:r w:rsidR="00544076">
        <w:rPr>
          <w:rFonts w:ascii="Arial" w:hAnsi="Arial" w:cs="Arial"/>
          <w:sz w:val="24"/>
          <w:szCs w:val="24"/>
        </w:rPr>
        <w:t xml:space="preserve">. Indeed, </w:t>
      </w:r>
      <w:r w:rsidR="00C271B3">
        <w:rPr>
          <w:rFonts w:ascii="Arial" w:hAnsi="Arial" w:cs="Arial"/>
          <w:sz w:val="24"/>
          <w:szCs w:val="24"/>
        </w:rPr>
        <w:t xml:space="preserve">a recent </w:t>
      </w:r>
      <w:r w:rsidR="00C22F37">
        <w:rPr>
          <w:rFonts w:ascii="Arial" w:hAnsi="Arial" w:cs="Arial"/>
          <w:sz w:val="24"/>
          <w:szCs w:val="24"/>
        </w:rPr>
        <w:t>survey</w:t>
      </w:r>
      <w:r w:rsidR="00AF0D9F">
        <w:rPr>
          <w:rFonts w:ascii="Arial" w:hAnsi="Arial" w:cs="Arial"/>
          <w:sz w:val="24"/>
          <w:szCs w:val="24"/>
        </w:rPr>
        <w:t xml:space="preserve"> conducted in Scotland</w:t>
      </w:r>
      <w:r w:rsidR="00C22F37">
        <w:rPr>
          <w:rFonts w:ascii="Arial" w:hAnsi="Arial" w:cs="Arial"/>
          <w:sz w:val="24"/>
          <w:szCs w:val="24"/>
        </w:rPr>
        <w:t xml:space="preserve"> </w:t>
      </w:r>
      <w:r w:rsidR="00C271B3">
        <w:rPr>
          <w:rFonts w:ascii="Arial" w:hAnsi="Arial" w:cs="Arial"/>
          <w:sz w:val="24"/>
          <w:szCs w:val="24"/>
        </w:rPr>
        <w:t xml:space="preserve">found that </w:t>
      </w:r>
      <w:r w:rsidR="00C22F37">
        <w:rPr>
          <w:rFonts w:ascii="Arial" w:hAnsi="Arial" w:cs="Arial"/>
          <w:sz w:val="24"/>
          <w:szCs w:val="24"/>
        </w:rPr>
        <w:t xml:space="preserve">97% of </w:t>
      </w:r>
      <w:r w:rsidR="00B26919">
        <w:rPr>
          <w:rFonts w:ascii="Arial" w:hAnsi="Arial" w:cs="Arial"/>
          <w:sz w:val="24"/>
          <w:szCs w:val="24"/>
        </w:rPr>
        <w:t xml:space="preserve">general public participants agreed that the </w:t>
      </w:r>
      <w:r w:rsidR="00B26919" w:rsidRPr="00B26919">
        <w:rPr>
          <w:rFonts w:ascii="Arial" w:hAnsi="Arial" w:cs="Arial"/>
          <w:sz w:val="24"/>
          <w:szCs w:val="24"/>
        </w:rPr>
        <w:t xml:space="preserve">National Health Service </w:t>
      </w:r>
      <w:r w:rsidR="00B26919">
        <w:rPr>
          <w:rFonts w:ascii="Arial" w:hAnsi="Arial" w:cs="Arial"/>
          <w:sz w:val="24"/>
          <w:szCs w:val="24"/>
        </w:rPr>
        <w:t>“</w:t>
      </w:r>
      <w:r w:rsidR="00B26919" w:rsidRPr="00B26919">
        <w:rPr>
          <w:rFonts w:ascii="Arial" w:hAnsi="Arial" w:cs="Arial"/>
          <w:sz w:val="24"/>
          <w:szCs w:val="24"/>
        </w:rPr>
        <w:t>has a duty to determine the safety and effectiveness of the medicines its doctors prescribe</w:t>
      </w:r>
      <w:r w:rsidR="00B26919">
        <w:rPr>
          <w:rFonts w:ascii="Arial" w:hAnsi="Arial" w:cs="Arial"/>
          <w:sz w:val="24"/>
          <w:szCs w:val="24"/>
        </w:rPr>
        <w:t>”</w:t>
      </w:r>
      <w:r w:rsidR="00C22F37">
        <w:rPr>
          <w:rStyle w:val="FootnoteReference"/>
          <w:rFonts w:ascii="Arial" w:hAnsi="Arial" w:cs="Arial"/>
          <w:sz w:val="24"/>
          <w:szCs w:val="24"/>
        </w:rPr>
        <w:footnoteReference w:id="1"/>
      </w:r>
      <w:r w:rsidR="00C22F37">
        <w:rPr>
          <w:rFonts w:ascii="Arial" w:hAnsi="Arial" w:cs="Arial"/>
          <w:sz w:val="24"/>
          <w:szCs w:val="24"/>
        </w:rPr>
        <w:t xml:space="preserve">. Such </w:t>
      </w:r>
      <w:r w:rsidR="0059697D">
        <w:rPr>
          <w:rFonts w:ascii="Arial" w:hAnsi="Arial" w:cs="Arial"/>
          <w:sz w:val="24"/>
          <w:szCs w:val="24"/>
        </w:rPr>
        <w:t xml:space="preserve">general </w:t>
      </w:r>
      <w:r w:rsidR="00C22F37">
        <w:rPr>
          <w:rFonts w:ascii="Arial" w:hAnsi="Arial" w:cs="Arial"/>
          <w:sz w:val="24"/>
          <w:szCs w:val="24"/>
        </w:rPr>
        <w:t>consensus place</w:t>
      </w:r>
      <w:r w:rsidR="00A124C3">
        <w:rPr>
          <w:rFonts w:ascii="Arial" w:hAnsi="Arial" w:cs="Arial"/>
          <w:sz w:val="24"/>
          <w:szCs w:val="24"/>
        </w:rPr>
        <w:t>s</w:t>
      </w:r>
      <w:r w:rsidR="00567812">
        <w:rPr>
          <w:rFonts w:ascii="Arial" w:hAnsi="Arial" w:cs="Arial"/>
          <w:sz w:val="24"/>
          <w:szCs w:val="24"/>
        </w:rPr>
        <w:t xml:space="preserve"> a</w:t>
      </w:r>
      <w:r w:rsidR="00C22F37">
        <w:rPr>
          <w:rFonts w:ascii="Arial" w:hAnsi="Arial" w:cs="Arial"/>
          <w:sz w:val="24"/>
          <w:szCs w:val="24"/>
        </w:rPr>
        <w:t xml:space="preserve"> dut</w:t>
      </w:r>
      <w:r w:rsidR="00567812">
        <w:rPr>
          <w:rFonts w:ascii="Arial" w:hAnsi="Arial" w:cs="Arial"/>
          <w:sz w:val="24"/>
          <w:szCs w:val="24"/>
        </w:rPr>
        <w:t>y</w:t>
      </w:r>
      <w:r w:rsidR="00C22F37">
        <w:rPr>
          <w:rFonts w:ascii="Arial" w:hAnsi="Arial" w:cs="Arial"/>
          <w:sz w:val="24"/>
          <w:szCs w:val="24"/>
        </w:rPr>
        <w:t xml:space="preserve"> upon:-</w:t>
      </w:r>
    </w:p>
    <w:p w14:paraId="7892B24F" w14:textId="77777777" w:rsidR="00C22F37" w:rsidRDefault="00C22F37" w:rsidP="00C22F37">
      <w:pPr>
        <w:spacing w:after="0"/>
        <w:rPr>
          <w:rFonts w:ascii="Arial" w:hAnsi="Arial" w:cs="Arial"/>
          <w:b/>
          <w:sz w:val="24"/>
          <w:szCs w:val="24"/>
        </w:rPr>
      </w:pPr>
    </w:p>
    <w:p w14:paraId="2ECF7B95" w14:textId="5D20F5C1" w:rsidR="00C22F37" w:rsidRDefault="00CB6469" w:rsidP="00C22F37">
      <w:pPr>
        <w:pStyle w:val="ListParagraph"/>
        <w:numPr>
          <w:ilvl w:val="0"/>
          <w:numId w:val="1"/>
        </w:numPr>
        <w:spacing w:after="0" w:line="240" w:lineRule="auto"/>
        <w:rPr>
          <w:rFonts w:ascii="Arial" w:hAnsi="Arial" w:cs="Arial"/>
          <w:sz w:val="24"/>
          <w:szCs w:val="24"/>
        </w:rPr>
      </w:pPr>
      <w:r>
        <w:rPr>
          <w:rFonts w:ascii="Arial" w:hAnsi="Arial" w:cs="Arial"/>
          <w:sz w:val="24"/>
          <w:szCs w:val="24"/>
        </w:rPr>
        <w:t>Healthcare professionals</w:t>
      </w:r>
      <w:r w:rsidR="00355696">
        <w:rPr>
          <w:rFonts w:ascii="Arial" w:hAnsi="Arial" w:cs="Arial"/>
          <w:sz w:val="24"/>
          <w:szCs w:val="24"/>
        </w:rPr>
        <w:t>, working with patients</w:t>
      </w:r>
      <w:r>
        <w:rPr>
          <w:rFonts w:ascii="Arial" w:hAnsi="Arial" w:cs="Arial"/>
          <w:sz w:val="24"/>
          <w:szCs w:val="24"/>
        </w:rPr>
        <w:t xml:space="preserve"> </w:t>
      </w:r>
      <w:r w:rsidR="00C22F37">
        <w:rPr>
          <w:rFonts w:ascii="Arial" w:hAnsi="Arial" w:cs="Arial"/>
          <w:sz w:val="24"/>
          <w:szCs w:val="24"/>
        </w:rPr>
        <w:t>and researchers</w:t>
      </w:r>
      <w:r w:rsidR="00355696">
        <w:rPr>
          <w:rFonts w:ascii="Arial" w:hAnsi="Arial" w:cs="Arial"/>
          <w:sz w:val="24"/>
          <w:szCs w:val="24"/>
        </w:rPr>
        <w:t>,</w:t>
      </w:r>
      <w:r w:rsidR="00C22F37">
        <w:rPr>
          <w:rFonts w:ascii="Arial" w:hAnsi="Arial" w:cs="Arial"/>
          <w:sz w:val="24"/>
          <w:szCs w:val="24"/>
        </w:rPr>
        <w:t xml:space="preserve"> to </w:t>
      </w:r>
      <w:r w:rsidR="00441756">
        <w:rPr>
          <w:rFonts w:ascii="Arial" w:hAnsi="Arial" w:cs="Arial"/>
          <w:sz w:val="24"/>
          <w:szCs w:val="24"/>
        </w:rPr>
        <w:t xml:space="preserve">address uncertainties about the relative merits of treatments routinely offered in the NHS </w:t>
      </w:r>
    </w:p>
    <w:p w14:paraId="68C4D8C5" w14:textId="3B7147A3" w:rsidR="00C22F37" w:rsidRDefault="00C22F37" w:rsidP="00C22F37">
      <w:pPr>
        <w:pStyle w:val="ListParagraph"/>
        <w:numPr>
          <w:ilvl w:val="0"/>
          <w:numId w:val="1"/>
        </w:numPr>
        <w:spacing w:after="0" w:line="240" w:lineRule="auto"/>
        <w:rPr>
          <w:rFonts w:ascii="Arial" w:hAnsi="Arial" w:cs="Arial"/>
          <w:sz w:val="24"/>
          <w:szCs w:val="24"/>
        </w:rPr>
      </w:pPr>
      <w:r>
        <w:rPr>
          <w:rFonts w:ascii="Arial" w:hAnsi="Arial" w:cs="Arial"/>
          <w:sz w:val="24"/>
          <w:szCs w:val="24"/>
        </w:rPr>
        <w:t>R</w:t>
      </w:r>
      <w:r w:rsidR="00355696">
        <w:rPr>
          <w:rFonts w:ascii="Arial" w:hAnsi="Arial" w:cs="Arial"/>
          <w:sz w:val="24"/>
          <w:szCs w:val="24"/>
        </w:rPr>
        <w:t xml:space="preserve">esearch Ethics </w:t>
      </w:r>
      <w:r w:rsidR="00865751">
        <w:rPr>
          <w:rFonts w:ascii="Arial" w:hAnsi="Arial" w:cs="Arial"/>
          <w:sz w:val="24"/>
          <w:szCs w:val="24"/>
        </w:rPr>
        <w:t>Committees</w:t>
      </w:r>
      <w:r w:rsidR="00355696">
        <w:rPr>
          <w:rFonts w:ascii="Arial" w:hAnsi="Arial" w:cs="Arial"/>
          <w:sz w:val="24"/>
          <w:szCs w:val="24"/>
        </w:rPr>
        <w:t xml:space="preserve"> (RECs) and other </w:t>
      </w:r>
      <w:r w:rsidR="00FA5214">
        <w:rPr>
          <w:rFonts w:ascii="Arial" w:hAnsi="Arial" w:cs="Arial"/>
          <w:sz w:val="24"/>
          <w:szCs w:val="24"/>
        </w:rPr>
        <w:t xml:space="preserve">research </w:t>
      </w:r>
      <w:r w:rsidR="00355696">
        <w:rPr>
          <w:rFonts w:ascii="Arial" w:hAnsi="Arial" w:cs="Arial"/>
          <w:sz w:val="24"/>
          <w:szCs w:val="24"/>
        </w:rPr>
        <w:t>r</w:t>
      </w:r>
      <w:r>
        <w:rPr>
          <w:rFonts w:ascii="Arial" w:hAnsi="Arial" w:cs="Arial"/>
          <w:sz w:val="24"/>
          <w:szCs w:val="24"/>
        </w:rPr>
        <w:t xml:space="preserve">egulators </w:t>
      </w:r>
      <w:r w:rsidR="00A5367C">
        <w:rPr>
          <w:rFonts w:ascii="Arial" w:hAnsi="Arial" w:cs="Arial"/>
          <w:sz w:val="24"/>
          <w:szCs w:val="24"/>
        </w:rPr>
        <w:t>to</w:t>
      </w:r>
      <w:r>
        <w:rPr>
          <w:rFonts w:ascii="Arial" w:hAnsi="Arial" w:cs="Arial"/>
          <w:sz w:val="24"/>
          <w:szCs w:val="24"/>
        </w:rPr>
        <w:t xml:space="preserve"> facilitate </w:t>
      </w:r>
      <w:r w:rsidR="00E7034D">
        <w:rPr>
          <w:rFonts w:ascii="Arial" w:hAnsi="Arial" w:cs="Arial"/>
          <w:sz w:val="24"/>
          <w:szCs w:val="24"/>
        </w:rPr>
        <w:t xml:space="preserve">research to </w:t>
      </w:r>
      <w:r w:rsidR="00A5367C">
        <w:rPr>
          <w:rFonts w:ascii="Arial" w:hAnsi="Arial" w:cs="Arial"/>
          <w:sz w:val="24"/>
          <w:szCs w:val="24"/>
        </w:rPr>
        <w:t xml:space="preserve">help </w:t>
      </w:r>
      <w:r w:rsidR="00E7034D">
        <w:rPr>
          <w:rFonts w:ascii="Arial" w:hAnsi="Arial" w:cs="Arial"/>
          <w:sz w:val="24"/>
          <w:szCs w:val="24"/>
        </w:rPr>
        <w:t xml:space="preserve">resolve such </w:t>
      </w:r>
      <w:r w:rsidR="00A537CE">
        <w:rPr>
          <w:rFonts w:ascii="Arial" w:hAnsi="Arial" w:cs="Arial"/>
          <w:sz w:val="24"/>
          <w:szCs w:val="24"/>
        </w:rPr>
        <w:t>uncertainties</w:t>
      </w:r>
    </w:p>
    <w:p w14:paraId="62BCEF02" w14:textId="77777777" w:rsidR="00C22F37" w:rsidRDefault="00C22F37" w:rsidP="00C22F37">
      <w:pPr>
        <w:spacing w:after="0"/>
        <w:rPr>
          <w:rFonts w:ascii="Arial" w:hAnsi="Arial" w:cs="Arial"/>
          <w:sz w:val="24"/>
          <w:szCs w:val="24"/>
        </w:rPr>
      </w:pPr>
    </w:p>
    <w:p w14:paraId="38B6857D" w14:textId="14727FA8" w:rsidR="00550D16" w:rsidRDefault="00A5367C" w:rsidP="00DB43EC">
      <w:pPr>
        <w:spacing w:after="0"/>
        <w:rPr>
          <w:rFonts w:ascii="Arial" w:hAnsi="Arial" w:cs="Arial"/>
          <w:sz w:val="24"/>
          <w:szCs w:val="24"/>
        </w:rPr>
      </w:pPr>
      <w:r>
        <w:rPr>
          <w:rFonts w:ascii="Arial" w:hAnsi="Arial" w:cs="Arial"/>
          <w:sz w:val="24"/>
          <w:szCs w:val="24"/>
        </w:rPr>
        <w:t>Point of Care Trials (</w:t>
      </w:r>
      <w:proofErr w:type="spellStart"/>
      <w:r>
        <w:rPr>
          <w:rFonts w:ascii="Arial" w:hAnsi="Arial" w:cs="Arial"/>
          <w:sz w:val="24"/>
          <w:szCs w:val="24"/>
        </w:rPr>
        <w:t>PoCTs</w:t>
      </w:r>
      <w:proofErr w:type="spellEnd"/>
      <w:r>
        <w:rPr>
          <w:rFonts w:ascii="Arial" w:hAnsi="Arial" w:cs="Arial"/>
          <w:sz w:val="24"/>
          <w:szCs w:val="24"/>
        </w:rPr>
        <w:t xml:space="preserve">) </w:t>
      </w:r>
      <w:r>
        <w:rPr>
          <w:rFonts w:ascii="Arial" w:eastAsia="Calibri" w:hAnsi="Arial" w:cs="Arial"/>
          <w:sz w:val="24"/>
          <w:szCs w:val="24"/>
          <w:lang w:val="en-US"/>
        </w:rPr>
        <w:t xml:space="preserve">are a simple and </w:t>
      </w:r>
      <w:r>
        <w:rPr>
          <w:rFonts w:ascii="Arial" w:hAnsi="Arial" w:cs="Arial"/>
          <w:sz w:val="24"/>
          <w:szCs w:val="24"/>
        </w:rPr>
        <w:t xml:space="preserve">cost effective </w:t>
      </w:r>
      <w:r>
        <w:rPr>
          <w:rFonts w:ascii="Arial" w:eastAsia="Calibri" w:hAnsi="Arial" w:cs="Arial"/>
          <w:sz w:val="24"/>
          <w:szCs w:val="24"/>
          <w:lang w:val="en-US"/>
        </w:rPr>
        <w:t xml:space="preserve">way of addressing uncertainties about the relative merits of different treatments </w:t>
      </w:r>
      <w:r>
        <w:rPr>
          <w:rFonts w:ascii="Arial" w:hAnsi="Arial" w:cs="Arial"/>
          <w:sz w:val="24"/>
          <w:szCs w:val="24"/>
        </w:rPr>
        <w:t xml:space="preserve">in common use. They </w:t>
      </w:r>
      <w:r w:rsidR="006F3037" w:rsidRPr="006F3037">
        <w:rPr>
          <w:rFonts w:ascii="Arial" w:hAnsi="Arial" w:cs="Arial"/>
          <w:sz w:val="24"/>
          <w:szCs w:val="24"/>
        </w:rPr>
        <w:lastRenderedPageBreak/>
        <w:t>compare the effect</w:t>
      </w:r>
      <w:r w:rsidR="001B00AF">
        <w:rPr>
          <w:rFonts w:ascii="Arial" w:hAnsi="Arial" w:cs="Arial"/>
          <w:sz w:val="24"/>
          <w:szCs w:val="24"/>
        </w:rPr>
        <w:t>iveness</w:t>
      </w:r>
      <w:r w:rsidR="006F3037" w:rsidRPr="006F3037">
        <w:rPr>
          <w:rFonts w:ascii="Arial" w:hAnsi="Arial" w:cs="Arial"/>
          <w:sz w:val="24"/>
          <w:szCs w:val="24"/>
        </w:rPr>
        <w:t xml:space="preserve"> of </w:t>
      </w:r>
      <w:r w:rsidR="00FA5214">
        <w:rPr>
          <w:rFonts w:ascii="Arial" w:hAnsi="Arial" w:cs="Arial"/>
          <w:sz w:val="24"/>
          <w:szCs w:val="24"/>
        </w:rPr>
        <w:t>alternative</w:t>
      </w:r>
      <w:r w:rsidR="006F3037" w:rsidRPr="006F3037">
        <w:rPr>
          <w:rFonts w:ascii="Arial" w:hAnsi="Arial" w:cs="Arial"/>
          <w:sz w:val="24"/>
          <w:szCs w:val="24"/>
        </w:rPr>
        <w:t xml:space="preserve"> </w:t>
      </w:r>
      <w:r w:rsidR="00804578">
        <w:rPr>
          <w:rFonts w:ascii="Arial" w:hAnsi="Arial" w:cs="Arial"/>
          <w:sz w:val="24"/>
          <w:szCs w:val="24"/>
        </w:rPr>
        <w:t>treatments</w:t>
      </w:r>
      <w:r w:rsidR="006F3037" w:rsidRPr="006F3037">
        <w:rPr>
          <w:rFonts w:ascii="Arial" w:hAnsi="Arial" w:cs="Arial"/>
          <w:sz w:val="24"/>
          <w:szCs w:val="24"/>
        </w:rPr>
        <w:t xml:space="preserve"> in </w:t>
      </w:r>
      <w:r w:rsidR="00441756">
        <w:rPr>
          <w:rFonts w:ascii="Arial" w:hAnsi="Arial" w:cs="Arial"/>
          <w:sz w:val="24"/>
          <w:szCs w:val="24"/>
        </w:rPr>
        <w:t>routine</w:t>
      </w:r>
      <w:r w:rsidR="006F3037" w:rsidRPr="006F3037">
        <w:rPr>
          <w:rFonts w:ascii="Arial" w:hAnsi="Arial" w:cs="Arial"/>
          <w:sz w:val="24"/>
          <w:szCs w:val="24"/>
        </w:rPr>
        <w:t xml:space="preserve"> clinical practice. They </w:t>
      </w:r>
      <w:r w:rsidR="00B00524">
        <w:rPr>
          <w:rFonts w:ascii="Arial" w:hAnsi="Arial" w:cs="Arial"/>
          <w:sz w:val="24"/>
          <w:szCs w:val="24"/>
        </w:rPr>
        <w:t>do not</w:t>
      </w:r>
      <w:r w:rsidR="006F3037" w:rsidRPr="006F3037">
        <w:rPr>
          <w:rFonts w:ascii="Arial" w:hAnsi="Arial" w:cs="Arial"/>
          <w:sz w:val="24"/>
          <w:szCs w:val="24"/>
        </w:rPr>
        <w:t xml:space="preserve"> </w:t>
      </w:r>
      <w:r w:rsidR="00B00524">
        <w:rPr>
          <w:rFonts w:ascii="Arial" w:hAnsi="Arial" w:cs="Arial"/>
          <w:sz w:val="24"/>
          <w:szCs w:val="24"/>
        </w:rPr>
        <w:t>withhold</w:t>
      </w:r>
      <w:r w:rsidR="006F3037" w:rsidRPr="006F3037">
        <w:rPr>
          <w:rFonts w:ascii="Arial" w:hAnsi="Arial" w:cs="Arial"/>
          <w:sz w:val="24"/>
          <w:szCs w:val="24"/>
        </w:rPr>
        <w:t xml:space="preserve"> effective </w:t>
      </w:r>
      <w:r w:rsidR="00C40506" w:rsidRPr="006F3037">
        <w:rPr>
          <w:rFonts w:ascii="Arial" w:hAnsi="Arial" w:cs="Arial"/>
          <w:sz w:val="24"/>
          <w:szCs w:val="24"/>
        </w:rPr>
        <w:t>treatment;</w:t>
      </w:r>
      <w:r w:rsidR="006F3037" w:rsidRPr="006F3037">
        <w:rPr>
          <w:rFonts w:ascii="Arial" w:hAnsi="Arial" w:cs="Arial"/>
          <w:sz w:val="24"/>
          <w:szCs w:val="24"/>
        </w:rPr>
        <w:t xml:space="preserve"> rather they compare accepted or licensed interventions / therapies </w:t>
      </w:r>
      <w:r w:rsidR="00804578">
        <w:rPr>
          <w:rFonts w:ascii="Arial" w:hAnsi="Arial" w:cs="Arial"/>
          <w:sz w:val="24"/>
          <w:szCs w:val="24"/>
        </w:rPr>
        <w:t>in current use</w:t>
      </w:r>
      <w:r>
        <w:rPr>
          <w:rFonts w:ascii="Arial" w:hAnsi="Arial" w:cs="Arial"/>
          <w:sz w:val="24"/>
          <w:szCs w:val="24"/>
        </w:rPr>
        <w:t xml:space="preserve"> and</w:t>
      </w:r>
      <w:r w:rsidR="00B00524">
        <w:rPr>
          <w:rFonts w:ascii="Arial" w:hAnsi="Arial" w:cs="Arial"/>
          <w:sz w:val="24"/>
          <w:szCs w:val="24"/>
        </w:rPr>
        <w:t xml:space="preserve"> </w:t>
      </w:r>
      <w:r w:rsidR="00865751">
        <w:rPr>
          <w:rFonts w:ascii="Arial" w:hAnsi="Arial" w:cs="Arial"/>
          <w:sz w:val="24"/>
          <w:szCs w:val="24"/>
        </w:rPr>
        <w:t xml:space="preserve">do not </w:t>
      </w:r>
      <w:r w:rsidR="00B00524">
        <w:rPr>
          <w:rFonts w:ascii="Arial" w:hAnsi="Arial" w:cs="Arial"/>
          <w:sz w:val="24"/>
          <w:szCs w:val="24"/>
        </w:rPr>
        <w:t>involve</w:t>
      </w:r>
      <w:r w:rsidR="006F3037" w:rsidRPr="006F3037">
        <w:rPr>
          <w:rFonts w:ascii="Arial" w:hAnsi="Arial" w:cs="Arial"/>
          <w:sz w:val="24"/>
          <w:szCs w:val="24"/>
        </w:rPr>
        <w:t xml:space="preserve"> extra interventions </w:t>
      </w:r>
      <w:r w:rsidR="00355696">
        <w:rPr>
          <w:rFonts w:ascii="Arial" w:hAnsi="Arial" w:cs="Arial"/>
          <w:sz w:val="24"/>
          <w:szCs w:val="24"/>
        </w:rPr>
        <w:t xml:space="preserve">or measurements </w:t>
      </w:r>
      <w:r w:rsidR="006F3037" w:rsidRPr="006F3037">
        <w:rPr>
          <w:rFonts w:ascii="Arial" w:hAnsi="Arial" w:cs="Arial"/>
          <w:sz w:val="24"/>
          <w:szCs w:val="24"/>
        </w:rPr>
        <w:t xml:space="preserve">beyond routine care. </w:t>
      </w:r>
      <w:r>
        <w:rPr>
          <w:rFonts w:ascii="Arial" w:hAnsi="Arial" w:cs="Arial"/>
          <w:sz w:val="24"/>
          <w:szCs w:val="24"/>
        </w:rPr>
        <w:t>T</w:t>
      </w:r>
      <w:r w:rsidRPr="006F3037">
        <w:rPr>
          <w:rFonts w:ascii="Arial" w:hAnsi="Arial" w:cs="Arial"/>
          <w:sz w:val="24"/>
          <w:szCs w:val="24"/>
        </w:rPr>
        <w:t xml:space="preserve">rials </w:t>
      </w:r>
      <w:r>
        <w:rPr>
          <w:rFonts w:ascii="Arial" w:hAnsi="Arial" w:cs="Arial"/>
          <w:sz w:val="24"/>
          <w:szCs w:val="24"/>
        </w:rPr>
        <w:t xml:space="preserve">similar to </w:t>
      </w:r>
      <w:proofErr w:type="spellStart"/>
      <w:r>
        <w:rPr>
          <w:rFonts w:ascii="Arial" w:hAnsi="Arial" w:cs="Arial"/>
          <w:sz w:val="24"/>
          <w:szCs w:val="24"/>
        </w:rPr>
        <w:t>PoCTSs</w:t>
      </w:r>
      <w:proofErr w:type="spellEnd"/>
      <w:r>
        <w:rPr>
          <w:rFonts w:ascii="Arial" w:hAnsi="Arial" w:cs="Arial"/>
          <w:sz w:val="24"/>
          <w:szCs w:val="24"/>
        </w:rPr>
        <w:t xml:space="preserve"> </w:t>
      </w:r>
      <w:r w:rsidRPr="006F3037">
        <w:rPr>
          <w:rFonts w:ascii="Arial" w:hAnsi="Arial" w:cs="Arial"/>
          <w:sz w:val="24"/>
          <w:szCs w:val="24"/>
        </w:rPr>
        <w:t xml:space="preserve">are sometimes referred to as </w:t>
      </w:r>
      <w:r>
        <w:rPr>
          <w:rFonts w:ascii="Arial" w:hAnsi="Arial" w:cs="Arial"/>
          <w:sz w:val="24"/>
          <w:szCs w:val="24"/>
        </w:rPr>
        <w:t>‘</w:t>
      </w:r>
      <w:r w:rsidRPr="006F3037">
        <w:rPr>
          <w:rFonts w:ascii="Arial" w:hAnsi="Arial" w:cs="Arial"/>
          <w:sz w:val="24"/>
          <w:szCs w:val="24"/>
        </w:rPr>
        <w:t>sim</w:t>
      </w:r>
      <w:r>
        <w:rPr>
          <w:rFonts w:ascii="Arial" w:hAnsi="Arial" w:cs="Arial"/>
          <w:sz w:val="24"/>
          <w:szCs w:val="24"/>
        </w:rPr>
        <w:t>ple trials’, ‘pragmatic trials’, ‘c</w:t>
      </w:r>
      <w:r w:rsidRPr="006F3037">
        <w:rPr>
          <w:rFonts w:ascii="Arial" w:hAnsi="Arial" w:cs="Arial"/>
          <w:sz w:val="24"/>
          <w:szCs w:val="24"/>
        </w:rPr>
        <w:t>o</w:t>
      </w:r>
      <w:r>
        <w:rPr>
          <w:rFonts w:ascii="Arial" w:hAnsi="Arial" w:cs="Arial"/>
          <w:sz w:val="24"/>
          <w:szCs w:val="24"/>
        </w:rPr>
        <w:t>mparative effectiveness trials’ or ‘l</w:t>
      </w:r>
      <w:r w:rsidRPr="006F3037">
        <w:rPr>
          <w:rFonts w:ascii="Arial" w:hAnsi="Arial" w:cs="Arial"/>
          <w:sz w:val="24"/>
          <w:szCs w:val="24"/>
        </w:rPr>
        <w:t xml:space="preserve">ow-intervention </w:t>
      </w:r>
      <w:r>
        <w:rPr>
          <w:rFonts w:ascii="Arial" w:hAnsi="Arial" w:cs="Arial"/>
          <w:sz w:val="24"/>
          <w:szCs w:val="24"/>
        </w:rPr>
        <w:t>c</w:t>
      </w:r>
      <w:r w:rsidRPr="006F3037">
        <w:rPr>
          <w:rFonts w:ascii="Arial" w:hAnsi="Arial" w:cs="Arial"/>
          <w:sz w:val="24"/>
          <w:szCs w:val="24"/>
        </w:rPr>
        <w:t xml:space="preserve">linical </w:t>
      </w:r>
      <w:r>
        <w:rPr>
          <w:rFonts w:ascii="Arial" w:hAnsi="Arial" w:cs="Arial"/>
          <w:sz w:val="24"/>
          <w:szCs w:val="24"/>
        </w:rPr>
        <w:t>t</w:t>
      </w:r>
      <w:r w:rsidRPr="006F3037">
        <w:rPr>
          <w:rFonts w:ascii="Arial" w:hAnsi="Arial" w:cs="Arial"/>
          <w:sz w:val="24"/>
          <w:szCs w:val="24"/>
        </w:rPr>
        <w:t>rials</w:t>
      </w:r>
      <w:r>
        <w:rPr>
          <w:rFonts w:ascii="Arial" w:hAnsi="Arial" w:cs="Arial"/>
          <w:sz w:val="24"/>
          <w:szCs w:val="24"/>
        </w:rPr>
        <w:t>’</w:t>
      </w:r>
      <w:r w:rsidRPr="006F3037">
        <w:rPr>
          <w:rFonts w:ascii="Arial" w:hAnsi="Arial" w:cs="Arial"/>
          <w:sz w:val="24"/>
          <w:szCs w:val="24"/>
        </w:rPr>
        <w:t xml:space="preserve"> under the </w:t>
      </w:r>
      <w:r>
        <w:rPr>
          <w:rFonts w:ascii="Arial" w:hAnsi="Arial" w:cs="Arial"/>
          <w:sz w:val="24"/>
          <w:szCs w:val="24"/>
        </w:rPr>
        <w:t>forthcoming</w:t>
      </w:r>
      <w:r w:rsidRPr="006F3037">
        <w:rPr>
          <w:rFonts w:ascii="Arial" w:hAnsi="Arial" w:cs="Arial"/>
          <w:sz w:val="24"/>
          <w:szCs w:val="24"/>
        </w:rPr>
        <w:t xml:space="preserve"> </w:t>
      </w:r>
      <w:r>
        <w:rPr>
          <w:rFonts w:ascii="Arial" w:hAnsi="Arial" w:cs="Arial"/>
          <w:sz w:val="24"/>
          <w:szCs w:val="24"/>
        </w:rPr>
        <w:t>EU Clinical Trials Regulation.</w:t>
      </w:r>
    </w:p>
    <w:p w14:paraId="247581BB" w14:textId="77777777" w:rsidR="00550D16" w:rsidRDefault="00550D16" w:rsidP="00DB43EC">
      <w:pPr>
        <w:spacing w:after="0"/>
        <w:rPr>
          <w:rFonts w:ascii="Arial" w:hAnsi="Arial" w:cs="Arial"/>
          <w:sz w:val="24"/>
          <w:szCs w:val="24"/>
        </w:rPr>
      </w:pPr>
    </w:p>
    <w:p w14:paraId="6B52438F" w14:textId="2DD2C347" w:rsidR="00550D16" w:rsidRDefault="00550D16" w:rsidP="00550D16">
      <w:pPr>
        <w:spacing w:after="0"/>
        <w:rPr>
          <w:rFonts w:ascii="Arial" w:hAnsi="Arial" w:cs="Arial"/>
          <w:sz w:val="24"/>
          <w:szCs w:val="24"/>
        </w:rPr>
      </w:pPr>
      <w:r>
        <w:rPr>
          <w:rFonts w:ascii="Arial" w:hAnsi="Arial" w:cs="Arial"/>
          <w:sz w:val="24"/>
          <w:szCs w:val="24"/>
        </w:rPr>
        <w:t>Unlike traditional clinical trials, it may be possible to not blind the interventions where the interventions offered are similar and the participant is unlikely to have a preference. This means participants can receive an actual prescription and the pack insert provided with this. Information covered in the pack insert does need to be repeated in the P</w:t>
      </w:r>
      <w:r w:rsidR="00865751">
        <w:rPr>
          <w:rFonts w:ascii="Arial" w:hAnsi="Arial" w:cs="Arial"/>
          <w:sz w:val="24"/>
          <w:szCs w:val="24"/>
        </w:rPr>
        <w:t xml:space="preserve">atient </w:t>
      </w:r>
      <w:r>
        <w:rPr>
          <w:rFonts w:ascii="Arial" w:hAnsi="Arial" w:cs="Arial"/>
          <w:sz w:val="24"/>
          <w:szCs w:val="24"/>
        </w:rPr>
        <w:t>I</w:t>
      </w:r>
      <w:r w:rsidR="00865751">
        <w:rPr>
          <w:rFonts w:ascii="Arial" w:hAnsi="Arial" w:cs="Arial"/>
          <w:sz w:val="24"/>
          <w:szCs w:val="24"/>
        </w:rPr>
        <w:t xml:space="preserve">nformation </w:t>
      </w:r>
      <w:r>
        <w:rPr>
          <w:rFonts w:ascii="Arial" w:hAnsi="Arial" w:cs="Arial"/>
          <w:sz w:val="24"/>
          <w:szCs w:val="24"/>
        </w:rPr>
        <w:t>S</w:t>
      </w:r>
      <w:r w:rsidR="00865751">
        <w:rPr>
          <w:rFonts w:ascii="Arial" w:hAnsi="Arial" w:cs="Arial"/>
          <w:sz w:val="24"/>
          <w:szCs w:val="24"/>
        </w:rPr>
        <w:t>heet</w:t>
      </w:r>
      <w:r>
        <w:rPr>
          <w:rFonts w:ascii="Arial" w:hAnsi="Arial" w:cs="Arial"/>
          <w:sz w:val="24"/>
          <w:szCs w:val="24"/>
        </w:rPr>
        <w:t xml:space="preserve"> provided for the trial.</w:t>
      </w:r>
    </w:p>
    <w:p w14:paraId="2AFDF2A4" w14:textId="77777777" w:rsidR="00550D16" w:rsidRDefault="00550D16" w:rsidP="00DB43EC">
      <w:pPr>
        <w:spacing w:after="0"/>
        <w:rPr>
          <w:rFonts w:ascii="Arial" w:hAnsi="Arial" w:cs="Arial"/>
          <w:sz w:val="24"/>
          <w:szCs w:val="24"/>
        </w:rPr>
      </w:pPr>
    </w:p>
    <w:p w14:paraId="7AD9020D" w14:textId="6E948C34" w:rsidR="007B328F" w:rsidRDefault="00C22F37" w:rsidP="00D477C1">
      <w:pPr>
        <w:spacing w:after="0"/>
        <w:rPr>
          <w:rFonts w:ascii="Arial" w:hAnsi="Arial" w:cs="Arial"/>
          <w:sz w:val="24"/>
          <w:szCs w:val="24"/>
        </w:rPr>
      </w:pPr>
      <w:r>
        <w:rPr>
          <w:rFonts w:ascii="Arial" w:hAnsi="Arial" w:cs="Arial"/>
          <w:sz w:val="24"/>
          <w:szCs w:val="24"/>
        </w:rPr>
        <w:t xml:space="preserve">Like all </w:t>
      </w:r>
      <w:r w:rsidR="002847E8">
        <w:rPr>
          <w:rFonts w:ascii="Arial" w:hAnsi="Arial" w:cs="Arial"/>
          <w:sz w:val="24"/>
          <w:szCs w:val="24"/>
        </w:rPr>
        <w:t xml:space="preserve">interventional </w:t>
      </w:r>
      <w:r>
        <w:rPr>
          <w:rFonts w:ascii="Arial" w:hAnsi="Arial" w:cs="Arial"/>
          <w:sz w:val="24"/>
          <w:szCs w:val="24"/>
        </w:rPr>
        <w:t xml:space="preserve">research studies </w:t>
      </w:r>
      <w:proofErr w:type="spellStart"/>
      <w:r w:rsidR="00F842DE">
        <w:rPr>
          <w:rFonts w:ascii="Arial" w:hAnsi="Arial" w:cs="Arial"/>
          <w:sz w:val="24"/>
          <w:szCs w:val="24"/>
        </w:rPr>
        <w:t>PoCTs</w:t>
      </w:r>
      <w:proofErr w:type="spellEnd"/>
      <w:r>
        <w:rPr>
          <w:rFonts w:ascii="Arial" w:hAnsi="Arial" w:cs="Arial"/>
          <w:sz w:val="24"/>
          <w:szCs w:val="24"/>
        </w:rPr>
        <w:t xml:space="preserve"> require patient consent</w:t>
      </w:r>
      <w:r w:rsidR="00D477C1" w:rsidRPr="00D477C1">
        <w:rPr>
          <w:rFonts w:ascii="Arial" w:hAnsi="Arial" w:cs="Arial"/>
          <w:sz w:val="24"/>
          <w:szCs w:val="24"/>
        </w:rPr>
        <w:t xml:space="preserve"> </w:t>
      </w:r>
      <w:r w:rsidR="00D477C1">
        <w:rPr>
          <w:rFonts w:ascii="Arial" w:hAnsi="Arial" w:cs="Arial"/>
          <w:sz w:val="24"/>
          <w:szCs w:val="24"/>
        </w:rPr>
        <w:t xml:space="preserve">but the </w:t>
      </w:r>
      <w:r w:rsidR="00231CC0">
        <w:rPr>
          <w:rFonts w:ascii="Arial" w:hAnsi="Arial" w:cs="Arial"/>
          <w:sz w:val="24"/>
          <w:szCs w:val="24"/>
        </w:rPr>
        <w:t>methods for seeking</w:t>
      </w:r>
      <w:r w:rsidR="00D477C1">
        <w:rPr>
          <w:rFonts w:ascii="Arial" w:hAnsi="Arial" w:cs="Arial"/>
          <w:sz w:val="24"/>
          <w:szCs w:val="24"/>
        </w:rPr>
        <w:t xml:space="preserve"> </w:t>
      </w:r>
      <w:r w:rsidR="00F842DE">
        <w:rPr>
          <w:rFonts w:ascii="Arial" w:hAnsi="Arial" w:cs="Arial"/>
          <w:sz w:val="24"/>
          <w:szCs w:val="24"/>
        </w:rPr>
        <w:t xml:space="preserve">that </w:t>
      </w:r>
      <w:r w:rsidR="00D477C1">
        <w:rPr>
          <w:rFonts w:ascii="Arial" w:hAnsi="Arial" w:cs="Arial"/>
          <w:sz w:val="24"/>
          <w:szCs w:val="24"/>
        </w:rPr>
        <w:t xml:space="preserve">consent </w:t>
      </w:r>
      <w:r w:rsidR="00D04112">
        <w:rPr>
          <w:rFonts w:ascii="Arial" w:hAnsi="Arial" w:cs="Arial"/>
          <w:sz w:val="24"/>
          <w:szCs w:val="24"/>
        </w:rPr>
        <w:t xml:space="preserve">need to be </w:t>
      </w:r>
      <w:r w:rsidR="00D477C1">
        <w:rPr>
          <w:rFonts w:ascii="Arial" w:hAnsi="Arial" w:cs="Arial"/>
          <w:sz w:val="24"/>
          <w:szCs w:val="24"/>
        </w:rPr>
        <w:t xml:space="preserve">proportionate to the </w:t>
      </w:r>
      <w:r w:rsidR="00794DB5">
        <w:rPr>
          <w:rFonts w:ascii="Arial" w:hAnsi="Arial" w:cs="Arial"/>
          <w:sz w:val="24"/>
          <w:szCs w:val="24"/>
        </w:rPr>
        <w:t xml:space="preserve">relatively low </w:t>
      </w:r>
      <w:r w:rsidR="00D477C1">
        <w:rPr>
          <w:rFonts w:ascii="Arial" w:hAnsi="Arial" w:cs="Arial"/>
          <w:sz w:val="24"/>
          <w:szCs w:val="24"/>
        </w:rPr>
        <w:t xml:space="preserve">risks and </w:t>
      </w:r>
      <w:r w:rsidR="00234E7F">
        <w:rPr>
          <w:rFonts w:ascii="Arial" w:hAnsi="Arial" w:cs="Arial"/>
          <w:sz w:val="24"/>
          <w:szCs w:val="24"/>
        </w:rPr>
        <w:t xml:space="preserve">levels of </w:t>
      </w:r>
      <w:r w:rsidR="00D477C1">
        <w:rPr>
          <w:rFonts w:ascii="Arial" w:hAnsi="Arial" w:cs="Arial"/>
          <w:sz w:val="24"/>
          <w:szCs w:val="24"/>
        </w:rPr>
        <w:t xml:space="preserve">burden </w:t>
      </w:r>
      <w:r w:rsidR="000E54BA">
        <w:rPr>
          <w:rFonts w:ascii="Arial" w:hAnsi="Arial" w:cs="Arial"/>
          <w:sz w:val="24"/>
          <w:szCs w:val="24"/>
        </w:rPr>
        <w:t>inherent in</w:t>
      </w:r>
      <w:r w:rsidR="00D477C1">
        <w:rPr>
          <w:rFonts w:ascii="Arial" w:hAnsi="Arial" w:cs="Arial"/>
          <w:sz w:val="24"/>
          <w:szCs w:val="24"/>
        </w:rPr>
        <w:t xml:space="preserve"> </w:t>
      </w:r>
      <w:r w:rsidR="00794DB5">
        <w:rPr>
          <w:rFonts w:ascii="Arial" w:hAnsi="Arial" w:cs="Arial"/>
          <w:sz w:val="24"/>
          <w:szCs w:val="24"/>
        </w:rPr>
        <w:t>this type of</w:t>
      </w:r>
      <w:r w:rsidR="00D477C1">
        <w:rPr>
          <w:rFonts w:ascii="Arial" w:hAnsi="Arial" w:cs="Arial"/>
          <w:sz w:val="24"/>
          <w:szCs w:val="24"/>
        </w:rPr>
        <w:t xml:space="preserve"> research. </w:t>
      </w:r>
      <w:r>
        <w:rPr>
          <w:rFonts w:ascii="Arial" w:hAnsi="Arial" w:cs="Arial"/>
          <w:sz w:val="24"/>
          <w:szCs w:val="24"/>
        </w:rPr>
        <w:t xml:space="preserve"> </w:t>
      </w:r>
    </w:p>
    <w:p w14:paraId="517AF499" w14:textId="77777777" w:rsidR="00D06571" w:rsidRDefault="00D06571" w:rsidP="00DB43EC">
      <w:pPr>
        <w:spacing w:after="0"/>
        <w:rPr>
          <w:rFonts w:ascii="Arial" w:hAnsi="Arial" w:cs="Arial"/>
          <w:sz w:val="24"/>
          <w:szCs w:val="24"/>
        </w:rPr>
      </w:pPr>
    </w:p>
    <w:p w14:paraId="5204BF39" w14:textId="688FA8EA" w:rsidR="00C22F37" w:rsidRDefault="00C22F37" w:rsidP="00DB43EC">
      <w:pPr>
        <w:spacing w:after="0"/>
        <w:rPr>
          <w:rFonts w:ascii="Arial" w:hAnsi="Arial" w:cs="Arial"/>
          <w:sz w:val="24"/>
          <w:szCs w:val="24"/>
        </w:rPr>
      </w:pPr>
      <w:r>
        <w:rPr>
          <w:rFonts w:ascii="Arial" w:hAnsi="Arial" w:cs="Arial"/>
          <w:sz w:val="24"/>
          <w:szCs w:val="24"/>
        </w:rPr>
        <w:t>Background papers on ‘Current evidence (or lack thereof) on clinical treatments in use’ and ‘Patient and public opinion on point of care trials’ wer</w:t>
      </w:r>
      <w:r w:rsidR="003D03A8">
        <w:rPr>
          <w:rFonts w:ascii="Arial" w:hAnsi="Arial" w:cs="Arial"/>
          <w:sz w:val="24"/>
          <w:szCs w:val="24"/>
        </w:rPr>
        <w:t>e circulated before the meeting</w:t>
      </w:r>
      <w:r>
        <w:rPr>
          <w:rFonts w:ascii="Arial" w:hAnsi="Arial" w:cs="Arial"/>
          <w:sz w:val="24"/>
          <w:szCs w:val="24"/>
        </w:rPr>
        <w:t>.</w:t>
      </w:r>
    </w:p>
    <w:p w14:paraId="1B28BC29" w14:textId="77777777" w:rsidR="00C22F37" w:rsidRDefault="00C22F37" w:rsidP="00C22F37">
      <w:pPr>
        <w:spacing w:after="0"/>
        <w:rPr>
          <w:rFonts w:ascii="Arial" w:hAnsi="Arial" w:cs="Arial"/>
          <w:sz w:val="24"/>
          <w:szCs w:val="24"/>
        </w:rPr>
      </w:pPr>
    </w:p>
    <w:p w14:paraId="04C72B31" w14:textId="77777777" w:rsidR="00C22F37" w:rsidRDefault="00C22F37" w:rsidP="00C22F37">
      <w:pPr>
        <w:spacing w:after="0"/>
        <w:rPr>
          <w:rFonts w:ascii="Arial" w:hAnsi="Arial" w:cs="Arial"/>
          <w:sz w:val="24"/>
          <w:szCs w:val="24"/>
        </w:rPr>
      </w:pPr>
    </w:p>
    <w:p w14:paraId="67D0B66A" w14:textId="77777777" w:rsidR="00C22F37" w:rsidRDefault="00C22F37" w:rsidP="00C22F37">
      <w:pPr>
        <w:spacing w:after="0" w:line="240" w:lineRule="auto"/>
        <w:rPr>
          <w:rFonts w:ascii="Arial" w:hAnsi="Arial" w:cs="Arial"/>
          <w:b/>
          <w:bCs/>
          <w:sz w:val="24"/>
          <w:szCs w:val="24"/>
          <w:lang w:eastAsia="en-GB"/>
        </w:rPr>
      </w:pPr>
      <w:r>
        <w:rPr>
          <w:rFonts w:ascii="Arial" w:hAnsi="Arial" w:cs="Arial"/>
          <w:b/>
          <w:bCs/>
          <w:sz w:val="24"/>
          <w:szCs w:val="24"/>
          <w:lang w:eastAsia="en-GB"/>
        </w:rPr>
        <w:t>Speakers</w:t>
      </w:r>
    </w:p>
    <w:p w14:paraId="4CF2E283" w14:textId="77777777" w:rsidR="00C22F37" w:rsidRDefault="00C22F37" w:rsidP="00C22F37">
      <w:pPr>
        <w:spacing w:after="0" w:line="240" w:lineRule="auto"/>
        <w:rPr>
          <w:rFonts w:ascii="Arial" w:hAnsi="Arial" w:cs="Arial"/>
          <w:sz w:val="24"/>
          <w:szCs w:val="24"/>
          <w:lang w:eastAsia="en-GB"/>
        </w:rPr>
      </w:pPr>
    </w:p>
    <w:p w14:paraId="7E6A2E52" w14:textId="16DF08DE" w:rsidR="00C22F37" w:rsidRDefault="00C22F37" w:rsidP="00DB43EC">
      <w:pPr>
        <w:spacing w:after="0" w:line="240" w:lineRule="auto"/>
        <w:rPr>
          <w:rFonts w:ascii="Arial" w:hAnsi="Arial" w:cs="Arial"/>
          <w:sz w:val="24"/>
          <w:szCs w:val="24"/>
        </w:rPr>
      </w:pPr>
      <w:r w:rsidRPr="00DB43EC">
        <w:rPr>
          <w:rFonts w:ascii="Arial" w:hAnsi="Arial" w:cs="Arial"/>
          <w:b/>
          <w:sz w:val="24"/>
          <w:szCs w:val="24"/>
          <w:lang w:eastAsia="en-GB"/>
        </w:rPr>
        <w:t>Hugh Davies</w:t>
      </w:r>
      <w:r>
        <w:rPr>
          <w:rFonts w:ascii="Arial" w:hAnsi="Arial" w:cs="Arial"/>
          <w:sz w:val="24"/>
          <w:szCs w:val="24"/>
          <w:lang w:eastAsia="en-GB"/>
        </w:rPr>
        <w:t xml:space="preserve">, </w:t>
      </w:r>
      <w:r w:rsidR="00D477C1">
        <w:rPr>
          <w:rFonts w:ascii="Arial" w:hAnsi="Arial" w:cs="Arial"/>
          <w:sz w:val="24"/>
          <w:szCs w:val="24"/>
          <w:lang w:eastAsia="en-GB"/>
        </w:rPr>
        <w:t>Chair Oxford A</w:t>
      </w:r>
      <w:r w:rsidR="00A40FB5">
        <w:rPr>
          <w:rFonts w:ascii="Arial" w:hAnsi="Arial" w:cs="Arial"/>
          <w:sz w:val="24"/>
          <w:szCs w:val="24"/>
          <w:lang w:eastAsia="en-GB"/>
        </w:rPr>
        <w:t xml:space="preserve"> REC</w:t>
      </w:r>
      <w:r w:rsidR="00D477C1">
        <w:rPr>
          <w:rFonts w:ascii="Arial" w:hAnsi="Arial" w:cs="Arial"/>
          <w:sz w:val="24"/>
          <w:szCs w:val="24"/>
          <w:lang w:eastAsia="en-GB"/>
        </w:rPr>
        <w:t>,</w:t>
      </w:r>
      <w:r>
        <w:rPr>
          <w:rFonts w:ascii="Arial" w:hAnsi="Arial" w:cs="Arial"/>
          <w:sz w:val="24"/>
          <w:szCs w:val="24"/>
        </w:rPr>
        <w:t xml:space="preserve"> welcomed </w:t>
      </w:r>
      <w:r w:rsidR="003062D6">
        <w:rPr>
          <w:rFonts w:ascii="Arial" w:hAnsi="Arial" w:cs="Arial"/>
          <w:sz w:val="24"/>
          <w:szCs w:val="24"/>
        </w:rPr>
        <w:t>delegates</w:t>
      </w:r>
      <w:r>
        <w:rPr>
          <w:rFonts w:ascii="Arial" w:hAnsi="Arial" w:cs="Arial"/>
          <w:sz w:val="24"/>
          <w:szCs w:val="24"/>
        </w:rPr>
        <w:t xml:space="preserve"> </w:t>
      </w:r>
      <w:r w:rsidR="00AC1E6F">
        <w:rPr>
          <w:rFonts w:ascii="Arial" w:hAnsi="Arial" w:cs="Arial"/>
          <w:sz w:val="24"/>
          <w:szCs w:val="24"/>
        </w:rPr>
        <w:t xml:space="preserve">(attendee list attached) </w:t>
      </w:r>
      <w:r>
        <w:rPr>
          <w:rFonts w:ascii="Arial" w:hAnsi="Arial" w:cs="Arial"/>
          <w:sz w:val="24"/>
          <w:szCs w:val="24"/>
        </w:rPr>
        <w:t xml:space="preserve">and outlined the purpose of the day. He explained that </w:t>
      </w:r>
      <w:proofErr w:type="spellStart"/>
      <w:r w:rsidR="00637C03">
        <w:rPr>
          <w:rFonts w:ascii="Arial" w:hAnsi="Arial" w:cs="Arial"/>
          <w:sz w:val="24"/>
          <w:szCs w:val="24"/>
        </w:rPr>
        <w:t>PoCTs</w:t>
      </w:r>
      <w:proofErr w:type="spellEnd"/>
      <w:r w:rsidR="00AC3046">
        <w:rPr>
          <w:rFonts w:ascii="Arial" w:hAnsi="Arial" w:cs="Arial"/>
          <w:sz w:val="24"/>
          <w:szCs w:val="24"/>
        </w:rPr>
        <w:t xml:space="preserve"> </w:t>
      </w:r>
      <w:r>
        <w:rPr>
          <w:rFonts w:ascii="Arial" w:hAnsi="Arial" w:cs="Arial"/>
          <w:sz w:val="24"/>
          <w:szCs w:val="24"/>
        </w:rPr>
        <w:t xml:space="preserve">are a cost effective way of reducing uncertainties </w:t>
      </w:r>
      <w:r w:rsidR="003F4A98">
        <w:rPr>
          <w:rFonts w:ascii="Arial" w:hAnsi="Arial" w:cs="Arial"/>
          <w:sz w:val="24"/>
          <w:szCs w:val="24"/>
        </w:rPr>
        <w:t>regarding the effectiveness of</w:t>
      </w:r>
      <w:r>
        <w:rPr>
          <w:rFonts w:ascii="Arial" w:hAnsi="Arial" w:cs="Arial"/>
          <w:sz w:val="24"/>
          <w:szCs w:val="24"/>
        </w:rPr>
        <w:t xml:space="preserve"> treatments in common use. </w:t>
      </w:r>
    </w:p>
    <w:p w14:paraId="4A80065C" w14:textId="77777777" w:rsidR="00C22F37" w:rsidRDefault="00C22F37" w:rsidP="00C22F37">
      <w:pPr>
        <w:spacing w:after="0" w:line="240" w:lineRule="auto"/>
        <w:rPr>
          <w:rFonts w:ascii="Arial" w:hAnsi="Arial" w:cs="Arial"/>
          <w:sz w:val="24"/>
          <w:szCs w:val="24"/>
        </w:rPr>
      </w:pPr>
    </w:p>
    <w:p w14:paraId="2C80D9F4" w14:textId="07D06ED2" w:rsidR="00C22F37" w:rsidRDefault="00C22F37" w:rsidP="00C22F37">
      <w:pPr>
        <w:spacing w:after="0" w:line="240" w:lineRule="auto"/>
        <w:rPr>
          <w:rFonts w:ascii="Arial" w:hAnsi="Arial" w:cs="Arial"/>
          <w:sz w:val="24"/>
          <w:szCs w:val="24"/>
        </w:rPr>
      </w:pPr>
      <w:r>
        <w:rPr>
          <w:rFonts w:ascii="Arial" w:hAnsi="Arial" w:cs="Arial"/>
          <w:sz w:val="24"/>
          <w:szCs w:val="24"/>
        </w:rPr>
        <w:t xml:space="preserve">Hugh introduced </w:t>
      </w:r>
      <w:r w:rsidRPr="00DB43EC">
        <w:rPr>
          <w:rFonts w:ascii="Arial" w:hAnsi="Arial" w:cs="Arial"/>
          <w:b/>
          <w:sz w:val="24"/>
          <w:szCs w:val="24"/>
        </w:rPr>
        <w:t>Iain Chalmers</w:t>
      </w:r>
      <w:r>
        <w:rPr>
          <w:rFonts w:ascii="Arial" w:hAnsi="Arial" w:cs="Arial"/>
          <w:sz w:val="24"/>
          <w:szCs w:val="24"/>
        </w:rPr>
        <w:t xml:space="preserve"> from </w:t>
      </w:r>
      <w:r w:rsidR="00D477C1">
        <w:rPr>
          <w:rFonts w:ascii="Arial" w:hAnsi="Arial" w:cs="Arial"/>
          <w:sz w:val="24"/>
          <w:szCs w:val="24"/>
        </w:rPr>
        <w:t>the James Lind Alliance</w:t>
      </w:r>
      <w:r>
        <w:rPr>
          <w:rFonts w:ascii="Arial" w:hAnsi="Arial" w:cs="Arial"/>
          <w:sz w:val="24"/>
          <w:szCs w:val="24"/>
        </w:rPr>
        <w:t xml:space="preserve"> who chair</w:t>
      </w:r>
      <w:r w:rsidR="003A6E08">
        <w:rPr>
          <w:rFonts w:ascii="Arial" w:hAnsi="Arial" w:cs="Arial"/>
          <w:sz w:val="24"/>
          <w:szCs w:val="24"/>
        </w:rPr>
        <w:t>ed</w:t>
      </w:r>
      <w:r>
        <w:rPr>
          <w:rFonts w:ascii="Arial" w:hAnsi="Arial" w:cs="Arial"/>
          <w:sz w:val="24"/>
          <w:szCs w:val="24"/>
        </w:rPr>
        <w:t xml:space="preserve"> the morning and afternoon sessions.</w:t>
      </w:r>
      <w:r w:rsidR="00FA5214">
        <w:rPr>
          <w:rFonts w:ascii="Arial" w:hAnsi="Arial" w:cs="Arial"/>
          <w:sz w:val="24"/>
          <w:szCs w:val="24"/>
        </w:rPr>
        <w:t xml:space="preserve"> Iain explained the principal differences between </w:t>
      </w:r>
      <w:proofErr w:type="spellStart"/>
      <w:r w:rsidR="00FA5214">
        <w:rPr>
          <w:rFonts w:ascii="Arial" w:hAnsi="Arial" w:cs="Arial"/>
          <w:sz w:val="24"/>
          <w:szCs w:val="24"/>
        </w:rPr>
        <w:t>PoCTs</w:t>
      </w:r>
      <w:proofErr w:type="spellEnd"/>
      <w:r w:rsidR="00FA5214">
        <w:rPr>
          <w:rFonts w:ascii="Arial" w:hAnsi="Arial" w:cs="Arial"/>
          <w:sz w:val="24"/>
          <w:szCs w:val="24"/>
        </w:rPr>
        <w:t xml:space="preserve"> and routine clinical care and the similarities and differences between </w:t>
      </w:r>
      <w:proofErr w:type="spellStart"/>
      <w:r w:rsidR="00FA5214">
        <w:rPr>
          <w:rFonts w:ascii="Arial" w:hAnsi="Arial" w:cs="Arial"/>
          <w:sz w:val="24"/>
          <w:szCs w:val="24"/>
        </w:rPr>
        <w:t>PoCTs</w:t>
      </w:r>
      <w:proofErr w:type="spellEnd"/>
      <w:r w:rsidR="00FA5214">
        <w:rPr>
          <w:rFonts w:ascii="Arial" w:hAnsi="Arial" w:cs="Arial"/>
          <w:sz w:val="24"/>
          <w:szCs w:val="24"/>
        </w:rPr>
        <w:t xml:space="preserve"> and standard clinical trials</w:t>
      </w:r>
      <w:r w:rsidR="00893575">
        <w:rPr>
          <w:rFonts w:ascii="Arial" w:hAnsi="Arial" w:cs="Arial"/>
          <w:sz w:val="24"/>
          <w:szCs w:val="24"/>
        </w:rPr>
        <w:t xml:space="preserve"> (Appendix 1)</w:t>
      </w:r>
      <w:r w:rsidR="00FA5214">
        <w:rPr>
          <w:rFonts w:ascii="Arial" w:hAnsi="Arial" w:cs="Arial"/>
          <w:sz w:val="24"/>
          <w:szCs w:val="24"/>
        </w:rPr>
        <w:t xml:space="preserve">. </w:t>
      </w:r>
    </w:p>
    <w:p w14:paraId="66363A02" w14:textId="77777777" w:rsidR="00C22F37" w:rsidRDefault="00C22F37" w:rsidP="00C22F37">
      <w:pPr>
        <w:spacing w:after="0" w:line="240" w:lineRule="auto"/>
        <w:rPr>
          <w:rFonts w:ascii="Arial" w:hAnsi="Arial" w:cs="Arial"/>
          <w:sz w:val="24"/>
          <w:szCs w:val="24"/>
        </w:rPr>
      </w:pPr>
    </w:p>
    <w:p w14:paraId="495C4CCC" w14:textId="18C25965" w:rsidR="00C22F37" w:rsidRDefault="00C22F37" w:rsidP="00C22F37">
      <w:pPr>
        <w:spacing w:after="0" w:line="240" w:lineRule="auto"/>
        <w:rPr>
          <w:rFonts w:ascii="Arial" w:hAnsi="Arial" w:cs="Arial"/>
          <w:sz w:val="24"/>
          <w:szCs w:val="24"/>
        </w:rPr>
      </w:pPr>
      <w:r w:rsidRPr="00DB43EC">
        <w:rPr>
          <w:rFonts w:ascii="Arial" w:hAnsi="Arial" w:cs="Arial"/>
          <w:b/>
          <w:sz w:val="24"/>
          <w:szCs w:val="24"/>
        </w:rPr>
        <w:t>Tjeerd van S</w:t>
      </w:r>
      <w:r w:rsidR="00D376DF" w:rsidRPr="00DB43EC">
        <w:rPr>
          <w:rFonts w:ascii="Arial" w:hAnsi="Arial" w:cs="Arial"/>
          <w:b/>
          <w:sz w:val="24"/>
          <w:szCs w:val="24"/>
        </w:rPr>
        <w:t>taa</w:t>
      </w:r>
      <w:r w:rsidR="00D376DF">
        <w:rPr>
          <w:rFonts w:ascii="Arial" w:hAnsi="Arial" w:cs="Arial"/>
          <w:sz w:val="24"/>
          <w:szCs w:val="24"/>
        </w:rPr>
        <w:t xml:space="preserve"> from Manchester University</w:t>
      </w:r>
      <w:r w:rsidR="00637C03">
        <w:rPr>
          <w:rFonts w:ascii="Arial" w:hAnsi="Arial" w:cs="Arial"/>
          <w:sz w:val="24"/>
          <w:szCs w:val="24"/>
        </w:rPr>
        <w:t xml:space="preserve"> explained what </w:t>
      </w:r>
      <w:proofErr w:type="spellStart"/>
      <w:r w:rsidR="00637C03">
        <w:rPr>
          <w:rFonts w:ascii="Arial" w:hAnsi="Arial" w:cs="Arial"/>
          <w:sz w:val="24"/>
          <w:szCs w:val="24"/>
        </w:rPr>
        <w:t>PoCTs</w:t>
      </w:r>
      <w:proofErr w:type="spellEnd"/>
      <w:r>
        <w:rPr>
          <w:rFonts w:ascii="Arial" w:hAnsi="Arial" w:cs="Arial"/>
          <w:sz w:val="24"/>
          <w:szCs w:val="24"/>
        </w:rPr>
        <w:t xml:space="preserve"> are, emphasising their benefits for both patients and clinicians and comparing them to other trials. He described his research on statins to illustrate the benefits and barriers to conducting this type of research. </w:t>
      </w:r>
    </w:p>
    <w:p w14:paraId="74FB016D" w14:textId="77777777" w:rsidR="00C22F37" w:rsidRDefault="00C22F37" w:rsidP="00C22F37">
      <w:pPr>
        <w:spacing w:after="0" w:line="240" w:lineRule="auto"/>
        <w:rPr>
          <w:rFonts w:ascii="Arial" w:hAnsi="Arial" w:cs="Arial"/>
          <w:sz w:val="24"/>
          <w:szCs w:val="24"/>
        </w:rPr>
      </w:pPr>
    </w:p>
    <w:p w14:paraId="5C72B233" w14:textId="65002FE3" w:rsidR="00D477C1" w:rsidRDefault="00C22F37" w:rsidP="00D477C1">
      <w:pPr>
        <w:rPr>
          <w:rFonts w:ascii="Arial" w:hAnsi="Arial" w:cs="Arial"/>
          <w:sz w:val="24"/>
          <w:szCs w:val="24"/>
        </w:rPr>
      </w:pPr>
      <w:r w:rsidRPr="00DB43EC">
        <w:rPr>
          <w:rFonts w:ascii="Arial" w:hAnsi="Arial" w:cs="Arial"/>
          <w:b/>
          <w:sz w:val="24"/>
          <w:szCs w:val="24"/>
        </w:rPr>
        <w:t>Matthew Hyde</w:t>
      </w:r>
      <w:r>
        <w:rPr>
          <w:rFonts w:ascii="Arial" w:hAnsi="Arial" w:cs="Arial"/>
          <w:sz w:val="24"/>
          <w:szCs w:val="24"/>
        </w:rPr>
        <w:t xml:space="preserve"> from Imperial College, London, also highlighted the potential benefits of </w:t>
      </w:r>
      <w:proofErr w:type="spellStart"/>
      <w:r>
        <w:rPr>
          <w:rFonts w:ascii="Arial" w:hAnsi="Arial" w:cs="Arial"/>
          <w:sz w:val="24"/>
          <w:szCs w:val="24"/>
        </w:rPr>
        <w:t>PoC</w:t>
      </w:r>
      <w:r w:rsidR="00637C03">
        <w:rPr>
          <w:rFonts w:ascii="Arial" w:hAnsi="Arial" w:cs="Arial"/>
          <w:sz w:val="24"/>
          <w:szCs w:val="24"/>
        </w:rPr>
        <w:t>Ts</w:t>
      </w:r>
      <w:proofErr w:type="spellEnd"/>
      <w:r>
        <w:rPr>
          <w:rFonts w:ascii="Arial" w:hAnsi="Arial" w:cs="Arial"/>
          <w:sz w:val="24"/>
          <w:szCs w:val="24"/>
        </w:rPr>
        <w:t xml:space="preserve"> to help improve routine clinical practice</w:t>
      </w:r>
      <w:r w:rsidR="00A5367C">
        <w:rPr>
          <w:rFonts w:ascii="Arial" w:hAnsi="Arial" w:cs="Arial"/>
          <w:sz w:val="24"/>
          <w:szCs w:val="24"/>
        </w:rPr>
        <w:t xml:space="preserve"> and</w:t>
      </w:r>
      <w:r>
        <w:rPr>
          <w:rFonts w:ascii="Arial" w:hAnsi="Arial" w:cs="Arial"/>
          <w:sz w:val="24"/>
          <w:szCs w:val="24"/>
        </w:rPr>
        <w:t xml:space="preserve"> their cost-effectiveness compared to other trials</w:t>
      </w:r>
      <w:r w:rsidR="00D75E86">
        <w:rPr>
          <w:rFonts w:ascii="Arial" w:hAnsi="Arial" w:cs="Arial"/>
          <w:sz w:val="24"/>
          <w:szCs w:val="24"/>
        </w:rPr>
        <w:t>.</w:t>
      </w:r>
      <w:r>
        <w:rPr>
          <w:rFonts w:ascii="Arial" w:hAnsi="Arial" w:cs="Arial"/>
          <w:sz w:val="24"/>
          <w:szCs w:val="24"/>
        </w:rPr>
        <w:t xml:space="preserve"> </w:t>
      </w:r>
      <w:r w:rsidR="00D75E86">
        <w:rPr>
          <w:rFonts w:ascii="Arial" w:hAnsi="Arial" w:cs="Arial"/>
          <w:sz w:val="24"/>
          <w:szCs w:val="24"/>
        </w:rPr>
        <w:t xml:space="preserve">He also </w:t>
      </w:r>
      <w:r>
        <w:rPr>
          <w:rFonts w:ascii="Arial" w:hAnsi="Arial" w:cs="Arial"/>
          <w:sz w:val="24"/>
          <w:szCs w:val="24"/>
        </w:rPr>
        <w:t xml:space="preserve">presented data </w:t>
      </w:r>
      <w:r w:rsidR="00810229">
        <w:rPr>
          <w:rFonts w:ascii="Arial" w:hAnsi="Arial" w:cs="Arial"/>
          <w:sz w:val="24"/>
          <w:szCs w:val="24"/>
        </w:rPr>
        <w:t>on</w:t>
      </w:r>
      <w:r>
        <w:rPr>
          <w:rFonts w:ascii="Arial" w:hAnsi="Arial" w:cs="Arial"/>
          <w:sz w:val="24"/>
          <w:szCs w:val="24"/>
        </w:rPr>
        <w:t xml:space="preserve"> </w:t>
      </w:r>
      <w:proofErr w:type="spellStart"/>
      <w:r>
        <w:rPr>
          <w:rFonts w:ascii="Arial" w:hAnsi="Arial" w:cs="Arial"/>
          <w:sz w:val="24"/>
          <w:szCs w:val="24"/>
        </w:rPr>
        <w:t>RECs’</w:t>
      </w:r>
      <w:proofErr w:type="spellEnd"/>
      <w:r>
        <w:rPr>
          <w:rFonts w:ascii="Arial" w:hAnsi="Arial" w:cs="Arial"/>
          <w:sz w:val="24"/>
          <w:szCs w:val="24"/>
        </w:rPr>
        <w:t xml:space="preserve"> decisions when </w:t>
      </w:r>
      <w:r w:rsidR="00810229">
        <w:rPr>
          <w:rFonts w:ascii="Arial" w:hAnsi="Arial" w:cs="Arial"/>
          <w:sz w:val="24"/>
          <w:szCs w:val="24"/>
        </w:rPr>
        <w:t xml:space="preserve">asked to review the same </w:t>
      </w:r>
      <w:r w:rsidR="003618E4">
        <w:rPr>
          <w:rFonts w:ascii="Arial" w:hAnsi="Arial" w:cs="Arial"/>
          <w:sz w:val="24"/>
          <w:szCs w:val="24"/>
        </w:rPr>
        <w:t xml:space="preserve">paediatric </w:t>
      </w:r>
      <w:proofErr w:type="spellStart"/>
      <w:r w:rsidR="003618E4">
        <w:rPr>
          <w:rFonts w:ascii="Arial" w:hAnsi="Arial" w:cs="Arial"/>
          <w:sz w:val="24"/>
          <w:szCs w:val="24"/>
        </w:rPr>
        <w:t>PoC</w:t>
      </w:r>
      <w:r w:rsidR="00A5367C">
        <w:rPr>
          <w:rFonts w:ascii="Arial" w:hAnsi="Arial" w:cs="Arial"/>
          <w:sz w:val="24"/>
          <w:szCs w:val="24"/>
        </w:rPr>
        <w:t>T</w:t>
      </w:r>
      <w:proofErr w:type="spellEnd"/>
      <w:r w:rsidR="003618E4">
        <w:rPr>
          <w:rFonts w:ascii="Arial" w:hAnsi="Arial" w:cs="Arial"/>
          <w:sz w:val="24"/>
          <w:szCs w:val="24"/>
        </w:rPr>
        <w:t xml:space="preserve"> involving opt-out consent procedures</w:t>
      </w:r>
      <w:r>
        <w:rPr>
          <w:rFonts w:ascii="Arial" w:hAnsi="Arial" w:cs="Arial"/>
          <w:sz w:val="24"/>
          <w:szCs w:val="24"/>
        </w:rPr>
        <w:t xml:space="preserve">. Matthew stressed that research is essential to reduce variability in clinical practice and pointed out that paediatric oncology has the best record of enrolling children in trials. This, he explained, has contributed directly </w:t>
      </w:r>
      <w:r w:rsidR="00D477C1">
        <w:rPr>
          <w:rFonts w:ascii="Arial" w:hAnsi="Arial" w:cs="Arial"/>
          <w:sz w:val="24"/>
          <w:szCs w:val="24"/>
        </w:rPr>
        <w:t xml:space="preserve">to the dramatically improved prognosis </w:t>
      </w:r>
      <w:r w:rsidR="003615B5">
        <w:rPr>
          <w:rFonts w:ascii="Arial" w:hAnsi="Arial" w:cs="Arial"/>
          <w:sz w:val="24"/>
          <w:szCs w:val="24"/>
        </w:rPr>
        <w:t>for children</w:t>
      </w:r>
      <w:r w:rsidR="00D477C1">
        <w:rPr>
          <w:rFonts w:ascii="Arial" w:hAnsi="Arial" w:cs="Arial"/>
          <w:sz w:val="24"/>
          <w:szCs w:val="24"/>
        </w:rPr>
        <w:t xml:space="preserve"> with leukaemia.</w:t>
      </w:r>
    </w:p>
    <w:p w14:paraId="345E4855" w14:textId="03D61129" w:rsidR="00D06571" w:rsidRDefault="0089630C" w:rsidP="00D06571">
      <w:pPr>
        <w:spacing w:after="0" w:line="240" w:lineRule="auto"/>
        <w:rPr>
          <w:rFonts w:ascii="Arial" w:hAnsi="Arial" w:cs="Arial"/>
          <w:sz w:val="24"/>
          <w:szCs w:val="24"/>
        </w:rPr>
      </w:pPr>
      <w:r w:rsidRPr="00A92A16">
        <w:rPr>
          <w:rFonts w:ascii="Arial" w:hAnsi="Arial" w:cs="Arial"/>
          <w:b/>
          <w:sz w:val="24"/>
          <w:szCs w:val="24"/>
        </w:rPr>
        <w:lastRenderedPageBreak/>
        <w:t xml:space="preserve">Ben </w:t>
      </w:r>
      <w:proofErr w:type="spellStart"/>
      <w:r w:rsidRPr="00A92A16">
        <w:rPr>
          <w:rFonts w:ascii="Arial" w:hAnsi="Arial" w:cs="Arial"/>
          <w:b/>
          <w:sz w:val="24"/>
          <w:szCs w:val="24"/>
        </w:rPr>
        <w:t>Goldacre</w:t>
      </w:r>
      <w:proofErr w:type="spellEnd"/>
      <w:r>
        <w:rPr>
          <w:rFonts w:ascii="Arial" w:hAnsi="Arial" w:cs="Arial"/>
          <w:sz w:val="24"/>
          <w:szCs w:val="24"/>
        </w:rPr>
        <w:t xml:space="preserve"> </w:t>
      </w:r>
      <w:r w:rsidR="00841088">
        <w:rPr>
          <w:rFonts w:ascii="Arial" w:hAnsi="Arial" w:cs="Arial"/>
          <w:sz w:val="24"/>
          <w:szCs w:val="24"/>
        </w:rPr>
        <w:t xml:space="preserve">from the </w:t>
      </w:r>
      <w:r>
        <w:rPr>
          <w:rFonts w:ascii="Arial" w:hAnsi="Arial" w:cs="Arial"/>
          <w:sz w:val="24"/>
          <w:szCs w:val="24"/>
        </w:rPr>
        <w:t>Department of Primary Care, Oxford University, reinforced t</w:t>
      </w:r>
      <w:r w:rsidR="00C22F37">
        <w:rPr>
          <w:rFonts w:ascii="Arial" w:hAnsi="Arial" w:cs="Arial"/>
          <w:sz w:val="24"/>
          <w:szCs w:val="24"/>
        </w:rPr>
        <w:t xml:space="preserve">he message that </w:t>
      </w:r>
      <w:proofErr w:type="spellStart"/>
      <w:r w:rsidR="00C22F37">
        <w:rPr>
          <w:rFonts w:ascii="Arial" w:hAnsi="Arial" w:cs="Arial"/>
          <w:sz w:val="24"/>
          <w:szCs w:val="24"/>
        </w:rPr>
        <w:t>PoC</w:t>
      </w:r>
      <w:r w:rsidR="00637C03">
        <w:rPr>
          <w:rFonts w:ascii="Arial" w:hAnsi="Arial" w:cs="Arial"/>
          <w:sz w:val="24"/>
          <w:szCs w:val="24"/>
        </w:rPr>
        <w:t>Ts</w:t>
      </w:r>
      <w:proofErr w:type="spellEnd"/>
      <w:r w:rsidR="00C22F37">
        <w:rPr>
          <w:rFonts w:ascii="Arial" w:hAnsi="Arial" w:cs="Arial"/>
          <w:sz w:val="24"/>
          <w:szCs w:val="24"/>
        </w:rPr>
        <w:t xml:space="preserve"> have the potential to improve patient care significantly at a fraction of the cost of Randomised Control Trials</w:t>
      </w:r>
      <w:r>
        <w:rPr>
          <w:rFonts w:ascii="Arial" w:hAnsi="Arial" w:cs="Arial"/>
          <w:sz w:val="24"/>
          <w:szCs w:val="24"/>
        </w:rPr>
        <w:t>.</w:t>
      </w:r>
      <w:r w:rsidR="00C22F37">
        <w:rPr>
          <w:rFonts w:ascii="Arial" w:hAnsi="Arial" w:cs="Arial"/>
          <w:sz w:val="24"/>
          <w:szCs w:val="24"/>
        </w:rPr>
        <w:t xml:space="preserve"> He explained that there is an urgent need for research evidence to allow both clinicians and patients to make more informed</w:t>
      </w:r>
      <w:r w:rsidR="00C37E6B">
        <w:rPr>
          <w:rFonts w:ascii="Arial" w:hAnsi="Arial" w:cs="Arial"/>
          <w:sz w:val="24"/>
          <w:szCs w:val="24"/>
        </w:rPr>
        <w:t>,</w:t>
      </w:r>
      <w:r w:rsidR="00C22F37">
        <w:rPr>
          <w:rFonts w:ascii="Arial" w:hAnsi="Arial" w:cs="Arial"/>
          <w:sz w:val="24"/>
          <w:szCs w:val="24"/>
        </w:rPr>
        <w:t xml:space="preserve"> and therefore better</w:t>
      </w:r>
      <w:r w:rsidR="00C37E6B">
        <w:rPr>
          <w:rFonts w:ascii="Arial" w:hAnsi="Arial" w:cs="Arial"/>
          <w:sz w:val="24"/>
          <w:szCs w:val="24"/>
        </w:rPr>
        <w:t>,</w:t>
      </w:r>
      <w:r w:rsidR="00C22F37">
        <w:rPr>
          <w:rFonts w:ascii="Arial" w:hAnsi="Arial" w:cs="Arial"/>
          <w:sz w:val="24"/>
          <w:szCs w:val="24"/>
        </w:rPr>
        <w:t xml:space="preserve"> decisions. </w:t>
      </w:r>
      <w:r w:rsidR="00D06571">
        <w:rPr>
          <w:rFonts w:ascii="Arial" w:hAnsi="Arial" w:cs="Arial"/>
          <w:sz w:val="24"/>
          <w:szCs w:val="24"/>
        </w:rPr>
        <w:t>He also pointed out that marginal differences in effectiveness can add to substantial cost differences over a large patient population.  However this means the trials themselves also need to be conducted on a large sample size in order to demonstrate relatively small differences.</w:t>
      </w:r>
    </w:p>
    <w:p w14:paraId="372B3541" w14:textId="59E79050" w:rsidR="00C22F37" w:rsidRDefault="00C22F37" w:rsidP="00C22F37">
      <w:pPr>
        <w:spacing w:after="0" w:line="240" w:lineRule="auto"/>
        <w:rPr>
          <w:rFonts w:ascii="Arial" w:hAnsi="Arial" w:cs="Arial"/>
          <w:sz w:val="24"/>
          <w:szCs w:val="24"/>
        </w:rPr>
      </w:pPr>
    </w:p>
    <w:p w14:paraId="0EF5C9E0" w14:textId="72EC2E3D" w:rsidR="00C22F37" w:rsidRDefault="00C22F37" w:rsidP="00C22F37">
      <w:pPr>
        <w:spacing w:after="0" w:line="240" w:lineRule="auto"/>
        <w:rPr>
          <w:rFonts w:ascii="Arial" w:hAnsi="Arial" w:cs="Arial"/>
          <w:sz w:val="24"/>
          <w:szCs w:val="24"/>
        </w:rPr>
      </w:pPr>
      <w:r w:rsidRPr="00DB43EC">
        <w:rPr>
          <w:rFonts w:ascii="Arial" w:hAnsi="Arial" w:cs="Arial"/>
          <w:b/>
          <w:sz w:val="24"/>
          <w:szCs w:val="24"/>
        </w:rPr>
        <w:t xml:space="preserve">Kirsty </w:t>
      </w:r>
      <w:proofErr w:type="spellStart"/>
      <w:r w:rsidRPr="00DB43EC">
        <w:rPr>
          <w:rFonts w:ascii="Arial" w:hAnsi="Arial" w:cs="Arial"/>
          <w:b/>
          <w:sz w:val="24"/>
          <w:szCs w:val="24"/>
        </w:rPr>
        <w:t>Wydenbach</w:t>
      </w:r>
      <w:proofErr w:type="spellEnd"/>
      <w:r>
        <w:rPr>
          <w:rFonts w:ascii="Arial" w:hAnsi="Arial" w:cs="Arial"/>
          <w:sz w:val="24"/>
          <w:szCs w:val="24"/>
        </w:rPr>
        <w:t xml:space="preserve"> from the </w:t>
      </w:r>
      <w:r w:rsidR="00AE2CAE" w:rsidRPr="00AE2CAE">
        <w:rPr>
          <w:rFonts w:ascii="Arial" w:hAnsi="Arial" w:cs="Arial"/>
          <w:sz w:val="24"/>
          <w:szCs w:val="24"/>
        </w:rPr>
        <w:t xml:space="preserve">Medicines &amp; Healthcare Products Regulatory </w:t>
      </w:r>
      <w:r w:rsidR="007C336F" w:rsidRPr="00AE2CAE">
        <w:rPr>
          <w:rFonts w:ascii="Arial" w:hAnsi="Arial" w:cs="Arial"/>
          <w:sz w:val="24"/>
          <w:szCs w:val="24"/>
        </w:rPr>
        <w:t>Agency (</w:t>
      </w:r>
      <w:r>
        <w:rPr>
          <w:rFonts w:ascii="Arial" w:hAnsi="Arial" w:cs="Arial"/>
          <w:sz w:val="24"/>
          <w:szCs w:val="24"/>
        </w:rPr>
        <w:t>MHRA</w:t>
      </w:r>
      <w:r w:rsidR="00AE2CAE">
        <w:rPr>
          <w:rFonts w:ascii="Arial" w:hAnsi="Arial" w:cs="Arial"/>
          <w:sz w:val="24"/>
          <w:szCs w:val="24"/>
        </w:rPr>
        <w:t>)</w:t>
      </w:r>
      <w:r>
        <w:rPr>
          <w:rFonts w:ascii="Arial" w:hAnsi="Arial" w:cs="Arial"/>
          <w:sz w:val="24"/>
          <w:szCs w:val="24"/>
        </w:rPr>
        <w:t xml:space="preserve"> explained the </w:t>
      </w:r>
      <w:r w:rsidR="007C336F">
        <w:rPr>
          <w:rFonts w:ascii="Arial" w:hAnsi="Arial" w:cs="Arial"/>
          <w:sz w:val="24"/>
          <w:szCs w:val="24"/>
        </w:rPr>
        <w:t xml:space="preserve">current UK </w:t>
      </w:r>
      <w:r>
        <w:rPr>
          <w:rFonts w:ascii="Arial" w:hAnsi="Arial" w:cs="Arial"/>
          <w:sz w:val="24"/>
          <w:szCs w:val="24"/>
        </w:rPr>
        <w:t xml:space="preserve">Clinical Trials Regulations, </w:t>
      </w:r>
      <w:r w:rsidR="00E02339">
        <w:rPr>
          <w:rFonts w:ascii="Arial" w:hAnsi="Arial" w:cs="Arial"/>
          <w:sz w:val="24"/>
          <w:szCs w:val="24"/>
        </w:rPr>
        <w:t xml:space="preserve">the MHRA’s risk adapted </w:t>
      </w:r>
      <w:r w:rsidR="00E02339" w:rsidRPr="00E125B8">
        <w:rPr>
          <w:rFonts w:ascii="Arial" w:hAnsi="Arial" w:cs="Arial"/>
          <w:sz w:val="24"/>
          <w:szCs w:val="24"/>
        </w:rPr>
        <w:t>notification scheme</w:t>
      </w:r>
      <w:r w:rsidR="00E02339">
        <w:rPr>
          <w:rFonts w:ascii="Arial" w:hAnsi="Arial" w:cs="Arial"/>
          <w:sz w:val="24"/>
          <w:szCs w:val="24"/>
        </w:rPr>
        <w:t xml:space="preserve"> for lower-risk trials (</w:t>
      </w:r>
      <w:r w:rsidR="009125AE">
        <w:rPr>
          <w:rFonts w:ascii="Arial" w:hAnsi="Arial" w:cs="Arial"/>
          <w:sz w:val="24"/>
          <w:szCs w:val="24"/>
        </w:rPr>
        <w:t xml:space="preserve">known as </w:t>
      </w:r>
      <w:r w:rsidR="00E02339" w:rsidRPr="00E125B8">
        <w:rPr>
          <w:rFonts w:ascii="Arial" w:hAnsi="Arial" w:cs="Arial"/>
          <w:sz w:val="24"/>
          <w:szCs w:val="24"/>
        </w:rPr>
        <w:t>‘Type A’ trials</w:t>
      </w:r>
      <w:r w:rsidR="00E02339">
        <w:rPr>
          <w:rStyle w:val="FootnoteReference"/>
          <w:rFonts w:ascii="Arial" w:hAnsi="Arial" w:cs="Arial"/>
          <w:sz w:val="24"/>
          <w:szCs w:val="24"/>
        </w:rPr>
        <w:footnoteReference w:id="2"/>
      </w:r>
      <w:r w:rsidR="00E02339">
        <w:rPr>
          <w:rFonts w:ascii="Arial" w:hAnsi="Arial" w:cs="Arial"/>
          <w:sz w:val="24"/>
          <w:szCs w:val="24"/>
        </w:rPr>
        <w:t xml:space="preserve">) and </w:t>
      </w:r>
      <w:r w:rsidR="007C336F">
        <w:rPr>
          <w:rFonts w:ascii="Arial" w:hAnsi="Arial" w:cs="Arial"/>
          <w:sz w:val="24"/>
          <w:szCs w:val="24"/>
        </w:rPr>
        <w:t xml:space="preserve">the forthcoming </w:t>
      </w:r>
      <w:r>
        <w:rPr>
          <w:rFonts w:ascii="Arial" w:hAnsi="Arial" w:cs="Arial"/>
          <w:sz w:val="24"/>
          <w:szCs w:val="24"/>
        </w:rPr>
        <w:t xml:space="preserve">EU </w:t>
      </w:r>
      <w:r w:rsidR="007C336F">
        <w:rPr>
          <w:rFonts w:ascii="Arial" w:hAnsi="Arial" w:cs="Arial"/>
          <w:sz w:val="24"/>
          <w:szCs w:val="24"/>
        </w:rPr>
        <w:t xml:space="preserve">Clinical Trials </w:t>
      </w:r>
      <w:r>
        <w:rPr>
          <w:rFonts w:ascii="Arial" w:hAnsi="Arial" w:cs="Arial"/>
          <w:sz w:val="24"/>
          <w:szCs w:val="24"/>
        </w:rPr>
        <w:t>Regulation</w:t>
      </w:r>
      <w:r w:rsidR="003E7103">
        <w:rPr>
          <w:rStyle w:val="FootnoteReference"/>
          <w:rFonts w:ascii="Arial" w:hAnsi="Arial" w:cs="Arial"/>
          <w:sz w:val="24"/>
          <w:szCs w:val="24"/>
        </w:rPr>
        <w:footnoteReference w:id="3"/>
      </w:r>
      <w:r w:rsidR="00E125B8" w:rsidRPr="00E125B8">
        <w:rPr>
          <w:rFonts w:ascii="Arial" w:hAnsi="Arial" w:cs="Arial"/>
          <w:sz w:val="24"/>
          <w:szCs w:val="24"/>
        </w:rPr>
        <w:t>.</w:t>
      </w:r>
      <w:r>
        <w:rPr>
          <w:rFonts w:ascii="Arial" w:hAnsi="Arial" w:cs="Arial"/>
          <w:sz w:val="24"/>
          <w:szCs w:val="24"/>
        </w:rPr>
        <w:t xml:space="preserve"> </w:t>
      </w:r>
    </w:p>
    <w:p w14:paraId="064E5851" w14:textId="77777777" w:rsidR="00C22F37" w:rsidRDefault="00C22F37" w:rsidP="00C22F37">
      <w:pPr>
        <w:spacing w:after="0" w:line="240" w:lineRule="auto"/>
        <w:rPr>
          <w:rFonts w:ascii="Arial" w:hAnsi="Arial" w:cs="Arial"/>
          <w:sz w:val="24"/>
          <w:szCs w:val="24"/>
        </w:rPr>
      </w:pPr>
    </w:p>
    <w:p w14:paraId="069EC8E9" w14:textId="69B6BCFD" w:rsidR="00C22F37" w:rsidRDefault="00C22F37" w:rsidP="00C22F37">
      <w:pPr>
        <w:spacing w:after="0" w:line="240" w:lineRule="auto"/>
        <w:rPr>
          <w:rFonts w:ascii="Arial" w:hAnsi="Arial" w:cs="Arial"/>
          <w:sz w:val="24"/>
          <w:szCs w:val="24"/>
        </w:rPr>
      </w:pPr>
      <w:r w:rsidRPr="00DB43EC">
        <w:rPr>
          <w:rFonts w:ascii="Arial" w:hAnsi="Arial" w:cs="Arial"/>
          <w:b/>
          <w:sz w:val="24"/>
          <w:szCs w:val="24"/>
        </w:rPr>
        <w:t>Marion Cumbers</w:t>
      </w:r>
      <w:r w:rsidR="00FA5214" w:rsidRPr="005E6FFB">
        <w:rPr>
          <w:rFonts w:ascii="Arial" w:hAnsi="Arial" w:cs="Arial"/>
          <w:sz w:val="24"/>
          <w:szCs w:val="24"/>
        </w:rPr>
        <w:t xml:space="preserve">, a lay member </w:t>
      </w:r>
      <w:r w:rsidR="00FA5214" w:rsidRPr="00FA5214">
        <w:rPr>
          <w:rFonts w:ascii="Arial" w:hAnsi="Arial" w:cs="Arial"/>
          <w:sz w:val="24"/>
          <w:szCs w:val="24"/>
        </w:rPr>
        <w:t>of</w:t>
      </w:r>
      <w:r w:rsidR="00FA5214" w:rsidRPr="005E6FFB">
        <w:rPr>
          <w:rFonts w:ascii="Arial" w:hAnsi="Arial" w:cs="Arial"/>
          <w:sz w:val="24"/>
          <w:szCs w:val="24"/>
        </w:rPr>
        <w:t xml:space="preserve"> the Trial</w:t>
      </w:r>
      <w:r w:rsidR="00865751">
        <w:rPr>
          <w:rFonts w:ascii="Arial" w:hAnsi="Arial" w:cs="Arial"/>
          <w:sz w:val="24"/>
          <w:szCs w:val="24"/>
        </w:rPr>
        <w:t>s</w:t>
      </w:r>
      <w:r w:rsidR="00FA5214" w:rsidRPr="005E6FFB">
        <w:rPr>
          <w:rFonts w:ascii="Arial" w:hAnsi="Arial" w:cs="Arial"/>
          <w:sz w:val="24"/>
          <w:szCs w:val="24"/>
        </w:rPr>
        <w:t xml:space="preserve"> Steering Committee for </w:t>
      </w:r>
      <w:proofErr w:type="spellStart"/>
      <w:r w:rsidR="00FA5214" w:rsidRPr="005E6FFB">
        <w:rPr>
          <w:rFonts w:ascii="Arial" w:hAnsi="Arial" w:cs="Arial"/>
          <w:sz w:val="24"/>
          <w:szCs w:val="24"/>
        </w:rPr>
        <w:t>PoCTs</w:t>
      </w:r>
      <w:proofErr w:type="spellEnd"/>
      <w:r w:rsidR="00FA5214" w:rsidRPr="005E6FFB">
        <w:rPr>
          <w:rFonts w:ascii="Arial" w:hAnsi="Arial" w:cs="Arial"/>
          <w:sz w:val="24"/>
          <w:szCs w:val="24"/>
        </w:rPr>
        <w:t xml:space="preserve"> described by Tjeerd van Staa,</w:t>
      </w:r>
      <w:r>
        <w:rPr>
          <w:rFonts w:ascii="Arial" w:hAnsi="Arial" w:cs="Arial"/>
          <w:sz w:val="24"/>
          <w:szCs w:val="24"/>
        </w:rPr>
        <w:t xml:space="preserve"> provided a patient perspective on these trials and underlined the inconsistency in ethical standards </w:t>
      </w:r>
      <w:r w:rsidR="00FE37AC">
        <w:rPr>
          <w:rFonts w:ascii="Arial" w:hAnsi="Arial" w:cs="Arial"/>
          <w:sz w:val="24"/>
          <w:szCs w:val="24"/>
        </w:rPr>
        <w:t xml:space="preserve">applied </w:t>
      </w:r>
      <w:r>
        <w:rPr>
          <w:rFonts w:ascii="Arial" w:hAnsi="Arial" w:cs="Arial"/>
          <w:sz w:val="24"/>
          <w:szCs w:val="24"/>
        </w:rPr>
        <w:t xml:space="preserve">to </w:t>
      </w:r>
      <w:r w:rsidR="00FE37AC">
        <w:rPr>
          <w:rFonts w:ascii="Arial" w:hAnsi="Arial" w:cs="Arial"/>
          <w:sz w:val="24"/>
          <w:szCs w:val="24"/>
        </w:rPr>
        <w:t xml:space="preserve">research compared to those applied in </w:t>
      </w:r>
      <w:r>
        <w:rPr>
          <w:rFonts w:ascii="Arial" w:hAnsi="Arial" w:cs="Arial"/>
          <w:sz w:val="24"/>
          <w:szCs w:val="24"/>
        </w:rPr>
        <w:t xml:space="preserve">routine clinical </w:t>
      </w:r>
      <w:r w:rsidR="00FE37AC">
        <w:rPr>
          <w:rFonts w:ascii="Arial" w:hAnsi="Arial" w:cs="Arial"/>
          <w:sz w:val="24"/>
          <w:szCs w:val="24"/>
        </w:rPr>
        <w:t>practice</w:t>
      </w:r>
      <w:r>
        <w:rPr>
          <w:rFonts w:ascii="Arial" w:hAnsi="Arial" w:cs="Arial"/>
          <w:sz w:val="24"/>
          <w:szCs w:val="24"/>
        </w:rPr>
        <w:t xml:space="preserve">. She highlighted </w:t>
      </w:r>
      <w:r w:rsidR="00637C03">
        <w:rPr>
          <w:rFonts w:ascii="Arial" w:hAnsi="Arial" w:cs="Arial"/>
          <w:sz w:val="24"/>
          <w:szCs w:val="24"/>
        </w:rPr>
        <w:t xml:space="preserve">barriers to the conduct of </w:t>
      </w:r>
      <w:proofErr w:type="spellStart"/>
      <w:r w:rsidR="00637C03">
        <w:rPr>
          <w:rFonts w:ascii="Arial" w:hAnsi="Arial" w:cs="Arial"/>
          <w:sz w:val="24"/>
          <w:szCs w:val="24"/>
        </w:rPr>
        <w:t>Po</w:t>
      </w:r>
      <w:r>
        <w:rPr>
          <w:rFonts w:ascii="Arial" w:hAnsi="Arial" w:cs="Arial"/>
          <w:sz w:val="24"/>
          <w:szCs w:val="24"/>
        </w:rPr>
        <w:t>C</w:t>
      </w:r>
      <w:r w:rsidR="00637C03">
        <w:rPr>
          <w:rFonts w:ascii="Arial" w:hAnsi="Arial" w:cs="Arial"/>
          <w:sz w:val="24"/>
          <w:szCs w:val="24"/>
        </w:rPr>
        <w:t>T</w:t>
      </w:r>
      <w:r>
        <w:rPr>
          <w:rFonts w:ascii="Arial" w:hAnsi="Arial" w:cs="Arial"/>
          <w:sz w:val="24"/>
          <w:szCs w:val="24"/>
        </w:rPr>
        <w:t>s</w:t>
      </w:r>
      <w:proofErr w:type="spellEnd"/>
      <w:r>
        <w:rPr>
          <w:rFonts w:ascii="Arial" w:hAnsi="Arial" w:cs="Arial"/>
          <w:sz w:val="24"/>
          <w:szCs w:val="24"/>
        </w:rPr>
        <w:t xml:space="preserve">, namely the additional paperwork and </w:t>
      </w:r>
      <w:r w:rsidR="001E0E5B" w:rsidRPr="001E0E5B">
        <w:rPr>
          <w:rFonts w:ascii="Arial" w:hAnsi="Arial" w:cs="Arial"/>
          <w:sz w:val="24"/>
          <w:szCs w:val="24"/>
        </w:rPr>
        <w:t xml:space="preserve">training </w:t>
      </w:r>
      <w:r w:rsidR="00511D37">
        <w:rPr>
          <w:rFonts w:ascii="Arial" w:hAnsi="Arial" w:cs="Arial"/>
          <w:sz w:val="24"/>
          <w:szCs w:val="24"/>
        </w:rPr>
        <w:t xml:space="preserve">requirements </w:t>
      </w:r>
      <w:r w:rsidR="001E0E5B" w:rsidRPr="001E0E5B">
        <w:rPr>
          <w:rFonts w:ascii="Arial" w:hAnsi="Arial" w:cs="Arial"/>
          <w:sz w:val="24"/>
          <w:szCs w:val="24"/>
        </w:rPr>
        <w:t xml:space="preserve">for </w:t>
      </w:r>
      <w:r w:rsidR="00511D37">
        <w:rPr>
          <w:rFonts w:ascii="Arial" w:hAnsi="Arial" w:cs="Arial"/>
          <w:sz w:val="24"/>
          <w:szCs w:val="24"/>
        </w:rPr>
        <w:t xml:space="preserve">conducting </w:t>
      </w:r>
      <w:r w:rsidR="001E0E5B" w:rsidRPr="001E0E5B">
        <w:rPr>
          <w:rFonts w:ascii="Arial" w:hAnsi="Arial" w:cs="Arial"/>
          <w:sz w:val="24"/>
          <w:szCs w:val="24"/>
        </w:rPr>
        <w:t>routine clinical activities</w:t>
      </w:r>
      <w:r w:rsidR="00511D37">
        <w:rPr>
          <w:rFonts w:ascii="Arial" w:hAnsi="Arial" w:cs="Arial"/>
          <w:sz w:val="24"/>
          <w:szCs w:val="24"/>
        </w:rPr>
        <w:t xml:space="preserve"> in a research context</w:t>
      </w:r>
      <w:r>
        <w:rPr>
          <w:rFonts w:ascii="Arial" w:hAnsi="Arial" w:cs="Arial"/>
          <w:sz w:val="24"/>
          <w:szCs w:val="24"/>
        </w:rPr>
        <w:t xml:space="preserve">. </w:t>
      </w:r>
    </w:p>
    <w:p w14:paraId="148E4FF0" w14:textId="77777777" w:rsidR="00C22F37" w:rsidRDefault="00C22F37" w:rsidP="00C22F37">
      <w:pPr>
        <w:spacing w:after="0" w:line="240" w:lineRule="auto"/>
        <w:rPr>
          <w:rFonts w:ascii="Arial" w:hAnsi="Arial" w:cs="Arial"/>
          <w:sz w:val="24"/>
          <w:szCs w:val="24"/>
        </w:rPr>
      </w:pPr>
    </w:p>
    <w:p w14:paraId="5D77ADE4" w14:textId="227D263B" w:rsidR="00C22F37" w:rsidRDefault="00D06571" w:rsidP="00C22F37">
      <w:pPr>
        <w:spacing w:after="0" w:line="240" w:lineRule="auto"/>
        <w:rPr>
          <w:rFonts w:ascii="Arial" w:hAnsi="Arial" w:cs="Arial"/>
          <w:sz w:val="24"/>
          <w:szCs w:val="24"/>
        </w:rPr>
      </w:pPr>
      <w:r w:rsidRPr="003E5CDD">
        <w:rPr>
          <w:rFonts w:ascii="Arial" w:hAnsi="Arial" w:cs="Arial"/>
          <w:b/>
          <w:sz w:val="24"/>
          <w:szCs w:val="24"/>
        </w:rPr>
        <w:t>Amanda Hunn</w:t>
      </w:r>
      <w:r>
        <w:rPr>
          <w:rFonts w:ascii="Arial" w:hAnsi="Arial" w:cs="Arial"/>
          <w:sz w:val="24"/>
          <w:szCs w:val="24"/>
        </w:rPr>
        <w:t xml:space="preserve"> from the HRA outlined the public engagement work using a deliberative approach on pragmatic trials and simplified consent which was supported and part funded by </w:t>
      </w:r>
      <w:proofErr w:type="spellStart"/>
      <w:r>
        <w:rPr>
          <w:rFonts w:ascii="Arial" w:hAnsi="Arial" w:cs="Arial"/>
          <w:sz w:val="24"/>
          <w:szCs w:val="24"/>
        </w:rPr>
        <w:t>Sciencewise</w:t>
      </w:r>
      <w:proofErr w:type="spellEnd"/>
      <w:r>
        <w:rPr>
          <w:rFonts w:ascii="Arial" w:hAnsi="Arial" w:cs="Arial"/>
          <w:sz w:val="24"/>
          <w:szCs w:val="24"/>
        </w:rPr>
        <w:t>.  She explained the general public supported a simplified consent approach including a shortened PIS.  The public identified those elements of the PIS which need to be retained</w:t>
      </w:r>
      <w:r w:rsidRPr="00FB1ABD">
        <w:rPr>
          <w:rFonts w:ascii="Arial" w:hAnsi="Arial" w:cs="Arial"/>
          <w:sz w:val="24"/>
          <w:szCs w:val="24"/>
        </w:rPr>
        <w:t xml:space="preserve"> </w:t>
      </w:r>
      <w:r>
        <w:rPr>
          <w:rFonts w:ascii="Arial" w:hAnsi="Arial" w:cs="Arial"/>
          <w:sz w:val="24"/>
          <w:szCs w:val="24"/>
        </w:rPr>
        <w:t>and which could be dropped.</w:t>
      </w:r>
      <w:r w:rsidRPr="009D4C57">
        <w:rPr>
          <w:rFonts w:ascii="Arial" w:hAnsi="Arial" w:cs="Arial"/>
          <w:sz w:val="24"/>
          <w:szCs w:val="24"/>
        </w:rPr>
        <w:t xml:space="preserve"> </w:t>
      </w:r>
      <w:r>
        <w:rPr>
          <w:rFonts w:ascii="Arial" w:hAnsi="Arial" w:cs="Arial"/>
          <w:sz w:val="24"/>
          <w:szCs w:val="24"/>
        </w:rPr>
        <w:t>The public also specified the reassurances they would need to be in place for proportionate consent to be acceptable.</w:t>
      </w:r>
    </w:p>
    <w:p w14:paraId="3CA567C0" w14:textId="77777777" w:rsidR="00D06571" w:rsidRDefault="00D06571" w:rsidP="00C22F37">
      <w:pPr>
        <w:spacing w:after="0" w:line="240" w:lineRule="auto"/>
        <w:rPr>
          <w:rFonts w:ascii="Arial" w:hAnsi="Arial" w:cs="Arial"/>
          <w:sz w:val="24"/>
          <w:szCs w:val="24"/>
        </w:rPr>
      </w:pPr>
    </w:p>
    <w:p w14:paraId="5356DCC4" w14:textId="363063A0" w:rsidR="00C22F37" w:rsidRDefault="00C22F37" w:rsidP="00944210">
      <w:pPr>
        <w:spacing w:after="0" w:line="240" w:lineRule="auto"/>
        <w:rPr>
          <w:rFonts w:ascii="Arial" w:hAnsi="Arial" w:cs="Arial"/>
          <w:sz w:val="24"/>
          <w:szCs w:val="24"/>
        </w:rPr>
      </w:pPr>
      <w:r w:rsidRPr="00DB43EC">
        <w:rPr>
          <w:rFonts w:ascii="Arial" w:hAnsi="Arial" w:cs="Arial"/>
          <w:b/>
          <w:sz w:val="24"/>
          <w:szCs w:val="24"/>
        </w:rPr>
        <w:t>Clive Collett</w:t>
      </w:r>
      <w:r>
        <w:rPr>
          <w:rFonts w:ascii="Arial" w:hAnsi="Arial" w:cs="Arial"/>
          <w:sz w:val="24"/>
          <w:szCs w:val="24"/>
        </w:rPr>
        <w:t xml:space="preserve"> </w:t>
      </w:r>
      <w:r w:rsidR="0089630C">
        <w:rPr>
          <w:rFonts w:ascii="Arial" w:hAnsi="Arial" w:cs="Arial"/>
          <w:sz w:val="24"/>
          <w:szCs w:val="24"/>
        </w:rPr>
        <w:t xml:space="preserve">also </w:t>
      </w:r>
      <w:r>
        <w:rPr>
          <w:rFonts w:ascii="Arial" w:hAnsi="Arial" w:cs="Arial"/>
          <w:sz w:val="24"/>
          <w:szCs w:val="24"/>
        </w:rPr>
        <w:t xml:space="preserve">from the HRA explained that existing HRA Guidance </w:t>
      </w:r>
      <w:r w:rsidR="00B45E24">
        <w:rPr>
          <w:rFonts w:ascii="Arial" w:hAnsi="Arial" w:cs="Arial"/>
          <w:sz w:val="24"/>
          <w:szCs w:val="24"/>
        </w:rPr>
        <w:t xml:space="preserve">already </w:t>
      </w:r>
      <w:r>
        <w:rPr>
          <w:rFonts w:ascii="Arial" w:hAnsi="Arial" w:cs="Arial"/>
          <w:sz w:val="24"/>
          <w:szCs w:val="24"/>
        </w:rPr>
        <w:t xml:space="preserve">advocates a proportionate approach to </w:t>
      </w:r>
      <w:r w:rsidR="00B45E24">
        <w:rPr>
          <w:rFonts w:ascii="Arial" w:hAnsi="Arial" w:cs="Arial"/>
          <w:sz w:val="24"/>
          <w:szCs w:val="24"/>
        </w:rPr>
        <w:t xml:space="preserve">seeking </w:t>
      </w:r>
      <w:r>
        <w:rPr>
          <w:rFonts w:ascii="Arial" w:hAnsi="Arial" w:cs="Arial"/>
          <w:sz w:val="24"/>
          <w:szCs w:val="24"/>
        </w:rPr>
        <w:t xml:space="preserve">consent but emphasised that </w:t>
      </w:r>
      <w:r w:rsidR="00B45E24">
        <w:rPr>
          <w:rFonts w:ascii="Arial" w:hAnsi="Arial" w:cs="Arial"/>
          <w:sz w:val="24"/>
          <w:szCs w:val="24"/>
        </w:rPr>
        <w:t xml:space="preserve">compliance </w:t>
      </w:r>
      <w:r>
        <w:rPr>
          <w:rFonts w:ascii="Arial" w:hAnsi="Arial" w:cs="Arial"/>
          <w:sz w:val="24"/>
          <w:szCs w:val="24"/>
        </w:rPr>
        <w:t xml:space="preserve">with legal requirements is essential. Details of these legal requirements can be found in the HRA </w:t>
      </w:r>
      <w:r w:rsidR="00B45E24">
        <w:rPr>
          <w:rFonts w:ascii="Arial" w:hAnsi="Arial" w:cs="Arial"/>
          <w:sz w:val="24"/>
          <w:szCs w:val="24"/>
        </w:rPr>
        <w:t xml:space="preserve">draft </w:t>
      </w:r>
      <w:r w:rsidR="00944210">
        <w:rPr>
          <w:rFonts w:ascii="Arial" w:hAnsi="Arial" w:cs="Arial"/>
          <w:sz w:val="24"/>
          <w:szCs w:val="24"/>
        </w:rPr>
        <w:t>guidance “</w:t>
      </w:r>
      <w:hyperlink r:id="rId8" w:history="1">
        <w:r w:rsidR="00B9644D" w:rsidRPr="00B9644D">
          <w:rPr>
            <w:rStyle w:val="Hyperlink"/>
            <w:rFonts w:ascii="Arial" w:hAnsi="Arial" w:cs="Arial"/>
            <w:sz w:val="24"/>
            <w:szCs w:val="24"/>
          </w:rPr>
          <w:t>Seeking informed consent for simple and efficient trials in the NHS</w:t>
        </w:r>
      </w:hyperlink>
      <w:r w:rsidR="00B9644D">
        <w:rPr>
          <w:rFonts w:ascii="Arial" w:hAnsi="Arial" w:cs="Arial"/>
          <w:sz w:val="24"/>
          <w:szCs w:val="24"/>
        </w:rPr>
        <w:t>”</w:t>
      </w:r>
      <w:r>
        <w:rPr>
          <w:rFonts w:ascii="Arial" w:hAnsi="Arial" w:cs="Arial"/>
          <w:sz w:val="24"/>
          <w:szCs w:val="24"/>
        </w:rPr>
        <w:t xml:space="preserve">. He explained that the outputs from the Workshop will feed into </w:t>
      </w:r>
      <w:r w:rsidR="00B9644D">
        <w:rPr>
          <w:rFonts w:ascii="Arial" w:hAnsi="Arial" w:cs="Arial"/>
          <w:sz w:val="24"/>
          <w:szCs w:val="24"/>
        </w:rPr>
        <w:t xml:space="preserve">future </w:t>
      </w:r>
      <w:r>
        <w:rPr>
          <w:rFonts w:ascii="Arial" w:hAnsi="Arial" w:cs="Arial"/>
          <w:sz w:val="24"/>
          <w:szCs w:val="24"/>
        </w:rPr>
        <w:t xml:space="preserve">HRA Guidance on proportionate consent </w:t>
      </w:r>
      <w:r w:rsidR="00291872">
        <w:rPr>
          <w:rFonts w:ascii="Arial" w:hAnsi="Arial" w:cs="Arial"/>
          <w:sz w:val="24"/>
          <w:szCs w:val="24"/>
        </w:rPr>
        <w:t xml:space="preserve">procedures </w:t>
      </w:r>
      <w:r w:rsidR="00D66AFB">
        <w:rPr>
          <w:rFonts w:ascii="Arial" w:hAnsi="Arial" w:cs="Arial"/>
          <w:sz w:val="24"/>
          <w:szCs w:val="24"/>
        </w:rPr>
        <w:t>for</w:t>
      </w:r>
      <w:r w:rsidR="00291872">
        <w:rPr>
          <w:rFonts w:ascii="Arial" w:hAnsi="Arial" w:cs="Arial"/>
          <w:sz w:val="24"/>
          <w:szCs w:val="24"/>
        </w:rPr>
        <w:t xml:space="preserve"> </w:t>
      </w:r>
      <w:r>
        <w:rPr>
          <w:rFonts w:ascii="Arial" w:hAnsi="Arial" w:cs="Arial"/>
          <w:sz w:val="24"/>
          <w:szCs w:val="24"/>
        </w:rPr>
        <w:t xml:space="preserve">all </w:t>
      </w:r>
      <w:r w:rsidR="00D66AFB">
        <w:rPr>
          <w:rFonts w:ascii="Arial" w:hAnsi="Arial" w:cs="Arial"/>
          <w:sz w:val="24"/>
          <w:szCs w:val="24"/>
        </w:rPr>
        <w:t>types of research</w:t>
      </w:r>
      <w:r>
        <w:rPr>
          <w:rFonts w:ascii="Arial" w:hAnsi="Arial" w:cs="Arial"/>
          <w:sz w:val="24"/>
          <w:szCs w:val="24"/>
        </w:rPr>
        <w:t xml:space="preserve">. </w:t>
      </w:r>
    </w:p>
    <w:p w14:paraId="46603C58" w14:textId="77777777" w:rsidR="00C22F37" w:rsidRDefault="00C22F37" w:rsidP="00C22F37">
      <w:pPr>
        <w:spacing w:after="0" w:line="240" w:lineRule="auto"/>
        <w:rPr>
          <w:rFonts w:ascii="Arial" w:hAnsi="Arial" w:cs="Arial"/>
          <w:sz w:val="24"/>
          <w:szCs w:val="24"/>
        </w:rPr>
      </w:pPr>
    </w:p>
    <w:p w14:paraId="74F7E072" w14:textId="77777777" w:rsidR="00C22F37" w:rsidRDefault="00C22F37" w:rsidP="00C22F37">
      <w:pPr>
        <w:spacing w:after="0" w:line="240" w:lineRule="auto"/>
        <w:rPr>
          <w:rFonts w:ascii="Arial" w:hAnsi="Arial" w:cs="Arial"/>
          <w:sz w:val="24"/>
          <w:szCs w:val="24"/>
        </w:rPr>
      </w:pPr>
    </w:p>
    <w:p w14:paraId="646A6581" w14:textId="77777777" w:rsidR="00C22F37" w:rsidRDefault="00C22F37" w:rsidP="00C22F37">
      <w:pPr>
        <w:rPr>
          <w:rFonts w:ascii="Arial" w:hAnsi="Arial" w:cs="Arial"/>
          <w:b/>
          <w:sz w:val="24"/>
          <w:szCs w:val="24"/>
        </w:rPr>
      </w:pPr>
      <w:r>
        <w:rPr>
          <w:rFonts w:ascii="Arial" w:hAnsi="Arial" w:cs="Arial"/>
          <w:b/>
          <w:sz w:val="24"/>
          <w:szCs w:val="24"/>
        </w:rPr>
        <w:t>Discussions at the Workshop</w:t>
      </w:r>
    </w:p>
    <w:p w14:paraId="60C4FBE0" w14:textId="5A762BC1" w:rsidR="00934C98" w:rsidRDefault="00934C98" w:rsidP="00934C98">
      <w:pPr>
        <w:rPr>
          <w:rFonts w:ascii="Arial" w:hAnsi="Arial" w:cs="Arial"/>
          <w:sz w:val="24"/>
          <w:szCs w:val="24"/>
        </w:rPr>
      </w:pPr>
      <w:r>
        <w:rPr>
          <w:rFonts w:ascii="Arial" w:hAnsi="Arial" w:cs="Arial"/>
          <w:sz w:val="24"/>
          <w:szCs w:val="24"/>
        </w:rPr>
        <w:t xml:space="preserve">Delegates discussed and agreed </w:t>
      </w:r>
      <w:r w:rsidR="00805595">
        <w:rPr>
          <w:rFonts w:ascii="Arial" w:hAnsi="Arial" w:cs="Arial"/>
          <w:sz w:val="24"/>
          <w:szCs w:val="24"/>
        </w:rPr>
        <w:t xml:space="preserve">with </w:t>
      </w:r>
      <w:r w:rsidR="001951E9">
        <w:rPr>
          <w:rFonts w:ascii="Arial" w:hAnsi="Arial" w:cs="Arial"/>
          <w:sz w:val="24"/>
          <w:szCs w:val="24"/>
        </w:rPr>
        <w:t>the following</w:t>
      </w:r>
      <w:r w:rsidR="00637C03">
        <w:rPr>
          <w:rFonts w:ascii="Arial" w:hAnsi="Arial" w:cs="Arial"/>
          <w:sz w:val="24"/>
          <w:szCs w:val="24"/>
        </w:rPr>
        <w:t xml:space="preserve"> </w:t>
      </w:r>
      <w:r w:rsidR="00A83638">
        <w:rPr>
          <w:rFonts w:ascii="Arial" w:hAnsi="Arial" w:cs="Arial"/>
          <w:sz w:val="24"/>
          <w:szCs w:val="24"/>
        </w:rPr>
        <w:t>conditions under which</w:t>
      </w:r>
      <w:r w:rsidR="00637C03">
        <w:rPr>
          <w:rFonts w:ascii="Arial" w:hAnsi="Arial" w:cs="Arial"/>
          <w:sz w:val="24"/>
          <w:szCs w:val="24"/>
        </w:rPr>
        <w:t xml:space="preserve"> </w:t>
      </w:r>
      <w:proofErr w:type="spellStart"/>
      <w:r w:rsidR="00637C03">
        <w:rPr>
          <w:rFonts w:ascii="Arial" w:hAnsi="Arial" w:cs="Arial"/>
          <w:sz w:val="24"/>
          <w:szCs w:val="24"/>
        </w:rPr>
        <w:t>Po</w:t>
      </w:r>
      <w:r>
        <w:rPr>
          <w:rFonts w:ascii="Arial" w:hAnsi="Arial" w:cs="Arial"/>
          <w:sz w:val="24"/>
          <w:szCs w:val="24"/>
        </w:rPr>
        <w:t>C</w:t>
      </w:r>
      <w:r w:rsidR="00637C03">
        <w:rPr>
          <w:rFonts w:ascii="Arial" w:hAnsi="Arial" w:cs="Arial"/>
          <w:sz w:val="24"/>
          <w:szCs w:val="24"/>
        </w:rPr>
        <w:t>T</w:t>
      </w:r>
      <w:r>
        <w:rPr>
          <w:rFonts w:ascii="Arial" w:hAnsi="Arial" w:cs="Arial"/>
          <w:sz w:val="24"/>
          <w:szCs w:val="24"/>
        </w:rPr>
        <w:t>s</w:t>
      </w:r>
      <w:proofErr w:type="spellEnd"/>
      <w:r w:rsidR="00A83638">
        <w:rPr>
          <w:rFonts w:ascii="Arial" w:hAnsi="Arial" w:cs="Arial"/>
          <w:sz w:val="24"/>
          <w:szCs w:val="24"/>
        </w:rPr>
        <w:t xml:space="preserve"> may be carried out</w:t>
      </w:r>
      <w:r>
        <w:rPr>
          <w:rFonts w:ascii="Arial" w:hAnsi="Arial" w:cs="Arial"/>
          <w:sz w:val="24"/>
          <w:szCs w:val="24"/>
        </w:rPr>
        <w:t>:</w:t>
      </w:r>
    </w:p>
    <w:p w14:paraId="7FFF9D6F" w14:textId="4C2A4DAA" w:rsidR="00934C98" w:rsidRDefault="00C15784" w:rsidP="00934C98">
      <w:pPr>
        <w:pStyle w:val="ListParagraph"/>
        <w:numPr>
          <w:ilvl w:val="0"/>
          <w:numId w:val="8"/>
        </w:numPr>
        <w:spacing w:line="254" w:lineRule="auto"/>
        <w:rPr>
          <w:rFonts w:ascii="Arial" w:hAnsi="Arial" w:cs="Arial"/>
          <w:sz w:val="24"/>
          <w:szCs w:val="24"/>
        </w:rPr>
      </w:pPr>
      <w:r>
        <w:rPr>
          <w:rFonts w:ascii="Arial" w:hAnsi="Arial" w:cs="Arial"/>
          <w:sz w:val="24"/>
          <w:szCs w:val="24"/>
        </w:rPr>
        <w:t>A</w:t>
      </w:r>
      <w:r w:rsidR="00934C98">
        <w:rPr>
          <w:rFonts w:ascii="Arial" w:hAnsi="Arial" w:cs="Arial"/>
          <w:sz w:val="24"/>
          <w:szCs w:val="24"/>
        </w:rPr>
        <w:t>ny treatment</w:t>
      </w:r>
      <w:r w:rsidR="00FA5214">
        <w:rPr>
          <w:rFonts w:ascii="Arial" w:hAnsi="Arial" w:cs="Arial"/>
          <w:sz w:val="24"/>
          <w:szCs w:val="24"/>
        </w:rPr>
        <w:t>s</w:t>
      </w:r>
      <w:r w:rsidR="00934C98">
        <w:rPr>
          <w:rFonts w:ascii="Arial" w:hAnsi="Arial" w:cs="Arial"/>
          <w:sz w:val="24"/>
          <w:szCs w:val="24"/>
        </w:rPr>
        <w:t xml:space="preserve"> to be </w:t>
      </w:r>
      <w:r w:rsidR="003E3849">
        <w:rPr>
          <w:rFonts w:ascii="Arial" w:hAnsi="Arial" w:cs="Arial"/>
          <w:sz w:val="24"/>
          <w:szCs w:val="24"/>
        </w:rPr>
        <w:t xml:space="preserve">compared </w:t>
      </w:r>
      <w:r w:rsidR="00934C98">
        <w:rPr>
          <w:rFonts w:ascii="Arial" w:hAnsi="Arial" w:cs="Arial"/>
          <w:sz w:val="24"/>
          <w:szCs w:val="24"/>
        </w:rPr>
        <w:t>must be licensed or broadly accepted</w:t>
      </w:r>
      <w:r w:rsidR="00A83638">
        <w:rPr>
          <w:rFonts w:ascii="Arial" w:hAnsi="Arial" w:cs="Arial"/>
          <w:sz w:val="24"/>
          <w:szCs w:val="24"/>
        </w:rPr>
        <w:t xml:space="preserve"> and</w:t>
      </w:r>
      <w:r w:rsidR="003E3849">
        <w:rPr>
          <w:rFonts w:ascii="Arial" w:hAnsi="Arial" w:cs="Arial"/>
          <w:sz w:val="24"/>
          <w:szCs w:val="24"/>
        </w:rPr>
        <w:t>/or</w:t>
      </w:r>
      <w:r w:rsidR="00A83638">
        <w:rPr>
          <w:rFonts w:ascii="Arial" w:hAnsi="Arial" w:cs="Arial"/>
          <w:sz w:val="24"/>
          <w:szCs w:val="24"/>
        </w:rPr>
        <w:t xml:space="preserve"> in routine use</w:t>
      </w:r>
      <w:r w:rsidR="00934C98">
        <w:rPr>
          <w:rFonts w:ascii="Arial" w:hAnsi="Arial" w:cs="Arial"/>
          <w:sz w:val="24"/>
          <w:szCs w:val="24"/>
        </w:rPr>
        <w:t xml:space="preserve"> </w:t>
      </w:r>
    </w:p>
    <w:p w14:paraId="0C479C18" w14:textId="23C79760" w:rsidR="00A124C3" w:rsidRDefault="003E3849" w:rsidP="00934C98">
      <w:pPr>
        <w:pStyle w:val="ListParagraph"/>
        <w:numPr>
          <w:ilvl w:val="0"/>
          <w:numId w:val="8"/>
        </w:numPr>
        <w:spacing w:line="254" w:lineRule="auto"/>
        <w:rPr>
          <w:rFonts w:ascii="Arial" w:hAnsi="Arial" w:cs="Arial"/>
          <w:sz w:val="24"/>
          <w:szCs w:val="24"/>
        </w:rPr>
      </w:pPr>
      <w:proofErr w:type="spellStart"/>
      <w:r>
        <w:rPr>
          <w:rFonts w:ascii="Arial" w:hAnsi="Arial" w:cs="Arial"/>
          <w:sz w:val="24"/>
          <w:szCs w:val="24"/>
        </w:rPr>
        <w:lastRenderedPageBreak/>
        <w:t>PoCTs</w:t>
      </w:r>
      <w:proofErr w:type="spellEnd"/>
      <w:r w:rsidR="00A124C3">
        <w:rPr>
          <w:rFonts w:ascii="Arial" w:hAnsi="Arial" w:cs="Arial"/>
          <w:sz w:val="24"/>
          <w:szCs w:val="24"/>
        </w:rPr>
        <w:t xml:space="preserve"> must only recruit patients who require the intervention under investigation</w:t>
      </w:r>
    </w:p>
    <w:p w14:paraId="323C066F" w14:textId="0AA457D3" w:rsidR="00934C98" w:rsidRDefault="0089630C" w:rsidP="00934C98">
      <w:pPr>
        <w:pStyle w:val="ListParagraph"/>
        <w:numPr>
          <w:ilvl w:val="0"/>
          <w:numId w:val="8"/>
        </w:numPr>
        <w:spacing w:line="254" w:lineRule="auto"/>
        <w:rPr>
          <w:rFonts w:ascii="Arial" w:hAnsi="Arial" w:cs="Arial"/>
          <w:sz w:val="24"/>
          <w:szCs w:val="24"/>
        </w:rPr>
      </w:pPr>
      <w:r>
        <w:rPr>
          <w:rFonts w:ascii="Arial" w:hAnsi="Arial" w:cs="Arial"/>
          <w:sz w:val="24"/>
          <w:szCs w:val="24"/>
        </w:rPr>
        <w:t xml:space="preserve">As with other trials, </w:t>
      </w:r>
      <w:proofErr w:type="spellStart"/>
      <w:r>
        <w:rPr>
          <w:rFonts w:ascii="Arial" w:hAnsi="Arial" w:cs="Arial"/>
          <w:sz w:val="24"/>
          <w:szCs w:val="24"/>
        </w:rPr>
        <w:t>PoCTs</w:t>
      </w:r>
      <w:proofErr w:type="spellEnd"/>
      <w:r w:rsidR="00934C98">
        <w:rPr>
          <w:rFonts w:ascii="Arial" w:hAnsi="Arial" w:cs="Arial"/>
          <w:sz w:val="24"/>
          <w:szCs w:val="24"/>
        </w:rPr>
        <w:t xml:space="preserve"> must not withhold effective treatment</w:t>
      </w:r>
      <w:r>
        <w:rPr>
          <w:rFonts w:ascii="Arial" w:hAnsi="Arial" w:cs="Arial"/>
          <w:sz w:val="24"/>
          <w:szCs w:val="24"/>
        </w:rPr>
        <w:t>s</w:t>
      </w:r>
      <w:r w:rsidR="00934C98">
        <w:rPr>
          <w:rFonts w:ascii="Arial" w:hAnsi="Arial" w:cs="Arial"/>
          <w:sz w:val="24"/>
          <w:szCs w:val="24"/>
        </w:rPr>
        <w:t xml:space="preserve"> when th</w:t>
      </w:r>
      <w:r>
        <w:rPr>
          <w:rFonts w:ascii="Arial" w:hAnsi="Arial" w:cs="Arial"/>
          <w:sz w:val="24"/>
          <w:szCs w:val="24"/>
        </w:rPr>
        <w:t>ese</w:t>
      </w:r>
      <w:r w:rsidR="00934C98">
        <w:rPr>
          <w:rFonts w:ascii="Arial" w:hAnsi="Arial" w:cs="Arial"/>
          <w:sz w:val="24"/>
          <w:szCs w:val="24"/>
        </w:rPr>
        <w:t xml:space="preserve"> </w:t>
      </w:r>
      <w:r>
        <w:rPr>
          <w:rFonts w:ascii="Arial" w:hAnsi="Arial" w:cs="Arial"/>
          <w:sz w:val="24"/>
          <w:szCs w:val="24"/>
        </w:rPr>
        <w:t>are</w:t>
      </w:r>
      <w:r w:rsidR="00934C98">
        <w:rPr>
          <w:rFonts w:ascii="Arial" w:hAnsi="Arial" w:cs="Arial"/>
          <w:sz w:val="24"/>
          <w:szCs w:val="24"/>
        </w:rPr>
        <w:t xml:space="preserve"> available</w:t>
      </w:r>
    </w:p>
    <w:p w14:paraId="25FA3E1B" w14:textId="77777777" w:rsidR="00865751" w:rsidRPr="00A92A16" w:rsidRDefault="0089630C" w:rsidP="00BD36FD">
      <w:pPr>
        <w:pStyle w:val="ListParagraph"/>
        <w:numPr>
          <w:ilvl w:val="0"/>
          <w:numId w:val="8"/>
        </w:numPr>
        <w:spacing w:line="252" w:lineRule="auto"/>
        <w:rPr>
          <w:rFonts w:ascii="Arial Regular" w:hAnsi="Arial Regular"/>
          <w:color w:val="000000"/>
        </w:rPr>
      </w:pPr>
      <w:r w:rsidRPr="00BD36FD">
        <w:rPr>
          <w:rFonts w:ascii="Arial" w:hAnsi="Arial" w:cs="Arial"/>
          <w:sz w:val="24"/>
          <w:szCs w:val="24"/>
        </w:rPr>
        <w:t xml:space="preserve">As with other trials, </w:t>
      </w:r>
      <w:proofErr w:type="spellStart"/>
      <w:r w:rsidRPr="00BD36FD">
        <w:rPr>
          <w:rFonts w:ascii="Arial" w:hAnsi="Arial" w:cs="Arial"/>
          <w:sz w:val="24"/>
          <w:szCs w:val="24"/>
        </w:rPr>
        <w:t>PoCTs</w:t>
      </w:r>
      <w:proofErr w:type="spellEnd"/>
      <w:r w:rsidRPr="00BD36FD">
        <w:rPr>
          <w:rFonts w:ascii="Arial" w:hAnsi="Arial" w:cs="Arial"/>
          <w:sz w:val="24"/>
          <w:szCs w:val="24"/>
        </w:rPr>
        <w:t xml:space="preserve"> must address uncertainties, demonstrated through rigorous review of current knowledge, about the relative merits of the forms of care to be compared</w:t>
      </w:r>
      <w:r w:rsidR="00865751">
        <w:rPr>
          <w:rFonts w:ascii="Arial" w:hAnsi="Arial" w:cs="Arial"/>
          <w:sz w:val="24"/>
          <w:szCs w:val="24"/>
        </w:rPr>
        <w:t>.</w:t>
      </w:r>
    </w:p>
    <w:p w14:paraId="476144A7" w14:textId="465CF64F" w:rsidR="00EC6827" w:rsidRPr="00BD36FD" w:rsidRDefault="00EC6827" w:rsidP="00BD36FD">
      <w:pPr>
        <w:pStyle w:val="ListParagraph"/>
        <w:numPr>
          <w:ilvl w:val="0"/>
          <w:numId w:val="8"/>
        </w:numPr>
        <w:spacing w:line="252" w:lineRule="auto"/>
        <w:rPr>
          <w:rFonts w:ascii="Arial Regular" w:hAnsi="Arial Regular"/>
          <w:color w:val="000000"/>
        </w:rPr>
      </w:pPr>
      <w:r w:rsidRPr="00BD36FD">
        <w:rPr>
          <w:rFonts w:ascii="Arial" w:hAnsi="Arial" w:cs="Arial"/>
          <w:color w:val="000000"/>
        </w:rPr>
        <w:t xml:space="preserve">If either the clinician or the patient has a good reason for preferring one of the alternatives forms of care being compared (for example, a known allergy to one of them), this preference must be respected. </w:t>
      </w:r>
    </w:p>
    <w:p w14:paraId="010D9160" w14:textId="77777777" w:rsidR="00BD36FD" w:rsidRDefault="00BD36FD" w:rsidP="00934C98">
      <w:pPr>
        <w:spacing w:after="0"/>
        <w:rPr>
          <w:rFonts w:ascii="Arial" w:hAnsi="Arial" w:cs="Arial"/>
          <w:sz w:val="24"/>
          <w:szCs w:val="24"/>
        </w:rPr>
      </w:pPr>
    </w:p>
    <w:p w14:paraId="09071B85" w14:textId="20EA5892" w:rsidR="00934C98" w:rsidRDefault="00934C98" w:rsidP="00934C98">
      <w:pPr>
        <w:spacing w:after="0"/>
        <w:rPr>
          <w:rFonts w:ascii="Arial" w:hAnsi="Arial" w:cs="Arial"/>
          <w:sz w:val="24"/>
          <w:szCs w:val="24"/>
        </w:rPr>
      </w:pPr>
      <w:r>
        <w:rPr>
          <w:rFonts w:ascii="Arial" w:hAnsi="Arial" w:cs="Arial"/>
          <w:sz w:val="24"/>
          <w:szCs w:val="24"/>
        </w:rPr>
        <w:t xml:space="preserve">The benefits of </w:t>
      </w:r>
      <w:proofErr w:type="spellStart"/>
      <w:r w:rsidR="00EC6827">
        <w:rPr>
          <w:rFonts w:ascii="Arial" w:hAnsi="Arial" w:cs="Arial"/>
          <w:sz w:val="24"/>
          <w:szCs w:val="24"/>
        </w:rPr>
        <w:t>PoCTs</w:t>
      </w:r>
      <w:proofErr w:type="spellEnd"/>
      <w:r>
        <w:rPr>
          <w:rFonts w:ascii="Arial" w:hAnsi="Arial" w:cs="Arial"/>
          <w:sz w:val="24"/>
          <w:szCs w:val="24"/>
        </w:rPr>
        <w:t xml:space="preserve"> were discussed: </w:t>
      </w:r>
    </w:p>
    <w:p w14:paraId="70B78279" w14:textId="77777777" w:rsidR="00934C98" w:rsidRDefault="00934C98" w:rsidP="00934C98">
      <w:pPr>
        <w:spacing w:after="0"/>
        <w:rPr>
          <w:rFonts w:ascii="Arial" w:hAnsi="Arial" w:cs="Arial"/>
          <w:sz w:val="24"/>
          <w:szCs w:val="24"/>
        </w:rPr>
      </w:pPr>
    </w:p>
    <w:p w14:paraId="4B154EE6" w14:textId="4DE7FA8C" w:rsidR="00934C98" w:rsidRDefault="00934C98" w:rsidP="00934C98">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Meeting public expectation that their health care is based on </w:t>
      </w:r>
      <w:r w:rsidR="00D24D1D">
        <w:rPr>
          <w:rFonts w:ascii="Arial" w:hAnsi="Arial" w:cs="Arial"/>
          <w:sz w:val="24"/>
          <w:szCs w:val="24"/>
        </w:rPr>
        <w:t xml:space="preserve">robust </w:t>
      </w:r>
      <w:r>
        <w:rPr>
          <w:rFonts w:ascii="Arial" w:hAnsi="Arial" w:cs="Arial"/>
          <w:sz w:val="24"/>
          <w:szCs w:val="24"/>
        </w:rPr>
        <w:t>evidence.</w:t>
      </w:r>
    </w:p>
    <w:p w14:paraId="0B80999C" w14:textId="71FC22B8" w:rsidR="00934C98" w:rsidRDefault="0089630C" w:rsidP="00934C98">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Promoting evidence-based reduction in variations in clinical </w:t>
      </w:r>
      <w:r w:rsidR="00EC6827">
        <w:rPr>
          <w:rFonts w:ascii="Arial" w:hAnsi="Arial" w:cs="Arial"/>
          <w:sz w:val="24"/>
          <w:szCs w:val="24"/>
        </w:rPr>
        <w:t xml:space="preserve">practice </w:t>
      </w:r>
    </w:p>
    <w:p w14:paraId="5F91B728" w14:textId="262F5646" w:rsidR="00934C98" w:rsidRDefault="00934C98" w:rsidP="00934C98">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Providing </w:t>
      </w:r>
      <w:r w:rsidR="0089630C">
        <w:rPr>
          <w:rFonts w:ascii="Arial" w:hAnsi="Arial" w:cs="Arial"/>
          <w:sz w:val="24"/>
          <w:szCs w:val="24"/>
        </w:rPr>
        <w:t>large scale</w:t>
      </w:r>
      <w:r w:rsidR="00BD36FD">
        <w:rPr>
          <w:rFonts w:ascii="Arial" w:hAnsi="Arial" w:cs="Arial"/>
          <w:sz w:val="24"/>
          <w:szCs w:val="24"/>
        </w:rPr>
        <w:t>,</w:t>
      </w:r>
      <w:r w:rsidR="0089630C">
        <w:rPr>
          <w:rFonts w:ascii="Arial" w:hAnsi="Arial" w:cs="Arial"/>
          <w:sz w:val="24"/>
          <w:szCs w:val="24"/>
        </w:rPr>
        <w:t xml:space="preserve"> </w:t>
      </w:r>
      <w:r>
        <w:rPr>
          <w:rFonts w:ascii="Arial" w:hAnsi="Arial" w:cs="Arial"/>
          <w:sz w:val="24"/>
          <w:szCs w:val="24"/>
        </w:rPr>
        <w:t>cost</w:t>
      </w:r>
      <w:r w:rsidR="00BD36FD">
        <w:rPr>
          <w:rFonts w:ascii="Arial" w:hAnsi="Arial" w:cs="Arial"/>
          <w:sz w:val="24"/>
          <w:szCs w:val="24"/>
        </w:rPr>
        <w:t>-</w:t>
      </w:r>
      <w:r>
        <w:rPr>
          <w:rFonts w:ascii="Arial" w:hAnsi="Arial" w:cs="Arial"/>
          <w:sz w:val="24"/>
          <w:szCs w:val="24"/>
        </w:rPr>
        <w:t>effective</w:t>
      </w:r>
      <w:r w:rsidR="00CE2D94">
        <w:rPr>
          <w:rFonts w:ascii="Arial" w:hAnsi="Arial" w:cs="Arial"/>
          <w:sz w:val="24"/>
          <w:szCs w:val="24"/>
        </w:rPr>
        <w:t xml:space="preserve"> </w:t>
      </w:r>
      <w:r>
        <w:rPr>
          <w:rFonts w:ascii="Arial" w:hAnsi="Arial" w:cs="Arial"/>
          <w:sz w:val="24"/>
          <w:szCs w:val="24"/>
        </w:rPr>
        <w:t xml:space="preserve">research studies to </w:t>
      </w:r>
      <w:r w:rsidR="00C529B4">
        <w:rPr>
          <w:rFonts w:ascii="Arial" w:hAnsi="Arial" w:cs="Arial"/>
          <w:sz w:val="24"/>
          <w:szCs w:val="24"/>
        </w:rPr>
        <w:t xml:space="preserve">detect </w:t>
      </w:r>
      <w:r>
        <w:rPr>
          <w:rFonts w:ascii="Arial" w:hAnsi="Arial" w:cs="Arial"/>
          <w:sz w:val="24"/>
          <w:szCs w:val="24"/>
        </w:rPr>
        <w:t xml:space="preserve">small </w:t>
      </w:r>
      <w:r w:rsidR="00EC6827">
        <w:rPr>
          <w:rFonts w:ascii="Arial" w:hAnsi="Arial" w:cs="Arial"/>
          <w:sz w:val="24"/>
          <w:szCs w:val="24"/>
        </w:rPr>
        <w:t>but important</w:t>
      </w:r>
      <w:r w:rsidR="00BD36FD">
        <w:rPr>
          <w:rFonts w:ascii="Arial" w:hAnsi="Arial" w:cs="Arial"/>
          <w:sz w:val="24"/>
          <w:szCs w:val="24"/>
        </w:rPr>
        <w:t xml:space="preserve"> effects of treatments used routinely within the NHS </w:t>
      </w:r>
    </w:p>
    <w:p w14:paraId="742C704A" w14:textId="480B092B" w:rsidR="00934C98" w:rsidRDefault="003E3849" w:rsidP="00934C98">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Assessing treatment effects using treatment </w:t>
      </w:r>
      <w:r w:rsidR="009F3781">
        <w:rPr>
          <w:rFonts w:ascii="Arial" w:hAnsi="Arial" w:cs="Arial"/>
          <w:sz w:val="24"/>
          <w:szCs w:val="24"/>
        </w:rPr>
        <w:t xml:space="preserve">outcome measures </w:t>
      </w:r>
      <w:r w:rsidR="00934C98">
        <w:rPr>
          <w:rFonts w:ascii="Arial" w:hAnsi="Arial" w:cs="Arial"/>
          <w:sz w:val="24"/>
          <w:szCs w:val="24"/>
        </w:rPr>
        <w:t>relevant to patients and professionals</w:t>
      </w:r>
    </w:p>
    <w:p w14:paraId="67DCC343" w14:textId="3B8930ED" w:rsidR="00934C98" w:rsidRDefault="00934C98" w:rsidP="00934C98">
      <w:pPr>
        <w:pStyle w:val="ListParagraph"/>
        <w:numPr>
          <w:ilvl w:val="0"/>
          <w:numId w:val="9"/>
        </w:numPr>
        <w:spacing w:after="0" w:line="240" w:lineRule="auto"/>
        <w:rPr>
          <w:rFonts w:ascii="Arial" w:hAnsi="Arial" w:cs="Arial"/>
          <w:sz w:val="24"/>
          <w:szCs w:val="24"/>
        </w:rPr>
      </w:pPr>
      <w:r>
        <w:rPr>
          <w:rFonts w:ascii="Arial" w:hAnsi="Arial" w:cs="Arial"/>
          <w:sz w:val="24"/>
          <w:szCs w:val="24"/>
        </w:rPr>
        <w:t>A</w:t>
      </w:r>
      <w:r w:rsidR="003E3849">
        <w:rPr>
          <w:rFonts w:ascii="Arial" w:hAnsi="Arial" w:cs="Arial"/>
          <w:sz w:val="24"/>
          <w:szCs w:val="24"/>
        </w:rPr>
        <w:t>nalysing a</w:t>
      </w:r>
      <w:r>
        <w:rPr>
          <w:rFonts w:ascii="Arial" w:hAnsi="Arial" w:cs="Arial"/>
          <w:sz w:val="24"/>
          <w:szCs w:val="24"/>
        </w:rPr>
        <w:t xml:space="preserve">dditional data, for example on side effects, collected </w:t>
      </w:r>
      <w:r w:rsidR="003E3849">
        <w:rPr>
          <w:rFonts w:ascii="Arial" w:hAnsi="Arial" w:cs="Arial"/>
          <w:sz w:val="24"/>
          <w:szCs w:val="24"/>
        </w:rPr>
        <w:t>as part of routine care</w:t>
      </w:r>
      <w:r>
        <w:rPr>
          <w:rFonts w:ascii="Arial" w:hAnsi="Arial" w:cs="Arial"/>
          <w:sz w:val="24"/>
          <w:szCs w:val="24"/>
        </w:rPr>
        <w:t xml:space="preserve"> </w:t>
      </w:r>
    </w:p>
    <w:p w14:paraId="1B3BCF43" w14:textId="1926D9DA" w:rsidR="00934C98" w:rsidRDefault="003E3849" w:rsidP="00934C98">
      <w:pPr>
        <w:pStyle w:val="ListParagraph"/>
        <w:numPr>
          <w:ilvl w:val="0"/>
          <w:numId w:val="9"/>
        </w:numPr>
        <w:spacing w:after="0" w:line="240" w:lineRule="auto"/>
        <w:rPr>
          <w:rFonts w:ascii="Arial" w:hAnsi="Arial" w:cs="Arial"/>
          <w:sz w:val="24"/>
          <w:szCs w:val="24"/>
        </w:rPr>
      </w:pPr>
      <w:r>
        <w:rPr>
          <w:rFonts w:ascii="Arial" w:hAnsi="Arial" w:cs="Arial"/>
          <w:sz w:val="24"/>
          <w:szCs w:val="24"/>
        </w:rPr>
        <w:t>Providing g</w:t>
      </w:r>
      <w:r w:rsidR="00934C98">
        <w:rPr>
          <w:rFonts w:ascii="Arial" w:hAnsi="Arial" w:cs="Arial"/>
          <w:sz w:val="24"/>
          <w:szCs w:val="24"/>
        </w:rPr>
        <w:t xml:space="preserve">reater flexibility in discovering ‘unintended’ </w:t>
      </w:r>
      <w:r>
        <w:rPr>
          <w:rFonts w:ascii="Arial" w:hAnsi="Arial" w:cs="Arial"/>
          <w:sz w:val="24"/>
          <w:szCs w:val="24"/>
        </w:rPr>
        <w:t xml:space="preserve">treatment </w:t>
      </w:r>
      <w:r w:rsidR="00B2051B">
        <w:rPr>
          <w:rFonts w:ascii="Arial" w:hAnsi="Arial" w:cs="Arial"/>
          <w:sz w:val="24"/>
          <w:szCs w:val="24"/>
        </w:rPr>
        <w:t>outcomes</w:t>
      </w:r>
    </w:p>
    <w:p w14:paraId="608B02B9" w14:textId="3CF7438B" w:rsidR="00934C98" w:rsidRDefault="00E4272A" w:rsidP="00934C98">
      <w:pPr>
        <w:pStyle w:val="ListParagraph"/>
        <w:numPr>
          <w:ilvl w:val="0"/>
          <w:numId w:val="9"/>
        </w:numPr>
        <w:spacing w:after="0" w:line="240" w:lineRule="auto"/>
        <w:rPr>
          <w:rFonts w:ascii="Arial" w:hAnsi="Arial" w:cs="Arial"/>
          <w:sz w:val="24"/>
          <w:szCs w:val="24"/>
        </w:rPr>
      </w:pPr>
      <w:r>
        <w:rPr>
          <w:rFonts w:ascii="Arial" w:hAnsi="Arial" w:cs="Arial"/>
          <w:sz w:val="24"/>
          <w:szCs w:val="24"/>
        </w:rPr>
        <w:t>Providing the capacity for l</w:t>
      </w:r>
      <w:r w:rsidR="00934C98">
        <w:rPr>
          <w:rFonts w:ascii="Arial" w:hAnsi="Arial" w:cs="Arial"/>
          <w:sz w:val="24"/>
          <w:szCs w:val="24"/>
        </w:rPr>
        <w:t xml:space="preserve">onger </w:t>
      </w:r>
      <w:r w:rsidR="00BD36FD">
        <w:rPr>
          <w:rFonts w:ascii="Arial" w:hAnsi="Arial" w:cs="Arial"/>
          <w:sz w:val="24"/>
          <w:szCs w:val="24"/>
        </w:rPr>
        <w:t xml:space="preserve">term </w:t>
      </w:r>
      <w:r w:rsidR="00934C98">
        <w:rPr>
          <w:rFonts w:ascii="Arial" w:hAnsi="Arial" w:cs="Arial"/>
          <w:sz w:val="24"/>
          <w:szCs w:val="24"/>
        </w:rPr>
        <w:t xml:space="preserve">follow-up than </w:t>
      </w:r>
      <w:r>
        <w:rPr>
          <w:rFonts w:ascii="Arial" w:hAnsi="Arial" w:cs="Arial"/>
          <w:sz w:val="24"/>
          <w:szCs w:val="24"/>
        </w:rPr>
        <w:t xml:space="preserve">is usual </w:t>
      </w:r>
      <w:r w:rsidR="003E3849">
        <w:rPr>
          <w:rFonts w:ascii="Arial" w:hAnsi="Arial" w:cs="Arial"/>
          <w:sz w:val="24"/>
          <w:szCs w:val="24"/>
        </w:rPr>
        <w:t>with</w:t>
      </w:r>
      <w:r>
        <w:rPr>
          <w:rFonts w:ascii="Arial" w:hAnsi="Arial" w:cs="Arial"/>
          <w:sz w:val="24"/>
          <w:szCs w:val="24"/>
        </w:rPr>
        <w:t xml:space="preserve"> </w:t>
      </w:r>
      <w:r w:rsidR="00934C98">
        <w:rPr>
          <w:rFonts w:ascii="Arial" w:hAnsi="Arial" w:cs="Arial"/>
          <w:sz w:val="24"/>
          <w:szCs w:val="24"/>
        </w:rPr>
        <w:t>conventional studies</w:t>
      </w:r>
    </w:p>
    <w:p w14:paraId="4FF454B0" w14:textId="7329EB1F" w:rsidR="00934C98" w:rsidRDefault="00934C98" w:rsidP="00934C98">
      <w:pPr>
        <w:pStyle w:val="ListParagraph"/>
        <w:numPr>
          <w:ilvl w:val="0"/>
          <w:numId w:val="9"/>
        </w:numPr>
        <w:spacing w:after="0" w:line="240" w:lineRule="auto"/>
        <w:rPr>
          <w:rFonts w:ascii="Arial" w:hAnsi="Arial" w:cs="Arial"/>
          <w:sz w:val="24"/>
          <w:szCs w:val="24"/>
        </w:rPr>
      </w:pPr>
      <w:r>
        <w:rPr>
          <w:rFonts w:ascii="Arial" w:hAnsi="Arial" w:cs="Arial"/>
          <w:sz w:val="24"/>
          <w:szCs w:val="24"/>
        </w:rPr>
        <w:t>Potential to contribute to a ‘Learning Health Care System’ (</w:t>
      </w:r>
      <w:r w:rsidR="007B616F">
        <w:rPr>
          <w:rFonts w:ascii="Arial" w:hAnsi="Arial" w:cs="Arial"/>
          <w:sz w:val="24"/>
          <w:szCs w:val="24"/>
        </w:rPr>
        <w:t xml:space="preserve">e.g. </w:t>
      </w:r>
      <w:r w:rsidR="00AB334D">
        <w:rPr>
          <w:rFonts w:ascii="Arial" w:hAnsi="Arial" w:cs="Arial"/>
          <w:sz w:val="24"/>
          <w:szCs w:val="24"/>
        </w:rPr>
        <w:t xml:space="preserve">The U.S.-based </w:t>
      </w:r>
      <w:proofErr w:type="spellStart"/>
      <w:r>
        <w:rPr>
          <w:rFonts w:ascii="Arial" w:hAnsi="Arial" w:cs="Arial"/>
          <w:sz w:val="24"/>
          <w:szCs w:val="24"/>
        </w:rPr>
        <w:t>PEDS</w:t>
      </w:r>
      <w:r w:rsidR="007B616F">
        <w:rPr>
          <w:rFonts w:ascii="Arial" w:hAnsi="Arial" w:cs="Arial"/>
          <w:sz w:val="24"/>
          <w:szCs w:val="24"/>
        </w:rPr>
        <w:t>n</w:t>
      </w:r>
      <w:r>
        <w:rPr>
          <w:rFonts w:ascii="Arial" w:hAnsi="Arial" w:cs="Arial"/>
          <w:sz w:val="24"/>
          <w:szCs w:val="24"/>
        </w:rPr>
        <w:t>et</w:t>
      </w:r>
      <w:proofErr w:type="spellEnd"/>
      <w:r w:rsidR="007B616F">
        <w:rPr>
          <w:rStyle w:val="FootnoteReference"/>
          <w:rFonts w:ascii="Arial" w:hAnsi="Arial" w:cs="Arial"/>
          <w:sz w:val="24"/>
          <w:szCs w:val="24"/>
        </w:rPr>
        <w:footnoteReference w:id="4"/>
      </w:r>
      <w:r>
        <w:rPr>
          <w:rFonts w:ascii="Arial" w:hAnsi="Arial" w:cs="Arial"/>
          <w:sz w:val="24"/>
          <w:szCs w:val="24"/>
        </w:rPr>
        <w:t>)</w:t>
      </w:r>
    </w:p>
    <w:p w14:paraId="6B61C9D6" w14:textId="77777777" w:rsidR="00934C98" w:rsidRDefault="00934C98" w:rsidP="00934C98">
      <w:pPr>
        <w:rPr>
          <w:rFonts w:ascii="Arial" w:hAnsi="Arial" w:cs="Arial"/>
          <w:sz w:val="24"/>
          <w:szCs w:val="24"/>
        </w:rPr>
      </w:pPr>
    </w:p>
    <w:p w14:paraId="21891825" w14:textId="2A2E0657" w:rsidR="00934C98" w:rsidRDefault="00934C98" w:rsidP="00934C98">
      <w:pPr>
        <w:rPr>
          <w:rFonts w:ascii="Arial" w:hAnsi="Arial" w:cs="Arial"/>
          <w:sz w:val="24"/>
          <w:szCs w:val="24"/>
        </w:rPr>
      </w:pPr>
      <w:r>
        <w:rPr>
          <w:rFonts w:ascii="Arial" w:hAnsi="Arial" w:cs="Arial"/>
          <w:sz w:val="24"/>
          <w:szCs w:val="24"/>
        </w:rPr>
        <w:t xml:space="preserve">Delegates also discussed </w:t>
      </w:r>
      <w:r w:rsidR="00B2051B">
        <w:rPr>
          <w:rFonts w:ascii="Arial" w:hAnsi="Arial" w:cs="Arial"/>
          <w:sz w:val="24"/>
          <w:szCs w:val="24"/>
        </w:rPr>
        <w:t xml:space="preserve">real and </w:t>
      </w:r>
      <w:r w:rsidR="007B616F">
        <w:rPr>
          <w:rFonts w:ascii="Arial" w:hAnsi="Arial" w:cs="Arial"/>
          <w:sz w:val="24"/>
          <w:szCs w:val="24"/>
        </w:rPr>
        <w:t xml:space="preserve">perceived </w:t>
      </w:r>
      <w:r>
        <w:rPr>
          <w:rFonts w:ascii="Arial" w:hAnsi="Arial" w:cs="Arial"/>
          <w:sz w:val="24"/>
          <w:szCs w:val="24"/>
        </w:rPr>
        <w:t>barriers to undertaking these trials:</w:t>
      </w:r>
    </w:p>
    <w:p w14:paraId="23701198" w14:textId="3E9ED01F" w:rsidR="00934C98" w:rsidRDefault="0000425A" w:rsidP="00934C98">
      <w:pPr>
        <w:pStyle w:val="ListParagraph"/>
        <w:numPr>
          <w:ilvl w:val="0"/>
          <w:numId w:val="10"/>
        </w:numPr>
        <w:spacing w:after="0" w:line="240" w:lineRule="auto"/>
        <w:rPr>
          <w:rFonts w:ascii="Arial" w:hAnsi="Arial" w:cs="Arial"/>
          <w:sz w:val="24"/>
          <w:szCs w:val="24"/>
        </w:rPr>
      </w:pPr>
      <w:r>
        <w:rPr>
          <w:rFonts w:ascii="Arial" w:hAnsi="Arial" w:cs="Arial"/>
          <w:sz w:val="24"/>
          <w:szCs w:val="24"/>
        </w:rPr>
        <w:t>Burden of governance procedures</w:t>
      </w:r>
      <w:r w:rsidR="00934C98">
        <w:rPr>
          <w:rFonts w:ascii="Arial" w:hAnsi="Arial" w:cs="Arial"/>
          <w:sz w:val="24"/>
          <w:szCs w:val="24"/>
        </w:rPr>
        <w:t xml:space="preserve"> (form filling, additional training for routine clinical activities as well as research methodology lead</w:t>
      </w:r>
      <w:r w:rsidR="00EA4DA8">
        <w:rPr>
          <w:rFonts w:ascii="Arial" w:hAnsi="Arial" w:cs="Arial"/>
          <w:sz w:val="24"/>
          <w:szCs w:val="24"/>
        </w:rPr>
        <w:t>ing</w:t>
      </w:r>
      <w:r w:rsidR="00934C98">
        <w:rPr>
          <w:rFonts w:ascii="Arial" w:hAnsi="Arial" w:cs="Arial"/>
          <w:sz w:val="24"/>
          <w:szCs w:val="24"/>
        </w:rPr>
        <w:t xml:space="preserve"> to drop-out</w:t>
      </w:r>
      <w:r w:rsidR="00EA4DA8">
        <w:rPr>
          <w:rFonts w:ascii="Arial" w:hAnsi="Arial" w:cs="Arial"/>
          <w:sz w:val="24"/>
          <w:szCs w:val="24"/>
        </w:rPr>
        <w:t>s</w:t>
      </w:r>
      <w:r w:rsidR="00934C98">
        <w:rPr>
          <w:rFonts w:ascii="Arial" w:hAnsi="Arial" w:cs="Arial"/>
          <w:sz w:val="24"/>
          <w:szCs w:val="24"/>
        </w:rPr>
        <w:t xml:space="preserve"> and resource wastage)</w:t>
      </w:r>
    </w:p>
    <w:p w14:paraId="1D5FB901" w14:textId="0F2232EE" w:rsidR="00934C98" w:rsidRDefault="00EC6827" w:rsidP="00934C98">
      <w:pPr>
        <w:pStyle w:val="ListParagraph"/>
        <w:numPr>
          <w:ilvl w:val="0"/>
          <w:numId w:val="10"/>
        </w:numPr>
        <w:spacing w:after="0" w:line="240" w:lineRule="auto"/>
        <w:rPr>
          <w:rFonts w:ascii="Arial" w:hAnsi="Arial" w:cs="Arial"/>
          <w:sz w:val="24"/>
          <w:szCs w:val="24"/>
        </w:rPr>
      </w:pPr>
      <w:r>
        <w:rPr>
          <w:rFonts w:ascii="Arial" w:hAnsi="Arial" w:cs="Arial"/>
          <w:sz w:val="24"/>
          <w:szCs w:val="24"/>
        </w:rPr>
        <w:t>N</w:t>
      </w:r>
      <w:r w:rsidR="00934C98">
        <w:rPr>
          <w:rFonts w:ascii="Arial" w:hAnsi="Arial" w:cs="Arial"/>
          <w:sz w:val="24"/>
          <w:szCs w:val="24"/>
        </w:rPr>
        <w:t>on-compatibility</w:t>
      </w:r>
      <w:r>
        <w:rPr>
          <w:rFonts w:ascii="Arial" w:hAnsi="Arial" w:cs="Arial"/>
          <w:sz w:val="24"/>
          <w:szCs w:val="24"/>
        </w:rPr>
        <w:t xml:space="preserve"> among Information Technology systems</w:t>
      </w:r>
    </w:p>
    <w:p w14:paraId="7C492B75" w14:textId="74E6FF30" w:rsidR="00934C98" w:rsidRDefault="00EC6827" w:rsidP="002B64FA">
      <w:pPr>
        <w:pStyle w:val="ListParagraph"/>
        <w:numPr>
          <w:ilvl w:val="0"/>
          <w:numId w:val="10"/>
        </w:numPr>
        <w:spacing w:after="0" w:line="240" w:lineRule="auto"/>
        <w:rPr>
          <w:rFonts w:ascii="Arial" w:hAnsi="Arial" w:cs="Arial"/>
          <w:sz w:val="24"/>
          <w:szCs w:val="24"/>
        </w:rPr>
      </w:pPr>
      <w:r>
        <w:rPr>
          <w:rFonts w:ascii="Arial" w:hAnsi="Arial" w:cs="Arial"/>
          <w:sz w:val="24"/>
          <w:szCs w:val="24"/>
        </w:rPr>
        <w:t>Variable q</w:t>
      </w:r>
      <w:r w:rsidR="002B64FA">
        <w:rPr>
          <w:rFonts w:ascii="Arial" w:hAnsi="Arial" w:cs="Arial"/>
          <w:sz w:val="24"/>
          <w:szCs w:val="24"/>
        </w:rPr>
        <w:t>uality and a</w:t>
      </w:r>
      <w:r w:rsidR="002B64FA" w:rsidRPr="002B64FA">
        <w:rPr>
          <w:rFonts w:ascii="Arial" w:hAnsi="Arial" w:cs="Arial"/>
          <w:sz w:val="24"/>
          <w:szCs w:val="24"/>
        </w:rPr>
        <w:t>ccuracy</w:t>
      </w:r>
      <w:r w:rsidR="002B64FA">
        <w:rPr>
          <w:rFonts w:ascii="Arial" w:hAnsi="Arial" w:cs="Arial"/>
          <w:sz w:val="24"/>
          <w:szCs w:val="24"/>
        </w:rPr>
        <w:t xml:space="preserve"> of d</w:t>
      </w:r>
      <w:r w:rsidR="00934C98">
        <w:rPr>
          <w:rFonts w:ascii="Arial" w:hAnsi="Arial" w:cs="Arial"/>
          <w:sz w:val="24"/>
          <w:szCs w:val="24"/>
        </w:rPr>
        <w:t xml:space="preserve">ata collected </w:t>
      </w:r>
      <w:r w:rsidR="00FE78D1">
        <w:rPr>
          <w:rFonts w:ascii="Arial" w:hAnsi="Arial" w:cs="Arial"/>
          <w:sz w:val="24"/>
          <w:szCs w:val="24"/>
        </w:rPr>
        <w:t xml:space="preserve">primarily </w:t>
      </w:r>
      <w:r w:rsidR="00934C98">
        <w:rPr>
          <w:rFonts w:ascii="Arial" w:hAnsi="Arial" w:cs="Arial"/>
          <w:sz w:val="24"/>
          <w:szCs w:val="24"/>
        </w:rPr>
        <w:t xml:space="preserve">for </w:t>
      </w:r>
      <w:r w:rsidR="00BD36FD">
        <w:rPr>
          <w:rFonts w:ascii="Arial" w:hAnsi="Arial" w:cs="Arial"/>
          <w:sz w:val="24"/>
          <w:szCs w:val="24"/>
        </w:rPr>
        <w:t>a</w:t>
      </w:r>
      <w:r w:rsidR="0008344E">
        <w:rPr>
          <w:rFonts w:ascii="Arial" w:hAnsi="Arial" w:cs="Arial"/>
          <w:sz w:val="24"/>
          <w:szCs w:val="24"/>
        </w:rPr>
        <w:t xml:space="preserve">udit </w:t>
      </w:r>
      <w:r w:rsidR="00934C98">
        <w:rPr>
          <w:rFonts w:ascii="Arial" w:hAnsi="Arial" w:cs="Arial"/>
          <w:sz w:val="24"/>
          <w:szCs w:val="24"/>
        </w:rPr>
        <w:t>purposes</w:t>
      </w:r>
    </w:p>
    <w:p w14:paraId="1E152E61" w14:textId="77777777" w:rsidR="00934C98" w:rsidRDefault="00934C98" w:rsidP="00934C98">
      <w:pPr>
        <w:pStyle w:val="ListParagraph"/>
        <w:numPr>
          <w:ilvl w:val="0"/>
          <w:numId w:val="10"/>
        </w:numPr>
        <w:spacing w:after="0" w:line="240" w:lineRule="auto"/>
        <w:rPr>
          <w:rFonts w:ascii="Arial" w:hAnsi="Arial" w:cs="Arial"/>
          <w:sz w:val="24"/>
          <w:szCs w:val="24"/>
        </w:rPr>
      </w:pPr>
      <w:r>
        <w:rPr>
          <w:rFonts w:ascii="Arial" w:hAnsi="Arial" w:cs="Arial"/>
          <w:sz w:val="24"/>
          <w:szCs w:val="24"/>
        </w:rPr>
        <w:t>Public concerns about data protection and privacy</w:t>
      </w:r>
    </w:p>
    <w:p w14:paraId="2DA0F0EB" w14:textId="77777777" w:rsidR="00934C98" w:rsidRDefault="00934C98" w:rsidP="00934C98">
      <w:pPr>
        <w:pStyle w:val="ListParagraph"/>
        <w:numPr>
          <w:ilvl w:val="0"/>
          <w:numId w:val="10"/>
        </w:numPr>
        <w:spacing w:after="0" w:line="240" w:lineRule="auto"/>
        <w:rPr>
          <w:rFonts w:ascii="Arial" w:hAnsi="Arial" w:cs="Arial"/>
          <w:sz w:val="24"/>
          <w:szCs w:val="24"/>
        </w:rPr>
      </w:pPr>
      <w:r>
        <w:rPr>
          <w:rFonts w:ascii="Arial" w:hAnsi="Arial" w:cs="Arial"/>
          <w:sz w:val="24"/>
          <w:szCs w:val="24"/>
        </w:rPr>
        <w:t>Excess treatment costs</w:t>
      </w:r>
    </w:p>
    <w:p w14:paraId="12472B42" w14:textId="502E68F9" w:rsidR="00934C98" w:rsidRDefault="00934C98" w:rsidP="00934C98">
      <w:pPr>
        <w:pStyle w:val="ListParagraph"/>
        <w:numPr>
          <w:ilvl w:val="0"/>
          <w:numId w:val="10"/>
        </w:numPr>
        <w:spacing w:after="0" w:line="240" w:lineRule="auto"/>
        <w:rPr>
          <w:rFonts w:ascii="Arial" w:hAnsi="Arial" w:cs="Arial"/>
          <w:sz w:val="24"/>
          <w:szCs w:val="24"/>
        </w:rPr>
      </w:pPr>
      <w:r>
        <w:rPr>
          <w:rFonts w:ascii="Arial" w:hAnsi="Arial" w:cs="Arial"/>
          <w:sz w:val="24"/>
          <w:szCs w:val="24"/>
        </w:rPr>
        <w:t>Inconsistenc</w:t>
      </w:r>
      <w:r w:rsidR="00175714">
        <w:rPr>
          <w:rFonts w:ascii="Arial" w:hAnsi="Arial" w:cs="Arial"/>
          <w:sz w:val="24"/>
          <w:szCs w:val="24"/>
        </w:rPr>
        <w:t>y</w:t>
      </w:r>
      <w:r w:rsidR="002B64FA">
        <w:rPr>
          <w:rFonts w:ascii="Arial" w:hAnsi="Arial" w:cs="Arial"/>
          <w:sz w:val="24"/>
          <w:szCs w:val="24"/>
        </w:rPr>
        <w:t xml:space="preserve"> </w:t>
      </w:r>
      <w:r>
        <w:rPr>
          <w:rFonts w:ascii="Arial" w:hAnsi="Arial" w:cs="Arial"/>
          <w:sz w:val="24"/>
          <w:szCs w:val="24"/>
        </w:rPr>
        <w:t xml:space="preserve">in </w:t>
      </w:r>
      <w:r w:rsidR="00BD4920">
        <w:rPr>
          <w:rFonts w:ascii="Arial" w:hAnsi="Arial" w:cs="Arial"/>
          <w:sz w:val="24"/>
          <w:szCs w:val="24"/>
        </w:rPr>
        <w:t xml:space="preserve">research </w:t>
      </w:r>
      <w:r>
        <w:rPr>
          <w:rFonts w:ascii="Arial" w:hAnsi="Arial" w:cs="Arial"/>
          <w:sz w:val="24"/>
          <w:szCs w:val="24"/>
        </w:rPr>
        <w:t xml:space="preserve">ethics </w:t>
      </w:r>
      <w:r w:rsidR="00BD4920">
        <w:rPr>
          <w:rFonts w:ascii="Arial" w:hAnsi="Arial" w:cs="Arial"/>
          <w:sz w:val="24"/>
          <w:szCs w:val="24"/>
        </w:rPr>
        <w:t xml:space="preserve">committee </w:t>
      </w:r>
      <w:r>
        <w:rPr>
          <w:rFonts w:ascii="Arial" w:hAnsi="Arial" w:cs="Arial"/>
          <w:sz w:val="24"/>
          <w:szCs w:val="24"/>
        </w:rPr>
        <w:t>review</w:t>
      </w:r>
      <w:r w:rsidR="00BD4920">
        <w:rPr>
          <w:rStyle w:val="FootnoteReference"/>
          <w:rFonts w:ascii="Arial" w:hAnsi="Arial" w:cs="Arial"/>
          <w:sz w:val="24"/>
          <w:szCs w:val="24"/>
        </w:rPr>
        <w:footnoteReference w:id="5"/>
      </w:r>
    </w:p>
    <w:p w14:paraId="4F534C2E" w14:textId="77777777" w:rsidR="00934C98" w:rsidRDefault="00934C98" w:rsidP="00934C98">
      <w:pPr>
        <w:rPr>
          <w:rFonts w:ascii="Arial" w:hAnsi="Arial" w:cs="Arial"/>
          <w:sz w:val="24"/>
          <w:szCs w:val="24"/>
        </w:rPr>
      </w:pPr>
    </w:p>
    <w:p w14:paraId="499E6C4F" w14:textId="2CB23343" w:rsidR="00934C98" w:rsidRDefault="00934C98" w:rsidP="00934C98">
      <w:pPr>
        <w:rPr>
          <w:rFonts w:ascii="Arial" w:hAnsi="Arial" w:cs="Arial"/>
          <w:sz w:val="24"/>
          <w:szCs w:val="24"/>
        </w:rPr>
      </w:pPr>
      <w:r>
        <w:rPr>
          <w:rFonts w:ascii="Arial" w:hAnsi="Arial" w:cs="Arial"/>
          <w:sz w:val="24"/>
          <w:szCs w:val="24"/>
        </w:rPr>
        <w:t xml:space="preserve">Delegates considered appropriate and proportionate </w:t>
      </w:r>
      <w:r w:rsidR="00533B04">
        <w:rPr>
          <w:rFonts w:ascii="Arial" w:hAnsi="Arial" w:cs="Arial"/>
          <w:sz w:val="24"/>
          <w:szCs w:val="24"/>
        </w:rPr>
        <w:t xml:space="preserve">procedures for seeking </w:t>
      </w:r>
      <w:r>
        <w:rPr>
          <w:rFonts w:ascii="Arial" w:hAnsi="Arial" w:cs="Arial"/>
          <w:sz w:val="24"/>
          <w:szCs w:val="24"/>
        </w:rPr>
        <w:t>consent</w:t>
      </w:r>
      <w:r w:rsidR="00175714">
        <w:rPr>
          <w:rFonts w:ascii="Arial" w:hAnsi="Arial" w:cs="Arial"/>
          <w:sz w:val="24"/>
          <w:szCs w:val="24"/>
        </w:rPr>
        <w:t xml:space="preserve"> and </w:t>
      </w:r>
      <w:r>
        <w:rPr>
          <w:rFonts w:ascii="Arial" w:hAnsi="Arial" w:cs="Arial"/>
          <w:sz w:val="24"/>
          <w:szCs w:val="24"/>
        </w:rPr>
        <w:t>noted</w:t>
      </w:r>
      <w:r w:rsidRPr="00A2206A">
        <w:rPr>
          <w:rFonts w:ascii="Arial" w:hAnsi="Arial" w:cs="Arial"/>
          <w:sz w:val="24"/>
          <w:szCs w:val="24"/>
        </w:rPr>
        <w:t xml:space="preserve"> </w:t>
      </w:r>
      <w:r w:rsidR="00533B04" w:rsidRPr="00A2206A">
        <w:rPr>
          <w:rFonts w:ascii="Arial" w:hAnsi="Arial" w:cs="Arial"/>
          <w:sz w:val="24"/>
          <w:szCs w:val="24"/>
        </w:rPr>
        <w:t xml:space="preserve">that </w:t>
      </w:r>
      <w:r w:rsidR="00470F40">
        <w:rPr>
          <w:rFonts w:ascii="Arial" w:hAnsi="Arial" w:cs="Arial"/>
          <w:sz w:val="24"/>
          <w:szCs w:val="24"/>
        </w:rPr>
        <w:t xml:space="preserve">the </w:t>
      </w:r>
      <w:r>
        <w:rPr>
          <w:rFonts w:ascii="Arial" w:hAnsi="Arial" w:cs="Arial"/>
          <w:sz w:val="24"/>
          <w:szCs w:val="24"/>
        </w:rPr>
        <w:t xml:space="preserve">HRA </w:t>
      </w:r>
      <w:r w:rsidR="00533B04">
        <w:rPr>
          <w:rFonts w:ascii="Arial" w:hAnsi="Arial" w:cs="Arial"/>
          <w:sz w:val="24"/>
          <w:szCs w:val="24"/>
        </w:rPr>
        <w:t xml:space="preserve">already </w:t>
      </w:r>
      <w:r>
        <w:rPr>
          <w:rFonts w:ascii="Arial" w:hAnsi="Arial" w:cs="Arial"/>
          <w:sz w:val="24"/>
          <w:szCs w:val="24"/>
        </w:rPr>
        <w:t xml:space="preserve">advocates </w:t>
      </w:r>
      <w:r w:rsidR="00CA5382">
        <w:rPr>
          <w:rFonts w:ascii="Arial" w:hAnsi="Arial" w:cs="Arial"/>
          <w:sz w:val="24"/>
          <w:szCs w:val="24"/>
        </w:rPr>
        <w:t xml:space="preserve">a </w:t>
      </w:r>
      <w:r>
        <w:rPr>
          <w:rFonts w:ascii="Arial" w:hAnsi="Arial" w:cs="Arial"/>
          <w:sz w:val="24"/>
          <w:szCs w:val="24"/>
        </w:rPr>
        <w:t xml:space="preserve">proportionate </w:t>
      </w:r>
      <w:r w:rsidR="00CA5382">
        <w:rPr>
          <w:rFonts w:ascii="Arial" w:hAnsi="Arial" w:cs="Arial"/>
          <w:sz w:val="24"/>
          <w:szCs w:val="24"/>
        </w:rPr>
        <w:t>approach</w:t>
      </w:r>
      <w:r w:rsidR="00470F40">
        <w:rPr>
          <w:rFonts w:ascii="Arial" w:hAnsi="Arial" w:cs="Arial"/>
          <w:sz w:val="24"/>
          <w:szCs w:val="24"/>
        </w:rPr>
        <w:t xml:space="preserve"> in its guidance</w:t>
      </w:r>
      <w:r w:rsidR="006E1013">
        <w:rPr>
          <w:rStyle w:val="FootnoteReference"/>
          <w:rFonts w:ascii="Arial" w:hAnsi="Arial" w:cs="Arial"/>
          <w:sz w:val="24"/>
          <w:szCs w:val="24"/>
        </w:rPr>
        <w:footnoteReference w:id="6"/>
      </w:r>
      <w:r w:rsidR="00175714">
        <w:rPr>
          <w:rFonts w:ascii="Arial" w:hAnsi="Arial" w:cs="Arial"/>
          <w:sz w:val="24"/>
          <w:szCs w:val="24"/>
        </w:rPr>
        <w:t xml:space="preserve">. They acknowledged </w:t>
      </w:r>
      <w:r w:rsidR="00756F7D">
        <w:rPr>
          <w:rFonts w:ascii="Arial" w:hAnsi="Arial" w:cs="Arial"/>
          <w:sz w:val="24"/>
          <w:szCs w:val="24"/>
        </w:rPr>
        <w:t>the</w:t>
      </w:r>
      <w:r>
        <w:rPr>
          <w:rFonts w:ascii="Arial" w:hAnsi="Arial" w:cs="Arial"/>
          <w:sz w:val="24"/>
          <w:szCs w:val="24"/>
        </w:rPr>
        <w:t xml:space="preserve"> public support for simplified consent</w:t>
      </w:r>
      <w:r w:rsidR="00AC1E6F">
        <w:rPr>
          <w:rFonts w:ascii="Arial" w:hAnsi="Arial" w:cs="Arial"/>
          <w:sz w:val="24"/>
          <w:szCs w:val="24"/>
        </w:rPr>
        <w:t xml:space="preserve"> </w:t>
      </w:r>
      <w:r w:rsidR="00CA5382">
        <w:rPr>
          <w:rFonts w:ascii="Arial" w:hAnsi="Arial" w:cs="Arial"/>
          <w:sz w:val="24"/>
          <w:szCs w:val="24"/>
        </w:rPr>
        <w:t xml:space="preserve">procedures </w:t>
      </w:r>
      <w:r w:rsidR="009F3FD3">
        <w:rPr>
          <w:rFonts w:ascii="Arial" w:hAnsi="Arial" w:cs="Arial"/>
          <w:sz w:val="24"/>
          <w:szCs w:val="24"/>
        </w:rPr>
        <w:t xml:space="preserve">but </w:t>
      </w:r>
      <w:r w:rsidR="00CA5382">
        <w:rPr>
          <w:rFonts w:ascii="Arial" w:hAnsi="Arial" w:cs="Arial"/>
          <w:sz w:val="24"/>
          <w:szCs w:val="24"/>
        </w:rPr>
        <w:t xml:space="preserve">also </w:t>
      </w:r>
      <w:r w:rsidR="009F3FD3">
        <w:rPr>
          <w:rFonts w:ascii="Arial" w:hAnsi="Arial" w:cs="Arial"/>
          <w:sz w:val="24"/>
          <w:szCs w:val="24"/>
        </w:rPr>
        <w:t xml:space="preserve">noted </w:t>
      </w:r>
      <w:r w:rsidR="00175714">
        <w:rPr>
          <w:rFonts w:ascii="Arial" w:hAnsi="Arial" w:cs="Arial"/>
          <w:sz w:val="24"/>
          <w:szCs w:val="24"/>
        </w:rPr>
        <w:t xml:space="preserve">the </w:t>
      </w:r>
      <w:r>
        <w:rPr>
          <w:rFonts w:ascii="Arial" w:hAnsi="Arial" w:cs="Arial"/>
          <w:sz w:val="24"/>
          <w:szCs w:val="24"/>
        </w:rPr>
        <w:t xml:space="preserve">strong emphasis </w:t>
      </w:r>
      <w:r w:rsidR="00175714">
        <w:rPr>
          <w:rFonts w:ascii="Arial" w:hAnsi="Arial" w:cs="Arial"/>
          <w:sz w:val="24"/>
          <w:szCs w:val="24"/>
        </w:rPr>
        <w:t xml:space="preserve">placed </w:t>
      </w:r>
      <w:r w:rsidR="00E63429">
        <w:rPr>
          <w:rFonts w:ascii="Arial" w:hAnsi="Arial" w:cs="Arial"/>
          <w:sz w:val="24"/>
          <w:szCs w:val="24"/>
        </w:rPr>
        <w:t xml:space="preserve">by the public </w:t>
      </w:r>
      <w:r>
        <w:rPr>
          <w:rFonts w:ascii="Arial" w:hAnsi="Arial" w:cs="Arial"/>
          <w:sz w:val="24"/>
          <w:szCs w:val="24"/>
        </w:rPr>
        <w:t xml:space="preserve">on </w:t>
      </w:r>
      <w:r w:rsidR="00E63429">
        <w:rPr>
          <w:rFonts w:ascii="Arial" w:hAnsi="Arial" w:cs="Arial"/>
          <w:sz w:val="24"/>
          <w:szCs w:val="24"/>
        </w:rPr>
        <w:t xml:space="preserve">the need for </w:t>
      </w:r>
      <w:r w:rsidR="009F3FD3">
        <w:rPr>
          <w:rFonts w:ascii="Arial" w:hAnsi="Arial" w:cs="Arial"/>
          <w:sz w:val="24"/>
          <w:szCs w:val="24"/>
        </w:rPr>
        <w:t xml:space="preserve">full </w:t>
      </w:r>
      <w:r>
        <w:rPr>
          <w:rFonts w:ascii="Arial" w:hAnsi="Arial" w:cs="Arial"/>
          <w:sz w:val="24"/>
          <w:szCs w:val="24"/>
        </w:rPr>
        <w:t>consent</w:t>
      </w:r>
      <w:r w:rsidR="009F3FD3">
        <w:rPr>
          <w:rFonts w:ascii="Arial" w:hAnsi="Arial" w:cs="Arial"/>
          <w:sz w:val="24"/>
          <w:szCs w:val="24"/>
        </w:rPr>
        <w:t xml:space="preserve"> </w:t>
      </w:r>
      <w:r w:rsidR="009F3FD3">
        <w:rPr>
          <w:rFonts w:ascii="Arial" w:hAnsi="Arial" w:cs="Arial"/>
          <w:sz w:val="24"/>
          <w:szCs w:val="24"/>
        </w:rPr>
        <w:lastRenderedPageBreak/>
        <w:t>procedures</w:t>
      </w:r>
      <w:r>
        <w:rPr>
          <w:rFonts w:ascii="Arial" w:hAnsi="Arial" w:cs="Arial"/>
          <w:sz w:val="24"/>
          <w:szCs w:val="24"/>
        </w:rPr>
        <w:t xml:space="preserve"> </w:t>
      </w:r>
      <w:r w:rsidR="009F3FD3">
        <w:rPr>
          <w:rFonts w:ascii="Arial" w:hAnsi="Arial" w:cs="Arial"/>
          <w:sz w:val="24"/>
          <w:szCs w:val="24"/>
        </w:rPr>
        <w:t xml:space="preserve">where </w:t>
      </w:r>
      <w:r>
        <w:rPr>
          <w:rFonts w:ascii="Arial" w:hAnsi="Arial" w:cs="Arial"/>
          <w:sz w:val="24"/>
          <w:szCs w:val="24"/>
        </w:rPr>
        <w:t xml:space="preserve">the procedure is invasive or new or unproven treatments </w:t>
      </w:r>
      <w:r w:rsidR="00E63429">
        <w:rPr>
          <w:rFonts w:ascii="Arial" w:hAnsi="Arial" w:cs="Arial"/>
          <w:sz w:val="24"/>
          <w:szCs w:val="24"/>
        </w:rPr>
        <w:t xml:space="preserve">are </w:t>
      </w:r>
      <w:r>
        <w:rPr>
          <w:rFonts w:ascii="Arial" w:hAnsi="Arial" w:cs="Arial"/>
          <w:sz w:val="24"/>
          <w:szCs w:val="24"/>
        </w:rPr>
        <w:t>involved.</w:t>
      </w:r>
    </w:p>
    <w:p w14:paraId="5DADE63E" w14:textId="77777777" w:rsidR="00AC1E6F" w:rsidRDefault="00AC1E6F" w:rsidP="00934C98">
      <w:pPr>
        <w:spacing w:after="0"/>
        <w:rPr>
          <w:rFonts w:ascii="Arial" w:hAnsi="Arial" w:cs="Arial"/>
          <w:b/>
          <w:sz w:val="24"/>
          <w:szCs w:val="24"/>
        </w:rPr>
      </w:pPr>
    </w:p>
    <w:p w14:paraId="7366C6AA" w14:textId="77777777" w:rsidR="00934C98" w:rsidRDefault="00934C98" w:rsidP="00934C98">
      <w:pPr>
        <w:spacing w:after="0"/>
        <w:rPr>
          <w:rFonts w:ascii="Arial" w:hAnsi="Arial" w:cs="Arial"/>
          <w:b/>
          <w:sz w:val="24"/>
          <w:szCs w:val="24"/>
        </w:rPr>
      </w:pPr>
      <w:r>
        <w:rPr>
          <w:rFonts w:ascii="Arial" w:hAnsi="Arial" w:cs="Arial"/>
          <w:b/>
          <w:sz w:val="24"/>
          <w:szCs w:val="24"/>
        </w:rPr>
        <w:t>Further points discussed at the meeting</w:t>
      </w:r>
    </w:p>
    <w:p w14:paraId="48E06869" w14:textId="77777777" w:rsidR="00934C98" w:rsidRDefault="00934C98" w:rsidP="00934C98">
      <w:pPr>
        <w:pStyle w:val="ListParagraph"/>
        <w:spacing w:after="0" w:line="240" w:lineRule="auto"/>
        <w:rPr>
          <w:rFonts w:ascii="Arial" w:hAnsi="Arial" w:cs="Arial"/>
          <w:sz w:val="24"/>
          <w:szCs w:val="24"/>
        </w:rPr>
      </w:pPr>
    </w:p>
    <w:p w14:paraId="64125956" w14:textId="0ABF8D0E" w:rsidR="00934C98" w:rsidRDefault="00934C98" w:rsidP="00934C98">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The need to </w:t>
      </w:r>
      <w:r w:rsidR="009C74D1">
        <w:rPr>
          <w:rFonts w:ascii="Arial" w:hAnsi="Arial" w:cs="Arial"/>
          <w:sz w:val="24"/>
          <w:szCs w:val="24"/>
        </w:rPr>
        <w:t>address proportionate</w:t>
      </w:r>
      <w:r>
        <w:rPr>
          <w:rFonts w:ascii="Arial" w:hAnsi="Arial" w:cs="Arial"/>
          <w:sz w:val="24"/>
          <w:szCs w:val="24"/>
        </w:rPr>
        <w:t xml:space="preserve"> research </w:t>
      </w:r>
      <w:r w:rsidR="009C74D1">
        <w:rPr>
          <w:rFonts w:ascii="Arial" w:hAnsi="Arial" w:cs="Arial"/>
          <w:sz w:val="24"/>
          <w:szCs w:val="24"/>
        </w:rPr>
        <w:t xml:space="preserve">regulation and </w:t>
      </w:r>
      <w:r>
        <w:rPr>
          <w:rFonts w:ascii="Arial" w:hAnsi="Arial" w:cs="Arial"/>
          <w:sz w:val="24"/>
          <w:szCs w:val="24"/>
        </w:rPr>
        <w:t>review</w:t>
      </w:r>
    </w:p>
    <w:p w14:paraId="2EFA263D" w14:textId="2E40EE65" w:rsidR="00934C98" w:rsidRDefault="00934C98" w:rsidP="00934C98">
      <w:pPr>
        <w:pStyle w:val="ListParagraph"/>
        <w:numPr>
          <w:ilvl w:val="0"/>
          <w:numId w:val="11"/>
        </w:numPr>
        <w:spacing w:after="0" w:line="240" w:lineRule="auto"/>
        <w:rPr>
          <w:rFonts w:ascii="Arial" w:hAnsi="Arial" w:cs="Arial"/>
          <w:sz w:val="24"/>
          <w:szCs w:val="24"/>
        </w:rPr>
      </w:pPr>
      <w:r>
        <w:rPr>
          <w:rFonts w:ascii="Arial" w:hAnsi="Arial" w:cs="Arial"/>
          <w:sz w:val="24"/>
          <w:szCs w:val="24"/>
        </w:rPr>
        <w:t>The nature of consent: what are the consequences of requiring specific</w:t>
      </w:r>
      <w:r w:rsidR="004E7E5E">
        <w:rPr>
          <w:rFonts w:ascii="Arial" w:hAnsi="Arial" w:cs="Arial"/>
          <w:sz w:val="24"/>
          <w:szCs w:val="24"/>
        </w:rPr>
        <w:t xml:space="preserve"> </w:t>
      </w:r>
      <w:r w:rsidR="00EF4257">
        <w:rPr>
          <w:rFonts w:ascii="Arial" w:hAnsi="Arial" w:cs="Arial"/>
          <w:sz w:val="24"/>
          <w:szCs w:val="24"/>
        </w:rPr>
        <w:t xml:space="preserve">and </w:t>
      </w:r>
      <w:r>
        <w:rPr>
          <w:rFonts w:ascii="Arial" w:hAnsi="Arial" w:cs="Arial"/>
          <w:sz w:val="24"/>
          <w:szCs w:val="24"/>
        </w:rPr>
        <w:t xml:space="preserve">explicit consent in health care and research? </w:t>
      </w:r>
    </w:p>
    <w:p w14:paraId="4D99BE83" w14:textId="0C065CCE" w:rsidR="00934C98" w:rsidRDefault="00934C98" w:rsidP="00934C98">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Incentivising doctors to take part in </w:t>
      </w:r>
      <w:proofErr w:type="spellStart"/>
      <w:r w:rsidR="00BD4E6D">
        <w:rPr>
          <w:rFonts w:ascii="Arial" w:hAnsi="Arial" w:cs="Arial"/>
          <w:sz w:val="24"/>
          <w:szCs w:val="24"/>
        </w:rPr>
        <w:t>PoCTs</w:t>
      </w:r>
      <w:proofErr w:type="spellEnd"/>
    </w:p>
    <w:p w14:paraId="1E2E84F4" w14:textId="16C67A0C" w:rsidR="00934C98" w:rsidRPr="00A2206A" w:rsidRDefault="00295576" w:rsidP="00E5317E">
      <w:pPr>
        <w:pStyle w:val="ListParagraph"/>
        <w:numPr>
          <w:ilvl w:val="0"/>
          <w:numId w:val="11"/>
        </w:numPr>
        <w:spacing w:after="0" w:line="240" w:lineRule="auto"/>
        <w:rPr>
          <w:rFonts w:ascii="Arial" w:hAnsi="Arial" w:cs="Arial"/>
          <w:sz w:val="24"/>
          <w:szCs w:val="24"/>
        </w:rPr>
      </w:pPr>
      <w:r>
        <w:rPr>
          <w:rFonts w:ascii="Arial" w:hAnsi="Arial" w:cs="Arial"/>
          <w:sz w:val="24"/>
          <w:szCs w:val="24"/>
        </w:rPr>
        <w:t>What</w:t>
      </w:r>
      <w:r w:rsidR="00934C98">
        <w:rPr>
          <w:rFonts w:ascii="Arial" w:hAnsi="Arial" w:cs="Arial"/>
          <w:sz w:val="24"/>
          <w:szCs w:val="24"/>
        </w:rPr>
        <w:t xml:space="preserve"> dut</w:t>
      </w:r>
      <w:r>
        <w:rPr>
          <w:rFonts w:ascii="Arial" w:hAnsi="Arial" w:cs="Arial"/>
          <w:sz w:val="24"/>
          <w:szCs w:val="24"/>
        </w:rPr>
        <w:t>ies do</w:t>
      </w:r>
      <w:r w:rsidR="00934C98">
        <w:rPr>
          <w:rFonts w:ascii="Arial" w:hAnsi="Arial" w:cs="Arial"/>
          <w:sz w:val="24"/>
          <w:szCs w:val="24"/>
        </w:rPr>
        <w:t xml:space="preserve"> doctors </w:t>
      </w:r>
      <w:r>
        <w:rPr>
          <w:rFonts w:ascii="Arial" w:hAnsi="Arial" w:cs="Arial"/>
          <w:sz w:val="24"/>
          <w:szCs w:val="24"/>
        </w:rPr>
        <w:t xml:space="preserve">have </w:t>
      </w:r>
      <w:r w:rsidR="00934C98">
        <w:rPr>
          <w:rFonts w:ascii="Arial" w:hAnsi="Arial" w:cs="Arial"/>
          <w:sz w:val="24"/>
          <w:szCs w:val="24"/>
        </w:rPr>
        <w:t>to contribute to resolving treatment uncertainties</w:t>
      </w:r>
      <w:r>
        <w:rPr>
          <w:rFonts w:ascii="Arial" w:hAnsi="Arial" w:cs="Arial"/>
          <w:sz w:val="24"/>
          <w:szCs w:val="24"/>
        </w:rPr>
        <w:t>?</w:t>
      </w:r>
      <w:r w:rsidR="00934C98">
        <w:rPr>
          <w:rFonts w:ascii="Arial" w:hAnsi="Arial" w:cs="Arial"/>
          <w:sz w:val="24"/>
          <w:szCs w:val="24"/>
        </w:rPr>
        <w:t xml:space="preserve"> (</w:t>
      </w:r>
      <w:r w:rsidR="00172071">
        <w:rPr>
          <w:rFonts w:ascii="Arial" w:hAnsi="Arial" w:cs="Arial"/>
          <w:sz w:val="24"/>
          <w:szCs w:val="24"/>
        </w:rPr>
        <w:t>It was noted that the duty to “</w:t>
      </w:r>
      <w:r w:rsidR="00172071" w:rsidRPr="00A2206A">
        <w:rPr>
          <w:rFonts w:ascii="Arial" w:hAnsi="Arial" w:cs="Arial"/>
          <w:i/>
          <w:sz w:val="24"/>
          <w:szCs w:val="24"/>
        </w:rPr>
        <w:t>help to resolve uncertainties about the effects of treatments</w:t>
      </w:r>
      <w:r w:rsidR="00172071">
        <w:rPr>
          <w:rFonts w:ascii="Arial" w:hAnsi="Arial" w:cs="Arial"/>
          <w:sz w:val="24"/>
          <w:szCs w:val="24"/>
        </w:rPr>
        <w:t>”</w:t>
      </w:r>
      <w:r w:rsidR="00172071" w:rsidRPr="00A2206A">
        <w:rPr>
          <w:rFonts w:ascii="Arial" w:hAnsi="Arial" w:cs="Arial"/>
          <w:sz w:val="24"/>
          <w:szCs w:val="24"/>
        </w:rPr>
        <w:t xml:space="preserve"> </w:t>
      </w:r>
      <w:r w:rsidR="00172071">
        <w:rPr>
          <w:rFonts w:ascii="Arial" w:hAnsi="Arial" w:cs="Arial"/>
          <w:sz w:val="24"/>
          <w:szCs w:val="24"/>
        </w:rPr>
        <w:t xml:space="preserve">has been </w:t>
      </w:r>
      <w:r w:rsidR="00934C98" w:rsidRPr="00A2206A">
        <w:rPr>
          <w:rFonts w:ascii="Arial" w:hAnsi="Arial" w:cs="Arial"/>
          <w:sz w:val="24"/>
          <w:szCs w:val="24"/>
        </w:rPr>
        <w:t xml:space="preserve">removed from latest </w:t>
      </w:r>
      <w:r w:rsidR="00670D4E" w:rsidRPr="00A2206A">
        <w:rPr>
          <w:rFonts w:ascii="Arial" w:hAnsi="Arial" w:cs="Arial"/>
          <w:sz w:val="24"/>
          <w:szCs w:val="24"/>
        </w:rPr>
        <w:t xml:space="preserve">GMC </w:t>
      </w:r>
      <w:r w:rsidR="00934C98" w:rsidRPr="00A2206A">
        <w:rPr>
          <w:rFonts w:ascii="Arial" w:hAnsi="Arial" w:cs="Arial"/>
          <w:sz w:val="24"/>
          <w:szCs w:val="24"/>
        </w:rPr>
        <w:t>“</w:t>
      </w:r>
      <w:r w:rsidR="00670D4E" w:rsidRPr="00A2206A">
        <w:rPr>
          <w:rFonts w:ascii="Arial" w:hAnsi="Arial" w:cs="Arial"/>
          <w:sz w:val="24"/>
          <w:szCs w:val="24"/>
        </w:rPr>
        <w:t>Good Medical Practice</w:t>
      </w:r>
      <w:r w:rsidR="00934C98" w:rsidRPr="00A2206A">
        <w:rPr>
          <w:rFonts w:ascii="Arial" w:hAnsi="Arial" w:cs="Arial"/>
          <w:sz w:val="24"/>
          <w:szCs w:val="24"/>
        </w:rPr>
        <w:t>”</w:t>
      </w:r>
      <w:r w:rsidR="00670D4E" w:rsidRPr="00A2206A">
        <w:rPr>
          <w:rFonts w:ascii="Arial" w:hAnsi="Arial" w:cs="Arial"/>
          <w:sz w:val="24"/>
          <w:szCs w:val="24"/>
        </w:rPr>
        <w:t xml:space="preserve"> (2013)</w:t>
      </w:r>
      <w:r w:rsidR="00934C98" w:rsidRPr="00A2206A">
        <w:rPr>
          <w:rFonts w:ascii="Arial" w:hAnsi="Arial" w:cs="Arial"/>
          <w:sz w:val="24"/>
          <w:szCs w:val="24"/>
        </w:rPr>
        <w:t>)</w:t>
      </w:r>
    </w:p>
    <w:p w14:paraId="79AF448D" w14:textId="078EA0C5" w:rsidR="00934C98" w:rsidRDefault="00DA6403" w:rsidP="00934C98">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Different consent standards </w:t>
      </w:r>
      <w:r w:rsidR="005944AB">
        <w:rPr>
          <w:rFonts w:ascii="Arial" w:hAnsi="Arial" w:cs="Arial"/>
          <w:sz w:val="24"/>
          <w:szCs w:val="24"/>
        </w:rPr>
        <w:t>applied to</w:t>
      </w:r>
      <w:r w:rsidR="00934C98">
        <w:rPr>
          <w:rFonts w:ascii="Arial" w:hAnsi="Arial" w:cs="Arial"/>
          <w:sz w:val="24"/>
          <w:szCs w:val="24"/>
        </w:rPr>
        <w:t xml:space="preserve"> routine clinical care and research</w:t>
      </w:r>
    </w:p>
    <w:p w14:paraId="53E5D31A" w14:textId="3BC681A5" w:rsidR="00934C98" w:rsidRDefault="00BD0438" w:rsidP="00BD0438">
      <w:pPr>
        <w:pStyle w:val="ListParagraph"/>
        <w:numPr>
          <w:ilvl w:val="0"/>
          <w:numId w:val="11"/>
        </w:numPr>
        <w:spacing w:after="0" w:line="240" w:lineRule="auto"/>
        <w:rPr>
          <w:rFonts w:ascii="Arial" w:hAnsi="Arial" w:cs="Arial"/>
          <w:sz w:val="24"/>
          <w:szCs w:val="24"/>
        </w:rPr>
      </w:pPr>
      <w:r>
        <w:rPr>
          <w:rFonts w:ascii="Arial" w:hAnsi="Arial" w:cs="Arial"/>
          <w:sz w:val="24"/>
          <w:szCs w:val="24"/>
        </w:rPr>
        <w:t>Role of the MHRA</w:t>
      </w:r>
      <w:r w:rsidRPr="00BD0438">
        <w:t xml:space="preserve"> </w:t>
      </w:r>
      <w:r w:rsidRPr="00BD0438">
        <w:rPr>
          <w:rFonts w:ascii="Arial" w:hAnsi="Arial" w:cs="Arial"/>
          <w:sz w:val="24"/>
          <w:szCs w:val="24"/>
        </w:rPr>
        <w:t xml:space="preserve">in facilitating </w:t>
      </w:r>
      <w:proofErr w:type="spellStart"/>
      <w:r w:rsidRPr="00BD0438">
        <w:rPr>
          <w:rFonts w:ascii="Arial" w:hAnsi="Arial" w:cs="Arial"/>
          <w:sz w:val="24"/>
          <w:szCs w:val="24"/>
        </w:rPr>
        <w:t>PoCTs</w:t>
      </w:r>
      <w:proofErr w:type="spellEnd"/>
    </w:p>
    <w:p w14:paraId="32E06C48" w14:textId="58E86D50" w:rsidR="00934C98" w:rsidRDefault="00E4646D" w:rsidP="00934C98">
      <w:pPr>
        <w:pStyle w:val="ListParagraph"/>
        <w:numPr>
          <w:ilvl w:val="0"/>
          <w:numId w:val="11"/>
        </w:numPr>
        <w:spacing w:after="0" w:line="240" w:lineRule="auto"/>
        <w:rPr>
          <w:rFonts w:ascii="Arial" w:hAnsi="Arial" w:cs="Arial"/>
          <w:sz w:val="24"/>
          <w:szCs w:val="24"/>
        </w:rPr>
      </w:pPr>
      <w:r>
        <w:rPr>
          <w:rFonts w:ascii="Arial" w:hAnsi="Arial" w:cs="Arial"/>
          <w:sz w:val="24"/>
          <w:szCs w:val="24"/>
        </w:rPr>
        <w:t>HRA/</w:t>
      </w:r>
      <w:r w:rsidR="00934C98">
        <w:rPr>
          <w:rFonts w:ascii="Arial" w:hAnsi="Arial" w:cs="Arial"/>
          <w:sz w:val="24"/>
          <w:szCs w:val="24"/>
        </w:rPr>
        <w:t xml:space="preserve">Research Ethics Committees </w:t>
      </w:r>
      <w:r w:rsidR="00DA6403">
        <w:rPr>
          <w:rFonts w:ascii="Arial" w:hAnsi="Arial" w:cs="Arial"/>
          <w:sz w:val="24"/>
          <w:szCs w:val="24"/>
        </w:rPr>
        <w:t xml:space="preserve">role in </w:t>
      </w:r>
      <w:r w:rsidR="00ED3157">
        <w:rPr>
          <w:rFonts w:ascii="Arial" w:hAnsi="Arial" w:cs="Arial"/>
          <w:sz w:val="24"/>
          <w:szCs w:val="24"/>
        </w:rPr>
        <w:t>facilitating</w:t>
      </w:r>
      <w:r w:rsidR="00DA6403">
        <w:rPr>
          <w:rFonts w:ascii="Arial" w:hAnsi="Arial" w:cs="Arial"/>
          <w:sz w:val="24"/>
          <w:szCs w:val="24"/>
        </w:rPr>
        <w:t xml:space="preserve"> </w:t>
      </w:r>
      <w:proofErr w:type="spellStart"/>
      <w:r w:rsidR="00DA6403">
        <w:rPr>
          <w:rFonts w:ascii="Arial" w:hAnsi="Arial" w:cs="Arial"/>
          <w:sz w:val="24"/>
          <w:szCs w:val="24"/>
        </w:rPr>
        <w:t>P</w:t>
      </w:r>
      <w:r w:rsidR="00ED3157">
        <w:rPr>
          <w:rFonts w:ascii="Arial" w:hAnsi="Arial" w:cs="Arial"/>
          <w:sz w:val="24"/>
          <w:szCs w:val="24"/>
        </w:rPr>
        <w:t>oCTs</w:t>
      </w:r>
      <w:proofErr w:type="spellEnd"/>
    </w:p>
    <w:p w14:paraId="66A6C5D8" w14:textId="67B6840E" w:rsidR="00934C98" w:rsidRDefault="00934C98" w:rsidP="00934C98">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The appropriate relationship between research and clinical care and the HRA and </w:t>
      </w:r>
      <w:proofErr w:type="spellStart"/>
      <w:r>
        <w:rPr>
          <w:rFonts w:ascii="Arial" w:hAnsi="Arial" w:cs="Arial"/>
          <w:sz w:val="24"/>
          <w:szCs w:val="24"/>
        </w:rPr>
        <w:t>RECs</w:t>
      </w:r>
      <w:r w:rsidR="00ED3157">
        <w:rPr>
          <w:rFonts w:ascii="Arial" w:hAnsi="Arial" w:cs="Arial"/>
          <w:sz w:val="24"/>
          <w:szCs w:val="24"/>
        </w:rPr>
        <w:t>’</w:t>
      </w:r>
      <w:proofErr w:type="spellEnd"/>
      <w:r>
        <w:rPr>
          <w:rFonts w:ascii="Arial" w:hAnsi="Arial" w:cs="Arial"/>
          <w:sz w:val="24"/>
          <w:szCs w:val="24"/>
        </w:rPr>
        <w:t xml:space="preserve"> role in this?</w:t>
      </w:r>
    </w:p>
    <w:p w14:paraId="2700D872" w14:textId="79A726E3" w:rsidR="00934C98" w:rsidRDefault="00934C98" w:rsidP="00934C98">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The need to include the </w:t>
      </w:r>
      <w:r w:rsidR="00D06571">
        <w:rPr>
          <w:rFonts w:ascii="Arial" w:hAnsi="Arial" w:cs="Arial"/>
          <w:sz w:val="24"/>
          <w:szCs w:val="24"/>
        </w:rPr>
        <w:t xml:space="preserve">public’s and </w:t>
      </w:r>
      <w:r>
        <w:rPr>
          <w:rFonts w:ascii="Arial" w:hAnsi="Arial" w:cs="Arial"/>
          <w:sz w:val="24"/>
          <w:szCs w:val="24"/>
        </w:rPr>
        <w:t xml:space="preserve">patients’ voice in setting priorities, designing studies and ensuring fair </w:t>
      </w:r>
      <w:r w:rsidR="00ED3157">
        <w:rPr>
          <w:rFonts w:ascii="Arial" w:hAnsi="Arial" w:cs="Arial"/>
          <w:sz w:val="24"/>
          <w:szCs w:val="24"/>
        </w:rPr>
        <w:t xml:space="preserve">and proportionate </w:t>
      </w:r>
      <w:r>
        <w:rPr>
          <w:rFonts w:ascii="Arial" w:hAnsi="Arial" w:cs="Arial"/>
          <w:sz w:val="24"/>
          <w:szCs w:val="24"/>
        </w:rPr>
        <w:t xml:space="preserve">consent. </w:t>
      </w:r>
    </w:p>
    <w:p w14:paraId="667C533F" w14:textId="77777777" w:rsidR="00C22F37" w:rsidRDefault="00C22F37" w:rsidP="00C22F37">
      <w:pPr>
        <w:spacing w:after="0"/>
        <w:rPr>
          <w:rFonts w:ascii="Arial" w:hAnsi="Arial" w:cs="Arial"/>
          <w:b/>
          <w:sz w:val="24"/>
          <w:szCs w:val="24"/>
        </w:rPr>
      </w:pPr>
    </w:p>
    <w:p w14:paraId="4A927CD1" w14:textId="77777777" w:rsidR="007E2F0B" w:rsidRDefault="007E2F0B" w:rsidP="00C22F37">
      <w:pPr>
        <w:spacing w:after="0"/>
        <w:rPr>
          <w:rFonts w:ascii="Arial" w:hAnsi="Arial" w:cs="Arial"/>
          <w:b/>
          <w:sz w:val="24"/>
          <w:szCs w:val="24"/>
        </w:rPr>
      </w:pPr>
    </w:p>
    <w:p w14:paraId="496867A4" w14:textId="77777777" w:rsidR="00A2206A" w:rsidRDefault="00A2206A" w:rsidP="00C22F37">
      <w:pPr>
        <w:spacing w:after="0"/>
        <w:rPr>
          <w:rFonts w:ascii="Arial" w:hAnsi="Arial" w:cs="Arial"/>
          <w:b/>
          <w:sz w:val="24"/>
          <w:szCs w:val="24"/>
        </w:rPr>
      </w:pPr>
    </w:p>
    <w:p w14:paraId="455CCA1B" w14:textId="77777777" w:rsidR="00A2206A" w:rsidRDefault="00A2206A" w:rsidP="00C22F37">
      <w:pPr>
        <w:spacing w:after="0"/>
        <w:rPr>
          <w:rFonts w:ascii="Arial" w:hAnsi="Arial" w:cs="Arial"/>
          <w:b/>
          <w:sz w:val="24"/>
          <w:szCs w:val="24"/>
        </w:rPr>
      </w:pPr>
    </w:p>
    <w:p w14:paraId="70CB2B19" w14:textId="77777777" w:rsidR="00C22F37" w:rsidRDefault="00C22F37" w:rsidP="00C22F37">
      <w:pPr>
        <w:spacing w:after="0"/>
        <w:rPr>
          <w:rFonts w:ascii="Arial" w:hAnsi="Arial" w:cs="Arial"/>
          <w:b/>
          <w:sz w:val="24"/>
          <w:szCs w:val="24"/>
        </w:rPr>
      </w:pPr>
      <w:r>
        <w:rPr>
          <w:rFonts w:ascii="Arial" w:hAnsi="Arial" w:cs="Arial"/>
          <w:b/>
          <w:sz w:val="24"/>
          <w:szCs w:val="24"/>
        </w:rPr>
        <w:t>Next Steps</w:t>
      </w:r>
    </w:p>
    <w:p w14:paraId="3D4161BB" w14:textId="77777777" w:rsidR="00934C98" w:rsidRDefault="00934C98" w:rsidP="00934C98">
      <w:pPr>
        <w:spacing w:after="0"/>
        <w:rPr>
          <w:rFonts w:ascii="Arial" w:hAnsi="Arial" w:cs="Arial"/>
          <w:b/>
          <w:sz w:val="24"/>
          <w:szCs w:val="24"/>
        </w:rPr>
      </w:pPr>
    </w:p>
    <w:p w14:paraId="104F2252" w14:textId="77777777" w:rsidR="007E2F0B" w:rsidRDefault="00934C98" w:rsidP="007E2F0B">
      <w:pPr>
        <w:pStyle w:val="ListParagraph"/>
        <w:numPr>
          <w:ilvl w:val="0"/>
          <w:numId w:val="14"/>
        </w:numPr>
        <w:spacing w:line="254" w:lineRule="auto"/>
        <w:rPr>
          <w:rFonts w:ascii="Arial" w:hAnsi="Arial" w:cs="Arial"/>
          <w:sz w:val="24"/>
          <w:szCs w:val="24"/>
        </w:rPr>
      </w:pPr>
      <w:r w:rsidRPr="007E2F0B">
        <w:rPr>
          <w:rFonts w:ascii="Arial" w:hAnsi="Arial" w:cs="Arial"/>
          <w:sz w:val="24"/>
          <w:szCs w:val="24"/>
        </w:rPr>
        <w:t>Disseminating this meeting report</w:t>
      </w:r>
    </w:p>
    <w:p w14:paraId="46E46008" w14:textId="77777777" w:rsidR="007E2F0B" w:rsidRDefault="00934C98" w:rsidP="007E2F0B">
      <w:pPr>
        <w:pStyle w:val="ListParagraph"/>
        <w:numPr>
          <w:ilvl w:val="0"/>
          <w:numId w:val="14"/>
        </w:numPr>
        <w:spacing w:line="254" w:lineRule="auto"/>
        <w:rPr>
          <w:rFonts w:ascii="Arial" w:hAnsi="Arial" w:cs="Arial"/>
          <w:sz w:val="24"/>
          <w:szCs w:val="24"/>
        </w:rPr>
      </w:pPr>
      <w:r w:rsidRPr="007E2F0B">
        <w:rPr>
          <w:rFonts w:ascii="Arial" w:hAnsi="Arial" w:cs="Arial"/>
          <w:sz w:val="24"/>
          <w:szCs w:val="24"/>
        </w:rPr>
        <w:t xml:space="preserve">Providing a summary </w:t>
      </w:r>
      <w:r w:rsidR="00A81EFE">
        <w:rPr>
          <w:rFonts w:ascii="Arial" w:hAnsi="Arial" w:cs="Arial"/>
          <w:sz w:val="24"/>
          <w:szCs w:val="24"/>
        </w:rPr>
        <w:t>‘</w:t>
      </w:r>
      <w:r w:rsidRPr="007E2F0B">
        <w:rPr>
          <w:rFonts w:ascii="Arial" w:hAnsi="Arial" w:cs="Arial"/>
          <w:sz w:val="24"/>
          <w:szCs w:val="24"/>
        </w:rPr>
        <w:t>bulletin</w:t>
      </w:r>
      <w:r w:rsidR="00A81EFE">
        <w:rPr>
          <w:rFonts w:ascii="Arial" w:hAnsi="Arial" w:cs="Arial"/>
          <w:sz w:val="24"/>
          <w:szCs w:val="24"/>
        </w:rPr>
        <w:t>’</w:t>
      </w:r>
      <w:r w:rsidRPr="007E2F0B">
        <w:rPr>
          <w:rFonts w:ascii="Arial" w:hAnsi="Arial" w:cs="Arial"/>
          <w:sz w:val="24"/>
          <w:szCs w:val="24"/>
        </w:rPr>
        <w:t xml:space="preserve"> to collect and record delegate comme</w:t>
      </w:r>
      <w:r w:rsidR="003062D6">
        <w:rPr>
          <w:rFonts w:ascii="Arial" w:hAnsi="Arial" w:cs="Arial"/>
          <w:sz w:val="24"/>
          <w:szCs w:val="24"/>
        </w:rPr>
        <w:t xml:space="preserve">nts  </w:t>
      </w:r>
    </w:p>
    <w:p w14:paraId="4244EE3E" w14:textId="6ABF29A7" w:rsidR="007E2F0B" w:rsidRDefault="00934C98" w:rsidP="007E2F0B">
      <w:pPr>
        <w:pStyle w:val="ListParagraph"/>
        <w:numPr>
          <w:ilvl w:val="0"/>
          <w:numId w:val="14"/>
        </w:numPr>
        <w:spacing w:line="254" w:lineRule="auto"/>
        <w:rPr>
          <w:rFonts w:ascii="Arial" w:hAnsi="Arial" w:cs="Arial"/>
          <w:sz w:val="24"/>
          <w:szCs w:val="24"/>
        </w:rPr>
      </w:pPr>
      <w:r w:rsidRPr="007E2F0B">
        <w:rPr>
          <w:rFonts w:ascii="Arial" w:hAnsi="Arial" w:cs="Arial"/>
          <w:sz w:val="24"/>
          <w:szCs w:val="24"/>
        </w:rPr>
        <w:t xml:space="preserve">Developing HRA guidance on </w:t>
      </w:r>
      <w:r w:rsidR="000F252D">
        <w:rPr>
          <w:rFonts w:ascii="Arial" w:hAnsi="Arial" w:cs="Arial"/>
          <w:sz w:val="24"/>
          <w:szCs w:val="24"/>
        </w:rPr>
        <w:t xml:space="preserve">applying </w:t>
      </w:r>
      <w:r w:rsidRPr="007E2F0B">
        <w:rPr>
          <w:rFonts w:ascii="Arial" w:hAnsi="Arial" w:cs="Arial"/>
          <w:sz w:val="24"/>
          <w:szCs w:val="24"/>
        </w:rPr>
        <w:t>proportionate</w:t>
      </w:r>
      <w:r w:rsidR="000F252D">
        <w:rPr>
          <w:rFonts w:ascii="Arial" w:hAnsi="Arial" w:cs="Arial"/>
          <w:sz w:val="24"/>
          <w:szCs w:val="24"/>
        </w:rPr>
        <w:t xml:space="preserve"> approaches to seeking</w:t>
      </w:r>
      <w:r w:rsidRPr="007E2F0B">
        <w:rPr>
          <w:rFonts w:ascii="Arial" w:hAnsi="Arial" w:cs="Arial"/>
          <w:sz w:val="24"/>
          <w:szCs w:val="24"/>
        </w:rPr>
        <w:t xml:space="preserve"> consent</w:t>
      </w:r>
      <w:r w:rsidR="000F252D">
        <w:rPr>
          <w:rFonts w:ascii="Arial" w:hAnsi="Arial" w:cs="Arial"/>
          <w:sz w:val="24"/>
          <w:szCs w:val="24"/>
        </w:rPr>
        <w:t xml:space="preserve"> in all types of research</w:t>
      </w:r>
      <w:r w:rsidRPr="007E2F0B">
        <w:rPr>
          <w:rFonts w:ascii="Arial" w:hAnsi="Arial" w:cs="Arial"/>
          <w:sz w:val="24"/>
          <w:szCs w:val="24"/>
        </w:rPr>
        <w:t xml:space="preserve"> </w:t>
      </w:r>
    </w:p>
    <w:p w14:paraId="6974AA78" w14:textId="77777777" w:rsidR="003062D6" w:rsidRDefault="003062D6" w:rsidP="007E2F0B">
      <w:pPr>
        <w:pStyle w:val="ListParagraph"/>
        <w:numPr>
          <w:ilvl w:val="0"/>
          <w:numId w:val="14"/>
        </w:numPr>
        <w:spacing w:line="254" w:lineRule="auto"/>
        <w:rPr>
          <w:rFonts w:ascii="Arial" w:hAnsi="Arial" w:cs="Arial"/>
          <w:sz w:val="24"/>
          <w:szCs w:val="24"/>
        </w:rPr>
      </w:pPr>
      <w:r>
        <w:rPr>
          <w:rFonts w:ascii="Arial" w:hAnsi="Arial" w:cs="Arial"/>
          <w:sz w:val="24"/>
          <w:szCs w:val="24"/>
        </w:rPr>
        <w:t>Developing training materials for REC members</w:t>
      </w:r>
      <w:r w:rsidR="00363428">
        <w:rPr>
          <w:rFonts w:ascii="Arial" w:hAnsi="Arial" w:cs="Arial"/>
          <w:sz w:val="24"/>
          <w:szCs w:val="24"/>
        </w:rPr>
        <w:t xml:space="preserve"> to support HRA guidance</w:t>
      </w:r>
    </w:p>
    <w:p w14:paraId="51DE5763" w14:textId="099AE29E" w:rsidR="008B67BA" w:rsidRPr="00D06571" w:rsidRDefault="005E6FFB" w:rsidP="007E2F0B">
      <w:pPr>
        <w:pStyle w:val="ListParagraph"/>
        <w:numPr>
          <w:ilvl w:val="0"/>
          <w:numId w:val="14"/>
        </w:numPr>
        <w:spacing w:line="254" w:lineRule="auto"/>
        <w:rPr>
          <w:rFonts w:ascii="Arial" w:hAnsi="Arial" w:cs="Arial"/>
          <w:sz w:val="24"/>
          <w:szCs w:val="24"/>
        </w:rPr>
      </w:pPr>
      <w:r>
        <w:rPr>
          <w:rFonts w:ascii="Arial" w:hAnsi="Arial" w:cs="Arial"/>
          <w:sz w:val="24"/>
          <w:szCs w:val="24"/>
        </w:rPr>
        <w:t xml:space="preserve">Preparing a </w:t>
      </w:r>
      <w:r w:rsidR="00934C98" w:rsidRPr="00D06571">
        <w:rPr>
          <w:rFonts w:ascii="Arial" w:hAnsi="Arial" w:cs="Arial"/>
          <w:sz w:val="24"/>
          <w:szCs w:val="24"/>
        </w:rPr>
        <w:t>fuller</w:t>
      </w:r>
      <w:r>
        <w:rPr>
          <w:rFonts w:ascii="Arial" w:hAnsi="Arial" w:cs="Arial"/>
          <w:sz w:val="24"/>
          <w:szCs w:val="24"/>
        </w:rPr>
        <w:t>, academic</w:t>
      </w:r>
      <w:r w:rsidR="00934C98" w:rsidRPr="00D06571">
        <w:rPr>
          <w:rFonts w:ascii="Arial" w:hAnsi="Arial" w:cs="Arial"/>
          <w:sz w:val="24"/>
          <w:szCs w:val="24"/>
        </w:rPr>
        <w:t xml:space="preserve"> report for publication based on this meeting</w:t>
      </w:r>
    </w:p>
    <w:p w14:paraId="62600C89" w14:textId="13608F5B" w:rsidR="003E2465" w:rsidRPr="00DD0173" w:rsidRDefault="00D96A46" w:rsidP="00A2206A">
      <w:pPr>
        <w:pStyle w:val="ListParagraph"/>
        <w:numPr>
          <w:ilvl w:val="0"/>
          <w:numId w:val="14"/>
        </w:numPr>
        <w:spacing w:line="254" w:lineRule="auto"/>
        <w:rPr>
          <w:rFonts w:ascii="Arial" w:hAnsi="Arial" w:cs="Arial"/>
          <w:sz w:val="24"/>
          <w:szCs w:val="24"/>
        </w:rPr>
      </w:pPr>
      <w:r w:rsidRPr="00A2206A">
        <w:rPr>
          <w:rFonts w:ascii="Arial" w:hAnsi="Arial" w:cs="Arial"/>
          <w:sz w:val="24"/>
          <w:szCs w:val="24"/>
        </w:rPr>
        <w:t xml:space="preserve">Identifying interested parties </w:t>
      </w:r>
      <w:r w:rsidR="00935D86" w:rsidRPr="00A2206A">
        <w:rPr>
          <w:rFonts w:ascii="Arial" w:hAnsi="Arial" w:cs="Arial"/>
          <w:sz w:val="24"/>
          <w:szCs w:val="24"/>
        </w:rPr>
        <w:t xml:space="preserve">for </w:t>
      </w:r>
      <w:r w:rsidR="00F74430" w:rsidRPr="00A2206A">
        <w:rPr>
          <w:rFonts w:ascii="Arial" w:hAnsi="Arial" w:cs="Arial"/>
          <w:sz w:val="24"/>
          <w:szCs w:val="24"/>
        </w:rPr>
        <w:t>future</w:t>
      </w:r>
      <w:r w:rsidR="00935D86" w:rsidRPr="00A2206A">
        <w:rPr>
          <w:rFonts w:ascii="Arial" w:hAnsi="Arial" w:cs="Arial"/>
          <w:sz w:val="24"/>
          <w:szCs w:val="24"/>
        </w:rPr>
        <w:t xml:space="preserve"> collaboration</w:t>
      </w:r>
      <w:r w:rsidR="00F74430" w:rsidRPr="00A2206A">
        <w:rPr>
          <w:rFonts w:ascii="Arial" w:hAnsi="Arial" w:cs="Arial"/>
          <w:sz w:val="24"/>
          <w:szCs w:val="24"/>
        </w:rPr>
        <w:t>/</w:t>
      </w:r>
      <w:r w:rsidRPr="00A2206A">
        <w:rPr>
          <w:rFonts w:ascii="Arial" w:hAnsi="Arial" w:cs="Arial"/>
          <w:sz w:val="24"/>
          <w:szCs w:val="24"/>
        </w:rPr>
        <w:t>discussions</w:t>
      </w:r>
      <w:r w:rsidR="00A11A76" w:rsidRPr="00A2206A">
        <w:rPr>
          <w:rFonts w:ascii="Arial" w:hAnsi="Arial" w:cs="Arial"/>
          <w:sz w:val="24"/>
          <w:szCs w:val="24"/>
        </w:rPr>
        <w:t>.</w:t>
      </w:r>
    </w:p>
    <w:p w14:paraId="7CA9886A" w14:textId="0EE3416C" w:rsidR="00DD0173" w:rsidRPr="00DD0173" w:rsidRDefault="00DD0173" w:rsidP="00DD0173">
      <w:pPr>
        <w:spacing w:line="259" w:lineRule="auto"/>
        <w:jc w:val="right"/>
        <w:rPr>
          <w:rFonts w:ascii="Arial" w:hAnsi="Arial" w:cs="Arial"/>
          <w:b/>
          <w:sz w:val="24"/>
          <w:szCs w:val="24"/>
        </w:rPr>
      </w:pPr>
      <w:r w:rsidRPr="00DD0173">
        <w:rPr>
          <w:rFonts w:ascii="Arial" w:hAnsi="Arial" w:cs="Arial"/>
          <w:sz w:val="24"/>
          <w:szCs w:val="24"/>
        </w:rPr>
        <w:br w:type="page"/>
      </w:r>
    </w:p>
    <w:p w14:paraId="3F5189E7" w14:textId="36242934" w:rsidR="00DD0173" w:rsidRPr="00DD0173" w:rsidRDefault="00DD0173" w:rsidP="00DD0173">
      <w:pPr>
        <w:pStyle w:val="ListParagraph"/>
        <w:spacing w:line="254" w:lineRule="auto"/>
        <w:jc w:val="right"/>
        <w:rPr>
          <w:rFonts w:ascii="Arial" w:hAnsi="Arial" w:cs="Arial"/>
          <w:b/>
          <w:sz w:val="24"/>
          <w:szCs w:val="24"/>
        </w:rPr>
      </w:pPr>
      <w:r w:rsidRPr="00DD0173">
        <w:rPr>
          <w:rFonts w:ascii="Arial" w:hAnsi="Arial" w:cs="Arial"/>
          <w:b/>
          <w:sz w:val="24"/>
          <w:szCs w:val="24"/>
        </w:rPr>
        <w:lastRenderedPageBreak/>
        <w:t>APPENDIX 1</w:t>
      </w:r>
    </w:p>
    <w:p w14:paraId="244D71E8" w14:textId="77777777" w:rsidR="00DD0173" w:rsidRPr="00DD0173" w:rsidRDefault="00DD0173" w:rsidP="00DD0173">
      <w:pPr>
        <w:pStyle w:val="ListParagraph"/>
        <w:spacing w:line="254" w:lineRule="auto"/>
        <w:jc w:val="right"/>
        <w:rPr>
          <w:rFonts w:ascii="Arial" w:hAnsi="Arial" w:cs="Arial"/>
          <w:b/>
          <w:sz w:val="24"/>
          <w:szCs w:val="24"/>
        </w:rPr>
      </w:pPr>
    </w:p>
    <w:p w14:paraId="11B81446" w14:textId="77777777" w:rsidR="00DD0173" w:rsidRPr="00DD0173" w:rsidRDefault="00DD0173" w:rsidP="00DD0173">
      <w:pPr>
        <w:spacing w:after="0"/>
        <w:rPr>
          <w:rFonts w:ascii="Arial" w:hAnsi="Arial" w:cs="Arial"/>
          <w:sz w:val="24"/>
          <w:szCs w:val="24"/>
        </w:rPr>
      </w:pPr>
      <w:r w:rsidRPr="00DD0173">
        <w:rPr>
          <w:rFonts w:ascii="Arial" w:hAnsi="Arial" w:cs="Arial"/>
          <w:b/>
          <w:sz w:val="24"/>
          <w:szCs w:val="24"/>
        </w:rPr>
        <w:t xml:space="preserve">What is the principal difference between </w:t>
      </w:r>
      <w:proofErr w:type="spellStart"/>
      <w:r w:rsidRPr="00DD0173">
        <w:rPr>
          <w:rFonts w:ascii="Arial" w:hAnsi="Arial" w:cs="Arial"/>
          <w:b/>
          <w:sz w:val="24"/>
          <w:szCs w:val="24"/>
        </w:rPr>
        <w:t>PoCTs</w:t>
      </w:r>
      <w:proofErr w:type="spellEnd"/>
      <w:r w:rsidRPr="00DD0173">
        <w:rPr>
          <w:rFonts w:ascii="Arial" w:hAnsi="Arial" w:cs="Arial"/>
          <w:b/>
          <w:sz w:val="24"/>
          <w:szCs w:val="24"/>
        </w:rPr>
        <w:t xml:space="preserve"> and routine clinical practice? </w:t>
      </w:r>
    </w:p>
    <w:p w14:paraId="0F9CBFA2" w14:textId="77777777" w:rsidR="00DD0173" w:rsidRDefault="00DD0173" w:rsidP="00DD0173">
      <w:pPr>
        <w:spacing w:after="0"/>
        <w:rPr>
          <w:rFonts w:ascii="Arial" w:hAnsi="Arial" w:cs="Arial"/>
          <w:sz w:val="24"/>
          <w:szCs w:val="24"/>
        </w:rPr>
      </w:pPr>
    </w:p>
    <w:p w14:paraId="5DEE7175" w14:textId="77777777" w:rsidR="00DD0173" w:rsidRPr="00DD0173" w:rsidRDefault="00DD0173" w:rsidP="00DD0173">
      <w:pPr>
        <w:spacing w:after="0"/>
        <w:rPr>
          <w:rFonts w:ascii="Arial" w:hAnsi="Arial" w:cs="Arial"/>
          <w:sz w:val="24"/>
          <w:szCs w:val="24"/>
        </w:rPr>
      </w:pPr>
      <w:bookmarkStart w:id="0" w:name="_GoBack"/>
      <w:bookmarkEnd w:id="0"/>
      <w:r w:rsidRPr="00DD0173">
        <w:rPr>
          <w:rFonts w:ascii="Arial" w:hAnsi="Arial" w:cs="Arial"/>
          <w:sz w:val="24"/>
          <w:szCs w:val="24"/>
        </w:rPr>
        <w:t xml:space="preserve">The principal difference between </w:t>
      </w:r>
      <w:proofErr w:type="spellStart"/>
      <w:r w:rsidRPr="00DD0173">
        <w:rPr>
          <w:rFonts w:ascii="Arial" w:hAnsi="Arial" w:cs="Arial"/>
          <w:sz w:val="24"/>
          <w:szCs w:val="24"/>
        </w:rPr>
        <w:t>PoCTs</w:t>
      </w:r>
      <w:proofErr w:type="spellEnd"/>
      <w:r w:rsidRPr="00DD0173">
        <w:rPr>
          <w:rFonts w:ascii="Arial" w:hAnsi="Arial" w:cs="Arial"/>
          <w:sz w:val="24"/>
          <w:szCs w:val="24"/>
        </w:rPr>
        <w:t xml:space="preserve"> and routine clinical practice is the way that a treatment is selected from among alternatives of uncertain relative merits. In routine care, a number of factors may lead to the selection of a particular choice (tradition, whether a professional is aware of relevant research evidence, influence of advice, </w:t>
      </w:r>
      <w:proofErr w:type="spellStart"/>
      <w:r w:rsidRPr="00DD0173">
        <w:rPr>
          <w:rFonts w:ascii="Arial" w:hAnsi="Arial" w:cs="Arial"/>
          <w:sz w:val="24"/>
          <w:szCs w:val="24"/>
        </w:rPr>
        <w:t>etc</w:t>
      </w:r>
      <w:proofErr w:type="spellEnd"/>
      <w:r w:rsidRPr="00DD0173">
        <w:rPr>
          <w:rFonts w:ascii="Arial" w:hAnsi="Arial" w:cs="Arial"/>
          <w:sz w:val="24"/>
          <w:szCs w:val="24"/>
        </w:rPr>
        <w:t xml:space="preserve">). In a </w:t>
      </w:r>
      <w:proofErr w:type="spellStart"/>
      <w:r w:rsidRPr="00DD0173">
        <w:rPr>
          <w:rFonts w:ascii="Arial" w:hAnsi="Arial" w:cs="Arial"/>
          <w:sz w:val="24"/>
          <w:szCs w:val="24"/>
        </w:rPr>
        <w:t>PoCT</w:t>
      </w:r>
      <w:proofErr w:type="spellEnd"/>
      <w:r w:rsidRPr="00DD0173">
        <w:rPr>
          <w:rFonts w:ascii="Arial" w:hAnsi="Arial" w:cs="Arial"/>
          <w:sz w:val="24"/>
          <w:szCs w:val="24"/>
        </w:rPr>
        <w:t xml:space="preserve"> the basis on which a treatment is selected from among alternatives will usually be random allocation, to ensure fair comparisons of the alternative treatments.  Whatever the basis for recommending one of several alternative treatments, patients are entitled to be informed about the grounds for a recommendation, whether this is random allocation to help reduce uncertainty, or on some other basis, which usually does not contribute to a reduction of uncertainty.</w:t>
      </w:r>
    </w:p>
    <w:p w14:paraId="1F837FE8" w14:textId="77777777" w:rsidR="00DD0173" w:rsidRPr="00DD0173" w:rsidRDefault="00DD0173" w:rsidP="00DD0173">
      <w:pPr>
        <w:spacing w:after="0"/>
        <w:rPr>
          <w:rFonts w:ascii="Arial" w:hAnsi="Arial" w:cs="Arial"/>
          <w:sz w:val="24"/>
          <w:szCs w:val="24"/>
        </w:rPr>
      </w:pPr>
      <w:r w:rsidRPr="00DD0173">
        <w:rPr>
          <w:rFonts w:ascii="Arial" w:hAnsi="Arial" w:cs="Arial"/>
          <w:sz w:val="24"/>
          <w:szCs w:val="24"/>
        </w:rPr>
        <w:t xml:space="preserve"> </w:t>
      </w:r>
    </w:p>
    <w:p w14:paraId="43C249F9" w14:textId="77777777" w:rsidR="00DD0173" w:rsidRDefault="00DD0173" w:rsidP="00DD0173">
      <w:pPr>
        <w:spacing w:after="0"/>
        <w:rPr>
          <w:rFonts w:ascii="Arial" w:hAnsi="Arial" w:cs="Arial"/>
          <w:b/>
          <w:sz w:val="24"/>
          <w:szCs w:val="24"/>
        </w:rPr>
      </w:pPr>
    </w:p>
    <w:p w14:paraId="12CE9810" w14:textId="77777777" w:rsidR="00DD0173" w:rsidRDefault="00DD0173" w:rsidP="00DD0173">
      <w:pPr>
        <w:spacing w:after="0"/>
        <w:rPr>
          <w:rFonts w:ascii="Arial" w:hAnsi="Arial" w:cs="Arial"/>
          <w:b/>
          <w:sz w:val="24"/>
          <w:szCs w:val="24"/>
        </w:rPr>
      </w:pPr>
      <w:r w:rsidRPr="00DD0173">
        <w:rPr>
          <w:rFonts w:ascii="Arial" w:hAnsi="Arial" w:cs="Arial"/>
          <w:b/>
          <w:sz w:val="24"/>
          <w:szCs w:val="24"/>
        </w:rPr>
        <w:t xml:space="preserve">What are the principal similarities and differences between </w:t>
      </w:r>
      <w:proofErr w:type="spellStart"/>
      <w:r w:rsidRPr="00DD0173">
        <w:rPr>
          <w:rFonts w:ascii="Arial" w:hAnsi="Arial" w:cs="Arial"/>
          <w:b/>
          <w:sz w:val="24"/>
          <w:szCs w:val="24"/>
        </w:rPr>
        <w:t>PoCTs</w:t>
      </w:r>
      <w:proofErr w:type="spellEnd"/>
      <w:r w:rsidRPr="00DD0173">
        <w:rPr>
          <w:rFonts w:ascii="Arial" w:hAnsi="Arial" w:cs="Arial"/>
          <w:b/>
          <w:sz w:val="24"/>
          <w:szCs w:val="24"/>
        </w:rPr>
        <w:t xml:space="preserve"> and standard clinical trials?</w:t>
      </w:r>
    </w:p>
    <w:p w14:paraId="15E66BCD" w14:textId="77777777" w:rsidR="00DD0173" w:rsidRPr="00DD0173" w:rsidRDefault="00DD0173" w:rsidP="00DD0173">
      <w:pPr>
        <w:spacing w:after="0"/>
        <w:rPr>
          <w:rFonts w:ascii="Arial" w:hAnsi="Arial" w:cs="Arial"/>
          <w:sz w:val="24"/>
          <w:szCs w:val="24"/>
        </w:rPr>
      </w:pPr>
    </w:p>
    <w:p w14:paraId="1AAC5ACF" w14:textId="77777777" w:rsidR="00DD0173" w:rsidRPr="00DD0173" w:rsidRDefault="00DD0173" w:rsidP="00DD0173">
      <w:pPr>
        <w:spacing w:after="0"/>
        <w:rPr>
          <w:rFonts w:ascii="Arial" w:hAnsi="Arial" w:cs="Arial"/>
          <w:sz w:val="24"/>
          <w:szCs w:val="24"/>
        </w:rPr>
      </w:pPr>
      <w:proofErr w:type="spellStart"/>
      <w:r w:rsidRPr="00DD0173">
        <w:rPr>
          <w:rFonts w:ascii="Arial" w:eastAsia="Calibri" w:hAnsi="Arial" w:cs="Arial"/>
          <w:sz w:val="24"/>
          <w:szCs w:val="24"/>
          <w:lang w:val="en-US"/>
        </w:rPr>
        <w:t>PoCTs</w:t>
      </w:r>
      <w:proofErr w:type="spellEnd"/>
      <w:r w:rsidRPr="00DD0173">
        <w:rPr>
          <w:rFonts w:ascii="Arial" w:eastAsia="Calibri" w:hAnsi="Arial" w:cs="Arial"/>
          <w:sz w:val="24"/>
          <w:szCs w:val="24"/>
          <w:lang w:val="en-US"/>
        </w:rPr>
        <w:t xml:space="preserve"> and standard clinical trials must both be designed to address uncertainties about the effects of the treatments they are comparing. The principal difference between these two types of trials is that the former address uncertainties about the effects of treatments that have already been adopted in routine practice and for which there is already knowledge about adverse effects; whereas the latter address uncertainties about new, often unlicensed treatments, or treatments used in non-standard ways, for which there are uncertainties about safety and efficacy. Differences in consent to treatment and data collection should reflect these differences. </w:t>
      </w:r>
      <w:r w:rsidRPr="00DD0173">
        <w:rPr>
          <w:rFonts w:ascii="Arial" w:hAnsi="Arial" w:cs="Arial"/>
          <w:sz w:val="24"/>
          <w:szCs w:val="24"/>
        </w:rPr>
        <w:t xml:space="preserve">This means, for example, that patients in trials assessing new treatments will usually receive detailed information explaining uncertainties about the effects of the untried treatments, whereas in </w:t>
      </w:r>
      <w:proofErr w:type="spellStart"/>
      <w:r w:rsidRPr="00DD0173">
        <w:rPr>
          <w:rFonts w:ascii="Arial" w:hAnsi="Arial" w:cs="Arial"/>
          <w:sz w:val="24"/>
          <w:szCs w:val="24"/>
        </w:rPr>
        <w:t>PoCTs</w:t>
      </w:r>
      <w:proofErr w:type="spellEnd"/>
      <w:r w:rsidRPr="00DD0173">
        <w:rPr>
          <w:rFonts w:ascii="Arial" w:hAnsi="Arial" w:cs="Arial"/>
          <w:sz w:val="24"/>
          <w:szCs w:val="24"/>
        </w:rPr>
        <w:t xml:space="preserve">, patients can receive actual prescriptions for treatments, together with the regular package inserts describing what is known about them.  </w:t>
      </w:r>
    </w:p>
    <w:p w14:paraId="61246521" w14:textId="77777777" w:rsidR="00DD0173" w:rsidRPr="00DD0173" w:rsidRDefault="00DD0173" w:rsidP="00DD0173">
      <w:pPr>
        <w:rPr>
          <w:rFonts w:ascii="Arial" w:hAnsi="Arial" w:cs="Arial"/>
          <w:sz w:val="24"/>
          <w:szCs w:val="24"/>
        </w:rPr>
      </w:pPr>
    </w:p>
    <w:p w14:paraId="4C488A17" w14:textId="77777777" w:rsidR="00DD0173" w:rsidRPr="00DD0173" w:rsidRDefault="00DD0173" w:rsidP="00DD0173">
      <w:pPr>
        <w:rPr>
          <w:rFonts w:ascii="Arial" w:hAnsi="Arial" w:cs="Arial"/>
          <w:sz w:val="24"/>
          <w:szCs w:val="24"/>
        </w:rPr>
      </w:pPr>
      <w:r w:rsidRPr="00DD0173">
        <w:rPr>
          <w:rFonts w:ascii="Arial" w:hAnsi="Arial" w:cs="Arial"/>
          <w:sz w:val="24"/>
          <w:szCs w:val="24"/>
        </w:rPr>
        <w:t>Iain Chalmers, Coordinator of the James Lind Initiative</w:t>
      </w:r>
    </w:p>
    <w:p w14:paraId="4A1785BB" w14:textId="77777777" w:rsidR="00DD0173" w:rsidRPr="00DD0173" w:rsidRDefault="00DD0173" w:rsidP="00DD0173">
      <w:pPr>
        <w:pStyle w:val="ListParagraph"/>
        <w:spacing w:line="254" w:lineRule="auto"/>
        <w:rPr>
          <w:rFonts w:ascii="Arial" w:hAnsi="Arial" w:cs="Arial"/>
          <w:b/>
          <w:sz w:val="24"/>
          <w:szCs w:val="24"/>
        </w:rPr>
      </w:pPr>
    </w:p>
    <w:sectPr w:rsidR="00DD0173" w:rsidRPr="00DD01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3FDB6" w14:textId="77777777" w:rsidR="00E74F41" w:rsidRDefault="00E74F41" w:rsidP="00C22F37">
      <w:pPr>
        <w:spacing w:after="0" w:line="240" w:lineRule="auto"/>
      </w:pPr>
      <w:r>
        <w:separator/>
      </w:r>
    </w:p>
  </w:endnote>
  <w:endnote w:type="continuationSeparator" w:id="0">
    <w:p w14:paraId="7DD98FE1" w14:textId="77777777" w:rsidR="00E74F41" w:rsidRDefault="00E74F41" w:rsidP="00C2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4E45C" w14:textId="77777777" w:rsidR="00E74F41" w:rsidRDefault="00E74F41" w:rsidP="00C22F37">
      <w:pPr>
        <w:spacing w:after="0" w:line="240" w:lineRule="auto"/>
      </w:pPr>
      <w:r>
        <w:separator/>
      </w:r>
    </w:p>
  </w:footnote>
  <w:footnote w:type="continuationSeparator" w:id="0">
    <w:p w14:paraId="4B381C21" w14:textId="77777777" w:rsidR="00E74F41" w:rsidRDefault="00E74F41" w:rsidP="00C22F37">
      <w:pPr>
        <w:spacing w:after="0" w:line="240" w:lineRule="auto"/>
      </w:pPr>
      <w:r>
        <w:continuationSeparator/>
      </w:r>
    </w:p>
  </w:footnote>
  <w:footnote w:id="1">
    <w:p w14:paraId="6B75FFA3" w14:textId="77777777" w:rsidR="00C22F37" w:rsidRDefault="00C22F37" w:rsidP="00C22F37">
      <w:pPr>
        <w:pStyle w:val="FootnoteText"/>
      </w:pPr>
      <w:r>
        <w:rPr>
          <w:rStyle w:val="FootnoteReference"/>
        </w:rPr>
        <w:footnoteRef/>
      </w:r>
      <w:r>
        <w:t xml:space="preserve"> Mackenzie IS, Wei L, Paterson K, MacDonald TM. Cluster randomised trials of prescription medicines or prescribing policy – public and general practitioner opinions in Scotland. British Journal of Clinical Pharmacology 2012 Aug;74(2):354-61. </w:t>
      </w:r>
      <w:proofErr w:type="spellStart"/>
      <w:r>
        <w:t>doi</w:t>
      </w:r>
      <w:proofErr w:type="spellEnd"/>
      <w:r>
        <w:t>: 10.1111/j.1365-2125.2012.04195.x</w:t>
      </w:r>
    </w:p>
  </w:footnote>
  <w:footnote w:id="2">
    <w:p w14:paraId="28DD0927" w14:textId="77777777" w:rsidR="00E02339" w:rsidRDefault="00E02339" w:rsidP="00E02339">
      <w:pPr>
        <w:pStyle w:val="FootnoteText"/>
      </w:pPr>
      <w:r>
        <w:rPr>
          <w:rStyle w:val="FootnoteReference"/>
        </w:rPr>
        <w:footnoteRef/>
      </w:r>
      <w:r>
        <w:t xml:space="preserve"> </w:t>
      </w:r>
      <w:r w:rsidR="009125AE">
        <w:t xml:space="preserve">In Type A </w:t>
      </w:r>
      <w:r w:rsidR="00DE282A">
        <w:t xml:space="preserve">trials the </w:t>
      </w:r>
      <w:r w:rsidR="00DE282A" w:rsidRPr="00E02339">
        <w:t>risk</w:t>
      </w:r>
      <w:r w:rsidRPr="00E02339">
        <w:t xml:space="preserve"> to the patient from the </w:t>
      </w:r>
      <w:r w:rsidR="001B4F05">
        <w:t>drug</w:t>
      </w:r>
      <w:r w:rsidR="00DE282A">
        <w:t xml:space="preserve"> under investigation</w:t>
      </w:r>
      <w:r w:rsidRPr="00E02339">
        <w:t xml:space="preserve"> is considered to be no greater than that of standard medical care. </w:t>
      </w:r>
      <w:r>
        <w:t xml:space="preserve">For certain Type A trials </w:t>
      </w:r>
      <w:r w:rsidRPr="006B620F">
        <w:t>the trial may go ahead after 14 days from receipt of notification if no objections have been raised</w:t>
      </w:r>
      <w:r>
        <w:t xml:space="preserve"> by the MHRA</w:t>
      </w:r>
      <w:r w:rsidRPr="006B620F">
        <w:t xml:space="preserve">. </w:t>
      </w:r>
    </w:p>
  </w:footnote>
  <w:footnote w:id="3">
    <w:p w14:paraId="42B4D73D" w14:textId="77777777" w:rsidR="003E7103" w:rsidRDefault="003E7103">
      <w:pPr>
        <w:pStyle w:val="FootnoteText"/>
      </w:pPr>
      <w:r>
        <w:rPr>
          <w:rStyle w:val="FootnoteReference"/>
        </w:rPr>
        <w:footnoteRef/>
      </w:r>
      <w:r>
        <w:t xml:space="preserve"> </w:t>
      </w:r>
      <w:hyperlink r:id="rId1" w:history="1">
        <w:r w:rsidRPr="00EE6EF4">
          <w:rPr>
            <w:rStyle w:val="Hyperlink"/>
          </w:rPr>
          <w:t>http://ec.europa.eu/health/human-use/clinical-trials/regulation/</w:t>
        </w:r>
      </w:hyperlink>
      <w:r>
        <w:t xml:space="preserve"> </w:t>
      </w:r>
    </w:p>
  </w:footnote>
  <w:footnote w:id="4">
    <w:p w14:paraId="2EB2103C" w14:textId="77777777" w:rsidR="007B616F" w:rsidRDefault="007B616F">
      <w:pPr>
        <w:pStyle w:val="FootnoteText"/>
      </w:pPr>
      <w:r>
        <w:rPr>
          <w:rStyle w:val="FootnoteReference"/>
        </w:rPr>
        <w:footnoteRef/>
      </w:r>
      <w:r>
        <w:t xml:space="preserve"> </w:t>
      </w:r>
      <w:proofErr w:type="spellStart"/>
      <w:r w:rsidRPr="007B616F">
        <w:t>PEDSnet</w:t>
      </w:r>
      <w:proofErr w:type="spellEnd"/>
      <w:r w:rsidRPr="007B616F">
        <w:t xml:space="preserve"> is a </w:t>
      </w:r>
      <w:r w:rsidR="00571EC6" w:rsidRPr="007B616F">
        <w:t>paediatric</w:t>
      </w:r>
      <w:r w:rsidRPr="007B616F">
        <w:t xml:space="preserve"> learning health system dedicated to discovering and implementing new ways of providing the best care and improving health care outcomes</w:t>
      </w:r>
      <w:r w:rsidR="00571EC6">
        <w:t xml:space="preserve">. </w:t>
      </w:r>
      <w:hyperlink r:id="rId2" w:history="1">
        <w:r w:rsidR="00571EC6" w:rsidRPr="00EE6EF4">
          <w:rPr>
            <w:rStyle w:val="Hyperlink"/>
          </w:rPr>
          <w:t>http://pedsnet.info/</w:t>
        </w:r>
      </w:hyperlink>
      <w:r w:rsidR="00571EC6">
        <w:t xml:space="preserve"> </w:t>
      </w:r>
    </w:p>
  </w:footnote>
  <w:footnote w:id="5">
    <w:p w14:paraId="002595CF" w14:textId="77777777" w:rsidR="00BD4920" w:rsidRDefault="00BD4920">
      <w:pPr>
        <w:pStyle w:val="FootnoteText"/>
      </w:pPr>
      <w:r>
        <w:rPr>
          <w:rStyle w:val="FootnoteReference"/>
        </w:rPr>
        <w:footnoteRef/>
      </w:r>
      <w:r>
        <w:t xml:space="preserve"> See </w:t>
      </w:r>
      <w:hyperlink r:id="rId3" w:history="1">
        <w:r w:rsidRPr="00EE6EF4">
          <w:rPr>
            <w:rStyle w:val="Hyperlink"/>
          </w:rPr>
          <w:t>http://www.hra.nhs.uk/documents/2014/10/consistency-rec-review-2-may-2014.pdf</w:t>
        </w:r>
      </w:hyperlink>
      <w:r>
        <w:t xml:space="preserve"> </w:t>
      </w:r>
    </w:p>
  </w:footnote>
  <w:footnote w:id="6">
    <w:p w14:paraId="3CF0C8AB" w14:textId="77777777" w:rsidR="006E1013" w:rsidRDefault="006E1013" w:rsidP="006E1013">
      <w:pPr>
        <w:pStyle w:val="FootnoteText"/>
      </w:pPr>
      <w:r>
        <w:rPr>
          <w:rStyle w:val="FootnoteReference"/>
        </w:rPr>
        <w:footnoteRef/>
      </w:r>
      <w:r>
        <w:t xml:space="preserve"> HRA ‘Consent and Participant Information Sheet Preparation Guidance’ </w:t>
      </w:r>
      <w:hyperlink r:id="rId4" w:history="1">
        <w:r w:rsidRPr="00EE6EF4">
          <w:rPr>
            <w:rStyle w:val="Hyperlink"/>
          </w:rPr>
          <w:t>http://www.hra-decisiontools.org.uk/consent/style.html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86634"/>
    <w:multiLevelType w:val="hybridMultilevel"/>
    <w:tmpl w:val="567AE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024A96"/>
    <w:multiLevelType w:val="hybridMultilevel"/>
    <w:tmpl w:val="337C7A9E"/>
    <w:lvl w:ilvl="0" w:tplc="1E5C38D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F006B2"/>
    <w:multiLevelType w:val="hybridMultilevel"/>
    <w:tmpl w:val="370A06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52676F3"/>
    <w:multiLevelType w:val="multilevel"/>
    <w:tmpl w:val="3648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D26C4A"/>
    <w:multiLevelType w:val="hybridMultilevel"/>
    <w:tmpl w:val="8EA86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D3DC5"/>
    <w:multiLevelType w:val="hybridMultilevel"/>
    <w:tmpl w:val="F4AE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E4EFB"/>
    <w:multiLevelType w:val="hybridMultilevel"/>
    <w:tmpl w:val="69463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0F7567"/>
    <w:multiLevelType w:val="hybridMultilevel"/>
    <w:tmpl w:val="6CFA48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64320E87"/>
    <w:multiLevelType w:val="hybridMultilevel"/>
    <w:tmpl w:val="E1DA1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6394626"/>
    <w:multiLevelType w:val="hybridMultilevel"/>
    <w:tmpl w:val="B748C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9"/>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7"/>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37"/>
    <w:rsid w:val="0000425A"/>
    <w:rsid w:val="00046AA0"/>
    <w:rsid w:val="00053B70"/>
    <w:rsid w:val="0008344E"/>
    <w:rsid w:val="000D7AC4"/>
    <w:rsid w:val="000E0DBC"/>
    <w:rsid w:val="000E54BA"/>
    <w:rsid w:val="000F252D"/>
    <w:rsid w:val="001153C7"/>
    <w:rsid w:val="001402C9"/>
    <w:rsid w:val="00172071"/>
    <w:rsid w:val="00175714"/>
    <w:rsid w:val="001951E9"/>
    <w:rsid w:val="001B00AF"/>
    <w:rsid w:val="001B4F05"/>
    <w:rsid w:val="001D2251"/>
    <w:rsid w:val="001E0E5B"/>
    <w:rsid w:val="00231CC0"/>
    <w:rsid w:val="00234E7F"/>
    <w:rsid w:val="00264BF4"/>
    <w:rsid w:val="002712BF"/>
    <w:rsid w:val="002847E8"/>
    <w:rsid w:val="00286E2A"/>
    <w:rsid w:val="00291872"/>
    <w:rsid w:val="00295576"/>
    <w:rsid w:val="002B64FA"/>
    <w:rsid w:val="002D2468"/>
    <w:rsid w:val="003062D6"/>
    <w:rsid w:val="003540FD"/>
    <w:rsid w:val="00355696"/>
    <w:rsid w:val="003615B5"/>
    <w:rsid w:val="003618E4"/>
    <w:rsid w:val="00363428"/>
    <w:rsid w:val="00392247"/>
    <w:rsid w:val="00394372"/>
    <w:rsid w:val="003A6E08"/>
    <w:rsid w:val="003B67F8"/>
    <w:rsid w:val="003D03A8"/>
    <w:rsid w:val="003E2465"/>
    <w:rsid w:val="003E3849"/>
    <w:rsid w:val="003E7103"/>
    <w:rsid w:val="003F4A98"/>
    <w:rsid w:val="00441756"/>
    <w:rsid w:val="00450DB7"/>
    <w:rsid w:val="004544DB"/>
    <w:rsid w:val="00470F40"/>
    <w:rsid w:val="004B35F0"/>
    <w:rsid w:val="004B53A8"/>
    <w:rsid w:val="004E7E5E"/>
    <w:rsid w:val="00510201"/>
    <w:rsid w:val="00511D37"/>
    <w:rsid w:val="00517BD1"/>
    <w:rsid w:val="00533B04"/>
    <w:rsid w:val="005375DA"/>
    <w:rsid w:val="00544076"/>
    <w:rsid w:val="00550D16"/>
    <w:rsid w:val="00567812"/>
    <w:rsid w:val="00571EC6"/>
    <w:rsid w:val="005944AB"/>
    <w:rsid w:val="0059697D"/>
    <w:rsid w:val="005B54CD"/>
    <w:rsid w:val="005C0C6A"/>
    <w:rsid w:val="005C61E9"/>
    <w:rsid w:val="005E27F7"/>
    <w:rsid w:val="005E6FFB"/>
    <w:rsid w:val="005F79B3"/>
    <w:rsid w:val="0063179B"/>
    <w:rsid w:val="00637C03"/>
    <w:rsid w:val="00670D4E"/>
    <w:rsid w:val="00686D97"/>
    <w:rsid w:val="006A668C"/>
    <w:rsid w:val="006B620F"/>
    <w:rsid w:val="006D6005"/>
    <w:rsid w:val="006E1013"/>
    <w:rsid w:val="006F3037"/>
    <w:rsid w:val="00701127"/>
    <w:rsid w:val="00731A42"/>
    <w:rsid w:val="00737B13"/>
    <w:rsid w:val="00756F7D"/>
    <w:rsid w:val="00782F61"/>
    <w:rsid w:val="00794DB5"/>
    <w:rsid w:val="007B0EFC"/>
    <w:rsid w:val="007B328F"/>
    <w:rsid w:val="007B616F"/>
    <w:rsid w:val="007C336F"/>
    <w:rsid w:val="007E2F0B"/>
    <w:rsid w:val="00804578"/>
    <w:rsid w:val="00805595"/>
    <w:rsid w:val="00810229"/>
    <w:rsid w:val="00812B3F"/>
    <w:rsid w:val="00813A53"/>
    <w:rsid w:val="00841088"/>
    <w:rsid w:val="00841333"/>
    <w:rsid w:val="00865751"/>
    <w:rsid w:val="00893575"/>
    <w:rsid w:val="0089630C"/>
    <w:rsid w:val="008B67BA"/>
    <w:rsid w:val="008D5B44"/>
    <w:rsid w:val="008F340E"/>
    <w:rsid w:val="00911AD6"/>
    <w:rsid w:val="009125AE"/>
    <w:rsid w:val="0091580C"/>
    <w:rsid w:val="00934C98"/>
    <w:rsid w:val="00935D86"/>
    <w:rsid w:val="00941762"/>
    <w:rsid w:val="00944210"/>
    <w:rsid w:val="00973199"/>
    <w:rsid w:val="00996871"/>
    <w:rsid w:val="009B10E1"/>
    <w:rsid w:val="009B4CE9"/>
    <w:rsid w:val="009C74D1"/>
    <w:rsid w:val="009F3781"/>
    <w:rsid w:val="009F3FD3"/>
    <w:rsid w:val="00A03901"/>
    <w:rsid w:val="00A11A76"/>
    <w:rsid w:val="00A124C3"/>
    <w:rsid w:val="00A2206A"/>
    <w:rsid w:val="00A24C06"/>
    <w:rsid w:val="00A40FB5"/>
    <w:rsid w:val="00A5367C"/>
    <w:rsid w:val="00A537CE"/>
    <w:rsid w:val="00A772D7"/>
    <w:rsid w:val="00A81EFE"/>
    <w:rsid w:val="00A83638"/>
    <w:rsid w:val="00A92A16"/>
    <w:rsid w:val="00AA7F61"/>
    <w:rsid w:val="00AB334D"/>
    <w:rsid w:val="00AC1E6F"/>
    <w:rsid w:val="00AC3046"/>
    <w:rsid w:val="00AC40D6"/>
    <w:rsid w:val="00AE2CAE"/>
    <w:rsid w:val="00AF0D9F"/>
    <w:rsid w:val="00B00524"/>
    <w:rsid w:val="00B2051B"/>
    <w:rsid w:val="00B26919"/>
    <w:rsid w:val="00B27A54"/>
    <w:rsid w:val="00B327A6"/>
    <w:rsid w:val="00B45E24"/>
    <w:rsid w:val="00B9644D"/>
    <w:rsid w:val="00BD0438"/>
    <w:rsid w:val="00BD1D47"/>
    <w:rsid w:val="00BD2A2C"/>
    <w:rsid w:val="00BD36FD"/>
    <w:rsid w:val="00BD4920"/>
    <w:rsid w:val="00BD4E6D"/>
    <w:rsid w:val="00BE626C"/>
    <w:rsid w:val="00C15784"/>
    <w:rsid w:val="00C225A4"/>
    <w:rsid w:val="00C22F37"/>
    <w:rsid w:val="00C271B3"/>
    <w:rsid w:val="00C311C6"/>
    <w:rsid w:val="00C37E6B"/>
    <w:rsid w:val="00C40506"/>
    <w:rsid w:val="00C529B4"/>
    <w:rsid w:val="00C5775C"/>
    <w:rsid w:val="00C77EE4"/>
    <w:rsid w:val="00CA5382"/>
    <w:rsid w:val="00CB4A02"/>
    <w:rsid w:val="00CB6469"/>
    <w:rsid w:val="00CE2D94"/>
    <w:rsid w:val="00D04112"/>
    <w:rsid w:val="00D06571"/>
    <w:rsid w:val="00D161F1"/>
    <w:rsid w:val="00D24D1D"/>
    <w:rsid w:val="00D376DF"/>
    <w:rsid w:val="00D477C1"/>
    <w:rsid w:val="00D66AFB"/>
    <w:rsid w:val="00D75E86"/>
    <w:rsid w:val="00D808A4"/>
    <w:rsid w:val="00D876F5"/>
    <w:rsid w:val="00D96A46"/>
    <w:rsid w:val="00DA6403"/>
    <w:rsid w:val="00DB1780"/>
    <w:rsid w:val="00DB43EC"/>
    <w:rsid w:val="00DD0173"/>
    <w:rsid w:val="00DE282A"/>
    <w:rsid w:val="00DF1CE3"/>
    <w:rsid w:val="00E00DEF"/>
    <w:rsid w:val="00E02339"/>
    <w:rsid w:val="00E125B8"/>
    <w:rsid w:val="00E25C24"/>
    <w:rsid w:val="00E4272A"/>
    <w:rsid w:val="00E4646D"/>
    <w:rsid w:val="00E5317E"/>
    <w:rsid w:val="00E63429"/>
    <w:rsid w:val="00E7034D"/>
    <w:rsid w:val="00E74F41"/>
    <w:rsid w:val="00EA4DA8"/>
    <w:rsid w:val="00EC6827"/>
    <w:rsid w:val="00ED3157"/>
    <w:rsid w:val="00EE1161"/>
    <w:rsid w:val="00EF4257"/>
    <w:rsid w:val="00F41D02"/>
    <w:rsid w:val="00F5647F"/>
    <w:rsid w:val="00F61C33"/>
    <w:rsid w:val="00F738A3"/>
    <w:rsid w:val="00F74430"/>
    <w:rsid w:val="00F842DE"/>
    <w:rsid w:val="00FA5214"/>
    <w:rsid w:val="00FE37AC"/>
    <w:rsid w:val="00FE78D1"/>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3B81"/>
  <w15:docId w15:val="{9602E130-40A5-417F-9F32-32EF4E29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2F37"/>
    <w:pPr>
      <w:spacing w:after="0" w:line="240" w:lineRule="auto"/>
      <w:ind w:left="113"/>
    </w:pPr>
    <w:rPr>
      <w:rFonts w:ascii="Arial" w:hAnsi="Arial"/>
      <w:sz w:val="20"/>
      <w:szCs w:val="20"/>
    </w:rPr>
  </w:style>
  <w:style w:type="character" w:customStyle="1" w:styleId="FootnoteTextChar">
    <w:name w:val="Footnote Text Char"/>
    <w:basedOn w:val="DefaultParagraphFont"/>
    <w:link w:val="FootnoteText"/>
    <w:uiPriority w:val="99"/>
    <w:semiHidden/>
    <w:rsid w:val="00C22F37"/>
    <w:rPr>
      <w:rFonts w:ascii="Arial" w:hAnsi="Arial"/>
      <w:sz w:val="20"/>
      <w:szCs w:val="20"/>
    </w:rPr>
  </w:style>
  <w:style w:type="paragraph" w:styleId="ListParagraph">
    <w:name w:val="List Paragraph"/>
    <w:basedOn w:val="Normal"/>
    <w:uiPriority w:val="34"/>
    <w:qFormat/>
    <w:rsid w:val="00C22F37"/>
    <w:pPr>
      <w:ind w:left="720"/>
      <w:contextualSpacing/>
    </w:pPr>
  </w:style>
  <w:style w:type="character" w:styleId="FootnoteReference">
    <w:name w:val="footnote reference"/>
    <w:basedOn w:val="DefaultParagraphFont"/>
    <w:uiPriority w:val="99"/>
    <w:semiHidden/>
    <w:unhideWhenUsed/>
    <w:rsid w:val="00C22F37"/>
    <w:rPr>
      <w:vertAlign w:val="superscript"/>
    </w:rPr>
  </w:style>
  <w:style w:type="paragraph" w:styleId="BalloonText">
    <w:name w:val="Balloon Text"/>
    <w:basedOn w:val="Normal"/>
    <w:link w:val="BalloonTextChar"/>
    <w:uiPriority w:val="99"/>
    <w:semiHidden/>
    <w:unhideWhenUsed/>
    <w:rsid w:val="00E5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17E"/>
    <w:rPr>
      <w:rFonts w:ascii="Tahoma" w:hAnsi="Tahoma" w:cs="Tahoma"/>
      <w:sz w:val="16"/>
      <w:szCs w:val="16"/>
    </w:rPr>
  </w:style>
  <w:style w:type="character" w:styleId="CommentReference">
    <w:name w:val="annotation reference"/>
    <w:basedOn w:val="DefaultParagraphFont"/>
    <w:uiPriority w:val="99"/>
    <w:semiHidden/>
    <w:unhideWhenUsed/>
    <w:rsid w:val="004544DB"/>
    <w:rPr>
      <w:sz w:val="16"/>
      <w:szCs w:val="16"/>
    </w:rPr>
  </w:style>
  <w:style w:type="paragraph" w:styleId="CommentText">
    <w:name w:val="annotation text"/>
    <w:basedOn w:val="Normal"/>
    <w:link w:val="CommentTextChar"/>
    <w:uiPriority w:val="99"/>
    <w:semiHidden/>
    <w:unhideWhenUsed/>
    <w:rsid w:val="004544DB"/>
    <w:pPr>
      <w:spacing w:line="240" w:lineRule="auto"/>
    </w:pPr>
    <w:rPr>
      <w:sz w:val="20"/>
      <w:szCs w:val="20"/>
    </w:rPr>
  </w:style>
  <w:style w:type="character" w:customStyle="1" w:styleId="CommentTextChar">
    <w:name w:val="Comment Text Char"/>
    <w:basedOn w:val="DefaultParagraphFont"/>
    <w:link w:val="CommentText"/>
    <w:uiPriority w:val="99"/>
    <w:semiHidden/>
    <w:rsid w:val="004544DB"/>
    <w:rPr>
      <w:sz w:val="20"/>
      <w:szCs w:val="20"/>
    </w:rPr>
  </w:style>
  <w:style w:type="paragraph" w:styleId="CommentSubject">
    <w:name w:val="annotation subject"/>
    <w:basedOn w:val="CommentText"/>
    <w:next w:val="CommentText"/>
    <w:link w:val="CommentSubjectChar"/>
    <w:uiPriority w:val="99"/>
    <w:semiHidden/>
    <w:unhideWhenUsed/>
    <w:rsid w:val="004544DB"/>
    <w:rPr>
      <w:b/>
      <w:bCs/>
    </w:rPr>
  </w:style>
  <w:style w:type="character" w:customStyle="1" w:styleId="CommentSubjectChar">
    <w:name w:val="Comment Subject Char"/>
    <w:basedOn w:val="CommentTextChar"/>
    <w:link w:val="CommentSubject"/>
    <w:uiPriority w:val="99"/>
    <w:semiHidden/>
    <w:rsid w:val="004544DB"/>
    <w:rPr>
      <w:b/>
      <w:bCs/>
      <w:sz w:val="20"/>
      <w:szCs w:val="20"/>
    </w:rPr>
  </w:style>
  <w:style w:type="paragraph" w:styleId="Revision">
    <w:name w:val="Revision"/>
    <w:hidden/>
    <w:uiPriority w:val="99"/>
    <w:semiHidden/>
    <w:rsid w:val="004544DB"/>
    <w:pPr>
      <w:spacing w:after="0" w:line="240" w:lineRule="auto"/>
    </w:pPr>
  </w:style>
  <w:style w:type="character" w:styleId="Emphasis">
    <w:name w:val="Emphasis"/>
    <w:basedOn w:val="DefaultParagraphFont"/>
    <w:uiPriority w:val="20"/>
    <w:qFormat/>
    <w:rsid w:val="002D2468"/>
    <w:rPr>
      <w:b/>
      <w:bCs/>
      <w:i w:val="0"/>
      <w:iCs w:val="0"/>
    </w:rPr>
  </w:style>
  <w:style w:type="character" w:customStyle="1" w:styleId="st1">
    <w:name w:val="st1"/>
    <w:basedOn w:val="DefaultParagraphFont"/>
    <w:rsid w:val="002D2468"/>
  </w:style>
  <w:style w:type="character" w:styleId="Hyperlink">
    <w:name w:val="Hyperlink"/>
    <w:basedOn w:val="DefaultParagraphFont"/>
    <w:uiPriority w:val="99"/>
    <w:unhideWhenUsed/>
    <w:rsid w:val="003E7103"/>
    <w:rPr>
      <w:color w:val="0563C1" w:themeColor="hyperlink"/>
      <w:u w:val="single"/>
    </w:rPr>
  </w:style>
  <w:style w:type="paragraph" w:styleId="NormalWeb">
    <w:name w:val="Normal (Web)"/>
    <w:basedOn w:val="Normal"/>
    <w:uiPriority w:val="99"/>
    <w:semiHidden/>
    <w:unhideWhenUsed/>
    <w:rsid w:val="00EC68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5649">
      <w:bodyDiv w:val="1"/>
      <w:marLeft w:val="0"/>
      <w:marRight w:val="0"/>
      <w:marTop w:val="0"/>
      <w:marBottom w:val="0"/>
      <w:divBdr>
        <w:top w:val="none" w:sz="0" w:space="0" w:color="auto"/>
        <w:left w:val="none" w:sz="0" w:space="0" w:color="auto"/>
        <w:bottom w:val="none" w:sz="0" w:space="0" w:color="auto"/>
        <w:right w:val="none" w:sz="0" w:space="0" w:color="auto"/>
      </w:divBdr>
      <w:divsChild>
        <w:div w:id="480777352">
          <w:marLeft w:val="0"/>
          <w:marRight w:val="0"/>
          <w:marTop w:val="0"/>
          <w:marBottom w:val="0"/>
          <w:divBdr>
            <w:top w:val="none" w:sz="0" w:space="0" w:color="auto"/>
            <w:left w:val="none" w:sz="0" w:space="0" w:color="auto"/>
            <w:bottom w:val="none" w:sz="0" w:space="0" w:color="auto"/>
            <w:right w:val="none" w:sz="0" w:space="0" w:color="auto"/>
          </w:divBdr>
        </w:div>
        <w:div w:id="764422587">
          <w:marLeft w:val="0"/>
          <w:marRight w:val="0"/>
          <w:marTop w:val="0"/>
          <w:marBottom w:val="0"/>
          <w:divBdr>
            <w:top w:val="none" w:sz="0" w:space="0" w:color="auto"/>
            <w:left w:val="none" w:sz="0" w:space="0" w:color="auto"/>
            <w:bottom w:val="none" w:sz="0" w:space="0" w:color="auto"/>
            <w:right w:val="none" w:sz="0" w:space="0" w:color="auto"/>
          </w:divBdr>
        </w:div>
        <w:div w:id="2007130674">
          <w:marLeft w:val="0"/>
          <w:marRight w:val="0"/>
          <w:marTop w:val="0"/>
          <w:marBottom w:val="0"/>
          <w:divBdr>
            <w:top w:val="none" w:sz="0" w:space="0" w:color="auto"/>
            <w:left w:val="none" w:sz="0" w:space="0" w:color="auto"/>
            <w:bottom w:val="none" w:sz="0" w:space="0" w:color="auto"/>
            <w:right w:val="none" w:sz="0" w:space="0" w:color="auto"/>
          </w:divBdr>
        </w:div>
        <w:div w:id="1134061342">
          <w:marLeft w:val="0"/>
          <w:marRight w:val="0"/>
          <w:marTop w:val="0"/>
          <w:marBottom w:val="0"/>
          <w:divBdr>
            <w:top w:val="none" w:sz="0" w:space="0" w:color="auto"/>
            <w:left w:val="none" w:sz="0" w:space="0" w:color="auto"/>
            <w:bottom w:val="none" w:sz="0" w:space="0" w:color="auto"/>
            <w:right w:val="none" w:sz="0" w:space="0" w:color="auto"/>
          </w:divBdr>
        </w:div>
        <w:div w:id="534654220">
          <w:marLeft w:val="0"/>
          <w:marRight w:val="0"/>
          <w:marTop w:val="0"/>
          <w:marBottom w:val="0"/>
          <w:divBdr>
            <w:top w:val="none" w:sz="0" w:space="0" w:color="auto"/>
            <w:left w:val="none" w:sz="0" w:space="0" w:color="auto"/>
            <w:bottom w:val="none" w:sz="0" w:space="0" w:color="auto"/>
            <w:right w:val="none" w:sz="0" w:space="0" w:color="auto"/>
          </w:divBdr>
        </w:div>
        <w:div w:id="1282348100">
          <w:marLeft w:val="0"/>
          <w:marRight w:val="0"/>
          <w:marTop w:val="0"/>
          <w:marBottom w:val="0"/>
          <w:divBdr>
            <w:top w:val="none" w:sz="0" w:space="0" w:color="auto"/>
            <w:left w:val="none" w:sz="0" w:space="0" w:color="auto"/>
            <w:bottom w:val="none" w:sz="0" w:space="0" w:color="auto"/>
            <w:right w:val="none" w:sz="0" w:space="0" w:color="auto"/>
          </w:divBdr>
        </w:div>
      </w:divsChild>
    </w:div>
    <w:div w:id="692993532">
      <w:bodyDiv w:val="1"/>
      <w:marLeft w:val="0"/>
      <w:marRight w:val="0"/>
      <w:marTop w:val="0"/>
      <w:marBottom w:val="0"/>
      <w:divBdr>
        <w:top w:val="none" w:sz="0" w:space="0" w:color="auto"/>
        <w:left w:val="none" w:sz="0" w:space="0" w:color="auto"/>
        <w:bottom w:val="none" w:sz="0" w:space="0" w:color="auto"/>
        <w:right w:val="none" w:sz="0" w:space="0" w:color="auto"/>
      </w:divBdr>
      <w:divsChild>
        <w:div w:id="47413398">
          <w:marLeft w:val="0"/>
          <w:marRight w:val="0"/>
          <w:marTop w:val="0"/>
          <w:marBottom w:val="0"/>
          <w:divBdr>
            <w:top w:val="none" w:sz="0" w:space="0" w:color="auto"/>
            <w:left w:val="none" w:sz="0" w:space="0" w:color="auto"/>
            <w:bottom w:val="none" w:sz="0" w:space="0" w:color="auto"/>
            <w:right w:val="none" w:sz="0" w:space="0" w:color="auto"/>
          </w:divBdr>
        </w:div>
        <w:div w:id="891041195">
          <w:marLeft w:val="0"/>
          <w:marRight w:val="0"/>
          <w:marTop w:val="0"/>
          <w:marBottom w:val="0"/>
          <w:divBdr>
            <w:top w:val="none" w:sz="0" w:space="0" w:color="auto"/>
            <w:left w:val="none" w:sz="0" w:space="0" w:color="auto"/>
            <w:bottom w:val="none" w:sz="0" w:space="0" w:color="auto"/>
            <w:right w:val="none" w:sz="0" w:space="0" w:color="auto"/>
          </w:divBdr>
        </w:div>
        <w:div w:id="1793867617">
          <w:marLeft w:val="0"/>
          <w:marRight w:val="0"/>
          <w:marTop w:val="0"/>
          <w:marBottom w:val="0"/>
          <w:divBdr>
            <w:top w:val="none" w:sz="0" w:space="0" w:color="auto"/>
            <w:left w:val="none" w:sz="0" w:space="0" w:color="auto"/>
            <w:bottom w:val="none" w:sz="0" w:space="0" w:color="auto"/>
            <w:right w:val="none" w:sz="0" w:space="0" w:color="auto"/>
          </w:divBdr>
        </w:div>
        <w:div w:id="2042657778">
          <w:marLeft w:val="0"/>
          <w:marRight w:val="0"/>
          <w:marTop w:val="0"/>
          <w:marBottom w:val="0"/>
          <w:divBdr>
            <w:top w:val="none" w:sz="0" w:space="0" w:color="auto"/>
            <w:left w:val="none" w:sz="0" w:space="0" w:color="auto"/>
            <w:bottom w:val="none" w:sz="0" w:space="0" w:color="auto"/>
            <w:right w:val="none" w:sz="0" w:space="0" w:color="auto"/>
          </w:divBdr>
        </w:div>
        <w:div w:id="843324547">
          <w:marLeft w:val="0"/>
          <w:marRight w:val="0"/>
          <w:marTop w:val="0"/>
          <w:marBottom w:val="0"/>
          <w:divBdr>
            <w:top w:val="none" w:sz="0" w:space="0" w:color="auto"/>
            <w:left w:val="none" w:sz="0" w:space="0" w:color="auto"/>
            <w:bottom w:val="none" w:sz="0" w:space="0" w:color="auto"/>
            <w:right w:val="none" w:sz="0" w:space="0" w:color="auto"/>
          </w:divBdr>
        </w:div>
        <w:div w:id="1559240053">
          <w:marLeft w:val="0"/>
          <w:marRight w:val="0"/>
          <w:marTop w:val="0"/>
          <w:marBottom w:val="0"/>
          <w:divBdr>
            <w:top w:val="none" w:sz="0" w:space="0" w:color="auto"/>
            <w:left w:val="none" w:sz="0" w:space="0" w:color="auto"/>
            <w:bottom w:val="none" w:sz="0" w:space="0" w:color="auto"/>
            <w:right w:val="none" w:sz="0" w:space="0" w:color="auto"/>
          </w:divBdr>
        </w:div>
      </w:divsChild>
    </w:div>
    <w:div w:id="913900019">
      <w:bodyDiv w:val="1"/>
      <w:marLeft w:val="0"/>
      <w:marRight w:val="0"/>
      <w:marTop w:val="0"/>
      <w:marBottom w:val="0"/>
      <w:divBdr>
        <w:top w:val="none" w:sz="0" w:space="0" w:color="auto"/>
        <w:left w:val="none" w:sz="0" w:space="0" w:color="auto"/>
        <w:bottom w:val="none" w:sz="0" w:space="0" w:color="auto"/>
        <w:right w:val="none" w:sz="0" w:space="0" w:color="auto"/>
      </w:divBdr>
    </w:div>
    <w:div w:id="965045841">
      <w:bodyDiv w:val="1"/>
      <w:marLeft w:val="0"/>
      <w:marRight w:val="0"/>
      <w:marTop w:val="0"/>
      <w:marBottom w:val="0"/>
      <w:divBdr>
        <w:top w:val="none" w:sz="0" w:space="0" w:color="auto"/>
        <w:left w:val="none" w:sz="0" w:space="0" w:color="auto"/>
        <w:bottom w:val="none" w:sz="0" w:space="0" w:color="auto"/>
        <w:right w:val="none" w:sz="0" w:space="0" w:color="auto"/>
      </w:divBdr>
    </w:div>
    <w:div w:id="1434740507">
      <w:bodyDiv w:val="1"/>
      <w:marLeft w:val="0"/>
      <w:marRight w:val="0"/>
      <w:marTop w:val="0"/>
      <w:marBottom w:val="0"/>
      <w:divBdr>
        <w:top w:val="none" w:sz="0" w:space="0" w:color="auto"/>
        <w:left w:val="none" w:sz="0" w:space="0" w:color="auto"/>
        <w:bottom w:val="none" w:sz="0" w:space="0" w:color="auto"/>
        <w:right w:val="none" w:sz="0" w:space="0" w:color="auto"/>
      </w:divBdr>
    </w:div>
    <w:div w:id="1776754126">
      <w:bodyDiv w:val="1"/>
      <w:marLeft w:val="0"/>
      <w:marRight w:val="0"/>
      <w:marTop w:val="0"/>
      <w:marBottom w:val="0"/>
      <w:divBdr>
        <w:top w:val="none" w:sz="0" w:space="0" w:color="auto"/>
        <w:left w:val="none" w:sz="0" w:space="0" w:color="auto"/>
        <w:bottom w:val="none" w:sz="0" w:space="0" w:color="auto"/>
        <w:right w:val="none" w:sz="0" w:space="0" w:color="auto"/>
      </w:divBdr>
      <w:divsChild>
        <w:div w:id="178966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documents/2014/10/seeking-informed-consent-simple-efficient-trials-nhs-draft-guidance-comm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ra.nhs.uk/documents/2014/10/consistency-rec-review-2-may-2014.pdf" TargetMode="External"/><Relationship Id="rId2" Type="http://schemas.openxmlformats.org/officeDocument/2006/relationships/hyperlink" Target="http://pedsnet.info/" TargetMode="External"/><Relationship Id="rId1" Type="http://schemas.openxmlformats.org/officeDocument/2006/relationships/hyperlink" Target="http://ec.europa.eu/health/human-use/clinical-trials/regulation/" TargetMode="External"/><Relationship Id="rId4" Type="http://schemas.openxmlformats.org/officeDocument/2006/relationships/hyperlink" Target="http://www.hra-decisiontools.org.uk/consent/sty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22AE-1B78-4121-A629-AA990632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Temple</dc:creator>
  <cp:lastModifiedBy>Monika Temple</cp:lastModifiedBy>
  <cp:revision>4</cp:revision>
  <dcterms:created xsi:type="dcterms:W3CDTF">2016-01-04T18:15:00Z</dcterms:created>
  <dcterms:modified xsi:type="dcterms:W3CDTF">2016-01-04T18:18:00Z</dcterms:modified>
</cp:coreProperties>
</file>