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820FD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9</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820FD6"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D &amp; E</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820FD6">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Pr="00792E2B" w:rsidRDefault="00151DBF" w:rsidP="0063397F">
      <w:pPr>
        <w:spacing w:after="0"/>
        <w:jc w:val="center"/>
        <w:rPr>
          <w:rFonts w:asciiTheme="minorHAnsi" w:hAnsiTheme="minorHAnsi" w:cstheme="minorHAnsi"/>
          <w:b/>
        </w:rPr>
      </w:pPr>
    </w:p>
    <w:tbl>
      <w:tblPr>
        <w:tblStyle w:val="TableGrid"/>
        <w:tblW w:w="9214" w:type="dxa"/>
        <w:tblInd w:w="250" w:type="dxa"/>
        <w:tblLook w:val="04A0" w:firstRow="1" w:lastRow="0" w:firstColumn="1" w:lastColumn="0" w:noHBand="0" w:noVBand="1"/>
      </w:tblPr>
      <w:tblGrid>
        <w:gridCol w:w="2378"/>
        <w:gridCol w:w="6836"/>
      </w:tblGrid>
      <w:tr w:rsidR="00151DBF" w:rsidRPr="00792E2B" w:rsidTr="00CF3037">
        <w:tc>
          <w:tcPr>
            <w:tcW w:w="237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Date of Meeting:</w:t>
            </w:r>
          </w:p>
          <w:p w:rsidR="00151DBF" w:rsidRPr="00792E2B" w:rsidRDefault="00151DBF" w:rsidP="00AE2C5E">
            <w:pPr>
              <w:rPr>
                <w:rFonts w:asciiTheme="minorHAnsi" w:hAnsiTheme="minorHAnsi" w:cstheme="minorHAnsi"/>
                <w:b/>
              </w:rPr>
            </w:pPr>
          </w:p>
        </w:tc>
        <w:tc>
          <w:tcPr>
            <w:tcW w:w="6836" w:type="dxa"/>
          </w:tcPr>
          <w:p w:rsidR="00151DBF" w:rsidRPr="00792E2B" w:rsidRDefault="00820FD6" w:rsidP="00F17BE9">
            <w:pPr>
              <w:rPr>
                <w:rFonts w:asciiTheme="minorHAnsi" w:hAnsiTheme="minorHAnsi" w:cstheme="minorHAnsi"/>
              </w:rPr>
            </w:pPr>
            <w:r>
              <w:rPr>
                <w:rFonts w:asciiTheme="minorHAnsi" w:hAnsiTheme="minorHAnsi" w:cstheme="minorHAnsi"/>
              </w:rPr>
              <w:t>20</w:t>
            </w:r>
            <w:r w:rsidR="00F17BE9">
              <w:rPr>
                <w:rFonts w:asciiTheme="minorHAnsi" w:hAnsiTheme="minorHAnsi" w:cstheme="minorHAnsi"/>
              </w:rPr>
              <w:t xml:space="preserve"> January 2016</w:t>
            </w:r>
          </w:p>
        </w:tc>
      </w:tr>
    </w:tbl>
    <w:p w:rsidR="0000688A" w:rsidRPr="00792E2B" w:rsidRDefault="0000688A" w:rsidP="0063397F">
      <w:pPr>
        <w:spacing w:after="0"/>
        <w:jc w:val="center"/>
        <w:rPr>
          <w:rFonts w:asciiTheme="minorHAnsi" w:hAnsiTheme="minorHAnsi" w:cstheme="minorHAnsi"/>
          <w:b/>
        </w:rPr>
      </w:pPr>
    </w:p>
    <w:tbl>
      <w:tblPr>
        <w:tblStyle w:val="TableGrid"/>
        <w:tblW w:w="9214" w:type="dxa"/>
        <w:tblInd w:w="250" w:type="dxa"/>
        <w:tblLook w:val="04A0" w:firstRow="1" w:lastRow="0" w:firstColumn="1" w:lastColumn="0" w:noHBand="0" w:noVBand="1"/>
      </w:tblPr>
      <w:tblGrid>
        <w:gridCol w:w="2410"/>
        <w:gridCol w:w="6804"/>
      </w:tblGrid>
      <w:tr w:rsidR="0000688A" w:rsidRPr="00792E2B" w:rsidTr="00CF3037">
        <w:tc>
          <w:tcPr>
            <w:tcW w:w="2410" w:type="dxa"/>
          </w:tcPr>
          <w:p w:rsidR="0000688A" w:rsidRPr="00792E2B" w:rsidRDefault="0000688A" w:rsidP="00276682">
            <w:pPr>
              <w:rPr>
                <w:rFonts w:asciiTheme="minorHAnsi" w:hAnsiTheme="minorHAnsi" w:cstheme="minorHAnsi"/>
                <w:b/>
              </w:rPr>
            </w:pPr>
            <w:r w:rsidRPr="00792E2B">
              <w:rPr>
                <w:rFonts w:asciiTheme="minorHAnsi" w:hAnsiTheme="minorHAnsi" w:cstheme="minorHAnsi"/>
                <w:b/>
              </w:rPr>
              <w:t>Title of Paper:</w:t>
            </w:r>
          </w:p>
          <w:p w:rsidR="0000688A" w:rsidRPr="00792E2B" w:rsidRDefault="0000688A" w:rsidP="00276682">
            <w:pPr>
              <w:rPr>
                <w:rFonts w:asciiTheme="minorHAnsi" w:hAnsiTheme="minorHAnsi" w:cstheme="minorHAnsi"/>
                <w:b/>
              </w:rPr>
            </w:pPr>
          </w:p>
        </w:tc>
        <w:tc>
          <w:tcPr>
            <w:tcW w:w="6804" w:type="dxa"/>
          </w:tcPr>
          <w:p w:rsidR="00DC72D4" w:rsidRPr="00DC72D4" w:rsidRDefault="00F32EA7" w:rsidP="00DC72D4">
            <w:pPr>
              <w:pStyle w:val="ListParagraph"/>
              <w:numPr>
                <w:ilvl w:val="0"/>
                <w:numId w:val="44"/>
              </w:numPr>
              <w:tabs>
                <w:tab w:val="left" w:pos="207"/>
              </w:tabs>
              <w:ind w:left="207" w:hanging="229"/>
              <w:rPr>
                <w:rFonts w:asciiTheme="minorHAnsi" w:hAnsiTheme="minorHAnsi" w:cstheme="minorHAnsi"/>
              </w:rPr>
            </w:pPr>
            <w:r w:rsidRPr="00DC72D4">
              <w:rPr>
                <w:rFonts w:asciiTheme="minorHAnsi" w:hAnsiTheme="minorHAnsi" w:cstheme="minorHAnsi"/>
              </w:rPr>
              <w:t xml:space="preserve">HRA </w:t>
            </w:r>
            <w:r w:rsidR="00DC72D4" w:rsidRPr="00DC72D4">
              <w:rPr>
                <w:rFonts w:asciiTheme="minorHAnsi" w:hAnsiTheme="minorHAnsi" w:cstheme="minorHAnsi"/>
              </w:rPr>
              <w:t>Standing Orders, Reservation and Delegation of Powers and Standing Financial Instructions.</w:t>
            </w:r>
            <w:r w:rsidR="00820FD6">
              <w:rPr>
                <w:rFonts w:asciiTheme="minorHAnsi" w:hAnsiTheme="minorHAnsi" w:cstheme="minorHAnsi"/>
              </w:rPr>
              <w:t xml:space="preserve"> (D)</w:t>
            </w:r>
          </w:p>
          <w:p w:rsidR="0000688A" w:rsidRPr="00DC72D4" w:rsidRDefault="00DC72D4" w:rsidP="00DC72D4">
            <w:pPr>
              <w:pStyle w:val="ListParagraph"/>
              <w:numPr>
                <w:ilvl w:val="0"/>
                <w:numId w:val="44"/>
              </w:numPr>
              <w:tabs>
                <w:tab w:val="left" w:pos="207"/>
              </w:tabs>
              <w:ind w:left="207" w:hanging="229"/>
              <w:rPr>
                <w:rFonts w:asciiTheme="minorHAnsi" w:hAnsiTheme="minorHAnsi" w:cstheme="minorHAnsi"/>
              </w:rPr>
            </w:pPr>
            <w:r w:rsidRPr="00DC72D4">
              <w:rPr>
                <w:rFonts w:asciiTheme="minorHAnsi" w:hAnsiTheme="minorHAnsi" w:cstheme="minorHAnsi"/>
              </w:rPr>
              <w:t>HRA Delegation of Financial Powers.</w:t>
            </w:r>
            <w:r w:rsidR="00820FD6">
              <w:rPr>
                <w:rFonts w:asciiTheme="minorHAnsi" w:hAnsiTheme="minorHAnsi" w:cstheme="minorHAnsi"/>
              </w:rPr>
              <w:t xml:space="preserve"> (E)</w:t>
            </w:r>
          </w:p>
          <w:p w:rsidR="0000688A" w:rsidRPr="00792E2B" w:rsidRDefault="0000688A" w:rsidP="00276682">
            <w:pPr>
              <w:rPr>
                <w:rFonts w:asciiTheme="minorHAnsi" w:hAnsiTheme="minorHAnsi" w:cstheme="minorHAnsi"/>
              </w:rPr>
            </w:pPr>
          </w:p>
        </w:tc>
      </w:tr>
      <w:tr w:rsidR="0082258E" w:rsidRPr="00792E2B" w:rsidTr="00CF3037">
        <w:tc>
          <w:tcPr>
            <w:tcW w:w="2410"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Purpose of Paper:</w:t>
            </w:r>
          </w:p>
          <w:p w:rsidR="0082258E" w:rsidRPr="00792E2B" w:rsidRDefault="0082258E" w:rsidP="00AE2C5E">
            <w:pPr>
              <w:rPr>
                <w:rFonts w:asciiTheme="minorHAnsi" w:hAnsiTheme="minorHAnsi" w:cstheme="minorHAnsi"/>
                <w:b/>
              </w:rPr>
            </w:pPr>
          </w:p>
        </w:tc>
        <w:tc>
          <w:tcPr>
            <w:tcW w:w="6804" w:type="dxa"/>
          </w:tcPr>
          <w:p w:rsidR="0000688A" w:rsidRDefault="00820FD6" w:rsidP="00820FD6">
            <w:pPr>
              <w:rPr>
                <w:rFonts w:asciiTheme="minorHAnsi" w:hAnsiTheme="minorHAnsi" w:cstheme="minorHAnsi"/>
              </w:rPr>
            </w:pPr>
            <w:r>
              <w:rPr>
                <w:rFonts w:asciiTheme="minorHAnsi" w:hAnsiTheme="minorHAnsi" w:cstheme="minorHAnsi"/>
              </w:rPr>
              <w:t>To set out the standing orders, re</w:t>
            </w:r>
            <w:bookmarkStart w:id="0" w:name="_GoBack"/>
            <w:bookmarkEnd w:id="0"/>
            <w:r>
              <w:rPr>
                <w:rFonts w:asciiTheme="minorHAnsi" w:hAnsiTheme="minorHAnsi" w:cstheme="minorHAnsi"/>
              </w:rPr>
              <w:t xml:space="preserve">servation and delegation of powers standing financial instructions and delegation of financial powers for the HRA as required. These have been updated with tracked changes detailed. </w:t>
            </w:r>
          </w:p>
          <w:p w:rsidR="00820FD6" w:rsidRPr="00792E2B" w:rsidRDefault="00820FD6" w:rsidP="00820FD6">
            <w:pPr>
              <w:rPr>
                <w:rFonts w:asciiTheme="minorHAnsi" w:hAnsiTheme="minorHAnsi" w:cstheme="minorHAnsi"/>
              </w:rPr>
            </w:pPr>
          </w:p>
        </w:tc>
      </w:tr>
      <w:tr w:rsidR="0082258E" w:rsidRPr="00792E2B" w:rsidTr="00CF3037">
        <w:tc>
          <w:tcPr>
            <w:tcW w:w="2410"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Reason for Submission:</w:t>
            </w:r>
          </w:p>
          <w:p w:rsidR="0082258E" w:rsidRPr="00792E2B" w:rsidRDefault="0082258E" w:rsidP="00AE2C5E">
            <w:pPr>
              <w:rPr>
                <w:rFonts w:asciiTheme="minorHAnsi" w:hAnsiTheme="minorHAnsi" w:cstheme="minorHAnsi"/>
                <w:b/>
              </w:rPr>
            </w:pPr>
          </w:p>
        </w:tc>
        <w:tc>
          <w:tcPr>
            <w:tcW w:w="6804" w:type="dxa"/>
          </w:tcPr>
          <w:p w:rsidR="00820FD6" w:rsidRDefault="00820FD6" w:rsidP="00820FD6">
            <w:pPr>
              <w:rPr>
                <w:rFonts w:asciiTheme="minorHAnsi" w:hAnsiTheme="minorHAnsi" w:cstheme="minorHAnsi"/>
              </w:rPr>
            </w:pPr>
            <w:r>
              <w:rPr>
                <w:rFonts w:asciiTheme="minorHAnsi" w:hAnsiTheme="minorHAnsi" w:cstheme="minorHAnsi"/>
              </w:rPr>
              <w:t>For Approval</w:t>
            </w:r>
          </w:p>
          <w:p w:rsidR="00820FD6" w:rsidRDefault="00820FD6" w:rsidP="00820FD6">
            <w:pPr>
              <w:rPr>
                <w:rFonts w:asciiTheme="minorHAnsi" w:hAnsiTheme="minorHAnsi" w:cstheme="minorHAnsi"/>
              </w:rPr>
            </w:pPr>
          </w:p>
          <w:p w:rsidR="00820FD6" w:rsidRDefault="00820FD6" w:rsidP="00820FD6">
            <w:pPr>
              <w:rPr>
                <w:rFonts w:asciiTheme="minorHAnsi" w:hAnsiTheme="minorHAnsi" w:cstheme="minorHAnsi"/>
              </w:rPr>
            </w:pPr>
            <w:r w:rsidRPr="0026162A">
              <w:rPr>
                <w:rFonts w:asciiTheme="minorHAnsi" w:hAnsiTheme="minorHAnsi" w:cstheme="minorHAnsi"/>
              </w:rPr>
              <w:t xml:space="preserve">To ask the </w:t>
            </w:r>
            <w:r>
              <w:rPr>
                <w:rFonts w:asciiTheme="minorHAnsi" w:hAnsiTheme="minorHAnsi" w:cstheme="minorHAnsi"/>
              </w:rPr>
              <w:t>Board to</w:t>
            </w:r>
            <w:r w:rsidRPr="0026162A">
              <w:rPr>
                <w:rFonts w:asciiTheme="minorHAnsi" w:hAnsiTheme="minorHAnsi" w:cstheme="minorHAnsi"/>
              </w:rPr>
              <w:t xml:space="preserve"> </w:t>
            </w:r>
            <w:r>
              <w:rPr>
                <w:rFonts w:asciiTheme="minorHAnsi" w:hAnsiTheme="minorHAnsi" w:cstheme="minorHAnsi"/>
              </w:rPr>
              <w:t xml:space="preserve">approve </w:t>
            </w:r>
            <w:r>
              <w:rPr>
                <w:rFonts w:asciiTheme="minorHAnsi" w:hAnsiTheme="minorHAnsi" w:cstheme="minorHAnsi"/>
              </w:rPr>
              <w:t>the revisions for the following documents:</w:t>
            </w:r>
          </w:p>
          <w:p w:rsidR="00820FD6" w:rsidRDefault="00820FD6" w:rsidP="00820FD6">
            <w:pPr>
              <w:pStyle w:val="ListParagraph"/>
              <w:numPr>
                <w:ilvl w:val="0"/>
                <w:numId w:val="45"/>
              </w:numPr>
              <w:tabs>
                <w:tab w:val="left" w:pos="207"/>
              </w:tabs>
              <w:ind w:left="207" w:hanging="229"/>
              <w:rPr>
                <w:rFonts w:asciiTheme="minorHAnsi" w:hAnsiTheme="minorHAnsi" w:cstheme="minorHAnsi"/>
              </w:rPr>
            </w:pPr>
            <w:r w:rsidRPr="00CF3037">
              <w:rPr>
                <w:rFonts w:asciiTheme="minorHAnsi" w:hAnsiTheme="minorHAnsi" w:cstheme="minorHAnsi"/>
              </w:rPr>
              <w:t>HRA Standing Orders, Reservation and Delegation of Powers and Standing Financial Instructions</w:t>
            </w:r>
            <w:r>
              <w:rPr>
                <w:rFonts w:asciiTheme="minorHAnsi" w:hAnsiTheme="minorHAnsi" w:cstheme="minorHAnsi"/>
              </w:rPr>
              <w:t>; and</w:t>
            </w:r>
          </w:p>
          <w:p w:rsidR="00820FD6" w:rsidRPr="00CF3037" w:rsidRDefault="00820FD6" w:rsidP="00820FD6">
            <w:pPr>
              <w:pStyle w:val="ListParagraph"/>
              <w:numPr>
                <w:ilvl w:val="0"/>
                <w:numId w:val="45"/>
              </w:numPr>
              <w:tabs>
                <w:tab w:val="left" w:pos="207"/>
              </w:tabs>
              <w:ind w:left="207" w:hanging="229"/>
              <w:rPr>
                <w:rFonts w:asciiTheme="minorHAnsi" w:hAnsiTheme="minorHAnsi" w:cstheme="minorHAnsi"/>
              </w:rPr>
            </w:pPr>
            <w:r w:rsidRPr="00CF3037">
              <w:rPr>
                <w:rFonts w:asciiTheme="minorHAnsi" w:hAnsiTheme="minorHAnsi" w:cstheme="minorHAnsi"/>
              </w:rPr>
              <w:t xml:space="preserve">HRA </w:t>
            </w:r>
            <w:r>
              <w:rPr>
                <w:rFonts w:asciiTheme="minorHAnsi" w:hAnsiTheme="minorHAnsi" w:cstheme="minorHAnsi"/>
              </w:rPr>
              <w:t xml:space="preserve">Scheme of </w:t>
            </w:r>
            <w:r w:rsidRPr="00CF3037">
              <w:rPr>
                <w:rFonts w:asciiTheme="minorHAnsi" w:hAnsiTheme="minorHAnsi" w:cstheme="minorHAnsi"/>
              </w:rPr>
              <w:t>Delegation of Financial Powers.</w:t>
            </w:r>
          </w:p>
          <w:p w:rsidR="0000688A" w:rsidRPr="00792E2B" w:rsidRDefault="0000688A" w:rsidP="00820FD6">
            <w:pPr>
              <w:rPr>
                <w:rFonts w:asciiTheme="minorHAnsi" w:hAnsiTheme="minorHAnsi" w:cstheme="minorHAnsi"/>
              </w:rPr>
            </w:pPr>
          </w:p>
        </w:tc>
      </w:tr>
      <w:tr w:rsidR="0082258E" w:rsidRPr="00792E2B" w:rsidTr="00CF3037">
        <w:tc>
          <w:tcPr>
            <w:tcW w:w="2410" w:type="dxa"/>
          </w:tcPr>
          <w:p w:rsidR="0082258E" w:rsidRPr="00792E2B" w:rsidRDefault="0082258E" w:rsidP="00AE2C5E">
            <w:pPr>
              <w:rPr>
                <w:rFonts w:asciiTheme="minorHAnsi" w:hAnsiTheme="minorHAnsi" w:cstheme="minorHAnsi"/>
                <w:b/>
              </w:rPr>
            </w:pPr>
            <w:r w:rsidRPr="00792E2B">
              <w:rPr>
                <w:rFonts w:asciiTheme="minorHAnsi" w:hAnsiTheme="minorHAnsi" w:cstheme="minorHAnsi"/>
                <w:b/>
              </w:rPr>
              <w:t>Details:</w:t>
            </w:r>
          </w:p>
          <w:p w:rsidR="0082258E" w:rsidRPr="00792E2B" w:rsidRDefault="0082258E" w:rsidP="00AE2C5E">
            <w:pPr>
              <w:rPr>
                <w:rFonts w:asciiTheme="minorHAnsi" w:hAnsiTheme="minorHAnsi" w:cstheme="minorHAnsi"/>
                <w:b/>
              </w:rPr>
            </w:pPr>
          </w:p>
        </w:tc>
        <w:tc>
          <w:tcPr>
            <w:tcW w:w="6804" w:type="dxa"/>
          </w:tcPr>
          <w:p w:rsidR="0000688A" w:rsidRDefault="00F32EA7" w:rsidP="00AE2C5E">
            <w:pPr>
              <w:rPr>
                <w:rFonts w:asciiTheme="minorHAnsi" w:hAnsiTheme="minorHAnsi" w:cstheme="minorHAnsi"/>
              </w:rPr>
            </w:pPr>
            <w:r>
              <w:rPr>
                <w:rFonts w:asciiTheme="minorHAnsi" w:hAnsiTheme="minorHAnsi" w:cstheme="minorHAnsi"/>
              </w:rPr>
              <w:t>See papers</w:t>
            </w:r>
            <w:r w:rsidR="00F04359">
              <w:rPr>
                <w:rFonts w:asciiTheme="minorHAnsi" w:hAnsiTheme="minorHAnsi" w:cstheme="minorHAnsi"/>
              </w:rPr>
              <w:t xml:space="preserve"> in tracked changes.  Main proposals:</w:t>
            </w:r>
          </w:p>
          <w:p w:rsidR="00F04359" w:rsidRDefault="00824EC5" w:rsidP="00F04359">
            <w:pPr>
              <w:pStyle w:val="ListParagraph"/>
              <w:numPr>
                <w:ilvl w:val="0"/>
                <w:numId w:val="46"/>
              </w:numPr>
              <w:rPr>
                <w:rFonts w:asciiTheme="minorHAnsi" w:hAnsiTheme="minorHAnsi" w:cstheme="minorHAnsi"/>
              </w:rPr>
            </w:pPr>
            <w:r>
              <w:rPr>
                <w:rFonts w:asciiTheme="minorHAnsi" w:hAnsiTheme="minorHAnsi" w:cstheme="minorHAnsi"/>
              </w:rPr>
              <w:t xml:space="preserve">Refresh of </w:t>
            </w:r>
            <w:r w:rsidR="002A2C3C">
              <w:rPr>
                <w:rFonts w:asciiTheme="minorHAnsi" w:hAnsiTheme="minorHAnsi" w:cstheme="minorHAnsi"/>
              </w:rPr>
              <w:t xml:space="preserve">section 17.6 to update </w:t>
            </w:r>
            <w:r>
              <w:rPr>
                <w:rFonts w:asciiTheme="minorHAnsi" w:hAnsiTheme="minorHAnsi" w:cstheme="minorHAnsi"/>
              </w:rPr>
              <w:t>a</w:t>
            </w:r>
            <w:r w:rsidR="00F04359">
              <w:rPr>
                <w:rFonts w:asciiTheme="minorHAnsi" w:hAnsiTheme="minorHAnsi" w:cstheme="minorHAnsi"/>
              </w:rPr>
              <w:t xml:space="preserve">rrangements for electronic tendering </w:t>
            </w:r>
            <w:r>
              <w:rPr>
                <w:rFonts w:asciiTheme="minorHAnsi" w:hAnsiTheme="minorHAnsi" w:cstheme="minorHAnsi"/>
              </w:rPr>
              <w:t>to reflect agreed approach prior to latest tendering exercise on advice from DH Procurement Centre for Expertise.  UK authorities do not generally use the paper process and the Public Contracts Regulations 2015 make electronic means of communication mandatory for all communication and information exchange in public contracts from 18 October 2018 so a dual approach is required in the meantime.</w:t>
            </w:r>
          </w:p>
          <w:p w:rsidR="00F04359" w:rsidRDefault="009E1E6E" w:rsidP="009E1E6E">
            <w:pPr>
              <w:pStyle w:val="ListParagraph"/>
              <w:numPr>
                <w:ilvl w:val="0"/>
                <w:numId w:val="46"/>
              </w:numPr>
              <w:rPr>
                <w:rFonts w:asciiTheme="minorHAnsi" w:hAnsiTheme="minorHAnsi" w:cstheme="minorHAnsi"/>
              </w:rPr>
            </w:pPr>
            <w:r>
              <w:rPr>
                <w:rFonts w:asciiTheme="minorHAnsi" w:hAnsiTheme="minorHAnsi" w:cstheme="minorHAnsi"/>
              </w:rPr>
              <w:t>Amendment of limits for CEX, Chair and DH Sponsor approval.</w:t>
            </w:r>
          </w:p>
          <w:p w:rsidR="009E1E6E" w:rsidRDefault="009E1E6E" w:rsidP="009E1E6E">
            <w:pPr>
              <w:pStyle w:val="ListParagraph"/>
              <w:numPr>
                <w:ilvl w:val="0"/>
                <w:numId w:val="46"/>
              </w:numPr>
              <w:rPr>
                <w:rFonts w:asciiTheme="minorHAnsi" w:hAnsiTheme="minorHAnsi" w:cstheme="minorHAnsi"/>
              </w:rPr>
            </w:pPr>
            <w:r>
              <w:rPr>
                <w:rFonts w:asciiTheme="minorHAnsi" w:hAnsiTheme="minorHAnsi" w:cstheme="minorHAnsi"/>
              </w:rPr>
              <w:t>Reference to travel insurance for agreed and necessary staff travel outside EU.</w:t>
            </w:r>
          </w:p>
          <w:p w:rsidR="0000688A" w:rsidRPr="00820FD6" w:rsidRDefault="0000688A" w:rsidP="00820FD6">
            <w:pPr>
              <w:ind w:left="360"/>
              <w:rPr>
                <w:rFonts w:asciiTheme="minorHAnsi" w:hAnsiTheme="minorHAnsi" w:cstheme="minorHAnsi"/>
              </w:rPr>
            </w:pPr>
          </w:p>
        </w:tc>
      </w:tr>
      <w:tr w:rsidR="0000688A" w:rsidRPr="00792E2B" w:rsidTr="00CF3037">
        <w:tc>
          <w:tcPr>
            <w:tcW w:w="2410" w:type="dxa"/>
          </w:tcPr>
          <w:p w:rsidR="0000688A" w:rsidRPr="00792E2B" w:rsidRDefault="0000688A" w:rsidP="00B86C50">
            <w:pPr>
              <w:rPr>
                <w:rFonts w:asciiTheme="minorHAnsi" w:hAnsiTheme="minorHAnsi" w:cstheme="minorHAnsi"/>
                <w:b/>
              </w:rPr>
            </w:pPr>
            <w:r w:rsidRPr="00792E2B">
              <w:rPr>
                <w:rFonts w:asciiTheme="minorHAnsi" w:hAnsiTheme="minorHAnsi" w:cstheme="minorHAnsi"/>
                <w:b/>
              </w:rPr>
              <w:t>Suitable for wider circulation?</w:t>
            </w:r>
          </w:p>
          <w:p w:rsidR="0000688A" w:rsidRPr="00792E2B" w:rsidRDefault="0000688A" w:rsidP="00B86C50">
            <w:pPr>
              <w:rPr>
                <w:rFonts w:asciiTheme="minorHAnsi" w:hAnsiTheme="minorHAnsi" w:cstheme="minorHAnsi"/>
                <w:b/>
              </w:rPr>
            </w:pPr>
          </w:p>
        </w:tc>
        <w:tc>
          <w:tcPr>
            <w:tcW w:w="6804" w:type="dxa"/>
          </w:tcPr>
          <w:p w:rsidR="0000688A" w:rsidRPr="00CF3037" w:rsidRDefault="00820FD6" w:rsidP="00B86C50">
            <w:pPr>
              <w:rPr>
                <w:rFonts w:asciiTheme="minorHAnsi" w:hAnsiTheme="minorHAnsi" w:cstheme="minorHAnsi"/>
              </w:rPr>
            </w:pPr>
            <w:r>
              <w:rPr>
                <w:rFonts w:asciiTheme="minorHAnsi" w:hAnsiTheme="minorHAnsi" w:cstheme="minorHAnsi"/>
              </w:rPr>
              <w:t>Once approved</w:t>
            </w:r>
          </w:p>
        </w:tc>
      </w:tr>
      <w:tr w:rsidR="00820FD6" w:rsidRPr="00792E2B" w:rsidTr="00CF3037">
        <w:tc>
          <w:tcPr>
            <w:tcW w:w="2410" w:type="dxa"/>
          </w:tcPr>
          <w:p w:rsidR="00820FD6" w:rsidRPr="00792E2B" w:rsidRDefault="00820FD6" w:rsidP="00B86C50">
            <w:pPr>
              <w:rPr>
                <w:rFonts w:asciiTheme="minorHAnsi" w:hAnsiTheme="minorHAnsi" w:cstheme="minorHAnsi"/>
                <w:b/>
              </w:rPr>
            </w:pPr>
            <w:r>
              <w:rPr>
                <w:rFonts w:asciiTheme="minorHAnsi" w:hAnsiTheme="minorHAnsi" w:cstheme="minorHAnsi"/>
                <w:b/>
              </w:rPr>
              <w:t>Time Required for item:</w:t>
            </w:r>
          </w:p>
        </w:tc>
        <w:tc>
          <w:tcPr>
            <w:tcW w:w="6804" w:type="dxa"/>
          </w:tcPr>
          <w:p w:rsidR="00820FD6" w:rsidRDefault="00820FD6" w:rsidP="00B86C50">
            <w:pPr>
              <w:rPr>
                <w:rFonts w:asciiTheme="minorHAnsi" w:hAnsiTheme="minorHAnsi" w:cstheme="minorHAnsi"/>
              </w:rPr>
            </w:pPr>
            <w:r>
              <w:rPr>
                <w:rFonts w:asciiTheme="minorHAnsi" w:hAnsiTheme="minorHAnsi" w:cstheme="minorHAnsi"/>
              </w:rPr>
              <w:t>10 minutes</w:t>
            </w:r>
          </w:p>
        </w:tc>
      </w:tr>
    </w:tbl>
    <w:p w:rsidR="0000688A" w:rsidRPr="00792E2B" w:rsidRDefault="0000688A" w:rsidP="0082258E">
      <w:pPr>
        <w:spacing w:after="0"/>
        <w:rPr>
          <w:rFonts w:asciiTheme="minorHAnsi" w:hAnsiTheme="minorHAnsi" w:cstheme="minorHAnsi"/>
          <w:b/>
        </w:rPr>
      </w:pPr>
    </w:p>
    <w:tbl>
      <w:tblPr>
        <w:tblStyle w:val="TableGrid"/>
        <w:tblW w:w="9214" w:type="dxa"/>
        <w:tblInd w:w="250" w:type="dxa"/>
        <w:shd w:val="clear" w:color="auto" w:fill="D9D9D9" w:themeFill="background1" w:themeFillShade="D9"/>
        <w:tblLook w:val="04A0" w:firstRow="1" w:lastRow="0" w:firstColumn="1" w:lastColumn="0" w:noHBand="0" w:noVBand="1"/>
      </w:tblPr>
      <w:tblGrid>
        <w:gridCol w:w="2378"/>
        <w:gridCol w:w="1350"/>
        <w:gridCol w:w="3690"/>
        <w:gridCol w:w="1796"/>
      </w:tblGrid>
      <w:tr w:rsidR="002E55B5" w:rsidRPr="00792E2B" w:rsidTr="00CF3037">
        <w:tc>
          <w:tcPr>
            <w:tcW w:w="2378" w:type="dxa"/>
            <w:vMerge w:val="restart"/>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 xml:space="preserve">Recommendation / </w:t>
            </w:r>
            <w:r w:rsidRPr="00792E2B">
              <w:rPr>
                <w:rFonts w:asciiTheme="minorHAnsi" w:hAnsiTheme="minorHAnsi" w:cstheme="minorHAnsi"/>
                <w:b/>
              </w:rPr>
              <w:lastRenderedPageBreak/>
              <w:t>Proposed Actions:</w:t>
            </w:r>
          </w:p>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2E55B5">
            <w:pPr>
              <w:rPr>
                <w:rFonts w:asciiTheme="minorHAnsi" w:hAnsiTheme="minorHAnsi" w:cstheme="minorHAnsi"/>
                <w:b/>
              </w:rPr>
            </w:pPr>
            <w:r w:rsidRPr="00792E2B">
              <w:rPr>
                <w:rFonts w:asciiTheme="minorHAnsi" w:hAnsiTheme="minorHAnsi" w:cstheme="minorHAnsi"/>
                <w:b/>
              </w:rPr>
              <w:lastRenderedPageBreak/>
              <w:t>To Approve</w:t>
            </w:r>
          </w:p>
        </w:tc>
        <w:tc>
          <w:tcPr>
            <w:tcW w:w="1796" w:type="dxa"/>
            <w:shd w:val="clear" w:color="auto" w:fill="auto"/>
          </w:tcPr>
          <w:p w:rsidR="002E55B5" w:rsidRPr="00792E2B" w:rsidRDefault="00BA6676" w:rsidP="00AE2C5E">
            <w:pPr>
              <w:rPr>
                <w:rFonts w:asciiTheme="minorHAnsi" w:hAnsiTheme="minorHAnsi" w:cstheme="minorHAnsi"/>
                <w:b/>
              </w:rPr>
            </w:pPr>
            <w:r>
              <w:rPr>
                <w:rFonts w:asciiTheme="minorHAnsi" w:hAnsiTheme="minorHAnsi" w:cstheme="minorHAnsi"/>
                <w:b/>
              </w:rPr>
              <w:t>x</w:t>
            </w:r>
          </w:p>
        </w:tc>
      </w:tr>
      <w:tr w:rsidR="002E55B5" w:rsidRPr="00792E2B" w:rsidTr="00CF3037">
        <w:tc>
          <w:tcPr>
            <w:tcW w:w="237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5040" w:type="dxa"/>
            <w:gridSpan w:val="2"/>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To Note</w:t>
            </w:r>
          </w:p>
        </w:tc>
        <w:tc>
          <w:tcPr>
            <w:tcW w:w="1796" w:type="dxa"/>
            <w:shd w:val="clear" w:color="auto" w:fill="auto"/>
          </w:tcPr>
          <w:p w:rsidR="002E55B5" w:rsidRPr="00792E2B" w:rsidRDefault="002E55B5" w:rsidP="00AE2C5E">
            <w:pPr>
              <w:rPr>
                <w:rFonts w:asciiTheme="minorHAnsi" w:hAnsiTheme="minorHAnsi" w:cstheme="minorHAnsi"/>
                <w:b/>
              </w:rPr>
            </w:pPr>
          </w:p>
        </w:tc>
      </w:tr>
      <w:tr w:rsidR="00792E2B" w:rsidRPr="00792E2B" w:rsidTr="00CF3037">
        <w:tc>
          <w:tcPr>
            <w:tcW w:w="2378" w:type="dxa"/>
            <w:vMerge/>
            <w:shd w:val="clear" w:color="auto" w:fill="D9D9D9" w:themeFill="background1" w:themeFillShade="D9"/>
          </w:tcPr>
          <w:p w:rsidR="00792E2B" w:rsidRPr="00792E2B" w:rsidRDefault="00792E2B" w:rsidP="00AE2C5E">
            <w:pPr>
              <w:rPr>
                <w:rFonts w:asciiTheme="minorHAnsi" w:hAnsiTheme="minorHAnsi" w:cstheme="minorHAnsi"/>
                <w:b/>
              </w:rPr>
            </w:pPr>
          </w:p>
        </w:tc>
        <w:tc>
          <w:tcPr>
            <w:tcW w:w="5040" w:type="dxa"/>
            <w:gridSpan w:val="2"/>
            <w:shd w:val="clear" w:color="auto" w:fill="D9D9D9" w:themeFill="background1" w:themeFillShade="D9"/>
          </w:tcPr>
          <w:p w:rsidR="00792E2B" w:rsidRPr="00792E2B" w:rsidRDefault="00792E2B" w:rsidP="00AE2C5E">
            <w:pPr>
              <w:rPr>
                <w:rFonts w:asciiTheme="minorHAnsi" w:hAnsiTheme="minorHAnsi" w:cstheme="minorHAnsi"/>
                <w:b/>
              </w:rPr>
            </w:pPr>
            <w:r>
              <w:rPr>
                <w:rFonts w:asciiTheme="minorHAnsi" w:hAnsiTheme="minorHAnsi" w:cstheme="minorHAnsi"/>
                <w:b/>
              </w:rPr>
              <w:t>For Discussion</w:t>
            </w:r>
          </w:p>
        </w:tc>
        <w:tc>
          <w:tcPr>
            <w:tcW w:w="1796" w:type="dxa"/>
            <w:shd w:val="clear" w:color="auto" w:fill="auto"/>
          </w:tcPr>
          <w:p w:rsidR="00792E2B" w:rsidRPr="00792E2B" w:rsidRDefault="00792E2B" w:rsidP="00AE2C5E">
            <w:pPr>
              <w:rPr>
                <w:rFonts w:asciiTheme="minorHAnsi" w:hAnsiTheme="minorHAnsi" w:cstheme="minorHAnsi"/>
                <w:b/>
              </w:rPr>
            </w:pPr>
          </w:p>
        </w:tc>
      </w:tr>
      <w:tr w:rsidR="002E55B5" w:rsidRPr="00792E2B" w:rsidTr="00CF3037">
        <w:tc>
          <w:tcPr>
            <w:tcW w:w="2378" w:type="dxa"/>
            <w:vMerge/>
            <w:shd w:val="clear" w:color="auto" w:fill="D9D9D9" w:themeFill="background1" w:themeFillShade="D9"/>
          </w:tcPr>
          <w:p w:rsidR="002E55B5" w:rsidRPr="00792E2B" w:rsidRDefault="002E55B5" w:rsidP="00AE2C5E">
            <w:pPr>
              <w:rPr>
                <w:rFonts w:asciiTheme="minorHAnsi" w:hAnsiTheme="minorHAnsi" w:cstheme="minorHAnsi"/>
                <w:b/>
              </w:rPr>
            </w:pPr>
          </w:p>
        </w:tc>
        <w:tc>
          <w:tcPr>
            <w:tcW w:w="1350" w:type="dxa"/>
            <w:shd w:val="clear" w:color="auto" w:fill="D9D9D9" w:themeFill="background1" w:themeFillShade="D9"/>
          </w:tcPr>
          <w:p w:rsidR="002E55B5" w:rsidRPr="00792E2B" w:rsidRDefault="002E55B5" w:rsidP="00AE2C5E">
            <w:pPr>
              <w:rPr>
                <w:rFonts w:asciiTheme="minorHAnsi" w:hAnsiTheme="minorHAnsi" w:cstheme="minorHAnsi"/>
                <w:b/>
              </w:rPr>
            </w:pPr>
            <w:r w:rsidRPr="00792E2B">
              <w:rPr>
                <w:rFonts w:asciiTheme="minorHAnsi" w:hAnsiTheme="minorHAnsi" w:cstheme="minorHAnsi"/>
                <w:b/>
              </w:rPr>
              <w:t>Comments</w:t>
            </w:r>
          </w:p>
        </w:tc>
        <w:tc>
          <w:tcPr>
            <w:tcW w:w="5486" w:type="dxa"/>
            <w:gridSpan w:val="2"/>
            <w:shd w:val="clear" w:color="auto" w:fill="auto"/>
          </w:tcPr>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p w:rsidR="002E55B5" w:rsidRPr="00792E2B" w:rsidRDefault="002E55B5" w:rsidP="00AE2C5E">
            <w:pPr>
              <w:rPr>
                <w:rFonts w:asciiTheme="minorHAnsi" w:hAnsiTheme="minorHAnsi" w:cstheme="minorHAnsi"/>
                <w:b/>
              </w:rPr>
            </w:pPr>
          </w:p>
        </w:tc>
      </w:tr>
    </w:tbl>
    <w:p w:rsidR="0082258E" w:rsidRPr="00792E2B" w:rsidRDefault="0082258E" w:rsidP="0000688A">
      <w:pPr>
        <w:tabs>
          <w:tab w:val="left" w:pos="1980"/>
        </w:tabs>
        <w:spacing w:after="0" w:line="240" w:lineRule="auto"/>
        <w:rPr>
          <w:rFonts w:asciiTheme="minorHAnsi" w:hAnsiTheme="minorHAnsi" w:cstheme="minorHAnsi"/>
          <w:b/>
        </w:rPr>
      </w:pPr>
    </w:p>
    <w:tbl>
      <w:tblPr>
        <w:tblStyle w:val="TableGrid"/>
        <w:tblW w:w="9214" w:type="dxa"/>
        <w:tblInd w:w="250" w:type="dxa"/>
        <w:tblLook w:val="04A0" w:firstRow="1" w:lastRow="0" w:firstColumn="1" w:lastColumn="0" w:noHBand="0" w:noVBand="1"/>
      </w:tblPr>
      <w:tblGrid>
        <w:gridCol w:w="2378"/>
        <w:gridCol w:w="6836"/>
      </w:tblGrid>
      <w:tr w:rsidR="00151DBF" w:rsidRPr="00792E2B" w:rsidTr="00CF3037">
        <w:tc>
          <w:tcPr>
            <w:tcW w:w="237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Name:</w:t>
            </w:r>
          </w:p>
          <w:p w:rsidR="00151DBF" w:rsidRPr="00792E2B" w:rsidRDefault="00151DBF" w:rsidP="00AE2C5E">
            <w:pPr>
              <w:rPr>
                <w:rFonts w:asciiTheme="minorHAnsi" w:hAnsiTheme="minorHAnsi" w:cstheme="minorHAnsi"/>
                <w:b/>
              </w:rPr>
            </w:pPr>
          </w:p>
        </w:tc>
        <w:tc>
          <w:tcPr>
            <w:tcW w:w="6836" w:type="dxa"/>
          </w:tcPr>
          <w:p w:rsidR="00151DBF" w:rsidRPr="00792E2B" w:rsidRDefault="00F17BE9" w:rsidP="00AE2C5E">
            <w:pPr>
              <w:rPr>
                <w:rFonts w:asciiTheme="minorHAnsi" w:hAnsiTheme="minorHAnsi" w:cstheme="minorHAnsi"/>
              </w:rPr>
            </w:pPr>
            <w:r>
              <w:rPr>
                <w:rFonts w:asciiTheme="minorHAnsi" w:hAnsiTheme="minorHAnsi" w:cstheme="minorHAnsi"/>
              </w:rPr>
              <w:t>Debbie Corrigan and Stephen Robinson</w:t>
            </w:r>
          </w:p>
          <w:p w:rsidR="00151DBF" w:rsidRPr="00792E2B" w:rsidRDefault="00151DBF" w:rsidP="00AE2C5E">
            <w:pPr>
              <w:rPr>
                <w:rFonts w:asciiTheme="minorHAnsi" w:hAnsiTheme="minorHAnsi" w:cstheme="minorHAnsi"/>
              </w:rPr>
            </w:pPr>
          </w:p>
        </w:tc>
      </w:tr>
      <w:tr w:rsidR="00151DBF" w:rsidRPr="00792E2B" w:rsidTr="00CF3037">
        <w:tc>
          <w:tcPr>
            <w:tcW w:w="237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Job Title:</w:t>
            </w:r>
          </w:p>
          <w:p w:rsidR="00151DBF" w:rsidRPr="00792E2B" w:rsidRDefault="00151DBF" w:rsidP="00AE2C5E">
            <w:pPr>
              <w:rPr>
                <w:rFonts w:asciiTheme="minorHAnsi" w:hAnsiTheme="minorHAnsi" w:cstheme="minorHAnsi"/>
                <w:b/>
              </w:rPr>
            </w:pPr>
          </w:p>
        </w:tc>
        <w:tc>
          <w:tcPr>
            <w:tcW w:w="6836" w:type="dxa"/>
          </w:tcPr>
          <w:p w:rsidR="00151DBF" w:rsidRPr="00F32EA7" w:rsidRDefault="00F17BE9" w:rsidP="00AE2C5E">
            <w:pPr>
              <w:rPr>
                <w:rFonts w:asciiTheme="minorHAnsi" w:hAnsiTheme="minorHAnsi" w:cstheme="minorHAnsi"/>
              </w:rPr>
            </w:pPr>
            <w:r>
              <w:rPr>
                <w:rFonts w:asciiTheme="minorHAnsi" w:eastAsia="Times New Roman" w:hAnsiTheme="minorHAnsi" w:cstheme="minorHAnsi"/>
              </w:rPr>
              <w:t>Director of Finance, Procurement &amp; Estates and Corporate Secretary</w:t>
            </w:r>
          </w:p>
          <w:p w:rsidR="00151DBF" w:rsidRPr="00792E2B" w:rsidRDefault="00151DBF" w:rsidP="00AE2C5E">
            <w:pPr>
              <w:rPr>
                <w:rFonts w:asciiTheme="minorHAnsi" w:hAnsiTheme="minorHAnsi" w:cstheme="minorHAnsi"/>
              </w:rPr>
            </w:pPr>
          </w:p>
        </w:tc>
      </w:tr>
      <w:tr w:rsidR="00151DBF" w:rsidRPr="00792E2B" w:rsidTr="00CF3037">
        <w:tc>
          <w:tcPr>
            <w:tcW w:w="2378" w:type="dxa"/>
          </w:tcPr>
          <w:p w:rsidR="00151DBF" w:rsidRPr="00792E2B" w:rsidRDefault="00151DBF" w:rsidP="00AE2C5E">
            <w:pPr>
              <w:rPr>
                <w:rFonts w:asciiTheme="minorHAnsi" w:hAnsiTheme="minorHAnsi" w:cstheme="minorHAnsi"/>
                <w:b/>
              </w:rPr>
            </w:pPr>
            <w:r w:rsidRPr="00792E2B">
              <w:rPr>
                <w:rFonts w:asciiTheme="minorHAnsi" w:hAnsiTheme="minorHAnsi" w:cstheme="minorHAnsi"/>
                <w:b/>
              </w:rPr>
              <w:t>Date:</w:t>
            </w:r>
          </w:p>
          <w:p w:rsidR="00151DBF" w:rsidRPr="00792E2B" w:rsidRDefault="00151DBF" w:rsidP="00AE2C5E">
            <w:pPr>
              <w:rPr>
                <w:rFonts w:asciiTheme="minorHAnsi" w:hAnsiTheme="minorHAnsi" w:cstheme="minorHAnsi"/>
                <w:b/>
              </w:rPr>
            </w:pPr>
          </w:p>
        </w:tc>
        <w:tc>
          <w:tcPr>
            <w:tcW w:w="6836" w:type="dxa"/>
          </w:tcPr>
          <w:p w:rsidR="00151DBF" w:rsidRPr="00792E2B" w:rsidRDefault="00820FD6" w:rsidP="00AE2C5E">
            <w:pPr>
              <w:rPr>
                <w:rFonts w:asciiTheme="minorHAnsi" w:hAnsiTheme="minorHAnsi" w:cstheme="minorHAnsi"/>
              </w:rPr>
            </w:pPr>
            <w:r>
              <w:rPr>
                <w:rFonts w:asciiTheme="minorHAnsi" w:hAnsiTheme="minorHAnsi" w:cstheme="minorHAnsi"/>
              </w:rPr>
              <w:t>11 January 2016</w:t>
            </w:r>
          </w:p>
          <w:p w:rsidR="00151DBF" w:rsidRPr="00792E2B" w:rsidRDefault="00151DBF" w:rsidP="00AE2C5E">
            <w:pPr>
              <w:rPr>
                <w:rFonts w:asciiTheme="minorHAnsi" w:hAnsiTheme="minorHAnsi" w:cstheme="minorHAnsi"/>
              </w:rPr>
            </w:pPr>
          </w:p>
        </w:tc>
      </w:tr>
    </w:tbl>
    <w:p w:rsidR="00151DBF" w:rsidRPr="00792E2B" w:rsidRDefault="00151DBF" w:rsidP="00151DBF">
      <w:pPr>
        <w:tabs>
          <w:tab w:val="left" w:pos="1980"/>
        </w:tabs>
        <w:spacing w:after="0" w:line="240" w:lineRule="auto"/>
        <w:rPr>
          <w:rFonts w:asciiTheme="minorHAnsi" w:hAnsiTheme="minorHAnsi" w:cstheme="minorHAnsi"/>
          <w:b/>
        </w:rPr>
      </w:pPr>
    </w:p>
    <w:sectPr w:rsidR="00151DBF" w:rsidRPr="00792E2B" w:rsidSect="000F5FA5">
      <w:headerReference w:type="default" r:id="rId9"/>
      <w:footerReference w:type="default" r:id="rId10"/>
      <w:pgSz w:w="11907" w:h="16840" w:code="9"/>
      <w:pgMar w:top="1134" w:right="147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6" w:rsidRDefault="00B26956" w:rsidP="006B5376">
      <w:pPr>
        <w:spacing w:after="0" w:line="240" w:lineRule="auto"/>
      </w:pPr>
      <w:r>
        <w:separator/>
      </w:r>
    </w:p>
  </w:endnote>
  <w:endnote w:type="continuationSeparator" w:id="0">
    <w:p w:rsidR="00B26956" w:rsidRDefault="00B26956"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2D" w:rsidRDefault="00AF282D">
    <w:pPr>
      <w:pStyle w:val="Footer"/>
    </w:pPr>
    <w:r w:rsidRPr="00AF282D">
      <w:rPr>
        <w:noProof/>
        <w:lang w:eastAsia="en-GB"/>
      </w:rPr>
      <w:drawing>
        <wp:anchor distT="0" distB="0" distL="114300" distR="114300" simplePos="0" relativeHeight="251659264" behindDoc="1" locked="0" layoutInCell="1" allowOverlap="1" wp14:anchorId="1D57B123" wp14:editId="483340B0">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282D">
      <w:rPr>
        <w:noProof/>
        <w:lang w:eastAsia="en-GB"/>
      </w:rPr>
      <mc:AlternateContent>
        <mc:Choice Requires="wps">
          <w:drawing>
            <wp:anchor distT="0" distB="0" distL="114300" distR="114300" simplePos="0" relativeHeight="251660288" behindDoc="0" locked="0" layoutInCell="1" allowOverlap="1" wp14:anchorId="13C79D2A" wp14:editId="6BE503AF">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6" w:rsidRDefault="00B26956" w:rsidP="006B5376">
      <w:pPr>
        <w:spacing w:after="0" w:line="240" w:lineRule="auto"/>
      </w:pPr>
      <w:r>
        <w:separator/>
      </w:r>
    </w:p>
  </w:footnote>
  <w:footnote w:type="continuationSeparator" w:id="0">
    <w:p w:rsidR="00B26956" w:rsidRDefault="00B26956"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4CB00313" wp14:editId="1772C0E7">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0B7442"/>
    <w:multiLevelType w:val="hybridMultilevel"/>
    <w:tmpl w:val="EC565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482662"/>
    <w:multiLevelType w:val="hybridMultilevel"/>
    <w:tmpl w:val="B02A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F5B7C"/>
    <w:multiLevelType w:val="hybridMultilevel"/>
    <w:tmpl w:val="96106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7"/>
  </w:num>
  <w:num w:numId="4">
    <w:abstractNumId w:val="13"/>
  </w:num>
  <w:num w:numId="5">
    <w:abstractNumId w:val="26"/>
  </w:num>
  <w:num w:numId="6">
    <w:abstractNumId w:val="3"/>
  </w:num>
  <w:num w:numId="7">
    <w:abstractNumId w:val="32"/>
  </w:num>
  <w:num w:numId="8">
    <w:abstractNumId w:val="33"/>
  </w:num>
  <w:num w:numId="9">
    <w:abstractNumId w:val="35"/>
  </w:num>
  <w:num w:numId="10">
    <w:abstractNumId w:val="3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2"/>
  </w:num>
  <w:num w:numId="15">
    <w:abstractNumId w:val="9"/>
  </w:num>
  <w:num w:numId="16">
    <w:abstractNumId w:val="24"/>
  </w:num>
  <w:num w:numId="17">
    <w:abstractNumId w:val="29"/>
  </w:num>
  <w:num w:numId="18">
    <w:abstractNumId w:val="1"/>
  </w:num>
  <w:num w:numId="19">
    <w:abstractNumId w:val="17"/>
  </w:num>
  <w:num w:numId="20">
    <w:abstractNumId w:val="27"/>
  </w:num>
  <w:num w:numId="21">
    <w:abstractNumId w:val="36"/>
  </w:num>
  <w:num w:numId="22">
    <w:abstractNumId w:val="19"/>
  </w:num>
  <w:num w:numId="23">
    <w:abstractNumId w:val="23"/>
  </w:num>
  <w:num w:numId="24">
    <w:abstractNumId w:val="7"/>
  </w:num>
  <w:num w:numId="25">
    <w:abstractNumId w:val="28"/>
  </w:num>
  <w:num w:numId="26">
    <w:abstractNumId w:val="40"/>
  </w:num>
  <w:num w:numId="27">
    <w:abstractNumId w:val="16"/>
  </w:num>
  <w:num w:numId="28">
    <w:abstractNumId w:val="34"/>
  </w:num>
  <w:num w:numId="29">
    <w:abstractNumId w:val="30"/>
  </w:num>
  <w:num w:numId="30">
    <w:abstractNumId w:val="12"/>
  </w:num>
  <w:num w:numId="31">
    <w:abstractNumId w:val="39"/>
  </w:num>
  <w:num w:numId="32">
    <w:abstractNumId w:val="15"/>
  </w:num>
  <w:num w:numId="33">
    <w:abstractNumId w:val="25"/>
  </w:num>
  <w:num w:numId="34">
    <w:abstractNumId w:val="44"/>
  </w:num>
  <w:num w:numId="35">
    <w:abstractNumId w:val="6"/>
  </w:num>
  <w:num w:numId="36">
    <w:abstractNumId w:val="8"/>
  </w:num>
  <w:num w:numId="37">
    <w:abstractNumId w:val="4"/>
  </w:num>
  <w:num w:numId="38">
    <w:abstractNumId w:val="18"/>
  </w:num>
  <w:num w:numId="39">
    <w:abstractNumId w:val="11"/>
  </w:num>
  <w:num w:numId="40">
    <w:abstractNumId w:val="14"/>
  </w:num>
  <w:num w:numId="41">
    <w:abstractNumId w:val="43"/>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8"/>
  </w:num>
  <w:num w:numId="45">
    <w:abstractNumId w:val="2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2E33"/>
    <w:rsid w:val="00162EEA"/>
    <w:rsid w:val="00170438"/>
    <w:rsid w:val="00170E54"/>
    <w:rsid w:val="001803BF"/>
    <w:rsid w:val="00187B85"/>
    <w:rsid w:val="00194BC4"/>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2C3C"/>
    <w:rsid w:val="002A389A"/>
    <w:rsid w:val="002B1574"/>
    <w:rsid w:val="002B20F2"/>
    <w:rsid w:val="002D06F6"/>
    <w:rsid w:val="002E55B5"/>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5FDC"/>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702B3"/>
    <w:rsid w:val="00792E2B"/>
    <w:rsid w:val="0079459F"/>
    <w:rsid w:val="007958A5"/>
    <w:rsid w:val="0079675F"/>
    <w:rsid w:val="00797B27"/>
    <w:rsid w:val="007A5239"/>
    <w:rsid w:val="007B7BA3"/>
    <w:rsid w:val="007C07BD"/>
    <w:rsid w:val="007C256C"/>
    <w:rsid w:val="007C4842"/>
    <w:rsid w:val="007C7004"/>
    <w:rsid w:val="007D0D13"/>
    <w:rsid w:val="007D276C"/>
    <w:rsid w:val="007D5883"/>
    <w:rsid w:val="007E3127"/>
    <w:rsid w:val="007E5587"/>
    <w:rsid w:val="007E74F4"/>
    <w:rsid w:val="007F12BE"/>
    <w:rsid w:val="007F504E"/>
    <w:rsid w:val="007F507E"/>
    <w:rsid w:val="008143C8"/>
    <w:rsid w:val="00816718"/>
    <w:rsid w:val="00816EB4"/>
    <w:rsid w:val="00817A65"/>
    <w:rsid w:val="00820FD6"/>
    <w:rsid w:val="0082258E"/>
    <w:rsid w:val="00824EC5"/>
    <w:rsid w:val="00826978"/>
    <w:rsid w:val="00827C28"/>
    <w:rsid w:val="00830C27"/>
    <w:rsid w:val="008323E4"/>
    <w:rsid w:val="008335DB"/>
    <w:rsid w:val="008350EA"/>
    <w:rsid w:val="00836222"/>
    <w:rsid w:val="00840A31"/>
    <w:rsid w:val="008423AA"/>
    <w:rsid w:val="0084279E"/>
    <w:rsid w:val="008535D2"/>
    <w:rsid w:val="008565F8"/>
    <w:rsid w:val="00861F26"/>
    <w:rsid w:val="00863E23"/>
    <w:rsid w:val="00867070"/>
    <w:rsid w:val="00874ABA"/>
    <w:rsid w:val="00874ECF"/>
    <w:rsid w:val="008835B9"/>
    <w:rsid w:val="00896585"/>
    <w:rsid w:val="008A46B0"/>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1E6E"/>
    <w:rsid w:val="009E5183"/>
    <w:rsid w:val="009F234C"/>
    <w:rsid w:val="009F3946"/>
    <w:rsid w:val="009F44FD"/>
    <w:rsid w:val="00A0218A"/>
    <w:rsid w:val="00A06B20"/>
    <w:rsid w:val="00A10A0A"/>
    <w:rsid w:val="00A13804"/>
    <w:rsid w:val="00A262B0"/>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D072A"/>
    <w:rsid w:val="00AF282D"/>
    <w:rsid w:val="00AF2B98"/>
    <w:rsid w:val="00AF3C6E"/>
    <w:rsid w:val="00B010D3"/>
    <w:rsid w:val="00B101D8"/>
    <w:rsid w:val="00B1110F"/>
    <w:rsid w:val="00B12EAF"/>
    <w:rsid w:val="00B16BC1"/>
    <w:rsid w:val="00B26956"/>
    <w:rsid w:val="00B42EAA"/>
    <w:rsid w:val="00B43424"/>
    <w:rsid w:val="00B45C06"/>
    <w:rsid w:val="00B463BC"/>
    <w:rsid w:val="00B50AE2"/>
    <w:rsid w:val="00B560AF"/>
    <w:rsid w:val="00B62482"/>
    <w:rsid w:val="00B671AF"/>
    <w:rsid w:val="00B711BA"/>
    <w:rsid w:val="00B71708"/>
    <w:rsid w:val="00B75CDC"/>
    <w:rsid w:val="00B83C5D"/>
    <w:rsid w:val="00BA15CF"/>
    <w:rsid w:val="00BA6676"/>
    <w:rsid w:val="00BB19A7"/>
    <w:rsid w:val="00BB245B"/>
    <w:rsid w:val="00BC0B48"/>
    <w:rsid w:val="00BC3A08"/>
    <w:rsid w:val="00BF5379"/>
    <w:rsid w:val="00C04153"/>
    <w:rsid w:val="00C05622"/>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1983"/>
    <w:rsid w:val="00C928CF"/>
    <w:rsid w:val="00C941B8"/>
    <w:rsid w:val="00CA3A21"/>
    <w:rsid w:val="00CB16AC"/>
    <w:rsid w:val="00CB32FA"/>
    <w:rsid w:val="00CC7EC2"/>
    <w:rsid w:val="00CC7F68"/>
    <w:rsid w:val="00CD103F"/>
    <w:rsid w:val="00CD6526"/>
    <w:rsid w:val="00CD7943"/>
    <w:rsid w:val="00CE51E2"/>
    <w:rsid w:val="00CE7EDE"/>
    <w:rsid w:val="00CF3037"/>
    <w:rsid w:val="00D244E5"/>
    <w:rsid w:val="00D506D1"/>
    <w:rsid w:val="00D53754"/>
    <w:rsid w:val="00D605E8"/>
    <w:rsid w:val="00D63E02"/>
    <w:rsid w:val="00D64CB6"/>
    <w:rsid w:val="00D87EE4"/>
    <w:rsid w:val="00DA1D6D"/>
    <w:rsid w:val="00DA683A"/>
    <w:rsid w:val="00DA6C5D"/>
    <w:rsid w:val="00DB1E6D"/>
    <w:rsid w:val="00DC2ACA"/>
    <w:rsid w:val="00DC72D4"/>
    <w:rsid w:val="00DD19A0"/>
    <w:rsid w:val="00DD4232"/>
    <w:rsid w:val="00DD7F46"/>
    <w:rsid w:val="00DE0B36"/>
    <w:rsid w:val="00DE44FD"/>
    <w:rsid w:val="00DF5E7E"/>
    <w:rsid w:val="00E068B3"/>
    <w:rsid w:val="00E06BF1"/>
    <w:rsid w:val="00E2595E"/>
    <w:rsid w:val="00E348B8"/>
    <w:rsid w:val="00E36F0A"/>
    <w:rsid w:val="00E42813"/>
    <w:rsid w:val="00E57FBC"/>
    <w:rsid w:val="00E64FA8"/>
    <w:rsid w:val="00E75234"/>
    <w:rsid w:val="00E76586"/>
    <w:rsid w:val="00E80305"/>
    <w:rsid w:val="00E84A0A"/>
    <w:rsid w:val="00E86368"/>
    <w:rsid w:val="00E87161"/>
    <w:rsid w:val="00E9533B"/>
    <w:rsid w:val="00EA73C0"/>
    <w:rsid w:val="00EB1CFA"/>
    <w:rsid w:val="00EB3165"/>
    <w:rsid w:val="00EC6545"/>
    <w:rsid w:val="00ED723B"/>
    <w:rsid w:val="00ED7497"/>
    <w:rsid w:val="00EE200F"/>
    <w:rsid w:val="00EE3EEA"/>
    <w:rsid w:val="00EE4784"/>
    <w:rsid w:val="00EF1675"/>
    <w:rsid w:val="00EF1E64"/>
    <w:rsid w:val="00EF3A3D"/>
    <w:rsid w:val="00EF727C"/>
    <w:rsid w:val="00F04359"/>
    <w:rsid w:val="00F1238F"/>
    <w:rsid w:val="00F126A6"/>
    <w:rsid w:val="00F13444"/>
    <w:rsid w:val="00F17BE9"/>
    <w:rsid w:val="00F207D7"/>
    <w:rsid w:val="00F227F0"/>
    <w:rsid w:val="00F32EA7"/>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63B63F-25F8-44CC-935F-24176F64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6</cp:revision>
  <cp:lastPrinted>2013-01-08T15:55:00Z</cp:lastPrinted>
  <dcterms:created xsi:type="dcterms:W3CDTF">2015-12-31T07:43:00Z</dcterms:created>
  <dcterms:modified xsi:type="dcterms:W3CDTF">2016-01-13T11:55:00Z</dcterms:modified>
</cp:coreProperties>
</file>