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150" w:rsidRDefault="00490150" w:rsidP="00490150">
      <w:pPr>
        <w:pStyle w:val="NoSpacing"/>
        <w:jc w:val="right"/>
        <w:rPr>
          <w:rFonts w:ascii="Arial" w:hAnsi="Arial" w:cs="Arial"/>
          <w:b/>
          <w:noProof/>
          <w:lang w:val="en-GB" w:eastAsia="en-GB"/>
        </w:rPr>
      </w:pPr>
    </w:p>
    <w:p w:rsidR="00490150" w:rsidRPr="00FF7CBA" w:rsidRDefault="00490150" w:rsidP="00490150">
      <w:pPr>
        <w:pStyle w:val="NoSpacing"/>
        <w:jc w:val="right"/>
        <w:rPr>
          <w:rFonts w:ascii="Arial" w:hAnsi="Arial" w:cs="Arial"/>
          <w:b/>
          <w:lang w:val="en-GB"/>
        </w:rPr>
      </w:pPr>
    </w:p>
    <w:tbl>
      <w:tblPr>
        <w:tblStyle w:val="TableGrid"/>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490150" w:rsidTr="00C72256">
        <w:tc>
          <w:tcPr>
            <w:tcW w:w="3420" w:type="dxa"/>
          </w:tcPr>
          <w:p w:rsidR="00490150" w:rsidRPr="001B0E16" w:rsidRDefault="00490150" w:rsidP="00C72256">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Agenda item:</w:t>
            </w:r>
          </w:p>
        </w:tc>
        <w:tc>
          <w:tcPr>
            <w:tcW w:w="1260" w:type="dxa"/>
          </w:tcPr>
          <w:p w:rsidR="00490150" w:rsidRPr="001B0E16" w:rsidRDefault="00490150" w:rsidP="00C72256">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10</w:t>
            </w:r>
          </w:p>
        </w:tc>
      </w:tr>
      <w:tr w:rsidR="00490150" w:rsidTr="00C72256">
        <w:tc>
          <w:tcPr>
            <w:tcW w:w="3420" w:type="dxa"/>
          </w:tcPr>
          <w:p w:rsidR="00490150" w:rsidRPr="001B0E16" w:rsidRDefault="00490150" w:rsidP="00C72256">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Attachment:</w:t>
            </w:r>
          </w:p>
        </w:tc>
        <w:tc>
          <w:tcPr>
            <w:tcW w:w="1260" w:type="dxa"/>
          </w:tcPr>
          <w:p w:rsidR="00490150" w:rsidRPr="001B0E16" w:rsidRDefault="00490150" w:rsidP="00C72256">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C</w:t>
            </w:r>
          </w:p>
        </w:tc>
      </w:tr>
    </w:tbl>
    <w:p w:rsidR="00490150" w:rsidRPr="0000688A" w:rsidRDefault="00490150" w:rsidP="00490150">
      <w:pPr>
        <w:spacing w:after="0"/>
        <w:jc w:val="center"/>
        <w:rPr>
          <w:rFonts w:cstheme="minorHAnsi"/>
          <w:b/>
          <w:sz w:val="24"/>
          <w:szCs w:val="24"/>
        </w:rPr>
      </w:pPr>
    </w:p>
    <w:p w:rsidR="00490150" w:rsidRDefault="00490150" w:rsidP="00490150">
      <w:pPr>
        <w:spacing w:after="0"/>
        <w:jc w:val="center"/>
        <w:rPr>
          <w:rFonts w:cstheme="minorHAnsi"/>
          <w:b/>
          <w:sz w:val="40"/>
          <w:szCs w:val="40"/>
        </w:rPr>
      </w:pPr>
    </w:p>
    <w:p w:rsidR="00490150" w:rsidRDefault="00490150" w:rsidP="00490150">
      <w:pPr>
        <w:spacing w:after="0" w:line="240" w:lineRule="auto"/>
        <w:jc w:val="center"/>
        <w:rPr>
          <w:rFonts w:cstheme="minorHAnsi"/>
          <w:b/>
          <w:sz w:val="24"/>
          <w:szCs w:val="24"/>
        </w:rPr>
      </w:pPr>
    </w:p>
    <w:p w:rsidR="00490150" w:rsidRPr="00151DBF" w:rsidRDefault="00490150" w:rsidP="00490150">
      <w:pPr>
        <w:spacing w:after="0" w:line="240" w:lineRule="auto"/>
        <w:jc w:val="center"/>
        <w:rPr>
          <w:rFonts w:cstheme="minorHAnsi"/>
          <w:b/>
          <w:sz w:val="24"/>
          <w:szCs w:val="24"/>
        </w:rPr>
      </w:pPr>
    </w:p>
    <w:p w:rsidR="00490150" w:rsidRPr="00151DBF" w:rsidRDefault="00490150" w:rsidP="00490150">
      <w:pPr>
        <w:spacing w:after="0" w:line="240" w:lineRule="auto"/>
        <w:jc w:val="center"/>
        <w:rPr>
          <w:rFonts w:cstheme="minorHAnsi"/>
          <w:b/>
          <w:sz w:val="44"/>
          <w:szCs w:val="44"/>
        </w:rPr>
      </w:pPr>
      <w:r w:rsidRPr="00151DBF">
        <w:rPr>
          <w:rFonts w:cstheme="minorHAnsi"/>
          <w:b/>
          <w:sz w:val="44"/>
          <w:szCs w:val="44"/>
        </w:rPr>
        <w:t xml:space="preserve">HRA </w:t>
      </w:r>
      <w:r>
        <w:rPr>
          <w:rFonts w:cstheme="minorHAnsi"/>
          <w:b/>
          <w:sz w:val="44"/>
          <w:szCs w:val="44"/>
        </w:rPr>
        <w:t>BOARD</w:t>
      </w:r>
      <w:r w:rsidRPr="00151DBF">
        <w:rPr>
          <w:rFonts w:cstheme="minorHAnsi"/>
          <w:b/>
          <w:sz w:val="44"/>
          <w:szCs w:val="44"/>
        </w:rPr>
        <w:t xml:space="preserve"> COVER SHEET</w:t>
      </w:r>
    </w:p>
    <w:p w:rsidR="00490150" w:rsidRDefault="00490150" w:rsidP="00490150">
      <w:pPr>
        <w:spacing w:after="0"/>
        <w:jc w:val="center"/>
        <w:rPr>
          <w:rFonts w:cstheme="minorHAnsi"/>
          <w:b/>
          <w:sz w:val="24"/>
          <w:szCs w:val="24"/>
        </w:rPr>
      </w:pPr>
    </w:p>
    <w:tbl>
      <w:tblPr>
        <w:tblStyle w:val="TableGrid"/>
        <w:tblW w:w="0" w:type="auto"/>
        <w:tblInd w:w="534" w:type="dxa"/>
        <w:tblLook w:val="04A0" w:firstRow="1" w:lastRow="0" w:firstColumn="1" w:lastColumn="0" w:noHBand="0" w:noVBand="1"/>
      </w:tblPr>
      <w:tblGrid>
        <w:gridCol w:w="2628"/>
        <w:gridCol w:w="6320"/>
      </w:tblGrid>
      <w:tr w:rsidR="00490150" w:rsidRPr="00C90060" w:rsidTr="00490150">
        <w:tc>
          <w:tcPr>
            <w:tcW w:w="2628" w:type="dxa"/>
          </w:tcPr>
          <w:p w:rsidR="00490150" w:rsidRPr="00C90060" w:rsidRDefault="00490150" w:rsidP="00C72256">
            <w:pPr>
              <w:rPr>
                <w:rFonts w:cstheme="minorHAnsi"/>
                <w:b/>
              </w:rPr>
            </w:pPr>
            <w:r w:rsidRPr="00C90060">
              <w:rPr>
                <w:rFonts w:cstheme="minorHAnsi"/>
                <w:b/>
              </w:rPr>
              <w:t>Date of Meeting:</w:t>
            </w:r>
          </w:p>
          <w:p w:rsidR="00490150" w:rsidRPr="00C90060" w:rsidRDefault="00490150" w:rsidP="00C72256">
            <w:pPr>
              <w:rPr>
                <w:rFonts w:cstheme="minorHAnsi"/>
                <w:b/>
              </w:rPr>
            </w:pPr>
          </w:p>
        </w:tc>
        <w:tc>
          <w:tcPr>
            <w:tcW w:w="6320" w:type="dxa"/>
          </w:tcPr>
          <w:p w:rsidR="00490150" w:rsidRDefault="00490150" w:rsidP="00C72256">
            <w:pPr>
              <w:rPr>
                <w:rFonts w:cstheme="minorHAnsi"/>
              </w:rPr>
            </w:pPr>
            <w:r>
              <w:rPr>
                <w:rFonts w:cstheme="minorHAnsi"/>
              </w:rPr>
              <w:t>12</w:t>
            </w:r>
            <w:r w:rsidRPr="00E00037">
              <w:rPr>
                <w:rFonts w:cstheme="minorHAnsi"/>
                <w:vertAlign w:val="superscript"/>
              </w:rPr>
              <w:t>th</w:t>
            </w:r>
            <w:r>
              <w:rPr>
                <w:rFonts w:cstheme="minorHAnsi"/>
              </w:rPr>
              <w:t xml:space="preserve"> April 2017</w:t>
            </w:r>
          </w:p>
          <w:p w:rsidR="00490150" w:rsidRPr="00C90060" w:rsidRDefault="00490150" w:rsidP="00C72256">
            <w:pPr>
              <w:rPr>
                <w:rFonts w:cstheme="minorHAnsi"/>
              </w:rPr>
            </w:pPr>
          </w:p>
        </w:tc>
      </w:tr>
    </w:tbl>
    <w:p w:rsidR="00490150" w:rsidRPr="00C90060" w:rsidRDefault="00490150" w:rsidP="00490150">
      <w:pPr>
        <w:spacing w:after="0"/>
        <w:jc w:val="center"/>
        <w:rPr>
          <w:rFonts w:cstheme="minorHAnsi"/>
          <w:b/>
        </w:rPr>
      </w:pPr>
    </w:p>
    <w:tbl>
      <w:tblPr>
        <w:tblStyle w:val="TableGrid"/>
        <w:tblW w:w="0" w:type="auto"/>
        <w:tblInd w:w="534" w:type="dxa"/>
        <w:tblLook w:val="04A0" w:firstRow="1" w:lastRow="0" w:firstColumn="1" w:lastColumn="0" w:noHBand="0" w:noVBand="1"/>
      </w:tblPr>
      <w:tblGrid>
        <w:gridCol w:w="2628"/>
        <w:gridCol w:w="6320"/>
      </w:tblGrid>
      <w:tr w:rsidR="00490150" w:rsidRPr="00C90060" w:rsidTr="00490150">
        <w:tc>
          <w:tcPr>
            <w:tcW w:w="2628" w:type="dxa"/>
          </w:tcPr>
          <w:p w:rsidR="00490150" w:rsidRDefault="00490150" w:rsidP="00C72256">
            <w:pPr>
              <w:rPr>
                <w:rFonts w:cstheme="minorHAnsi"/>
                <w:b/>
              </w:rPr>
            </w:pPr>
            <w:r w:rsidRPr="00C90060">
              <w:rPr>
                <w:rFonts w:cstheme="minorHAnsi"/>
                <w:b/>
              </w:rPr>
              <w:t>Title of Paper:</w:t>
            </w:r>
          </w:p>
          <w:p w:rsidR="00490150" w:rsidRPr="00C90060" w:rsidRDefault="00490150" w:rsidP="00C72256">
            <w:pPr>
              <w:rPr>
                <w:rFonts w:cstheme="minorHAnsi"/>
                <w:b/>
              </w:rPr>
            </w:pPr>
          </w:p>
        </w:tc>
        <w:tc>
          <w:tcPr>
            <w:tcW w:w="6320" w:type="dxa"/>
          </w:tcPr>
          <w:p w:rsidR="00490150" w:rsidRPr="00E00037" w:rsidRDefault="00490150" w:rsidP="00490150">
            <w:pPr>
              <w:widowControl w:val="0"/>
              <w:spacing w:line="242" w:lineRule="exact"/>
              <w:ind w:right="-20"/>
              <w:rPr>
                <w:rFonts w:eastAsia="Calibri" w:cstheme="minorHAnsi"/>
                <w:szCs w:val="20"/>
                <w:lang w:val="en-US"/>
              </w:rPr>
            </w:pPr>
            <w:r w:rsidRPr="00E00037">
              <w:rPr>
                <w:rFonts w:cstheme="minorHAnsi"/>
              </w:rPr>
              <w:t>HRA Assessment Performance Report</w:t>
            </w:r>
          </w:p>
        </w:tc>
      </w:tr>
      <w:tr w:rsidR="00490150" w:rsidRPr="00C90060" w:rsidTr="00490150">
        <w:tc>
          <w:tcPr>
            <w:tcW w:w="2628" w:type="dxa"/>
          </w:tcPr>
          <w:p w:rsidR="00490150" w:rsidRPr="00C90060" w:rsidRDefault="00490150" w:rsidP="00C72256">
            <w:pPr>
              <w:rPr>
                <w:rFonts w:cstheme="minorHAnsi"/>
                <w:b/>
              </w:rPr>
            </w:pPr>
            <w:r w:rsidRPr="00C90060">
              <w:rPr>
                <w:rFonts w:cstheme="minorHAnsi"/>
                <w:b/>
              </w:rPr>
              <w:t>Purpose of Paper:</w:t>
            </w:r>
          </w:p>
          <w:p w:rsidR="00490150" w:rsidRPr="00C90060" w:rsidRDefault="00490150" w:rsidP="00C72256">
            <w:pPr>
              <w:rPr>
                <w:rFonts w:cstheme="minorHAnsi"/>
                <w:b/>
              </w:rPr>
            </w:pPr>
          </w:p>
        </w:tc>
        <w:tc>
          <w:tcPr>
            <w:tcW w:w="6320" w:type="dxa"/>
          </w:tcPr>
          <w:p w:rsidR="00490150" w:rsidRPr="00E00037" w:rsidRDefault="00490150" w:rsidP="00490150">
            <w:pPr>
              <w:widowControl w:val="0"/>
              <w:spacing w:line="242" w:lineRule="exact"/>
              <w:ind w:right="-20"/>
              <w:rPr>
                <w:rFonts w:eastAsia="Calibri" w:cstheme="minorHAnsi"/>
                <w:szCs w:val="20"/>
                <w:lang w:val="en-US"/>
              </w:rPr>
            </w:pPr>
            <w:r w:rsidRPr="00E00037">
              <w:rPr>
                <w:rFonts w:eastAsia="Calibri" w:cstheme="minorHAnsi"/>
                <w:spacing w:val="-1"/>
                <w:position w:val="1"/>
                <w:szCs w:val="20"/>
                <w:lang w:val="en-US"/>
              </w:rPr>
              <w:t>T</w:t>
            </w:r>
            <w:r w:rsidRPr="00E00037">
              <w:rPr>
                <w:rFonts w:eastAsia="Calibri" w:cstheme="minorHAnsi"/>
                <w:position w:val="1"/>
                <w:szCs w:val="20"/>
                <w:lang w:val="en-US"/>
              </w:rPr>
              <w:t>o</w:t>
            </w:r>
            <w:r w:rsidRPr="00E00037">
              <w:rPr>
                <w:rFonts w:eastAsia="Calibri" w:cstheme="minorHAnsi"/>
                <w:spacing w:val="-1"/>
                <w:position w:val="1"/>
                <w:szCs w:val="20"/>
                <w:lang w:val="en-US"/>
              </w:rPr>
              <w:t xml:space="preserve"> </w:t>
            </w:r>
            <w:r w:rsidRPr="00E00037">
              <w:rPr>
                <w:rFonts w:eastAsia="Calibri" w:cstheme="minorHAnsi"/>
                <w:spacing w:val="1"/>
                <w:position w:val="1"/>
                <w:szCs w:val="20"/>
                <w:lang w:val="en-US"/>
              </w:rPr>
              <w:t>p</w:t>
            </w:r>
            <w:r w:rsidRPr="00E00037">
              <w:rPr>
                <w:rFonts w:eastAsia="Calibri" w:cstheme="minorHAnsi"/>
                <w:position w:val="1"/>
                <w:szCs w:val="20"/>
                <w:lang w:val="en-US"/>
              </w:rPr>
              <w:t>r</w:t>
            </w:r>
            <w:r w:rsidRPr="00E00037">
              <w:rPr>
                <w:rFonts w:eastAsia="Calibri" w:cstheme="minorHAnsi"/>
                <w:spacing w:val="1"/>
                <w:position w:val="1"/>
                <w:szCs w:val="20"/>
                <w:lang w:val="en-US"/>
              </w:rPr>
              <w:t>o</w:t>
            </w:r>
            <w:r w:rsidRPr="00E00037">
              <w:rPr>
                <w:rFonts w:eastAsia="Calibri" w:cstheme="minorHAnsi"/>
                <w:spacing w:val="-1"/>
                <w:position w:val="1"/>
                <w:szCs w:val="20"/>
                <w:lang w:val="en-US"/>
              </w:rPr>
              <w:t>v</w:t>
            </w:r>
            <w:r w:rsidRPr="00E00037">
              <w:rPr>
                <w:rFonts w:eastAsia="Calibri" w:cstheme="minorHAnsi"/>
                <w:position w:val="1"/>
                <w:szCs w:val="20"/>
                <w:lang w:val="en-US"/>
              </w:rPr>
              <w:t>i</w:t>
            </w:r>
            <w:r w:rsidRPr="00E00037">
              <w:rPr>
                <w:rFonts w:eastAsia="Calibri" w:cstheme="minorHAnsi"/>
                <w:spacing w:val="1"/>
                <w:position w:val="1"/>
                <w:szCs w:val="20"/>
                <w:lang w:val="en-US"/>
              </w:rPr>
              <w:t>d</w:t>
            </w:r>
            <w:r w:rsidRPr="00E00037">
              <w:rPr>
                <w:rFonts w:eastAsia="Calibri" w:cstheme="minorHAnsi"/>
                <w:position w:val="1"/>
                <w:szCs w:val="20"/>
                <w:lang w:val="en-US"/>
              </w:rPr>
              <w:t>e</w:t>
            </w:r>
            <w:r w:rsidRPr="00E00037">
              <w:rPr>
                <w:rFonts w:eastAsia="Calibri" w:cstheme="minorHAnsi"/>
                <w:spacing w:val="-6"/>
                <w:position w:val="1"/>
                <w:szCs w:val="20"/>
                <w:lang w:val="en-US"/>
              </w:rPr>
              <w:t xml:space="preserve"> </w:t>
            </w:r>
            <w:r w:rsidRPr="00E00037">
              <w:rPr>
                <w:rFonts w:eastAsia="Calibri" w:cstheme="minorHAnsi"/>
                <w:position w:val="1"/>
                <w:szCs w:val="20"/>
                <w:lang w:val="en-US"/>
              </w:rPr>
              <w:t xml:space="preserve">a </w:t>
            </w:r>
            <w:r w:rsidRPr="00E00037">
              <w:rPr>
                <w:rFonts w:eastAsia="Calibri" w:cstheme="minorHAnsi"/>
                <w:spacing w:val="-1"/>
                <w:position w:val="1"/>
                <w:szCs w:val="20"/>
                <w:lang w:val="en-US"/>
              </w:rPr>
              <w:t>s</w:t>
            </w:r>
            <w:r w:rsidRPr="00E00037">
              <w:rPr>
                <w:rFonts w:eastAsia="Calibri" w:cstheme="minorHAnsi"/>
                <w:spacing w:val="3"/>
                <w:position w:val="1"/>
                <w:szCs w:val="20"/>
                <w:lang w:val="en-US"/>
              </w:rPr>
              <w:t>u</w:t>
            </w:r>
            <w:r w:rsidRPr="00E00037">
              <w:rPr>
                <w:rFonts w:eastAsia="Calibri" w:cstheme="minorHAnsi"/>
                <w:spacing w:val="-1"/>
                <w:position w:val="1"/>
                <w:szCs w:val="20"/>
                <w:lang w:val="en-US"/>
              </w:rPr>
              <w:t>mm</w:t>
            </w:r>
            <w:r w:rsidRPr="00E00037">
              <w:rPr>
                <w:rFonts w:eastAsia="Calibri" w:cstheme="minorHAnsi"/>
                <w:spacing w:val="1"/>
                <w:position w:val="1"/>
                <w:szCs w:val="20"/>
                <w:lang w:val="en-US"/>
              </w:rPr>
              <w:t>a</w:t>
            </w:r>
            <w:r w:rsidRPr="00E00037">
              <w:rPr>
                <w:rFonts w:eastAsia="Calibri" w:cstheme="minorHAnsi"/>
                <w:position w:val="1"/>
                <w:szCs w:val="20"/>
                <w:lang w:val="en-US"/>
              </w:rPr>
              <w:t>ry</w:t>
            </w:r>
            <w:r w:rsidRPr="00E00037">
              <w:rPr>
                <w:rFonts w:eastAsia="Calibri" w:cstheme="minorHAnsi"/>
                <w:spacing w:val="-7"/>
                <w:position w:val="1"/>
                <w:szCs w:val="20"/>
                <w:lang w:val="en-US"/>
              </w:rPr>
              <w:t xml:space="preserve"> </w:t>
            </w:r>
            <w:r w:rsidRPr="00E00037">
              <w:rPr>
                <w:rFonts w:eastAsia="Calibri" w:cstheme="minorHAnsi"/>
                <w:spacing w:val="1"/>
                <w:position w:val="1"/>
                <w:szCs w:val="20"/>
                <w:lang w:val="en-US"/>
              </w:rPr>
              <w:t>o</w:t>
            </w:r>
            <w:r w:rsidRPr="00E00037">
              <w:rPr>
                <w:rFonts w:eastAsia="Calibri" w:cstheme="minorHAnsi"/>
                <w:position w:val="1"/>
                <w:szCs w:val="20"/>
                <w:lang w:val="en-US"/>
              </w:rPr>
              <w:t>f</w:t>
            </w:r>
            <w:r w:rsidRPr="00E00037">
              <w:rPr>
                <w:rFonts w:eastAsia="Calibri" w:cstheme="minorHAnsi"/>
                <w:spacing w:val="-2"/>
                <w:position w:val="1"/>
                <w:szCs w:val="20"/>
                <w:lang w:val="en-US"/>
              </w:rPr>
              <w:t xml:space="preserve"> </w:t>
            </w:r>
            <w:r w:rsidRPr="00E00037">
              <w:rPr>
                <w:rFonts w:eastAsia="Calibri" w:cstheme="minorHAnsi"/>
                <w:spacing w:val="1"/>
                <w:position w:val="1"/>
                <w:szCs w:val="20"/>
                <w:lang w:val="en-US"/>
              </w:rPr>
              <w:t>H</w:t>
            </w:r>
            <w:r w:rsidRPr="00E00037">
              <w:rPr>
                <w:rFonts w:eastAsia="Calibri" w:cstheme="minorHAnsi"/>
                <w:spacing w:val="2"/>
                <w:position w:val="1"/>
                <w:szCs w:val="20"/>
                <w:lang w:val="en-US"/>
              </w:rPr>
              <w:t>R</w:t>
            </w:r>
            <w:r w:rsidRPr="00E00037">
              <w:rPr>
                <w:rFonts w:eastAsia="Calibri" w:cstheme="minorHAnsi"/>
                <w:position w:val="1"/>
                <w:szCs w:val="20"/>
                <w:lang w:val="en-US"/>
              </w:rPr>
              <w:t>A A</w:t>
            </w:r>
            <w:r w:rsidRPr="00E00037">
              <w:rPr>
                <w:rFonts w:eastAsia="Calibri" w:cstheme="minorHAnsi"/>
                <w:spacing w:val="1"/>
                <w:position w:val="1"/>
                <w:szCs w:val="20"/>
                <w:lang w:val="en-US"/>
              </w:rPr>
              <w:t>pp</w:t>
            </w:r>
            <w:r w:rsidRPr="00E00037">
              <w:rPr>
                <w:rFonts w:eastAsia="Calibri" w:cstheme="minorHAnsi"/>
                <w:position w:val="1"/>
                <w:szCs w:val="20"/>
                <w:lang w:val="en-US"/>
              </w:rPr>
              <w:t>r</w:t>
            </w:r>
            <w:r w:rsidRPr="00E00037">
              <w:rPr>
                <w:rFonts w:eastAsia="Calibri" w:cstheme="minorHAnsi"/>
                <w:spacing w:val="1"/>
                <w:position w:val="1"/>
                <w:szCs w:val="20"/>
                <w:lang w:val="en-US"/>
              </w:rPr>
              <w:t>o</w:t>
            </w:r>
            <w:r w:rsidRPr="00E00037">
              <w:rPr>
                <w:rFonts w:eastAsia="Calibri" w:cstheme="minorHAnsi"/>
                <w:spacing w:val="-1"/>
                <w:position w:val="1"/>
                <w:szCs w:val="20"/>
                <w:lang w:val="en-US"/>
              </w:rPr>
              <w:t>v</w:t>
            </w:r>
            <w:r w:rsidRPr="00E00037">
              <w:rPr>
                <w:rFonts w:eastAsia="Calibri" w:cstheme="minorHAnsi"/>
                <w:spacing w:val="1"/>
                <w:position w:val="1"/>
                <w:szCs w:val="20"/>
                <w:lang w:val="en-US"/>
              </w:rPr>
              <w:t>a</w:t>
            </w:r>
            <w:r w:rsidRPr="00E00037">
              <w:rPr>
                <w:rFonts w:eastAsia="Calibri" w:cstheme="minorHAnsi"/>
                <w:position w:val="1"/>
                <w:szCs w:val="20"/>
                <w:lang w:val="en-US"/>
              </w:rPr>
              <w:t>l</w:t>
            </w:r>
            <w:r w:rsidRPr="00E00037">
              <w:rPr>
                <w:rFonts w:eastAsia="Calibri" w:cstheme="minorHAnsi"/>
                <w:spacing w:val="-7"/>
                <w:position w:val="1"/>
                <w:szCs w:val="20"/>
                <w:lang w:val="en-US"/>
              </w:rPr>
              <w:t xml:space="preserve"> operational </w:t>
            </w:r>
            <w:r w:rsidRPr="00E00037">
              <w:rPr>
                <w:rFonts w:eastAsia="Calibri" w:cstheme="minorHAnsi"/>
                <w:spacing w:val="1"/>
                <w:position w:val="1"/>
                <w:szCs w:val="20"/>
                <w:lang w:val="en-US"/>
              </w:rPr>
              <w:t>p</w:t>
            </w:r>
            <w:r w:rsidRPr="00E00037">
              <w:rPr>
                <w:rFonts w:eastAsia="Calibri" w:cstheme="minorHAnsi"/>
                <w:spacing w:val="-1"/>
                <w:position w:val="1"/>
                <w:szCs w:val="20"/>
                <w:lang w:val="en-US"/>
              </w:rPr>
              <w:t>e</w:t>
            </w:r>
            <w:r w:rsidRPr="00E00037">
              <w:rPr>
                <w:rFonts w:eastAsia="Calibri" w:cstheme="minorHAnsi"/>
                <w:position w:val="1"/>
                <w:szCs w:val="20"/>
                <w:lang w:val="en-US"/>
              </w:rPr>
              <w:t>r</w:t>
            </w:r>
            <w:r w:rsidRPr="00E00037">
              <w:rPr>
                <w:rFonts w:eastAsia="Calibri" w:cstheme="minorHAnsi"/>
                <w:spacing w:val="-1"/>
                <w:position w:val="1"/>
                <w:szCs w:val="20"/>
                <w:lang w:val="en-US"/>
              </w:rPr>
              <w:t>f</w:t>
            </w:r>
            <w:r w:rsidRPr="00E00037">
              <w:rPr>
                <w:rFonts w:eastAsia="Calibri" w:cstheme="minorHAnsi"/>
                <w:spacing w:val="1"/>
                <w:position w:val="1"/>
                <w:szCs w:val="20"/>
                <w:lang w:val="en-US"/>
              </w:rPr>
              <w:t>o</w:t>
            </w:r>
            <w:r w:rsidRPr="00E00037">
              <w:rPr>
                <w:rFonts w:eastAsia="Calibri" w:cstheme="minorHAnsi"/>
                <w:position w:val="1"/>
                <w:szCs w:val="20"/>
                <w:lang w:val="en-US"/>
              </w:rPr>
              <w:t>r</w:t>
            </w:r>
            <w:r w:rsidRPr="00E00037">
              <w:rPr>
                <w:rFonts w:eastAsia="Calibri" w:cstheme="minorHAnsi"/>
                <w:spacing w:val="-1"/>
                <w:position w:val="1"/>
                <w:szCs w:val="20"/>
                <w:lang w:val="en-US"/>
              </w:rPr>
              <w:t>m</w:t>
            </w:r>
            <w:r w:rsidRPr="00E00037">
              <w:rPr>
                <w:rFonts w:eastAsia="Calibri" w:cstheme="minorHAnsi"/>
                <w:spacing w:val="1"/>
                <w:position w:val="1"/>
                <w:szCs w:val="20"/>
                <w:lang w:val="en-US"/>
              </w:rPr>
              <w:t>an</w:t>
            </w:r>
            <w:r w:rsidRPr="00E00037">
              <w:rPr>
                <w:rFonts w:eastAsia="Calibri" w:cstheme="minorHAnsi"/>
                <w:spacing w:val="2"/>
                <w:position w:val="1"/>
                <w:szCs w:val="20"/>
                <w:lang w:val="en-US"/>
              </w:rPr>
              <w:t>c</w:t>
            </w:r>
            <w:r w:rsidRPr="00E00037">
              <w:rPr>
                <w:rFonts w:eastAsia="Calibri" w:cstheme="minorHAnsi"/>
                <w:position w:val="1"/>
                <w:szCs w:val="20"/>
                <w:lang w:val="en-US"/>
              </w:rPr>
              <w:t>e</w:t>
            </w:r>
            <w:r w:rsidRPr="00E00037">
              <w:rPr>
                <w:rFonts w:eastAsia="Calibri" w:cstheme="minorHAnsi"/>
                <w:spacing w:val="-11"/>
                <w:position w:val="1"/>
                <w:szCs w:val="20"/>
                <w:lang w:val="en-US"/>
              </w:rPr>
              <w:t xml:space="preserve"> </w:t>
            </w:r>
          </w:p>
        </w:tc>
      </w:tr>
      <w:tr w:rsidR="00490150" w:rsidRPr="00C90060" w:rsidTr="00490150">
        <w:tc>
          <w:tcPr>
            <w:tcW w:w="2628" w:type="dxa"/>
          </w:tcPr>
          <w:p w:rsidR="00490150" w:rsidRDefault="00490150" w:rsidP="00C72256">
            <w:pPr>
              <w:rPr>
                <w:rFonts w:cstheme="minorHAnsi"/>
                <w:b/>
              </w:rPr>
            </w:pPr>
            <w:r w:rsidRPr="00C90060">
              <w:rPr>
                <w:rFonts w:cstheme="minorHAnsi"/>
                <w:b/>
              </w:rPr>
              <w:t>Reason for Submission:</w:t>
            </w:r>
          </w:p>
          <w:p w:rsidR="00490150" w:rsidRPr="00C90060" w:rsidRDefault="00490150" w:rsidP="00C72256">
            <w:pPr>
              <w:rPr>
                <w:rFonts w:cstheme="minorHAnsi"/>
                <w:b/>
              </w:rPr>
            </w:pPr>
          </w:p>
          <w:p w:rsidR="00490150" w:rsidRPr="00C90060" w:rsidRDefault="00490150" w:rsidP="00C72256">
            <w:pPr>
              <w:rPr>
                <w:rFonts w:cstheme="minorHAnsi"/>
                <w:b/>
              </w:rPr>
            </w:pPr>
          </w:p>
        </w:tc>
        <w:tc>
          <w:tcPr>
            <w:tcW w:w="6320" w:type="dxa"/>
          </w:tcPr>
          <w:p w:rsidR="00490150" w:rsidRPr="00E00037" w:rsidRDefault="00490150" w:rsidP="00490150">
            <w:pPr>
              <w:widowControl w:val="0"/>
              <w:spacing w:line="242" w:lineRule="exact"/>
              <w:ind w:right="-20"/>
              <w:rPr>
                <w:rFonts w:eastAsia="Calibri" w:cstheme="minorHAnsi"/>
                <w:szCs w:val="20"/>
                <w:lang w:val="en-US"/>
              </w:rPr>
            </w:pPr>
            <w:r w:rsidRPr="00E00037">
              <w:rPr>
                <w:rFonts w:eastAsia="Calibri" w:cstheme="minorHAnsi"/>
                <w:szCs w:val="20"/>
                <w:lang w:val="en-US"/>
              </w:rPr>
              <w:t xml:space="preserve">To give visibility of progress towards achieving stable operational delivery following implementation on 31 March 2016. </w:t>
            </w:r>
          </w:p>
        </w:tc>
      </w:tr>
      <w:tr w:rsidR="00490150" w:rsidRPr="00C90060" w:rsidTr="00490150">
        <w:tc>
          <w:tcPr>
            <w:tcW w:w="2628" w:type="dxa"/>
          </w:tcPr>
          <w:p w:rsidR="00490150" w:rsidRDefault="00490150" w:rsidP="00C72256">
            <w:pPr>
              <w:rPr>
                <w:rFonts w:cstheme="minorHAnsi"/>
                <w:b/>
              </w:rPr>
            </w:pPr>
            <w:r w:rsidRPr="00C90060">
              <w:rPr>
                <w:rFonts w:cstheme="minorHAnsi"/>
                <w:b/>
              </w:rPr>
              <w:t>Details:</w:t>
            </w:r>
          </w:p>
          <w:p w:rsidR="00490150" w:rsidRPr="00C90060" w:rsidRDefault="00490150" w:rsidP="00C72256">
            <w:pPr>
              <w:rPr>
                <w:rFonts w:cstheme="minorHAnsi"/>
                <w:b/>
              </w:rPr>
            </w:pPr>
          </w:p>
        </w:tc>
        <w:tc>
          <w:tcPr>
            <w:tcW w:w="6320" w:type="dxa"/>
          </w:tcPr>
          <w:p w:rsidR="00490150" w:rsidRDefault="00490150" w:rsidP="00490150">
            <w:pPr>
              <w:widowControl w:val="0"/>
              <w:spacing w:line="242" w:lineRule="exact"/>
              <w:ind w:right="-20"/>
              <w:rPr>
                <w:rFonts w:eastAsia="Calibri" w:cstheme="minorHAnsi"/>
                <w:position w:val="1"/>
                <w:szCs w:val="20"/>
                <w:lang w:val="en-US"/>
              </w:rPr>
            </w:pPr>
            <w:r w:rsidRPr="00E00037">
              <w:rPr>
                <w:rFonts w:eastAsia="Calibri" w:cstheme="minorHAnsi"/>
                <w:position w:val="1"/>
                <w:szCs w:val="20"/>
                <w:lang w:val="en-US"/>
              </w:rPr>
              <w:t>The report includes data to the end of November.  It will focus on the 3 main work streams of:</w:t>
            </w:r>
          </w:p>
          <w:p w:rsidR="00490150" w:rsidRPr="00E00037" w:rsidRDefault="00490150" w:rsidP="00C72256">
            <w:pPr>
              <w:widowControl w:val="0"/>
              <w:spacing w:line="242" w:lineRule="exact"/>
              <w:ind w:left="102" w:right="-20"/>
              <w:rPr>
                <w:rFonts w:eastAsia="Calibri" w:cstheme="minorHAnsi"/>
                <w:position w:val="1"/>
                <w:szCs w:val="20"/>
                <w:lang w:val="en-US"/>
              </w:rPr>
            </w:pPr>
          </w:p>
          <w:p w:rsidR="00490150" w:rsidRPr="00E00037" w:rsidRDefault="00490150" w:rsidP="00490150">
            <w:pPr>
              <w:pStyle w:val="ListParagraph"/>
              <w:widowControl w:val="0"/>
              <w:numPr>
                <w:ilvl w:val="0"/>
                <w:numId w:val="4"/>
              </w:numPr>
              <w:spacing w:line="242" w:lineRule="exact"/>
              <w:ind w:right="-20"/>
              <w:rPr>
                <w:rFonts w:eastAsia="Calibri" w:cstheme="minorHAnsi"/>
                <w:position w:val="1"/>
                <w:szCs w:val="20"/>
                <w:lang w:val="en-US"/>
              </w:rPr>
            </w:pPr>
            <w:r w:rsidRPr="00E00037">
              <w:rPr>
                <w:rFonts w:eastAsia="Calibri" w:cstheme="minorHAnsi"/>
                <w:position w:val="1"/>
                <w:szCs w:val="20"/>
                <w:lang w:val="en-US"/>
              </w:rPr>
              <w:t xml:space="preserve">HRA Applications </w:t>
            </w:r>
          </w:p>
          <w:p w:rsidR="00490150" w:rsidRPr="00E00037" w:rsidRDefault="00490150" w:rsidP="00490150">
            <w:pPr>
              <w:pStyle w:val="ListParagraph"/>
              <w:widowControl w:val="0"/>
              <w:numPr>
                <w:ilvl w:val="0"/>
                <w:numId w:val="4"/>
              </w:numPr>
              <w:spacing w:line="242" w:lineRule="exact"/>
              <w:ind w:right="-20"/>
              <w:rPr>
                <w:rFonts w:eastAsia="Calibri" w:cstheme="minorHAnsi"/>
                <w:position w:val="1"/>
                <w:szCs w:val="20"/>
                <w:lang w:val="en-US"/>
              </w:rPr>
            </w:pPr>
            <w:r w:rsidRPr="00E00037">
              <w:rPr>
                <w:rFonts w:eastAsia="Calibri" w:cstheme="minorHAnsi"/>
                <w:position w:val="1"/>
                <w:szCs w:val="20"/>
                <w:lang w:val="en-US"/>
              </w:rPr>
              <w:t>Amendments</w:t>
            </w:r>
          </w:p>
          <w:p w:rsidR="00490150" w:rsidRDefault="00490150" w:rsidP="00C72256">
            <w:pPr>
              <w:widowControl w:val="0"/>
              <w:spacing w:line="242" w:lineRule="exact"/>
              <w:ind w:left="102" w:right="-20"/>
              <w:rPr>
                <w:rFonts w:eastAsia="Calibri" w:cstheme="minorHAnsi"/>
                <w:position w:val="1"/>
                <w:szCs w:val="20"/>
                <w:lang w:val="en-US"/>
              </w:rPr>
            </w:pPr>
            <w:r w:rsidRPr="00E00037">
              <w:rPr>
                <w:rFonts w:eastAsia="Calibri" w:cstheme="minorHAnsi"/>
                <w:position w:val="1"/>
                <w:szCs w:val="20"/>
                <w:lang w:val="en-US"/>
              </w:rPr>
              <w:t>3.   Studies set up using pre-HRA Approval processes</w:t>
            </w:r>
          </w:p>
          <w:p w:rsidR="00490150" w:rsidRPr="00E00037" w:rsidRDefault="00490150" w:rsidP="00C72256">
            <w:pPr>
              <w:widowControl w:val="0"/>
              <w:spacing w:line="242" w:lineRule="exact"/>
              <w:ind w:left="102" w:right="-20"/>
              <w:rPr>
                <w:rFonts w:eastAsia="Calibri" w:cstheme="minorHAnsi"/>
                <w:position w:val="1"/>
                <w:szCs w:val="20"/>
                <w:lang w:val="en-US"/>
              </w:rPr>
            </w:pPr>
          </w:p>
        </w:tc>
      </w:tr>
      <w:tr w:rsidR="00490150" w:rsidRPr="00C90060" w:rsidTr="00490150">
        <w:tc>
          <w:tcPr>
            <w:tcW w:w="2628" w:type="dxa"/>
          </w:tcPr>
          <w:p w:rsidR="00490150" w:rsidRDefault="00490150" w:rsidP="00C72256">
            <w:pPr>
              <w:rPr>
                <w:rFonts w:cstheme="minorHAnsi"/>
                <w:b/>
              </w:rPr>
            </w:pPr>
            <w:r>
              <w:rPr>
                <w:rFonts w:cstheme="minorHAnsi"/>
                <w:b/>
              </w:rPr>
              <w:t>Time required for item:</w:t>
            </w:r>
          </w:p>
          <w:p w:rsidR="00490150" w:rsidRDefault="00490150" w:rsidP="00C72256">
            <w:pPr>
              <w:rPr>
                <w:rFonts w:cstheme="minorHAnsi"/>
                <w:b/>
              </w:rPr>
            </w:pPr>
          </w:p>
          <w:p w:rsidR="00490150" w:rsidRPr="00C90060" w:rsidRDefault="00490150" w:rsidP="00C72256">
            <w:pPr>
              <w:rPr>
                <w:rFonts w:cstheme="minorHAnsi"/>
                <w:b/>
              </w:rPr>
            </w:pPr>
          </w:p>
        </w:tc>
        <w:tc>
          <w:tcPr>
            <w:tcW w:w="6320" w:type="dxa"/>
          </w:tcPr>
          <w:p w:rsidR="00490150" w:rsidRPr="00E00037" w:rsidRDefault="00490150" w:rsidP="00C72256">
            <w:pPr>
              <w:rPr>
                <w:rFonts w:cstheme="minorHAnsi"/>
              </w:rPr>
            </w:pPr>
            <w:r>
              <w:rPr>
                <w:rFonts w:cstheme="minorHAnsi"/>
              </w:rPr>
              <w:t>15 mins</w:t>
            </w:r>
          </w:p>
        </w:tc>
      </w:tr>
    </w:tbl>
    <w:p w:rsidR="00490150" w:rsidRPr="00C90060" w:rsidRDefault="00490150" w:rsidP="00490150">
      <w:pPr>
        <w:spacing w:after="0"/>
        <w:rPr>
          <w:rFonts w:cstheme="minorHAnsi"/>
          <w:b/>
        </w:rPr>
      </w:pPr>
    </w:p>
    <w:tbl>
      <w:tblPr>
        <w:tblStyle w:val="TableGrid"/>
        <w:tblW w:w="0" w:type="auto"/>
        <w:tblInd w:w="534" w:type="dxa"/>
        <w:shd w:val="clear" w:color="auto" w:fill="D9D9D9" w:themeFill="background1" w:themeFillShade="D9"/>
        <w:tblLook w:val="04A0" w:firstRow="1" w:lastRow="0" w:firstColumn="1" w:lastColumn="0" w:noHBand="0" w:noVBand="1"/>
      </w:tblPr>
      <w:tblGrid>
        <w:gridCol w:w="2628"/>
        <w:gridCol w:w="1350"/>
        <w:gridCol w:w="3690"/>
        <w:gridCol w:w="1280"/>
      </w:tblGrid>
      <w:tr w:rsidR="00490150" w:rsidRPr="00C90060" w:rsidTr="00490150">
        <w:tc>
          <w:tcPr>
            <w:tcW w:w="2628" w:type="dxa"/>
            <w:vMerge w:val="restart"/>
            <w:shd w:val="clear" w:color="auto" w:fill="D9D9D9" w:themeFill="background1" w:themeFillShade="D9"/>
          </w:tcPr>
          <w:p w:rsidR="00490150" w:rsidRPr="00C90060" w:rsidRDefault="00490150" w:rsidP="00C72256">
            <w:pPr>
              <w:rPr>
                <w:rFonts w:cstheme="minorHAnsi"/>
                <w:b/>
              </w:rPr>
            </w:pPr>
            <w:r w:rsidRPr="00C90060">
              <w:rPr>
                <w:rFonts w:cstheme="minorHAnsi"/>
                <w:b/>
              </w:rPr>
              <w:t>Recommendation / Proposed Actions:</w:t>
            </w:r>
          </w:p>
          <w:p w:rsidR="00490150" w:rsidRPr="00C90060" w:rsidRDefault="00490150" w:rsidP="00C72256">
            <w:pPr>
              <w:rPr>
                <w:rFonts w:cstheme="minorHAnsi"/>
                <w:b/>
              </w:rPr>
            </w:pPr>
          </w:p>
        </w:tc>
        <w:tc>
          <w:tcPr>
            <w:tcW w:w="5040" w:type="dxa"/>
            <w:gridSpan w:val="2"/>
            <w:shd w:val="clear" w:color="auto" w:fill="D9D9D9" w:themeFill="background1" w:themeFillShade="D9"/>
          </w:tcPr>
          <w:p w:rsidR="00490150" w:rsidRPr="00C90060" w:rsidRDefault="00490150" w:rsidP="00C72256">
            <w:pPr>
              <w:rPr>
                <w:rFonts w:cstheme="minorHAnsi"/>
                <w:b/>
              </w:rPr>
            </w:pPr>
            <w:r w:rsidRPr="00C90060">
              <w:rPr>
                <w:rFonts w:cstheme="minorHAnsi"/>
                <w:b/>
              </w:rPr>
              <w:t>To Approve</w:t>
            </w:r>
          </w:p>
        </w:tc>
        <w:tc>
          <w:tcPr>
            <w:tcW w:w="1280" w:type="dxa"/>
            <w:shd w:val="clear" w:color="auto" w:fill="auto"/>
          </w:tcPr>
          <w:p w:rsidR="00490150" w:rsidRPr="00C90060" w:rsidRDefault="00490150" w:rsidP="00C72256">
            <w:pPr>
              <w:rPr>
                <w:rFonts w:cstheme="minorHAnsi"/>
                <w:b/>
              </w:rPr>
            </w:pPr>
          </w:p>
        </w:tc>
      </w:tr>
      <w:tr w:rsidR="00490150" w:rsidRPr="00C90060" w:rsidTr="00490150">
        <w:tc>
          <w:tcPr>
            <w:tcW w:w="2628" w:type="dxa"/>
            <w:vMerge/>
            <w:shd w:val="clear" w:color="auto" w:fill="D9D9D9" w:themeFill="background1" w:themeFillShade="D9"/>
          </w:tcPr>
          <w:p w:rsidR="00490150" w:rsidRPr="00C90060" w:rsidRDefault="00490150" w:rsidP="00C72256">
            <w:pPr>
              <w:rPr>
                <w:rFonts w:cstheme="minorHAnsi"/>
                <w:b/>
              </w:rPr>
            </w:pPr>
          </w:p>
        </w:tc>
        <w:tc>
          <w:tcPr>
            <w:tcW w:w="5040" w:type="dxa"/>
            <w:gridSpan w:val="2"/>
            <w:shd w:val="clear" w:color="auto" w:fill="D9D9D9" w:themeFill="background1" w:themeFillShade="D9"/>
          </w:tcPr>
          <w:p w:rsidR="00490150" w:rsidRPr="00C90060" w:rsidRDefault="00490150" w:rsidP="00C72256">
            <w:pPr>
              <w:rPr>
                <w:rFonts w:cstheme="minorHAnsi"/>
                <w:b/>
              </w:rPr>
            </w:pPr>
            <w:r w:rsidRPr="00C90060">
              <w:rPr>
                <w:rFonts w:cstheme="minorHAnsi"/>
                <w:b/>
              </w:rPr>
              <w:t>To Note</w:t>
            </w:r>
          </w:p>
        </w:tc>
        <w:tc>
          <w:tcPr>
            <w:tcW w:w="1280" w:type="dxa"/>
            <w:shd w:val="clear" w:color="auto" w:fill="auto"/>
          </w:tcPr>
          <w:p w:rsidR="00490150" w:rsidRPr="00C90060" w:rsidRDefault="00490150" w:rsidP="00C72256">
            <w:pPr>
              <w:rPr>
                <w:rFonts w:cstheme="minorHAnsi"/>
                <w:b/>
              </w:rPr>
            </w:pPr>
            <w:r>
              <w:rPr>
                <w:rFonts w:cstheme="minorHAnsi"/>
                <w:b/>
              </w:rPr>
              <w:t>x</w:t>
            </w:r>
          </w:p>
        </w:tc>
      </w:tr>
      <w:tr w:rsidR="00490150" w:rsidRPr="00C90060" w:rsidTr="00490150">
        <w:tc>
          <w:tcPr>
            <w:tcW w:w="2628" w:type="dxa"/>
            <w:vMerge/>
            <w:shd w:val="clear" w:color="auto" w:fill="D9D9D9" w:themeFill="background1" w:themeFillShade="D9"/>
          </w:tcPr>
          <w:p w:rsidR="00490150" w:rsidRPr="00C90060" w:rsidRDefault="00490150" w:rsidP="00C72256">
            <w:pPr>
              <w:rPr>
                <w:rFonts w:cstheme="minorHAnsi"/>
                <w:b/>
              </w:rPr>
            </w:pPr>
          </w:p>
        </w:tc>
        <w:tc>
          <w:tcPr>
            <w:tcW w:w="5040" w:type="dxa"/>
            <w:gridSpan w:val="2"/>
            <w:shd w:val="clear" w:color="auto" w:fill="D9D9D9" w:themeFill="background1" w:themeFillShade="D9"/>
          </w:tcPr>
          <w:p w:rsidR="00490150" w:rsidRPr="00C90060" w:rsidRDefault="00490150" w:rsidP="00C72256">
            <w:pPr>
              <w:rPr>
                <w:rFonts w:cstheme="minorHAnsi"/>
                <w:b/>
              </w:rPr>
            </w:pPr>
            <w:r w:rsidRPr="00C90060">
              <w:rPr>
                <w:rFonts w:cstheme="minorHAnsi"/>
                <w:b/>
              </w:rPr>
              <w:t>For Discussion</w:t>
            </w:r>
          </w:p>
        </w:tc>
        <w:tc>
          <w:tcPr>
            <w:tcW w:w="1280" w:type="dxa"/>
            <w:shd w:val="clear" w:color="auto" w:fill="auto"/>
          </w:tcPr>
          <w:p w:rsidR="00490150" w:rsidRPr="00C90060" w:rsidRDefault="00490150" w:rsidP="00C72256">
            <w:pPr>
              <w:rPr>
                <w:rFonts w:cstheme="minorHAnsi"/>
                <w:b/>
              </w:rPr>
            </w:pPr>
          </w:p>
        </w:tc>
      </w:tr>
      <w:tr w:rsidR="00490150" w:rsidRPr="00C90060" w:rsidTr="00490150">
        <w:tc>
          <w:tcPr>
            <w:tcW w:w="2628" w:type="dxa"/>
            <w:vMerge/>
            <w:shd w:val="clear" w:color="auto" w:fill="D9D9D9" w:themeFill="background1" w:themeFillShade="D9"/>
          </w:tcPr>
          <w:p w:rsidR="00490150" w:rsidRPr="00C90060" w:rsidRDefault="00490150" w:rsidP="00C72256">
            <w:pPr>
              <w:rPr>
                <w:rFonts w:cstheme="minorHAnsi"/>
                <w:b/>
              </w:rPr>
            </w:pPr>
          </w:p>
        </w:tc>
        <w:tc>
          <w:tcPr>
            <w:tcW w:w="1350" w:type="dxa"/>
            <w:shd w:val="clear" w:color="auto" w:fill="D9D9D9" w:themeFill="background1" w:themeFillShade="D9"/>
          </w:tcPr>
          <w:p w:rsidR="00490150" w:rsidRPr="00C90060" w:rsidRDefault="00490150" w:rsidP="00C72256">
            <w:pPr>
              <w:rPr>
                <w:rFonts w:cstheme="minorHAnsi"/>
                <w:b/>
              </w:rPr>
            </w:pPr>
            <w:r w:rsidRPr="00C90060">
              <w:rPr>
                <w:rFonts w:cstheme="minorHAnsi"/>
                <w:b/>
              </w:rPr>
              <w:t>Comments</w:t>
            </w:r>
          </w:p>
        </w:tc>
        <w:tc>
          <w:tcPr>
            <w:tcW w:w="4970" w:type="dxa"/>
            <w:gridSpan w:val="2"/>
            <w:shd w:val="clear" w:color="auto" w:fill="auto"/>
          </w:tcPr>
          <w:p w:rsidR="00490150" w:rsidRPr="00C90060" w:rsidRDefault="00490150" w:rsidP="00C72256">
            <w:pPr>
              <w:rPr>
                <w:rFonts w:cstheme="minorHAnsi"/>
                <w:b/>
              </w:rPr>
            </w:pPr>
          </w:p>
          <w:p w:rsidR="00490150" w:rsidRPr="00C90060" w:rsidRDefault="00490150" w:rsidP="00C72256">
            <w:pPr>
              <w:rPr>
                <w:rFonts w:cstheme="minorHAnsi"/>
                <w:b/>
              </w:rPr>
            </w:pPr>
          </w:p>
          <w:p w:rsidR="00490150" w:rsidRPr="00C90060" w:rsidRDefault="00490150" w:rsidP="00C72256">
            <w:pPr>
              <w:rPr>
                <w:rFonts w:cstheme="minorHAnsi"/>
                <w:b/>
              </w:rPr>
            </w:pPr>
          </w:p>
        </w:tc>
      </w:tr>
    </w:tbl>
    <w:p w:rsidR="00490150" w:rsidRPr="00C90060" w:rsidRDefault="00490150" w:rsidP="00490150">
      <w:pPr>
        <w:tabs>
          <w:tab w:val="left" w:pos="1980"/>
        </w:tabs>
        <w:spacing w:after="0" w:line="240" w:lineRule="auto"/>
        <w:rPr>
          <w:rFonts w:cstheme="minorHAnsi"/>
          <w:b/>
        </w:rPr>
      </w:pPr>
    </w:p>
    <w:tbl>
      <w:tblPr>
        <w:tblStyle w:val="TableGrid"/>
        <w:tblW w:w="8948" w:type="dxa"/>
        <w:tblInd w:w="534" w:type="dxa"/>
        <w:tblLook w:val="04A0" w:firstRow="1" w:lastRow="0" w:firstColumn="1" w:lastColumn="0" w:noHBand="0" w:noVBand="1"/>
      </w:tblPr>
      <w:tblGrid>
        <w:gridCol w:w="2628"/>
        <w:gridCol w:w="6320"/>
      </w:tblGrid>
      <w:tr w:rsidR="00490150" w:rsidRPr="00C90060" w:rsidTr="00490150">
        <w:tc>
          <w:tcPr>
            <w:tcW w:w="2628" w:type="dxa"/>
          </w:tcPr>
          <w:p w:rsidR="00490150" w:rsidRPr="00C90060" w:rsidRDefault="00490150" w:rsidP="00C72256">
            <w:pPr>
              <w:rPr>
                <w:rFonts w:cstheme="minorHAnsi"/>
                <w:b/>
              </w:rPr>
            </w:pPr>
            <w:r w:rsidRPr="00C90060">
              <w:rPr>
                <w:rFonts w:cstheme="minorHAnsi"/>
                <w:b/>
              </w:rPr>
              <w:t>Name:</w:t>
            </w:r>
          </w:p>
          <w:p w:rsidR="00490150" w:rsidRPr="00C90060" w:rsidRDefault="00490150" w:rsidP="00C72256">
            <w:pPr>
              <w:rPr>
                <w:rFonts w:cstheme="minorHAnsi"/>
                <w:b/>
              </w:rPr>
            </w:pPr>
          </w:p>
        </w:tc>
        <w:tc>
          <w:tcPr>
            <w:tcW w:w="6320" w:type="dxa"/>
          </w:tcPr>
          <w:p w:rsidR="00490150" w:rsidRPr="00E00037" w:rsidRDefault="00490150" w:rsidP="00490150">
            <w:pPr>
              <w:widowControl w:val="0"/>
              <w:spacing w:line="242" w:lineRule="exact"/>
              <w:ind w:right="-20"/>
              <w:rPr>
                <w:rFonts w:ascii="Calibri" w:eastAsia="Calibri" w:hAnsi="Calibri" w:cs="Calibri"/>
                <w:szCs w:val="20"/>
                <w:lang w:val="en-US"/>
              </w:rPr>
            </w:pPr>
            <w:r w:rsidRPr="00E00037">
              <w:rPr>
                <w:rFonts w:ascii="Calibri" w:eastAsia="Calibri" w:hAnsi="Calibri" w:cs="Calibri"/>
                <w:position w:val="1"/>
                <w:szCs w:val="20"/>
                <w:lang w:val="en-US"/>
              </w:rPr>
              <w:t xml:space="preserve">Janet Messer </w:t>
            </w:r>
          </w:p>
        </w:tc>
      </w:tr>
      <w:tr w:rsidR="00490150" w:rsidRPr="00C90060" w:rsidTr="00490150">
        <w:tc>
          <w:tcPr>
            <w:tcW w:w="2628" w:type="dxa"/>
          </w:tcPr>
          <w:p w:rsidR="00490150" w:rsidRPr="00C90060" w:rsidRDefault="00490150" w:rsidP="00C72256">
            <w:pPr>
              <w:rPr>
                <w:rFonts w:cstheme="minorHAnsi"/>
                <w:b/>
              </w:rPr>
            </w:pPr>
            <w:r w:rsidRPr="00C90060">
              <w:rPr>
                <w:rFonts w:cstheme="minorHAnsi"/>
                <w:b/>
              </w:rPr>
              <w:t>Job Title:</w:t>
            </w:r>
          </w:p>
          <w:p w:rsidR="00490150" w:rsidRPr="00C90060" w:rsidRDefault="00490150" w:rsidP="00C72256">
            <w:pPr>
              <w:rPr>
                <w:rFonts w:cstheme="minorHAnsi"/>
                <w:b/>
              </w:rPr>
            </w:pPr>
          </w:p>
        </w:tc>
        <w:tc>
          <w:tcPr>
            <w:tcW w:w="6320" w:type="dxa"/>
          </w:tcPr>
          <w:p w:rsidR="00490150" w:rsidRPr="00E00037" w:rsidRDefault="00490150" w:rsidP="00490150">
            <w:pPr>
              <w:widowControl w:val="0"/>
              <w:spacing w:line="242" w:lineRule="exact"/>
              <w:ind w:right="-20"/>
              <w:rPr>
                <w:rFonts w:ascii="Calibri" w:eastAsia="Calibri" w:hAnsi="Calibri" w:cs="Calibri"/>
                <w:szCs w:val="20"/>
                <w:lang w:val="en-US"/>
              </w:rPr>
            </w:pPr>
            <w:r w:rsidRPr="00E00037">
              <w:rPr>
                <w:rFonts w:ascii="Calibri" w:eastAsia="Calibri" w:hAnsi="Calibri" w:cs="Calibri"/>
                <w:spacing w:val="1"/>
                <w:position w:val="1"/>
                <w:szCs w:val="20"/>
                <w:lang w:val="en-US"/>
              </w:rPr>
              <w:t>Director of Research Systems, Standards and HRA Approval Programme</w:t>
            </w:r>
          </w:p>
        </w:tc>
      </w:tr>
      <w:tr w:rsidR="00490150" w:rsidRPr="00C90060" w:rsidTr="00490150">
        <w:tc>
          <w:tcPr>
            <w:tcW w:w="2628" w:type="dxa"/>
          </w:tcPr>
          <w:p w:rsidR="00490150" w:rsidRPr="00C90060" w:rsidRDefault="00490150" w:rsidP="00C72256">
            <w:pPr>
              <w:rPr>
                <w:rFonts w:cstheme="minorHAnsi"/>
                <w:b/>
              </w:rPr>
            </w:pPr>
            <w:r w:rsidRPr="00C90060">
              <w:rPr>
                <w:rFonts w:cstheme="minorHAnsi"/>
                <w:b/>
              </w:rPr>
              <w:t>Date:</w:t>
            </w:r>
          </w:p>
          <w:p w:rsidR="00490150" w:rsidRPr="00C90060" w:rsidRDefault="00490150" w:rsidP="00C72256">
            <w:pPr>
              <w:rPr>
                <w:rFonts w:cstheme="minorHAnsi"/>
                <w:b/>
              </w:rPr>
            </w:pPr>
          </w:p>
        </w:tc>
        <w:tc>
          <w:tcPr>
            <w:tcW w:w="6320" w:type="dxa"/>
          </w:tcPr>
          <w:p w:rsidR="00490150" w:rsidRPr="00E00037" w:rsidRDefault="00490150" w:rsidP="00490150">
            <w:pPr>
              <w:widowControl w:val="0"/>
              <w:spacing w:line="242" w:lineRule="exact"/>
              <w:ind w:right="-20"/>
              <w:rPr>
                <w:rFonts w:ascii="Calibri" w:eastAsia="Calibri" w:hAnsi="Calibri" w:cs="Calibri"/>
                <w:szCs w:val="20"/>
                <w:lang w:val="en-US"/>
              </w:rPr>
            </w:pPr>
            <w:r w:rsidRPr="00E00037">
              <w:rPr>
                <w:rFonts w:ascii="Calibri" w:eastAsia="Calibri" w:hAnsi="Calibri" w:cs="Calibri"/>
                <w:position w:val="1"/>
                <w:szCs w:val="20"/>
                <w:lang w:val="en-US"/>
              </w:rPr>
              <w:t>04 April 20</w:t>
            </w:r>
            <w:r w:rsidRPr="00E00037">
              <w:rPr>
                <w:rFonts w:ascii="Calibri" w:eastAsia="Calibri" w:hAnsi="Calibri" w:cs="Calibri"/>
                <w:spacing w:val="2"/>
                <w:position w:val="1"/>
                <w:szCs w:val="20"/>
                <w:lang w:val="en-US"/>
              </w:rPr>
              <w:t>1</w:t>
            </w:r>
            <w:r w:rsidRPr="00E00037">
              <w:rPr>
                <w:rFonts w:ascii="Calibri" w:eastAsia="Calibri" w:hAnsi="Calibri" w:cs="Calibri"/>
                <w:position w:val="1"/>
                <w:szCs w:val="20"/>
                <w:lang w:val="en-US"/>
              </w:rPr>
              <w:t>7</w:t>
            </w:r>
          </w:p>
        </w:tc>
      </w:tr>
    </w:tbl>
    <w:p w:rsidR="00410A49" w:rsidRPr="00410A49" w:rsidRDefault="00410A49" w:rsidP="00410A49">
      <w:pPr>
        <w:widowControl w:val="0"/>
        <w:spacing w:after="0"/>
        <w:rPr>
          <w:rFonts w:ascii="Calibri" w:eastAsia="Calibri" w:hAnsi="Calibri" w:cs="Times New Roman"/>
          <w:lang w:val="en-US"/>
        </w:rPr>
        <w:sectPr w:rsidR="00410A49" w:rsidRPr="00410A49" w:rsidSect="00490150">
          <w:footerReference w:type="default" r:id="rId9"/>
          <w:headerReference w:type="first" r:id="rId10"/>
          <w:pgSz w:w="11920" w:h="16840"/>
          <w:pgMar w:top="600" w:right="680" w:bottom="280" w:left="920" w:header="720" w:footer="720" w:gutter="0"/>
          <w:cols w:space="720"/>
          <w:titlePg/>
          <w:docGrid w:linePitch="299"/>
        </w:sectPr>
      </w:pPr>
    </w:p>
    <w:p w:rsidR="000B2CDA" w:rsidRDefault="000B2CDA" w:rsidP="000B2CDA">
      <w:pPr>
        <w:pStyle w:val="Title"/>
        <w:rPr>
          <w:rFonts w:ascii="Arial" w:eastAsia="MS Gothic" w:hAnsi="Arial" w:cs="Times New Roman"/>
          <w:bCs/>
          <w:color w:val="331188"/>
          <w:sz w:val="66"/>
          <w:szCs w:val="32"/>
        </w:rPr>
      </w:pPr>
      <w:r>
        <w:rPr>
          <w:rFonts w:ascii="Arial" w:eastAsia="MS Gothic" w:hAnsi="Arial" w:cs="Times New Roman"/>
          <w:bCs/>
          <w:color w:val="331188"/>
          <w:sz w:val="66"/>
          <w:szCs w:val="32"/>
        </w:rPr>
        <w:lastRenderedPageBreak/>
        <w:t xml:space="preserve">HRA Approval Programme Assurance Report: </w:t>
      </w:r>
    </w:p>
    <w:p w:rsidR="000B2CDA" w:rsidRDefault="000B2CDA" w:rsidP="000B2CDA">
      <w:pPr>
        <w:pStyle w:val="Title"/>
        <w:rPr>
          <w:rFonts w:ascii="Arial" w:eastAsia="MS Gothic" w:hAnsi="Arial" w:cs="Times New Roman"/>
          <w:bCs/>
          <w:color w:val="331188"/>
          <w:sz w:val="66"/>
          <w:szCs w:val="32"/>
        </w:rPr>
      </w:pPr>
      <w:r>
        <w:rPr>
          <w:rFonts w:ascii="Arial" w:eastAsia="MS Gothic" w:hAnsi="Arial" w:cs="Times New Roman"/>
          <w:bCs/>
          <w:color w:val="331188"/>
          <w:sz w:val="66"/>
          <w:szCs w:val="32"/>
        </w:rPr>
        <w:t xml:space="preserve">HRA Approval Delivery </w:t>
      </w:r>
    </w:p>
    <w:p w:rsidR="00410A49" w:rsidRPr="00410A49" w:rsidRDefault="00410A49" w:rsidP="00410A49">
      <w:pPr>
        <w:widowControl w:val="0"/>
        <w:spacing w:after="0" w:line="200" w:lineRule="exact"/>
        <w:rPr>
          <w:rFonts w:ascii="Calibri" w:eastAsia="Calibri" w:hAnsi="Calibri" w:cs="Times New Roman"/>
          <w:sz w:val="20"/>
          <w:szCs w:val="20"/>
          <w:lang w:val="en-US"/>
        </w:rPr>
      </w:pPr>
    </w:p>
    <w:p w:rsidR="00410A49" w:rsidRPr="00410A49" w:rsidRDefault="00410A49" w:rsidP="00410A49">
      <w:pPr>
        <w:widowControl w:val="0"/>
        <w:spacing w:after="0" w:line="200" w:lineRule="exact"/>
        <w:rPr>
          <w:rFonts w:ascii="Calibri" w:eastAsia="Calibri" w:hAnsi="Calibri" w:cs="Times New Roman"/>
          <w:sz w:val="20"/>
          <w:szCs w:val="20"/>
          <w:lang w:val="en-US"/>
        </w:rPr>
      </w:pPr>
    </w:p>
    <w:p w:rsidR="00410A49" w:rsidRPr="00410A49" w:rsidRDefault="00410A49" w:rsidP="00410A49">
      <w:pPr>
        <w:widowControl w:val="0"/>
        <w:spacing w:after="0" w:line="200" w:lineRule="exact"/>
        <w:rPr>
          <w:rFonts w:ascii="Calibri" w:eastAsia="Calibri" w:hAnsi="Calibri" w:cs="Times New Roman"/>
          <w:sz w:val="20"/>
          <w:szCs w:val="20"/>
          <w:lang w:val="en-US"/>
        </w:rPr>
      </w:pPr>
    </w:p>
    <w:p w:rsidR="00410A49" w:rsidRPr="00410A49" w:rsidRDefault="00410A49" w:rsidP="00410A49">
      <w:pPr>
        <w:widowControl w:val="0"/>
        <w:spacing w:after="0" w:line="200" w:lineRule="exact"/>
        <w:rPr>
          <w:rFonts w:ascii="Calibri" w:eastAsia="Calibri" w:hAnsi="Calibri" w:cs="Times New Roman"/>
          <w:sz w:val="20"/>
          <w:szCs w:val="20"/>
          <w:lang w:val="en-US"/>
        </w:rPr>
      </w:pPr>
    </w:p>
    <w:p w:rsidR="00410A49" w:rsidRPr="00410A49" w:rsidRDefault="00410A49" w:rsidP="00410A49">
      <w:pPr>
        <w:widowControl w:val="0"/>
        <w:spacing w:after="0" w:line="200" w:lineRule="exact"/>
        <w:rPr>
          <w:rFonts w:ascii="Calibri" w:eastAsia="Calibri" w:hAnsi="Calibri" w:cs="Times New Roman"/>
          <w:sz w:val="20"/>
          <w:szCs w:val="20"/>
          <w:lang w:val="en-US"/>
        </w:rPr>
      </w:pPr>
    </w:p>
    <w:p w:rsidR="00410A49" w:rsidRPr="00410A49" w:rsidRDefault="00410A49" w:rsidP="00410A49">
      <w:pPr>
        <w:widowControl w:val="0"/>
        <w:spacing w:before="11" w:after="0" w:line="220" w:lineRule="exact"/>
        <w:rPr>
          <w:rFonts w:ascii="Calibri" w:eastAsia="Calibri" w:hAnsi="Calibri" w:cs="Times New Roman"/>
          <w:lang w:val="en-US"/>
        </w:rPr>
      </w:pPr>
    </w:p>
    <w:p w:rsidR="00410A49" w:rsidRPr="00410A49" w:rsidRDefault="00410A49" w:rsidP="00410A49">
      <w:pPr>
        <w:widowControl w:val="0"/>
        <w:spacing w:after="0" w:line="240" w:lineRule="auto"/>
        <w:ind w:left="3199" w:right="-20"/>
        <w:rPr>
          <w:rFonts w:ascii="Times New Roman" w:eastAsia="Times New Roman" w:hAnsi="Times New Roman" w:cs="Times New Roman"/>
          <w:sz w:val="20"/>
          <w:szCs w:val="20"/>
          <w:lang w:val="en-US"/>
        </w:rPr>
      </w:pPr>
      <w:r>
        <w:rPr>
          <w:rFonts w:ascii="Calibri" w:eastAsia="Calibri" w:hAnsi="Calibri" w:cs="Times New Roman"/>
          <w:noProof/>
          <w:lang w:eastAsia="en-GB"/>
        </w:rPr>
        <w:drawing>
          <wp:inline distT="0" distB="0" distL="0" distR="0" wp14:anchorId="7D1B9A64" wp14:editId="26FED668">
            <wp:extent cx="4371975" cy="4371975"/>
            <wp:effectExtent l="0" t="0" r="9525" b="9525"/>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1975" cy="4371975"/>
                    </a:xfrm>
                    <a:prstGeom prst="rect">
                      <a:avLst/>
                    </a:prstGeom>
                    <a:noFill/>
                    <a:ln>
                      <a:noFill/>
                    </a:ln>
                  </pic:spPr>
                </pic:pic>
              </a:graphicData>
            </a:graphic>
          </wp:inline>
        </w:drawing>
      </w:r>
    </w:p>
    <w:tbl>
      <w:tblPr>
        <w:tblW w:w="0" w:type="auto"/>
        <w:tblInd w:w="94" w:type="dxa"/>
        <w:tblLayout w:type="fixed"/>
        <w:tblCellMar>
          <w:left w:w="0" w:type="dxa"/>
          <w:right w:w="0" w:type="dxa"/>
        </w:tblCellMar>
        <w:tblLook w:val="01E0" w:firstRow="1" w:lastRow="1" w:firstColumn="1" w:lastColumn="1" w:noHBand="0" w:noVBand="0"/>
      </w:tblPr>
      <w:tblGrid>
        <w:gridCol w:w="1951"/>
        <w:gridCol w:w="3970"/>
      </w:tblGrid>
      <w:tr w:rsidR="00410A49" w:rsidRPr="00410A49" w:rsidTr="00410A49">
        <w:trPr>
          <w:trHeight w:hRule="exact" w:val="516"/>
        </w:trPr>
        <w:tc>
          <w:tcPr>
            <w:tcW w:w="1951" w:type="dxa"/>
            <w:tcBorders>
              <w:top w:val="single" w:sz="4" w:space="0" w:color="000000"/>
              <w:left w:val="single" w:sz="4" w:space="0" w:color="000000"/>
              <w:bottom w:val="single" w:sz="4" w:space="0" w:color="000000"/>
              <w:right w:val="single" w:sz="4" w:space="0" w:color="000000"/>
            </w:tcBorders>
          </w:tcPr>
          <w:p w:rsidR="00410A49" w:rsidRPr="00410A49" w:rsidRDefault="00410A49" w:rsidP="00410A49">
            <w:pPr>
              <w:widowControl w:val="0"/>
              <w:spacing w:after="0" w:line="250" w:lineRule="exact"/>
              <w:ind w:left="102" w:right="-20"/>
              <w:rPr>
                <w:rFonts w:ascii="Arial" w:eastAsia="Arial" w:hAnsi="Arial" w:cs="Arial"/>
                <w:lang w:val="en-US"/>
              </w:rPr>
            </w:pPr>
            <w:r w:rsidRPr="00410A49">
              <w:rPr>
                <w:rFonts w:ascii="Arial" w:eastAsia="Arial" w:hAnsi="Arial" w:cs="Arial"/>
                <w:spacing w:val="2"/>
                <w:lang w:val="en-US"/>
              </w:rPr>
              <w:t>T</w:t>
            </w:r>
            <w:r w:rsidRPr="00410A49">
              <w:rPr>
                <w:rFonts w:ascii="Arial" w:eastAsia="Arial" w:hAnsi="Arial" w:cs="Arial"/>
                <w:spacing w:val="-1"/>
                <w:lang w:val="en-US"/>
              </w:rPr>
              <w:t>i</w:t>
            </w:r>
            <w:r w:rsidRPr="00410A49">
              <w:rPr>
                <w:rFonts w:ascii="Arial" w:eastAsia="Arial" w:hAnsi="Arial" w:cs="Arial"/>
                <w:spacing w:val="1"/>
                <w:lang w:val="en-US"/>
              </w:rPr>
              <w:t>t</w:t>
            </w:r>
            <w:r w:rsidRPr="00410A49">
              <w:rPr>
                <w:rFonts w:ascii="Arial" w:eastAsia="Arial" w:hAnsi="Arial" w:cs="Arial"/>
                <w:spacing w:val="-1"/>
                <w:lang w:val="en-US"/>
              </w:rPr>
              <w:t>l</w:t>
            </w:r>
            <w:r w:rsidRPr="00410A49">
              <w:rPr>
                <w:rFonts w:ascii="Arial" w:eastAsia="Arial" w:hAnsi="Arial" w:cs="Arial"/>
                <w:lang w:val="en-US"/>
              </w:rPr>
              <w:t>e</w:t>
            </w:r>
            <w:r w:rsidRPr="00410A49">
              <w:rPr>
                <w:rFonts w:ascii="Arial" w:eastAsia="Arial" w:hAnsi="Arial" w:cs="Arial"/>
                <w:spacing w:val="-1"/>
                <w:lang w:val="en-US"/>
              </w:rPr>
              <w:t>:</w:t>
            </w:r>
            <w:r w:rsidRPr="00410A49">
              <w:rPr>
                <w:rFonts w:ascii="Arial" w:eastAsia="Arial" w:hAnsi="Arial" w:cs="Arial"/>
                <w:lang w:val="en-US"/>
              </w:rPr>
              <w:t>:</w:t>
            </w:r>
          </w:p>
        </w:tc>
        <w:tc>
          <w:tcPr>
            <w:tcW w:w="3970" w:type="dxa"/>
            <w:tcBorders>
              <w:top w:val="single" w:sz="4" w:space="0" w:color="000000"/>
              <w:left w:val="single" w:sz="4" w:space="0" w:color="000000"/>
              <w:bottom w:val="single" w:sz="4" w:space="0" w:color="000000"/>
              <w:right w:val="single" w:sz="4" w:space="0" w:color="000000"/>
            </w:tcBorders>
          </w:tcPr>
          <w:p w:rsidR="00410A49" w:rsidRPr="00410A49" w:rsidRDefault="000B2CDA" w:rsidP="005E6B04">
            <w:pPr>
              <w:widowControl w:val="0"/>
              <w:spacing w:after="0" w:line="250" w:lineRule="exact"/>
              <w:ind w:left="102" w:right="-20"/>
              <w:rPr>
                <w:rFonts w:ascii="Arial" w:eastAsia="Arial" w:hAnsi="Arial" w:cs="Arial"/>
                <w:lang w:val="en-US"/>
              </w:rPr>
            </w:pPr>
            <w:r w:rsidRPr="0016288D">
              <w:rPr>
                <w:rFonts w:ascii="Arial" w:hAnsi="Arial" w:cs="Arial"/>
              </w:rPr>
              <w:t>HRA Approval Delivery Report</w:t>
            </w:r>
          </w:p>
        </w:tc>
      </w:tr>
      <w:tr w:rsidR="00410A49" w:rsidRPr="00410A49" w:rsidTr="00410A49">
        <w:trPr>
          <w:trHeight w:hRule="exact" w:val="516"/>
        </w:trPr>
        <w:tc>
          <w:tcPr>
            <w:tcW w:w="1951" w:type="dxa"/>
            <w:tcBorders>
              <w:top w:val="single" w:sz="4" w:space="0" w:color="000000"/>
              <w:left w:val="single" w:sz="4" w:space="0" w:color="000000"/>
              <w:bottom w:val="single" w:sz="4" w:space="0" w:color="000000"/>
              <w:right w:val="single" w:sz="4" w:space="0" w:color="000000"/>
            </w:tcBorders>
          </w:tcPr>
          <w:p w:rsidR="00410A49" w:rsidRPr="00410A49" w:rsidRDefault="00410A49" w:rsidP="00410A49">
            <w:pPr>
              <w:widowControl w:val="0"/>
              <w:spacing w:after="0" w:line="250" w:lineRule="exact"/>
              <w:ind w:left="102" w:right="-20"/>
              <w:rPr>
                <w:rFonts w:ascii="Arial" w:eastAsia="Arial" w:hAnsi="Arial" w:cs="Arial"/>
                <w:lang w:val="en-US"/>
              </w:rPr>
            </w:pPr>
            <w:r w:rsidRPr="00410A49">
              <w:rPr>
                <w:rFonts w:ascii="Arial" w:eastAsia="Arial" w:hAnsi="Arial" w:cs="Arial"/>
                <w:spacing w:val="-1"/>
                <w:lang w:val="en-US"/>
              </w:rPr>
              <w:t>D</w:t>
            </w:r>
            <w:r w:rsidRPr="00410A49">
              <w:rPr>
                <w:rFonts w:ascii="Arial" w:eastAsia="Arial" w:hAnsi="Arial" w:cs="Arial"/>
                <w:lang w:val="en-US"/>
              </w:rPr>
              <w:t>ocu</w:t>
            </w:r>
            <w:r w:rsidRPr="00410A49">
              <w:rPr>
                <w:rFonts w:ascii="Arial" w:eastAsia="Arial" w:hAnsi="Arial" w:cs="Arial"/>
                <w:spacing w:val="1"/>
                <w:lang w:val="en-US"/>
              </w:rPr>
              <w:t>m</w:t>
            </w:r>
            <w:r w:rsidRPr="00410A49">
              <w:rPr>
                <w:rFonts w:ascii="Arial" w:eastAsia="Arial" w:hAnsi="Arial" w:cs="Arial"/>
                <w:lang w:val="en-US"/>
              </w:rPr>
              <w:t>ent</w:t>
            </w:r>
          </w:p>
          <w:p w:rsidR="00410A49" w:rsidRPr="00410A49" w:rsidRDefault="00410A49" w:rsidP="00410A49">
            <w:pPr>
              <w:widowControl w:val="0"/>
              <w:spacing w:after="0" w:line="252" w:lineRule="exact"/>
              <w:ind w:left="102" w:right="-20"/>
              <w:rPr>
                <w:rFonts w:ascii="Arial" w:eastAsia="Arial" w:hAnsi="Arial" w:cs="Arial"/>
                <w:lang w:val="en-US"/>
              </w:rPr>
            </w:pPr>
            <w:r w:rsidRPr="00410A49">
              <w:rPr>
                <w:rFonts w:ascii="Arial" w:eastAsia="Arial" w:hAnsi="Arial" w:cs="Arial"/>
                <w:spacing w:val="-1"/>
                <w:lang w:val="en-US"/>
              </w:rPr>
              <w:t>V</w:t>
            </w:r>
            <w:r w:rsidRPr="00410A49">
              <w:rPr>
                <w:rFonts w:ascii="Arial" w:eastAsia="Arial" w:hAnsi="Arial" w:cs="Arial"/>
                <w:lang w:val="en-US"/>
              </w:rPr>
              <w:t>e</w:t>
            </w:r>
            <w:r w:rsidRPr="00410A49">
              <w:rPr>
                <w:rFonts w:ascii="Arial" w:eastAsia="Arial" w:hAnsi="Arial" w:cs="Arial"/>
                <w:spacing w:val="1"/>
                <w:lang w:val="en-US"/>
              </w:rPr>
              <w:t>r</w:t>
            </w:r>
            <w:r w:rsidRPr="00410A49">
              <w:rPr>
                <w:rFonts w:ascii="Arial" w:eastAsia="Arial" w:hAnsi="Arial" w:cs="Arial"/>
                <w:lang w:val="en-US"/>
              </w:rPr>
              <w:t>s</w:t>
            </w:r>
            <w:r w:rsidRPr="00410A49">
              <w:rPr>
                <w:rFonts w:ascii="Arial" w:eastAsia="Arial" w:hAnsi="Arial" w:cs="Arial"/>
                <w:spacing w:val="-1"/>
                <w:lang w:val="en-US"/>
              </w:rPr>
              <w:t>i</w:t>
            </w:r>
            <w:r w:rsidRPr="00410A49">
              <w:rPr>
                <w:rFonts w:ascii="Arial" w:eastAsia="Arial" w:hAnsi="Arial" w:cs="Arial"/>
                <w:lang w:val="en-US"/>
              </w:rPr>
              <w:t>on</w:t>
            </w:r>
            <w:r w:rsidRPr="00410A49">
              <w:rPr>
                <w:rFonts w:ascii="Arial" w:eastAsia="Arial" w:hAnsi="Arial" w:cs="Arial"/>
                <w:spacing w:val="1"/>
                <w:lang w:val="en-US"/>
              </w:rPr>
              <w:t xml:space="preserve"> </w:t>
            </w:r>
            <w:r w:rsidRPr="00410A49">
              <w:rPr>
                <w:rFonts w:ascii="Arial" w:eastAsia="Arial" w:hAnsi="Arial" w:cs="Arial"/>
                <w:spacing w:val="-1"/>
                <w:lang w:val="en-US"/>
              </w:rPr>
              <w:t>N</w:t>
            </w:r>
            <w:r w:rsidRPr="00410A49">
              <w:rPr>
                <w:rFonts w:ascii="Arial" w:eastAsia="Arial" w:hAnsi="Arial" w:cs="Arial"/>
                <w:lang w:val="en-US"/>
              </w:rPr>
              <w:t>u</w:t>
            </w:r>
            <w:r w:rsidRPr="00410A49">
              <w:rPr>
                <w:rFonts w:ascii="Arial" w:eastAsia="Arial" w:hAnsi="Arial" w:cs="Arial"/>
                <w:spacing w:val="1"/>
                <w:lang w:val="en-US"/>
              </w:rPr>
              <w:t>m</w:t>
            </w:r>
            <w:r w:rsidRPr="00410A49">
              <w:rPr>
                <w:rFonts w:ascii="Arial" w:eastAsia="Arial" w:hAnsi="Arial" w:cs="Arial"/>
                <w:lang w:val="en-US"/>
              </w:rPr>
              <w:t>b</w:t>
            </w:r>
            <w:r w:rsidRPr="00410A49">
              <w:rPr>
                <w:rFonts w:ascii="Arial" w:eastAsia="Arial" w:hAnsi="Arial" w:cs="Arial"/>
                <w:spacing w:val="-3"/>
                <w:lang w:val="en-US"/>
              </w:rPr>
              <w:t>e</w:t>
            </w:r>
            <w:r w:rsidRPr="00410A49">
              <w:rPr>
                <w:rFonts w:ascii="Arial" w:eastAsia="Arial" w:hAnsi="Arial" w:cs="Arial"/>
                <w:spacing w:val="1"/>
                <w:lang w:val="en-US"/>
              </w:rPr>
              <w:t>r</w:t>
            </w:r>
            <w:r w:rsidRPr="00410A49">
              <w:rPr>
                <w:rFonts w:ascii="Arial" w:eastAsia="Arial" w:hAnsi="Arial" w:cs="Arial"/>
                <w:lang w:val="en-US"/>
              </w:rPr>
              <w:t>:</w:t>
            </w:r>
          </w:p>
        </w:tc>
        <w:tc>
          <w:tcPr>
            <w:tcW w:w="3970" w:type="dxa"/>
            <w:tcBorders>
              <w:top w:val="single" w:sz="4" w:space="0" w:color="000000"/>
              <w:left w:val="single" w:sz="4" w:space="0" w:color="000000"/>
              <w:bottom w:val="single" w:sz="4" w:space="0" w:color="000000"/>
              <w:right w:val="single" w:sz="4" w:space="0" w:color="000000"/>
            </w:tcBorders>
          </w:tcPr>
          <w:p w:rsidR="00410A49" w:rsidRPr="00410A49" w:rsidRDefault="00BF6133" w:rsidP="001E0413">
            <w:pPr>
              <w:widowControl w:val="0"/>
              <w:spacing w:after="0" w:line="250" w:lineRule="exact"/>
              <w:ind w:left="102" w:right="-20"/>
              <w:rPr>
                <w:rFonts w:ascii="Arial" w:eastAsia="Arial" w:hAnsi="Arial" w:cs="Arial"/>
                <w:lang w:val="en-US"/>
              </w:rPr>
            </w:pPr>
            <w:r>
              <w:rPr>
                <w:rFonts w:ascii="Arial" w:eastAsia="Arial" w:hAnsi="Arial" w:cs="Arial"/>
                <w:lang w:val="en-US"/>
              </w:rPr>
              <w:t>1.0</w:t>
            </w:r>
          </w:p>
        </w:tc>
      </w:tr>
      <w:tr w:rsidR="00410A49" w:rsidRPr="00410A49" w:rsidTr="00410A49">
        <w:trPr>
          <w:trHeight w:hRule="exact" w:val="262"/>
        </w:trPr>
        <w:tc>
          <w:tcPr>
            <w:tcW w:w="1951" w:type="dxa"/>
            <w:tcBorders>
              <w:top w:val="single" w:sz="4" w:space="0" w:color="000000"/>
              <w:left w:val="single" w:sz="4" w:space="0" w:color="000000"/>
              <w:bottom w:val="single" w:sz="4" w:space="0" w:color="000000"/>
              <w:right w:val="single" w:sz="4" w:space="0" w:color="000000"/>
            </w:tcBorders>
          </w:tcPr>
          <w:p w:rsidR="00410A49" w:rsidRPr="00410A49" w:rsidRDefault="00410A49" w:rsidP="00410A49">
            <w:pPr>
              <w:widowControl w:val="0"/>
              <w:spacing w:after="0" w:line="250" w:lineRule="exact"/>
              <w:ind w:left="102" w:right="-20"/>
              <w:rPr>
                <w:rFonts w:ascii="Arial" w:eastAsia="Arial" w:hAnsi="Arial" w:cs="Arial"/>
                <w:lang w:val="en-US"/>
              </w:rPr>
            </w:pPr>
            <w:r w:rsidRPr="00410A49">
              <w:rPr>
                <w:rFonts w:ascii="Arial" w:eastAsia="Arial" w:hAnsi="Arial" w:cs="Arial"/>
                <w:spacing w:val="1"/>
                <w:lang w:val="en-US"/>
              </w:rPr>
              <w:t>I</w:t>
            </w:r>
            <w:r w:rsidRPr="00410A49">
              <w:rPr>
                <w:rFonts w:ascii="Arial" w:eastAsia="Arial" w:hAnsi="Arial" w:cs="Arial"/>
                <w:lang w:val="en-US"/>
              </w:rPr>
              <w:t>ssue</w:t>
            </w:r>
            <w:r w:rsidRPr="00410A49">
              <w:rPr>
                <w:rFonts w:ascii="Arial" w:eastAsia="Arial" w:hAnsi="Arial" w:cs="Arial"/>
                <w:spacing w:val="1"/>
                <w:lang w:val="en-US"/>
              </w:rPr>
              <w:t xml:space="preserve"> </w:t>
            </w:r>
            <w:r w:rsidRPr="00410A49">
              <w:rPr>
                <w:rFonts w:ascii="Arial" w:eastAsia="Arial" w:hAnsi="Arial" w:cs="Arial"/>
                <w:spacing w:val="-1"/>
                <w:lang w:val="en-US"/>
              </w:rPr>
              <w:t>D</w:t>
            </w:r>
            <w:r w:rsidRPr="00410A49">
              <w:rPr>
                <w:rFonts w:ascii="Arial" w:eastAsia="Arial" w:hAnsi="Arial" w:cs="Arial"/>
                <w:spacing w:val="-3"/>
                <w:lang w:val="en-US"/>
              </w:rPr>
              <w:t>a</w:t>
            </w:r>
            <w:r w:rsidRPr="00410A49">
              <w:rPr>
                <w:rFonts w:ascii="Arial" w:eastAsia="Arial" w:hAnsi="Arial" w:cs="Arial"/>
                <w:spacing w:val="1"/>
                <w:lang w:val="en-US"/>
              </w:rPr>
              <w:t>t</w:t>
            </w:r>
            <w:r w:rsidRPr="00410A49">
              <w:rPr>
                <w:rFonts w:ascii="Arial" w:eastAsia="Arial" w:hAnsi="Arial" w:cs="Arial"/>
                <w:lang w:val="en-US"/>
              </w:rPr>
              <w:t>e:</w:t>
            </w:r>
          </w:p>
        </w:tc>
        <w:tc>
          <w:tcPr>
            <w:tcW w:w="3970" w:type="dxa"/>
            <w:tcBorders>
              <w:top w:val="single" w:sz="4" w:space="0" w:color="000000"/>
              <w:left w:val="single" w:sz="4" w:space="0" w:color="000000"/>
              <w:bottom w:val="single" w:sz="4" w:space="0" w:color="000000"/>
              <w:right w:val="single" w:sz="4" w:space="0" w:color="000000"/>
            </w:tcBorders>
          </w:tcPr>
          <w:p w:rsidR="00410A49" w:rsidRPr="00410A49" w:rsidRDefault="008B724C" w:rsidP="0027359C">
            <w:pPr>
              <w:widowControl w:val="0"/>
              <w:spacing w:after="0" w:line="250" w:lineRule="exact"/>
              <w:ind w:left="102" w:right="-20"/>
              <w:rPr>
                <w:rFonts w:ascii="Arial" w:eastAsia="Arial" w:hAnsi="Arial" w:cs="Arial"/>
                <w:lang w:val="en-US"/>
              </w:rPr>
            </w:pPr>
            <w:r>
              <w:rPr>
                <w:rFonts w:ascii="Arial" w:eastAsia="Arial" w:hAnsi="Arial" w:cs="Arial"/>
                <w:lang w:val="en-US"/>
              </w:rPr>
              <w:t>04/04</w:t>
            </w:r>
            <w:r w:rsidR="005E6B04">
              <w:rPr>
                <w:rFonts w:ascii="Arial" w:eastAsia="Arial" w:hAnsi="Arial" w:cs="Arial"/>
                <w:lang w:val="en-US"/>
              </w:rPr>
              <w:t>/1</w:t>
            </w:r>
            <w:r w:rsidR="00CC5467">
              <w:rPr>
                <w:rFonts w:ascii="Arial" w:eastAsia="Arial" w:hAnsi="Arial" w:cs="Arial"/>
                <w:lang w:val="en-US"/>
              </w:rPr>
              <w:t>7</w:t>
            </w:r>
          </w:p>
        </w:tc>
      </w:tr>
      <w:tr w:rsidR="00410A49" w:rsidRPr="00410A49" w:rsidTr="00410A49">
        <w:trPr>
          <w:trHeight w:hRule="exact" w:val="264"/>
        </w:trPr>
        <w:tc>
          <w:tcPr>
            <w:tcW w:w="1951" w:type="dxa"/>
            <w:tcBorders>
              <w:top w:val="single" w:sz="4" w:space="0" w:color="000000"/>
              <w:left w:val="single" w:sz="4" w:space="0" w:color="000000"/>
              <w:bottom w:val="single" w:sz="4" w:space="0" w:color="000000"/>
              <w:right w:val="single" w:sz="4" w:space="0" w:color="000000"/>
            </w:tcBorders>
          </w:tcPr>
          <w:p w:rsidR="00410A49" w:rsidRPr="00410A49" w:rsidRDefault="00410A49" w:rsidP="00410A49">
            <w:pPr>
              <w:widowControl w:val="0"/>
              <w:spacing w:after="0" w:line="250" w:lineRule="exact"/>
              <w:ind w:left="102" w:right="-20"/>
              <w:rPr>
                <w:rFonts w:ascii="Arial" w:eastAsia="Arial" w:hAnsi="Arial" w:cs="Arial"/>
                <w:lang w:val="en-US"/>
              </w:rPr>
            </w:pPr>
            <w:r w:rsidRPr="00410A49">
              <w:rPr>
                <w:rFonts w:ascii="Arial" w:eastAsia="Arial" w:hAnsi="Arial" w:cs="Arial"/>
                <w:spacing w:val="-1"/>
                <w:lang w:val="en-US"/>
              </w:rPr>
              <w:t>A</w:t>
            </w:r>
            <w:r w:rsidRPr="00410A49">
              <w:rPr>
                <w:rFonts w:ascii="Arial" w:eastAsia="Arial" w:hAnsi="Arial" w:cs="Arial"/>
                <w:lang w:val="en-US"/>
              </w:rPr>
              <w:t>u</w:t>
            </w:r>
            <w:r w:rsidRPr="00410A49">
              <w:rPr>
                <w:rFonts w:ascii="Arial" w:eastAsia="Arial" w:hAnsi="Arial" w:cs="Arial"/>
                <w:spacing w:val="1"/>
                <w:lang w:val="en-US"/>
              </w:rPr>
              <w:t>t</w:t>
            </w:r>
            <w:r w:rsidRPr="00410A49">
              <w:rPr>
                <w:rFonts w:ascii="Arial" w:eastAsia="Arial" w:hAnsi="Arial" w:cs="Arial"/>
                <w:lang w:val="en-US"/>
              </w:rPr>
              <w:t>ho</w:t>
            </w:r>
            <w:r w:rsidRPr="00410A49">
              <w:rPr>
                <w:rFonts w:ascii="Arial" w:eastAsia="Arial" w:hAnsi="Arial" w:cs="Arial"/>
                <w:spacing w:val="1"/>
                <w:lang w:val="en-US"/>
              </w:rPr>
              <w:t>r</w:t>
            </w:r>
            <w:r w:rsidRPr="00410A49">
              <w:rPr>
                <w:rFonts w:ascii="Arial" w:eastAsia="Arial" w:hAnsi="Arial" w:cs="Arial"/>
                <w:lang w:val="en-US"/>
              </w:rPr>
              <w:t>:</w:t>
            </w:r>
          </w:p>
        </w:tc>
        <w:tc>
          <w:tcPr>
            <w:tcW w:w="3970" w:type="dxa"/>
            <w:tcBorders>
              <w:top w:val="single" w:sz="4" w:space="0" w:color="000000"/>
              <w:left w:val="single" w:sz="4" w:space="0" w:color="000000"/>
              <w:bottom w:val="single" w:sz="4" w:space="0" w:color="000000"/>
              <w:right w:val="single" w:sz="4" w:space="0" w:color="000000"/>
            </w:tcBorders>
          </w:tcPr>
          <w:p w:rsidR="00410A49" w:rsidRPr="00410A49" w:rsidRDefault="00410A49" w:rsidP="00410A49">
            <w:pPr>
              <w:widowControl w:val="0"/>
              <w:spacing w:after="0" w:line="250" w:lineRule="exact"/>
              <w:ind w:left="102" w:right="-20"/>
              <w:rPr>
                <w:rFonts w:ascii="Arial" w:eastAsia="Arial" w:hAnsi="Arial" w:cs="Arial"/>
                <w:lang w:val="en-US"/>
              </w:rPr>
            </w:pPr>
            <w:r>
              <w:rPr>
                <w:rFonts w:ascii="Arial" w:eastAsia="Arial" w:hAnsi="Arial" w:cs="Arial"/>
                <w:spacing w:val="-1"/>
                <w:lang w:val="en-US"/>
              </w:rPr>
              <w:t>Janet Messer</w:t>
            </w:r>
          </w:p>
        </w:tc>
      </w:tr>
      <w:tr w:rsidR="00410A49" w:rsidRPr="00410A49" w:rsidTr="00410A49">
        <w:trPr>
          <w:trHeight w:hRule="exact" w:val="262"/>
        </w:trPr>
        <w:tc>
          <w:tcPr>
            <w:tcW w:w="1951" w:type="dxa"/>
            <w:tcBorders>
              <w:top w:val="single" w:sz="4" w:space="0" w:color="000000"/>
              <w:left w:val="single" w:sz="4" w:space="0" w:color="000000"/>
              <w:bottom w:val="single" w:sz="4" w:space="0" w:color="000000"/>
              <w:right w:val="single" w:sz="4" w:space="0" w:color="000000"/>
            </w:tcBorders>
          </w:tcPr>
          <w:p w:rsidR="00410A49" w:rsidRPr="00410A49" w:rsidRDefault="00410A49" w:rsidP="00410A49">
            <w:pPr>
              <w:widowControl w:val="0"/>
              <w:spacing w:after="0" w:line="250" w:lineRule="exact"/>
              <w:ind w:left="102" w:right="-20"/>
              <w:rPr>
                <w:rFonts w:ascii="Arial" w:eastAsia="Arial" w:hAnsi="Arial" w:cs="Arial"/>
                <w:lang w:val="en-US"/>
              </w:rPr>
            </w:pPr>
            <w:r w:rsidRPr="00410A49">
              <w:rPr>
                <w:rFonts w:ascii="Arial" w:eastAsia="Arial" w:hAnsi="Arial" w:cs="Arial"/>
                <w:spacing w:val="-1"/>
                <w:lang w:val="en-US"/>
              </w:rPr>
              <w:t>Si</w:t>
            </w:r>
            <w:r w:rsidRPr="00410A49">
              <w:rPr>
                <w:rFonts w:ascii="Arial" w:eastAsia="Arial" w:hAnsi="Arial" w:cs="Arial"/>
                <w:spacing w:val="2"/>
                <w:lang w:val="en-US"/>
              </w:rPr>
              <w:t>g</w:t>
            </w:r>
            <w:r w:rsidRPr="00410A49">
              <w:rPr>
                <w:rFonts w:ascii="Arial" w:eastAsia="Arial" w:hAnsi="Arial" w:cs="Arial"/>
                <w:lang w:val="en-US"/>
              </w:rPr>
              <w:t>n</w:t>
            </w:r>
            <w:r w:rsidRPr="00410A49">
              <w:rPr>
                <w:rFonts w:ascii="Arial" w:eastAsia="Arial" w:hAnsi="Arial" w:cs="Arial"/>
                <w:spacing w:val="1"/>
                <w:lang w:val="en-US"/>
              </w:rPr>
              <w:t>-</w:t>
            </w:r>
            <w:r w:rsidRPr="00410A49">
              <w:rPr>
                <w:rFonts w:ascii="Arial" w:eastAsia="Arial" w:hAnsi="Arial" w:cs="Arial"/>
                <w:spacing w:val="-3"/>
                <w:lang w:val="en-US"/>
              </w:rPr>
              <w:t>o</w:t>
            </w:r>
            <w:r w:rsidRPr="00410A49">
              <w:rPr>
                <w:rFonts w:ascii="Arial" w:eastAsia="Arial" w:hAnsi="Arial" w:cs="Arial"/>
                <w:spacing w:val="1"/>
                <w:lang w:val="en-US"/>
              </w:rPr>
              <w:t>f</w:t>
            </w:r>
            <w:r w:rsidRPr="00410A49">
              <w:rPr>
                <w:rFonts w:ascii="Arial" w:eastAsia="Arial" w:hAnsi="Arial" w:cs="Arial"/>
                <w:lang w:val="en-US"/>
              </w:rPr>
              <w:t>f</w:t>
            </w:r>
            <w:r w:rsidRPr="00410A49">
              <w:rPr>
                <w:rFonts w:ascii="Arial" w:eastAsia="Arial" w:hAnsi="Arial" w:cs="Arial"/>
                <w:spacing w:val="2"/>
                <w:lang w:val="en-US"/>
              </w:rPr>
              <w:t xml:space="preserve"> </w:t>
            </w:r>
            <w:r w:rsidRPr="00410A49">
              <w:rPr>
                <w:rFonts w:ascii="Arial" w:eastAsia="Arial" w:hAnsi="Arial" w:cs="Arial"/>
                <w:spacing w:val="-1"/>
                <w:lang w:val="en-US"/>
              </w:rPr>
              <w:t>A</w:t>
            </w:r>
            <w:r w:rsidRPr="00410A49">
              <w:rPr>
                <w:rFonts w:ascii="Arial" w:eastAsia="Arial" w:hAnsi="Arial" w:cs="Arial"/>
                <w:spacing w:val="-3"/>
                <w:lang w:val="en-US"/>
              </w:rPr>
              <w:t>u</w:t>
            </w:r>
            <w:r w:rsidRPr="00410A49">
              <w:rPr>
                <w:rFonts w:ascii="Arial" w:eastAsia="Arial" w:hAnsi="Arial" w:cs="Arial"/>
                <w:spacing w:val="1"/>
                <w:lang w:val="en-US"/>
              </w:rPr>
              <w:t>t</w:t>
            </w:r>
            <w:r w:rsidRPr="00410A49">
              <w:rPr>
                <w:rFonts w:ascii="Arial" w:eastAsia="Arial" w:hAnsi="Arial" w:cs="Arial"/>
                <w:lang w:val="en-US"/>
              </w:rPr>
              <w:t>ho</w:t>
            </w:r>
            <w:r w:rsidRPr="00410A49">
              <w:rPr>
                <w:rFonts w:ascii="Arial" w:eastAsia="Arial" w:hAnsi="Arial" w:cs="Arial"/>
                <w:spacing w:val="1"/>
                <w:lang w:val="en-US"/>
              </w:rPr>
              <w:t>r</w:t>
            </w:r>
            <w:r w:rsidRPr="00410A49">
              <w:rPr>
                <w:rFonts w:ascii="Arial" w:eastAsia="Arial" w:hAnsi="Arial" w:cs="Arial"/>
                <w:spacing w:val="-3"/>
                <w:lang w:val="en-US"/>
              </w:rPr>
              <w:t>i</w:t>
            </w:r>
            <w:r w:rsidRPr="00410A49">
              <w:rPr>
                <w:rFonts w:ascii="Arial" w:eastAsia="Arial" w:hAnsi="Arial" w:cs="Arial"/>
                <w:spacing w:val="1"/>
                <w:lang w:val="en-US"/>
              </w:rPr>
              <w:t>ty</w:t>
            </w:r>
          </w:p>
        </w:tc>
        <w:tc>
          <w:tcPr>
            <w:tcW w:w="3970" w:type="dxa"/>
            <w:tcBorders>
              <w:top w:val="single" w:sz="4" w:space="0" w:color="000000"/>
              <w:left w:val="single" w:sz="4" w:space="0" w:color="000000"/>
              <w:bottom w:val="single" w:sz="4" w:space="0" w:color="000000"/>
              <w:right w:val="single" w:sz="4" w:space="0" w:color="000000"/>
            </w:tcBorders>
          </w:tcPr>
          <w:p w:rsidR="00410A49" w:rsidRPr="00410A49" w:rsidRDefault="00410A49" w:rsidP="00024B07">
            <w:pPr>
              <w:widowControl w:val="0"/>
              <w:spacing w:after="0" w:line="250" w:lineRule="exact"/>
              <w:ind w:left="102" w:right="-20"/>
              <w:rPr>
                <w:rFonts w:ascii="Arial" w:eastAsia="Arial" w:hAnsi="Arial" w:cs="Arial"/>
                <w:lang w:val="en-US"/>
              </w:rPr>
            </w:pPr>
            <w:r w:rsidRPr="00410A49">
              <w:rPr>
                <w:rFonts w:ascii="Arial" w:eastAsia="Arial" w:hAnsi="Arial" w:cs="Arial"/>
                <w:lang w:val="en-US"/>
              </w:rPr>
              <w:t>Janet</w:t>
            </w:r>
            <w:r w:rsidRPr="00410A49">
              <w:rPr>
                <w:rFonts w:ascii="Arial" w:eastAsia="Arial" w:hAnsi="Arial" w:cs="Arial"/>
                <w:spacing w:val="-5"/>
                <w:lang w:val="en-US"/>
              </w:rPr>
              <w:t xml:space="preserve"> </w:t>
            </w:r>
            <w:r w:rsidR="00024B07">
              <w:rPr>
                <w:rFonts w:ascii="Arial" w:eastAsia="Arial" w:hAnsi="Arial" w:cs="Arial"/>
                <w:spacing w:val="8"/>
                <w:lang w:val="en-US"/>
              </w:rPr>
              <w:t>Messer</w:t>
            </w:r>
          </w:p>
        </w:tc>
      </w:tr>
      <w:tr w:rsidR="00410A49" w:rsidRPr="00410A49" w:rsidTr="00410A49">
        <w:trPr>
          <w:trHeight w:hRule="exact" w:val="264"/>
        </w:trPr>
        <w:tc>
          <w:tcPr>
            <w:tcW w:w="1951" w:type="dxa"/>
            <w:tcBorders>
              <w:top w:val="single" w:sz="4" w:space="0" w:color="000000"/>
              <w:left w:val="single" w:sz="4" w:space="0" w:color="000000"/>
              <w:bottom w:val="single" w:sz="4" w:space="0" w:color="000000"/>
              <w:right w:val="single" w:sz="4" w:space="0" w:color="000000"/>
            </w:tcBorders>
          </w:tcPr>
          <w:p w:rsidR="00410A49" w:rsidRPr="00410A49" w:rsidRDefault="00410A49" w:rsidP="00410A49">
            <w:pPr>
              <w:widowControl w:val="0"/>
              <w:spacing w:after="0" w:line="252" w:lineRule="exact"/>
              <w:ind w:left="102" w:right="-20"/>
              <w:rPr>
                <w:rFonts w:ascii="Arial" w:eastAsia="Arial" w:hAnsi="Arial" w:cs="Arial"/>
                <w:lang w:val="en-US"/>
              </w:rPr>
            </w:pPr>
            <w:r w:rsidRPr="00410A49">
              <w:rPr>
                <w:rFonts w:ascii="Arial" w:eastAsia="Arial" w:hAnsi="Arial" w:cs="Arial"/>
                <w:spacing w:val="-1"/>
                <w:lang w:val="en-US"/>
              </w:rPr>
              <w:t>S</w:t>
            </w:r>
            <w:r w:rsidRPr="00410A49">
              <w:rPr>
                <w:rFonts w:ascii="Arial" w:eastAsia="Arial" w:hAnsi="Arial" w:cs="Arial"/>
                <w:spacing w:val="1"/>
                <w:lang w:val="en-US"/>
              </w:rPr>
              <w:t>t</w:t>
            </w:r>
            <w:r w:rsidRPr="00410A49">
              <w:rPr>
                <w:rFonts w:ascii="Arial" w:eastAsia="Arial" w:hAnsi="Arial" w:cs="Arial"/>
                <w:lang w:val="en-US"/>
              </w:rPr>
              <w:t>a</w:t>
            </w:r>
            <w:r w:rsidRPr="00410A49">
              <w:rPr>
                <w:rFonts w:ascii="Arial" w:eastAsia="Arial" w:hAnsi="Arial" w:cs="Arial"/>
                <w:spacing w:val="1"/>
                <w:lang w:val="en-US"/>
              </w:rPr>
              <w:t>t</w:t>
            </w:r>
            <w:r w:rsidRPr="00410A49">
              <w:rPr>
                <w:rFonts w:ascii="Arial" w:eastAsia="Arial" w:hAnsi="Arial" w:cs="Arial"/>
                <w:lang w:val="en-US"/>
              </w:rPr>
              <w:t>u</w:t>
            </w:r>
            <w:r w:rsidRPr="00410A49">
              <w:rPr>
                <w:rFonts w:ascii="Arial" w:eastAsia="Arial" w:hAnsi="Arial" w:cs="Arial"/>
                <w:spacing w:val="-2"/>
                <w:lang w:val="en-US"/>
              </w:rPr>
              <w:t>s</w:t>
            </w:r>
            <w:r w:rsidRPr="00410A49">
              <w:rPr>
                <w:rFonts w:ascii="Arial" w:eastAsia="Arial" w:hAnsi="Arial" w:cs="Arial"/>
                <w:lang w:val="en-US"/>
              </w:rPr>
              <w:t>:</w:t>
            </w:r>
          </w:p>
        </w:tc>
        <w:tc>
          <w:tcPr>
            <w:tcW w:w="3970" w:type="dxa"/>
            <w:tcBorders>
              <w:top w:val="single" w:sz="4" w:space="0" w:color="000000"/>
              <w:left w:val="single" w:sz="4" w:space="0" w:color="000000"/>
              <w:bottom w:val="single" w:sz="4" w:space="0" w:color="000000"/>
              <w:right w:val="single" w:sz="4" w:space="0" w:color="000000"/>
            </w:tcBorders>
          </w:tcPr>
          <w:p w:rsidR="00410A49" w:rsidRPr="00410A49" w:rsidRDefault="00410A49" w:rsidP="00410A49">
            <w:pPr>
              <w:widowControl w:val="0"/>
              <w:spacing w:after="0" w:line="252" w:lineRule="exact"/>
              <w:ind w:left="102" w:right="-20"/>
              <w:rPr>
                <w:rFonts w:ascii="Arial" w:eastAsia="Arial" w:hAnsi="Arial" w:cs="Arial"/>
                <w:lang w:val="en-US"/>
              </w:rPr>
            </w:pPr>
            <w:r w:rsidRPr="00410A49">
              <w:rPr>
                <w:rFonts w:ascii="Arial" w:eastAsia="Arial" w:hAnsi="Arial" w:cs="Arial"/>
                <w:spacing w:val="-1"/>
                <w:lang w:val="en-US"/>
              </w:rPr>
              <w:t>R</w:t>
            </w:r>
            <w:r w:rsidRPr="00410A49">
              <w:rPr>
                <w:rFonts w:ascii="Arial" w:eastAsia="Arial" w:hAnsi="Arial" w:cs="Arial"/>
                <w:lang w:val="en-US"/>
              </w:rPr>
              <w:t>epo</w:t>
            </w:r>
            <w:r w:rsidRPr="00410A49">
              <w:rPr>
                <w:rFonts w:ascii="Arial" w:eastAsia="Arial" w:hAnsi="Arial" w:cs="Arial"/>
                <w:spacing w:val="1"/>
                <w:lang w:val="en-US"/>
              </w:rPr>
              <w:t>r</w:t>
            </w:r>
            <w:r w:rsidRPr="00410A49">
              <w:rPr>
                <w:rFonts w:ascii="Arial" w:eastAsia="Arial" w:hAnsi="Arial" w:cs="Arial"/>
                <w:lang w:val="en-US"/>
              </w:rPr>
              <w:t xml:space="preserve">t </w:t>
            </w:r>
            <w:r w:rsidRPr="00410A49">
              <w:rPr>
                <w:rFonts w:ascii="Arial" w:eastAsia="Arial" w:hAnsi="Arial" w:cs="Arial"/>
                <w:spacing w:val="1"/>
                <w:lang w:val="en-US"/>
              </w:rPr>
              <w:t>t</w:t>
            </w:r>
            <w:r w:rsidRPr="00410A49">
              <w:rPr>
                <w:rFonts w:ascii="Arial" w:eastAsia="Arial" w:hAnsi="Arial" w:cs="Arial"/>
                <w:lang w:val="en-US"/>
              </w:rPr>
              <w:t>o</w:t>
            </w:r>
            <w:r w:rsidR="00E118A3">
              <w:rPr>
                <w:rFonts w:ascii="Arial" w:eastAsia="Arial" w:hAnsi="Arial" w:cs="Arial"/>
                <w:spacing w:val="1"/>
                <w:lang w:val="en-US"/>
              </w:rPr>
              <w:t xml:space="preserve"> Programme </w:t>
            </w:r>
            <w:r w:rsidRPr="00410A49">
              <w:rPr>
                <w:rFonts w:ascii="Arial" w:eastAsia="Arial" w:hAnsi="Arial" w:cs="Arial"/>
                <w:spacing w:val="-1"/>
                <w:lang w:val="en-US"/>
              </w:rPr>
              <w:t>B</w:t>
            </w:r>
            <w:r w:rsidRPr="00410A49">
              <w:rPr>
                <w:rFonts w:ascii="Arial" w:eastAsia="Arial" w:hAnsi="Arial" w:cs="Arial"/>
                <w:lang w:val="en-US"/>
              </w:rPr>
              <w:t>o</w:t>
            </w:r>
            <w:r w:rsidRPr="00410A49">
              <w:rPr>
                <w:rFonts w:ascii="Arial" w:eastAsia="Arial" w:hAnsi="Arial" w:cs="Arial"/>
                <w:spacing w:val="-3"/>
                <w:lang w:val="en-US"/>
              </w:rPr>
              <w:t>a</w:t>
            </w:r>
            <w:r w:rsidRPr="00410A49">
              <w:rPr>
                <w:rFonts w:ascii="Arial" w:eastAsia="Arial" w:hAnsi="Arial" w:cs="Arial"/>
                <w:spacing w:val="1"/>
                <w:lang w:val="en-US"/>
              </w:rPr>
              <w:t>r</w:t>
            </w:r>
            <w:r w:rsidRPr="00410A49">
              <w:rPr>
                <w:rFonts w:ascii="Arial" w:eastAsia="Arial" w:hAnsi="Arial" w:cs="Arial"/>
                <w:lang w:val="en-US"/>
              </w:rPr>
              <w:t>d</w:t>
            </w:r>
          </w:p>
        </w:tc>
      </w:tr>
    </w:tbl>
    <w:p w:rsidR="00410A49" w:rsidRPr="00410A49" w:rsidRDefault="00410A49" w:rsidP="00410A49">
      <w:pPr>
        <w:widowControl w:val="0"/>
        <w:spacing w:after="0" w:line="200" w:lineRule="exact"/>
        <w:rPr>
          <w:rFonts w:ascii="Calibri" w:eastAsia="Calibri" w:hAnsi="Calibri" w:cs="Times New Roman"/>
          <w:sz w:val="20"/>
          <w:szCs w:val="20"/>
          <w:lang w:val="en-US"/>
        </w:rPr>
      </w:pPr>
    </w:p>
    <w:p w:rsidR="00410A49" w:rsidRPr="00410A49" w:rsidRDefault="00410A49" w:rsidP="00410A49">
      <w:pPr>
        <w:widowControl w:val="0"/>
        <w:spacing w:after="0" w:line="200" w:lineRule="exact"/>
        <w:rPr>
          <w:rFonts w:ascii="Calibri" w:eastAsia="Calibri" w:hAnsi="Calibri" w:cs="Times New Roman"/>
          <w:sz w:val="20"/>
          <w:szCs w:val="20"/>
          <w:lang w:val="en-US"/>
        </w:rPr>
      </w:pPr>
    </w:p>
    <w:p w:rsidR="00410A49" w:rsidRPr="00410A49" w:rsidRDefault="00410A49" w:rsidP="00410A49">
      <w:pPr>
        <w:widowControl w:val="0"/>
        <w:spacing w:after="0" w:line="200" w:lineRule="exact"/>
        <w:rPr>
          <w:rFonts w:ascii="Calibri" w:eastAsia="Calibri" w:hAnsi="Calibri" w:cs="Times New Roman"/>
          <w:sz w:val="20"/>
          <w:szCs w:val="20"/>
          <w:lang w:val="en-US"/>
        </w:rPr>
      </w:pPr>
    </w:p>
    <w:p w:rsidR="00410A49" w:rsidRPr="00410A49" w:rsidRDefault="00410A49" w:rsidP="00410A49">
      <w:pPr>
        <w:widowControl w:val="0"/>
        <w:spacing w:after="0" w:line="200" w:lineRule="exact"/>
        <w:rPr>
          <w:rFonts w:ascii="Calibri" w:eastAsia="Calibri" w:hAnsi="Calibri" w:cs="Times New Roman"/>
          <w:sz w:val="20"/>
          <w:szCs w:val="20"/>
          <w:lang w:val="en-US"/>
        </w:rPr>
      </w:pPr>
    </w:p>
    <w:p w:rsidR="00410A49" w:rsidRPr="00410A49" w:rsidRDefault="00410A49" w:rsidP="00410A49">
      <w:pPr>
        <w:widowControl w:val="0"/>
        <w:spacing w:after="0" w:line="200" w:lineRule="exact"/>
        <w:rPr>
          <w:rFonts w:ascii="Calibri" w:eastAsia="Calibri" w:hAnsi="Calibri" w:cs="Times New Roman"/>
          <w:sz w:val="20"/>
          <w:szCs w:val="20"/>
          <w:lang w:val="en-US"/>
        </w:rPr>
      </w:pPr>
    </w:p>
    <w:p w:rsidR="00410A49" w:rsidRPr="00410A49" w:rsidRDefault="00410A49" w:rsidP="00410A49">
      <w:pPr>
        <w:widowControl w:val="0"/>
        <w:spacing w:after="0"/>
        <w:rPr>
          <w:rFonts w:ascii="Calibri" w:eastAsia="Calibri" w:hAnsi="Calibri" w:cs="Times New Roman"/>
          <w:lang w:val="en-US"/>
        </w:rPr>
        <w:sectPr w:rsidR="00410A49" w:rsidRPr="00410A49" w:rsidSect="00D52859">
          <w:footerReference w:type="default" r:id="rId12"/>
          <w:pgSz w:w="11920" w:h="16840"/>
          <w:pgMar w:top="1100" w:right="820" w:bottom="280" w:left="920" w:header="720" w:footer="720" w:gutter="0"/>
          <w:pgNumType w:start="1"/>
          <w:cols w:space="720"/>
        </w:sectPr>
      </w:pPr>
    </w:p>
    <w:p w:rsidR="003C7F65" w:rsidRPr="000A5829" w:rsidRDefault="003C7F65" w:rsidP="000A5829">
      <w:pPr>
        <w:pStyle w:val="ListParagraph"/>
        <w:widowControl w:val="0"/>
        <w:numPr>
          <w:ilvl w:val="0"/>
          <w:numId w:val="3"/>
        </w:numPr>
        <w:spacing w:before="26" w:after="0" w:line="240" w:lineRule="auto"/>
        <w:ind w:left="567" w:right="-20" w:hanging="567"/>
        <w:rPr>
          <w:rFonts w:asciiTheme="majorHAnsi" w:hAnsiTheme="majorHAnsi"/>
          <w:b/>
          <w:color w:val="0070C0"/>
          <w:sz w:val="28"/>
          <w:szCs w:val="28"/>
        </w:rPr>
      </w:pPr>
      <w:r w:rsidRPr="000A5829">
        <w:rPr>
          <w:rFonts w:asciiTheme="majorHAnsi" w:hAnsiTheme="majorHAnsi"/>
          <w:b/>
          <w:color w:val="0070C0"/>
          <w:sz w:val="28"/>
          <w:szCs w:val="28"/>
        </w:rPr>
        <w:lastRenderedPageBreak/>
        <w:t>New applications to the HRA</w:t>
      </w:r>
    </w:p>
    <w:p w:rsidR="00C436B2" w:rsidRDefault="00C436B2" w:rsidP="001B7476">
      <w:pPr>
        <w:rPr>
          <w:sz w:val="24"/>
          <w:szCs w:val="24"/>
        </w:rPr>
      </w:pPr>
    </w:p>
    <w:p w:rsidR="00F02629" w:rsidRDefault="00F02629" w:rsidP="00F02629">
      <w:pPr>
        <w:rPr>
          <w:sz w:val="24"/>
          <w:szCs w:val="24"/>
        </w:rPr>
      </w:pPr>
      <w:r>
        <w:rPr>
          <w:sz w:val="24"/>
          <w:szCs w:val="24"/>
        </w:rPr>
        <w:t xml:space="preserve">Figure 1 shows the median timelines for Approval of </w:t>
      </w:r>
      <w:r w:rsidRPr="00DA16D6">
        <w:rPr>
          <w:sz w:val="24"/>
          <w:szCs w:val="24"/>
        </w:rPr>
        <w:t>different study types</w:t>
      </w:r>
      <w:r>
        <w:rPr>
          <w:sz w:val="24"/>
          <w:szCs w:val="24"/>
        </w:rPr>
        <w:t>, splitting out the time period to REC decision and the remaining time to issue HRA Approval</w:t>
      </w:r>
      <w:r w:rsidRPr="00DA16D6">
        <w:rPr>
          <w:sz w:val="24"/>
          <w:szCs w:val="24"/>
        </w:rPr>
        <w:t>. The REC decision</w:t>
      </w:r>
      <w:r w:rsidR="00AF76FA">
        <w:rPr>
          <w:sz w:val="24"/>
          <w:szCs w:val="24"/>
        </w:rPr>
        <w:t xml:space="preserve">, </w:t>
      </w:r>
      <w:r w:rsidR="00AF76FA" w:rsidRPr="00AF76FA">
        <w:t>for the purposes of HRA Approval</w:t>
      </w:r>
      <w:r w:rsidR="00AF76FA" w:rsidRPr="00AF76FA">
        <w:t>,</w:t>
      </w:r>
      <w:r w:rsidRPr="00AF76FA">
        <w:rPr>
          <w:sz w:val="24"/>
          <w:szCs w:val="24"/>
        </w:rPr>
        <w:t xml:space="preserve"> is defined </w:t>
      </w:r>
      <w:r w:rsidRPr="00DA16D6">
        <w:rPr>
          <w:sz w:val="24"/>
          <w:szCs w:val="24"/>
        </w:rPr>
        <w:t>as the date of the final REC output, which is either the date of the ‘Favourable Opinion Letter’ or the date on the ‘Further Information Favourable Opinion letter’ if there are no additional conditions, or the date the REC acknowledges that these conditions have been met. The start date is the date the application is valid for REC review</w:t>
      </w:r>
      <w:r>
        <w:rPr>
          <w:sz w:val="24"/>
          <w:szCs w:val="24"/>
        </w:rPr>
        <w:t xml:space="preserve"> (this does not necessarily mean that all documents for assessment are pres</w:t>
      </w:r>
      <w:bookmarkStart w:id="0" w:name="_GoBack"/>
      <w:bookmarkEnd w:id="0"/>
      <w:r>
        <w:rPr>
          <w:sz w:val="24"/>
          <w:szCs w:val="24"/>
        </w:rPr>
        <w:t>ent)</w:t>
      </w:r>
      <w:r w:rsidRPr="00DA16D6">
        <w:rPr>
          <w:sz w:val="24"/>
          <w:szCs w:val="24"/>
        </w:rPr>
        <w:t>, or for non-REC studies the da</w:t>
      </w:r>
      <w:r>
        <w:rPr>
          <w:sz w:val="24"/>
          <w:szCs w:val="24"/>
        </w:rPr>
        <w:t xml:space="preserve">te valid for assessment. </w:t>
      </w:r>
    </w:p>
    <w:p w:rsidR="00F02629" w:rsidRDefault="00F02629" w:rsidP="00F02629">
      <w:pPr>
        <w:rPr>
          <w:sz w:val="24"/>
          <w:szCs w:val="24"/>
        </w:rPr>
      </w:pPr>
      <w:r>
        <w:rPr>
          <w:sz w:val="24"/>
          <w:szCs w:val="24"/>
        </w:rPr>
        <w:t>The graph shows the range of timelines, in full elapsed days, showing the maximum time that has been taken due to applicant response time. The studies approved include some submitted in the initial roll-out period.</w:t>
      </w:r>
    </w:p>
    <w:p w:rsidR="00FC4031" w:rsidRDefault="00FC4031" w:rsidP="00FC4031">
      <w:pPr>
        <w:pStyle w:val="Caption"/>
        <w:keepNext/>
      </w:pPr>
      <w:r>
        <w:t xml:space="preserve">Figure 1: Median Timelines </w:t>
      </w:r>
      <w:r w:rsidR="00B832F3">
        <w:t xml:space="preserve">in calendar days </w:t>
      </w:r>
      <w:r>
        <w:t xml:space="preserve">for studies approved in </w:t>
      </w:r>
      <w:r w:rsidR="0027359C">
        <w:t>February</w:t>
      </w:r>
      <w:r w:rsidR="00B57912">
        <w:t xml:space="preserve"> </w:t>
      </w:r>
      <w:r w:rsidR="00AC250E">
        <w:t>2017</w:t>
      </w:r>
      <w:r w:rsidR="0027359C">
        <w:t xml:space="preserve"> compared to previous month.</w:t>
      </w:r>
    </w:p>
    <w:p w:rsidR="00BE25EB" w:rsidRPr="00BE25EB" w:rsidRDefault="0027359C" w:rsidP="00BE25EB">
      <w:r w:rsidRPr="00DF7D17">
        <w:rPr>
          <w:noProof/>
          <w:sz w:val="24"/>
          <w:szCs w:val="24"/>
          <w:lang w:eastAsia="en-GB"/>
        </w:rPr>
        <mc:AlternateContent>
          <mc:Choice Requires="wps">
            <w:drawing>
              <wp:anchor distT="0" distB="0" distL="114300" distR="114300" simplePos="0" relativeHeight="251725824" behindDoc="0" locked="0" layoutInCell="1" allowOverlap="1" wp14:anchorId="197412CC" wp14:editId="1501ECBC">
                <wp:simplePos x="0" y="0"/>
                <wp:positionH relativeFrom="column">
                  <wp:posOffset>4445</wp:posOffset>
                </wp:positionH>
                <wp:positionV relativeFrom="paragraph">
                  <wp:posOffset>4032250</wp:posOffset>
                </wp:positionV>
                <wp:extent cx="5762625" cy="51435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514350"/>
                        </a:xfrm>
                        <a:prstGeom prst="rect">
                          <a:avLst/>
                        </a:prstGeom>
                        <a:solidFill>
                          <a:srgbClr val="FFFFFF"/>
                        </a:solidFill>
                        <a:ln w="9525">
                          <a:solidFill>
                            <a:srgbClr val="000000"/>
                          </a:solidFill>
                          <a:miter lim="800000"/>
                          <a:headEnd/>
                          <a:tailEnd/>
                        </a:ln>
                      </wps:spPr>
                      <wps:txbx>
                        <w:txbxContent>
                          <w:p w:rsidR="00FC4031" w:rsidRPr="00BD6EA7" w:rsidRDefault="00FC4031" w:rsidP="00FC4031">
                            <w:pPr>
                              <w:rPr>
                                <w:i/>
                                <w:sz w:val="20"/>
                              </w:rPr>
                            </w:pPr>
                            <w:r w:rsidRPr="00BD6EA7">
                              <w:rPr>
                                <w:i/>
                                <w:sz w:val="20"/>
                              </w:rPr>
                              <w:t xml:space="preserve">Time to REC decision does not include the clock stop for provisional opinion. REC timelines are reported separately and remain </w:t>
                            </w:r>
                            <w:r w:rsidR="00BF6133" w:rsidRPr="00BD6EA7">
                              <w:rPr>
                                <w:i/>
                                <w:sz w:val="20"/>
                              </w:rPr>
                              <w:t>within the RES KPIs</w:t>
                            </w:r>
                            <w:r w:rsidR="00BD6EA7" w:rsidRPr="00BD6EA7">
                              <w:rPr>
                                <w:i/>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317.5pt;width:453.75pt;height:4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">
                <v:textbox>
                  <w:txbxContent>
                    <w:p w:rsidR="00FC4031" w:rsidRPr="00BD6EA7" w:rsidRDefault="00FC4031" w:rsidP="00FC4031">
                      <w:pPr>
                        <w:rPr>
                          <w:i/>
                          <w:sz w:val="20"/>
                        </w:rPr>
                      </w:pPr>
                      <w:r w:rsidRPr="00BD6EA7">
                        <w:rPr>
                          <w:i/>
                          <w:sz w:val="20"/>
                        </w:rPr>
                        <w:t xml:space="preserve">Time to REC decision does not include the clock stop for provisional opinion. REC timelines are reported separately and remain </w:t>
                      </w:r>
                      <w:r w:rsidR="00BF6133" w:rsidRPr="00BD6EA7">
                        <w:rPr>
                          <w:i/>
                          <w:sz w:val="20"/>
                        </w:rPr>
                        <w:t>within the RES KPIs</w:t>
                      </w:r>
                      <w:r w:rsidR="00BD6EA7" w:rsidRPr="00BD6EA7">
                        <w:rPr>
                          <w:i/>
                          <w:sz w:val="20"/>
                        </w:rPr>
                        <w:t>.</w:t>
                      </w:r>
                    </w:p>
                  </w:txbxContent>
                </v:textbox>
              </v:shape>
            </w:pict>
          </mc:Fallback>
        </mc:AlternateContent>
      </w:r>
      <w:r w:rsidR="002E11E6">
        <w:rPr>
          <w:noProof/>
          <w:lang w:eastAsia="en-GB"/>
        </w:rPr>
        <w:drawing>
          <wp:inline distT="0" distB="0" distL="0" distR="0" wp14:anchorId="05E3ACDC" wp14:editId="0A6B2F1E">
            <wp:extent cx="5759450" cy="4025760"/>
            <wp:effectExtent l="0" t="0" r="12700" b="133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C4031" w:rsidRDefault="00FC4031" w:rsidP="00FC4031">
      <w:pPr>
        <w:rPr>
          <w:sz w:val="24"/>
          <w:szCs w:val="24"/>
        </w:rPr>
      </w:pPr>
      <w:r w:rsidRPr="00464D6D">
        <w:rPr>
          <w:noProof/>
          <w:lang w:eastAsia="en-GB"/>
        </w:rPr>
        <w:t xml:space="preserve"> </w:t>
      </w:r>
    </w:p>
    <w:p w:rsidR="00FC4031" w:rsidRDefault="00FC4031" w:rsidP="00FC4031">
      <w:pPr>
        <w:rPr>
          <w:b/>
          <w:sz w:val="24"/>
          <w:szCs w:val="24"/>
        </w:rPr>
      </w:pPr>
    </w:p>
    <w:p w:rsidR="00F02629" w:rsidRDefault="00F02629" w:rsidP="00F02629">
      <w:pPr>
        <w:rPr>
          <w:sz w:val="24"/>
          <w:szCs w:val="24"/>
        </w:rPr>
      </w:pPr>
      <w:r>
        <w:rPr>
          <w:sz w:val="24"/>
          <w:szCs w:val="24"/>
        </w:rPr>
        <w:lastRenderedPageBreak/>
        <w:t>Figure 2</w:t>
      </w:r>
      <w:r w:rsidRPr="00C36581">
        <w:rPr>
          <w:sz w:val="24"/>
          <w:szCs w:val="24"/>
        </w:rPr>
        <w:t xml:space="preserve"> </w:t>
      </w:r>
      <w:r>
        <w:rPr>
          <w:sz w:val="24"/>
          <w:szCs w:val="24"/>
        </w:rPr>
        <w:t xml:space="preserve">shows how timelines for the time from REC final decision to HRA Approval have changed over time (from application to HRA for non-REC studies). </w:t>
      </w:r>
    </w:p>
    <w:p w:rsidR="00F02629" w:rsidRDefault="00F02629" w:rsidP="00F02629">
      <w:pPr>
        <w:rPr>
          <w:sz w:val="24"/>
          <w:szCs w:val="24"/>
        </w:rPr>
      </w:pPr>
      <w:r>
        <w:rPr>
          <w:sz w:val="24"/>
          <w:szCs w:val="24"/>
        </w:rPr>
        <w:t>The approval of studies that have been open for some time have caused a slight increase in the timelines for REC full review studies</w:t>
      </w:r>
      <w:r w:rsidR="006713A2">
        <w:rPr>
          <w:sz w:val="24"/>
          <w:szCs w:val="24"/>
        </w:rPr>
        <w:t xml:space="preserve"> in January</w:t>
      </w:r>
      <w:r>
        <w:rPr>
          <w:sz w:val="24"/>
          <w:szCs w:val="24"/>
        </w:rPr>
        <w:t xml:space="preserve">, as we concentrated on clearing those from the system. </w:t>
      </w:r>
      <w:r w:rsidR="006713A2">
        <w:rPr>
          <w:sz w:val="24"/>
          <w:szCs w:val="24"/>
        </w:rPr>
        <w:t xml:space="preserve"> February has </w:t>
      </w:r>
      <w:r w:rsidR="0026258A">
        <w:rPr>
          <w:sz w:val="24"/>
          <w:szCs w:val="24"/>
        </w:rPr>
        <w:t xml:space="preserve">subsequently </w:t>
      </w:r>
      <w:r w:rsidR="006713A2">
        <w:rPr>
          <w:sz w:val="24"/>
          <w:szCs w:val="24"/>
        </w:rPr>
        <w:t xml:space="preserve">seen a </w:t>
      </w:r>
      <w:r w:rsidR="0026258A">
        <w:rPr>
          <w:sz w:val="24"/>
          <w:szCs w:val="24"/>
        </w:rPr>
        <w:t xml:space="preserve">significant </w:t>
      </w:r>
      <w:r w:rsidR="006713A2">
        <w:rPr>
          <w:sz w:val="24"/>
          <w:szCs w:val="24"/>
        </w:rPr>
        <w:t xml:space="preserve">drop in timelines for all study types, </w:t>
      </w:r>
      <w:r w:rsidR="0026258A">
        <w:rPr>
          <w:sz w:val="24"/>
          <w:szCs w:val="24"/>
        </w:rPr>
        <w:t xml:space="preserve">reflecting the increasing focus on the front end of studies and </w:t>
      </w:r>
      <w:proofErr w:type="gramStart"/>
      <w:r w:rsidR="0026258A">
        <w:rPr>
          <w:sz w:val="24"/>
          <w:szCs w:val="24"/>
        </w:rPr>
        <w:t>progressing</w:t>
      </w:r>
      <w:proofErr w:type="gramEnd"/>
      <w:r w:rsidR="0026258A">
        <w:rPr>
          <w:sz w:val="24"/>
          <w:szCs w:val="24"/>
        </w:rPr>
        <w:t xml:space="preserve"> more activity in parallel with the REC review process. The additional </w:t>
      </w:r>
      <w:proofErr w:type="gramStart"/>
      <w:r w:rsidR="0026258A">
        <w:rPr>
          <w:sz w:val="24"/>
          <w:szCs w:val="24"/>
        </w:rPr>
        <w:t>staff brought in during January are</w:t>
      </w:r>
      <w:proofErr w:type="gramEnd"/>
      <w:r w:rsidR="0026258A">
        <w:rPr>
          <w:sz w:val="24"/>
          <w:szCs w:val="24"/>
        </w:rPr>
        <w:t xml:space="preserve"> also beginning to increase the capacity of the team.</w:t>
      </w:r>
      <w:r w:rsidR="006713A2">
        <w:rPr>
          <w:sz w:val="24"/>
          <w:szCs w:val="24"/>
        </w:rPr>
        <w:t xml:space="preserve"> </w:t>
      </w:r>
    </w:p>
    <w:p w:rsidR="00F02629" w:rsidRDefault="00F02629" w:rsidP="00F02629">
      <w:pPr>
        <w:rPr>
          <w:sz w:val="24"/>
          <w:szCs w:val="24"/>
        </w:rPr>
      </w:pPr>
      <w:r>
        <w:rPr>
          <w:sz w:val="24"/>
          <w:szCs w:val="24"/>
        </w:rPr>
        <w:t>This is elaborated in figure 8, which shows the distribution of open days and demonstrates a reduction in those studies open for a long</w:t>
      </w:r>
      <w:r w:rsidR="006713A2">
        <w:rPr>
          <w:sz w:val="24"/>
          <w:szCs w:val="24"/>
        </w:rPr>
        <w:t>er</w:t>
      </w:r>
      <w:r>
        <w:rPr>
          <w:sz w:val="24"/>
          <w:szCs w:val="24"/>
        </w:rPr>
        <w:t xml:space="preserve"> period</w:t>
      </w:r>
      <w:r w:rsidR="006713A2">
        <w:rPr>
          <w:sz w:val="24"/>
          <w:szCs w:val="24"/>
        </w:rPr>
        <w:t xml:space="preserve"> (41- 80 days) , and an increase in the 0-40 days range.</w:t>
      </w:r>
      <w:r>
        <w:rPr>
          <w:sz w:val="24"/>
          <w:szCs w:val="24"/>
        </w:rPr>
        <w:t xml:space="preserve"> </w:t>
      </w:r>
    </w:p>
    <w:p w:rsidR="00FC4031" w:rsidRDefault="00FC4031" w:rsidP="00FC4031">
      <w:pPr>
        <w:pStyle w:val="Caption"/>
        <w:keepNext/>
      </w:pPr>
      <w:r>
        <w:t xml:space="preserve">Figure 2: </w:t>
      </w:r>
      <w:r w:rsidRPr="002266C4">
        <w:t>HRA Approval Timelines</w:t>
      </w:r>
      <w:r w:rsidR="00B832F3">
        <w:t xml:space="preserve"> in Calendar days</w:t>
      </w:r>
      <w:r>
        <w:t xml:space="preserve"> from REC final decision to HRA Approval by month of Approval</w:t>
      </w:r>
    </w:p>
    <w:p w:rsidR="00BE25EB" w:rsidRDefault="002E11E6" w:rsidP="00BE25EB">
      <w:r>
        <w:rPr>
          <w:noProof/>
          <w:lang w:eastAsia="en-GB"/>
        </w:rPr>
        <w:drawing>
          <wp:inline distT="0" distB="0" distL="0" distR="0" wp14:anchorId="4CFB5868" wp14:editId="617B64B2">
            <wp:extent cx="5762625" cy="32861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02629" w:rsidRDefault="00F02629" w:rsidP="00F02629">
      <w:pPr>
        <w:rPr>
          <w:sz w:val="24"/>
          <w:szCs w:val="24"/>
        </w:rPr>
      </w:pPr>
      <w:r>
        <w:rPr>
          <w:sz w:val="24"/>
          <w:szCs w:val="24"/>
        </w:rPr>
        <w:t xml:space="preserve">Figure 3 shows numbers of initial assessment letters by month of issuing the letters, showing a further reduction in the time to issue the letter. </w:t>
      </w:r>
      <w:r w:rsidRPr="0037673E">
        <w:rPr>
          <w:sz w:val="24"/>
          <w:szCs w:val="24"/>
        </w:rPr>
        <w:t xml:space="preserve">There has been </w:t>
      </w:r>
      <w:r>
        <w:rPr>
          <w:sz w:val="24"/>
          <w:szCs w:val="24"/>
        </w:rPr>
        <w:t>an increasing focus on producing initial assessment letters in order to support parallel site set-up. The initial assessment letter is part of the local information pack provided by the sponsor to sites.</w:t>
      </w:r>
    </w:p>
    <w:p w:rsidR="00F02629" w:rsidRDefault="00F02629" w:rsidP="00F02629">
      <w:pPr>
        <w:rPr>
          <w:sz w:val="24"/>
          <w:szCs w:val="24"/>
        </w:rPr>
      </w:pPr>
      <w:r>
        <w:rPr>
          <w:sz w:val="24"/>
          <w:szCs w:val="24"/>
        </w:rPr>
        <w:t>Production of the letters continues to be hampered by the high percentage of applications missing key documents for assessment as shown in figure 4.</w:t>
      </w:r>
    </w:p>
    <w:p w:rsidR="00F02629" w:rsidRDefault="0026258A" w:rsidP="00F02629">
      <w:pPr>
        <w:rPr>
          <w:sz w:val="24"/>
          <w:szCs w:val="24"/>
        </w:rPr>
      </w:pPr>
      <w:r>
        <w:rPr>
          <w:sz w:val="24"/>
          <w:szCs w:val="24"/>
        </w:rPr>
        <w:t>Volumes of i</w:t>
      </w:r>
      <w:r w:rsidR="009420F5">
        <w:rPr>
          <w:sz w:val="24"/>
          <w:szCs w:val="24"/>
        </w:rPr>
        <w:t xml:space="preserve">nformation to REC </w:t>
      </w:r>
      <w:r>
        <w:rPr>
          <w:sz w:val="24"/>
          <w:szCs w:val="24"/>
        </w:rPr>
        <w:t>which had</w:t>
      </w:r>
      <w:r w:rsidR="009420F5">
        <w:rPr>
          <w:sz w:val="24"/>
          <w:szCs w:val="24"/>
        </w:rPr>
        <w:t xml:space="preserve"> seen a steady increase over the past 6 month, have slightly dropped off in February, this could be due to an overall decrease in Full REC valid submissions </w:t>
      </w:r>
      <w:r w:rsidR="00EE5C5C">
        <w:rPr>
          <w:sz w:val="24"/>
          <w:szCs w:val="24"/>
        </w:rPr>
        <w:t>made, along</w:t>
      </w:r>
      <w:r w:rsidR="009420F5">
        <w:rPr>
          <w:sz w:val="24"/>
          <w:szCs w:val="24"/>
        </w:rPr>
        <w:t xml:space="preserve"> with the </w:t>
      </w:r>
      <w:r w:rsidR="00F02629">
        <w:rPr>
          <w:sz w:val="24"/>
          <w:szCs w:val="24"/>
        </w:rPr>
        <w:t xml:space="preserve">time taken for applications to be valid for REC (often </w:t>
      </w:r>
      <w:r w:rsidR="00F02629">
        <w:rPr>
          <w:sz w:val="24"/>
          <w:szCs w:val="24"/>
        </w:rPr>
        <w:lastRenderedPageBreak/>
        <w:t>necessitating additional or revised documents)</w:t>
      </w:r>
      <w:r>
        <w:rPr>
          <w:sz w:val="24"/>
          <w:szCs w:val="24"/>
        </w:rPr>
        <w:t>, which</w:t>
      </w:r>
      <w:r w:rsidR="00F02629">
        <w:rPr>
          <w:sz w:val="24"/>
          <w:szCs w:val="24"/>
        </w:rPr>
        <w:t xml:space="preserve"> means that there is no time for the initial </w:t>
      </w:r>
      <w:r w:rsidR="009420F5">
        <w:rPr>
          <w:sz w:val="24"/>
          <w:szCs w:val="24"/>
        </w:rPr>
        <w:t xml:space="preserve">information to REC </w:t>
      </w:r>
      <w:r w:rsidR="00F02629">
        <w:rPr>
          <w:sz w:val="24"/>
          <w:szCs w:val="24"/>
        </w:rPr>
        <w:t xml:space="preserve">to be undertaken prior to the REC cut-off date. Therefore, even where </w:t>
      </w:r>
      <w:r w:rsidR="009420F5">
        <w:rPr>
          <w:sz w:val="24"/>
          <w:szCs w:val="24"/>
        </w:rPr>
        <w:t>information to REC</w:t>
      </w:r>
      <w:r w:rsidR="00F02629">
        <w:rPr>
          <w:sz w:val="24"/>
          <w:szCs w:val="24"/>
        </w:rPr>
        <w:t xml:space="preserve"> </w:t>
      </w:r>
      <w:r>
        <w:rPr>
          <w:sz w:val="24"/>
          <w:szCs w:val="24"/>
        </w:rPr>
        <w:t>is</w:t>
      </w:r>
      <w:r w:rsidR="00F02629">
        <w:rPr>
          <w:sz w:val="24"/>
          <w:szCs w:val="24"/>
        </w:rPr>
        <w:t xml:space="preserve"> produced, </w:t>
      </w:r>
      <w:r>
        <w:rPr>
          <w:sz w:val="24"/>
          <w:szCs w:val="24"/>
        </w:rPr>
        <w:t>it may not be reaching REC members in time</w:t>
      </w:r>
      <w:r w:rsidR="00F02629">
        <w:rPr>
          <w:sz w:val="24"/>
          <w:szCs w:val="24"/>
        </w:rPr>
        <w:t>.</w:t>
      </w:r>
    </w:p>
    <w:p w:rsidR="00FC4031" w:rsidRDefault="00FC4031" w:rsidP="00FC4031">
      <w:pPr>
        <w:pStyle w:val="Caption"/>
        <w:keepNext/>
      </w:pPr>
      <w:r>
        <w:t xml:space="preserve">Figure </w:t>
      </w:r>
      <w:r w:rsidR="007A0289">
        <w:t>3</w:t>
      </w:r>
      <w:r w:rsidR="00C50D71">
        <w:t>: N</w:t>
      </w:r>
      <w:r>
        <w:t>umber of initial assessments</w:t>
      </w:r>
      <w:r w:rsidR="0027359C">
        <w:t xml:space="preserve"> and information to REC</w:t>
      </w:r>
      <w:r>
        <w:t xml:space="preserve"> issued by month</w:t>
      </w:r>
    </w:p>
    <w:tbl>
      <w:tblPr>
        <w:tblW w:w="5000" w:type="pct"/>
        <w:tblLook w:val="04A0" w:firstRow="1" w:lastRow="0" w:firstColumn="1" w:lastColumn="0" w:noHBand="0" w:noVBand="1"/>
      </w:tblPr>
      <w:tblGrid>
        <w:gridCol w:w="1180"/>
        <w:gridCol w:w="1282"/>
        <w:gridCol w:w="1117"/>
        <w:gridCol w:w="1247"/>
        <w:gridCol w:w="1619"/>
        <w:gridCol w:w="1636"/>
        <w:gridCol w:w="1205"/>
      </w:tblGrid>
      <w:tr w:rsidR="0027359C" w:rsidRPr="00602851" w:rsidTr="002E11E6">
        <w:trPr>
          <w:trHeight w:val="1395"/>
        </w:trPr>
        <w:tc>
          <w:tcPr>
            <w:tcW w:w="642" w:type="pct"/>
            <w:tcBorders>
              <w:top w:val="single" w:sz="8" w:space="0" w:color="F79646"/>
              <w:left w:val="single" w:sz="8" w:space="0" w:color="F79646"/>
              <w:bottom w:val="nil"/>
              <w:right w:val="nil"/>
            </w:tcBorders>
            <w:shd w:val="clear" w:color="000000" w:fill="F79646"/>
            <w:vAlign w:val="center"/>
            <w:hideMark/>
          </w:tcPr>
          <w:p w:rsidR="0027359C" w:rsidRPr="00602851" w:rsidRDefault="0027359C" w:rsidP="00915EB2">
            <w:pPr>
              <w:spacing w:after="0" w:line="240" w:lineRule="auto"/>
              <w:jc w:val="center"/>
              <w:rPr>
                <w:rFonts w:ascii="Calibri" w:eastAsia="Times New Roman" w:hAnsi="Calibri" w:cs="Calibri"/>
                <w:b/>
                <w:bCs/>
                <w:color w:val="000000"/>
                <w:sz w:val="20"/>
                <w:lang w:eastAsia="en-GB"/>
              </w:rPr>
            </w:pPr>
            <w:r w:rsidRPr="00602851">
              <w:rPr>
                <w:rFonts w:ascii="Calibri" w:eastAsia="Times New Roman" w:hAnsi="Calibri" w:cs="Calibri"/>
                <w:b/>
                <w:bCs/>
                <w:color w:val="000000"/>
                <w:sz w:val="20"/>
                <w:lang w:eastAsia="en-GB"/>
              </w:rPr>
              <w:t>Month</w:t>
            </w:r>
          </w:p>
        </w:tc>
        <w:tc>
          <w:tcPr>
            <w:tcW w:w="698" w:type="pct"/>
            <w:tcBorders>
              <w:top w:val="single" w:sz="8" w:space="0" w:color="F79646"/>
              <w:left w:val="nil"/>
              <w:bottom w:val="nil"/>
              <w:right w:val="single" w:sz="8" w:space="0" w:color="F79646"/>
            </w:tcBorders>
            <w:shd w:val="clear" w:color="000000" w:fill="F79646"/>
            <w:vAlign w:val="center"/>
            <w:hideMark/>
          </w:tcPr>
          <w:p w:rsidR="0027359C" w:rsidRPr="00602851" w:rsidRDefault="0027359C" w:rsidP="00915EB2">
            <w:pPr>
              <w:spacing w:after="0" w:line="240" w:lineRule="auto"/>
              <w:jc w:val="center"/>
              <w:rPr>
                <w:rFonts w:ascii="Calibri" w:eastAsia="Times New Roman" w:hAnsi="Calibri" w:cs="Calibri"/>
                <w:b/>
                <w:bCs/>
                <w:i/>
                <w:iCs/>
                <w:color w:val="000000"/>
                <w:sz w:val="20"/>
                <w:lang w:eastAsia="en-GB"/>
              </w:rPr>
            </w:pPr>
            <w:r w:rsidRPr="00602851">
              <w:rPr>
                <w:rFonts w:ascii="Calibri" w:eastAsia="Times New Roman" w:hAnsi="Calibri" w:cs="Calibri"/>
                <w:b/>
                <w:bCs/>
                <w:i/>
                <w:iCs/>
                <w:color w:val="000000"/>
                <w:sz w:val="20"/>
                <w:lang w:eastAsia="en-GB"/>
              </w:rPr>
              <w:t>No.</w:t>
            </w:r>
            <w:r w:rsidRPr="00602851">
              <w:rPr>
                <w:rFonts w:ascii="Calibri" w:eastAsia="Times New Roman" w:hAnsi="Calibri" w:cs="Calibri"/>
                <w:b/>
                <w:bCs/>
                <w:color w:val="000000"/>
                <w:sz w:val="20"/>
                <w:lang w:eastAsia="en-GB"/>
              </w:rPr>
              <w:t xml:space="preserve"> Submissions </w:t>
            </w:r>
            <w:r w:rsidRPr="00602851">
              <w:rPr>
                <w:rFonts w:ascii="Calibri" w:eastAsia="Times New Roman" w:hAnsi="Calibri" w:cs="Calibri"/>
                <w:b/>
                <w:bCs/>
                <w:color w:val="000000"/>
                <w:sz w:val="20"/>
                <w:szCs w:val="18"/>
                <w:lang w:eastAsia="en-GB"/>
              </w:rPr>
              <w:t>[Valid Full REC]</w:t>
            </w:r>
          </w:p>
        </w:tc>
        <w:tc>
          <w:tcPr>
            <w:tcW w:w="607" w:type="pct"/>
            <w:tcBorders>
              <w:top w:val="nil"/>
              <w:left w:val="nil"/>
              <w:bottom w:val="nil"/>
              <w:right w:val="nil"/>
            </w:tcBorders>
            <w:shd w:val="clear" w:color="000000" w:fill="F79646"/>
            <w:vAlign w:val="center"/>
            <w:hideMark/>
          </w:tcPr>
          <w:p w:rsidR="0027359C" w:rsidRPr="00602851" w:rsidRDefault="0027359C" w:rsidP="00915EB2">
            <w:pPr>
              <w:spacing w:after="0" w:line="240" w:lineRule="auto"/>
              <w:jc w:val="center"/>
              <w:rPr>
                <w:rFonts w:ascii="Calibri" w:eastAsia="Times New Roman" w:hAnsi="Calibri" w:cs="Calibri"/>
                <w:b/>
                <w:bCs/>
                <w:i/>
                <w:iCs/>
                <w:color w:val="000000"/>
                <w:sz w:val="20"/>
                <w:lang w:eastAsia="en-GB"/>
              </w:rPr>
            </w:pPr>
            <w:r w:rsidRPr="00602851">
              <w:rPr>
                <w:rFonts w:ascii="Calibri" w:eastAsia="Times New Roman" w:hAnsi="Calibri" w:cs="Calibri"/>
                <w:b/>
                <w:bCs/>
                <w:i/>
                <w:iCs/>
                <w:color w:val="000000"/>
                <w:sz w:val="20"/>
                <w:lang w:eastAsia="en-GB"/>
              </w:rPr>
              <w:t>No.</w:t>
            </w:r>
            <w:r w:rsidRPr="00602851">
              <w:rPr>
                <w:rFonts w:ascii="Calibri" w:eastAsia="Times New Roman" w:hAnsi="Calibri" w:cs="Calibri"/>
                <w:b/>
                <w:bCs/>
                <w:color w:val="000000"/>
                <w:sz w:val="20"/>
                <w:lang w:eastAsia="en-GB"/>
              </w:rPr>
              <w:t xml:space="preserve"> of Info to REC sent </w:t>
            </w:r>
            <w:r w:rsidRPr="00602851">
              <w:rPr>
                <w:rFonts w:ascii="Calibri" w:eastAsia="Times New Roman" w:hAnsi="Calibri" w:cs="Calibri"/>
                <w:b/>
                <w:bCs/>
                <w:color w:val="000000"/>
                <w:sz w:val="20"/>
                <w:szCs w:val="18"/>
                <w:lang w:eastAsia="en-GB"/>
              </w:rPr>
              <w:t>[Full REC]</w:t>
            </w:r>
          </w:p>
        </w:tc>
        <w:tc>
          <w:tcPr>
            <w:tcW w:w="679" w:type="pct"/>
            <w:tcBorders>
              <w:top w:val="nil"/>
              <w:left w:val="nil"/>
              <w:bottom w:val="nil"/>
              <w:right w:val="nil"/>
            </w:tcBorders>
            <w:shd w:val="clear" w:color="000000" w:fill="E26B0A"/>
            <w:vAlign w:val="center"/>
            <w:hideMark/>
          </w:tcPr>
          <w:p w:rsidR="0027359C" w:rsidRPr="00602851" w:rsidRDefault="0027359C" w:rsidP="00915EB2">
            <w:pPr>
              <w:spacing w:after="0" w:line="240" w:lineRule="auto"/>
              <w:jc w:val="center"/>
              <w:rPr>
                <w:rFonts w:ascii="Calibri" w:eastAsia="Times New Roman" w:hAnsi="Calibri" w:cs="Calibri"/>
                <w:b/>
                <w:bCs/>
                <w:i/>
                <w:iCs/>
                <w:color w:val="000000"/>
                <w:sz w:val="20"/>
                <w:lang w:eastAsia="en-GB"/>
              </w:rPr>
            </w:pPr>
            <w:r w:rsidRPr="00602851">
              <w:rPr>
                <w:rFonts w:ascii="Calibri" w:eastAsia="Times New Roman" w:hAnsi="Calibri" w:cs="Calibri"/>
                <w:b/>
                <w:bCs/>
                <w:i/>
                <w:iCs/>
                <w:color w:val="000000"/>
                <w:sz w:val="20"/>
                <w:lang w:eastAsia="en-GB"/>
              </w:rPr>
              <w:t xml:space="preserve">Info to REC Median days </w:t>
            </w:r>
            <w:r w:rsidRPr="00602851">
              <w:rPr>
                <w:rFonts w:ascii="Calibri" w:eastAsia="Times New Roman" w:hAnsi="Calibri" w:cs="Calibri"/>
                <w:b/>
                <w:bCs/>
                <w:i/>
                <w:iCs/>
                <w:color w:val="000000"/>
                <w:sz w:val="20"/>
                <w:szCs w:val="18"/>
                <w:lang w:eastAsia="en-GB"/>
              </w:rPr>
              <w:t>[Full REC]</w:t>
            </w:r>
          </w:p>
        </w:tc>
        <w:tc>
          <w:tcPr>
            <w:tcW w:w="884" w:type="pct"/>
            <w:tcBorders>
              <w:top w:val="single" w:sz="8" w:space="0" w:color="F79646"/>
              <w:left w:val="nil"/>
              <w:bottom w:val="nil"/>
              <w:right w:val="single" w:sz="8" w:space="0" w:color="F79646"/>
            </w:tcBorders>
            <w:shd w:val="clear" w:color="000000" w:fill="F79646"/>
            <w:vAlign w:val="center"/>
            <w:hideMark/>
          </w:tcPr>
          <w:p w:rsidR="0027359C" w:rsidRPr="00602851" w:rsidRDefault="0027359C" w:rsidP="00915EB2">
            <w:pPr>
              <w:spacing w:after="0" w:line="240" w:lineRule="auto"/>
              <w:jc w:val="center"/>
              <w:rPr>
                <w:rFonts w:ascii="Calibri" w:eastAsia="Times New Roman" w:hAnsi="Calibri" w:cs="Calibri"/>
                <w:b/>
                <w:bCs/>
                <w:i/>
                <w:iCs/>
                <w:color w:val="000000"/>
                <w:sz w:val="20"/>
                <w:lang w:eastAsia="en-GB"/>
              </w:rPr>
            </w:pPr>
            <w:r w:rsidRPr="00602851">
              <w:rPr>
                <w:rFonts w:ascii="Calibri" w:eastAsia="Times New Roman" w:hAnsi="Calibri" w:cs="Calibri"/>
                <w:b/>
                <w:bCs/>
                <w:i/>
                <w:iCs/>
                <w:color w:val="000000"/>
                <w:sz w:val="20"/>
                <w:lang w:eastAsia="en-GB"/>
              </w:rPr>
              <w:t>No.</w:t>
            </w:r>
            <w:r w:rsidRPr="00602851">
              <w:rPr>
                <w:rFonts w:ascii="Calibri" w:eastAsia="Times New Roman" w:hAnsi="Calibri" w:cs="Calibri"/>
                <w:b/>
                <w:bCs/>
                <w:color w:val="000000"/>
                <w:sz w:val="20"/>
                <w:lang w:eastAsia="en-GB"/>
              </w:rPr>
              <w:t xml:space="preserve"> Submissions </w:t>
            </w:r>
            <w:r w:rsidRPr="00602851">
              <w:rPr>
                <w:rFonts w:ascii="Calibri" w:eastAsia="Times New Roman" w:hAnsi="Calibri" w:cs="Calibri"/>
                <w:b/>
                <w:bCs/>
                <w:color w:val="000000"/>
                <w:sz w:val="20"/>
                <w:szCs w:val="18"/>
                <w:lang w:eastAsia="en-GB"/>
              </w:rPr>
              <w:t>[Valid for REC (all RECS) or HRA(non-rec)]</w:t>
            </w:r>
          </w:p>
        </w:tc>
        <w:tc>
          <w:tcPr>
            <w:tcW w:w="894" w:type="pct"/>
            <w:tcBorders>
              <w:top w:val="single" w:sz="8" w:space="0" w:color="F79646"/>
              <w:left w:val="nil"/>
              <w:bottom w:val="nil"/>
              <w:right w:val="single" w:sz="8" w:space="0" w:color="F79646"/>
            </w:tcBorders>
            <w:shd w:val="clear" w:color="000000" w:fill="F79646"/>
            <w:vAlign w:val="center"/>
            <w:hideMark/>
          </w:tcPr>
          <w:p w:rsidR="0027359C" w:rsidRPr="00602851" w:rsidRDefault="0027359C" w:rsidP="00915EB2">
            <w:pPr>
              <w:spacing w:after="0" w:line="240" w:lineRule="auto"/>
              <w:jc w:val="center"/>
              <w:rPr>
                <w:rFonts w:ascii="Calibri" w:eastAsia="Times New Roman" w:hAnsi="Calibri" w:cs="Calibri"/>
                <w:b/>
                <w:bCs/>
                <w:i/>
                <w:iCs/>
                <w:color w:val="000000"/>
                <w:sz w:val="20"/>
                <w:lang w:eastAsia="en-GB"/>
              </w:rPr>
            </w:pPr>
            <w:r w:rsidRPr="00602851">
              <w:rPr>
                <w:rFonts w:ascii="Calibri" w:eastAsia="Times New Roman" w:hAnsi="Calibri" w:cs="Calibri"/>
                <w:b/>
                <w:bCs/>
                <w:i/>
                <w:iCs/>
                <w:color w:val="000000"/>
                <w:sz w:val="20"/>
                <w:lang w:eastAsia="en-GB"/>
              </w:rPr>
              <w:t>No.</w:t>
            </w:r>
            <w:r w:rsidRPr="00602851">
              <w:rPr>
                <w:rFonts w:ascii="Calibri" w:eastAsia="Times New Roman" w:hAnsi="Calibri" w:cs="Calibri"/>
                <w:b/>
                <w:bCs/>
                <w:color w:val="000000"/>
                <w:sz w:val="20"/>
                <w:lang w:eastAsia="en-GB"/>
              </w:rPr>
              <w:t xml:space="preserve"> of All IA letters sent</w:t>
            </w:r>
            <w:r w:rsidRPr="00602851">
              <w:rPr>
                <w:rFonts w:ascii="Calibri" w:eastAsia="Times New Roman" w:hAnsi="Calibri" w:cs="Calibri"/>
                <w:b/>
                <w:bCs/>
                <w:color w:val="000000"/>
                <w:sz w:val="20"/>
                <w:szCs w:val="18"/>
                <w:lang w:eastAsia="en-GB"/>
              </w:rPr>
              <w:t xml:space="preserve"> [All submissions]</w:t>
            </w:r>
          </w:p>
        </w:tc>
        <w:tc>
          <w:tcPr>
            <w:tcW w:w="596" w:type="pct"/>
            <w:tcBorders>
              <w:top w:val="nil"/>
              <w:left w:val="nil"/>
              <w:bottom w:val="nil"/>
              <w:right w:val="nil"/>
            </w:tcBorders>
            <w:shd w:val="clear" w:color="000000" w:fill="E26B0A"/>
            <w:vAlign w:val="center"/>
            <w:hideMark/>
          </w:tcPr>
          <w:p w:rsidR="0027359C" w:rsidRPr="00602851" w:rsidRDefault="0027359C" w:rsidP="00915EB2">
            <w:pPr>
              <w:spacing w:after="0" w:line="240" w:lineRule="auto"/>
              <w:jc w:val="center"/>
              <w:rPr>
                <w:rFonts w:ascii="Calibri" w:eastAsia="Times New Roman" w:hAnsi="Calibri" w:cs="Calibri"/>
                <w:b/>
                <w:bCs/>
                <w:color w:val="000000"/>
                <w:sz w:val="20"/>
                <w:lang w:eastAsia="en-GB"/>
              </w:rPr>
            </w:pPr>
            <w:r w:rsidRPr="00602851">
              <w:rPr>
                <w:rFonts w:ascii="Calibri" w:eastAsia="Times New Roman" w:hAnsi="Calibri" w:cs="Calibri"/>
                <w:b/>
                <w:bCs/>
                <w:i/>
                <w:iCs/>
                <w:color w:val="000000"/>
                <w:sz w:val="20"/>
                <w:lang w:eastAsia="en-GB"/>
              </w:rPr>
              <w:t>IAL</w:t>
            </w:r>
            <w:r w:rsidRPr="00602851">
              <w:rPr>
                <w:rFonts w:ascii="Calibri" w:eastAsia="Times New Roman" w:hAnsi="Calibri" w:cs="Calibri"/>
                <w:b/>
                <w:bCs/>
                <w:color w:val="000000"/>
                <w:sz w:val="20"/>
                <w:lang w:eastAsia="en-GB"/>
              </w:rPr>
              <w:t xml:space="preserve"> Median days   </w:t>
            </w:r>
            <w:r w:rsidRPr="00602851">
              <w:rPr>
                <w:rFonts w:ascii="Calibri" w:eastAsia="Times New Roman" w:hAnsi="Calibri" w:cs="Calibri"/>
                <w:b/>
                <w:bCs/>
                <w:color w:val="000000"/>
                <w:sz w:val="20"/>
                <w:szCs w:val="18"/>
                <w:lang w:eastAsia="en-GB"/>
              </w:rPr>
              <w:t>[All submissions]</w:t>
            </w:r>
          </w:p>
        </w:tc>
      </w:tr>
      <w:tr w:rsidR="002E11E6" w:rsidRPr="002F1183" w:rsidTr="002E11E6">
        <w:trPr>
          <w:trHeight w:val="315"/>
        </w:trPr>
        <w:tc>
          <w:tcPr>
            <w:tcW w:w="642" w:type="pct"/>
            <w:tcBorders>
              <w:top w:val="single" w:sz="8" w:space="0" w:color="F79646"/>
              <w:left w:val="single" w:sz="8" w:space="0" w:color="F79646"/>
              <w:bottom w:val="single" w:sz="8" w:space="0" w:color="F79646"/>
              <w:right w:val="nil"/>
            </w:tcBorders>
            <w:shd w:val="clear" w:color="auto" w:fill="auto"/>
            <w:noWrap/>
            <w:vAlign w:val="center"/>
            <w:hideMark/>
          </w:tcPr>
          <w:p w:rsidR="002E11E6" w:rsidRPr="002F1183" w:rsidRDefault="002E11E6" w:rsidP="00915EB2">
            <w:pPr>
              <w:spacing w:after="0" w:line="240" w:lineRule="auto"/>
              <w:rPr>
                <w:rFonts w:ascii="Calibri" w:eastAsia="Times New Roman" w:hAnsi="Calibri" w:cs="Calibri"/>
                <w:b/>
                <w:bCs/>
                <w:color w:val="000000"/>
                <w:lang w:eastAsia="en-GB"/>
              </w:rPr>
            </w:pPr>
            <w:r>
              <w:rPr>
                <w:rFonts w:ascii="Calibri" w:hAnsi="Calibri" w:cs="Calibri"/>
                <w:b/>
                <w:bCs/>
                <w:color w:val="000000"/>
              </w:rPr>
              <w:t>April</w:t>
            </w:r>
          </w:p>
        </w:tc>
        <w:tc>
          <w:tcPr>
            <w:tcW w:w="698" w:type="pct"/>
            <w:tcBorders>
              <w:top w:val="single" w:sz="8" w:space="0" w:color="F79646"/>
              <w:left w:val="single" w:sz="8" w:space="0" w:color="F79646"/>
              <w:bottom w:val="single" w:sz="8" w:space="0" w:color="F79646"/>
              <w:right w:val="single" w:sz="8" w:space="0" w:color="F79646"/>
            </w:tcBorders>
            <w:shd w:val="clear" w:color="auto" w:fill="auto"/>
            <w:noWrap/>
            <w:vAlign w:val="center"/>
            <w:hideMark/>
          </w:tcPr>
          <w:p w:rsidR="002E11E6" w:rsidRPr="002F1183" w:rsidRDefault="002E11E6" w:rsidP="00915EB2">
            <w:pPr>
              <w:spacing w:after="0" w:line="240" w:lineRule="auto"/>
              <w:jc w:val="center"/>
              <w:rPr>
                <w:rFonts w:ascii="Calibri" w:eastAsia="Times New Roman" w:hAnsi="Calibri" w:cs="Calibri"/>
                <w:color w:val="000000"/>
                <w:lang w:eastAsia="en-GB"/>
              </w:rPr>
            </w:pPr>
            <w:r>
              <w:rPr>
                <w:rFonts w:ascii="Calibri" w:hAnsi="Calibri" w:cs="Calibri"/>
                <w:color w:val="000000"/>
              </w:rPr>
              <w:t>234</w:t>
            </w:r>
          </w:p>
        </w:tc>
        <w:tc>
          <w:tcPr>
            <w:tcW w:w="607" w:type="pct"/>
            <w:tcBorders>
              <w:top w:val="single" w:sz="8" w:space="0" w:color="F79646"/>
              <w:left w:val="nil"/>
              <w:bottom w:val="single" w:sz="8" w:space="0" w:color="F79646"/>
              <w:right w:val="single" w:sz="8" w:space="0" w:color="F79646"/>
            </w:tcBorders>
            <w:shd w:val="clear" w:color="auto" w:fill="auto"/>
            <w:noWrap/>
            <w:vAlign w:val="center"/>
            <w:hideMark/>
          </w:tcPr>
          <w:p w:rsidR="002E11E6" w:rsidRPr="002F1183" w:rsidRDefault="002E11E6" w:rsidP="00915EB2">
            <w:pPr>
              <w:spacing w:after="0" w:line="240" w:lineRule="auto"/>
              <w:jc w:val="center"/>
              <w:rPr>
                <w:rFonts w:ascii="Calibri" w:eastAsia="Times New Roman" w:hAnsi="Calibri" w:cs="Calibri"/>
                <w:color w:val="000000"/>
                <w:lang w:eastAsia="en-GB"/>
              </w:rPr>
            </w:pPr>
            <w:r>
              <w:rPr>
                <w:rFonts w:ascii="Calibri" w:hAnsi="Calibri" w:cs="Calibri"/>
                <w:color w:val="000000"/>
              </w:rPr>
              <w:t>52</w:t>
            </w:r>
          </w:p>
        </w:tc>
        <w:tc>
          <w:tcPr>
            <w:tcW w:w="679" w:type="pct"/>
            <w:tcBorders>
              <w:top w:val="single" w:sz="8" w:space="0" w:color="F79646"/>
              <w:left w:val="nil"/>
              <w:bottom w:val="single" w:sz="8" w:space="0" w:color="F79646"/>
              <w:right w:val="single" w:sz="8" w:space="0" w:color="F79646"/>
            </w:tcBorders>
            <w:shd w:val="clear" w:color="auto" w:fill="auto"/>
            <w:noWrap/>
            <w:vAlign w:val="center"/>
            <w:hideMark/>
          </w:tcPr>
          <w:p w:rsidR="002E11E6" w:rsidRPr="002F1183" w:rsidRDefault="002E11E6" w:rsidP="00915EB2">
            <w:pPr>
              <w:spacing w:after="0" w:line="240" w:lineRule="auto"/>
              <w:jc w:val="center"/>
              <w:rPr>
                <w:rFonts w:ascii="Calibri" w:eastAsia="Times New Roman" w:hAnsi="Calibri" w:cs="Calibri"/>
                <w:color w:val="000000"/>
                <w:lang w:eastAsia="en-GB"/>
              </w:rPr>
            </w:pPr>
            <w:r>
              <w:rPr>
                <w:rFonts w:ascii="Calibri" w:hAnsi="Calibri" w:cs="Calibri"/>
                <w:color w:val="000000"/>
              </w:rPr>
              <w:t>13.5</w:t>
            </w:r>
          </w:p>
        </w:tc>
        <w:tc>
          <w:tcPr>
            <w:tcW w:w="884" w:type="pct"/>
            <w:tcBorders>
              <w:top w:val="single" w:sz="8" w:space="0" w:color="F79646"/>
              <w:left w:val="nil"/>
              <w:bottom w:val="single" w:sz="8" w:space="0" w:color="F79646"/>
              <w:right w:val="single" w:sz="8" w:space="0" w:color="F79646"/>
            </w:tcBorders>
            <w:shd w:val="clear" w:color="auto" w:fill="auto"/>
            <w:noWrap/>
            <w:vAlign w:val="center"/>
            <w:hideMark/>
          </w:tcPr>
          <w:p w:rsidR="002E11E6" w:rsidRPr="002F1183" w:rsidRDefault="002E11E6" w:rsidP="00915EB2">
            <w:pPr>
              <w:spacing w:after="0" w:line="240" w:lineRule="auto"/>
              <w:jc w:val="center"/>
              <w:rPr>
                <w:rFonts w:ascii="Calibri" w:eastAsia="Times New Roman" w:hAnsi="Calibri" w:cs="Calibri"/>
                <w:color w:val="000000"/>
                <w:lang w:eastAsia="en-GB"/>
              </w:rPr>
            </w:pPr>
            <w:r>
              <w:rPr>
                <w:rFonts w:ascii="Calibri" w:hAnsi="Calibri" w:cs="Calibri"/>
                <w:color w:val="000000"/>
              </w:rPr>
              <w:t>383</w:t>
            </w:r>
          </w:p>
        </w:tc>
        <w:tc>
          <w:tcPr>
            <w:tcW w:w="894" w:type="pct"/>
            <w:tcBorders>
              <w:top w:val="single" w:sz="8" w:space="0" w:color="F79646"/>
              <w:left w:val="nil"/>
              <w:bottom w:val="single" w:sz="8" w:space="0" w:color="F79646"/>
              <w:right w:val="single" w:sz="8" w:space="0" w:color="F79646"/>
            </w:tcBorders>
            <w:shd w:val="clear" w:color="auto" w:fill="auto"/>
            <w:noWrap/>
            <w:vAlign w:val="center"/>
            <w:hideMark/>
          </w:tcPr>
          <w:p w:rsidR="002E11E6" w:rsidRPr="002F1183" w:rsidRDefault="002E11E6" w:rsidP="00915EB2">
            <w:pPr>
              <w:spacing w:after="0" w:line="240" w:lineRule="auto"/>
              <w:jc w:val="center"/>
              <w:rPr>
                <w:rFonts w:ascii="Calibri" w:eastAsia="Times New Roman" w:hAnsi="Calibri" w:cs="Calibri"/>
                <w:color w:val="000000"/>
                <w:lang w:eastAsia="en-GB"/>
              </w:rPr>
            </w:pPr>
            <w:r>
              <w:rPr>
                <w:rFonts w:ascii="Calibri" w:hAnsi="Calibri" w:cs="Calibri"/>
                <w:color w:val="000000"/>
              </w:rPr>
              <w:t>35</w:t>
            </w:r>
          </w:p>
        </w:tc>
        <w:tc>
          <w:tcPr>
            <w:tcW w:w="596" w:type="pct"/>
            <w:tcBorders>
              <w:top w:val="single" w:sz="8" w:space="0" w:color="F79646"/>
              <w:left w:val="nil"/>
              <w:bottom w:val="single" w:sz="8" w:space="0" w:color="F79646"/>
              <w:right w:val="single" w:sz="8" w:space="0" w:color="F79646"/>
            </w:tcBorders>
            <w:shd w:val="clear" w:color="auto" w:fill="auto"/>
            <w:noWrap/>
            <w:vAlign w:val="center"/>
            <w:hideMark/>
          </w:tcPr>
          <w:p w:rsidR="002E11E6" w:rsidRPr="002F1183" w:rsidRDefault="002E11E6" w:rsidP="00915EB2">
            <w:pPr>
              <w:spacing w:after="0" w:line="240" w:lineRule="auto"/>
              <w:jc w:val="center"/>
              <w:rPr>
                <w:rFonts w:ascii="Calibri" w:eastAsia="Times New Roman" w:hAnsi="Calibri" w:cs="Calibri"/>
                <w:color w:val="000000"/>
                <w:lang w:eastAsia="en-GB"/>
              </w:rPr>
            </w:pPr>
            <w:r>
              <w:rPr>
                <w:rFonts w:ascii="Calibri" w:hAnsi="Calibri" w:cs="Calibri"/>
                <w:color w:val="000000"/>
              </w:rPr>
              <w:t>26</w:t>
            </w:r>
          </w:p>
        </w:tc>
      </w:tr>
      <w:tr w:rsidR="002E11E6" w:rsidRPr="002F1183" w:rsidTr="002E11E6">
        <w:trPr>
          <w:trHeight w:val="315"/>
        </w:trPr>
        <w:tc>
          <w:tcPr>
            <w:tcW w:w="642" w:type="pct"/>
            <w:tcBorders>
              <w:top w:val="nil"/>
              <w:left w:val="single" w:sz="8" w:space="0" w:color="F79646"/>
              <w:bottom w:val="nil"/>
              <w:right w:val="nil"/>
            </w:tcBorders>
            <w:shd w:val="clear" w:color="auto" w:fill="auto"/>
            <w:noWrap/>
            <w:vAlign w:val="center"/>
            <w:hideMark/>
          </w:tcPr>
          <w:p w:rsidR="002E11E6" w:rsidRPr="002F1183" w:rsidRDefault="002E11E6" w:rsidP="00915EB2">
            <w:pPr>
              <w:spacing w:after="0" w:line="240" w:lineRule="auto"/>
              <w:rPr>
                <w:rFonts w:ascii="Calibri" w:eastAsia="Times New Roman" w:hAnsi="Calibri" w:cs="Calibri"/>
                <w:b/>
                <w:bCs/>
                <w:color w:val="000000"/>
                <w:lang w:eastAsia="en-GB"/>
              </w:rPr>
            </w:pPr>
            <w:r>
              <w:rPr>
                <w:rFonts w:ascii="Calibri" w:hAnsi="Calibri" w:cs="Calibri"/>
                <w:b/>
                <w:bCs/>
                <w:color w:val="000000"/>
              </w:rPr>
              <w:t>May</w:t>
            </w:r>
          </w:p>
        </w:tc>
        <w:tc>
          <w:tcPr>
            <w:tcW w:w="698" w:type="pct"/>
            <w:tcBorders>
              <w:top w:val="nil"/>
              <w:left w:val="single" w:sz="8" w:space="0" w:color="F79646"/>
              <w:bottom w:val="single" w:sz="8" w:space="0" w:color="F79646"/>
              <w:right w:val="single" w:sz="8" w:space="0" w:color="F79646"/>
            </w:tcBorders>
            <w:shd w:val="clear" w:color="auto" w:fill="auto"/>
            <w:noWrap/>
            <w:vAlign w:val="center"/>
            <w:hideMark/>
          </w:tcPr>
          <w:p w:rsidR="002E11E6" w:rsidRPr="002F1183" w:rsidRDefault="002E11E6" w:rsidP="00915EB2">
            <w:pPr>
              <w:spacing w:after="0" w:line="240" w:lineRule="auto"/>
              <w:jc w:val="center"/>
              <w:rPr>
                <w:rFonts w:ascii="Calibri" w:eastAsia="Times New Roman" w:hAnsi="Calibri" w:cs="Calibri"/>
                <w:color w:val="000000"/>
                <w:lang w:eastAsia="en-GB"/>
              </w:rPr>
            </w:pPr>
            <w:r>
              <w:rPr>
                <w:rFonts w:ascii="Calibri" w:hAnsi="Calibri" w:cs="Calibri"/>
                <w:color w:val="000000"/>
              </w:rPr>
              <w:t>227</w:t>
            </w:r>
          </w:p>
        </w:tc>
        <w:tc>
          <w:tcPr>
            <w:tcW w:w="607" w:type="pct"/>
            <w:tcBorders>
              <w:top w:val="nil"/>
              <w:left w:val="nil"/>
              <w:bottom w:val="single" w:sz="8" w:space="0" w:color="F79646"/>
              <w:right w:val="single" w:sz="8" w:space="0" w:color="F79646"/>
            </w:tcBorders>
            <w:shd w:val="clear" w:color="auto" w:fill="auto"/>
            <w:noWrap/>
            <w:vAlign w:val="center"/>
            <w:hideMark/>
          </w:tcPr>
          <w:p w:rsidR="002E11E6" w:rsidRPr="002F1183" w:rsidRDefault="002E11E6" w:rsidP="00915EB2">
            <w:pPr>
              <w:spacing w:after="0" w:line="240" w:lineRule="auto"/>
              <w:jc w:val="center"/>
              <w:rPr>
                <w:rFonts w:ascii="Calibri" w:eastAsia="Times New Roman" w:hAnsi="Calibri" w:cs="Calibri"/>
                <w:color w:val="000000"/>
                <w:lang w:eastAsia="en-GB"/>
              </w:rPr>
            </w:pPr>
            <w:r>
              <w:rPr>
                <w:rFonts w:ascii="Calibri" w:hAnsi="Calibri" w:cs="Calibri"/>
                <w:color w:val="000000"/>
              </w:rPr>
              <w:t>18</w:t>
            </w:r>
          </w:p>
        </w:tc>
        <w:tc>
          <w:tcPr>
            <w:tcW w:w="679" w:type="pct"/>
            <w:tcBorders>
              <w:top w:val="nil"/>
              <w:left w:val="nil"/>
              <w:bottom w:val="single" w:sz="8" w:space="0" w:color="F79646"/>
              <w:right w:val="single" w:sz="8" w:space="0" w:color="F79646"/>
            </w:tcBorders>
            <w:shd w:val="clear" w:color="auto" w:fill="auto"/>
            <w:noWrap/>
            <w:vAlign w:val="center"/>
            <w:hideMark/>
          </w:tcPr>
          <w:p w:rsidR="002E11E6" w:rsidRPr="002F1183" w:rsidRDefault="002E11E6" w:rsidP="00915EB2">
            <w:pPr>
              <w:spacing w:after="0" w:line="240" w:lineRule="auto"/>
              <w:jc w:val="center"/>
              <w:rPr>
                <w:rFonts w:ascii="Calibri" w:eastAsia="Times New Roman" w:hAnsi="Calibri" w:cs="Calibri"/>
                <w:color w:val="000000"/>
                <w:lang w:eastAsia="en-GB"/>
              </w:rPr>
            </w:pPr>
            <w:r>
              <w:rPr>
                <w:rFonts w:ascii="Calibri" w:hAnsi="Calibri" w:cs="Calibri"/>
                <w:color w:val="000000"/>
              </w:rPr>
              <w:t>16</w:t>
            </w:r>
          </w:p>
        </w:tc>
        <w:tc>
          <w:tcPr>
            <w:tcW w:w="884" w:type="pct"/>
            <w:tcBorders>
              <w:top w:val="nil"/>
              <w:left w:val="nil"/>
              <w:bottom w:val="single" w:sz="8" w:space="0" w:color="F79646"/>
              <w:right w:val="single" w:sz="8" w:space="0" w:color="F79646"/>
            </w:tcBorders>
            <w:shd w:val="clear" w:color="auto" w:fill="auto"/>
            <w:noWrap/>
            <w:vAlign w:val="center"/>
            <w:hideMark/>
          </w:tcPr>
          <w:p w:rsidR="002E11E6" w:rsidRPr="002F1183" w:rsidRDefault="002E11E6" w:rsidP="00915EB2">
            <w:pPr>
              <w:spacing w:after="0" w:line="240" w:lineRule="auto"/>
              <w:jc w:val="center"/>
              <w:rPr>
                <w:rFonts w:ascii="Calibri" w:eastAsia="Times New Roman" w:hAnsi="Calibri" w:cs="Calibri"/>
                <w:color w:val="000000"/>
                <w:lang w:eastAsia="en-GB"/>
              </w:rPr>
            </w:pPr>
            <w:r>
              <w:rPr>
                <w:rFonts w:ascii="Calibri" w:hAnsi="Calibri" w:cs="Calibri"/>
                <w:color w:val="000000"/>
              </w:rPr>
              <w:t>354</w:t>
            </w:r>
          </w:p>
        </w:tc>
        <w:tc>
          <w:tcPr>
            <w:tcW w:w="894" w:type="pct"/>
            <w:tcBorders>
              <w:top w:val="nil"/>
              <w:left w:val="nil"/>
              <w:bottom w:val="single" w:sz="8" w:space="0" w:color="F79646"/>
              <w:right w:val="single" w:sz="8" w:space="0" w:color="F79646"/>
            </w:tcBorders>
            <w:shd w:val="clear" w:color="auto" w:fill="auto"/>
            <w:noWrap/>
            <w:vAlign w:val="center"/>
            <w:hideMark/>
          </w:tcPr>
          <w:p w:rsidR="002E11E6" w:rsidRPr="002F1183" w:rsidRDefault="002E11E6" w:rsidP="00915EB2">
            <w:pPr>
              <w:spacing w:after="0" w:line="240" w:lineRule="auto"/>
              <w:jc w:val="center"/>
              <w:rPr>
                <w:rFonts w:ascii="Calibri" w:eastAsia="Times New Roman" w:hAnsi="Calibri" w:cs="Calibri"/>
                <w:color w:val="000000"/>
                <w:lang w:eastAsia="en-GB"/>
              </w:rPr>
            </w:pPr>
            <w:r>
              <w:rPr>
                <w:rFonts w:ascii="Calibri" w:hAnsi="Calibri" w:cs="Calibri"/>
                <w:color w:val="000000"/>
              </w:rPr>
              <w:t>37</w:t>
            </w:r>
          </w:p>
        </w:tc>
        <w:tc>
          <w:tcPr>
            <w:tcW w:w="596" w:type="pct"/>
            <w:tcBorders>
              <w:top w:val="nil"/>
              <w:left w:val="nil"/>
              <w:bottom w:val="single" w:sz="8" w:space="0" w:color="F79646"/>
              <w:right w:val="single" w:sz="8" w:space="0" w:color="F79646"/>
            </w:tcBorders>
            <w:shd w:val="clear" w:color="auto" w:fill="auto"/>
            <w:noWrap/>
            <w:vAlign w:val="center"/>
            <w:hideMark/>
          </w:tcPr>
          <w:p w:rsidR="002E11E6" w:rsidRPr="002F1183" w:rsidRDefault="002E11E6" w:rsidP="00915EB2">
            <w:pPr>
              <w:spacing w:after="0" w:line="240" w:lineRule="auto"/>
              <w:jc w:val="center"/>
              <w:rPr>
                <w:rFonts w:ascii="Calibri" w:eastAsia="Times New Roman" w:hAnsi="Calibri" w:cs="Calibri"/>
                <w:color w:val="000000"/>
                <w:lang w:eastAsia="en-GB"/>
              </w:rPr>
            </w:pPr>
            <w:r>
              <w:rPr>
                <w:rFonts w:ascii="Calibri" w:hAnsi="Calibri" w:cs="Calibri"/>
                <w:color w:val="000000"/>
              </w:rPr>
              <w:t>40</w:t>
            </w:r>
          </w:p>
        </w:tc>
      </w:tr>
      <w:tr w:rsidR="002E11E6" w:rsidRPr="002F1183" w:rsidTr="002E11E6">
        <w:trPr>
          <w:trHeight w:val="315"/>
        </w:trPr>
        <w:tc>
          <w:tcPr>
            <w:tcW w:w="642" w:type="pct"/>
            <w:tcBorders>
              <w:top w:val="single" w:sz="8" w:space="0" w:color="F79646"/>
              <w:left w:val="single" w:sz="8" w:space="0" w:color="F79646"/>
              <w:bottom w:val="single" w:sz="8" w:space="0" w:color="F79646"/>
              <w:right w:val="nil"/>
            </w:tcBorders>
            <w:shd w:val="clear" w:color="auto" w:fill="auto"/>
            <w:noWrap/>
            <w:vAlign w:val="center"/>
            <w:hideMark/>
          </w:tcPr>
          <w:p w:rsidR="002E11E6" w:rsidRPr="002F1183" w:rsidRDefault="002E11E6" w:rsidP="00915EB2">
            <w:pPr>
              <w:spacing w:after="0" w:line="240" w:lineRule="auto"/>
              <w:rPr>
                <w:rFonts w:ascii="Calibri" w:eastAsia="Times New Roman" w:hAnsi="Calibri" w:cs="Calibri"/>
                <w:b/>
                <w:bCs/>
                <w:color w:val="000000"/>
                <w:lang w:eastAsia="en-GB"/>
              </w:rPr>
            </w:pPr>
            <w:r>
              <w:rPr>
                <w:rFonts w:ascii="Calibri" w:hAnsi="Calibri" w:cs="Calibri"/>
                <w:b/>
                <w:bCs/>
                <w:color w:val="000000"/>
              </w:rPr>
              <w:t>June</w:t>
            </w:r>
          </w:p>
        </w:tc>
        <w:tc>
          <w:tcPr>
            <w:tcW w:w="698" w:type="pct"/>
            <w:tcBorders>
              <w:top w:val="nil"/>
              <w:left w:val="single" w:sz="8" w:space="0" w:color="F79646"/>
              <w:bottom w:val="single" w:sz="8" w:space="0" w:color="F79646"/>
              <w:right w:val="single" w:sz="8" w:space="0" w:color="F79646"/>
            </w:tcBorders>
            <w:shd w:val="clear" w:color="auto" w:fill="auto"/>
            <w:noWrap/>
            <w:vAlign w:val="center"/>
            <w:hideMark/>
          </w:tcPr>
          <w:p w:rsidR="002E11E6" w:rsidRPr="002F1183" w:rsidRDefault="002E11E6" w:rsidP="00915EB2">
            <w:pPr>
              <w:spacing w:after="0" w:line="240" w:lineRule="auto"/>
              <w:jc w:val="center"/>
              <w:rPr>
                <w:rFonts w:ascii="Calibri" w:eastAsia="Times New Roman" w:hAnsi="Calibri" w:cs="Calibri"/>
                <w:color w:val="000000"/>
                <w:lang w:eastAsia="en-GB"/>
              </w:rPr>
            </w:pPr>
            <w:r>
              <w:rPr>
                <w:rFonts w:ascii="Calibri" w:hAnsi="Calibri" w:cs="Calibri"/>
                <w:color w:val="000000"/>
              </w:rPr>
              <w:t>252</w:t>
            </w:r>
          </w:p>
        </w:tc>
        <w:tc>
          <w:tcPr>
            <w:tcW w:w="607" w:type="pct"/>
            <w:tcBorders>
              <w:top w:val="nil"/>
              <w:left w:val="nil"/>
              <w:bottom w:val="single" w:sz="8" w:space="0" w:color="F79646"/>
              <w:right w:val="single" w:sz="8" w:space="0" w:color="F79646"/>
            </w:tcBorders>
            <w:shd w:val="clear" w:color="auto" w:fill="auto"/>
            <w:noWrap/>
            <w:vAlign w:val="center"/>
            <w:hideMark/>
          </w:tcPr>
          <w:p w:rsidR="002E11E6" w:rsidRPr="002F1183" w:rsidRDefault="002E11E6" w:rsidP="00915EB2">
            <w:pPr>
              <w:spacing w:after="0" w:line="240" w:lineRule="auto"/>
              <w:jc w:val="center"/>
              <w:rPr>
                <w:rFonts w:ascii="Calibri" w:eastAsia="Times New Roman" w:hAnsi="Calibri" w:cs="Calibri"/>
                <w:color w:val="000000"/>
                <w:lang w:eastAsia="en-GB"/>
              </w:rPr>
            </w:pPr>
            <w:r>
              <w:rPr>
                <w:rFonts w:ascii="Calibri" w:hAnsi="Calibri" w:cs="Calibri"/>
                <w:color w:val="000000"/>
              </w:rPr>
              <w:t>25</w:t>
            </w:r>
          </w:p>
        </w:tc>
        <w:tc>
          <w:tcPr>
            <w:tcW w:w="679" w:type="pct"/>
            <w:tcBorders>
              <w:top w:val="nil"/>
              <w:left w:val="nil"/>
              <w:bottom w:val="single" w:sz="8" w:space="0" w:color="F79646"/>
              <w:right w:val="single" w:sz="8" w:space="0" w:color="F79646"/>
            </w:tcBorders>
            <w:shd w:val="clear" w:color="auto" w:fill="auto"/>
            <w:noWrap/>
            <w:vAlign w:val="center"/>
            <w:hideMark/>
          </w:tcPr>
          <w:p w:rsidR="002E11E6" w:rsidRPr="002F1183" w:rsidRDefault="002E11E6" w:rsidP="00915EB2">
            <w:pPr>
              <w:spacing w:after="0" w:line="240" w:lineRule="auto"/>
              <w:jc w:val="center"/>
              <w:rPr>
                <w:rFonts w:ascii="Calibri" w:eastAsia="Times New Roman" w:hAnsi="Calibri" w:cs="Calibri"/>
                <w:color w:val="000000"/>
                <w:lang w:eastAsia="en-GB"/>
              </w:rPr>
            </w:pPr>
            <w:r>
              <w:rPr>
                <w:rFonts w:ascii="Calibri" w:hAnsi="Calibri" w:cs="Calibri"/>
                <w:color w:val="000000"/>
              </w:rPr>
              <w:t>11</w:t>
            </w:r>
          </w:p>
        </w:tc>
        <w:tc>
          <w:tcPr>
            <w:tcW w:w="884" w:type="pct"/>
            <w:tcBorders>
              <w:top w:val="nil"/>
              <w:left w:val="nil"/>
              <w:bottom w:val="single" w:sz="8" w:space="0" w:color="F79646"/>
              <w:right w:val="single" w:sz="8" w:space="0" w:color="F79646"/>
            </w:tcBorders>
            <w:shd w:val="clear" w:color="auto" w:fill="auto"/>
            <w:noWrap/>
            <w:vAlign w:val="center"/>
            <w:hideMark/>
          </w:tcPr>
          <w:p w:rsidR="002E11E6" w:rsidRPr="002F1183" w:rsidRDefault="002E11E6" w:rsidP="00915EB2">
            <w:pPr>
              <w:spacing w:after="0" w:line="240" w:lineRule="auto"/>
              <w:jc w:val="center"/>
              <w:rPr>
                <w:rFonts w:ascii="Calibri" w:eastAsia="Times New Roman" w:hAnsi="Calibri" w:cs="Calibri"/>
                <w:color w:val="000000"/>
                <w:lang w:eastAsia="en-GB"/>
              </w:rPr>
            </w:pPr>
            <w:r>
              <w:rPr>
                <w:rFonts w:ascii="Calibri" w:hAnsi="Calibri" w:cs="Calibri"/>
                <w:color w:val="000000"/>
              </w:rPr>
              <w:t>405</w:t>
            </w:r>
          </w:p>
        </w:tc>
        <w:tc>
          <w:tcPr>
            <w:tcW w:w="894" w:type="pct"/>
            <w:tcBorders>
              <w:top w:val="nil"/>
              <w:left w:val="nil"/>
              <w:bottom w:val="single" w:sz="8" w:space="0" w:color="F79646"/>
              <w:right w:val="single" w:sz="8" w:space="0" w:color="F79646"/>
            </w:tcBorders>
            <w:shd w:val="clear" w:color="auto" w:fill="auto"/>
            <w:noWrap/>
            <w:vAlign w:val="center"/>
            <w:hideMark/>
          </w:tcPr>
          <w:p w:rsidR="002E11E6" w:rsidRPr="002F1183" w:rsidRDefault="002E11E6" w:rsidP="00915EB2">
            <w:pPr>
              <w:spacing w:after="0" w:line="240" w:lineRule="auto"/>
              <w:jc w:val="center"/>
              <w:rPr>
                <w:rFonts w:ascii="Calibri" w:eastAsia="Times New Roman" w:hAnsi="Calibri" w:cs="Calibri"/>
                <w:color w:val="000000"/>
                <w:lang w:eastAsia="en-GB"/>
              </w:rPr>
            </w:pPr>
            <w:r>
              <w:rPr>
                <w:rFonts w:ascii="Calibri" w:hAnsi="Calibri" w:cs="Calibri"/>
                <w:color w:val="000000"/>
              </w:rPr>
              <w:t>63</w:t>
            </w:r>
          </w:p>
        </w:tc>
        <w:tc>
          <w:tcPr>
            <w:tcW w:w="596" w:type="pct"/>
            <w:tcBorders>
              <w:top w:val="nil"/>
              <w:left w:val="nil"/>
              <w:bottom w:val="single" w:sz="8" w:space="0" w:color="F79646"/>
              <w:right w:val="single" w:sz="8" w:space="0" w:color="F79646"/>
            </w:tcBorders>
            <w:shd w:val="clear" w:color="auto" w:fill="auto"/>
            <w:noWrap/>
            <w:vAlign w:val="center"/>
            <w:hideMark/>
          </w:tcPr>
          <w:p w:rsidR="002E11E6" w:rsidRPr="002F1183" w:rsidRDefault="002E11E6" w:rsidP="00915EB2">
            <w:pPr>
              <w:spacing w:after="0" w:line="240" w:lineRule="auto"/>
              <w:jc w:val="center"/>
              <w:rPr>
                <w:rFonts w:ascii="Calibri" w:eastAsia="Times New Roman" w:hAnsi="Calibri" w:cs="Calibri"/>
                <w:color w:val="000000"/>
                <w:lang w:eastAsia="en-GB"/>
              </w:rPr>
            </w:pPr>
            <w:r>
              <w:rPr>
                <w:rFonts w:ascii="Calibri" w:hAnsi="Calibri" w:cs="Calibri"/>
                <w:color w:val="000000"/>
              </w:rPr>
              <w:t>49</w:t>
            </w:r>
          </w:p>
        </w:tc>
      </w:tr>
      <w:tr w:rsidR="002E11E6" w:rsidRPr="002F1183" w:rsidTr="002E11E6">
        <w:trPr>
          <w:trHeight w:val="315"/>
        </w:trPr>
        <w:tc>
          <w:tcPr>
            <w:tcW w:w="642" w:type="pct"/>
            <w:tcBorders>
              <w:top w:val="nil"/>
              <w:left w:val="single" w:sz="8" w:space="0" w:color="F79646"/>
              <w:bottom w:val="nil"/>
              <w:right w:val="nil"/>
            </w:tcBorders>
            <w:shd w:val="clear" w:color="auto" w:fill="auto"/>
            <w:noWrap/>
            <w:vAlign w:val="center"/>
            <w:hideMark/>
          </w:tcPr>
          <w:p w:rsidR="002E11E6" w:rsidRPr="002F1183" w:rsidRDefault="002E11E6" w:rsidP="00915EB2">
            <w:pPr>
              <w:spacing w:after="0" w:line="240" w:lineRule="auto"/>
              <w:rPr>
                <w:rFonts w:ascii="Calibri" w:eastAsia="Times New Roman" w:hAnsi="Calibri" w:cs="Calibri"/>
                <w:b/>
                <w:bCs/>
                <w:color w:val="000000"/>
                <w:lang w:eastAsia="en-GB"/>
              </w:rPr>
            </w:pPr>
            <w:r>
              <w:rPr>
                <w:rFonts w:ascii="Calibri" w:hAnsi="Calibri" w:cs="Calibri"/>
                <w:b/>
                <w:bCs/>
                <w:color w:val="000000"/>
              </w:rPr>
              <w:t>July</w:t>
            </w:r>
          </w:p>
        </w:tc>
        <w:tc>
          <w:tcPr>
            <w:tcW w:w="698" w:type="pct"/>
            <w:tcBorders>
              <w:top w:val="nil"/>
              <w:left w:val="single" w:sz="8" w:space="0" w:color="F79646"/>
              <w:bottom w:val="single" w:sz="8" w:space="0" w:color="F79646"/>
              <w:right w:val="single" w:sz="8" w:space="0" w:color="F79646"/>
            </w:tcBorders>
            <w:shd w:val="clear" w:color="auto" w:fill="auto"/>
            <w:noWrap/>
            <w:vAlign w:val="center"/>
            <w:hideMark/>
          </w:tcPr>
          <w:p w:rsidR="002E11E6" w:rsidRPr="002F1183" w:rsidRDefault="002E11E6" w:rsidP="00915EB2">
            <w:pPr>
              <w:spacing w:after="0" w:line="240" w:lineRule="auto"/>
              <w:jc w:val="center"/>
              <w:rPr>
                <w:rFonts w:ascii="Calibri" w:eastAsia="Times New Roman" w:hAnsi="Calibri" w:cs="Calibri"/>
                <w:color w:val="000000"/>
                <w:lang w:eastAsia="en-GB"/>
              </w:rPr>
            </w:pPr>
            <w:r>
              <w:rPr>
                <w:rFonts w:ascii="Calibri" w:hAnsi="Calibri" w:cs="Calibri"/>
                <w:color w:val="000000"/>
              </w:rPr>
              <w:t>221</w:t>
            </w:r>
          </w:p>
        </w:tc>
        <w:tc>
          <w:tcPr>
            <w:tcW w:w="607" w:type="pct"/>
            <w:tcBorders>
              <w:top w:val="nil"/>
              <w:left w:val="nil"/>
              <w:bottom w:val="single" w:sz="8" w:space="0" w:color="F79646"/>
              <w:right w:val="single" w:sz="8" w:space="0" w:color="F79646"/>
            </w:tcBorders>
            <w:shd w:val="clear" w:color="auto" w:fill="auto"/>
            <w:noWrap/>
            <w:vAlign w:val="center"/>
            <w:hideMark/>
          </w:tcPr>
          <w:p w:rsidR="002E11E6" w:rsidRPr="002F1183" w:rsidRDefault="002E11E6" w:rsidP="00915EB2">
            <w:pPr>
              <w:spacing w:after="0" w:line="240" w:lineRule="auto"/>
              <w:jc w:val="center"/>
              <w:rPr>
                <w:rFonts w:ascii="Calibri" w:eastAsia="Times New Roman" w:hAnsi="Calibri" w:cs="Calibri"/>
                <w:color w:val="000000"/>
                <w:lang w:eastAsia="en-GB"/>
              </w:rPr>
            </w:pPr>
            <w:r>
              <w:rPr>
                <w:rFonts w:ascii="Calibri" w:hAnsi="Calibri" w:cs="Calibri"/>
                <w:color w:val="000000"/>
              </w:rPr>
              <w:t>20</w:t>
            </w:r>
          </w:p>
        </w:tc>
        <w:tc>
          <w:tcPr>
            <w:tcW w:w="679" w:type="pct"/>
            <w:tcBorders>
              <w:top w:val="nil"/>
              <w:left w:val="nil"/>
              <w:bottom w:val="single" w:sz="8" w:space="0" w:color="F79646"/>
              <w:right w:val="single" w:sz="8" w:space="0" w:color="F79646"/>
            </w:tcBorders>
            <w:shd w:val="clear" w:color="auto" w:fill="auto"/>
            <w:noWrap/>
            <w:vAlign w:val="center"/>
            <w:hideMark/>
          </w:tcPr>
          <w:p w:rsidR="002E11E6" w:rsidRPr="002F1183" w:rsidRDefault="002E11E6" w:rsidP="00915EB2">
            <w:pPr>
              <w:spacing w:after="0" w:line="240" w:lineRule="auto"/>
              <w:jc w:val="center"/>
              <w:rPr>
                <w:rFonts w:ascii="Calibri" w:eastAsia="Times New Roman" w:hAnsi="Calibri" w:cs="Calibri"/>
                <w:color w:val="000000"/>
                <w:lang w:eastAsia="en-GB"/>
              </w:rPr>
            </w:pPr>
            <w:r>
              <w:rPr>
                <w:rFonts w:ascii="Calibri" w:hAnsi="Calibri" w:cs="Calibri"/>
                <w:color w:val="000000"/>
              </w:rPr>
              <w:t>7</w:t>
            </w:r>
          </w:p>
        </w:tc>
        <w:tc>
          <w:tcPr>
            <w:tcW w:w="884" w:type="pct"/>
            <w:tcBorders>
              <w:top w:val="nil"/>
              <w:left w:val="nil"/>
              <w:bottom w:val="single" w:sz="8" w:space="0" w:color="F79646"/>
              <w:right w:val="single" w:sz="8" w:space="0" w:color="F79646"/>
            </w:tcBorders>
            <w:shd w:val="clear" w:color="auto" w:fill="auto"/>
            <w:noWrap/>
            <w:vAlign w:val="center"/>
            <w:hideMark/>
          </w:tcPr>
          <w:p w:rsidR="002E11E6" w:rsidRPr="002F1183" w:rsidRDefault="002E11E6" w:rsidP="00915EB2">
            <w:pPr>
              <w:spacing w:after="0" w:line="240" w:lineRule="auto"/>
              <w:jc w:val="center"/>
              <w:rPr>
                <w:rFonts w:ascii="Calibri" w:eastAsia="Times New Roman" w:hAnsi="Calibri" w:cs="Calibri"/>
                <w:color w:val="000000"/>
                <w:lang w:eastAsia="en-GB"/>
              </w:rPr>
            </w:pPr>
            <w:r>
              <w:rPr>
                <w:rFonts w:ascii="Calibri" w:hAnsi="Calibri" w:cs="Calibri"/>
                <w:color w:val="000000"/>
              </w:rPr>
              <w:t>377</w:t>
            </w:r>
          </w:p>
        </w:tc>
        <w:tc>
          <w:tcPr>
            <w:tcW w:w="894" w:type="pct"/>
            <w:tcBorders>
              <w:top w:val="nil"/>
              <w:left w:val="nil"/>
              <w:bottom w:val="single" w:sz="8" w:space="0" w:color="F79646"/>
              <w:right w:val="single" w:sz="8" w:space="0" w:color="F79646"/>
            </w:tcBorders>
            <w:shd w:val="clear" w:color="auto" w:fill="auto"/>
            <w:noWrap/>
            <w:vAlign w:val="center"/>
            <w:hideMark/>
          </w:tcPr>
          <w:p w:rsidR="002E11E6" w:rsidRPr="002F1183" w:rsidRDefault="002E11E6" w:rsidP="00915EB2">
            <w:pPr>
              <w:spacing w:after="0" w:line="240" w:lineRule="auto"/>
              <w:jc w:val="center"/>
              <w:rPr>
                <w:rFonts w:ascii="Calibri" w:eastAsia="Times New Roman" w:hAnsi="Calibri" w:cs="Calibri"/>
                <w:color w:val="000000"/>
                <w:lang w:eastAsia="en-GB"/>
              </w:rPr>
            </w:pPr>
            <w:r>
              <w:rPr>
                <w:rFonts w:ascii="Calibri" w:hAnsi="Calibri" w:cs="Calibri"/>
                <w:color w:val="000000"/>
              </w:rPr>
              <w:t>37</w:t>
            </w:r>
          </w:p>
        </w:tc>
        <w:tc>
          <w:tcPr>
            <w:tcW w:w="596" w:type="pct"/>
            <w:tcBorders>
              <w:top w:val="nil"/>
              <w:left w:val="nil"/>
              <w:bottom w:val="single" w:sz="8" w:space="0" w:color="F79646"/>
              <w:right w:val="single" w:sz="8" w:space="0" w:color="F79646"/>
            </w:tcBorders>
            <w:shd w:val="clear" w:color="auto" w:fill="auto"/>
            <w:noWrap/>
            <w:vAlign w:val="center"/>
            <w:hideMark/>
          </w:tcPr>
          <w:p w:rsidR="002E11E6" w:rsidRPr="002F1183" w:rsidRDefault="002E11E6" w:rsidP="00915EB2">
            <w:pPr>
              <w:spacing w:after="0" w:line="240" w:lineRule="auto"/>
              <w:jc w:val="center"/>
              <w:rPr>
                <w:rFonts w:ascii="Calibri" w:eastAsia="Times New Roman" w:hAnsi="Calibri" w:cs="Calibri"/>
                <w:color w:val="000000"/>
                <w:lang w:eastAsia="en-GB"/>
              </w:rPr>
            </w:pPr>
            <w:r>
              <w:rPr>
                <w:rFonts w:ascii="Calibri" w:hAnsi="Calibri" w:cs="Calibri"/>
                <w:color w:val="000000"/>
              </w:rPr>
              <w:t>49</w:t>
            </w:r>
          </w:p>
        </w:tc>
      </w:tr>
      <w:tr w:rsidR="002E11E6" w:rsidRPr="002F1183" w:rsidTr="002E11E6">
        <w:trPr>
          <w:trHeight w:val="315"/>
        </w:trPr>
        <w:tc>
          <w:tcPr>
            <w:tcW w:w="642" w:type="pct"/>
            <w:tcBorders>
              <w:top w:val="single" w:sz="8" w:space="0" w:color="F79646"/>
              <w:left w:val="single" w:sz="8" w:space="0" w:color="F79646"/>
              <w:bottom w:val="single" w:sz="8" w:space="0" w:color="F79646"/>
              <w:right w:val="nil"/>
            </w:tcBorders>
            <w:shd w:val="clear" w:color="auto" w:fill="auto"/>
            <w:noWrap/>
            <w:vAlign w:val="center"/>
            <w:hideMark/>
          </w:tcPr>
          <w:p w:rsidR="002E11E6" w:rsidRPr="002F1183" w:rsidRDefault="002E11E6" w:rsidP="00915EB2">
            <w:pPr>
              <w:spacing w:after="0" w:line="240" w:lineRule="auto"/>
              <w:rPr>
                <w:rFonts w:ascii="Calibri" w:eastAsia="Times New Roman" w:hAnsi="Calibri" w:cs="Calibri"/>
                <w:b/>
                <w:bCs/>
                <w:color w:val="000000"/>
                <w:lang w:eastAsia="en-GB"/>
              </w:rPr>
            </w:pPr>
            <w:r>
              <w:rPr>
                <w:rFonts w:ascii="Calibri" w:hAnsi="Calibri" w:cs="Calibri"/>
                <w:b/>
                <w:bCs/>
                <w:color w:val="000000"/>
              </w:rPr>
              <w:t>Aug</w:t>
            </w:r>
          </w:p>
        </w:tc>
        <w:tc>
          <w:tcPr>
            <w:tcW w:w="698" w:type="pct"/>
            <w:tcBorders>
              <w:top w:val="nil"/>
              <w:left w:val="single" w:sz="8" w:space="0" w:color="F79646"/>
              <w:bottom w:val="single" w:sz="8" w:space="0" w:color="F79646"/>
              <w:right w:val="single" w:sz="8" w:space="0" w:color="F79646"/>
            </w:tcBorders>
            <w:shd w:val="clear" w:color="auto" w:fill="auto"/>
            <w:noWrap/>
            <w:vAlign w:val="center"/>
            <w:hideMark/>
          </w:tcPr>
          <w:p w:rsidR="002E11E6" w:rsidRPr="002F1183" w:rsidRDefault="002E11E6" w:rsidP="00915EB2">
            <w:pPr>
              <w:spacing w:after="0" w:line="240" w:lineRule="auto"/>
              <w:jc w:val="center"/>
              <w:rPr>
                <w:rFonts w:ascii="Calibri" w:eastAsia="Times New Roman" w:hAnsi="Calibri" w:cs="Calibri"/>
                <w:color w:val="000000"/>
                <w:lang w:eastAsia="en-GB"/>
              </w:rPr>
            </w:pPr>
            <w:r>
              <w:rPr>
                <w:rFonts w:ascii="Calibri" w:hAnsi="Calibri" w:cs="Calibri"/>
                <w:color w:val="000000"/>
              </w:rPr>
              <w:t>247</w:t>
            </w:r>
          </w:p>
        </w:tc>
        <w:tc>
          <w:tcPr>
            <w:tcW w:w="607" w:type="pct"/>
            <w:tcBorders>
              <w:top w:val="nil"/>
              <w:left w:val="nil"/>
              <w:bottom w:val="single" w:sz="8" w:space="0" w:color="F79646"/>
              <w:right w:val="single" w:sz="8" w:space="0" w:color="F79646"/>
            </w:tcBorders>
            <w:shd w:val="clear" w:color="auto" w:fill="auto"/>
            <w:noWrap/>
            <w:vAlign w:val="center"/>
            <w:hideMark/>
          </w:tcPr>
          <w:p w:rsidR="002E11E6" w:rsidRPr="002F1183" w:rsidRDefault="002E11E6" w:rsidP="00915EB2">
            <w:pPr>
              <w:spacing w:after="0" w:line="240" w:lineRule="auto"/>
              <w:jc w:val="center"/>
              <w:rPr>
                <w:rFonts w:ascii="Calibri" w:eastAsia="Times New Roman" w:hAnsi="Calibri" w:cs="Calibri"/>
                <w:color w:val="000000"/>
                <w:lang w:eastAsia="en-GB"/>
              </w:rPr>
            </w:pPr>
            <w:r>
              <w:rPr>
                <w:rFonts w:ascii="Calibri" w:hAnsi="Calibri" w:cs="Calibri"/>
                <w:color w:val="000000"/>
              </w:rPr>
              <w:t>16</w:t>
            </w:r>
          </w:p>
        </w:tc>
        <w:tc>
          <w:tcPr>
            <w:tcW w:w="679" w:type="pct"/>
            <w:tcBorders>
              <w:top w:val="nil"/>
              <w:left w:val="nil"/>
              <w:bottom w:val="single" w:sz="8" w:space="0" w:color="F79646"/>
              <w:right w:val="single" w:sz="8" w:space="0" w:color="F79646"/>
            </w:tcBorders>
            <w:shd w:val="clear" w:color="auto" w:fill="auto"/>
            <w:noWrap/>
            <w:vAlign w:val="center"/>
            <w:hideMark/>
          </w:tcPr>
          <w:p w:rsidR="002E11E6" w:rsidRPr="002F1183" w:rsidRDefault="002E11E6" w:rsidP="00915EB2">
            <w:pPr>
              <w:spacing w:after="0" w:line="240" w:lineRule="auto"/>
              <w:jc w:val="center"/>
              <w:rPr>
                <w:rFonts w:ascii="Calibri" w:eastAsia="Times New Roman" w:hAnsi="Calibri" w:cs="Calibri"/>
                <w:color w:val="000000"/>
                <w:lang w:eastAsia="en-GB"/>
              </w:rPr>
            </w:pPr>
            <w:r>
              <w:rPr>
                <w:rFonts w:ascii="Calibri" w:hAnsi="Calibri" w:cs="Calibri"/>
                <w:color w:val="000000"/>
              </w:rPr>
              <w:t>5</w:t>
            </w:r>
          </w:p>
        </w:tc>
        <w:tc>
          <w:tcPr>
            <w:tcW w:w="884" w:type="pct"/>
            <w:tcBorders>
              <w:top w:val="nil"/>
              <w:left w:val="nil"/>
              <w:bottom w:val="single" w:sz="8" w:space="0" w:color="F79646"/>
              <w:right w:val="single" w:sz="8" w:space="0" w:color="F79646"/>
            </w:tcBorders>
            <w:shd w:val="clear" w:color="auto" w:fill="auto"/>
            <w:noWrap/>
            <w:vAlign w:val="center"/>
            <w:hideMark/>
          </w:tcPr>
          <w:p w:rsidR="002E11E6" w:rsidRPr="002F1183" w:rsidRDefault="002E11E6" w:rsidP="00915EB2">
            <w:pPr>
              <w:spacing w:after="0" w:line="240" w:lineRule="auto"/>
              <w:jc w:val="center"/>
              <w:rPr>
                <w:rFonts w:ascii="Calibri" w:eastAsia="Times New Roman" w:hAnsi="Calibri" w:cs="Calibri"/>
                <w:color w:val="000000"/>
                <w:lang w:eastAsia="en-GB"/>
              </w:rPr>
            </w:pPr>
            <w:r>
              <w:rPr>
                <w:rFonts w:ascii="Calibri" w:hAnsi="Calibri" w:cs="Calibri"/>
                <w:color w:val="000000"/>
              </w:rPr>
              <w:t>386</w:t>
            </w:r>
          </w:p>
        </w:tc>
        <w:tc>
          <w:tcPr>
            <w:tcW w:w="894" w:type="pct"/>
            <w:tcBorders>
              <w:top w:val="nil"/>
              <w:left w:val="nil"/>
              <w:bottom w:val="single" w:sz="8" w:space="0" w:color="F79646"/>
              <w:right w:val="single" w:sz="8" w:space="0" w:color="F79646"/>
            </w:tcBorders>
            <w:shd w:val="clear" w:color="auto" w:fill="auto"/>
            <w:noWrap/>
            <w:vAlign w:val="center"/>
            <w:hideMark/>
          </w:tcPr>
          <w:p w:rsidR="002E11E6" w:rsidRPr="002F1183" w:rsidRDefault="002E11E6" w:rsidP="00915EB2">
            <w:pPr>
              <w:spacing w:after="0" w:line="240" w:lineRule="auto"/>
              <w:jc w:val="center"/>
              <w:rPr>
                <w:rFonts w:ascii="Calibri" w:eastAsia="Times New Roman" w:hAnsi="Calibri" w:cs="Calibri"/>
                <w:color w:val="000000"/>
                <w:lang w:eastAsia="en-GB"/>
              </w:rPr>
            </w:pPr>
            <w:r>
              <w:rPr>
                <w:rFonts w:ascii="Calibri" w:hAnsi="Calibri" w:cs="Calibri"/>
                <w:color w:val="000000"/>
              </w:rPr>
              <w:t>71</w:t>
            </w:r>
          </w:p>
        </w:tc>
        <w:tc>
          <w:tcPr>
            <w:tcW w:w="596" w:type="pct"/>
            <w:tcBorders>
              <w:top w:val="nil"/>
              <w:left w:val="nil"/>
              <w:bottom w:val="single" w:sz="8" w:space="0" w:color="F79646"/>
              <w:right w:val="single" w:sz="8" w:space="0" w:color="F79646"/>
            </w:tcBorders>
            <w:shd w:val="clear" w:color="auto" w:fill="auto"/>
            <w:noWrap/>
            <w:vAlign w:val="center"/>
            <w:hideMark/>
          </w:tcPr>
          <w:p w:rsidR="002E11E6" w:rsidRPr="002F1183" w:rsidRDefault="002E11E6" w:rsidP="00915EB2">
            <w:pPr>
              <w:spacing w:after="0" w:line="240" w:lineRule="auto"/>
              <w:jc w:val="center"/>
              <w:rPr>
                <w:rFonts w:ascii="Calibri" w:eastAsia="Times New Roman" w:hAnsi="Calibri" w:cs="Calibri"/>
                <w:color w:val="000000"/>
                <w:lang w:eastAsia="en-GB"/>
              </w:rPr>
            </w:pPr>
            <w:r>
              <w:rPr>
                <w:rFonts w:ascii="Calibri" w:hAnsi="Calibri" w:cs="Calibri"/>
                <w:color w:val="000000"/>
              </w:rPr>
              <w:t>41</w:t>
            </w:r>
          </w:p>
        </w:tc>
      </w:tr>
      <w:tr w:rsidR="002E11E6" w:rsidRPr="002F1183" w:rsidTr="002E11E6">
        <w:trPr>
          <w:trHeight w:val="315"/>
        </w:trPr>
        <w:tc>
          <w:tcPr>
            <w:tcW w:w="642" w:type="pct"/>
            <w:tcBorders>
              <w:top w:val="nil"/>
              <w:left w:val="single" w:sz="8" w:space="0" w:color="F79646"/>
              <w:bottom w:val="single" w:sz="8" w:space="0" w:color="F79646"/>
              <w:right w:val="nil"/>
            </w:tcBorders>
            <w:shd w:val="clear" w:color="auto" w:fill="auto"/>
            <w:noWrap/>
            <w:vAlign w:val="center"/>
            <w:hideMark/>
          </w:tcPr>
          <w:p w:rsidR="002E11E6" w:rsidRPr="002F1183" w:rsidRDefault="002E11E6" w:rsidP="00915EB2">
            <w:pPr>
              <w:spacing w:after="0" w:line="240" w:lineRule="auto"/>
              <w:rPr>
                <w:rFonts w:ascii="Calibri" w:eastAsia="Times New Roman" w:hAnsi="Calibri" w:cs="Calibri"/>
                <w:b/>
                <w:bCs/>
                <w:color w:val="000000"/>
                <w:lang w:eastAsia="en-GB"/>
              </w:rPr>
            </w:pPr>
            <w:r>
              <w:rPr>
                <w:rFonts w:ascii="Calibri" w:hAnsi="Calibri" w:cs="Calibri"/>
                <w:b/>
                <w:bCs/>
                <w:color w:val="000000"/>
              </w:rPr>
              <w:t>Sep</w:t>
            </w:r>
          </w:p>
        </w:tc>
        <w:tc>
          <w:tcPr>
            <w:tcW w:w="698" w:type="pct"/>
            <w:tcBorders>
              <w:top w:val="nil"/>
              <w:left w:val="single" w:sz="8" w:space="0" w:color="F79646"/>
              <w:bottom w:val="single" w:sz="8" w:space="0" w:color="F79646"/>
              <w:right w:val="single" w:sz="8" w:space="0" w:color="F79646"/>
            </w:tcBorders>
            <w:shd w:val="clear" w:color="auto" w:fill="auto"/>
            <w:noWrap/>
            <w:vAlign w:val="center"/>
            <w:hideMark/>
          </w:tcPr>
          <w:p w:rsidR="002E11E6" w:rsidRPr="002F1183" w:rsidRDefault="002E11E6" w:rsidP="00915EB2">
            <w:pPr>
              <w:spacing w:after="0" w:line="240" w:lineRule="auto"/>
              <w:jc w:val="center"/>
              <w:rPr>
                <w:rFonts w:ascii="Calibri" w:eastAsia="Times New Roman" w:hAnsi="Calibri" w:cs="Calibri"/>
                <w:color w:val="000000"/>
                <w:lang w:eastAsia="en-GB"/>
              </w:rPr>
            </w:pPr>
            <w:r>
              <w:rPr>
                <w:rFonts w:ascii="Calibri" w:hAnsi="Calibri" w:cs="Calibri"/>
                <w:color w:val="000000"/>
              </w:rPr>
              <w:t>218</w:t>
            </w:r>
          </w:p>
        </w:tc>
        <w:tc>
          <w:tcPr>
            <w:tcW w:w="607" w:type="pct"/>
            <w:tcBorders>
              <w:top w:val="nil"/>
              <w:left w:val="nil"/>
              <w:bottom w:val="single" w:sz="8" w:space="0" w:color="F79646"/>
              <w:right w:val="single" w:sz="8" w:space="0" w:color="F79646"/>
            </w:tcBorders>
            <w:shd w:val="clear" w:color="auto" w:fill="auto"/>
            <w:noWrap/>
            <w:vAlign w:val="center"/>
            <w:hideMark/>
          </w:tcPr>
          <w:p w:rsidR="002E11E6" w:rsidRPr="002F1183" w:rsidRDefault="002E11E6" w:rsidP="00915EB2">
            <w:pPr>
              <w:spacing w:after="0" w:line="240" w:lineRule="auto"/>
              <w:jc w:val="center"/>
              <w:rPr>
                <w:rFonts w:ascii="Calibri" w:eastAsia="Times New Roman" w:hAnsi="Calibri" w:cs="Calibri"/>
                <w:color w:val="000000"/>
                <w:lang w:eastAsia="en-GB"/>
              </w:rPr>
            </w:pPr>
            <w:r>
              <w:rPr>
                <w:rFonts w:ascii="Calibri" w:hAnsi="Calibri" w:cs="Calibri"/>
                <w:color w:val="000000"/>
              </w:rPr>
              <w:t>24</w:t>
            </w:r>
          </w:p>
        </w:tc>
        <w:tc>
          <w:tcPr>
            <w:tcW w:w="679" w:type="pct"/>
            <w:tcBorders>
              <w:top w:val="nil"/>
              <w:left w:val="nil"/>
              <w:bottom w:val="single" w:sz="8" w:space="0" w:color="F79646"/>
              <w:right w:val="single" w:sz="8" w:space="0" w:color="F79646"/>
            </w:tcBorders>
            <w:shd w:val="clear" w:color="auto" w:fill="auto"/>
            <w:noWrap/>
            <w:vAlign w:val="center"/>
            <w:hideMark/>
          </w:tcPr>
          <w:p w:rsidR="002E11E6" w:rsidRPr="002F1183" w:rsidRDefault="002E11E6" w:rsidP="00915EB2">
            <w:pPr>
              <w:spacing w:after="0" w:line="240" w:lineRule="auto"/>
              <w:jc w:val="center"/>
              <w:rPr>
                <w:rFonts w:ascii="Calibri" w:eastAsia="Times New Roman" w:hAnsi="Calibri" w:cs="Calibri"/>
                <w:color w:val="000000"/>
                <w:lang w:eastAsia="en-GB"/>
              </w:rPr>
            </w:pPr>
            <w:r>
              <w:rPr>
                <w:rFonts w:ascii="Calibri" w:hAnsi="Calibri" w:cs="Calibri"/>
                <w:color w:val="000000"/>
              </w:rPr>
              <w:t>5.5</w:t>
            </w:r>
          </w:p>
        </w:tc>
        <w:tc>
          <w:tcPr>
            <w:tcW w:w="884" w:type="pct"/>
            <w:tcBorders>
              <w:top w:val="nil"/>
              <w:left w:val="nil"/>
              <w:bottom w:val="single" w:sz="8" w:space="0" w:color="F79646"/>
              <w:right w:val="single" w:sz="8" w:space="0" w:color="F79646"/>
            </w:tcBorders>
            <w:shd w:val="clear" w:color="auto" w:fill="auto"/>
            <w:noWrap/>
            <w:vAlign w:val="center"/>
            <w:hideMark/>
          </w:tcPr>
          <w:p w:rsidR="002E11E6" w:rsidRPr="002F1183" w:rsidRDefault="002E11E6" w:rsidP="00915EB2">
            <w:pPr>
              <w:spacing w:after="0" w:line="240" w:lineRule="auto"/>
              <w:jc w:val="center"/>
              <w:rPr>
                <w:rFonts w:ascii="Calibri" w:eastAsia="Times New Roman" w:hAnsi="Calibri" w:cs="Calibri"/>
                <w:color w:val="000000"/>
                <w:lang w:eastAsia="en-GB"/>
              </w:rPr>
            </w:pPr>
            <w:r>
              <w:rPr>
                <w:rFonts w:ascii="Calibri" w:hAnsi="Calibri" w:cs="Calibri"/>
                <w:color w:val="000000"/>
              </w:rPr>
              <w:t>360</w:t>
            </w:r>
          </w:p>
        </w:tc>
        <w:tc>
          <w:tcPr>
            <w:tcW w:w="894" w:type="pct"/>
            <w:tcBorders>
              <w:top w:val="nil"/>
              <w:left w:val="nil"/>
              <w:bottom w:val="single" w:sz="8" w:space="0" w:color="F79646"/>
              <w:right w:val="single" w:sz="8" w:space="0" w:color="F79646"/>
            </w:tcBorders>
            <w:shd w:val="clear" w:color="auto" w:fill="auto"/>
            <w:noWrap/>
            <w:vAlign w:val="center"/>
            <w:hideMark/>
          </w:tcPr>
          <w:p w:rsidR="002E11E6" w:rsidRPr="002F1183" w:rsidRDefault="002E11E6" w:rsidP="00915EB2">
            <w:pPr>
              <w:spacing w:after="0" w:line="240" w:lineRule="auto"/>
              <w:jc w:val="center"/>
              <w:rPr>
                <w:rFonts w:ascii="Calibri" w:eastAsia="Times New Roman" w:hAnsi="Calibri" w:cs="Calibri"/>
                <w:color w:val="000000"/>
                <w:lang w:eastAsia="en-GB"/>
              </w:rPr>
            </w:pPr>
            <w:r>
              <w:rPr>
                <w:rFonts w:ascii="Calibri" w:hAnsi="Calibri" w:cs="Calibri"/>
                <w:color w:val="000000"/>
              </w:rPr>
              <w:t>94</w:t>
            </w:r>
          </w:p>
        </w:tc>
        <w:tc>
          <w:tcPr>
            <w:tcW w:w="596" w:type="pct"/>
            <w:tcBorders>
              <w:top w:val="nil"/>
              <w:left w:val="nil"/>
              <w:bottom w:val="single" w:sz="8" w:space="0" w:color="F79646"/>
              <w:right w:val="single" w:sz="8" w:space="0" w:color="F79646"/>
            </w:tcBorders>
            <w:shd w:val="clear" w:color="auto" w:fill="auto"/>
            <w:noWrap/>
            <w:vAlign w:val="center"/>
            <w:hideMark/>
          </w:tcPr>
          <w:p w:rsidR="002E11E6" w:rsidRPr="002F1183" w:rsidRDefault="002E11E6" w:rsidP="00915EB2">
            <w:pPr>
              <w:spacing w:after="0" w:line="240" w:lineRule="auto"/>
              <w:jc w:val="center"/>
              <w:rPr>
                <w:rFonts w:ascii="Calibri" w:eastAsia="Times New Roman" w:hAnsi="Calibri" w:cs="Calibri"/>
                <w:color w:val="000000"/>
                <w:lang w:eastAsia="en-GB"/>
              </w:rPr>
            </w:pPr>
            <w:r>
              <w:rPr>
                <w:rFonts w:ascii="Calibri" w:hAnsi="Calibri" w:cs="Calibri"/>
                <w:color w:val="000000"/>
              </w:rPr>
              <w:t>31</w:t>
            </w:r>
          </w:p>
        </w:tc>
      </w:tr>
      <w:tr w:rsidR="002E11E6" w:rsidRPr="002F1183" w:rsidTr="002E11E6">
        <w:trPr>
          <w:trHeight w:val="315"/>
        </w:trPr>
        <w:tc>
          <w:tcPr>
            <w:tcW w:w="642" w:type="pct"/>
            <w:tcBorders>
              <w:top w:val="nil"/>
              <w:left w:val="single" w:sz="8" w:space="0" w:color="F79646"/>
              <w:bottom w:val="single" w:sz="8" w:space="0" w:color="F79646"/>
              <w:right w:val="nil"/>
            </w:tcBorders>
            <w:shd w:val="clear" w:color="auto" w:fill="auto"/>
            <w:noWrap/>
            <w:vAlign w:val="center"/>
            <w:hideMark/>
          </w:tcPr>
          <w:p w:rsidR="002E11E6" w:rsidRPr="002F1183" w:rsidRDefault="002E11E6" w:rsidP="00915EB2">
            <w:pPr>
              <w:spacing w:after="0" w:line="240" w:lineRule="auto"/>
              <w:rPr>
                <w:rFonts w:ascii="Calibri" w:eastAsia="Times New Roman" w:hAnsi="Calibri" w:cs="Calibri"/>
                <w:b/>
                <w:bCs/>
                <w:color w:val="000000"/>
                <w:lang w:eastAsia="en-GB"/>
              </w:rPr>
            </w:pPr>
            <w:r>
              <w:rPr>
                <w:rFonts w:ascii="Calibri" w:hAnsi="Calibri" w:cs="Calibri"/>
                <w:b/>
                <w:bCs/>
                <w:color w:val="000000"/>
              </w:rPr>
              <w:t>Oct</w:t>
            </w:r>
          </w:p>
        </w:tc>
        <w:tc>
          <w:tcPr>
            <w:tcW w:w="698" w:type="pct"/>
            <w:tcBorders>
              <w:top w:val="nil"/>
              <w:left w:val="single" w:sz="8" w:space="0" w:color="F79646"/>
              <w:bottom w:val="single" w:sz="8" w:space="0" w:color="F79646"/>
              <w:right w:val="single" w:sz="8" w:space="0" w:color="F79646"/>
            </w:tcBorders>
            <w:shd w:val="clear" w:color="auto" w:fill="auto"/>
            <w:noWrap/>
            <w:vAlign w:val="center"/>
            <w:hideMark/>
          </w:tcPr>
          <w:p w:rsidR="002E11E6" w:rsidRPr="002F1183" w:rsidRDefault="002E11E6" w:rsidP="00915EB2">
            <w:pPr>
              <w:spacing w:after="0" w:line="240" w:lineRule="auto"/>
              <w:jc w:val="center"/>
              <w:rPr>
                <w:rFonts w:ascii="Calibri" w:eastAsia="Times New Roman" w:hAnsi="Calibri" w:cs="Calibri"/>
                <w:color w:val="000000"/>
                <w:lang w:eastAsia="en-GB"/>
              </w:rPr>
            </w:pPr>
            <w:r>
              <w:rPr>
                <w:rFonts w:ascii="Calibri" w:hAnsi="Calibri" w:cs="Calibri"/>
                <w:color w:val="000000"/>
              </w:rPr>
              <w:t>194</w:t>
            </w:r>
          </w:p>
        </w:tc>
        <w:tc>
          <w:tcPr>
            <w:tcW w:w="607" w:type="pct"/>
            <w:tcBorders>
              <w:top w:val="nil"/>
              <w:left w:val="nil"/>
              <w:bottom w:val="single" w:sz="8" w:space="0" w:color="F79646"/>
              <w:right w:val="single" w:sz="8" w:space="0" w:color="F79646"/>
            </w:tcBorders>
            <w:shd w:val="clear" w:color="auto" w:fill="auto"/>
            <w:noWrap/>
            <w:vAlign w:val="center"/>
            <w:hideMark/>
          </w:tcPr>
          <w:p w:rsidR="002E11E6" w:rsidRPr="002F1183" w:rsidRDefault="002E11E6" w:rsidP="00915EB2">
            <w:pPr>
              <w:spacing w:after="0" w:line="240" w:lineRule="auto"/>
              <w:jc w:val="center"/>
              <w:rPr>
                <w:rFonts w:ascii="Calibri" w:eastAsia="Times New Roman" w:hAnsi="Calibri" w:cs="Calibri"/>
                <w:color w:val="000000"/>
                <w:lang w:eastAsia="en-GB"/>
              </w:rPr>
            </w:pPr>
            <w:r>
              <w:rPr>
                <w:rFonts w:ascii="Calibri" w:hAnsi="Calibri" w:cs="Calibri"/>
                <w:color w:val="000000"/>
              </w:rPr>
              <w:t>27</w:t>
            </w:r>
          </w:p>
        </w:tc>
        <w:tc>
          <w:tcPr>
            <w:tcW w:w="679" w:type="pct"/>
            <w:tcBorders>
              <w:top w:val="nil"/>
              <w:left w:val="nil"/>
              <w:bottom w:val="single" w:sz="8" w:space="0" w:color="F79646"/>
              <w:right w:val="single" w:sz="8" w:space="0" w:color="F79646"/>
            </w:tcBorders>
            <w:shd w:val="clear" w:color="auto" w:fill="auto"/>
            <w:noWrap/>
            <w:vAlign w:val="center"/>
            <w:hideMark/>
          </w:tcPr>
          <w:p w:rsidR="002E11E6" w:rsidRPr="002F1183" w:rsidRDefault="002E11E6" w:rsidP="00915EB2">
            <w:pPr>
              <w:spacing w:after="0" w:line="240" w:lineRule="auto"/>
              <w:jc w:val="center"/>
              <w:rPr>
                <w:rFonts w:ascii="Calibri" w:eastAsia="Times New Roman" w:hAnsi="Calibri" w:cs="Calibri"/>
                <w:color w:val="000000"/>
                <w:lang w:eastAsia="en-GB"/>
              </w:rPr>
            </w:pPr>
            <w:r>
              <w:rPr>
                <w:rFonts w:ascii="Calibri" w:hAnsi="Calibri" w:cs="Calibri"/>
                <w:color w:val="000000"/>
              </w:rPr>
              <w:t>8</w:t>
            </w:r>
          </w:p>
        </w:tc>
        <w:tc>
          <w:tcPr>
            <w:tcW w:w="884" w:type="pct"/>
            <w:tcBorders>
              <w:top w:val="nil"/>
              <w:left w:val="nil"/>
              <w:bottom w:val="single" w:sz="8" w:space="0" w:color="F79646"/>
              <w:right w:val="single" w:sz="8" w:space="0" w:color="F79646"/>
            </w:tcBorders>
            <w:shd w:val="clear" w:color="auto" w:fill="auto"/>
            <w:noWrap/>
            <w:vAlign w:val="center"/>
            <w:hideMark/>
          </w:tcPr>
          <w:p w:rsidR="002E11E6" w:rsidRPr="002F1183" w:rsidRDefault="002E11E6" w:rsidP="00915EB2">
            <w:pPr>
              <w:spacing w:after="0" w:line="240" w:lineRule="auto"/>
              <w:jc w:val="center"/>
              <w:rPr>
                <w:rFonts w:ascii="Calibri" w:eastAsia="Times New Roman" w:hAnsi="Calibri" w:cs="Calibri"/>
                <w:color w:val="000000"/>
                <w:lang w:eastAsia="en-GB"/>
              </w:rPr>
            </w:pPr>
            <w:r>
              <w:rPr>
                <w:rFonts w:ascii="Calibri" w:hAnsi="Calibri" w:cs="Calibri"/>
                <w:color w:val="000000"/>
              </w:rPr>
              <w:t>315</w:t>
            </w:r>
          </w:p>
        </w:tc>
        <w:tc>
          <w:tcPr>
            <w:tcW w:w="894" w:type="pct"/>
            <w:tcBorders>
              <w:top w:val="nil"/>
              <w:left w:val="nil"/>
              <w:bottom w:val="single" w:sz="8" w:space="0" w:color="F79646"/>
              <w:right w:val="single" w:sz="8" w:space="0" w:color="F79646"/>
            </w:tcBorders>
            <w:shd w:val="clear" w:color="auto" w:fill="auto"/>
            <w:noWrap/>
            <w:vAlign w:val="center"/>
            <w:hideMark/>
          </w:tcPr>
          <w:p w:rsidR="002E11E6" w:rsidRPr="002F1183" w:rsidRDefault="002E11E6" w:rsidP="00915EB2">
            <w:pPr>
              <w:spacing w:after="0" w:line="240" w:lineRule="auto"/>
              <w:jc w:val="center"/>
              <w:rPr>
                <w:rFonts w:ascii="Calibri" w:eastAsia="Times New Roman" w:hAnsi="Calibri" w:cs="Calibri"/>
                <w:color w:val="000000"/>
                <w:lang w:eastAsia="en-GB"/>
              </w:rPr>
            </w:pPr>
            <w:r>
              <w:rPr>
                <w:rFonts w:ascii="Calibri" w:hAnsi="Calibri" w:cs="Calibri"/>
                <w:color w:val="000000"/>
              </w:rPr>
              <w:t>88</w:t>
            </w:r>
          </w:p>
        </w:tc>
        <w:tc>
          <w:tcPr>
            <w:tcW w:w="596" w:type="pct"/>
            <w:tcBorders>
              <w:top w:val="nil"/>
              <w:left w:val="nil"/>
              <w:bottom w:val="single" w:sz="8" w:space="0" w:color="F79646"/>
              <w:right w:val="single" w:sz="8" w:space="0" w:color="F79646"/>
            </w:tcBorders>
            <w:shd w:val="clear" w:color="auto" w:fill="auto"/>
            <w:noWrap/>
            <w:vAlign w:val="center"/>
            <w:hideMark/>
          </w:tcPr>
          <w:p w:rsidR="002E11E6" w:rsidRPr="002F1183" w:rsidRDefault="002E11E6" w:rsidP="00915EB2">
            <w:pPr>
              <w:spacing w:after="0" w:line="240" w:lineRule="auto"/>
              <w:jc w:val="center"/>
              <w:rPr>
                <w:rFonts w:ascii="Calibri" w:eastAsia="Times New Roman" w:hAnsi="Calibri" w:cs="Calibri"/>
                <w:color w:val="000000"/>
                <w:lang w:eastAsia="en-GB"/>
              </w:rPr>
            </w:pPr>
            <w:r>
              <w:rPr>
                <w:rFonts w:ascii="Calibri" w:hAnsi="Calibri" w:cs="Calibri"/>
                <w:color w:val="000000"/>
              </w:rPr>
              <w:t>19.5</w:t>
            </w:r>
          </w:p>
        </w:tc>
      </w:tr>
      <w:tr w:rsidR="002E11E6" w:rsidRPr="002F1183" w:rsidTr="002E11E6">
        <w:trPr>
          <w:trHeight w:val="315"/>
        </w:trPr>
        <w:tc>
          <w:tcPr>
            <w:tcW w:w="642" w:type="pct"/>
            <w:tcBorders>
              <w:top w:val="nil"/>
              <w:left w:val="single" w:sz="8" w:space="0" w:color="F79646"/>
              <w:bottom w:val="single" w:sz="8" w:space="0" w:color="F79646"/>
              <w:right w:val="nil"/>
            </w:tcBorders>
            <w:shd w:val="clear" w:color="auto" w:fill="auto"/>
            <w:noWrap/>
            <w:vAlign w:val="center"/>
            <w:hideMark/>
          </w:tcPr>
          <w:p w:rsidR="002E11E6" w:rsidRPr="002F1183" w:rsidRDefault="002E11E6" w:rsidP="00915EB2">
            <w:pPr>
              <w:spacing w:after="0" w:line="240" w:lineRule="auto"/>
              <w:rPr>
                <w:rFonts w:ascii="Calibri" w:eastAsia="Times New Roman" w:hAnsi="Calibri" w:cs="Calibri"/>
                <w:b/>
                <w:bCs/>
                <w:color w:val="000000"/>
                <w:lang w:eastAsia="en-GB"/>
              </w:rPr>
            </w:pPr>
            <w:r>
              <w:rPr>
                <w:rFonts w:ascii="Calibri" w:hAnsi="Calibri" w:cs="Calibri"/>
                <w:b/>
                <w:bCs/>
                <w:color w:val="000000"/>
              </w:rPr>
              <w:t>Nov</w:t>
            </w:r>
          </w:p>
        </w:tc>
        <w:tc>
          <w:tcPr>
            <w:tcW w:w="698" w:type="pct"/>
            <w:tcBorders>
              <w:top w:val="nil"/>
              <w:left w:val="single" w:sz="8" w:space="0" w:color="F79646"/>
              <w:bottom w:val="single" w:sz="8" w:space="0" w:color="F79646"/>
              <w:right w:val="single" w:sz="8" w:space="0" w:color="F79646"/>
            </w:tcBorders>
            <w:shd w:val="clear" w:color="auto" w:fill="auto"/>
            <w:noWrap/>
            <w:vAlign w:val="center"/>
            <w:hideMark/>
          </w:tcPr>
          <w:p w:rsidR="002E11E6" w:rsidRPr="002F1183" w:rsidRDefault="002E11E6" w:rsidP="00915EB2">
            <w:pPr>
              <w:spacing w:after="0" w:line="240" w:lineRule="auto"/>
              <w:jc w:val="center"/>
              <w:rPr>
                <w:rFonts w:ascii="Calibri" w:eastAsia="Times New Roman" w:hAnsi="Calibri" w:cs="Calibri"/>
                <w:color w:val="000000"/>
                <w:lang w:eastAsia="en-GB"/>
              </w:rPr>
            </w:pPr>
            <w:r>
              <w:rPr>
                <w:rFonts w:ascii="Calibri" w:hAnsi="Calibri" w:cs="Calibri"/>
                <w:color w:val="000000"/>
              </w:rPr>
              <w:t>234</w:t>
            </w:r>
          </w:p>
        </w:tc>
        <w:tc>
          <w:tcPr>
            <w:tcW w:w="607" w:type="pct"/>
            <w:tcBorders>
              <w:top w:val="nil"/>
              <w:left w:val="nil"/>
              <w:bottom w:val="single" w:sz="8" w:space="0" w:color="F79646"/>
              <w:right w:val="single" w:sz="8" w:space="0" w:color="F79646"/>
            </w:tcBorders>
            <w:shd w:val="clear" w:color="auto" w:fill="auto"/>
            <w:noWrap/>
            <w:vAlign w:val="center"/>
            <w:hideMark/>
          </w:tcPr>
          <w:p w:rsidR="002E11E6" w:rsidRPr="002F1183" w:rsidRDefault="002E11E6" w:rsidP="00915EB2">
            <w:pPr>
              <w:spacing w:after="0" w:line="240" w:lineRule="auto"/>
              <w:jc w:val="center"/>
              <w:rPr>
                <w:rFonts w:ascii="Calibri" w:eastAsia="Times New Roman" w:hAnsi="Calibri" w:cs="Calibri"/>
                <w:color w:val="000000"/>
                <w:lang w:eastAsia="en-GB"/>
              </w:rPr>
            </w:pPr>
            <w:r>
              <w:rPr>
                <w:rFonts w:ascii="Calibri" w:hAnsi="Calibri" w:cs="Calibri"/>
                <w:color w:val="000000"/>
              </w:rPr>
              <w:t>38</w:t>
            </w:r>
          </w:p>
        </w:tc>
        <w:tc>
          <w:tcPr>
            <w:tcW w:w="679" w:type="pct"/>
            <w:tcBorders>
              <w:top w:val="nil"/>
              <w:left w:val="nil"/>
              <w:bottom w:val="single" w:sz="8" w:space="0" w:color="F79646"/>
              <w:right w:val="single" w:sz="8" w:space="0" w:color="F79646"/>
            </w:tcBorders>
            <w:shd w:val="clear" w:color="auto" w:fill="auto"/>
            <w:noWrap/>
            <w:vAlign w:val="center"/>
            <w:hideMark/>
          </w:tcPr>
          <w:p w:rsidR="002E11E6" w:rsidRPr="002F1183" w:rsidRDefault="002E11E6" w:rsidP="00915EB2">
            <w:pPr>
              <w:spacing w:after="0" w:line="240" w:lineRule="auto"/>
              <w:jc w:val="center"/>
              <w:rPr>
                <w:rFonts w:ascii="Calibri" w:eastAsia="Times New Roman" w:hAnsi="Calibri" w:cs="Calibri"/>
                <w:color w:val="000000"/>
                <w:lang w:eastAsia="en-GB"/>
              </w:rPr>
            </w:pPr>
            <w:r>
              <w:rPr>
                <w:rFonts w:ascii="Calibri" w:hAnsi="Calibri" w:cs="Calibri"/>
                <w:color w:val="000000"/>
              </w:rPr>
              <w:t>6.5</w:t>
            </w:r>
          </w:p>
        </w:tc>
        <w:tc>
          <w:tcPr>
            <w:tcW w:w="884" w:type="pct"/>
            <w:tcBorders>
              <w:top w:val="nil"/>
              <w:left w:val="nil"/>
              <w:bottom w:val="single" w:sz="8" w:space="0" w:color="F79646"/>
              <w:right w:val="single" w:sz="8" w:space="0" w:color="F79646"/>
            </w:tcBorders>
            <w:shd w:val="clear" w:color="auto" w:fill="auto"/>
            <w:noWrap/>
            <w:vAlign w:val="center"/>
            <w:hideMark/>
          </w:tcPr>
          <w:p w:rsidR="002E11E6" w:rsidRPr="002F1183" w:rsidRDefault="002E11E6" w:rsidP="00915EB2">
            <w:pPr>
              <w:spacing w:after="0" w:line="240" w:lineRule="auto"/>
              <w:jc w:val="center"/>
              <w:rPr>
                <w:rFonts w:ascii="Calibri" w:eastAsia="Times New Roman" w:hAnsi="Calibri" w:cs="Calibri"/>
                <w:color w:val="000000"/>
                <w:lang w:eastAsia="en-GB"/>
              </w:rPr>
            </w:pPr>
            <w:r>
              <w:rPr>
                <w:rFonts w:ascii="Calibri" w:hAnsi="Calibri" w:cs="Calibri"/>
                <w:color w:val="000000"/>
              </w:rPr>
              <w:t>382</w:t>
            </w:r>
          </w:p>
        </w:tc>
        <w:tc>
          <w:tcPr>
            <w:tcW w:w="894" w:type="pct"/>
            <w:tcBorders>
              <w:top w:val="nil"/>
              <w:left w:val="nil"/>
              <w:bottom w:val="single" w:sz="8" w:space="0" w:color="F79646"/>
              <w:right w:val="single" w:sz="8" w:space="0" w:color="F79646"/>
            </w:tcBorders>
            <w:shd w:val="clear" w:color="auto" w:fill="auto"/>
            <w:noWrap/>
            <w:vAlign w:val="center"/>
            <w:hideMark/>
          </w:tcPr>
          <w:p w:rsidR="002E11E6" w:rsidRPr="002F1183" w:rsidRDefault="002E11E6" w:rsidP="00915EB2">
            <w:pPr>
              <w:spacing w:after="0" w:line="240" w:lineRule="auto"/>
              <w:jc w:val="center"/>
              <w:rPr>
                <w:rFonts w:ascii="Calibri" w:eastAsia="Times New Roman" w:hAnsi="Calibri" w:cs="Calibri"/>
                <w:color w:val="000000"/>
                <w:lang w:eastAsia="en-GB"/>
              </w:rPr>
            </w:pPr>
            <w:r>
              <w:rPr>
                <w:rFonts w:ascii="Calibri" w:hAnsi="Calibri" w:cs="Calibri"/>
                <w:color w:val="000000"/>
              </w:rPr>
              <w:t>103</w:t>
            </w:r>
          </w:p>
        </w:tc>
        <w:tc>
          <w:tcPr>
            <w:tcW w:w="596" w:type="pct"/>
            <w:tcBorders>
              <w:top w:val="nil"/>
              <w:left w:val="nil"/>
              <w:bottom w:val="single" w:sz="8" w:space="0" w:color="F79646"/>
              <w:right w:val="single" w:sz="8" w:space="0" w:color="F79646"/>
            </w:tcBorders>
            <w:shd w:val="clear" w:color="auto" w:fill="auto"/>
            <w:noWrap/>
            <w:vAlign w:val="center"/>
            <w:hideMark/>
          </w:tcPr>
          <w:p w:rsidR="002E11E6" w:rsidRPr="002F1183" w:rsidRDefault="002E11E6" w:rsidP="00915EB2">
            <w:pPr>
              <w:spacing w:after="0" w:line="240" w:lineRule="auto"/>
              <w:jc w:val="center"/>
              <w:rPr>
                <w:rFonts w:ascii="Calibri" w:eastAsia="Times New Roman" w:hAnsi="Calibri" w:cs="Calibri"/>
                <w:color w:val="000000"/>
                <w:lang w:eastAsia="en-GB"/>
              </w:rPr>
            </w:pPr>
            <w:r>
              <w:rPr>
                <w:rFonts w:ascii="Calibri" w:hAnsi="Calibri" w:cs="Calibri"/>
                <w:color w:val="000000"/>
              </w:rPr>
              <w:t>24</w:t>
            </w:r>
          </w:p>
        </w:tc>
      </w:tr>
      <w:tr w:rsidR="002E11E6" w:rsidRPr="002F1183" w:rsidTr="002E11E6">
        <w:trPr>
          <w:trHeight w:val="315"/>
        </w:trPr>
        <w:tc>
          <w:tcPr>
            <w:tcW w:w="642" w:type="pct"/>
            <w:tcBorders>
              <w:top w:val="nil"/>
              <w:left w:val="single" w:sz="8" w:space="0" w:color="F79646"/>
              <w:bottom w:val="single" w:sz="8" w:space="0" w:color="F79646"/>
              <w:right w:val="nil"/>
            </w:tcBorders>
            <w:shd w:val="clear" w:color="auto" w:fill="auto"/>
            <w:noWrap/>
            <w:vAlign w:val="center"/>
            <w:hideMark/>
          </w:tcPr>
          <w:p w:rsidR="002E11E6" w:rsidRPr="002F1183" w:rsidRDefault="002E11E6" w:rsidP="00915EB2">
            <w:pPr>
              <w:spacing w:after="0" w:line="240" w:lineRule="auto"/>
              <w:rPr>
                <w:rFonts w:ascii="Calibri" w:eastAsia="Times New Roman" w:hAnsi="Calibri" w:cs="Calibri"/>
                <w:b/>
                <w:bCs/>
                <w:color w:val="000000"/>
                <w:lang w:eastAsia="en-GB"/>
              </w:rPr>
            </w:pPr>
            <w:r>
              <w:rPr>
                <w:rFonts w:ascii="Calibri" w:hAnsi="Calibri" w:cs="Calibri"/>
                <w:b/>
                <w:bCs/>
                <w:color w:val="000000"/>
              </w:rPr>
              <w:t>Dec</w:t>
            </w:r>
          </w:p>
        </w:tc>
        <w:tc>
          <w:tcPr>
            <w:tcW w:w="698" w:type="pct"/>
            <w:tcBorders>
              <w:top w:val="nil"/>
              <w:left w:val="single" w:sz="8" w:space="0" w:color="F79646"/>
              <w:bottom w:val="single" w:sz="8" w:space="0" w:color="F79646"/>
              <w:right w:val="single" w:sz="8" w:space="0" w:color="F79646"/>
            </w:tcBorders>
            <w:shd w:val="clear" w:color="auto" w:fill="auto"/>
            <w:noWrap/>
            <w:vAlign w:val="center"/>
            <w:hideMark/>
          </w:tcPr>
          <w:p w:rsidR="002E11E6" w:rsidRPr="002F1183" w:rsidRDefault="002E11E6" w:rsidP="00915EB2">
            <w:pPr>
              <w:spacing w:after="0" w:line="240" w:lineRule="auto"/>
              <w:jc w:val="center"/>
              <w:rPr>
                <w:rFonts w:ascii="Calibri" w:eastAsia="Times New Roman" w:hAnsi="Calibri" w:cs="Calibri"/>
                <w:color w:val="000000"/>
                <w:lang w:eastAsia="en-GB"/>
              </w:rPr>
            </w:pPr>
            <w:r>
              <w:rPr>
                <w:rFonts w:ascii="Calibri" w:hAnsi="Calibri" w:cs="Calibri"/>
                <w:color w:val="000000"/>
              </w:rPr>
              <w:t>196</w:t>
            </w:r>
          </w:p>
        </w:tc>
        <w:tc>
          <w:tcPr>
            <w:tcW w:w="607" w:type="pct"/>
            <w:tcBorders>
              <w:top w:val="nil"/>
              <w:left w:val="nil"/>
              <w:bottom w:val="single" w:sz="8" w:space="0" w:color="F79646"/>
              <w:right w:val="single" w:sz="8" w:space="0" w:color="F79646"/>
            </w:tcBorders>
            <w:shd w:val="clear" w:color="auto" w:fill="auto"/>
            <w:noWrap/>
            <w:vAlign w:val="center"/>
            <w:hideMark/>
          </w:tcPr>
          <w:p w:rsidR="002E11E6" w:rsidRPr="002F1183" w:rsidRDefault="002E11E6" w:rsidP="00915EB2">
            <w:pPr>
              <w:spacing w:after="0" w:line="240" w:lineRule="auto"/>
              <w:jc w:val="center"/>
              <w:rPr>
                <w:rFonts w:ascii="Calibri" w:eastAsia="Times New Roman" w:hAnsi="Calibri" w:cs="Calibri"/>
                <w:color w:val="000000"/>
                <w:lang w:eastAsia="en-GB"/>
              </w:rPr>
            </w:pPr>
            <w:r>
              <w:rPr>
                <w:rFonts w:ascii="Calibri" w:hAnsi="Calibri" w:cs="Calibri"/>
                <w:color w:val="000000"/>
              </w:rPr>
              <w:t>47</w:t>
            </w:r>
          </w:p>
        </w:tc>
        <w:tc>
          <w:tcPr>
            <w:tcW w:w="679" w:type="pct"/>
            <w:tcBorders>
              <w:top w:val="nil"/>
              <w:left w:val="nil"/>
              <w:bottom w:val="single" w:sz="8" w:space="0" w:color="F79646"/>
              <w:right w:val="single" w:sz="8" w:space="0" w:color="F79646"/>
            </w:tcBorders>
            <w:shd w:val="clear" w:color="auto" w:fill="auto"/>
            <w:noWrap/>
            <w:vAlign w:val="center"/>
            <w:hideMark/>
          </w:tcPr>
          <w:p w:rsidR="002E11E6" w:rsidRPr="002F1183" w:rsidRDefault="002E11E6" w:rsidP="00915EB2">
            <w:pPr>
              <w:spacing w:after="0" w:line="240" w:lineRule="auto"/>
              <w:jc w:val="center"/>
              <w:rPr>
                <w:rFonts w:ascii="Calibri" w:eastAsia="Times New Roman" w:hAnsi="Calibri" w:cs="Calibri"/>
                <w:color w:val="000000"/>
                <w:lang w:eastAsia="en-GB"/>
              </w:rPr>
            </w:pPr>
            <w:r>
              <w:rPr>
                <w:rFonts w:ascii="Calibri" w:hAnsi="Calibri" w:cs="Calibri"/>
                <w:color w:val="000000"/>
              </w:rPr>
              <w:t>16</w:t>
            </w:r>
          </w:p>
        </w:tc>
        <w:tc>
          <w:tcPr>
            <w:tcW w:w="884" w:type="pct"/>
            <w:tcBorders>
              <w:top w:val="nil"/>
              <w:left w:val="nil"/>
              <w:bottom w:val="single" w:sz="8" w:space="0" w:color="F79646"/>
              <w:right w:val="single" w:sz="8" w:space="0" w:color="F79646"/>
            </w:tcBorders>
            <w:shd w:val="clear" w:color="auto" w:fill="auto"/>
            <w:noWrap/>
            <w:vAlign w:val="center"/>
            <w:hideMark/>
          </w:tcPr>
          <w:p w:rsidR="002E11E6" w:rsidRPr="002F1183" w:rsidRDefault="002E11E6" w:rsidP="00915EB2">
            <w:pPr>
              <w:spacing w:after="0" w:line="240" w:lineRule="auto"/>
              <w:jc w:val="center"/>
              <w:rPr>
                <w:rFonts w:ascii="Calibri" w:eastAsia="Times New Roman" w:hAnsi="Calibri" w:cs="Calibri"/>
                <w:color w:val="000000"/>
                <w:lang w:eastAsia="en-GB"/>
              </w:rPr>
            </w:pPr>
            <w:r>
              <w:rPr>
                <w:rFonts w:ascii="Calibri" w:hAnsi="Calibri" w:cs="Calibri"/>
                <w:color w:val="000000"/>
              </w:rPr>
              <w:t>321</w:t>
            </w:r>
          </w:p>
        </w:tc>
        <w:tc>
          <w:tcPr>
            <w:tcW w:w="894" w:type="pct"/>
            <w:tcBorders>
              <w:top w:val="nil"/>
              <w:left w:val="nil"/>
              <w:bottom w:val="single" w:sz="8" w:space="0" w:color="F79646"/>
              <w:right w:val="single" w:sz="8" w:space="0" w:color="F79646"/>
            </w:tcBorders>
            <w:shd w:val="clear" w:color="auto" w:fill="auto"/>
            <w:noWrap/>
            <w:vAlign w:val="center"/>
            <w:hideMark/>
          </w:tcPr>
          <w:p w:rsidR="002E11E6" w:rsidRPr="002F1183" w:rsidRDefault="002E11E6" w:rsidP="00915EB2">
            <w:pPr>
              <w:spacing w:after="0" w:line="240" w:lineRule="auto"/>
              <w:jc w:val="center"/>
              <w:rPr>
                <w:rFonts w:ascii="Calibri" w:eastAsia="Times New Roman" w:hAnsi="Calibri" w:cs="Calibri"/>
                <w:color w:val="000000"/>
                <w:lang w:eastAsia="en-GB"/>
              </w:rPr>
            </w:pPr>
            <w:r>
              <w:rPr>
                <w:rFonts w:ascii="Calibri" w:hAnsi="Calibri" w:cs="Calibri"/>
                <w:color w:val="000000"/>
              </w:rPr>
              <w:t>180</w:t>
            </w:r>
          </w:p>
        </w:tc>
        <w:tc>
          <w:tcPr>
            <w:tcW w:w="596" w:type="pct"/>
            <w:tcBorders>
              <w:top w:val="nil"/>
              <w:left w:val="nil"/>
              <w:bottom w:val="single" w:sz="8" w:space="0" w:color="F79646"/>
              <w:right w:val="single" w:sz="8" w:space="0" w:color="F79646"/>
            </w:tcBorders>
            <w:shd w:val="clear" w:color="auto" w:fill="auto"/>
            <w:noWrap/>
            <w:vAlign w:val="center"/>
            <w:hideMark/>
          </w:tcPr>
          <w:p w:rsidR="002E11E6" w:rsidRPr="002F1183" w:rsidRDefault="002E11E6" w:rsidP="00915EB2">
            <w:pPr>
              <w:spacing w:after="0" w:line="240" w:lineRule="auto"/>
              <w:jc w:val="center"/>
              <w:rPr>
                <w:rFonts w:ascii="Calibri" w:eastAsia="Times New Roman" w:hAnsi="Calibri" w:cs="Calibri"/>
                <w:color w:val="000000"/>
                <w:lang w:eastAsia="en-GB"/>
              </w:rPr>
            </w:pPr>
            <w:r>
              <w:rPr>
                <w:rFonts w:ascii="Calibri" w:hAnsi="Calibri" w:cs="Calibri"/>
                <w:color w:val="000000"/>
              </w:rPr>
              <w:t>32</w:t>
            </w:r>
          </w:p>
        </w:tc>
      </w:tr>
      <w:tr w:rsidR="002E11E6" w:rsidRPr="002F1183" w:rsidTr="002E11E6">
        <w:trPr>
          <w:trHeight w:val="315"/>
        </w:trPr>
        <w:tc>
          <w:tcPr>
            <w:tcW w:w="642" w:type="pct"/>
            <w:tcBorders>
              <w:top w:val="nil"/>
              <w:left w:val="single" w:sz="8" w:space="0" w:color="F79646"/>
              <w:bottom w:val="single" w:sz="8" w:space="0" w:color="F79646"/>
              <w:right w:val="nil"/>
            </w:tcBorders>
            <w:shd w:val="clear" w:color="auto" w:fill="auto"/>
            <w:noWrap/>
            <w:vAlign w:val="center"/>
            <w:hideMark/>
          </w:tcPr>
          <w:p w:rsidR="002E11E6" w:rsidRPr="002F1183" w:rsidRDefault="002E11E6" w:rsidP="00915EB2">
            <w:pPr>
              <w:spacing w:after="0" w:line="240" w:lineRule="auto"/>
              <w:rPr>
                <w:rFonts w:ascii="Calibri" w:eastAsia="Times New Roman" w:hAnsi="Calibri" w:cs="Calibri"/>
                <w:b/>
                <w:bCs/>
                <w:color w:val="000000"/>
                <w:lang w:eastAsia="en-GB"/>
              </w:rPr>
            </w:pPr>
            <w:r>
              <w:rPr>
                <w:rFonts w:ascii="Calibri" w:hAnsi="Calibri" w:cs="Calibri"/>
                <w:b/>
                <w:bCs/>
                <w:color w:val="000000"/>
              </w:rPr>
              <w:t>Jan</w:t>
            </w:r>
          </w:p>
        </w:tc>
        <w:tc>
          <w:tcPr>
            <w:tcW w:w="698" w:type="pct"/>
            <w:tcBorders>
              <w:top w:val="nil"/>
              <w:left w:val="single" w:sz="8" w:space="0" w:color="F79646"/>
              <w:bottom w:val="single" w:sz="8" w:space="0" w:color="F79646"/>
              <w:right w:val="single" w:sz="8" w:space="0" w:color="F79646"/>
            </w:tcBorders>
            <w:shd w:val="clear" w:color="auto" w:fill="auto"/>
            <w:noWrap/>
            <w:vAlign w:val="center"/>
            <w:hideMark/>
          </w:tcPr>
          <w:p w:rsidR="002E11E6" w:rsidRPr="002F1183" w:rsidRDefault="002E11E6" w:rsidP="00915EB2">
            <w:pPr>
              <w:spacing w:after="0" w:line="240" w:lineRule="auto"/>
              <w:jc w:val="center"/>
              <w:rPr>
                <w:rFonts w:ascii="Calibri" w:eastAsia="Times New Roman" w:hAnsi="Calibri" w:cs="Calibri"/>
                <w:color w:val="000000"/>
                <w:lang w:eastAsia="en-GB"/>
              </w:rPr>
            </w:pPr>
            <w:r>
              <w:rPr>
                <w:rFonts w:ascii="Calibri" w:hAnsi="Calibri" w:cs="Calibri"/>
                <w:color w:val="000000"/>
              </w:rPr>
              <w:t>233</w:t>
            </w:r>
          </w:p>
        </w:tc>
        <w:tc>
          <w:tcPr>
            <w:tcW w:w="607" w:type="pct"/>
            <w:tcBorders>
              <w:top w:val="nil"/>
              <w:left w:val="nil"/>
              <w:bottom w:val="single" w:sz="8" w:space="0" w:color="F79646"/>
              <w:right w:val="single" w:sz="8" w:space="0" w:color="F79646"/>
            </w:tcBorders>
            <w:shd w:val="clear" w:color="auto" w:fill="auto"/>
            <w:noWrap/>
            <w:vAlign w:val="center"/>
            <w:hideMark/>
          </w:tcPr>
          <w:p w:rsidR="002E11E6" w:rsidRPr="002F1183" w:rsidRDefault="002E11E6" w:rsidP="00915EB2">
            <w:pPr>
              <w:spacing w:after="0" w:line="240" w:lineRule="auto"/>
              <w:jc w:val="center"/>
              <w:rPr>
                <w:rFonts w:ascii="Calibri" w:eastAsia="Times New Roman" w:hAnsi="Calibri" w:cs="Calibri"/>
                <w:color w:val="000000"/>
                <w:lang w:eastAsia="en-GB"/>
              </w:rPr>
            </w:pPr>
            <w:r>
              <w:rPr>
                <w:rFonts w:ascii="Calibri" w:hAnsi="Calibri" w:cs="Calibri"/>
                <w:color w:val="000000"/>
              </w:rPr>
              <w:t>81</w:t>
            </w:r>
          </w:p>
        </w:tc>
        <w:tc>
          <w:tcPr>
            <w:tcW w:w="679" w:type="pct"/>
            <w:tcBorders>
              <w:top w:val="nil"/>
              <w:left w:val="nil"/>
              <w:bottom w:val="single" w:sz="8" w:space="0" w:color="F79646"/>
              <w:right w:val="single" w:sz="8" w:space="0" w:color="F79646"/>
            </w:tcBorders>
            <w:shd w:val="clear" w:color="auto" w:fill="auto"/>
            <w:noWrap/>
            <w:vAlign w:val="center"/>
            <w:hideMark/>
          </w:tcPr>
          <w:p w:rsidR="002E11E6" w:rsidRPr="002F1183" w:rsidRDefault="002E11E6" w:rsidP="00915EB2">
            <w:pPr>
              <w:spacing w:after="0" w:line="240" w:lineRule="auto"/>
              <w:jc w:val="center"/>
              <w:rPr>
                <w:rFonts w:ascii="Calibri" w:eastAsia="Times New Roman" w:hAnsi="Calibri" w:cs="Calibri"/>
                <w:color w:val="000000"/>
                <w:lang w:eastAsia="en-GB"/>
              </w:rPr>
            </w:pPr>
            <w:r>
              <w:rPr>
                <w:rFonts w:ascii="Calibri" w:hAnsi="Calibri" w:cs="Calibri"/>
                <w:color w:val="000000"/>
              </w:rPr>
              <w:t>10</w:t>
            </w:r>
          </w:p>
        </w:tc>
        <w:tc>
          <w:tcPr>
            <w:tcW w:w="884" w:type="pct"/>
            <w:tcBorders>
              <w:top w:val="nil"/>
              <w:left w:val="nil"/>
              <w:bottom w:val="single" w:sz="8" w:space="0" w:color="F79646"/>
              <w:right w:val="single" w:sz="8" w:space="0" w:color="F79646"/>
            </w:tcBorders>
            <w:shd w:val="clear" w:color="auto" w:fill="auto"/>
            <w:noWrap/>
            <w:vAlign w:val="center"/>
            <w:hideMark/>
          </w:tcPr>
          <w:p w:rsidR="002E11E6" w:rsidRPr="002F1183" w:rsidRDefault="002E11E6" w:rsidP="00915EB2">
            <w:pPr>
              <w:spacing w:after="0" w:line="240" w:lineRule="auto"/>
              <w:jc w:val="center"/>
              <w:rPr>
                <w:rFonts w:ascii="Calibri" w:eastAsia="Times New Roman" w:hAnsi="Calibri" w:cs="Calibri"/>
                <w:color w:val="000000"/>
                <w:lang w:eastAsia="en-GB"/>
              </w:rPr>
            </w:pPr>
            <w:r>
              <w:rPr>
                <w:rFonts w:ascii="Calibri" w:hAnsi="Calibri" w:cs="Calibri"/>
                <w:color w:val="000000"/>
              </w:rPr>
              <w:t>381</w:t>
            </w:r>
          </w:p>
        </w:tc>
        <w:tc>
          <w:tcPr>
            <w:tcW w:w="894" w:type="pct"/>
            <w:tcBorders>
              <w:top w:val="nil"/>
              <w:left w:val="nil"/>
              <w:bottom w:val="single" w:sz="8" w:space="0" w:color="F79646"/>
              <w:right w:val="single" w:sz="8" w:space="0" w:color="F79646"/>
            </w:tcBorders>
            <w:shd w:val="clear" w:color="auto" w:fill="auto"/>
            <w:noWrap/>
            <w:vAlign w:val="center"/>
            <w:hideMark/>
          </w:tcPr>
          <w:p w:rsidR="002E11E6" w:rsidRPr="002F1183" w:rsidRDefault="002E11E6" w:rsidP="00915EB2">
            <w:pPr>
              <w:spacing w:after="0" w:line="240" w:lineRule="auto"/>
              <w:jc w:val="center"/>
              <w:rPr>
                <w:rFonts w:ascii="Calibri" w:eastAsia="Times New Roman" w:hAnsi="Calibri" w:cs="Calibri"/>
                <w:color w:val="000000"/>
                <w:lang w:eastAsia="en-GB"/>
              </w:rPr>
            </w:pPr>
            <w:r>
              <w:rPr>
                <w:rFonts w:ascii="Calibri" w:hAnsi="Calibri" w:cs="Calibri"/>
                <w:color w:val="000000"/>
              </w:rPr>
              <w:t>188</w:t>
            </w:r>
          </w:p>
        </w:tc>
        <w:tc>
          <w:tcPr>
            <w:tcW w:w="596" w:type="pct"/>
            <w:tcBorders>
              <w:top w:val="nil"/>
              <w:left w:val="nil"/>
              <w:bottom w:val="single" w:sz="8" w:space="0" w:color="F79646"/>
              <w:right w:val="single" w:sz="8" w:space="0" w:color="F79646"/>
            </w:tcBorders>
            <w:shd w:val="clear" w:color="auto" w:fill="auto"/>
            <w:noWrap/>
            <w:vAlign w:val="center"/>
            <w:hideMark/>
          </w:tcPr>
          <w:p w:rsidR="002E11E6" w:rsidRPr="002F1183" w:rsidRDefault="002E11E6" w:rsidP="00915EB2">
            <w:pPr>
              <w:spacing w:after="0" w:line="240" w:lineRule="auto"/>
              <w:jc w:val="center"/>
              <w:rPr>
                <w:rFonts w:ascii="Calibri" w:eastAsia="Times New Roman" w:hAnsi="Calibri" w:cs="Calibri"/>
                <w:color w:val="000000"/>
                <w:lang w:eastAsia="en-GB"/>
              </w:rPr>
            </w:pPr>
            <w:r>
              <w:rPr>
                <w:rFonts w:ascii="Calibri" w:hAnsi="Calibri" w:cs="Calibri"/>
                <w:color w:val="000000"/>
              </w:rPr>
              <w:t>18.5</w:t>
            </w:r>
          </w:p>
        </w:tc>
      </w:tr>
      <w:tr w:rsidR="00602851" w:rsidRPr="002F1183" w:rsidTr="00602851">
        <w:trPr>
          <w:trHeight w:val="315"/>
        </w:trPr>
        <w:tc>
          <w:tcPr>
            <w:tcW w:w="642" w:type="pct"/>
            <w:tcBorders>
              <w:top w:val="nil"/>
              <w:left w:val="single" w:sz="8" w:space="0" w:color="F79646"/>
              <w:bottom w:val="single" w:sz="8" w:space="0" w:color="F79646"/>
              <w:right w:val="nil"/>
            </w:tcBorders>
            <w:shd w:val="clear" w:color="auto" w:fill="auto"/>
            <w:noWrap/>
            <w:vAlign w:val="center"/>
            <w:hideMark/>
          </w:tcPr>
          <w:p w:rsidR="002E11E6" w:rsidRPr="002F1183" w:rsidRDefault="002E11E6" w:rsidP="00915EB2">
            <w:pPr>
              <w:spacing w:after="0" w:line="240" w:lineRule="auto"/>
              <w:rPr>
                <w:rFonts w:ascii="Calibri" w:eastAsia="Times New Roman" w:hAnsi="Calibri" w:cs="Calibri"/>
                <w:b/>
                <w:bCs/>
                <w:color w:val="000000"/>
                <w:lang w:eastAsia="en-GB"/>
              </w:rPr>
            </w:pPr>
            <w:r>
              <w:rPr>
                <w:rFonts w:ascii="Calibri" w:hAnsi="Calibri" w:cs="Calibri"/>
                <w:b/>
                <w:bCs/>
                <w:color w:val="000000"/>
              </w:rPr>
              <w:t>Feb</w:t>
            </w:r>
          </w:p>
        </w:tc>
        <w:tc>
          <w:tcPr>
            <w:tcW w:w="698" w:type="pct"/>
            <w:tcBorders>
              <w:top w:val="nil"/>
              <w:left w:val="single" w:sz="8" w:space="0" w:color="F79646"/>
              <w:bottom w:val="single" w:sz="8" w:space="0" w:color="F79646"/>
              <w:right w:val="single" w:sz="8" w:space="0" w:color="F79646"/>
            </w:tcBorders>
            <w:shd w:val="clear" w:color="auto" w:fill="auto"/>
            <w:noWrap/>
            <w:vAlign w:val="center"/>
            <w:hideMark/>
          </w:tcPr>
          <w:p w:rsidR="002E11E6" w:rsidRPr="002F1183" w:rsidRDefault="002E11E6" w:rsidP="00915EB2">
            <w:pPr>
              <w:spacing w:after="0" w:line="240" w:lineRule="auto"/>
              <w:jc w:val="center"/>
              <w:rPr>
                <w:rFonts w:ascii="Calibri" w:eastAsia="Times New Roman" w:hAnsi="Calibri" w:cs="Calibri"/>
                <w:color w:val="000000"/>
                <w:lang w:eastAsia="en-GB"/>
              </w:rPr>
            </w:pPr>
            <w:r>
              <w:rPr>
                <w:rFonts w:ascii="Calibri" w:hAnsi="Calibri" w:cs="Calibri"/>
                <w:color w:val="000000"/>
              </w:rPr>
              <w:t>216</w:t>
            </w:r>
          </w:p>
        </w:tc>
        <w:tc>
          <w:tcPr>
            <w:tcW w:w="607" w:type="pct"/>
            <w:tcBorders>
              <w:top w:val="nil"/>
              <w:left w:val="nil"/>
              <w:bottom w:val="single" w:sz="8" w:space="0" w:color="F79646"/>
              <w:right w:val="single" w:sz="8" w:space="0" w:color="F79646"/>
            </w:tcBorders>
            <w:shd w:val="clear" w:color="auto" w:fill="auto"/>
            <w:noWrap/>
            <w:vAlign w:val="center"/>
            <w:hideMark/>
          </w:tcPr>
          <w:p w:rsidR="002E11E6" w:rsidRPr="002F1183" w:rsidRDefault="002E11E6" w:rsidP="00915EB2">
            <w:pPr>
              <w:spacing w:after="0" w:line="240" w:lineRule="auto"/>
              <w:jc w:val="center"/>
              <w:rPr>
                <w:rFonts w:ascii="Calibri" w:eastAsia="Times New Roman" w:hAnsi="Calibri" w:cs="Calibri"/>
                <w:color w:val="000000"/>
                <w:lang w:eastAsia="en-GB"/>
              </w:rPr>
            </w:pPr>
            <w:r>
              <w:rPr>
                <w:rFonts w:ascii="Calibri" w:hAnsi="Calibri" w:cs="Calibri"/>
                <w:color w:val="000000"/>
              </w:rPr>
              <w:t>49</w:t>
            </w:r>
          </w:p>
        </w:tc>
        <w:tc>
          <w:tcPr>
            <w:tcW w:w="679" w:type="pct"/>
            <w:tcBorders>
              <w:top w:val="nil"/>
              <w:left w:val="nil"/>
              <w:bottom w:val="single" w:sz="8" w:space="0" w:color="F79646"/>
              <w:right w:val="single" w:sz="8" w:space="0" w:color="F79646"/>
            </w:tcBorders>
            <w:shd w:val="clear" w:color="auto" w:fill="auto"/>
            <w:noWrap/>
            <w:vAlign w:val="center"/>
            <w:hideMark/>
          </w:tcPr>
          <w:p w:rsidR="002E11E6" w:rsidRPr="002F1183" w:rsidRDefault="002E11E6" w:rsidP="00915EB2">
            <w:pPr>
              <w:spacing w:after="0" w:line="240" w:lineRule="auto"/>
              <w:jc w:val="center"/>
              <w:rPr>
                <w:rFonts w:ascii="Calibri" w:eastAsia="Times New Roman" w:hAnsi="Calibri" w:cs="Calibri"/>
                <w:color w:val="000000"/>
                <w:lang w:eastAsia="en-GB"/>
              </w:rPr>
            </w:pPr>
            <w:r>
              <w:rPr>
                <w:rFonts w:ascii="Calibri" w:hAnsi="Calibri" w:cs="Calibri"/>
                <w:color w:val="000000"/>
              </w:rPr>
              <w:t>10</w:t>
            </w:r>
          </w:p>
        </w:tc>
        <w:tc>
          <w:tcPr>
            <w:tcW w:w="884" w:type="pct"/>
            <w:tcBorders>
              <w:top w:val="nil"/>
              <w:left w:val="nil"/>
              <w:bottom w:val="single" w:sz="8" w:space="0" w:color="F79646"/>
              <w:right w:val="single" w:sz="8" w:space="0" w:color="F79646"/>
            </w:tcBorders>
            <w:shd w:val="clear" w:color="auto" w:fill="auto"/>
            <w:noWrap/>
            <w:vAlign w:val="center"/>
            <w:hideMark/>
          </w:tcPr>
          <w:p w:rsidR="002E11E6" w:rsidRPr="002F1183" w:rsidRDefault="002E11E6" w:rsidP="00915EB2">
            <w:pPr>
              <w:spacing w:after="0" w:line="240" w:lineRule="auto"/>
              <w:jc w:val="center"/>
              <w:rPr>
                <w:rFonts w:ascii="Calibri" w:eastAsia="Times New Roman" w:hAnsi="Calibri" w:cs="Calibri"/>
                <w:color w:val="000000"/>
                <w:lang w:eastAsia="en-GB"/>
              </w:rPr>
            </w:pPr>
            <w:r>
              <w:rPr>
                <w:rFonts w:ascii="Calibri" w:hAnsi="Calibri" w:cs="Calibri"/>
                <w:color w:val="000000"/>
              </w:rPr>
              <w:t>379</w:t>
            </w:r>
          </w:p>
        </w:tc>
        <w:tc>
          <w:tcPr>
            <w:tcW w:w="894" w:type="pct"/>
            <w:tcBorders>
              <w:top w:val="nil"/>
              <w:left w:val="nil"/>
              <w:bottom w:val="single" w:sz="8" w:space="0" w:color="F79646"/>
              <w:right w:val="single" w:sz="8" w:space="0" w:color="F79646"/>
            </w:tcBorders>
            <w:shd w:val="clear" w:color="auto" w:fill="auto"/>
            <w:noWrap/>
            <w:vAlign w:val="center"/>
            <w:hideMark/>
          </w:tcPr>
          <w:p w:rsidR="002E11E6" w:rsidRPr="002F1183" w:rsidRDefault="002E11E6" w:rsidP="00915EB2">
            <w:pPr>
              <w:spacing w:after="0" w:line="240" w:lineRule="auto"/>
              <w:jc w:val="center"/>
              <w:rPr>
                <w:rFonts w:ascii="Calibri" w:eastAsia="Times New Roman" w:hAnsi="Calibri" w:cs="Calibri"/>
                <w:color w:val="000000"/>
                <w:lang w:eastAsia="en-GB"/>
              </w:rPr>
            </w:pPr>
            <w:r>
              <w:rPr>
                <w:rFonts w:ascii="Calibri" w:hAnsi="Calibri" w:cs="Calibri"/>
                <w:color w:val="000000"/>
              </w:rPr>
              <w:t>125</w:t>
            </w:r>
          </w:p>
        </w:tc>
        <w:tc>
          <w:tcPr>
            <w:tcW w:w="596" w:type="pct"/>
            <w:tcBorders>
              <w:top w:val="nil"/>
              <w:left w:val="nil"/>
              <w:bottom w:val="single" w:sz="8" w:space="0" w:color="F79646"/>
              <w:right w:val="single" w:sz="8" w:space="0" w:color="F79646"/>
            </w:tcBorders>
            <w:shd w:val="clear" w:color="auto" w:fill="auto"/>
            <w:noWrap/>
            <w:vAlign w:val="center"/>
            <w:hideMark/>
          </w:tcPr>
          <w:p w:rsidR="002E11E6" w:rsidRPr="002F1183" w:rsidRDefault="002E11E6" w:rsidP="00915EB2">
            <w:pPr>
              <w:spacing w:after="0" w:line="240" w:lineRule="auto"/>
              <w:jc w:val="center"/>
              <w:rPr>
                <w:rFonts w:ascii="Calibri" w:eastAsia="Times New Roman" w:hAnsi="Calibri" w:cs="Calibri"/>
                <w:color w:val="000000"/>
                <w:lang w:eastAsia="en-GB"/>
              </w:rPr>
            </w:pPr>
            <w:r>
              <w:rPr>
                <w:rFonts w:ascii="Calibri" w:hAnsi="Calibri" w:cs="Calibri"/>
                <w:color w:val="000000"/>
              </w:rPr>
              <w:t>11</w:t>
            </w:r>
          </w:p>
        </w:tc>
      </w:tr>
      <w:tr w:rsidR="00602851" w:rsidRPr="002F1183" w:rsidTr="00602851">
        <w:trPr>
          <w:trHeight w:val="315"/>
        </w:trPr>
        <w:tc>
          <w:tcPr>
            <w:tcW w:w="642" w:type="pct"/>
            <w:tcBorders>
              <w:top w:val="single" w:sz="8" w:space="0" w:color="F79646"/>
              <w:left w:val="single" w:sz="8" w:space="0" w:color="F79646"/>
              <w:bottom w:val="single" w:sz="8" w:space="0" w:color="F79646"/>
              <w:right w:val="nil"/>
            </w:tcBorders>
            <w:shd w:val="clear" w:color="auto" w:fill="auto"/>
            <w:noWrap/>
            <w:vAlign w:val="center"/>
          </w:tcPr>
          <w:p w:rsidR="002E11E6" w:rsidRPr="002F1183" w:rsidRDefault="002E11E6" w:rsidP="00915EB2">
            <w:pPr>
              <w:spacing w:after="0" w:line="240" w:lineRule="auto"/>
              <w:rPr>
                <w:rFonts w:ascii="Calibri" w:eastAsia="Times New Roman" w:hAnsi="Calibri" w:cs="Calibri"/>
                <w:b/>
                <w:bCs/>
                <w:color w:val="000000"/>
                <w:lang w:eastAsia="en-GB"/>
              </w:rPr>
            </w:pPr>
            <w:r>
              <w:rPr>
                <w:rFonts w:ascii="Calibri" w:hAnsi="Calibri" w:cs="Calibri"/>
                <w:b/>
                <w:bCs/>
                <w:color w:val="000000"/>
              </w:rPr>
              <w:t>Mar</w:t>
            </w:r>
          </w:p>
        </w:tc>
        <w:tc>
          <w:tcPr>
            <w:tcW w:w="698" w:type="pct"/>
            <w:tcBorders>
              <w:top w:val="single" w:sz="8" w:space="0" w:color="F79646"/>
              <w:left w:val="single" w:sz="8" w:space="0" w:color="F79646"/>
              <w:bottom w:val="single" w:sz="8" w:space="0" w:color="F79646"/>
              <w:right w:val="single" w:sz="8" w:space="0" w:color="F79646"/>
            </w:tcBorders>
            <w:shd w:val="clear" w:color="auto" w:fill="auto"/>
            <w:noWrap/>
            <w:vAlign w:val="center"/>
          </w:tcPr>
          <w:p w:rsidR="002E11E6" w:rsidRPr="002F1183" w:rsidRDefault="002E11E6" w:rsidP="00915EB2">
            <w:pPr>
              <w:spacing w:after="0" w:line="240" w:lineRule="auto"/>
              <w:jc w:val="center"/>
              <w:rPr>
                <w:rFonts w:ascii="Calibri" w:eastAsia="Times New Roman" w:hAnsi="Calibri" w:cs="Calibri"/>
                <w:color w:val="000000"/>
                <w:lang w:eastAsia="en-GB"/>
              </w:rPr>
            </w:pPr>
            <w:r>
              <w:rPr>
                <w:rFonts w:ascii="Calibri" w:hAnsi="Calibri" w:cs="Calibri"/>
                <w:color w:val="000000"/>
              </w:rPr>
              <w:t>195</w:t>
            </w:r>
          </w:p>
        </w:tc>
        <w:tc>
          <w:tcPr>
            <w:tcW w:w="607" w:type="pct"/>
            <w:tcBorders>
              <w:top w:val="single" w:sz="8" w:space="0" w:color="F79646"/>
              <w:left w:val="nil"/>
              <w:bottom w:val="single" w:sz="8" w:space="0" w:color="F79646"/>
              <w:right w:val="single" w:sz="8" w:space="0" w:color="F79646"/>
            </w:tcBorders>
            <w:shd w:val="clear" w:color="auto" w:fill="auto"/>
            <w:noWrap/>
            <w:vAlign w:val="center"/>
          </w:tcPr>
          <w:p w:rsidR="002E11E6" w:rsidRPr="002F1183" w:rsidRDefault="002E11E6" w:rsidP="00915EB2">
            <w:pPr>
              <w:spacing w:after="0" w:line="240" w:lineRule="auto"/>
              <w:jc w:val="center"/>
              <w:rPr>
                <w:rFonts w:ascii="Calibri" w:eastAsia="Times New Roman" w:hAnsi="Calibri" w:cs="Calibri"/>
                <w:color w:val="000000"/>
                <w:lang w:eastAsia="en-GB"/>
              </w:rPr>
            </w:pPr>
            <w:r>
              <w:rPr>
                <w:rFonts w:ascii="Calibri" w:hAnsi="Calibri" w:cs="Calibri"/>
                <w:color w:val="000000"/>
              </w:rPr>
              <w:t>44</w:t>
            </w:r>
          </w:p>
        </w:tc>
        <w:tc>
          <w:tcPr>
            <w:tcW w:w="679" w:type="pct"/>
            <w:tcBorders>
              <w:top w:val="single" w:sz="8" w:space="0" w:color="F79646"/>
              <w:left w:val="nil"/>
              <w:bottom w:val="single" w:sz="8" w:space="0" w:color="F79646"/>
              <w:right w:val="single" w:sz="8" w:space="0" w:color="F79646"/>
            </w:tcBorders>
            <w:shd w:val="clear" w:color="auto" w:fill="auto"/>
            <w:noWrap/>
            <w:vAlign w:val="center"/>
          </w:tcPr>
          <w:p w:rsidR="002E11E6" w:rsidRPr="002F1183" w:rsidRDefault="002E11E6" w:rsidP="00915EB2">
            <w:pPr>
              <w:spacing w:after="0" w:line="240" w:lineRule="auto"/>
              <w:jc w:val="center"/>
              <w:rPr>
                <w:rFonts w:ascii="Calibri" w:eastAsia="Times New Roman" w:hAnsi="Calibri" w:cs="Calibri"/>
                <w:color w:val="000000"/>
                <w:lang w:eastAsia="en-GB"/>
              </w:rPr>
            </w:pPr>
            <w:r>
              <w:rPr>
                <w:rFonts w:ascii="Calibri" w:hAnsi="Calibri" w:cs="Calibri"/>
                <w:color w:val="000000"/>
              </w:rPr>
              <w:t>7</w:t>
            </w:r>
          </w:p>
        </w:tc>
        <w:tc>
          <w:tcPr>
            <w:tcW w:w="884" w:type="pct"/>
            <w:tcBorders>
              <w:top w:val="single" w:sz="8" w:space="0" w:color="F79646"/>
              <w:left w:val="nil"/>
              <w:bottom w:val="single" w:sz="8" w:space="0" w:color="F79646"/>
              <w:right w:val="single" w:sz="8" w:space="0" w:color="F79646"/>
            </w:tcBorders>
            <w:shd w:val="clear" w:color="auto" w:fill="auto"/>
            <w:noWrap/>
            <w:vAlign w:val="center"/>
          </w:tcPr>
          <w:p w:rsidR="002E11E6" w:rsidRPr="002F1183" w:rsidRDefault="002E11E6" w:rsidP="00915EB2">
            <w:pPr>
              <w:spacing w:after="0" w:line="240" w:lineRule="auto"/>
              <w:jc w:val="center"/>
              <w:rPr>
                <w:rFonts w:ascii="Calibri" w:eastAsia="Times New Roman" w:hAnsi="Calibri" w:cs="Calibri"/>
                <w:color w:val="000000"/>
                <w:lang w:eastAsia="en-GB"/>
              </w:rPr>
            </w:pPr>
            <w:r>
              <w:rPr>
                <w:rFonts w:ascii="Calibri" w:hAnsi="Calibri" w:cs="Calibri"/>
                <w:color w:val="000000"/>
              </w:rPr>
              <w:t>326</w:t>
            </w:r>
          </w:p>
        </w:tc>
        <w:tc>
          <w:tcPr>
            <w:tcW w:w="894" w:type="pct"/>
            <w:tcBorders>
              <w:top w:val="single" w:sz="8" w:space="0" w:color="F79646"/>
              <w:left w:val="nil"/>
              <w:bottom w:val="single" w:sz="8" w:space="0" w:color="F79646"/>
              <w:right w:val="single" w:sz="8" w:space="0" w:color="F79646"/>
            </w:tcBorders>
            <w:shd w:val="clear" w:color="auto" w:fill="auto"/>
            <w:noWrap/>
            <w:vAlign w:val="center"/>
          </w:tcPr>
          <w:p w:rsidR="002E11E6" w:rsidRPr="002F1183" w:rsidRDefault="002E11E6" w:rsidP="00915EB2">
            <w:pPr>
              <w:spacing w:after="0" w:line="240" w:lineRule="auto"/>
              <w:jc w:val="center"/>
              <w:rPr>
                <w:rFonts w:ascii="Calibri" w:eastAsia="Times New Roman" w:hAnsi="Calibri" w:cs="Calibri"/>
                <w:color w:val="000000"/>
                <w:lang w:eastAsia="en-GB"/>
              </w:rPr>
            </w:pPr>
            <w:r>
              <w:rPr>
                <w:rFonts w:ascii="Calibri" w:hAnsi="Calibri" w:cs="Calibri"/>
                <w:color w:val="000000"/>
              </w:rPr>
              <w:t>176</w:t>
            </w:r>
          </w:p>
        </w:tc>
        <w:tc>
          <w:tcPr>
            <w:tcW w:w="596" w:type="pct"/>
            <w:tcBorders>
              <w:top w:val="nil"/>
              <w:left w:val="nil"/>
              <w:bottom w:val="single" w:sz="8" w:space="0" w:color="F79646"/>
              <w:right w:val="single" w:sz="8" w:space="0" w:color="F79646"/>
            </w:tcBorders>
            <w:shd w:val="clear" w:color="auto" w:fill="auto"/>
            <w:noWrap/>
            <w:vAlign w:val="center"/>
          </w:tcPr>
          <w:p w:rsidR="002E11E6" w:rsidRPr="002F1183" w:rsidRDefault="002E11E6" w:rsidP="00915EB2">
            <w:pPr>
              <w:spacing w:after="0" w:line="240" w:lineRule="auto"/>
              <w:jc w:val="center"/>
              <w:rPr>
                <w:rFonts w:ascii="Calibri" w:eastAsia="Times New Roman" w:hAnsi="Calibri" w:cs="Calibri"/>
                <w:color w:val="000000"/>
                <w:lang w:eastAsia="en-GB"/>
              </w:rPr>
            </w:pPr>
            <w:r>
              <w:rPr>
                <w:rFonts w:ascii="Calibri" w:hAnsi="Calibri" w:cs="Calibri"/>
                <w:color w:val="000000"/>
              </w:rPr>
              <w:t>9</w:t>
            </w:r>
          </w:p>
        </w:tc>
      </w:tr>
      <w:tr w:rsidR="0027359C" w:rsidRPr="002F1183" w:rsidTr="00602851">
        <w:trPr>
          <w:trHeight w:val="300"/>
        </w:trPr>
        <w:tc>
          <w:tcPr>
            <w:tcW w:w="4404" w:type="pct"/>
            <w:gridSpan w:val="6"/>
            <w:tcBorders>
              <w:top w:val="single" w:sz="8" w:space="0" w:color="F79646"/>
              <w:bottom w:val="nil"/>
              <w:right w:val="nil"/>
            </w:tcBorders>
            <w:shd w:val="clear" w:color="auto" w:fill="auto"/>
            <w:noWrap/>
            <w:vAlign w:val="center"/>
            <w:hideMark/>
          </w:tcPr>
          <w:p w:rsidR="0027359C" w:rsidRPr="002F1183" w:rsidRDefault="0027359C" w:rsidP="00915EB2">
            <w:pPr>
              <w:spacing w:after="0" w:line="240" w:lineRule="auto"/>
              <w:rPr>
                <w:rFonts w:ascii="Calibri" w:eastAsia="Times New Roman" w:hAnsi="Calibri" w:cs="Calibri"/>
                <w:color w:val="000000"/>
                <w:lang w:eastAsia="en-GB"/>
              </w:rPr>
            </w:pPr>
            <w:r w:rsidRPr="002F1183">
              <w:rPr>
                <w:rFonts w:ascii="Calibri" w:eastAsia="Times New Roman" w:hAnsi="Calibri" w:cs="Calibri"/>
                <w:color w:val="000000"/>
                <w:lang w:eastAsia="en-GB"/>
              </w:rPr>
              <w:t>Median days:  Calend</w:t>
            </w:r>
            <w:r w:rsidR="002E11E6">
              <w:rPr>
                <w:rFonts w:ascii="Calibri" w:eastAsia="Times New Roman" w:hAnsi="Calibri" w:cs="Calibri"/>
                <w:color w:val="000000"/>
                <w:lang w:eastAsia="en-GB"/>
              </w:rPr>
              <w:t>a</w:t>
            </w:r>
            <w:r w:rsidRPr="002F1183">
              <w:rPr>
                <w:rFonts w:ascii="Calibri" w:eastAsia="Times New Roman" w:hAnsi="Calibri" w:cs="Calibri"/>
                <w:color w:val="000000"/>
                <w:lang w:eastAsia="en-GB"/>
              </w:rPr>
              <w:t>r days, from date Application was assigned to Assessor to issue of Letter</w:t>
            </w:r>
          </w:p>
        </w:tc>
        <w:tc>
          <w:tcPr>
            <w:tcW w:w="596" w:type="pct"/>
            <w:tcBorders>
              <w:top w:val="nil"/>
              <w:left w:val="nil"/>
              <w:bottom w:val="nil"/>
              <w:right w:val="nil"/>
            </w:tcBorders>
            <w:shd w:val="clear" w:color="auto" w:fill="auto"/>
            <w:noWrap/>
            <w:vAlign w:val="bottom"/>
            <w:hideMark/>
          </w:tcPr>
          <w:p w:rsidR="0027359C" w:rsidRPr="002F1183" w:rsidRDefault="0027359C" w:rsidP="00915EB2">
            <w:pPr>
              <w:spacing w:after="0" w:line="240" w:lineRule="auto"/>
              <w:rPr>
                <w:rFonts w:ascii="Calibri" w:eastAsia="Times New Roman" w:hAnsi="Calibri" w:cs="Calibri"/>
                <w:color w:val="000000"/>
                <w:lang w:eastAsia="en-GB"/>
              </w:rPr>
            </w:pPr>
          </w:p>
        </w:tc>
      </w:tr>
    </w:tbl>
    <w:p w:rsidR="009C6B57" w:rsidRDefault="009C6B57" w:rsidP="00443A9A">
      <w:pPr>
        <w:rPr>
          <w:sz w:val="24"/>
          <w:szCs w:val="24"/>
        </w:rPr>
      </w:pPr>
    </w:p>
    <w:p w:rsidR="00F02629" w:rsidRDefault="00F02629" w:rsidP="00F02629">
      <w:pPr>
        <w:rPr>
          <w:sz w:val="24"/>
          <w:szCs w:val="24"/>
        </w:rPr>
      </w:pPr>
      <w:r w:rsidRPr="002C73F3">
        <w:rPr>
          <w:sz w:val="24"/>
          <w:szCs w:val="24"/>
        </w:rPr>
        <w:t xml:space="preserve">Figure 4 shows the </w:t>
      </w:r>
      <w:r>
        <w:rPr>
          <w:sz w:val="24"/>
          <w:szCs w:val="24"/>
        </w:rPr>
        <w:t>number</w:t>
      </w:r>
      <w:r w:rsidRPr="002C73F3">
        <w:rPr>
          <w:sz w:val="24"/>
          <w:szCs w:val="24"/>
        </w:rPr>
        <w:t xml:space="preserve"> of valid REC submissions since November for both commercial and non-commercial studies.  It also indicates of the valid REC submissions made the number with missing documents required for HRA Assessment.</w:t>
      </w:r>
      <w:r w:rsidR="009420F5">
        <w:rPr>
          <w:sz w:val="24"/>
          <w:szCs w:val="24"/>
        </w:rPr>
        <w:t xml:space="preserve"> This has remained study over the past few month with non-commer</w:t>
      </w:r>
      <w:r w:rsidR="0026258A">
        <w:rPr>
          <w:sz w:val="24"/>
          <w:szCs w:val="24"/>
        </w:rPr>
        <w:t>ci</w:t>
      </w:r>
      <w:r w:rsidR="009420F5">
        <w:rPr>
          <w:sz w:val="24"/>
          <w:szCs w:val="24"/>
        </w:rPr>
        <w:t>al studies missing full documents sets at  ~3</w:t>
      </w:r>
      <w:r w:rsidR="00864E90">
        <w:rPr>
          <w:sz w:val="24"/>
          <w:szCs w:val="24"/>
        </w:rPr>
        <w:t>0</w:t>
      </w:r>
      <w:r w:rsidR="009420F5">
        <w:rPr>
          <w:sz w:val="24"/>
          <w:szCs w:val="24"/>
        </w:rPr>
        <w:t>%</w:t>
      </w:r>
      <w:r w:rsidR="00864E90">
        <w:rPr>
          <w:sz w:val="24"/>
          <w:szCs w:val="24"/>
        </w:rPr>
        <w:t xml:space="preserve">,  and </w:t>
      </w:r>
      <w:r w:rsidR="0026258A">
        <w:rPr>
          <w:sz w:val="24"/>
          <w:szCs w:val="24"/>
        </w:rPr>
        <w:t>c</w:t>
      </w:r>
      <w:r w:rsidR="00864E90">
        <w:rPr>
          <w:sz w:val="24"/>
          <w:szCs w:val="24"/>
        </w:rPr>
        <w:t>ommercial studies ~40% , mostly due to a validated costing template not being provided.</w:t>
      </w:r>
    </w:p>
    <w:p w:rsidR="00F02629" w:rsidRDefault="00F02629" w:rsidP="00F02629">
      <w:pPr>
        <w:rPr>
          <w:sz w:val="24"/>
          <w:szCs w:val="24"/>
        </w:rPr>
      </w:pPr>
      <w:r>
        <w:rPr>
          <w:sz w:val="24"/>
          <w:szCs w:val="24"/>
        </w:rPr>
        <w:t>Figure 5 shows</w:t>
      </w:r>
      <w:r w:rsidRPr="00E90104">
        <w:rPr>
          <w:sz w:val="24"/>
          <w:szCs w:val="24"/>
        </w:rPr>
        <w:t xml:space="preserve"> </w:t>
      </w:r>
      <w:r>
        <w:rPr>
          <w:sz w:val="24"/>
          <w:szCs w:val="24"/>
        </w:rPr>
        <w:t>the number of a</w:t>
      </w:r>
      <w:r w:rsidRPr="00E90104">
        <w:rPr>
          <w:sz w:val="24"/>
          <w:szCs w:val="24"/>
        </w:rPr>
        <w:t xml:space="preserve">pplications </w:t>
      </w:r>
      <w:r>
        <w:rPr>
          <w:sz w:val="24"/>
          <w:szCs w:val="24"/>
        </w:rPr>
        <w:t>processed</w:t>
      </w:r>
      <w:r w:rsidRPr="00E90104">
        <w:rPr>
          <w:sz w:val="24"/>
          <w:szCs w:val="24"/>
        </w:rPr>
        <w:t xml:space="preserve"> for HRA</w:t>
      </w:r>
      <w:r>
        <w:rPr>
          <w:sz w:val="24"/>
          <w:szCs w:val="24"/>
        </w:rPr>
        <w:t xml:space="preserve"> </w:t>
      </w:r>
      <w:r w:rsidRPr="00E90104">
        <w:rPr>
          <w:sz w:val="24"/>
          <w:szCs w:val="24"/>
        </w:rPr>
        <w:t>Approval</w:t>
      </w:r>
      <w:r>
        <w:rPr>
          <w:sz w:val="24"/>
          <w:szCs w:val="24"/>
        </w:rPr>
        <w:t xml:space="preserve"> over time</w:t>
      </w:r>
      <w:r w:rsidRPr="00E90104">
        <w:rPr>
          <w:sz w:val="24"/>
          <w:szCs w:val="24"/>
        </w:rPr>
        <w:t xml:space="preserve">. </w:t>
      </w:r>
      <w:r>
        <w:rPr>
          <w:sz w:val="24"/>
          <w:szCs w:val="24"/>
        </w:rPr>
        <w:t>Application receipt is shown by month of receipt, and approval by month of output</w:t>
      </w:r>
      <w:r w:rsidRPr="00E90104">
        <w:rPr>
          <w:sz w:val="24"/>
          <w:szCs w:val="24"/>
        </w:rPr>
        <w:t xml:space="preserve">. </w:t>
      </w:r>
      <w:r>
        <w:rPr>
          <w:sz w:val="24"/>
          <w:szCs w:val="24"/>
        </w:rPr>
        <w:t xml:space="preserve">The number of closed studies includes all applications submissions closed by month of output including, REC invalidation, ineligible, Not Approved, Withdrawn, Approved. </w:t>
      </w:r>
      <w:r w:rsidRPr="00E90104">
        <w:rPr>
          <w:sz w:val="24"/>
          <w:szCs w:val="24"/>
        </w:rPr>
        <w:t>The number of open applications includes studies carried forward from implementation phase and is cumulative from month to month.</w:t>
      </w:r>
      <w:r>
        <w:rPr>
          <w:sz w:val="24"/>
          <w:szCs w:val="24"/>
        </w:rPr>
        <w:t xml:space="preserve"> </w:t>
      </w:r>
    </w:p>
    <w:p w:rsidR="00614695" w:rsidRDefault="00614695" w:rsidP="00F02629">
      <w:pPr>
        <w:rPr>
          <w:sz w:val="24"/>
          <w:szCs w:val="24"/>
        </w:rPr>
        <w:sectPr w:rsidR="00614695" w:rsidSect="00D52859">
          <w:type w:val="continuous"/>
          <w:pgSz w:w="11906" w:h="16838"/>
          <w:pgMar w:top="1418" w:right="1418" w:bottom="1418" w:left="1418" w:header="709" w:footer="709" w:gutter="0"/>
          <w:cols w:space="708"/>
          <w:docGrid w:linePitch="360"/>
        </w:sectPr>
      </w:pPr>
      <w:r>
        <w:rPr>
          <w:sz w:val="24"/>
          <w:szCs w:val="24"/>
        </w:rPr>
        <w:t xml:space="preserve">There was an increase in both the number of applications received and the number open during March. However the timelines and data on open studies clarify that the increase in open studies simply reflects the increase in the number received and this should not be regarded as a deterioration of performance. </w:t>
      </w:r>
    </w:p>
    <w:p w:rsidR="00602851" w:rsidRDefault="00602851" w:rsidP="00602851">
      <w:pPr>
        <w:pStyle w:val="Caption"/>
        <w:keepNext/>
      </w:pPr>
      <w:r>
        <w:lastRenderedPageBreak/>
        <w:t>Figure 4 Document Submissions for HRA Approval</w:t>
      </w:r>
    </w:p>
    <w:p w:rsidR="00602851" w:rsidRDefault="00602851" w:rsidP="001D0802">
      <w:pPr>
        <w:pStyle w:val="Caption"/>
        <w:keepNext/>
      </w:pPr>
      <w:r w:rsidRPr="00602851">
        <w:rPr>
          <w:noProof/>
          <w:sz w:val="28"/>
          <w:lang w:eastAsia="en-GB"/>
        </w:rPr>
        <w:drawing>
          <wp:inline distT="0" distB="0" distL="0" distR="0" wp14:anchorId="3793695D" wp14:editId="2D3DE0B0">
            <wp:extent cx="4826442" cy="12245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r="23359"/>
                    <a:stretch/>
                  </pic:blipFill>
                  <pic:spPr bwMode="auto">
                    <a:xfrm>
                      <a:off x="0" y="0"/>
                      <a:ext cx="4826442" cy="1224501"/>
                    </a:xfrm>
                    <a:prstGeom prst="rect">
                      <a:avLst/>
                    </a:prstGeom>
                    <a:noFill/>
                    <a:ln>
                      <a:noFill/>
                    </a:ln>
                    <a:extLst>
                      <a:ext uri="{53640926-AAD7-44D8-BBD7-CCE9431645EC}">
                        <a14:shadowObscured xmlns:a14="http://schemas.microsoft.com/office/drawing/2010/main"/>
                      </a:ext>
                    </a:extLst>
                  </pic:spPr>
                </pic:pic>
              </a:graphicData>
            </a:graphic>
          </wp:inline>
        </w:drawing>
      </w:r>
      <w:r w:rsidR="00614695" w:rsidRPr="00602851">
        <w:rPr>
          <w:noProof/>
          <w:sz w:val="28"/>
          <w:lang w:eastAsia="en-GB"/>
        </w:rPr>
        <w:drawing>
          <wp:inline distT="0" distB="0" distL="0" distR="0" wp14:anchorId="48970F4D" wp14:editId="6632D22A">
            <wp:extent cx="2361538" cy="1224501"/>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l="76642"/>
                    <a:stretch/>
                  </pic:blipFill>
                  <pic:spPr bwMode="auto">
                    <a:xfrm>
                      <a:off x="0" y="0"/>
                      <a:ext cx="2361538" cy="1224501"/>
                    </a:xfrm>
                    <a:prstGeom prst="rect">
                      <a:avLst/>
                    </a:prstGeom>
                    <a:noFill/>
                    <a:ln>
                      <a:noFill/>
                    </a:ln>
                    <a:extLst>
                      <a:ext uri="{53640926-AAD7-44D8-BBD7-CCE9431645EC}">
                        <a14:shadowObscured xmlns:a14="http://schemas.microsoft.com/office/drawing/2010/main"/>
                      </a:ext>
                    </a:extLst>
                  </pic:spPr>
                </pic:pic>
              </a:graphicData>
            </a:graphic>
          </wp:inline>
        </w:drawing>
      </w:r>
    </w:p>
    <w:p w:rsidR="001D0802" w:rsidRPr="001D0802" w:rsidRDefault="00582079" w:rsidP="001D0802">
      <w:pPr>
        <w:pStyle w:val="Caption"/>
        <w:keepNext/>
      </w:pPr>
      <w:r>
        <w:t>Figure 5</w:t>
      </w:r>
      <w:r w:rsidR="001D0802">
        <w:t xml:space="preserve">: </w:t>
      </w:r>
      <w:r w:rsidR="001D0802" w:rsidRPr="001D0802">
        <w:t>HRA Application numbers</w:t>
      </w:r>
    </w:p>
    <w:p w:rsidR="0028661D" w:rsidRDefault="00B00758" w:rsidP="00443A9A">
      <w:pPr>
        <w:rPr>
          <w:sz w:val="24"/>
          <w:szCs w:val="24"/>
        </w:rPr>
      </w:pPr>
      <w:r>
        <w:rPr>
          <w:noProof/>
          <w:lang w:eastAsia="en-GB"/>
        </w:rPr>
        <w:drawing>
          <wp:inline distT="0" distB="0" distL="0" distR="0" wp14:anchorId="39E199DA" wp14:editId="1ED818D6">
            <wp:extent cx="8555604" cy="3077155"/>
            <wp:effectExtent l="0" t="0" r="1714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02851" w:rsidRDefault="00602851">
      <w:pPr>
        <w:rPr>
          <w:b/>
          <w:sz w:val="24"/>
          <w:szCs w:val="24"/>
        </w:rPr>
        <w:sectPr w:rsidR="00602851" w:rsidSect="00614695">
          <w:pgSz w:w="16838" w:h="11906" w:orient="landscape"/>
          <w:pgMar w:top="1418" w:right="1418" w:bottom="1418" w:left="1418" w:header="709" w:footer="709" w:gutter="0"/>
          <w:cols w:space="708"/>
          <w:docGrid w:linePitch="360"/>
        </w:sectPr>
      </w:pPr>
    </w:p>
    <w:p w:rsidR="001E29AE" w:rsidRDefault="00B165CA">
      <w:pPr>
        <w:rPr>
          <w:b/>
          <w:sz w:val="24"/>
          <w:szCs w:val="24"/>
        </w:rPr>
      </w:pPr>
      <w:r>
        <w:rPr>
          <w:b/>
          <w:sz w:val="24"/>
          <w:szCs w:val="24"/>
        </w:rPr>
        <w:lastRenderedPageBreak/>
        <w:t>Co</w:t>
      </w:r>
      <w:r w:rsidR="009872E8" w:rsidRPr="00DA16D6">
        <w:rPr>
          <w:b/>
          <w:sz w:val="24"/>
          <w:szCs w:val="24"/>
        </w:rPr>
        <w:t>ntent of open studies</w:t>
      </w:r>
    </w:p>
    <w:p w:rsidR="00F02629" w:rsidRDefault="00F02629" w:rsidP="00F02629">
      <w:pPr>
        <w:rPr>
          <w:sz w:val="24"/>
          <w:szCs w:val="24"/>
        </w:rPr>
      </w:pPr>
      <w:r w:rsidRPr="00966AC8">
        <w:rPr>
          <w:sz w:val="24"/>
          <w:szCs w:val="24"/>
        </w:rPr>
        <w:t xml:space="preserve">Of the open studies requiring REC review, around </w:t>
      </w:r>
      <w:r w:rsidR="00B00758">
        <w:rPr>
          <w:sz w:val="24"/>
          <w:szCs w:val="24"/>
        </w:rPr>
        <w:t>610</w:t>
      </w:r>
      <w:r w:rsidR="00864E90">
        <w:rPr>
          <w:sz w:val="24"/>
          <w:szCs w:val="24"/>
        </w:rPr>
        <w:t xml:space="preserve"> </w:t>
      </w:r>
      <w:r>
        <w:rPr>
          <w:sz w:val="24"/>
          <w:szCs w:val="24"/>
        </w:rPr>
        <w:t>do not yet have REC opinion and cannot be approved as Approval is the final step in the overall process</w:t>
      </w:r>
      <w:r w:rsidR="0030541A">
        <w:rPr>
          <w:sz w:val="24"/>
          <w:szCs w:val="24"/>
        </w:rPr>
        <w:t xml:space="preserve"> (</w:t>
      </w:r>
      <w:r w:rsidR="00B00758">
        <w:rPr>
          <w:sz w:val="24"/>
          <w:szCs w:val="24"/>
        </w:rPr>
        <w:t xml:space="preserve">down </w:t>
      </w:r>
      <w:r w:rsidR="0030541A">
        <w:rPr>
          <w:sz w:val="24"/>
          <w:szCs w:val="24"/>
        </w:rPr>
        <w:t xml:space="preserve">from </w:t>
      </w:r>
      <w:r w:rsidR="00B00758">
        <w:rPr>
          <w:sz w:val="24"/>
          <w:szCs w:val="24"/>
        </w:rPr>
        <w:t>741</w:t>
      </w:r>
      <w:r w:rsidR="0030541A">
        <w:rPr>
          <w:sz w:val="24"/>
          <w:szCs w:val="24"/>
        </w:rPr>
        <w:t xml:space="preserve"> last month)</w:t>
      </w:r>
      <w:r>
        <w:rPr>
          <w:sz w:val="24"/>
          <w:szCs w:val="24"/>
        </w:rPr>
        <w:t xml:space="preserve">. Around </w:t>
      </w:r>
      <w:r w:rsidR="00B00758">
        <w:rPr>
          <w:sz w:val="24"/>
          <w:szCs w:val="24"/>
        </w:rPr>
        <w:t>260</w:t>
      </w:r>
      <w:r w:rsidR="00864E90">
        <w:rPr>
          <w:sz w:val="24"/>
          <w:szCs w:val="24"/>
        </w:rPr>
        <w:t xml:space="preserve"> </w:t>
      </w:r>
      <w:r w:rsidRPr="00966AC8">
        <w:rPr>
          <w:sz w:val="24"/>
          <w:szCs w:val="24"/>
        </w:rPr>
        <w:t>have REC favourable opinion in place, but approval has not been issued</w:t>
      </w:r>
      <w:r w:rsidR="0030541A">
        <w:rPr>
          <w:sz w:val="24"/>
          <w:szCs w:val="24"/>
        </w:rPr>
        <w:t xml:space="preserve"> (down from </w:t>
      </w:r>
      <w:r w:rsidR="00B00758">
        <w:rPr>
          <w:sz w:val="24"/>
          <w:szCs w:val="24"/>
        </w:rPr>
        <w:t>333</w:t>
      </w:r>
      <w:r w:rsidR="0030541A">
        <w:rPr>
          <w:sz w:val="24"/>
          <w:szCs w:val="24"/>
        </w:rPr>
        <w:t xml:space="preserve"> last month)</w:t>
      </w:r>
      <w:r w:rsidRPr="00966AC8">
        <w:rPr>
          <w:sz w:val="24"/>
          <w:szCs w:val="24"/>
        </w:rPr>
        <w:t xml:space="preserve">. </w:t>
      </w:r>
      <w:r>
        <w:rPr>
          <w:sz w:val="24"/>
          <w:szCs w:val="24"/>
        </w:rPr>
        <w:t xml:space="preserve">Some may be pending other approvals (e.g. MHRA, CAG, ARSAC), or awaiting responses from applicants. </w:t>
      </w:r>
      <w:r w:rsidRPr="00966AC8">
        <w:rPr>
          <w:sz w:val="24"/>
          <w:szCs w:val="24"/>
        </w:rPr>
        <w:t xml:space="preserve">We would expect to routinely have studies with REC favourable opinion but completing other regulatory approvals or awaiting changes by the applicant to meet HRA Approval standards. </w:t>
      </w:r>
    </w:p>
    <w:p w:rsidR="009872E8" w:rsidRDefault="00BA5186" w:rsidP="00A15857">
      <w:pPr>
        <w:pStyle w:val="Caption"/>
        <w:keepNext/>
      </w:pPr>
      <w:r>
        <w:t xml:space="preserve">Figure </w:t>
      </w:r>
      <w:r w:rsidR="00582079">
        <w:t>6</w:t>
      </w:r>
      <w:r>
        <w:t>: Open Studies</w:t>
      </w:r>
      <w:r w:rsidR="00B12749">
        <w:t>: All Submissions</w:t>
      </w:r>
    </w:p>
    <w:p w:rsidR="00610CCF" w:rsidRDefault="00B00758" w:rsidP="00610CCF">
      <w:r>
        <w:rPr>
          <w:noProof/>
          <w:lang w:eastAsia="en-GB"/>
        </w:rPr>
        <mc:AlternateContent>
          <mc:Choice Requires="wps">
            <w:drawing>
              <wp:anchor distT="0" distB="0" distL="114300" distR="114300" simplePos="0" relativeHeight="251727872" behindDoc="0" locked="0" layoutInCell="1" allowOverlap="1" wp14:anchorId="3172D251" wp14:editId="1CFB2B8B">
                <wp:simplePos x="0" y="0"/>
                <wp:positionH relativeFrom="column">
                  <wp:posOffset>-1905</wp:posOffset>
                </wp:positionH>
                <wp:positionV relativeFrom="paragraph">
                  <wp:posOffset>2958989</wp:posOffset>
                </wp:positionV>
                <wp:extent cx="5653378" cy="320040"/>
                <wp:effectExtent l="0" t="0" r="2413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3378" cy="320040"/>
                        </a:xfrm>
                        <a:prstGeom prst="rect">
                          <a:avLst/>
                        </a:prstGeom>
                        <a:solidFill>
                          <a:srgbClr val="FFFFFF"/>
                        </a:solidFill>
                        <a:ln w="9525">
                          <a:solidFill>
                            <a:srgbClr val="000000"/>
                          </a:solidFill>
                          <a:miter lim="800000"/>
                          <a:headEnd/>
                          <a:tailEnd/>
                        </a:ln>
                      </wps:spPr>
                      <wps:txbx>
                        <w:txbxContent>
                          <w:p w:rsidR="00937E19" w:rsidRDefault="00937E19" w:rsidP="00937E19">
                            <w:r w:rsidRPr="000E62D5">
                              <w:rPr>
                                <w:b/>
                              </w:rPr>
                              <w:t>Previous Month- Jan 2017 Open studies</w:t>
                            </w:r>
                            <w:r>
                              <w:t>:</w:t>
                            </w:r>
                            <w:r w:rsidR="00B00758">
                              <w:t xml:space="preserve"> </w:t>
                            </w:r>
                            <w:r w:rsidR="00B00758">
                              <w:rPr>
                                <w:b/>
                              </w:rPr>
                              <w:t>99</w:t>
                            </w:r>
                            <w:r w:rsidRPr="000E62D5">
                              <w:rPr>
                                <w:b/>
                              </w:rPr>
                              <w:t xml:space="preserve"> Non-REC, </w:t>
                            </w:r>
                            <w:r w:rsidR="00B00758">
                              <w:rPr>
                                <w:b/>
                              </w:rPr>
                              <w:t>333</w:t>
                            </w:r>
                            <w:r w:rsidRPr="000E62D5">
                              <w:rPr>
                                <w:b/>
                              </w:rPr>
                              <w:t xml:space="preserve"> REC FO, and </w:t>
                            </w:r>
                            <w:r w:rsidR="00B00758">
                              <w:rPr>
                                <w:b/>
                              </w:rPr>
                              <w:t>741</w:t>
                            </w:r>
                            <w:r w:rsidRPr="000E62D5">
                              <w:rPr>
                                <w:b/>
                              </w:rPr>
                              <w:t xml:space="preserve"> REC in progress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pt;margin-top:233pt;width:445.15pt;height:25.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">
                <v:textbox>
                  <w:txbxContent>
                    <w:p w:rsidR="00937E19" w:rsidRDefault="00937E19" w:rsidP="00937E19">
                      <w:r w:rsidRPr="000E62D5">
                        <w:rPr>
                          <w:b/>
                        </w:rPr>
                        <w:t>Previous Month- Jan 2017 Open studies</w:t>
                      </w:r>
                      <w:r>
                        <w:t>:</w:t>
                      </w:r>
                      <w:r w:rsidR="00B00758">
                        <w:t xml:space="preserve"> </w:t>
                      </w:r>
                      <w:r w:rsidR="00B00758">
                        <w:rPr>
                          <w:b/>
                        </w:rPr>
                        <w:t>99</w:t>
                      </w:r>
                      <w:r w:rsidRPr="000E62D5">
                        <w:rPr>
                          <w:b/>
                        </w:rPr>
                        <w:t xml:space="preserve"> Non-REC, </w:t>
                      </w:r>
                      <w:r w:rsidR="00B00758">
                        <w:rPr>
                          <w:b/>
                        </w:rPr>
                        <w:t>333</w:t>
                      </w:r>
                      <w:r w:rsidRPr="000E62D5">
                        <w:rPr>
                          <w:b/>
                        </w:rPr>
                        <w:t xml:space="preserve"> REC FO, and </w:t>
                      </w:r>
                      <w:r w:rsidR="00B00758">
                        <w:rPr>
                          <w:b/>
                        </w:rPr>
                        <w:t>741</w:t>
                      </w:r>
                      <w:r w:rsidRPr="000E62D5">
                        <w:rPr>
                          <w:b/>
                        </w:rPr>
                        <w:t xml:space="preserve"> REC in progress</w:t>
                      </w:r>
                    </w:p>
                  </w:txbxContent>
                </v:textbox>
              </v:shape>
            </w:pict>
          </mc:Fallback>
        </mc:AlternateContent>
      </w:r>
      <w:r>
        <w:rPr>
          <w:noProof/>
          <w:lang w:eastAsia="en-GB"/>
        </w:rPr>
        <w:drawing>
          <wp:inline distT="0" distB="0" distL="0" distR="0" wp14:anchorId="6AC23D39" wp14:editId="38B3A9B8">
            <wp:extent cx="5648325" cy="294322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00758" w:rsidRDefault="00B00758" w:rsidP="00610CCF"/>
    <w:p w:rsidR="00937E19" w:rsidRPr="00610CCF" w:rsidRDefault="00937E19" w:rsidP="00610CCF"/>
    <w:p w:rsidR="00F02629" w:rsidRDefault="00F02629" w:rsidP="00F02629">
      <w:pPr>
        <w:rPr>
          <w:sz w:val="24"/>
          <w:szCs w:val="24"/>
        </w:rPr>
      </w:pPr>
      <w:r w:rsidRPr="000517C8">
        <w:rPr>
          <w:sz w:val="24"/>
          <w:szCs w:val="24"/>
        </w:rPr>
        <w:t xml:space="preserve">Figure </w:t>
      </w:r>
      <w:r>
        <w:rPr>
          <w:sz w:val="24"/>
          <w:szCs w:val="24"/>
        </w:rPr>
        <w:t>7</w:t>
      </w:r>
      <w:r w:rsidRPr="000517C8">
        <w:rPr>
          <w:sz w:val="24"/>
          <w:szCs w:val="24"/>
        </w:rPr>
        <w:t xml:space="preserve"> shows the number of elapsed days since submission across all open studies that are valid and progressing through the Approval process. As the median and mean are less than the median time to Approval, this confirm</w:t>
      </w:r>
      <w:r>
        <w:rPr>
          <w:sz w:val="24"/>
          <w:szCs w:val="24"/>
        </w:rPr>
        <w:t>s</w:t>
      </w:r>
      <w:r w:rsidRPr="000517C8">
        <w:rPr>
          <w:sz w:val="24"/>
          <w:szCs w:val="24"/>
        </w:rPr>
        <w:t xml:space="preserve"> that the open case load does not consist of a backlog of studies that have been in the system for a long time. </w:t>
      </w:r>
      <w:r>
        <w:rPr>
          <w:sz w:val="24"/>
          <w:szCs w:val="24"/>
        </w:rPr>
        <w:t>T</w:t>
      </w:r>
      <w:r w:rsidRPr="000517C8">
        <w:rPr>
          <w:sz w:val="24"/>
          <w:szCs w:val="24"/>
        </w:rPr>
        <w:t xml:space="preserve">he median is less than the mean, </w:t>
      </w:r>
      <w:r>
        <w:rPr>
          <w:sz w:val="24"/>
          <w:szCs w:val="24"/>
        </w:rPr>
        <w:t xml:space="preserve">indicating that </w:t>
      </w:r>
      <w:r w:rsidRPr="000517C8">
        <w:rPr>
          <w:sz w:val="24"/>
          <w:szCs w:val="24"/>
        </w:rPr>
        <w:t xml:space="preserve">the data is skewed to the left of the distribution curve, </w:t>
      </w:r>
      <w:r>
        <w:rPr>
          <w:sz w:val="24"/>
          <w:szCs w:val="24"/>
        </w:rPr>
        <w:t xml:space="preserve">as shown in figure 8, </w:t>
      </w:r>
      <w:r w:rsidRPr="000517C8">
        <w:rPr>
          <w:sz w:val="24"/>
          <w:szCs w:val="24"/>
        </w:rPr>
        <w:t>which again confirms that there is not a large open backlog.</w:t>
      </w:r>
    </w:p>
    <w:p w:rsidR="00F02629" w:rsidRPr="000517C8" w:rsidRDefault="00F02629" w:rsidP="00F02629">
      <w:pPr>
        <w:rPr>
          <w:sz w:val="24"/>
          <w:szCs w:val="24"/>
        </w:rPr>
      </w:pPr>
      <w:r>
        <w:rPr>
          <w:sz w:val="24"/>
          <w:szCs w:val="24"/>
        </w:rPr>
        <w:t xml:space="preserve">The total number of open applications valid for REC has reduced further from </w:t>
      </w:r>
      <w:r w:rsidR="00B00758">
        <w:rPr>
          <w:sz w:val="24"/>
          <w:szCs w:val="24"/>
        </w:rPr>
        <w:t xml:space="preserve">1015 </w:t>
      </w:r>
      <w:r>
        <w:rPr>
          <w:sz w:val="24"/>
          <w:szCs w:val="24"/>
        </w:rPr>
        <w:t xml:space="preserve">last month to </w:t>
      </w:r>
      <w:proofErr w:type="gramStart"/>
      <w:r w:rsidR="00B00758">
        <w:rPr>
          <w:sz w:val="24"/>
          <w:szCs w:val="24"/>
        </w:rPr>
        <w:t>840</w:t>
      </w:r>
      <w:r>
        <w:rPr>
          <w:sz w:val="24"/>
          <w:szCs w:val="24"/>
        </w:rPr>
        <w:t>,</w:t>
      </w:r>
      <w:proofErr w:type="gramEnd"/>
      <w:r>
        <w:rPr>
          <w:sz w:val="24"/>
          <w:szCs w:val="24"/>
        </w:rPr>
        <w:t xml:space="preserve"> and both the mean and median number of days elapsed since submission for these open studies has reduced. </w:t>
      </w:r>
      <w:r w:rsidR="002836AA">
        <w:rPr>
          <w:sz w:val="24"/>
          <w:szCs w:val="24"/>
        </w:rPr>
        <w:t xml:space="preserve">The decrease in open applications is not as great as the previous month when a number of long standing studies were cleared. There is therefore more of a balance between the number coming in and the number being closed, with </w:t>
      </w:r>
      <w:r w:rsidR="002836AA">
        <w:rPr>
          <w:sz w:val="24"/>
          <w:szCs w:val="24"/>
        </w:rPr>
        <w:lastRenderedPageBreak/>
        <w:t>median number of elapsed days since submission standing at 4</w:t>
      </w:r>
      <w:r w:rsidR="005A0ACA">
        <w:rPr>
          <w:sz w:val="24"/>
          <w:szCs w:val="24"/>
        </w:rPr>
        <w:t>8</w:t>
      </w:r>
      <w:r w:rsidR="002836AA">
        <w:rPr>
          <w:sz w:val="24"/>
          <w:szCs w:val="24"/>
        </w:rPr>
        <w:t xml:space="preserve"> days.  </w:t>
      </w:r>
      <w:r>
        <w:rPr>
          <w:sz w:val="24"/>
          <w:szCs w:val="24"/>
        </w:rPr>
        <w:t>The number of days shown is full elapsed days including any time taken for applicants to respond. All the longest running applications are awaiting response from applicants.</w:t>
      </w:r>
    </w:p>
    <w:p w:rsidR="007F7900" w:rsidRDefault="007F7900" w:rsidP="007F7900">
      <w:pPr>
        <w:pStyle w:val="Caption"/>
        <w:keepNext/>
      </w:pPr>
      <w:r w:rsidRPr="007F7900">
        <w:t xml:space="preserve">Figure </w:t>
      </w:r>
      <w:r w:rsidR="00582079">
        <w:t>7</w:t>
      </w:r>
      <w:r w:rsidR="00E56110">
        <w:t>: B</w:t>
      </w:r>
      <w:r w:rsidR="00757332">
        <w:t>reakdown of open studies</w:t>
      </w:r>
      <w:r w:rsidR="000517C8">
        <w:t>:</w:t>
      </w:r>
      <w:r w:rsidR="007D73B5">
        <w:t xml:space="preserve"> Valid Submissions</w:t>
      </w:r>
    </w:p>
    <w:p w:rsidR="00A87ED9" w:rsidRDefault="00B00758" w:rsidP="00A87ED9">
      <w:r w:rsidRPr="00B00758">
        <w:rPr>
          <w:noProof/>
          <w:lang w:eastAsia="en-GB"/>
        </w:rPr>
        <w:drawing>
          <wp:inline distT="0" distB="0" distL="0" distR="0" wp14:anchorId="5F82D4E7" wp14:editId="392E92B0">
            <wp:extent cx="4572000" cy="55630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a:extLst>
                        <a:ext uri="{28A0092B-C50C-407E-A947-70E740481C1C}">
                          <a14:useLocalDpi xmlns:a14="http://schemas.microsoft.com/office/drawing/2010/main" val="0"/>
                        </a:ext>
                      </a:extLst>
                    </a:blip>
                    <a:srcRect r="20579"/>
                    <a:stretch/>
                  </pic:blipFill>
                  <pic:spPr bwMode="auto">
                    <a:xfrm>
                      <a:off x="0" y="0"/>
                      <a:ext cx="4574148" cy="556563"/>
                    </a:xfrm>
                    <a:prstGeom prst="rect">
                      <a:avLst/>
                    </a:prstGeom>
                    <a:noFill/>
                    <a:ln>
                      <a:noFill/>
                    </a:ln>
                    <a:extLst>
                      <a:ext uri="{53640926-AAD7-44D8-BBD7-CCE9431645EC}">
                        <a14:shadowObscured xmlns:a14="http://schemas.microsoft.com/office/drawing/2010/main"/>
                      </a:ext>
                    </a:extLst>
                  </pic:spPr>
                </pic:pic>
              </a:graphicData>
            </a:graphic>
          </wp:inline>
        </w:drawing>
      </w:r>
    </w:p>
    <w:p w:rsidR="00B070FD" w:rsidRDefault="00B070FD" w:rsidP="00B070FD">
      <w:pPr>
        <w:pStyle w:val="Caption"/>
        <w:keepNext/>
      </w:pPr>
      <w:r>
        <w:t>Figure 8: Distribution</w:t>
      </w:r>
      <w:r w:rsidRPr="00443A9A">
        <w:t xml:space="preserve"> of open studies</w:t>
      </w:r>
      <w:r>
        <w:t xml:space="preserve"> Valid Submissions </w:t>
      </w:r>
    </w:p>
    <w:p w:rsidR="00B070FD" w:rsidRDefault="00B00758" w:rsidP="00B070FD">
      <w:r>
        <w:rPr>
          <w:noProof/>
          <w:lang w:eastAsia="en-GB"/>
        </w:rPr>
        <w:drawing>
          <wp:inline distT="0" distB="0" distL="0" distR="0" wp14:anchorId="4ABE2B93" wp14:editId="7C9A84BC">
            <wp:extent cx="5756745" cy="3077154"/>
            <wp:effectExtent l="0" t="0" r="1587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00758" w:rsidRPr="00610CCF" w:rsidRDefault="00B00758" w:rsidP="00B070FD"/>
    <w:p w:rsidR="0002257D" w:rsidRPr="000A5829" w:rsidRDefault="0002257D" w:rsidP="0002257D">
      <w:pPr>
        <w:pStyle w:val="ListParagraph"/>
        <w:widowControl w:val="0"/>
        <w:numPr>
          <w:ilvl w:val="0"/>
          <w:numId w:val="3"/>
        </w:numPr>
        <w:spacing w:before="26" w:after="0" w:line="240" w:lineRule="auto"/>
        <w:ind w:left="567" w:right="-20" w:hanging="567"/>
        <w:rPr>
          <w:rFonts w:asciiTheme="majorHAnsi" w:hAnsiTheme="majorHAnsi"/>
          <w:b/>
          <w:color w:val="0070C0"/>
          <w:sz w:val="28"/>
          <w:szCs w:val="28"/>
        </w:rPr>
      </w:pPr>
      <w:r w:rsidRPr="000A5829">
        <w:rPr>
          <w:rFonts w:asciiTheme="majorHAnsi" w:hAnsiTheme="majorHAnsi"/>
          <w:b/>
          <w:color w:val="0070C0"/>
          <w:sz w:val="28"/>
          <w:szCs w:val="28"/>
        </w:rPr>
        <w:t>Amendments submitted to the HRA</w:t>
      </w:r>
    </w:p>
    <w:p w:rsidR="0002257D" w:rsidRDefault="0002257D" w:rsidP="0002257D">
      <w:pPr>
        <w:rPr>
          <w:sz w:val="24"/>
          <w:szCs w:val="24"/>
        </w:rPr>
      </w:pPr>
      <w:r w:rsidRPr="00495249">
        <w:rPr>
          <w:sz w:val="24"/>
          <w:szCs w:val="24"/>
        </w:rPr>
        <w:t xml:space="preserve">We are </w:t>
      </w:r>
      <w:r>
        <w:rPr>
          <w:sz w:val="24"/>
          <w:szCs w:val="24"/>
        </w:rPr>
        <w:t xml:space="preserve">now </w:t>
      </w:r>
      <w:r w:rsidRPr="00495249">
        <w:rPr>
          <w:sz w:val="24"/>
          <w:szCs w:val="24"/>
        </w:rPr>
        <w:t xml:space="preserve">receiving between </w:t>
      </w:r>
      <w:r w:rsidR="00CE4465">
        <w:rPr>
          <w:sz w:val="24"/>
          <w:szCs w:val="24"/>
        </w:rPr>
        <w:t>30</w:t>
      </w:r>
      <w:r w:rsidRPr="00495249">
        <w:rPr>
          <w:sz w:val="24"/>
          <w:szCs w:val="24"/>
        </w:rPr>
        <w:t xml:space="preserve"> and </w:t>
      </w:r>
      <w:r w:rsidR="00CE4465">
        <w:rPr>
          <w:sz w:val="24"/>
          <w:szCs w:val="24"/>
        </w:rPr>
        <w:t>5</w:t>
      </w:r>
      <w:r>
        <w:rPr>
          <w:sz w:val="24"/>
          <w:szCs w:val="24"/>
        </w:rPr>
        <w:t>0</w:t>
      </w:r>
      <w:r w:rsidRPr="00495249">
        <w:rPr>
          <w:sz w:val="24"/>
          <w:szCs w:val="24"/>
        </w:rPr>
        <w:t xml:space="preserve"> </w:t>
      </w:r>
      <w:r w:rsidR="00BC72AA">
        <w:rPr>
          <w:sz w:val="24"/>
          <w:szCs w:val="24"/>
        </w:rPr>
        <w:t>amendments each</w:t>
      </w:r>
      <w:r>
        <w:rPr>
          <w:sz w:val="24"/>
          <w:szCs w:val="24"/>
        </w:rPr>
        <w:t xml:space="preserve"> day </w:t>
      </w:r>
      <w:r w:rsidR="00CE4465">
        <w:rPr>
          <w:sz w:val="24"/>
          <w:szCs w:val="24"/>
        </w:rPr>
        <w:t>via HRA Amendments inbox for categorisation (this does not include amendments submitted to REC)</w:t>
      </w:r>
      <w:r>
        <w:rPr>
          <w:sz w:val="24"/>
          <w:szCs w:val="24"/>
        </w:rPr>
        <w:t>.</w:t>
      </w:r>
      <w:r w:rsidRPr="00495249">
        <w:rPr>
          <w:sz w:val="24"/>
          <w:szCs w:val="24"/>
        </w:rPr>
        <w:t xml:space="preserve"> </w:t>
      </w:r>
      <w:r w:rsidR="00CE4465">
        <w:rPr>
          <w:sz w:val="24"/>
          <w:szCs w:val="24"/>
        </w:rPr>
        <w:t xml:space="preserve"> </w:t>
      </w:r>
      <w:r w:rsidR="00F73169">
        <w:rPr>
          <w:sz w:val="24"/>
          <w:szCs w:val="24"/>
        </w:rPr>
        <w:t>O</w:t>
      </w:r>
      <w:r w:rsidR="00CE4465">
        <w:rPr>
          <w:sz w:val="24"/>
          <w:szCs w:val="24"/>
        </w:rPr>
        <w:t>f all amendment Submissions (via HRA amendments and REC),</w:t>
      </w:r>
      <w:r w:rsidR="00BC72AA">
        <w:rPr>
          <w:sz w:val="24"/>
          <w:szCs w:val="24"/>
        </w:rPr>
        <w:t xml:space="preserve"> </w:t>
      </w:r>
      <w:r w:rsidR="009F2335">
        <w:rPr>
          <w:sz w:val="24"/>
          <w:szCs w:val="24"/>
        </w:rPr>
        <w:t xml:space="preserve">15 – 40 amendments each day are identified as requiring HRA Assessment. </w:t>
      </w:r>
      <w:r w:rsidR="00BC72AA">
        <w:rPr>
          <w:sz w:val="24"/>
          <w:szCs w:val="24"/>
        </w:rPr>
        <w:t>Categorisation is routinely being completed within the five working days set out in UK-wide standards.</w:t>
      </w:r>
      <w:r w:rsidR="00D873BE">
        <w:rPr>
          <w:sz w:val="24"/>
          <w:szCs w:val="24"/>
        </w:rPr>
        <w:t xml:space="preserve"> </w:t>
      </w:r>
    </w:p>
    <w:p w:rsidR="0002257D" w:rsidRDefault="0002257D" w:rsidP="0002257D">
      <w:pPr>
        <w:rPr>
          <w:sz w:val="24"/>
          <w:szCs w:val="24"/>
        </w:rPr>
      </w:pPr>
      <w:r>
        <w:rPr>
          <w:sz w:val="24"/>
          <w:szCs w:val="24"/>
        </w:rPr>
        <w:t xml:space="preserve">Figure </w:t>
      </w:r>
      <w:r w:rsidR="00582079">
        <w:rPr>
          <w:sz w:val="24"/>
          <w:szCs w:val="24"/>
        </w:rPr>
        <w:t>9</w:t>
      </w:r>
      <w:r w:rsidRPr="00495249">
        <w:rPr>
          <w:sz w:val="24"/>
          <w:szCs w:val="24"/>
        </w:rPr>
        <w:t xml:space="preserve"> provides information on the number of amendments which have been </w:t>
      </w:r>
      <w:r w:rsidR="00CE4465">
        <w:rPr>
          <w:sz w:val="24"/>
          <w:szCs w:val="24"/>
        </w:rPr>
        <w:t>assessed</w:t>
      </w:r>
      <w:r w:rsidRPr="00495249">
        <w:rPr>
          <w:sz w:val="24"/>
          <w:szCs w:val="24"/>
        </w:rPr>
        <w:t xml:space="preserve">, </w:t>
      </w:r>
      <w:r w:rsidR="00BC72AA">
        <w:rPr>
          <w:sz w:val="24"/>
          <w:szCs w:val="24"/>
        </w:rPr>
        <w:t>the open caseload</w:t>
      </w:r>
      <w:r w:rsidR="00B12749">
        <w:rPr>
          <w:sz w:val="24"/>
          <w:szCs w:val="24"/>
        </w:rPr>
        <w:t xml:space="preserve">, </w:t>
      </w:r>
      <w:r w:rsidRPr="00495249">
        <w:rPr>
          <w:sz w:val="24"/>
          <w:szCs w:val="24"/>
        </w:rPr>
        <w:t xml:space="preserve">and the median time in calendar days to be </w:t>
      </w:r>
      <w:r w:rsidR="00B12749">
        <w:rPr>
          <w:sz w:val="24"/>
          <w:szCs w:val="24"/>
        </w:rPr>
        <w:t>assessed</w:t>
      </w:r>
      <w:r w:rsidRPr="00495249">
        <w:rPr>
          <w:sz w:val="24"/>
          <w:szCs w:val="24"/>
        </w:rPr>
        <w:t>.</w:t>
      </w:r>
      <w:r>
        <w:rPr>
          <w:sz w:val="24"/>
          <w:szCs w:val="24"/>
        </w:rPr>
        <w:t xml:space="preserve"> Start date is from date of receipt.</w:t>
      </w:r>
      <w:r w:rsidR="006D549E">
        <w:rPr>
          <w:sz w:val="24"/>
          <w:szCs w:val="24"/>
        </w:rPr>
        <w:t xml:space="preserve"> </w:t>
      </w:r>
      <w:r w:rsidR="00BC72AA">
        <w:rPr>
          <w:sz w:val="24"/>
          <w:szCs w:val="24"/>
        </w:rPr>
        <w:t xml:space="preserve">The number of amendments marked as requiring assessment is the open caseload, and includes amendments awaiting REC and/or MHRA review as well as those undergoing assessment. </w:t>
      </w:r>
    </w:p>
    <w:p w:rsidR="0002257D" w:rsidRDefault="0002257D" w:rsidP="0002257D">
      <w:pPr>
        <w:pStyle w:val="Caption"/>
        <w:keepNext/>
      </w:pPr>
      <w:r w:rsidRPr="00024B07">
        <w:lastRenderedPageBreak/>
        <w:t xml:space="preserve">Figure </w:t>
      </w:r>
      <w:r w:rsidR="00582079">
        <w:t>9</w:t>
      </w:r>
      <w:r w:rsidRPr="00024B07">
        <w:t xml:space="preserve">: Number of amendments to </w:t>
      </w:r>
      <w:r w:rsidR="00010E1A">
        <w:t xml:space="preserve">Assessment Monthly data </w:t>
      </w:r>
    </w:p>
    <w:tbl>
      <w:tblPr>
        <w:tblW w:w="4999" w:type="pct"/>
        <w:tblCellMar>
          <w:left w:w="0" w:type="dxa"/>
          <w:right w:w="0" w:type="dxa"/>
        </w:tblCellMar>
        <w:tblLook w:val="04A0" w:firstRow="1" w:lastRow="0" w:firstColumn="1" w:lastColumn="0" w:noHBand="0" w:noVBand="1"/>
      </w:tblPr>
      <w:tblGrid>
        <w:gridCol w:w="4950"/>
        <w:gridCol w:w="1060"/>
        <w:gridCol w:w="1060"/>
        <w:gridCol w:w="1058"/>
        <w:gridCol w:w="1058"/>
      </w:tblGrid>
      <w:tr w:rsidR="005A0ACA" w:rsidTr="00602851">
        <w:trPr>
          <w:trHeight w:val="313"/>
        </w:trPr>
        <w:tc>
          <w:tcPr>
            <w:tcW w:w="2694" w:type="pct"/>
            <w:tcBorders>
              <w:top w:val="nil"/>
              <w:left w:val="single" w:sz="8" w:space="0" w:color="C0504D"/>
              <w:bottom w:val="single" w:sz="8" w:space="0" w:color="C0504D"/>
              <w:right w:val="single" w:sz="8" w:space="0" w:color="C0504D"/>
            </w:tcBorders>
            <w:shd w:val="clear" w:color="auto" w:fill="C0504D"/>
            <w:noWrap/>
            <w:tcMar>
              <w:top w:w="0" w:type="dxa"/>
              <w:left w:w="108" w:type="dxa"/>
              <w:bottom w:w="0" w:type="dxa"/>
              <w:right w:w="108" w:type="dxa"/>
            </w:tcMar>
            <w:vAlign w:val="center"/>
            <w:hideMark/>
          </w:tcPr>
          <w:p w:rsidR="005A0ACA" w:rsidRDefault="005A0ACA" w:rsidP="00915EB2">
            <w:pPr>
              <w:rPr>
                <w:rFonts w:ascii="Arial" w:hAnsi="Arial" w:cs="Arial"/>
                <w:color w:val="000000"/>
                <w:sz w:val="20"/>
                <w:szCs w:val="20"/>
                <w:lang w:eastAsia="en-GB"/>
              </w:rPr>
            </w:pPr>
            <w:r>
              <w:rPr>
                <w:rFonts w:ascii="Arial" w:hAnsi="Arial" w:cs="Arial"/>
                <w:color w:val="000000"/>
                <w:sz w:val="20"/>
                <w:szCs w:val="20"/>
                <w:lang w:eastAsia="en-GB"/>
              </w:rPr>
              <w:t> </w:t>
            </w:r>
          </w:p>
        </w:tc>
        <w:tc>
          <w:tcPr>
            <w:tcW w:w="577" w:type="pct"/>
            <w:tcBorders>
              <w:top w:val="single" w:sz="8" w:space="0" w:color="C0504D"/>
              <w:left w:val="nil"/>
              <w:bottom w:val="single" w:sz="8" w:space="0" w:color="C0504D"/>
              <w:right w:val="single" w:sz="8" w:space="0" w:color="C0504D"/>
            </w:tcBorders>
            <w:shd w:val="clear" w:color="auto" w:fill="C0504D"/>
            <w:noWrap/>
            <w:tcMar>
              <w:top w:w="0" w:type="dxa"/>
              <w:left w:w="108" w:type="dxa"/>
              <w:bottom w:w="0" w:type="dxa"/>
              <w:right w:w="108" w:type="dxa"/>
            </w:tcMar>
            <w:vAlign w:val="center"/>
            <w:hideMark/>
          </w:tcPr>
          <w:p w:rsidR="005A0ACA" w:rsidRDefault="005A0ACA" w:rsidP="00915EB2">
            <w:pPr>
              <w:jc w:val="right"/>
              <w:rPr>
                <w:rFonts w:ascii="Arial" w:hAnsi="Arial" w:cs="Arial"/>
                <w:b/>
                <w:bCs/>
                <w:color w:val="FFFFFF"/>
                <w:sz w:val="20"/>
                <w:szCs w:val="20"/>
                <w:lang w:eastAsia="en-GB"/>
              </w:rPr>
            </w:pPr>
            <w:r>
              <w:rPr>
                <w:rFonts w:ascii="Arial" w:hAnsi="Arial" w:cs="Arial"/>
                <w:b/>
                <w:bCs/>
                <w:color w:val="FFFFFF"/>
                <w:sz w:val="20"/>
                <w:szCs w:val="20"/>
                <w:lang w:eastAsia="en-GB"/>
              </w:rPr>
              <w:t>Dec-16</w:t>
            </w:r>
          </w:p>
        </w:tc>
        <w:tc>
          <w:tcPr>
            <w:tcW w:w="577" w:type="pct"/>
            <w:tcBorders>
              <w:top w:val="single" w:sz="8" w:space="0" w:color="C0504D"/>
              <w:left w:val="nil"/>
              <w:bottom w:val="single" w:sz="8" w:space="0" w:color="C0504D"/>
              <w:right w:val="single" w:sz="8" w:space="0" w:color="C0504D"/>
            </w:tcBorders>
            <w:shd w:val="clear" w:color="auto" w:fill="C0504D"/>
            <w:tcMar>
              <w:top w:w="0" w:type="dxa"/>
              <w:left w:w="108" w:type="dxa"/>
              <w:bottom w:w="0" w:type="dxa"/>
              <w:right w:w="108" w:type="dxa"/>
            </w:tcMar>
            <w:vAlign w:val="center"/>
            <w:hideMark/>
          </w:tcPr>
          <w:p w:rsidR="005A0ACA" w:rsidRDefault="005A0ACA" w:rsidP="00915EB2">
            <w:pPr>
              <w:jc w:val="right"/>
              <w:rPr>
                <w:rFonts w:ascii="Arial" w:hAnsi="Arial" w:cs="Arial"/>
                <w:b/>
                <w:bCs/>
                <w:color w:val="FFFFFF"/>
                <w:sz w:val="20"/>
                <w:szCs w:val="20"/>
                <w:lang w:eastAsia="en-GB"/>
              </w:rPr>
            </w:pPr>
            <w:r>
              <w:rPr>
                <w:rFonts w:ascii="Arial" w:hAnsi="Arial" w:cs="Arial"/>
                <w:b/>
                <w:bCs/>
                <w:color w:val="FFFFFF"/>
                <w:sz w:val="20"/>
                <w:szCs w:val="20"/>
                <w:lang w:eastAsia="en-GB"/>
              </w:rPr>
              <w:t>Jan-17</w:t>
            </w:r>
          </w:p>
        </w:tc>
        <w:tc>
          <w:tcPr>
            <w:tcW w:w="576" w:type="pct"/>
            <w:tcBorders>
              <w:top w:val="single" w:sz="8" w:space="0" w:color="C0504D"/>
              <w:left w:val="nil"/>
              <w:bottom w:val="single" w:sz="8" w:space="0" w:color="C0504D"/>
              <w:right w:val="single" w:sz="8" w:space="0" w:color="C0504D"/>
            </w:tcBorders>
            <w:shd w:val="clear" w:color="auto" w:fill="C0504D"/>
            <w:vAlign w:val="center"/>
            <w:hideMark/>
          </w:tcPr>
          <w:p w:rsidR="005A0ACA" w:rsidRDefault="005A0ACA" w:rsidP="00915EB2">
            <w:pPr>
              <w:jc w:val="right"/>
              <w:rPr>
                <w:rFonts w:ascii="Arial" w:hAnsi="Arial" w:cs="Arial"/>
                <w:b/>
                <w:bCs/>
                <w:color w:val="FFFFFF"/>
                <w:sz w:val="20"/>
                <w:szCs w:val="20"/>
                <w:lang w:eastAsia="en-GB"/>
              </w:rPr>
            </w:pPr>
            <w:r>
              <w:rPr>
                <w:rFonts w:ascii="Arial" w:hAnsi="Arial" w:cs="Arial"/>
                <w:b/>
                <w:bCs/>
                <w:color w:val="FFFFFF"/>
                <w:sz w:val="20"/>
                <w:szCs w:val="20"/>
                <w:lang w:eastAsia="en-GB"/>
              </w:rPr>
              <w:t>Feb-17</w:t>
            </w:r>
          </w:p>
        </w:tc>
        <w:tc>
          <w:tcPr>
            <w:tcW w:w="576" w:type="pct"/>
            <w:tcBorders>
              <w:top w:val="single" w:sz="8" w:space="0" w:color="C0504D"/>
              <w:left w:val="nil"/>
              <w:bottom w:val="single" w:sz="8" w:space="0" w:color="C0504D"/>
              <w:right w:val="single" w:sz="8" w:space="0" w:color="C0504D"/>
            </w:tcBorders>
            <w:shd w:val="clear" w:color="auto" w:fill="C0504D"/>
          </w:tcPr>
          <w:p w:rsidR="005A0ACA" w:rsidRDefault="005A0ACA" w:rsidP="00915EB2">
            <w:pPr>
              <w:jc w:val="right"/>
              <w:rPr>
                <w:rFonts w:ascii="Arial" w:hAnsi="Arial" w:cs="Arial"/>
                <w:b/>
                <w:bCs/>
                <w:color w:val="FFFFFF"/>
                <w:sz w:val="20"/>
                <w:szCs w:val="20"/>
                <w:lang w:eastAsia="en-GB"/>
              </w:rPr>
            </w:pPr>
            <w:r>
              <w:rPr>
                <w:rFonts w:ascii="Arial" w:hAnsi="Arial" w:cs="Arial"/>
                <w:b/>
                <w:bCs/>
                <w:color w:val="FFFFFF"/>
                <w:sz w:val="20"/>
                <w:szCs w:val="20"/>
                <w:lang w:eastAsia="en-GB"/>
              </w:rPr>
              <w:t>Mar-17</w:t>
            </w:r>
          </w:p>
        </w:tc>
      </w:tr>
      <w:tr w:rsidR="005A0ACA" w:rsidTr="00602851">
        <w:trPr>
          <w:trHeight w:val="298"/>
        </w:trPr>
        <w:tc>
          <w:tcPr>
            <w:tcW w:w="2694" w:type="pct"/>
            <w:tcBorders>
              <w:top w:val="nil"/>
              <w:left w:val="single" w:sz="8" w:space="0" w:color="C0504D"/>
              <w:bottom w:val="single" w:sz="8" w:space="0" w:color="C0504D"/>
              <w:right w:val="single" w:sz="8" w:space="0" w:color="C0504D"/>
            </w:tcBorders>
            <w:shd w:val="clear" w:color="auto" w:fill="C0504D"/>
            <w:tcMar>
              <w:top w:w="0" w:type="dxa"/>
              <w:left w:w="108" w:type="dxa"/>
              <w:bottom w:w="0" w:type="dxa"/>
              <w:right w:w="108" w:type="dxa"/>
            </w:tcMar>
            <w:vAlign w:val="center"/>
            <w:hideMark/>
          </w:tcPr>
          <w:p w:rsidR="005A0ACA" w:rsidRDefault="005A0ACA" w:rsidP="00915EB2">
            <w:pPr>
              <w:rPr>
                <w:rFonts w:ascii="Arial" w:hAnsi="Arial" w:cs="Arial"/>
                <w:b/>
                <w:bCs/>
                <w:color w:val="FFFFFF"/>
                <w:sz w:val="20"/>
                <w:szCs w:val="20"/>
                <w:lang w:eastAsia="en-GB"/>
              </w:rPr>
            </w:pPr>
            <w:r>
              <w:rPr>
                <w:rFonts w:ascii="Arial" w:hAnsi="Arial" w:cs="Arial"/>
                <w:b/>
                <w:bCs/>
                <w:color w:val="FFFFFF"/>
                <w:sz w:val="20"/>
                <w:szCs w:val="20"/>
                <w:lang w:eastAsia="en-GB"/>
              </w:rPr>
              <w:t>Number of Amendments Assessed</w:t>
            </w:r>
          </w:p>
        </w:tc>
        <w:tc>
          <w:tcPr>
            <w:tcW w:w="577" w:type="pct"/>
            <w:tcBorders>
              <w:top w:val="nil"/>
              <w:left w:val="nil"/>
              <w:bottom w:val="single" w:sz="8" w:space="0" w:color="C0504D"/>
              <w:right w:val="single" w:sz="8" w:space="0" w:color="C0504D"/>
            </w:tcBorders>
            <w:shd w:val="clear" w:color="auto" w:fill="FFFFFF"/>
            <w:noWrap/>
            <w:tcMar>
              <w:top w:w="0" w:type="dxa"/>
              <w:left w:w="108" w:type="dxa"/>
              <w:bottom w:w="0" w:type="dxa"/>
              <w:right w:w="108" w:type="dxa"/>
            </w:tcMar>
            <w:vAlign w:val="center"/>
            <w:hideMark/>
          </w:tcPr>
          <w:p w:rsidR="005A0ACA" w:rsidRDefault="005A0ACA" w:rsidP="00915EB2">
            <w:pPr>
              <w:jc w:val="right"/>
              <w:rPr>
                <w:rFonts w:ascii="Arial" w:hAnsi="Arial" w:cs="Arial"/>
                <w:color w:val="000000"/>
                <w:sz w:val="20"/>
                <w:szCs w:val="20"/>
                <w:lang w:eastAsia="en-GB"/>
              </w:rPr>
            </w:pPr>
            <w:r>
              <w:rPr>
                <w:rFonts w:ascii="Arial" w:hAnsi="Arial" w:cs="Arial"/>
                <w:color w:val="000000"/>
                <w:sz w:val="20"/>
                <w:szCs w:val="20"/>
                <w:lang w:eastAsia="en-GB"/>
              </w:rPr>
              <w:t>436</w:t>
            </w:r>
          </w:p>
        </w:tc>
        <w:tc>
          <w:tcPr>
            <w:tcW w:w="577" w:type="pct"/>
            <w:tcBorders>
              <w:top w:val="nil"/>
              <w:left w:val="nil"/>
              <w:bottom w:val="single" w:sz="8" w:space="0" w:color="C0504D"/>
              <w:right w:val="single" w:sz="8" w:space="0" w:color="C0504D"/>
            </w:tcBorders>
            <w:shd w:val="clear" w:color="auto" w:fill="FFFFFF"/>
            <w:tcMar>
              <w:top w:w="0" w:type="dxa"/>
              <w:left w:w="108" w:type="dxa"/>
              <w:bottom w:w="0" w:type="dxa"/>
              <w:right w:w="108" w:type="dxa"/>
            </w:tcMar>
            <w:vAlign w:val="center"/>
            <w:hideMark/>
          </w:tcPr>
          <w:p w:rsidR="005A0ACA" w:rsidRDefault="005A0ACA" w:rsidP="00915EB2">
            <w:pPr>
              <w:jc w:val="right"/>
              <w:rPr>
                <w:rFonts w:ascii="Arial" w:hAnsi="Arial" w:cs="Arial"/>
                <w:color w:val="000000"/>
                <w:sz w:val="20"/>
                <w:szCs w:val="20"/>
                <w:lang w:eastAsia="en-GB"/>
              </w:rPr>
            </w:pPr>
            <w:r>
              <w:rPr>
                <w:rFonts w:ascii="Arial" w:hAnsi="Arial" w:cs="Arial"/>
                <w:color w:val="000000"/>
                <w:sz w:val="20"/>
                <w:szCs w:val="20"/>
                <w:lang w:eastAsia="en-GB"/>
              </w:rPr>
              <w:t>524</w:t>
            </w:r>
          </w:p>
        </w:tc>
        <w:tc>
          <w:tcPr>
            <w:tcW w:w="576" w:type="pct"/>
            <w:tcBorders>
              <w:top w:val="nil"/>
              <w:left w:val="nil"/>
              <w:bottom w:val="single" w:sz="8" w:space="0" w:color="C0504D"/>
              <w:right w:val="single" w:sz="8" w:space="0" w:color="C0504D"/>
            </w:tcBorders>
            <w:shd w:val="clear" w:color="auto" w:fill="FFFFFF"/>
            <w:vAlign w:val="center"/>
            <w:hideMark/>
          </w:tcPr>
          <w:p w:rsidR="005A0ACA" w:rsidRDefault="005A0ACA" w:rsidP="00915EB2">
            <w:pPr>
              <w:jc w:val="right"/>
              <w:rPr>
                <w:rFonts w:ascii="Arial" w:hAnsi="Arial" w:cs="Arial"/>
                <w:color w:val="000000"/>
                <w:sz w:val="20"/>
                <w:szCs w:val="20"/>
                <w:lang w:eastAsia="en-GB"/>
              </w:rPr>
            </w:pPr>
            <w:r>
              <w:rPr>
                <w:rFonts w:ascii="Arial" w:hAnsi="Arial" w:cs="Arial"/>
                <w:color w:val="000000"/>
                <w:sz w:val="20"/>
                <w:szCs w:val="20"/>
                <w:lang w:eastAsia="en-GB"/>
              </w:rPr>
              <w:t>561</w:t>
            </w:r>
          </w:p>
        </w:tc>
        <w:tc>
          <w:tcPr>
            <w:tcW w:w="576" w:type="pct"/>
            <w:tcBorders>
              <w:top w:val="nil"/>
              <w:left w:val="nil"/>
              <w:bottom w:val="single" w:sz="8" w:space="0" w:color="C0504D"/>
              <w:right w:val="single" w:sz="8" w:space="0" w:color="C0504D"/>
            </w:tcBorders>
            <w:shd w:val="clear" w:color="auto" w:fill="FFFFFF"/>
          </w:tcPr>
          <w:p w:rsidR="005A0ACA" w:rsidRDefault="001E0A54" w:rsidP="00915EB2">
            <w:pPr>
              <w:jc w:val="right"/>
              <w:rPr>
                <w:rFonts w:ascii="Arial" w:hAnsi="Arial" w:cs="Arial"/>
                <w:color w:val="000000"/>
                <w:sz w:val="20"/>
                <w:szCs w:val="20"/>
                <w:lang w:eastAsia="en-GB"/>
              </w:rPr>
            </w:pPr>
            <w:r>
              <w:rPr>
                <w:rFonts w:ascii="Arial" w:hAnsi="Arial" w:cs="Arial"/>
                <w:color w:val="000000"/>
                <w:sz w:val="20"/>
                <w:szCs w:val="20"/>
                <w:lang w:eastAsia="en-GB"/>
              </w:rPr>
              <w:t>685</w:t>
            </w:r>
          </w:p>
        </w:tc>
      </w:tr>
      <w:tr w:rsidR="005A0ACA" w:rsidTr="00602851">
        <w:trPr>
          <w:trHeight w:val="521"/>
        </w:trPr>
        <w:tc>
          <w:tcPr>
            <w:tcW w:w="2694" w:type="pct"/>
            <w:tcBorders>
              <w:top w:val="nil"/>
              <w:left w:val="single" w:sz="8" w:space="0" w:color="C0504D"/>
              <w:bottom w:val="single" w:sz="8" w:space="0" w:color="C0504D"/>
              <w:right w:val="single" w:sz="8" w:space="0" w:color="C0504D"/>
            </w:tcBorders>
            <w:shd w:val="clear" w:color="auto" w:fill="C0504D"/>
            <w:tcMar>
              <w:top w:w="0" w:type="dxa"/>
              <w:left w:w="108" w:type="dxa"/>
              <w:bottom w:w="0" w:type="dxa"/>
              <w:right w:w="108" w:type="dxa"/>
            </w:tcMar>
            <w:vAlign w:val="center"/>
            <w:hideMark/>
          </w:tcPr>
          <w:p w:rsidR="005A0ACA" w:rsidRDefault="005A0ACA" w:rsidP="00915EB2">
            <w:pPr>
              <w:rPr>
                <w:rFonts w:ascii="Arial" w:hAnsi="Arial" w:cs="Arial"/>
                <w:b/>
                <w:bCs/>
                <w:color w:val="FFFFFF"/>
                <w:sz w:val="20"/>
                <w:szCs w:val="20"/>
                <w:lang w:eastAsia="en-GB"/>
              </w:rPr>
            </w:pPr>
            <w:r>
              <w:rPr>
                <w:rFonts w:ascii="Arial" w:hAnsi="Arial" w:cs="Arial"/>
                <w:b/>
                <w:bCs/>
                <w:color w:val="FFFFFF"/>
                <w:sz w:val="20"/>
                <w:szCs w:val="20"/>
                <w:lang w:eastAsia="en-GB"/>
              </w:rPr>
              <w:t>Number of Amendments Marked as Requiring Assessment</w:t>
            </w:r>
          </w:p>
        </w:tc>
        <w:tc>
          <w:tcPr>
            <w:tcW w:w="577" w:type="pct"/>
            <w:tcBorders>
              <w:top w:val="nil"/>
              <w:left w:val="nil"/>
              <w:bottom w:val="single" w:sz="8" w:space="0" w:color="C0504D"/>
              <w:right w:val="single" w:sz="8" w:space="0" w:color="C0504D"/>
            </w:tcBorders>
            <w:shd w:val="clear" w:color="auto" w:fill="FFFFFF"/>
            <w:noWrap/>
            <w:tcMar>
              <w:top w:w="0" w:type="dxa"/>
              <w:left w:w="108" w:type="dxa"/>
              <w:bottom w:w="0" w:type="dxa"/>
              <w:right w:w="108" w:type="dxa"/>
            </w:tcMar>
            <w:vAlign w:val="center"/>
            <w:hideMark/>
          </w:tcPr>
          <w:p w:rsidR="005A0ACA" w:rsidRDefault="005A0ACA" w:rsidP="00915EB2">
            <w:pPr>
              <w:jc w:val="right"/>
              <w:rPr>
                <w:rFonts w:ascii="Arial" w:hAnsi="Arial" w:cs="Arial"/>
                <w:color w:val="000000"/>
                <w:sz w:val="20"/>
                <w:szCs w:val="20"/>
                <w:lang w:eastAsia="en-GB"/>
              </w:rPr>
            </w:pPr>
            <w:r>
              <w:rPr>
                <w:rFonts w:ascii="Arial" w:hAnsi="Arial" w:cs="Arial"/>
                <w:color w:val="000000"/>
                <w:sz w:val="20"/>
                <w:szCs w:val="20"/>
                <w:lang w:eastAsia="en-GB"/>
              </w:rPr>
              <w:t>616</w:t>
            </w:r>
          </w:p>
        </w:tc>
        <w:tc>
          <w:tcPr>
            <w:tcW w:w="577" w:type="pct"/>
            <w:tcBorders>
              <w:top w:val="nil"/>
              <w:left w:val="nil"/>
              <w:bottom w:val="single" w:sz="8" w:space="0" w:color="C0504D"/>
              <w:right w:val="single" w:sz="8" w:space="0" w:color="C0504D"/>
            </w:tcBorders>
            <w:shd w:val="clear" w:color="auto" w:fill="FFFFFF"/>
            <w:tcMar>
              <w:top w:w="0" w:type="dxa"/>
              <w:left w:w="108" w:type="dxa"/>
              <w:bottom w:w="0" w:type="dxa"/>
              <w:right w:w="108" w:type="dxa"/>
            </w:tcMar>
            <w:vAlign w:val="center"/>
            <w:hideMark/>
          </w:tcPr>
          <w:p w:rsidR="005A0ACA" w:rsidRDefault="005A0ACA" w:rsidP="00915EB2">
            <w:pPr>
              <w:jc w:val="right"/>
              <w:rPr>
                <w:rFonts w:ascii="Arial" w:hAnsi="Arial" w:cs="Arial"/>
                <w:color w:val="000000"/>
                <w:sz w:val="20"/>
                <w:szCs w:val="20"/>
                <w:lang w:eastAsia="en-GB"/>
              </w:rPr>
            </w:pPr>
            <w:r>
              <w:rPr>
                <w:rFonts w:ascii="Arial" w:hAnsi="Arial" w:cs="Arial"/>
                <w:color w:val="000000"/>
                <w:sz w:val="20"/>
                <w:szCs w:val="20"/>
                <w:lang w:eastAsia="en-GB"/>
              </w:rPr>
              <w:t>549</w:t>
            </w:r>
          </w:p>
        </w:tc>
        <w:tc>
          <w:tcPr>
            <w:tcW w:w="576" w:type="pct"/>
            <w:tcBorders>
              <w:top w:val="nil"/>
              <w:left w:val="nil"/>
              <w:bottom w:val="single" w:sz="8" w:space="0" w:color="C0504D"/>
              <w:right w:val="single" w:sz="8" w:space="0" w:color="C0504D"/>
            </w:tcBorders>
            <w:shd w:val="clear" w:color="auto" w:fill="FFFFFF"/>
            <w:vAlign w:val="center"/>
            <w:hideMark/>
          </w:tcPr>
          <w:p w:rsidR="005A0ACA" w:rsidRDefault="005A0ACA" w:rsidP="00915EB2">
            <w:pPr>
              <w:jc w:val="right"/>
              <w:rPr>
                <w:rFonts w:ascii="Arial" w:hAnsi="Arial" w:cs="Arial"/>
                <w:color w:val="000000"/>
                <w:sz w:val="20"/>
                <w:szCs w:val="20"/>
                <w:lang w:eastAsia="en-GB"/>
              </w:rPr>
            </w:pPr>
            <w:r>
              <w:rPr>
                <w:rFonts w:ascii="Arial" w:hAnsi="Arial" w:cs="Arial"/>
                <w:color w:val="000000"/>
                <w:sz w:val="20"/>
                <w:szCs w:val="20"/>
                <w:lang w:eastAsia="en-GB"/>
              </w:rPr>
              <w:t>589</w:t>
            </w:r>
          </w:p>
        </w:tc>
        <w:tc>
          <w:tcPr>
            <w:tcW w:w="576" w:type="pct"/>
            <w:tcBorders>
              <w:top w:val="nil"/>
              <w:left w:val="nil"/>
              <w:bottom w:val="single" w:sz="8" w:space="0" w:color="C0504D"/>
              <w:right w:val="single" w:sz="8" w:space="0" w:color="C0504D"/>
            </w:tcBorders>
            <w:shd w:val="clear" w:color="auto" w:fill="FFFFFF"/>
            <w:vAlign w:val="center"/>
          </w:tcPr>
          <w:p w:rsidR="005A0ACA" w:rsidRDefault="001E0A54" w:rsidP="001E0A54">
            <w:pPr>
              <w:jc w:val="right"/>
              <w:rPr>
                <w:rFonts w:ascii="Arial" w:hAnsi="Arial" w:cs="Arial"/>
                <w:color w:val="000000"/>
                <w:sz w:val="20"/>
                <w:szCs w:val="20"/>
                <w:lang w:eastAsia="en-GB"/>
              </w:rPr>
            </w:pPr>
            <w:r>
              <w:rPr>
                <w:rFonts w:ascii="Arial" w:hAnsi="Arial" w:cs="Arial"/>
                <w:color w:val="000000"/>
                <w:sz w:val="20"/>
                <w:szCs w:val="20"/>
                <w:lang w:eastAsia="en-GB"/>
              </w:rPr>
              <w:t>721</w:t>
            </w:r>
          </w:p>
        </w:tc>
      </w:tr>
      <w:tr w:rsidR="005A0ACA" w:rsidTr="00602851">
        <w:trPr>
          <w:trHeight w:val="313"/>
        </w:trPr>
        <w:tc>
          <w:tcPr>
            <w:tcW w:w="2694" w:type="pct"/>
            <w:tcBorders>
              <w:top w:val="nil"/>
              <w:left w:val="single" w:sz="8" w:space="0" w:color="C0504D"/>
              <w:bottom w:val="single" w:sz="8" w:space="0" w:color="C0504D"/>
              <w:right w:val="single" w:sz="8" w:space="0" w:color="C0504D"/>
            </w:tcBorders>
            <w:shd w:val="clear" w:color="auto" w:fill="C0504D"/>
            <w:tcMar>
              <w:top w:w="0" w:type="dxa"/>
              <w:left w:w="108" w:type="dxa"/>
              <w:bottom w:w="0" w:type="dxa"/>
              <w:right w:w="108" w:type="dxa"/>
            </w:tcMar>
            <w:vAlign w:val="center"/>
            <w:hideMark/>
          </w:tcPr>
          <w:p w:rsidR="005A0ACA" w:rsidRDefault="005A0ACA" w:rsidP="00915EB2">
            <w:pPr>
              <w:rPr>
                <w:rFonts w:ascii="Arial" w:hAnsi="Arial" w:cs="Arial"/>
                <w:b/>
                <w:bCs/>
                <w:color w:val="FFFFFF"/>
                <w:sz w:val="20"/>
                <w:szCs w:val="20"/>
                <w:lang w:eastAsia="en-GB"/>
              </w:rPr>
            </w:pPr>
            <w:r>
              <w:rPr>
                <w:rFonts w:ascii="Arial" w:hAnsi="Arial" w:cs="Arial"/>
                <w:b/>
                <w:bCs/>
                <w:color w:val="FFFFFF"/>
                <w:sz w:val="20"/>
                <w:szCs w:val="20"/>
                <w:lang w:eastAsia="en-GB"/>
              </w:rPr>
              <w:t>Median Time to Review (Working Days)</w:t>
            </w:r>
          </w:p>
        </w:tc>
        <w:tc>
          <w:tcPr>
            <w:tcW w:w="577" w:type="pct"/>
            <w:tcBorders>
              <w:top w:val="nil"/>
              <w:left w:val="nil"/>
              <w:bottom w:val="single" w:sz="8" w:space="0" w:color="C0504D"/>
              <w:right w:val="single" w:sz="8" w:space="0" w:color="C0504D"/>
            </w:tcBorders>
            <w:noWrap/>
            <w:tcMar>
              <w:top w:w="0" w:type="dxa"/>
              <w:left w:w="108" w:type="dxa"/>
              <w:bottom w:w="0" w:type="dxa"/>
              <w:right w:w="108" w:type="dxa"/>
            </w:tcMar>
            <w:vAlign w:val="center"/>
            <w:hideMark/>
          </w:tcPr>
          <w:p w:rsidR="005A0ACA" w:rsidRDefault="005A0ACA" w:rsidP="00915EB2">
            <w:pPr>
              <w:jc w:val="right"/>
              <w:rPr>
                <w:rFonts w:ascii="Arial" w:hAnsi="Arial" w:cs="Arial"/>
                <w:color w:val="000000"/>
                <w:sz w:val="20"/>
                <w:szCs w:val="20"/>
                <w:lang w:eastAsia="en-GB"/>
              </w:rPr>
            </w:pPr>
            <w:r>
              <w:rPr>
                <w:rFonts w:ascii="Arial" w:hAnsi="Arial" w:cs="Arial"/>
                <w:color w:val="000000"/>
                <w:sz w:val="20"/>
                <w:szCs w:val="20"/>
                <w:lang w:eastAsia="en-GB"/>
              </w:rPr>
              <w:t>17</w:t>
            </w:r>
          </w:p>
        </w:tc>
        <w:tc>
          <w:tcPr>
            <w:tcW w:w="577" w:type="pct"/>
            <w:tcBorders>
              <w:top w:val="nil"/>
              <w:left w:val="nil"/>
              <w:bottom w:val="single" w:sz="8" w:space="0" w:color="C0504D"/>
              <w:right w:val="single" w:sz="8" w:space="0" w:color="C0504D"/>
            </w:tcBorders>
            <w:tcMar>
              <w:top w:w="0" w:type="dxa"/>
              <w:left w:w="108" w:type="dxa"/>
              <w:bottom w:w="0" w:type="dxa"/>
              <w:right w:w="108" w:type="dxa"/>
            </w:tcMar>
            <w:vAlign w:val="center"/>
            <w:hideMark/>
          </w:tcPr>
          <w:p w:rsidR="005A0ACA" w:rsidRDefault="005A0ACA" w:rsidP="00915EB2">
            <w:pPr>
              <w:jc w:val="right"/>
              <w:rPr>
                <w:rFonts w:ascii="Arial" w:hAnsi="Arial" w:cs="Arial"/>
                <w:color w:val="000000"/>
                <w:sz w:val="20"/>
                <w:szCs w:val="20"/>
                <w:lang w:eastAsia="en-GB"/>
              </w:rPr>
            </w:pPr>
            <w:r>
              <w:rPr>
                <w:rFonts w:ascii="Arial" w:hAnsi="Arial" w:cs="Arial"/>
                <w:color w:val="000000"/>
                <w:sz w:val="20"/>
                <w:szCs w:val="20"/>
                <w:lang w:eastAsia="en-GB"/>
              </w:rPr>
              <w:t>13</w:t>
            </w:r>
          </w:p>
        </w:tc>
        <w:tc>
          <w:tcPr>
            <w:tcW w:w="576" w:type="pct"/>
            <w:tcBorders>
              <w:top w:val="nil"/>
              <w:left w:val="nil"/>
              <w:bottom w:val="single" w:sz="8" w:space="0" w:color="C0504D"/>
              <w:right w:val="single" w:sz="8" w:space="0" w:color="C0504D"/>
            </w:tcBorders>
            <w:vAlign w:val="center"/>
            <w:hideMark/>
          </w:tcPr>
          <w:p w:rsidR="005A0ACA" w:rsidRDefault="005A0ACA" w:rsidP="00915EB2">
            <w:pPr>
              <w:jc w:val="right"/>
              <w:rPr>
                <w:rFonts w:ascii="Arial" w:hAnsi="Arial" w:cs="Arial"/>
                <w:color w:val="000000"/>
                <w:sz w:val="20"/>
                <w:szCs w:val="20"/>
                <w:lang w:eastAsia="en-GB"/>
              </w:rPr>
            </w:pPr>
            <w:r>
              <w:rPr>
                <w:rFonts w:ascii="Arial" w:hAnsi="Arial" w:cs="Arial"/>
                <w:color w:val="000000"/>
                <w:sz w:val="20"/>
                <w:szCs w:val="20"/>
                <w:lang w:eastAsia="en-GB"/>
              </w:rPr>
              <w:t>12</w:t>
            </w:r>
          </w:p>
        </w:tc>
        <w:tc>
          <w:tcPr>
            <w:tcW w:w="576" w:type="pct"/>
            <w:tcBorders>
              <w:top w:val="nil"/>
              <w:left w:val="nil"/>
              <w:bottom w:val="single" w:sz="8" w:space="0" w:color="C0504D"/>
              <w:right w:val="single" w:sz="8" w:space="0" w:color="C0504D"/>
            </w:tcBorders>
          </w:tcPr>
          <w:p w:rsidR="005A0ACA" w:rsidRDefault="001E0A54" w:rsidP="00915EB2">
            <w:pPr>
              <w:jc w:val="right"/>
              <w:rPr>
                <w:rFonts w:ascii="Arial" w:hAnsi="Arial" w:cs="Arial"/>
                <w:color w:val="000000"/>
                <w:sz w:val="20"/>
                <w:szCs w:val="20"/>
                <w:lang w:eastAsia="en-GB"/>
              </w:rPr>
            </w:pPr>
            <w:r>
              <w:rPr>
                <w:rFonts w:ascii="Arial" w:hAnsi="Arial" w:cs="Arial"/>
                <w:color w:val="000000"/>
                <w:sz w:val="20"/>
                <w:szCs w:val="20"/>
                <w:lang w:eastAsia="en-GB"/>
              </w:rPr>
              <w:t>15</w:t>
            </w:r>
          </w:p>
        </w:tc>
      </w:tr>
    </w:tbl>
    <w:p w:rsidR="00010E1A" w:rsidRDefault="00010E1A" w:rsidP="00010E1A"/>
    <w:p w:rsidR="00CE4465" w:rsidRDefault="00CE4465" w:rsidP="00CE4465">
      <w:pPr>
        <w:pStyle w:val="Caption"/>
        <w:keepNext/>
      </w:pPr>
      <w:r>
        <w:t xml:space="preserve">Figure </w:t>
      </w:r>
      <w:fldSimple w:instr=" SEQ Figure \* ARABIC ">
        <w:r>
          <w:rPr>
            <w:noProof/>
          </w:rPr>
          <w:t>1</w:t>
        </w:r>
      </w:fldSimple>
      <w:r>
        <w:t>0 Monthly breakdown of Amendments with HRA</w:t>
      </w:r>
    </w:p>
    <w:p w:rsidR="00CE4465" w:rsidRDefault="00C6529C" w:rsidP="00010E1A">
      <w:r>
        <w:rPr>
          <w:noProof/>
          <w:lang w:eastAsia="en-GB"/>
        </w:rPr>
        <w:drawing>
          <wp:inline distT="0" distB="0" distL="0" distR="0" wp14:anchorId="4EE3146F" wp14:editId="7893D4FD">
            <wp:extent cx="5756745" cy="3267986"/>
            <wp:effectExtent l="0" t="0" r="15875" b="2794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14695" w:rsidRDefault="00614695" w:rsidP="00010E1A"/>
    <w:p w:rsidR="00614695" w:rsidRDefault="00614695" w:rsidP="00010E1A"/>
    <w:p w:rsidR="00614695" w:rsidRDefault="00614695" w:rsidP="00010E1A"/>
    <w:p w:rsidR="00614695" w:rsidRDefault="00614695" w:rsidP="00010E1A"/>
    <w:p w:rsidR="00614695" w:rsidRDefault="00614695" w:rsidP="00010E1A"/>
    <w:p w:rsidR="00614695" w:rsidRDefault="00614695" w:rsidP="00010E1A"/>
    <w:p w:rsidR="00614695" w:rsidRDefault="00614695" w:rsidP="00010E1A"/>
    <w:p w:rsidR="00614695" w:rsidRDefault="00614695" w:rsidP="00010E1A"/>
    <w:p w:rsidR="00614695" w:rsidRPr="00010E1A" w:rsidRDefault="00614695" w:rsidP="00010E1A"/>
    <w:p w:rsidR="0002257D" w:rsidRPr="000A5829" w:rsidRDefault="0002257D" w:rsidP="0002257D">
      <w:pPr>
        <w:pStyle w:val="ListParagraph"/>
        <w:widowControl w:val="0"/>
        <w:numPr>
          <w:ilvl w:val="0"/>
          <w:numId w:val="3"/>
        </w:numPr>
        <w:spacing w:before="26" w:after="0" w:line="240" w:lineRule="auto"/>
        <w:ind w:left="567" w:right="-20" w:hanging="567"/>
        <w:rPr>
          <w:rFonts w:asciiTheme="majorHAnsi" w:hAnsiTheme="majorHAnsi"/>
          <w:b/>
          <w:color w:val="0070C0"/>
          <w:sz w:val="28"/>
          <w:szCs w:val="28"/>
        </w:rPr>
      </w:pPr>
      <w:r w:rsidRPr="000A5829">
        <w:rPr>
          <w:rFonts w:asciiTheme="majorHAnsi" w:hAnsiTheme="majorHAnsi"/>
          <w:b/>
          <w:color w:val="0070C0"/>
          <w:sz w:val="28"/>
          <w:szCs w:val="28"/>
        </w:rPr>
        <w:lastRenderedPageBreak/>
        <w:t>Pre-HRA Applications</w:t>
      </w:r>
    </w:p>
    <w:p w:rsidR="0002257D" w:rsidRDefault="0002257D" w:rsidP="0002257D">
      <w:pPr>
        <w:spacing w:after="0" w:line="240" w:lineRule="auto"/>
        <w:rPr>
          <w:sz w:val="24"/>
          <w:szCs w:val="24"/>
        </w:rPr>
      </w:pPr>
    </w:p>
    <w:p w:rsidR="00D94CFD" w:rsidRDefault="0002257D" w:rsidP="00D94CFD">
      <w:pPr>
        <w:rPr>
          <w:sz w:val="24"/>
          <w:szCs w:val="24"/>
        </w:rPr>
      </w:pPr>
      <w:r>
        <w:rPr>
          <w:sz w:val="24"/>
          <w:szCs w:val="24"/>
        </w:rPr>
        <w:t xml:space="preserve">Volumes are now at operational levels where approval outputs balance volumes received. </w:t>
      </w:r>
      <w:r w:rsidR="00DF7D37">
        <w:rPr>
          <w:sz w:val="24"/>
          <w:szCs w:val="24"/>
        </w:rPr>
        <w:t>Applications coming in are now matched on a weekly basis by approvals issued.</w:t>
      </w:r>
    </w:p>
    <w:p w:rsidR="00D47CCF" w:rsidRDefault="0002257D" w:rsidP="00D94CFD">
      <w:pPr>
        <w:rPr>
          <w:b/>
          <w:color w:val="1F497D" w:themeColor="text2"/>
        </w:rPr>
      </w:pPr>
      <w:r w:rsidRPr="0016288D">
        <w:rPr>
          <w:b/>
          <w:color w:val="1F497D" w:themeColor="text2"/>
        </w:rPr>
        <w:t xml:space="preserve">Figure </w:t>
      </w:r>
      <w:r w:rsidR="00582079">
        <w:rPr>
          <w:b/>
          <w:color w:val="1F497D" w:themeColor="text2"/>
        </w:rPr>
        <w:t>1</w:t>
      </w:r>
      <w:r w:rsidR="00CE4465">
        <w:rPr>
          <w:b/>
          <w:color w:val="1F497D" w:themeColor="text2"/>
        </w:rPr>
        <w:t>1</w:t>
      </w:r>
      <w:r w:rsidRPr="0016288D">
        <w:rPr>
          <w:b/>
          <w:color w:val="1F497D" w:themeColor="text2"/>
        </w:rPr>
        <w:t>: Pre-HRA Applications</w:t>
      </w:r>
    </w:p>
    <w:p w:rsidR="00D47CCF" w:rsidRDefault="00C6529C" w:rsidP="00D94CFD">
      <w:pPr>
        <w:rPr>
          <w:b/>
          <w:color w:val="1F497D" w:themeColor="text2"/>
        </w:rPr>
      </w:pPr>
      <w:r>
        <w:rPr>
          <w:noProof/>
          <w:lang w:eastAsia="en-GB"/>
        </w:rPr>
        <w:drawing>
          <wp:inline distT="0" distB="0" distL="0" distR="0" wp14:anchorId="5A5EF8FA" wp14:editId="08826D75">
            <wp:extent cx="6281531" cy="3506525"/>
            <wp:effectExtent l="0" t="0" r="24130" b="1778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sectPr w:rsidR="00D47CCF" w:rsidSect="0060285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FDF" w:rsidRDefault="00381FDF" w:rsidP="00D678C5">
      <w:pPr>
        <w:spacing w:after="0" w:line="240" w:lineRule="auto"/>
      </w:pPr>
      <w:r>
        <w:separator/>
      </w:r>
    </w:p>
  </w:endnote>
  <w:endnote w:type="continuationSeparator" w:id="0">
    <w:p w:rsidR="00381FDF" w:rsidRDefault="00381FDF" w:rsidP="00D67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338110DA50D447EFBD82299D232CD3D7"/>
      </w:placeholder>
      <w:temporary/>
      <w:showingPlcHdr/>
    </w:sdtPr>
    <w:sdtEndPr/>
    <w:sdtContent>
      <w:p w:rsidR="00D678C5" w:rsidRDefault="00D678C5">
        <w:pPr>
          <w:pStyle w:val="Footer"/>
        </w:pPr>
        <w:r>
          <w:t>[Type text]</w:t>
        </w:r>
      </w:p>
    </w:sdtContent>
  </w:sdt>
  <w:p w:rsidR="00D678C5" w:rsidRDefault="00D678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8C5" w:rsidRDefault="00D678C5" w:rsidP="00D678C5">
    <w:pPr>
      <w:spacing w:after="0" w:line="240" w:lineRule="auto"/>
    </w:pPr>
  </w:p>
  <w:tbl>
    <w:tblPr>
      <w:tblW w:w="0" w:type="auto"/>
      <w:tblInd w:w="94" w:type="dxa"/>
      <w:tblLayout w:type="fixed"/>
      <w:tblCellMar>
        <w:left w:w="0" w:type="dxa"/>
        <w:right w:w="0" w:type="dxa"/>
      </w:tblCellMar>
      <w:tblLook w:val="01E0" w:firstRow="1" w:lastRow="1" w:firstColumn="1" w:lastColumn="1" w:noHBand="0" w:noVBand="0"/>
    </w:tblPr>
    <w:tblGrid>
      <w:gridCol w:w="3290"/>
      <w:gridCol w:w="3286"/>
      <w:gridCol w:w="3278"/>
    </w:tblGrid>
    <w:tr w:rsidR="00D678C5" w:rsidRPr="00410A49" w:rsidTr="0063287F">
      <w:trPr>
        <w:trHeight w:hRule="exact" w:val="377"/>
      </w:trPr>
      <w:tc>
        <w:tcPr>
          <w:tcW w:w="3290" w:type="dxa"/>
          <w:tcBorders>
            <w:top w:val="single" w:sz="4" w:space="0" w:color="000000"/>
            <w:left w:val="single" w:sz="4" w:space="0" w:color="000000"/>
            <w:bottom w:val="single" w:sz="4" w:space="0" w:color="000000"/>
            <w:right w:val="single" w:sz="4" w:space="0" w:color="000000"/>
          </w:tcBorders>
        </w:tcPr>
        <w:p w:rsidR="00D678C5" w:rsidRPr="00410A49" w:rsidRDefault="00D678C5" w:rsidP="000B2CDA">
          <w:pPr>
            <w:widowControl w:val="0"/>
            <w:spacing w:before="3" w:after="0" w:line="240" w:lineRule="auto"/>
            <w:ind w:left="102" w:right="-20"/>
            <w:rPr>
              <w:rFonts w:ascii="Arial" w:eastAsia="Arial" w:hAnsi="Arial" w:cs="Arial"/>
              <w:sz w:val="16"/>
              <w:szCs w:val="16"/>
              <w:lang w:val="en-US"/>
            </w:rPr>
          </w:pPr>
          <w:r w:rsidRPr="00410A49">
            <w:rPr>
              <w:rFonts w:ascii="Arial" w:eastAsia="Arial" w:hAnsi="Arial" w:cs="Arial"/>
              <w:b/>
              <w:bCs/>
              <w:color w:val="818181"/>
              <w:spacing w:val="-1"/>
              <w:sz w:val="16"/>
              <w:szCs w:val="16"/>
              <w:lang w:val="en-US"/>
            </w:rPr>
            <w:t>D</w:t>
          </w:r>
          <w:r w:rsidRPr="00410A49">
            <w:rPr>
              <w:rFonts w:ascii="Arial" w:eastAsia="Arial" w:hAnsi="Arial" w:cs="Arial"/>
              <w:b/>
              <w:bCs/>
              <w:color w:val="818181"/>
              <w:sz w:val="16"/>
              <w:szCs w:val="16"/>
              <w:lang w:val="en-US"/>
            </w:rPr>
            <w:t>o</w:t>
          </w:r>
          <w:r w:rsidRPr="00410A49">
            <w:rPr>
              <w:rFonts w:ascii="Arial" w:eastAsia="Arial" w:hAnsi="Arial" w:cs="Arial"/>
              <w:b/>
              <w:bCs/>
              <w:color w:val="818181"/>
              <w:spacing w:val="-1"/>
              <w:sz w:val="16"/>
              <w:szCs w:val="16"/>
              <w:lang w:val="en-US"/>
            </w:rPr>
            <w:t>c</w:t>
          </w:r>
          <w:r w:rsidRPr="00410A49">
            <w:rPr>
              <w:rFonts w:ascii="Arial" w:eastAsia="Arial" w:hAnsi="Arial" w:cs="Arial"/>
              <w:b/>
              <w:bCs/>
              <w:color w:val="818181"/>
              <w:sz w:val="16"/>
              <w:szCs w:val="16"/>
              <w:lang w:val="en-US"/>
            </w:rPr>
            <w:t>.</w:t>
          </w:r>
          <w:r w:rsidRPr="00410A49">
            <w:rPr>
              <w:rFonts w:ascii="Arial" w:eastAsia="Arial" w:hAnsi="Arial" w:cs="Arial"/>
              <w:b/>
              <w:bCs/>
              <w:color w:val="818181"/>
              <w:spacing w:val="2"/>
              <w:sz w:val="16"/>
              <w:szCs w:val="16"/>
              <w:lang w:val="en-US"/>
            </w:rPr>
            <w:t xml:space="preserve"> </w:t>
          </w:r>
          <w:r w:rsidRPr="00410A49">
            <w:rPr>
              <w:rFonts w:ascii="Arial" w:eastAsia="Arial" w:hAnsi="Arial" w:cs="Arial"/>
              <w:b/>
              <w:bCs/>
              <w:color w:val="818181"/>
              <w:spacing w:val="-1"/>
              <w:sz w:val="16"/>
              <w:szCs w:val="16"/>
              <w:lang w:val="en-US"/>
            </w:rPr>
            <w:t>Na</w:t>
          </w:r>
          <w:r w:rsidRPr="00410A49">
            <w:rPr>
              <w:rFonts w:ascii="Arial" w:eastAsia="Arial" w:hAnsi="Arial" w:cs="Arial"/>
              <w:b/>
              <w:bCs/>
              <w:color w:val="818181"/>
              <w:spacing w:val="1"/>
              <w:sz w:val="16"/>
              <w:szCs w:val="16"/>
              <w:lang w:val="en-US"/>
            </w:rPr>
            <w:t>m</w:t>
          </w:r>
          <w:r w:rsidRPr="00410A49">
            <w:rPr>
              <w:rFonts w:ascii="Arial" w:eastAsia="Arial" w:hAnsi="Arial" w:cs="Arial"/>
              <w:b/>
              <w:bCs/>
              <w:color w:val="818181"/>
              <w:spacing w:val="-3"/>
              <w:sz w:val="16"/>
              <w:szCs w:val="16"/>
              <w:lang w:val="en-US"/>
            </w:rPr>
            <w:t>e</w:t>
          </w:r>
          <w:r w:rsidRPr="00410A49">
            <w:rPr>
              <w:rFonts w:ascii="Arial" w:eastAsia="Arial" w:hAnsi="Arial" w:cs="Arial"/>
              <w:color w:val="818181"/>
              <w:sz w:val="16"/>
              <w:szCs w:val="16"/>
              <w:lang w:val="en-US"/>
            </w:rPr>
            <w:t>:</w:t>
          </w:r>
          <w:r w:rsidRPr="00410A49">
            <w:rPr>
              <w:rFonts w:ascii="Arial" w:eastAsia="Arial" w:hAnsi="Arial" w:cs="Arial"/>
              <w:color w:val="818181"/>
              <w:spacing w:val="2"/>
              <w:sz w:val="16"/>
              <w:szCs w:val="16"/>
              <w:lang w:val="en-US"/>
            </w:rPr>
            <w:t xml:space="preserve"> </w:t>
          </w:r>
          <w:r w:rsidR="000B2CDA" w:rsidRPr="000B2CDA">
            <w:rPr>
              <w:rFonts w:ascii="Arial" w:eastAsia="Arial" w:hAnsi="Arial" w:cs="Arial"/>
              <w:color w:val="818181"/>
              <w:spacing w:val="2"/>
              <w:sz w:val="16"/>
              <w:szCs w:val="16"/>
              <w:lang w:val="en-US"/>
            </w:rPr>
            <w:t>HRA Approval Delivery Report</w:t>
          </w:r>
          <w:r w:rsidR="000B2CDA" w:rsidRPr="000B2CDA" w:rsidDel="000B2CDA">
            <w:rPr>
              <w:rFonts w:ascii="Arial" w:eastAsia="Arial" w:hAnsi="Arial" w:cs="Arial"/>
              <w:color w:val="818181"/>
              <w:spacing w:val="2"/>
              <w:sz w:val="16"/>
              <w:szCs w:val="16"/>
              <w:lang w:val="en-US"/>
            </w:rPr>
            <w:t xml:space="preserve"> </w:t>
          </w:r>
        </w:p>
      </w:tc>
      <w:tc>
        <w:tcPr>
          <w:tcW w:w="3286" w:type="dxa"/>
          <w:tcBorders>
            <w:top w:val="single" w:sz="4" w:space="0" w:color="000000"/>
            <w:left w:val="single" w:sz="4" w:space="0" w:color="000000"/>
            <w:bottom w:val="single" w:sz="4" w:space="0" w:color="000000"/>
            <w:right w:val="single" w:sz="4" w:space="0" w:color="000000"/>
          </w:tcBorders>
        </w:tcPr>
        <w:p w:rsidR="00D678C5" w:rsidRPr="00410A49" w:rsidRDefault="00D678C5" w:rsidP="008B724C">
          <w:pPr>
            <w:widowControl w:val="0"/>
            <w:spacing w:after="0" w:line="177" w:lineRule="exact"/>
            <w:ind w:left="102" w:right="-20"/>
            <w:rPr>
              <w:rFonts w:ascii="Arial" w:eastAsia="Arial" w:hAnsi="Arial" w:cs="Arial"/>
              <w:sz w:val="16"/>
              <w:szCs w:val="16"/>
              <w:lang w:val="en-US"/>
            </w:rPr>
          </w:pPr>
          <w:r w:rsidRPr="00410A49">
            <w:rPr>
              <w:rFonts w:ascii="Arial" w:eastAsia="Arial" w:hAnsi="Arial" w:cs="Arial"/>
              <w:b/>
              <w:bCs/>
              <w:color w:val="818181"/>
              <w:spacing w:val="1"/>
              <w:sz w:val="16"/>
              <w:szCs w:val="16"/>
              <w:lang w:val="en-US"/>
            </w:rPr>
            <w:t>I</w:t>
          </w:r>
          <w:r w:rsidRPr="00410A49">
            <w:rPr>
              <w:rFonts w:ascii="Arial" w:eastAsia="Arial" w:hAnsi="Arial" w:cs="Arial"/>
              <w:b/>
              <w:bCs/>
              <w:color w:val="818181"/>
              <w:spacing w:val="-1"/>
              <w:sz w:val="16"/>
              <w:szCs w:val="16"/>
              <w:lang w:val="en-US"/>
            </w:rPr>
            <w:t>ss</w:t>
          </w:r>
          <w:r w:rsidRPr="00410A49">
            <w:rPr>
              <w:rFonts w:ascii="Arial" w:eastAsia="Arial" w:hAnsi="Arial" w:cs="Arial"/>
              <w:b/>
              <w:bCs/>
              <w:color w:val="818181"/>
              <w:sz w:val="16"/>
              <w:szCs w:val="16"/>
              <w:lang w:val="en-US"/>
            </w:rPr>
            <w:t>ue</w:t>
          </w:r>
          <w:r w:rsidRPr="00410A49">
            <w:rPr>
              <w:rFonts w:ascii="Arial" w:eastAsia="Arial" w:hAnsi="Arial" w:cs="Arial"/>
              <w:b/>
              <w:bCs/>
              <w:color w:val="818181"/>
              <w:spacing w:val="1"/>
              <w:sz w:val="16"/>
              <w:szCs w:val="16"/>
              <w:lang w:val="en-US"/>
            </w:rPr>
            <w:t xml:space="preserve"> </w:t>
          </w:r>
          <w:r w:rsidRPr="00410A49">
            <w:rPr>
              <w:rFonts w:ascii="Arial" w:eastAsia="Arial" w:hAnsi="Arial" w:cs="Arial"/>
              <w:b/>
              <w:bCs/>
              <w:color w:val="818181"/>
              <w:spacing w:val="-1"/>
              <w:sz w:val="16"/>
              <w:szCs w:val="16"/>
              <w:lang w:val="en-US"/>
            </w:rPr>
            <w:t>Dat</w:t>
          </w:r>
          <w:r w:rsidRPr="00410A49">
            <w:rPr>
              <w:rFonts w:ascii="Arial" w:eastAsia="Arial" w:hAnsi="Arial" w:cs="Arial"/>
              <w:b/>
              <w:bCs/>
              <w:color w:val="818181"/>
              <w:sz w:val="16"/>
              <w:szCs w:val="16"/>
              <w:lang w:val="en-US"/>
            </w:rPr>
            <w:t>e</w:t>
          </w:r>
          <w:r w:rsidRPr="00410A49">
            <w:rPr>
              <w:rFonts w:ascii="Arial" w:eastAsia="Arial" w:hAnsi="Arial" w:cs="Arial"/>
              <w:color w:val="818181"/>
              <w:sz w:val="16"/>
              <w:szCs w:val="16"/>
              <w:lang w:val="en-US"/>
            </w:rPr>
            <w:t>:</w:t>
          </w:r>
          <w:r w:rsidRPr="00410A49">
            <w:rPr>
              <w:rFonts w:ascii="Arial" w:eastAsia="Arial" w:hAnsi="Arial" w:cs="Arial"/>
              <w:color w:val="818181"/>
              <w:spacing w:val="2"/>
              <w:sz w:val="16"/>
              <w:szCs w:val="16"/>
              <w:lang w:val="en-US"/>
            </w:rPr>
            <w:t xml:space="preserve"> </w:t>
          </w:r>
          <w:r w:rsidR="008B724C">
            <w:rPr>
              <w:rFonts w:ascii="Arial" w:eastAsia="Arial" w:hAnsi="Arial" w:cs="Arial"/>
              <w:color w:val="818181"/>
              <w:spacing w:val="2"/>
              <w:sz w:val="16"/>
              <w:szCs w:val="16"/>
              <w:lang w:val="en-US"/>
            </w:rPr>
            <w:t>04 April</w:t>
          </w:r>
          <w:r w:rsidRPr="00410A49">
            <w:rPr>
              <w:rFonts w:ascii="Arial" w:eastAsia="Arial" w:hAnsi="Arial" w:cs="Arial"/>
              <w:color w:val="818181"/>
              <w:spacing w:val="43"/>
              <w:sz w:val="16"/>
              <w:szCs w:val="16"/>
              <w:lang w:val="en-US"/>
            </w:rPr>
            <w:t xml:space="preserve"> </w:t>
          </w:r>
          <w:r w:rsidR="00CC5467">
            <w:rPr>
              <w:rFonts w:ascii="Arial" w:eastAsia="Arial" w:hAnsi="Arial" w:cs="Arial"/>
              <w:color w:val="818181"/>
              <w:spacing w:val="-1"/>
              <w:sz w:val="16"/>
              <w:szCs w:val="16"/>
              <w:lang w:val="en-US"/>
            </w:rPr>
            <w:t>2017</w:t>
          </w:r>
        </w:p>
      </w:tc>
      <w:tc>
        <w:tcPr>
          <w:tcW w:w="3278" w:type="dxa"/>
          <w:tcBorders>
            <w:top w:val="single" w:sz="4" w:space="0" w:color="000000"/>
            <w:left w:val="single" w:sz="4" w:space="0" w:color="000000"/>
            <w:bottom w:val="single" w:sz="4" w:space="0" w:color="000000"/>
            <w:right w:val="single" w:sz="4" w:space="0" w:color="000000"/>
          </w:tcBorders>
        </w:tcPr>
        <w:p w:rsidR="00D678C5" w:rsidRPr="00410A49" w:rsidRDefault="00D678C5" w:rsidP="0063287F">
          <w:pPr>
            <w:widowControl w:val="0"/>
            <w:spacing w:after="0" w:line="177" w:lineRule="exact"/>
            <w:ind w:left="105" w:right="-20"/>
            <w:rPr>
              <w:rFonts w:ascii="Arial" w:eastAsia="Arial" w:hAnsi="Arial" w:cs="Arial"/>
              <w:sz w:val="16"/>
              <w:szCs w:val="16"/>
              <w:lang w:val="en-US"/>
            </w:rPr>
          </w:pPr>
          <w:r w:rsidRPr="00410A49">
            <w:rPr>
              <w:rFonts w:ascii="Arial" w:eastAsia="Arial" w:hAnsi="Arial" w:cs="Arial"/>
              <w:b/>
              <w:bCs/>
              <w:color w:val="818181"/>
              <w:spacing w:val="-1"/>
              <w:sz w:val="16"/>
              <w:szCs w:val="16"/>
              <w:lang w:val="en-US"/>
            </w:rPr>
            <w:t>D</w:t>
          </w:r>
          <w:r w:rsidRPr="00410A49">
            <w:rPr>
              <w:rFonts w:ascii="Arial" w:eastAsia="Arial" w:hAnsi="Arial" w:cs="Arial"/>
              <w:b/>
              <w:bCs/>
              <w:color w:val="818181"/>
              <w:sz w:val="16"/>
              <w:szCs w:val="16"/>
              <w:lang w:val="en-US"/>
            </w:rPr>
            <w:t>o</w:t>
          </w:r>
          <w:r w:rsidRPr="00410A49">
            <w:rPr>
              <w:rFonts w:ascii="Arial" w:eastAsia="Arial" w:hAnsi="Arial" w:cs="Arial"/>
              <w:b/>
              <w:bCs/>
              <w:color w:val="818181"/>
              <w:spacing w:val="-1"/>
              <w:sz w:val="16"/>
              <w:szCs w:val="16"/>
              <w:lang w:val="en-US"/>
            </w:rPr>
            <w:t>c</w:t>
          </w:r>
          <w:r w:rsidRPr="00410A49">
            <w:rPr>
              <w:rFonts w:ascii="Arial" w:eastAsia="Arial" w:hAnsi="Arial" w:cs="Arial"/>
              <w:b/>
              <w:bCs/>
              <w:color w:val="818181"/>
              <w:sz w:val="16"/>
              <w:szCs w:val="16"/>
              <w:lang w:val="en-US"/>
            </w:rPr>
            <w:t xml:space="preserve">. </w:t>
          </w:r>
          <w:r w:rsidRPr="00410A49">
            <w:rPr>
              <w:rFonts w:ascii="Arial" w:eastAsia="Arial" w:hAnsi="Arial" w:cs="Arial"/>
              <w:b/>
              <w:bCs/>
              <w:color w:val="818181"/>
              <w:spacing w:val="1"/>
              <w:sz w:val="16"/>
              <w:szCs w:val="16"/>
              <w:lang w:val="en-US"/>
            </w:rPr>
            <w:t>V</w:t>
          </w:r>
          <w:r w:rsidRPr="00410A49">
            <w:rPr>
              <w:rFonts w:ascii="Arial" w:eastAsia="Arial" w:hAnsi="Arial" w:cs="Arial"/>
              <w:b/>
              <w:bCs/>
              <w:color w:val="818181"/>
              <w:spacing w:val="-1"/>
              <w:sz w:val="16"/>
              <w:szCs w:val="16"/>
              <w:lang w:val="en-US"/>
            </w:rPr>
            <w:t>e</w:t>
          </w:r>
          <w:r w:rsidRPr="00410A49">
            <w:rPr>
              <w:rFonts w:ascii="Arial" w:eastAsia="Arial" w:hAnsi="Arial" w:cs="Arial"/>
              <w:b/>
              <w:bCs/>
              <w:color w:val="818181"/>
              <w:sz w:val="16"/>
              <w:szCs w:val="16"/>
              <w:lang w:val="en-US"/>
            </w:rPr>
            <w:t>r</w:t>
          </w:r>
          <w:r w:rsidRPr="00410A49">
            <w:rPr>
              <w:rFonts w:ascii="Arial" w:eastAsia="Arial" w:hAnsi="Arial" w:cs="Arial"/>
              <w:b/>
              <w:bCs/>
              <w:color w:val="818181"/>
              <w:spacing w:val="-1"/>
              <w:sz w:val="16"/>
              <w:szCs w:val="16"/>
              <w:lang w:val="en-US"/>
            </w:rPr>
            <w:t>s</w:t>
          </w:r>
          <w:r w:rsidRPr="00410A49">
            <w:rPr>
              <w:rFonts w:ascii="Arial" w:eastAsia="Arial" w:hAnsi="Arial" w:cs="Arial"/>
              <w:b/>
              <w:bCs/>
              <w:color w:val="818181"/>
              <w:spacing w:val="1"/>
              <w:sz w:val="16"/>
              <w:szCs w:val="16"/>
              <w:lang w:val="en-US"/>
            </w:rPr>
            <w:t>i</w:t>
          </w:r>
          <w:r w:rsidRPr="00410A49">
            <w:rPr>
              <w:rFonts w:ascii="Arial" w:eastAsia="Arial" w:hAnsi="Arial" w:cs="Arial"/>
              <w:b/>
              <w:bCs/>
              <w:color w:val="818181"/>
              <w:sz w:val="16"/>
              <w:szCs w:val="16"/>
              <w:lang w:val="en-US"/>
            </w:rPr>
            <w:t>on</w:t>
          </w:r>
          <w:r w:rsidRPr="00410A49">
            <w:rPr>
              <w:rFonts w:ascii="Arial" w:eastAsia="Arial" w:hAnsi="Arial" w:cs="Arial"/>
              <w:b/>
              <w:bCs/>
              <w:color w:val="818181"/>
              <w:spacing w:val="-1"/>
              <w:sz w:val="16"/>
              <w:szCs w:val="16"/>
              <w:lang w:val="en-US"/>
            </w:rPr>
            <w:t xml:space="preserve"> N</w:t>
          </w:r>
          <w:r w:rsidRPr="00410A49">
            <w:rPr>
              <w:rFonts w:ascii="Arial" w:eastAsia="Arial" w:hAnsi="Arial" w:cs="Arial"/>
              <w:b/>
              <w:bCs/>
              <w:color w:val="818181"/>
              <w:spacing w:val="-2"/>
              <w:sz w:val="16"/>
              <w:szCs w:val="16"/>
              <w:lang w:val="en-US"/>
            </w:rPr>
            <w:t>u</w:t>
          </w:r>
          <w:r w:rsidRPr="00410A49">
            <w:rPr>
              <w:rFonts w:ascii="Arial" w:eastAsia="Arial" w:hAnsi="Arial" w:cs="Arial"/>
              <w:b/>
              <w:bCs/>
              <w:color w:val="818181"/>
              <w:spacing w:val="1"/>
              <w:sz w:val="16"/>
              <w:szCs w:val="16"/>
              <w:lang w:val="en-US"/>
            </w:rPr>
            <w:t>m</w:t>
          </w:r>
          <w:r w:rsidRPr="00410A49">
            <w:rPr>
              <w:rFonts w:ascii="Arial" w:eastAsia="Arial" w:hAnsi="Arial" w:cs="Arial"/>
              <w:b/>
              <w:bCs/>
              <w:color w:val="818181"/>
              <w:sz w:val="16"/>
              <w:szCs w:val="16"/>
              <w:lang w:val="en-US"/>
            </w:rPr>
            <w:t>b</w:t>
          </w:r>
          <w:r w:rsidRPr="00410A49">
            <w:rPr>
              <w:rFonts w:ascii="Arial" w:eastAsia="Arial" w:hAnsi="Arial" w:cs="Arial"/>
              <w:b/>
              <w:bCs/>
              <w:color w:val="818181"/>
              <w:spacing w:val="-1"/>
              <w:sz w:val="16"/>
              <w:szCs w:val="16"/>
              <w:lang w:val="en-US"/>
            </w:rPr>
            <w:t>e</w:t>
          </w:r>
          <w:r w:rsidRPr="00410A49">
            <w:rPr>
              <w:rFonts w:ascii="Arial" w:eastAsia="Arial" w:hAnsi="Arial" w:cs="Arial"/>
              <w:b/>
              <w:bCs/>
              <w:color w:val="818181"/>
              <w:sz w:val="16"/>
              <w:szCs w:val="16"/>
              <w:lang w:val="en-US"/>
            </w:rPr>
            <w:t>r</w:t>
          </w:r>
          <w:r w:rsidRPr="00410A49">
            <w:rPr>
              <w:rFonts w:ascii="Arial" w:eastAsia="Arial" w:hAnsi="Arial" w:cs="Arial"/>
              <w:color w:val="818181"/>
              <w:sz w:val="16"/>
              <w:szCs w:val="16"/>
              <w:lang w:val="en-US"/>
            </w:rPr>
            <w:t xml:space="preserve">: </w:t>
          </w:r>
          <w:r w:rsidRPr="00410A49">
            <w:rPr>
              <w:rFonts w:ascii="Arial" w:eastAsia="Arial" w:hAnsi="Arial" w:cs="Arial"/>
              <w:color w:val="818181"/>
              <w:spacing w:val="-1"/>
              <w:sz w:val="16"/>
              <w:szCs w:val="16"/>
              <w:lang w:val="en-US"/>
            </w:rPr>
            <w:t>1</w:t>
          </w:r>
          <w:r w:rsidRPr="00410A49">
            <w:rPr>
              <w:rFonts w:ascii="Arial" w:eastAsia="Arial" w:hAnsi="Arial" w:cs="Arial"/>
              <w:color w:val="818181"/>
              <w:spacing w:val="1"/>
              <w:sz w:val="16"/>
              <w:szCs w:val="16"/>
              <w:lang w:val="en-US"/>
            </w:rPr>
            <w:t>.</w:t>
          </w:r>
          <w:r w:rsidR="00BF6133">
            <w:rPr>
              <w:rFonts w:ascii="Arial" w:eastAsia="Arial" w:hAnsi="Arial" w:cs="Arial"/>
              <w:color w:val="818181"/>
              <w:sz w:val="16"/>
              <w:szCs w:val="16"/>
              <w:lang w:val="en-US"/>
            </w:rPr>
            <w:t>0</w:t>
          </w:r>
        </w:p>
      </w:tc>
    </w:tr>
    <w:tr w:rsidR="00D678C5" w:rsidRPr="00410A49" w:rsidTr="0063287F">
      <w:trPr>
        <w:trHeight w:hRule="exact" w:val="194"/>
      </w:trPr>
      <w:tc>
        <w:tcPr>
          <w:tcW w:w="3290" w:type="dxa"/>
          <w:tcBorders>
            <w:top w:val="single" w:sz="4" w:space="0" w:color="000000"/>
            <w:left w:val="single" w:sz="4" w:space="0" w:color="000000"/>
            <w:bottom w:val="single" w:sz="4" w:space="0" w:color="000000"/>
            <w:right w:val="single" w:sz="4" w:space="0" w:color="000000"/>
          </w:tcBorders>
        </w:tcPr>
        <w:p w:rsidR="00D678C5" w:rsidRPr="00410A49" w:rsidRDefault="00D678C5" w:rsidP="0063287F">
          <w:pPr>
            <w:widowControl w:val="0"/>
            <w:spacing w:after="0" w:line="177" w:lineRule="exact"/>
            <w:ind w:left="102" w:right="-20"/>
            <w:rPr>
              <w:rFonts w:ascii="Arial" w:eastAsia="Arial" w:hAnsi="Arial" w:cs="Arial"/>
              <w:sz w:val="16"/>
              <w:szCs w:val="16"/>
              <w:lang w:val="en-US"/>
            </w:rPr>
          </w:pPr>
          <w:r w:rsidRPr="00410A49">
            <w:rPr>
              <w:rFonts w:ascii="Arial" w:eastAsia="Arial" w:hAnsi="Arial" w:cs="Arial"/>
              <w:b/>
              <w:bCs/>
              <w:color w:val="818181"/>
              <w:spacing w:val="-6"/>
              <w:sz w:val="16"/>
              <w:szCs w:val="16"/>
              <w:lang w:val="en-US"/>
            </w:rPr>
            <w:t>A</w:t>
          </w:r>
          <w:r w:rsidRPr="00410A49">
            <w:rPr>
              <w:rFonts w:ascii="Arial" w:eastAsia="Arial" w:hAnsi="Arial" w:cs="Arial"/>
              <w:b/>
              <w:bCs/>
              <w:color w:val="818181"/>
              <w:spacing w:val="3"/>
              <w:sz w:val="16"/>
              <w:szCs w:val="16"/>
              <w:lang w:val="en-US"/>
            </w:rPr>
            <w:t>u</w:t>
          </w:r>
          <w:r w:rsidRPr="00410A49">
            <w:rPr>
              <w:rFonts w:ascii="Arial" w:eastAsia="Arial" w:hAnsi="Arial" w:cs="Arial"/>
              <w:b/>
              <w:bCs/>
              <w:color w:val="818181"/>
              <w:spacing w:val="-1"/>
              <w:sz w:val="16"/>
              <w:szCs w:val="16"/>
              <w:lang w:val="en-US"/>
            </w:rPr>
            <w:t>t</w:t>
          </w:r>
          <w:r w:rsidRPr="00410A49">
            <w:rPr>
              <w:rFonts w:ascii="Arial" w:eastAsia="Arial" w:hAnsi="Arial" w:cs="Arial"/>
              <w:b/>
              <w:bCs/>
              <w:color w:val="818181"/>
              <w:sz w:val="16"/>
              <w:szCs w:val="16"/>
              <w:lang w:val="en-US"/>
            </w:rPr>
            <w:t>hor</w:t>
          </w:r>
          <w:r w:rsidRPr="00410A49">
            <w:rPr>
              <w:rFonts w:ascii="Arial" w:eastAsia="Arial" w:hAnsi="Arial" w:cs="Arial"/>
              <w:color w:val="818181"/>
              <w:sz w:val="16"/>
              <w:szCs w:val="16"/>
              <w:lang w:val="en-US"/>
            </w:rPr>
            <w:t>:</w:t>
          </w:r>
          <w:r w:rsidRPr="00410A49">
            <w:rPr>
              <w:rFonts w:ascii="Arial" w:eastAsia="Arial" w:hAnsi="Arial" w:cs="Arial"/>
              <w:color w:val="818181"/>
              <w:spacing w:val="2"/>
              <w:sz w:val="16"/>
              <w:szCs w:val="16"/>
              <w:lang w:val="en-US"/>
            </w:rPr>
            <w:t xml:space="preserve"> </w:t>
          </w:r>
          <w:r>
            <w:rPr>
              <w:rFonts w:ascii="Arial" w:eastAsia="Arial" w:hAnsi="Arial" w:cs="Arial"/>
              <w:color w:val="818181"/>
              <w:spacing w:val="1"/>
              <w:sz w:val="16"/>
              <w:szCs w:val="16"/>
              <w:lang w:val="en-US"/>
            </w:rPr>
            <w:t>Janet Messer</w:t>
          </w:r>
        </w:p>
      </w:tc>
      <w:tc>
        <w:tcPr>
          <w:tcW w:w="3286" w:type="dxa"/>
          <w:tcBorders>
            <w:top w:val="single" w:sz="4" w:space="0" w:color="000000"/>
            <w:left w:val="single" w:sz="4" w:space="0" w:color="000000"/>
            <w:bottom w:val="single" w:sz="4" w:space="0" w:color="000000"/>
            <w:right w:val="single" w:sz="4" w:space="0" w:color="000000"/>
          </w:tcBorders>
        </w:tcPr>
        <w:p w:rsidR="00D678C5" w:rsidRPr="00410A49" w:rsidRDefault="00D678C5" w:rsidP="00614695">
          <w:pPr>
            <w:widowControl w:val="0"/>
            <w:spacing w:after="0" w:line="177" w:lineRule="exact"/>
            <w:ind w:left="102" w:right="-20"/>
            <w:rPr>
              <w:rFonts w:ascii="Arial" w:eastAsia="Arial" w:hAnsi="Arial" w:cs="Arial"/>
              <w:sz w:val="16"/>
              <w:szCs w:val="16"/>
              <w:lang w:val="en-US"/>
            </w:rPr>
          </w:pPr>
          <w:r w:rsidRPr="00410A49">
            <w:rPr>
              <w:rFonts w:ascii="Arial" w:eastAsia="Arial" w:hAnsi="Arial" w:cs="Arial"/>
              <w:b/>
              <w:bCs/>
              <w:color w:val="818181"/>
              <w:spacing w:val="1"/>
              <w:sz w:val="16"/>
              <w:szCs w:val="16"/>
              <w:lang w:val="en-US"/>
            </w:rPr>
            <w:t>P</w:t>
          </w:r>
          <w:r w:rsidRPr="00410A49">
            <w:rPr>
              <w:rFonts w:ascii="Arial" w:eastAsia="Arial" w:hAnsi="Arial" w:cs="Arial"/>
              <w:b/>
              <w:bCs/>
              <w:color w:val="818181"/>
              <w:spacing w:val="-1"/>
              <w:sz w:val="16"/>
              <w:szCs w:val="16"/>
              <w:lang w:val="en-US"/>
            </w:rPr>
            <w:t>a</w:t>
          </w:r>
          <w:r w:rsidRPr="00410A49">
            <w:rPr>
              <w:rFonts w:ascii="Arial" w:eastAsia="Arial" w:hAnsi="Arial" w:cs="Arial"/>
              <w:b/>
              <w:bCs/>
              <w:color w:val="818181"/>
              <w:sz w:val="16"/>
              <w:szCs w:val="16"/>
              <w:lang w:val="en-US"/>
            </w:rPr>
            <w:t>g</w:t>
          </w:r>
          <w:r w:rsidRPr="00410A49">
            <w:rPr>
              <w:rFonts w:ascii="Arial" w:eastAsia="Arial" w:hAnsi="Arial" w:cs="Arial"/>
              <w:b/>
              <w:bCs/>
              <w:color w:val="818181"/>
              <w:spacing w:val="-1"/>
              <w:sz w:val="16"/>
              <w:szCs w:val="16"/>
              <w:lang w:val="en-US"/>
            </w:rPr>
            <w:t>e</w:t>
          </w:r>
          <w:r w:rsidRPr="00410A49">
            <w:rPr>
              <w:rFonts w:ascii="Arial" w:eastAsia="Arial" w:hAnsi="Arial" w:cs="Arial"/>
              <w:color w:val="818181"/>
              <w:sz w:val="16"/>
              <w:szCs w:val="16"/>
              <w:lang w:val="en-US"/>
            </w:rPr>
            <w:t xml:space="preserve">: </w:t>
          </w:r>
          <w:r w:rsidRPr="00410A49">
            <w:rPr>
              <w:rFonts w:ascii="Arial" w:eastAsia="Arial" w:hAnsi="Arial" w:cs="Arial"/>
              <w:color w:val="818181"/>
              <w:spacing w:val="1"/>
              <w:sz w:val="16"/>
              <w:szCs w:val="16"/>
              <w:lang w:val="en-US"/>
            </w:rPr>
            <w:t xml:space="preserve"> </w:t>
          </w:r>
          <w:r w:rsidRPr="00D678C5">
            <w:rPr>
              <w:rFonts w:ascii="Arial" w:eastAsia="Arial" w:hAnsi="Arial" w:cs="Arial"/>
              <w:color w:val="818181"/>
              <w:spacing w:val="1"/>
              <w:sz w:val="16"/>
              <w:szCs w:val="16"/>
              <w:lang w:val="en-US"/>
            </w:rPr>
            <w:fldChar w:fldCharType="begin"/>
          </w:r>
          <w:r w:rsidRPr="00D678C5">
            <w:rPr>
              <w:rFonts w:ascii="Arial" w:eastAsia="Arial" w:hAnsi="Arial" w:cs="Arial"/>
              <w:color w:val="818181"/>
              <w:spacing w:val="1"/>
              <w:sz w:val="16"/>
              <w:szCs w:val="16"/>
              <w:lang w:val="en-US"/>
            </w:rPr>
            <w:instrText xml:space="preserve"> PAGE   \* MERGEFORMAT </w:instrText>
          </w:r>
          <w:r w:rsidRPr="00D678C5">
            <w:rPr>
              <w:rFonts w:ascii="Arial" w:eastAsia="Arial" w:hAnsi="Arial" w:cs="Arial"/>
              <w:color w:val="818181"/>
              <w:spacing w:val="1"/>
              <w:sz w:val="16"/>
              <w:szCs w:val="16"/>
              <w:lang w:val="en-US"/>
            </w:rPr>
            <w:fldChar w:fldCharType="separate"/>
          </w:r>
          <w:r w:rsidR="00AF76FA">
            <w:rPr>
              <w:rFonts w:ascii="Arial" w:eastAsia="Arial" w:hAnsi="Arial" w:cs="Arial"/>
              <w:noProof/>
              <w:color w:val="818181"/>
              <w:spacing w:val="1"/>
              <w:sz w:val="16"/>
              <w:szCs w:val="16"/>
              <w:lang w:val="en-US"/>
            </w:rPr>
            <w:t>2</w:t>
          </w:r>
          <w:r w:rsidRPr="00D678C5">
            <w:rPr>
              <w:rFonts w:ascii="Arial" w:eastAsia="Arial" w:hAnsi="Arial" w:cs="Arial"/>
              <w:noProof/>
              <w:color w:val="818181"/>
              <w:spacing w:val="1"/>
              <w:sz w:val="16"/>
              <w:szCs w:val="16"/>
              <w:lang w:val="en-US"/>
            </w:rPr>
            <w:fldChar w:fldCharType="end"/>
          </w:r>
          <w:r w:rsidR="00F73169">
            <w:rPr>
              <w:rFonts w:ascii="Arial" w:eastAsia="Arial" w:hAnsi="Arial" w:cs="Arial"/>
              <w:noProof/>
              <w:color w:val="818181"/>
              <w:spacing w:val="1"/>
              <w:sz w:val="16"/>
              <w:szCs w:val="16"/>
              <w:lang w:val="en-US"/>
            </w:rPr>
            <w:t xml:space="preserve"> of </w:t>
          </w:r>
          <w:r w:rsidR="00614695">
            <w:rPr>
              <w:rFonts w:ascii="Arial" w:eastAsia="Arial" w:hAnsi="Arial" w:cs="Arial"/>
              <w:noProof/>
              <w:color w:val="818181"/>
              <w:spacing w:val="1"/>
              <w:sz w:val="16"/>
              <w:szCs w:val="16"/>
              <w:lang w:val="en-US"/>
            </w:rPr>
            <w:t>9</w:t>
          </w:r>
        </w:p>
      </w:tc>
      <w:tc>
        <w:tcPr>
          <w:tcW w:w="3278" w:type="dxa"/>
          <w:tcBorders>
            <w:top w:val="single" w:sz="4" w:space="0" w:color="000000"/>
            <w:left w:val="single" w:sz="4" w:space="0" w:color="000000"/>
            <w:bottom w:val="single" w:sz="4" w:space="0" w:color="000000"/>
            <w:right w:val="single" w:sz="4" w:space="0" w:color="000000"/>
          </w:tcBorders>
        </w:tcPr>
        <w:p w:rsidR="00D678C5" w:rsidRPr="00410A49" w:rsidRDefault="00D678C5" w:rsidP="0063287F">
          <w:pPr>
            <w:widowControl w:val="0"/>
            <w:spacing w:after="0" w:line="177" w:lineRule="exact"/>
            <w:ind w:left="105" w:right="-20"/>
            <w:rPr>
              <w:rFonts w:ascii="Arial" w:eastAsia="Arial" w:hAnsi="Arial" w:cs="Arial"/>
              <w:sz w:val="16"/>
              <w:szCs w:val="16"/>
              <w:lang w:val="en-US"/>
            </w:rPr>
          </w:pPr>
          <w:r w:rsidRPr="00410A49">
            <w:rPr>
              <w:rFonts w:ascii="Arial" w:eastAsia="Arial" w:hAnsi="Arial" w:cs="Arial"/>
              <w:b/>
              <w:bCs/>
              <w:color w:val="818181"/>
              <w:spacing w:val="-1"/>
              <w:sz w:val="16"/>
              <w:szCs w:val="16"/>
              <w:lang w:val="en-US"/>
            </w:rPr>
            <w:t>D</w:t>
          </w:r>
          <w:r w:rsidRPr="00410A49">
            <w:rPr>
              <w:rFonts w:ascii="Arial" w:eastAsia="Arial" w:hAnsi="Arial" w:cs="Arial"/>
              <w:b/>
              <w:bCs/>
              <w:color w:val="818181"/>
              <w:sz w:val="16"/>
              <w:szCs w:val="16"/>
              <w:lang w:val="en-US"/>
            </w:rPr>
            <w:t>o</w:t>
          </w:r>
          <w:r w:rsidRPr="00410A49">
            <w:rPr>
              <w:rFonts w:ascii="Arial" w:eastAsia="Arial" w:hAnsi="Arial" w:cs="Arial"/>
              <w:b/>
              <w:bCs/>
              <w:color w:val="818181"/>
              <w:spacing w:val="-1"/>
              <w:sz w:val="16"/>
              <w:szCs w:val="16"/>
              <w:lang w:val="en-US"/>
            </w:rPr>
            <w:t>c</w:t>
          </w:r>
          <w:r w:rsidRPr="00410A49">
            <w:rPr>
              <w:rFonts w:ascii="Arial" w:eastAsia="Arial" w:hAnsi="Arial" w:cs="Arial"/>
              <w:b/>
              <w:bCs/>
              <w:color w:val="818181"/>
              <w:sz w:val="16"/>
              <w:szCs w:val="16"/>
              <w:lang w:val="en-US"/>
            </w:rPr>
            <w:t xml:space="preserve">. </w:t>
          </w:r>
          <w:r w:rsidRPr="00410A49">
            <w:rPr>
              <w:rFonts w:ascii="Arial" w:eastAsia="Arial" w:hAnsi="Arial" w:cs="Arial"/>
              <w:b/>
              <w:bCs/>
              <w:color w:val="818181"/>
              <w:spacing w:val="1"/>
              <w:sz w:val="16"/>
              <w:szCs w:val="16"/>
              <w:lang w:val="en-US"/>
            </w:rPr>
            <w:t>S</w:t>
          </w:r>
          <w:r w:rsidRPr="00410A49">
            <w:rPr>
              <w:rFonts w:ascii="Arial" w:eastAsia="Arial" w:hAnsi="Arial" w:cs="Arial"/>
              <w:b/>
              <w:bCs/>
              <w:color w:val="818181"/>
              <w:spacing w:val="-1"/>
              <w:sz w:val="16"/>
              <w:szCs w:val="16"/>
              <w:lang w:val="en-US"/>
            </w:rPr>
            <w:t>tat</w:t>
          </w:r>
          <w:r w:rsidRPr="00410A49">
            <w:rPr>
              <w:rFonts w:ascii="Arial" w:eastAsia="Arial" w:hAnsi="Arial" w:cs="Arial"/>
              <w:b/>
              <w:bCs/>
              <w:color w:val="818181"/>
              <w:sz w:val="16"/>
              <w:szCs w:val="16"/>
              <w:lang w:val="en-US"/>
            </w:rPr>
            <w:t>u</w:t>
          </w:r>
          <w:r w:rsidRPr="00410A49">
            <w:rPr>
              <w:rFonts w:ascii="Arial" w:eastAsia="Arial" w:hAnsi="Arial" w:cs="Arial"/>
              <w:b/>
              <w:bCs/>
              <w:color w:val="818181"/>
              <w:spacing w:val="-1"/>
              <w:sz w:val="16"/>
              <w:szCs w:val="16"/>
              <w:lang w:val="en-US"/>
            </w:rPr>
            <w:t>s</w:t>
          </w:r>
          <w:r w:rsidRPr="00410A49">
            <w:rPr>
              <w:rFonts w:ascii="Arial" w:eastAsia="Arial" w:hAnsi="Arial" w:cs="Arial"/>
              <w:color w:val="818181"/>
              <w:sz w:val="16"/>
              <w:szCs w:val="16"/>
              <w:lang w:val="en-US"/>
            </w:rPr>
            <w:t>:</w:t>
          </w:r>
          <w:r w:rsidRPr="00410A49">
            <w:rPr>
              <w:rFonts w:ascii="Arial" w:eastAsia="Arial" w:hAnsi="Arial" w:cs="Arial"/>
              <w:color w:val="818181"/>
              <w:spacing w:val="2"/>
              <w:sz w:val="16"/>
              <w:szCs w:val="16"/>
              <w:lang w:val="en-US"/>
            </w:rPr>
            <w:t xml:space="preserve"> </w:t>
          </w:r>
          <w:r w:rsidRPr="00410A49">
            <w:rPr>
              <w:rFonts w:ascii="Arial" w:eastAsia="Arial" w:hAnsi="Arial" w:cs="Arial"/>
              <w:color w:val="818181"/>
              <w:spacing w:val="-1"/>
              <w:sz w:val="16"/>
              <w:szCs w:val="16"/>
              <w:lang w:val="en-US"/>
            </w:rPr>
            <w:t>Repor</w:t>
          </w:r>
          <w:r w:rsidRPr="00410A49">
            <w:rPr>
              <w:rFonts w:ascii="Arial" w:eastAsia="Arial" w:hAnsi="Arial" w:cs="Arial"/>
              <w:color w:val="818181"/>
              <w:sz w:val="16"/>
              <w:szCs w:val="16"/>
              <w:lang w:val="en-US"/>
            </w:rPr>
            <w:t xml:space="preserve">t </w:t>
          </w:r>
          <w:r w:rsidRPr="00410A49">
            <w:rPr>
              <w:rFonts w:ascii="Arial" w:eastAsia="Arial" w:hAnsi="Arial" w:cs="Arial"/>
              <w:color w:val="818181"/>
              <w:spacing w:val="1"/>
              <w:sz w:val="16"/>
              <w:szCs w:val="16"/>
              <w:lang w:val="en-US"/>
            </w:rPr>
            <w:t>t</w:t>
          </w:r>
          <w:r w:rsidRPr="00410A49">
            <w:rPr>
              <w:rFonts w:ascii="Arial" w:eastAsia="Arial" w:hAnsi="Arial" w:cs="Arial"/>
              <w:color w:val="818181"/>
              <w:sz w:val="16"/>
              <w:szCs w:val="16"/>
              <w:lang w:val="en-US"/>
            </w:rPr>
            <w:t>o</w:t>
          </w:r>
          <w:r w:rsidRPr="00410A49">
            <w:rPr>
              <w:rFonts w:ascii="Arial" w:eastAsia="Arial" w:hAnsi="Arial" w:cs="Arial"/>
              <w:color w:val="818181"/>
              <w:spacing w:val="-2"/>
              <w:sz w:val="16"/>
              <w:szCs w:val="16"/>
              <w:lang w:val="en-US"/>
            </w:rPr>
            <w:t xml:space="preserve"> </w:t>
          </w:r>
          <w:r w:rsidR="00E118A3">
            <w:rPr>
              <w:rFonts w:ascii="Arial" w:eastAsia="Arial" w:hAnsi="Arial" w:cs="Arial"/>
              <w:color w:val="818181"/>
              <w:spacing w:val="-2"/>
              <w:sz w:val="16"/>
              <w:szCs w:val="16"/>
              <w:lang w:val="en-US"/>
            </w:rPr>
            <w:t xml:space="preserve">Programme </w:t>
          </w:r>
          <w:r w:rsidRPr="00410A49">
            <w:rPr>
              <w:rFonts w:ascii="Arial" w:eastAsia="Arial" w:hAnsi="Arial" w:cs="Arial"/>
              <w:color w:val="818181"/>
              <w:spacing w:val="1"/>
              <w:sz w:val="16"/>
              <w:szCs w:val="16"/>
              <w:lang w:val="en-US"/>
            </w:rPr>
            <w:t>B</w:t>
          </w:r>
          <w:r w:rsidRPr="00410A49">
            <w:rPr>
              <w:rFonts w:ascii="Arial" w:eastAsia="Arial" w:hAnsi="Arial" w:cs="Arial"/>
              <w:color w:val="818181"/>
              <w:spacing w:val="-1"/>
              <w:sz w:val="16"/>
              <w:szCs w:val="16"/>
              <w:lang w:val="en-US"/>
            </w:rPr>
            <w:t>oar</w:t>
          </w:r>
          <w:r w:rsidRPr="00410A49">
            <w:rPr>
              <w:rFonts w:ascii="Arial" w:eastAsia="Arial" w:hAnsi="Arial" w:cs="Arial"/>
              <w:color w:val="818181"/>
              <w:sz w:val="16"/>
              <w:szCs w:val="16"/>
              <w:lang w:val="en-US"/>
            </w:rPr>
            <w:t>d</w:t>
          </w:r>
        </w:p>
      </w:tc>
    </w:tr>
  </w:tbl>
  <w:p w:rsidR="00D678C5" w:rsidRDefault="00D678C5" w:rsidP="00D678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FDF" w:rsidRDefault="00381FDF" w:rsidP="00D678C5">
      <w:pPr>
        <w:spacing w:after="0" w:line="240" w:lineRule="auto"/>
      </w:pPr>
      <w:r>
        <w:separator/>
      </w:r>
    </w:p>
  </w:footnote>
  <w:footnote w:type="continuationSeparator" w:id="0">
    <w:p w:rsidR="00381FDF" w:rsidRDefault="00381FDF" w:rsidP="00D678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150" w:rsidRDefault="00490150" w:rsidP="00490150">
    <w:pPr>
      <w:pStyle w:val="Header"/>
      <w:jc w:val="right"/>
    </w:pPr>
    <w:r>
      <w:rPr>
        <w:rFonts w:cs="Arial"/>
        <w:b/>
        <w:noProof/>
        <w:lang w:eastAsia="en-GB"/>
      </w:rPr>
      <w:drawing>
        <wp:inline distT="0" distB="0" distL="0" distR="0" wp14:anchorId="155B78E8" wp14:editId="713A0650">
          <wp:extent cx="2964211" cy="581025"/>
          <wp:effectExtent l="0" t="0" r="0" b="0"/>
          <wp:docPr id="9" name="Picture 9"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1" cstate="print"/>
                  <a:srcRect/>
                  <a:stretch>
                    <a:fillRect/>
                  </a:stretch>
                </pic:blipFill>
                <pic:spPr bwMode="auto">
                  <a:xfrm>
                    <a:off x="0" y="0"/>
                    <a:ext cx="2986468" cy="58538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10A3"/>
    <w:multiLevelType w:val="hybridMultilevel"/>
    <w:tmpl w:val="069E2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4270AB"/>
    <w:multiLevelType w:val="hybridMultilevel"/>
    <w:tmpl w:val="C55E2E82"/>
    <w:lvl w:ilvl="0" w:tplc="94EA3A30">
      <w:start w:val="1"/>
      <w:numFmt w:val="decimal"/>
      <w:lvlText w:val="%1."/>
      <w:lvlJc w:val="left"/>
      <w:pPr>
        <w:ind w:left="462" w:hanging="360"/>
      </w:pPr>
      <w:rPr>
        <w:rFonts w:hint="default"/>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abstractNum w:abstractNumId="2">
    <w:nsid w:val="2F67440A"/>
    <w:multiLevelType w:val="hybridMultilevel"/>
    <w:tmpl w:val="C6B2406A"/>
    <w:lvl w:ilvl="0" w:tplc="0809000F">
      <w:start w:val="1"/>
      <w:numFmt w:val="decimal"/>
      <w:lvlText w:val="%1."/>
      <w:lvlJc w:val="left"/>
      <w:pPr>
        <w:ind w:left="1074" w:hanging="360"/>
      </w:p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
    <w:nsid w:val="760036DD"/>
    <w:multiLevelType w:val="hybridMultilevel"/>
    <w:tmpl w:val="1032D0E8"/>
    <w:lvl w:ilvl="0" w:tplc="CD1AD5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7134C9"/>
    <w:multiLevelType w:val="hybridMultilevel"/>
    <w:tmpl w:val="9560E92A"/>
    <w:lvl w:ilvl="0" w:tplc="C76E41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F65"/>
    <w:rsid w:val="000015BE"/>
    <w:rsid w:val="00010E1A"/>
    <w:rsid w:val="0002257D"/>
    <w:rsid w:val="00024B07"/>
    <w:rsid w:val="00037458"/>
    <w:rsid w:val="000517C8"/>
    <w:rsid w:val="000559A9"/>
    <w:rsid w:val="00073408"/>
    <w:rsid w:val="00083FA9"/>
    <w:rsid w:val="00085D1E"/>
    <w:rsid w:val="000918A5"/>
    <w:rsid w:val="00092EAD"/>
    <w:rsid w:val="000933D6"/>
    <w:rsid w:val="000A5829"/>
    <w:rsid w:val="000B2CDA"/>
    <w:rsid w:val="000B3F04"/>
    <w:rsid w:val="000D2537"/>
    <w:rsid w:val="000E777A"/>
    <w:rsid w:val="001028C6"/>
    <w:rsid w:val="00111673"/>
    <w:rsid w:val="00114890"/>
    <w:rsid w:val="0012740E"/>
    <w:rsid w:val="00133812"/>
    <w:rsid w:val="00136307"/>
    <w:rsid w:val="00142E63"/>
    <w:rsid w:val="0014455E"/>
    <w:rsid w:val="00150B6D"/>
    <w:rsid w:val="00160391"/>
    <w:rsid w:val="0016288D"/>
    <w:rsid w:val="001647FE"/>
    <w:rsid w:val="00173A00"/>
    <w:rsid w:val="00176909"/>
    <w:rsid w:val="001B39B5"/>
    <w:rsid w:val="001B5B74"/>
    <w:rsid w:val="001B7476"/>
    <w:rsid w:val="001C0C43"/>
    <w:rsid w:val="001C6871"/>
    <w:rsid w:val="001D0802"/>
    <w:rsid w:val="001E0413"/>
    <w:rsid w:val="001E0A54"/>
    <w:rsid w:val="001E1A88"/>
    <w:rsid w:val="001E29AE"/>
    <w:rsid w:val="001E40F3"/>
    <w:rsid w:val="00212932"/>
    <w:rsid w:val="0021319D"/>
    <w:rsid w:val="00226076"/>
    <w:rsid w:val="002312E0"/>
    <w:rsid w:val="00234F38"/>
    <w:rsid w:val="00253726"/>
    <w:rsid w:val="00255CBE"/>
    <w:rsid w:val="002622CE"/>
    <w:rsid w:val="0026258A"/>
    <w:rsid w:val="0027359C"/>
    <w:rsid w:val="002836AA"/>
    <w:rsid w:val="002841B6"/>
    <w:rsid w:val="0028661D"/>
    <w:rsid w:val="00290CA6"/>
    <w:rsid w:val="002C73F3"/>
    <w:rsid w:val="002E11E6"/>
    <w:rsid w:val="002E15B5"/>
    <w:rsid w:val="002F10E6"/>
    <w:rsid w:val="0030300A"/>
    <w:rsid w:val="0030541A"/>
    <w:rsid w:val="00306F12"/>
    <w:rsid w:val="0031377F"/>
    <w:rsid w:val="0032395F"/>
    <w:rsid w:val="003512DB"/>
    <w:rsid w:val="00357EDF"/>
    <w:rsid w:val="00364A8F"/>
    <w:rsid w:val="0037215C"/>
    <w:rsid w:val="0037673E"/>
    <w:rsid w:val="00381835"/>
    <w:rsid w:val="00381FDF"/>
    <w:rsid w:val="00382DCA"/>
    <w:rsid w:val="003843BF"/>
    <w:rsid w:val="00394F0B"/>
    <w:rsid w:val="003A690F"/>
    <w:rsid w:val="003A7E3F"/>
    <w:rsid w:val="003B072B"/>
    <w:rsid w:val="003C6D0C"/>
    <w:rsid w:val="003C6F1D"/>
    <w:rsid w:val="003C7F65"/>
    <w:rsid w:val="003E0879"/>
    <w:rsid w:val="004109DB"/>
    <w:rsid w:val="00410A49"/>
    <w:rsid w:val="004204F4"/>
    <w:rsid w:val="0044167A"/>
    <w:rsid w:val="00443A9A"/>
    <w:rsid w:val="00452F99"/>
    <w:rsid w:val="00464D6D"/>
    <w:rsid w:val="00490150"/>
    <w:rsid w:val="00495249"/>
    <w:rsid w:val="004A00F3"/>
    <w:rsid w:val="004B22B4"/>
    <w:rsid w:val="004C1896"/>
    <w:rsid w:val="0051397D"/>
    <w:rsid w:val="005145A8"/>
    <w:rsid w:val="00530BC1"/>
    <w:rsid w:val="00571403"/>
    <w:rsid w:val="0057399B"/>
    <w:rsid w:val="00574F9A"/>
    <w:rsid w:val="005755DC"/>
    <w:rsid w:val="00582079"/>
    <w:rsid w:val="00585F98"/>
    <w:rsid w:val="00593AB2"/>
    <w:rsid w:val="005A0ACA"/>
    <w:rsid w:val="005A24C6"/>
    <w:rsid w:val="005A5945"/>
    <w:rsid w:val="005B491D"/>
    <w:rsid w:val="005D48C7"/>
    <w:rsid w:val="005E1085"/>
    <w:rsid w:val="005E6B04"/>
    <w:rsid w:val="00602851"/>
    <w:rsid w:val="00610CCF"/>
    <w:rsid w:val="006140AE"/>
    <w:rsid w:val="00614695"/>
    <w:rsid w:val="00623A7A"/>
    <w:rsid w:val="0063287F"/>
    <w:rsid w:val="0064710D"/>
    <w:rsid w:val="00651B2D"/>
    <w:rsid w:val="00665D00"/>
    <w:rsid w:val="00667D98"/>
    <w:rsid w:val="006713A2"/>
    <w:rsid w:val="006B00C5"/>
    <w:rsid w:val="006B4CEA"/>
    <w:rsid w:val="006C14D3"/>
    <w:rsid w:val="006C18F8"/>
    <w:rsid w:val="006C4ED3"/>
    <w:rsid w:val="006D549E"/>
    <w:rsid w:val="006E567A"/>
    <w:rsid w:val="00701DE1"/>
    <w:rsid w:val="00724E01"/>
    <w:rsid w:val="00750E00"/>
    <w:rsid w:val="00757332"/>
    <w:rsid w:val="007926F5"/>
    <w:rsid w:val="007A0289"/>
    <w:rsid w:val="007C2D9D"/>
    <w:rsid w:val="007C5C84"/>
    <w:rsid w:val="007D73B5"/>
    <w:rsid w:val="007E2A61"/>
    <w:rsid w:val="007F7900"/>
    <w:rsid w:val="008101A0"/>
    <w:rsid w:val="0082149F"/>
    <w:rsid w:val="00831B24"/>
    <w:rsid w:val="008431C1"/>
    <w:rsid w:val="00864E90"/>
    <w:rsid w:val="00865726"/>
    <w:rsid w:val="0086608D"/>
    <w:rsid w:val="00870AD4"/>
    <w:rsid w:val="00886018"/>
    <w:rsid w:val="008B3B8D"/>
    <w:rsid w:val="008B724C"/>
    <w:rsid w:val="008D59B1"/>
    <w:rsid w:val="008F5B1C"/>
    <w:rsid w:val="0090582F"/>
    <w:rsid w:val="00916E01"/>
    <w:rsid w:val="00917079"/>
    <w:rsid w:val="00917CF4"/>
    <w:rsid w:val="00921DCC"/>
    <w:rsid w:val="00932395"/>
    <w:rsid w:val="00937E19"/>
    <w:rsid w:val="00940378"/>
    <w:rsid w:val="009420F5"/>
    <w:rsid w:val="00946221"/>
    <w:rsid w:val="00946C49"/>
    <w:rsid w:val="0096301F"/>
    <w:rsid w:val="00966AC8"/>
    <w:rsid w:val="009740E9"/>
    <w:rsid w:val="009820A3"/>
    <w:rsid w:val="009825F3"/>
    <w:rsid w:val="009872E8"/>
    <w:rsid w:val="00993D34"/>
    <w:rsid w:val="009B5212"/>
    <w:rsid w:val="009C6B57"/>
    <w:rsid w:val="009E19CC"/>
    <w:rsid w:val="009F2335"/>
    <w:rsid w:val="00A103A2"/>
    <w:rsid w:val="00A1292F"/>
    <w:rsid w:val="00A13170"/>
    <w:rsid w:val="00A15857"/>
    <w:rsid w:val="00A415C7"/>
    <w:rsid w:val="00A44DE3"/>
    <w:rsid w:val="00A65C6F"/>
    <w:rsid w:val="00A71983"/>
    <w:rsid w:val="00A725BA"/>
    <w:rsid w:val="00A87ED9"/>
    <w:rsid w:val="00A90241"/>
    <w:rsid w:val="00A9110E"/>
    <w:rsid w:val="00A96E52"/>
    <w:rsid w:val="00AB6822"/>
    <w:rsid w:val="00AC250E"/>
    <w:rsid w:val="00AD1EF2"/>
    <w:rsid w:val="00AE56B4"/>
    <w:rsid w:val="00AF76FA"/>
    <w:rsid w:val="00B00758"/>
    <w:rsid w:val="00B070FD"/>
    <w:rsid w:val="00B108A4"/>
    <w:rsid w:val="00B12749"/>
    <w:rsid w:val="00B165CA"/>
    <w:rsid w:val="00B16CE9"/>
    <w:rsid w:val="00B266E5"/>
    <w:rsid w:val="00B33AF0"/>
    <w:rsid w:val="00B404D4"/>
    <w:rsid w:val="00B40CF6"/>
    <w:rsid w:val="00B4578F"/>
    <w:rsid w:val="00B57912"/>
    <w:rsid w:val="00B832F3"/>
    <w:rsid w:val="00BA5186"/>
    <w:rsid w:val="00BB01B2"/>
    <w:rsid w:val="00BC72AA"/>
    <w:rsid w:val="00BD6EA7"/>
    <w:rsid w:val="00BE25EB"/>
    <w:rsid w:val="00BF0ADC"/>
    <w:rsid w:val="00BF6133"/>
    <w:rsid w:val="00BF79A7"/>
    <w:rsid w:val="00C00D84"/>
    <w:rsid w:val="00C06D65"/>
    <w:rsid w:val="00C21ADD"/>
    <w:rsid w:val="00C2408B"/>
    <w:rsid w:val="00C35C7B"/>
    <w:rsid w:val="00C360EA"/>
    <w:rsid w:val="00C36581"/>
    <w:rsid w:val="00C436B2"/>
    <w:rsid w:val="00C44C30"/>
    <w:rsid w:val="00C50D71"/>
    <w:rsid w:val="00C570F9"/>
    <w:rsid w:val="00C6161F"/>
    <w:rsid w:val="00C63502"/>
    <w:rsid w:val="00C6529C"/>
    <w:rsid w:val="00C86183"/>
    <w:rsid w:val="00CA0625"/>
    <w:rsid w:val="00CA6A31"/>
    <w:rsid w:val="00CA6EF8"/>
    <w:rsid w:val="00CC27FF"/>
    <w:rsid w:val="00CC5467"/>
    <w:rsid w:val="00CD04CB"/>
    <w:rsid w:val="00CE4465"/>
    <w:rsid w:val="00CF14E1"/>
    <w:rsid w:val="00D01B37"/>
    <w:rsid w:val="00D06D53"/>
    <w:rsid w:val="00D1582C"/>
    <w:rsid w:val="00D16F72"/>
    <w:rsid w:val="00D17686"/>
    <w:rsid w:val="00D47CCF"/>
    <w:rsid w:val="00D52859"/>
    <w:rsid w:val="00D57BCA"/>
    <w:rsid w:val="00D66A52"/>
    <w:rsid w:val="00D67472"/>
    <w:rsid w:val="00D678C5"/>
    <w:rsid w:val="00D865A6"/>
    <w:rsid w:val="00D873BE"/>
    <w:rsid w:val="00D94CFD"/>
    <w:rsid w:val="00DA05DE"/>
    <w:rsid w:val="00DA16D6"/>
    <w:rsid w:val="00DB0745"/>
    <w:rsid w:val="00DD1D09"/>
    <w:rsid w:val="00DD3FF2"/>
    <w:rsid w:val="00DE66A1"/>
    <w:rsid w:val="00DF4126"/>
    <w:rsid w:val="00DF4FCC"/>
    <w:rsid w:val="00DF7D17"/>
    <w:rsid w:val="00DF7D37"/>
    <w:rsid w:val="00E03C90"/>
    <w:rsid w:val="00E118A3"/>
    <w:rsid w:val="00E134A5"/>
    <w:rsid w:val="00E15015"/>
    <w:rsid w:val="00E15399"/>
    <w:rsid w:val="00E26640"/>
    <w:rsid w:val="00E32239"/>
    <w:rsid w:val="00E45669"/>
    <w:rsid w:val="00E56110"/>
    <w:rsid w:val="00E64936"/>
    <w:rsid w:val="00E67A19"/>
    <w:rsid w:val="00E71609"/>
    <w:rsid w:val="00E878F4"/>
    <w:rsid w:val="00E90104"/>
    <w:rsid w:val="00EA44AB"/>
    <w:rsid w:val="00EC2861"/>
    <w:rsid w:val="00EC6094"/>
    <w:rsid w:val="00ED5D2F"/>
    <w:rsid w:val="00ED6FC6"/>
    <w:rsid w:val="00ED70B3"/>
    <w:rsid w:val="00EE3BB8"/>
    <w:rsid w:val="00EE5C5C"/>
    <w:rsid w:val="00F02629"/>
    <w:rsid w:val="00F06603"/>
    <w:rsid w:val="00F20818"/>
    <w:rsid w:val="00F32921"/>
    <w:rsid w:val="00F72CE4"/>
    <w:rsid w:val="00F73169"/>
    <w:rsid w:val="00F85D65"/>
    <w:rsid w:val="00F94D9A"/>
    <w:rsid w:val="00FA58BE"/>
    <w:rsid w:val="00FB0DB1"/>
    <w:rsid w:val="00FB5AB0"/>
    <w:rsid w:val="00FC4031"/>
    <w:rsid w:val="00FD34E6"/>
    <w:rsid w:val="00FD3E06"/>
    <w:rsid w:val="00FF7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F65"/>
    <w:pPr>
      <w:ind w:left="720"/>
      <w:contextualSpacing/>
    </w:pPr>
  </w:style>
  <w:style w:type="paragraph" w:styleId="BalloonText">
    <w:name w:val="Balloon Text"/>
    <w:basedOn w:val="Normal"/>
    <w:link w:val="BalloonTextChar"/>
    <w:uiPriority w:val="99"/>
    <w:semiHidden/>
    <w:unhideWhenUsed/>
    <w:rsid w:val="003C7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F65"/>
    <w:rPr>
      <w:rFonts w:ascii="Tahoma" w:hAnsi="Tahoma" w:cs="Tahoma"/>
      <w:sz w:val="16"/>
      <w:szCs w:val="16"/>
    </w:rPr>
  </w:style>
  <w:style w:type="character" w:styleId="CommentReference">
    <w:name w:val="annotation reference"/>
    <w:basedOn w:val="DefaultParagraphFont"/>
    <w:uiPriority w:val="99"/>
    <w:semiHidden/>
    <w:unhideWhenUsed/>
    <w:rsid w:val="00FD34E6"/>
    <w:rPr>
      <w:sz w:val="16"/>
      <w:szCs w:val="16"/>
    </w:rPr>
  </w:style>
  <w:style w:type="paragraph" w:styleId="CommentText">
    <w:name w:val="annotation text"/>
    <w:basedOn w:val="Normal"/>
    <w:link w:val="CommentTextChar"/>
    <w:uiPriority w:val="99"/>
    <w:semiHidden/>
    <w:unhideWhenUsed/>
    <w:rsid w:val="00FD34E6"/>
    <w:pPr>
      <w:spacing w:line="240" w:lineRule="auto"/>
    </w:pPr>
    <w:rPr>
      <w:sz w:val="20"/>
      <w:szCs w:val="20"/>
    </w:rPr>
  </w:style>
  <w:style w:type="character" w:customStyle="1" w:styleId="CommentTextChar">
    <w:name w:val="Comment Text Char"/>
    <w:basedOn w:val="DefaultParagraphFont"/>
    <w:link w:val="CommentText"/>
    <w:uiPriority w:val="99"/>
    <w:semiHidden/>
    <w:rsid w:val="00FD34E6"/>
    <w:rPr>
      <w:sz w:val="20"/>
      <w:szCs w:val="20"/>
    </w:rPr>
  </w:style>
  <w:style w:type="paragraph" w:styleId="CommentSubject">
    <w:name w:val="annotation subject"/>
    <w:basedOn w:val="CommentText"/>
    <w:next w:val="CommentText"/>
    <w:link w:val="CommentSubjectChar"/>
    <w:uiPriority w:val="99"/>
    <w:semiHidden/>
    <w:unhideWhenUsed/>
    <w:rsid w:val="00FD34E6"/>
    <w:rPr>
      <w:b/>
      <w:bCs/>
    </w:rPr>
  </w:style>
  <w:style w:type="character" w:customStyle="1" w:styleId="CommentSubjectChar">
    <w:name w:val="Comment Subject Char"/>
    <w:basedOn w:val="CommentTextChar"/>
    <w:link w:val="CommentSubject"/>
    <w:uiPriority w:val="99"/>
    <w:semiHidden/>
    <w:rsid w:val="00FD34E6"/>
    <w:rPr>
      <w:b/>
      <w:bCs/>
      <w:sz w:val="20"/>
      <w:szCs w:val="20"/>
    </w:rPr>
  </w:style>
  <w:style w:type="paragraph" w:styleId="Caption">
    <w:name w:val="caption"/>
    <w:basedOn w:val="Normal"/>
    <w:next w:val="Normal"/>
    <w:uiPriority w:val="35"/>
    <w:unhideWhenUsed/>
    <w:qFormat/>
    <w:rsid w:val="00BA5186"/>
    <w:pPr>
      <w:spacing w:line="240" w:lineRule="auto"/>
    </w:pPr>
    <w:rPr>
      <w:b/>
      <w:bCs/>
      <w:color w:val="4F81BD" w:themeColor="accent1"/>
      <w:sz w:val="18"/>
      <w:szCs w:val="18"/>
    </w:rPr>
  </w:style>
  <w:style w:type="table" w:styleId="TableGrid">
    <w:name w:val="Table Grid"/>
    <w:basedOn w:val="TableNormal"/>
    <w:uiPriority w:val="59"/>
    <w:rsid w:val="000A5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8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8C5"/>
  </w:style>
  <w:style w:type="paragraph" w:styleId="Footer">
    <w:name w:val="footer"/>
    <w:basedOn w:val="Normal"/>
    <w:link w:val="FooterChar"/>
    <w:uiPriority w:val="99"/>
    <w:unhideWhenUsed/>
    <w:rsid w:val="00D678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8C5"/>
  </w:style>
  <w:style w:type="table" w:styleId="LightList-Accent6">
    <w:name w:val="Light List Accent 6"/>
    <w:basedOn w:val="TableNormal"/>
    <w:uiPriority w:val="61"/>
    <w:rsid w:val="0016039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uiPriority w:val="99"/>
    <w:semiHidden/>
    <w:unhideWhenUsed/>
    <w:rsid w:val="004109D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7F7900"/>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0B2CDA"/>
    <w:pPr>
      <w:pBdr>
        <w:bottom w:val="single" w:sz="8" w:space="4" w:color="4F81BD"/>
      </w:pBdr>
      <w:spacing w:after="300" w:line="240" w:lineRule="auto"/>
      <w:contextualSpacing/>
    </w:pPr>
    <w:rPr>
      <w:rFonts w:asciiTheme="majorHAnsi" w:eastAsiaTheme="majorEastAsia" w:hAnsiTheme="majorHAnsi" w:cstheme="majorBidi"/>
      <w:color w:val="17365D"/>
      <w:spacing w:val="5"/>
      <w:kern w:val="28"/>
      <w:sz w:val="52"/>
      <w:szCs w:val="52"/>
    </w:rPr>
  </w:style>
  <w:style w:type="character" w:customStyle="1" w:styleId="TitleChar">
    <w:name w:val="Title Char"/>
    <w:basedOn w:val="DefaultParagraphFont"/>
    <w:link w:val="Title"/>
    <w:uiPriority w:val="10"/>
    <w:rsid w:val="000B2CDA"/>
    <w:rPr>
      <w:rFonts w:asciiTheme="majorHAnsi" w:eastAsiaTheme="majorEastAsia" w:hAnsiTheme="majorHAnsi" w:cstheme="majorBidi"/>
      <w:color w:val="17365D"/>
      <w:spacing w:val="5"/>
      <w:kern w:val="28"/>
      <w:sz w:val="52"/>
      <w:szCs w:val="52"/>
    </w:rPr>
  </w:style>
  <w:style w:type="paragraph" w:styleId="Revision">
    <w:name w:val="Revision"/>
    <w:hidden/>
    <w:uiPriority w:val="99"/>
    <w:semiHidden/>
    <w:rsid w:val="00B00758"/>
    <w:pPr>
      <w:spacing w:after="0" w:line="240" w:lineRule="auto"/>
    </w:pPr>
  </w:style>
  <w:style w:type="paragraph" w:styleId="NoSpacing">
    <w:name w:val="No Spacing"/>
    <w:uiPriority w:val="99"/>
    <w:qFormat/>
    <w:rsid w:val="00490150"/>
    <w:pPr>
      <w:spacing w:after="0" w:line="240" w:lineRule="auto"/>
    </w:pPr>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F65"/>
    <w:pPr>
      <w:ind w:left="720"/>
      <w:contextualSpacing/>
    </w:pPr>
  </w:style>
  <w:style w:type="paragraph" w:styleId="BalloonText">
    <w:name w:val="Balloon Text"/>
    <w:basedOn w:val="Normal"/>
    <w:link w:val="BalloonTextChar"/>
    <w:uiPriority w:val="99"/>
    <w:semiHidden/>
    <w:unhideWhenUsed/>
    <w:rsid w:val="003C7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F65"/>
    <w:rPr>
      <w:rFonts w:ascii="Tahoma" w:hAnsi="Tahoma" w:cs="Tahoma"/>
      <w:sz w:val="16"/>
      <w:szCs w:val="16"/>
    </w:rPr>
  </w:style>
  <w:style w:type="character" w:styleId="CommentReference">
    <w:name w:val="annotation reference"/>
    <w:basedOn w:val="DefaultParagraphFont"/>
    <w:uiPriority w:val="99"/>
    <w:semiHidden/>
    <w:unhideWhenUsed/>
    <w:rsid w:val="00FD34E6"/>
    <w:rPr>
      <w:sz w:val="16"/>
      <w:szCs w:val="16"/>
    </w:rPr>
  </w:style>
  <w:style w:type="paragraph" w:styleId="CommentText">
    <w:name w:val="annotation text"/>
    <w:basedOn w:val="Normal"/>
    <w:link w:val="CommentTextChar"/>
    <w:uiPriority w:val="99"/>
    <w:semiHidden/>
    <w:unhideWhenUsed/>
    <w:rsid w:val="00FD34E6"/>
    <w:pPr>
      <w:spacing w:line="240" w:lineRule="auto"/>
    </w:pPr>
    <w:rPr>
      <w:sz w:val="20"/>
      <w:szCs w:val="20"/>
    </w:rPr>
  </w:style>
  <w:style w:type="character" w:customStyle="1" w:styleId="CommentTextChar">
    <w:name w:val="Comment Text Char"/>
    <w:basedOn w:val="DefaultParagraphFont"/>
    <w:link w:val="CommentText"/>
    <w:uiPriority w:val="99"/>
    <w:semiHidden/>
    <w:rsid w:val="00FD34E6"/>
    <w:rPr>
      <w:sz w:val="20"/>
      <w:szCs w:val="20"/>
    </w:rPr>
  </w:style>
  <w:style w:type="paragraph" w:styleId="CommentSubject">
    <w:name w:val="annotation subject"/>
    <w:basedOn w:val="CommentText"/>
    <w:next w:val="CommentText"/>
    <w:link w:val="CommentSubjectChar"/>
    <w:uiPriority w:val="99"/>
    <w:semiHidden/>
    <w:unhideWhenUsed/>
    <w:rsid w:val="00FD34E6"/>
    <w:rPr>
      <w:b/>
      <w:bCs/>
    </w:rPr>
  </w:style>
  <w:style w:type="character" w:customStyle="1" w:styleId="CommentSubjectChar">
    <w:name w:val="Comment Subject Char"/>
    <w:basedOn w:val="CommentTextChar"/>
    <w:link w:val="CommentSubject"/>
    <w:uiPriority w:val="99"/>
    <w:semiHidden/>
    <w:rsid w:val="00FD34E6"/>
    <w:rPr>
      <w:b/>
      <w:bCs/>
      <w:sz w:val="20"/>
      <w:szCs w:val="20"/>
    </w:rPr>
  </w:style>
  <w:style w:type="paragraph" w:styleId="Caption">
    <w:name w:val="caption"/>
    <w:basedOn w:val="Normal"/>
    <w:next w:val="Normal"/>
    <w:uiPriority w:val="35"/>
    <w:unhideWhenUsed/>
    <w:qFormat/>
    <w:rsid w:val="00BA5186"/>
    <w:pPr>
      <w:spacing w:line="240" w:lineRule="auto"/>
    </w:pPr>
    <w:rPr>
      <w:b/>
      <w:bCs/>
      <w:color w:val="4F81BD" w:themeColor="accent1"/>
      <w:sz w:val="18"/>
      <w:szCs w:val="18"/>
    </w:rPr>
  </w:style>
  <w:style w:type="table" w:styleId="TableGrid">
    <w:name w:val="Table Grid"/>
    <w:basedOn w:val="TableNormal"/>
    <w:uiPriority w:val="59"/>
    <w:rsid w:val="000A5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8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8C5"/>
  </w:style>
  <w:style w:type="paragraph" w:styleId="Footer">
    <w:name w:val="footer"/>
    <w:basedOn w:val="Normal"/>
    <w:link w:val="FooterChar"/>
    <w:uiPriority w:val="99"/>
    <w:unhideWhenUsed/>
    <w:rsid w:val="00D678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8C5"/>
  </w:style>
  <w:style w:type="table" w:styleId="LightList-Accent6">
    <w:name w:val="Light List Accent 6"/>
    <w:basedOn w:val="TableNormal"/>
    <w:uiPriority w:val="61"/>
    <w:rsid w:val="0016039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uiPriority w:val="99"/>
    <w:semiHidden/>
    <w:unhideWhenUsed/>
    <w:rsid w:val="004109D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7F7900"/>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0B2CDA"/>
    <w:pPr>
      <w:pBdr>
        <w:bottom w:val="single" w:sz="8" w:space="4" w:color="4F81BD"/>
      </w:pBdr>
      <w:spacing w:after="300" w:line="240" w:lineRule="auto"/>
      <w:contextualSpacing/>
    </w:pPr>
    <w:rPr>
      <w:rFonts w:asciiTheme="majorHAnsi" w:eastAsiaTheme="majorEastAsia" w:hAnsiTheme="majorHAnsi" w:cstheme="majorBidi"/>
      <w:color w:val="17365D"/>
      <w:spacing w:val="5"/>
      <w:kern w:val="28"/>
      <w:sz w:val="52"/>
      <w:szCs w:val="52"/>
    </w:rPr>
  </w:style>
  <w:style w:type="character" w:customStyle="1" w:styleId="TitleChar">
    <w:name w:val="Title Char"/>
    <w:basedOn w:val="DefaultParagraphFont"/>
    <w:link w:val="Title"/>
    <w:uiPriority w:val="10"/>
    <w:rsid w:val="000B2CDA"/>
    <w:rPr>
      <w:rFonts w:asciiTheme="majorHAnsi" w:eastAsiaTheme="majorEastAsia" w:hAnsiTheme="majorHAnsi" w:cstheme="majorBidi"/>
      <w:color w:val="17365D"/>
      <w:spacing w:val="5"/>
      <w:kern w:val="28"/>
      <w:sz w:val="52"/>
      <w:szCs w:val="52"/>
    </w:rPr>
  </w:style>
  <w:style w:type="paragraph" w:styleId="Revision">
    <w:name w:val="Revision"/>
    <w:hidden/>
    <w:uiPriority w:val="99"/>
    <w:semiHidden/>
    <w:rsid w:val="00B00758"/>
    <w:pPr>
      <w:spacing w:after="0" w:line="240" w:lineRule="auto"/>
    </w:pPr>
  </w:style>
  <w:style w:type="paragraph" w:styleId="NoSpacing">
    <w:name w:val="No Spacing"/>
    <w:uiPriority w:val="99"/>
    <w:qFormat/>
    <w:rsid w:val="00490150"/>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3604">
      <w:bodyDiv w:val="1"/>
      <w:marLeft w:val="0"/>
      <w:marRight w:val="0"/>
      <w:marTop w:val="0"/>
      <w:marBottom w:val="0"/>
      <w:divBdr>
        <w:top w:val="none" w:sz="0" w:space="0" w:color="auto"/>
        <w:left w:val="none" w:sz="0" w:space="0" w:color="auto"/>
        <w:bottom w:val="none" w:sz="0" w:space="0" w:color="auto"/>
        <w:right w:val="none" w:sz="0" w:space="0" w:color="auto"/>
      </w:divBdr>
    </w:div>
    <w:div w:id="83650436">
      <w:bodyDiv w:val="1"/>
      <w:marLeft w:val="0"/>
      <w:marRight w:val="0"/>
      <w:marTop w:val="0"/>
      <w:marBottom w:val="0"/>
      <w:divBdr>
        <w:top w:val="none" w:sz="0" w:space="0" w:color="auto"/>
        <w:left w:val="none" w:sz="0" w:space="0" w:color="auto"/>
        <w:bottom w:val="none" w:sz="0" w:space="0" w:color="auto"/>
        <w:right w:val="none" w:sz="0" w:space="0" w:color="auto"/>
      </w:divBdr>
    </w:div>
    <w:div w:id="98531073">
      <w:bodyDiv w:val="1"/>
      <w:marLeft w:val="0"/>
      <w:marRight w:val="0"/>
      <w:marTop w:val="0"/>
      <w:marBottom w:val="0"/>
      <w:divBdr>
        <w:top w:val="none" w:sz="0" w:space="0" w:color="auto"/>
        <w:left w:val="none" w:sz="0" w:space="0" w:color="auto"/>
        <w:bottom w:val="none" w:sz="0" w:space="0" w:color="auto"/>
        <w:right w:val="none" w:sz="0" w:space="0" w:color="auto"/>
      </w:divBdr>
    </w:div>
    <w:div w:id="172259734">
      <w:bodyDiv w:val="1"/>
      <w:marLeft w:val="0"/>
      <w:marRight w:val="0"/>
      <w:marTop w:val="0"/>
      <w:marBottom w:val="0"/>
      <w:divBdr>
        <w:top w:val="none" w:sz="0" w:space="0" w:color="auto"/>
        <w:left w:val="none" w:sz="0" w:space="0" w:color="auto"/>
        <w:bottom w:val="none" w:sz="0" w:space="0" w:color="auto"/>
        <w:right w:val="none" w:sz="0" w:space="0" w:color="auto"/>
      </w:divBdr>
    </w:div>
    <w:div w:id="192573056">
      <w:bodyDiv w:val="1"/>
      <w:marLeft w:val="0"/>
      <w:marRight w:val="0"/>
      <w:marTop w:val="0"/>
      <w:marBottom w:val="0"/>
      <w:divBdr>
        <w:top w:val="none" w:sz="0" w:space="0" w:color="auto"/>
        <w:left w:val="none" w:sz="0" w:space="0" w:color="auto"/>
        <w:bottom w:val="none" w:sz="0" w:space="0" w:color="auto"/>
        <w:right w:val="none" w:sz="0" w:space="0" w:color="auto"/>
      </w:divBdr>
    </w:div>
    <w:div w:id="269972012">
      <w:bodyDiv w:val="1"/>
      <w:marLeft w:val="0"/>
      <w:marRight w:val="0"/>
      <w:marTop w:val="0"/>
      <w:marBottom w:val="0"/>
      <w:divBdr>
        <w:top w:val="none" w:sz="0" w:space="0" w:color="auto"/>
        <w:left w:val="none" w:sz="0" w:space="0" w:color="auto"/>
        <w:bottom w:val="none" w:sz="0" w:space="0" w:color="auto"/>
        <w:right w:val="none" w:sz="0" w:space="0" w:color="auto"/>
      </w:divBdr>
    </w:div>
    <w:div w:id="306134793">
      <w:bodyDiv w:val="1"/>
      <w:marLeft w:val="0"/>
      <w:marRight w:val="0"/>
      <w:marTop w:val="0"/>
      <w:marBottom w:val="0"/>
      <w:divBdr>
        <w:top w:val="none" w:sz="0" w:space="0" w:color="auto"/>
        <w:left w:val="none" w:sz="0" w:space="0" w:color="auto"/>
        <w:bottom w:val="none" w:sz="0" w:space="0" w:color="auto"/>
        <w:right w:val="none" w:sz="0" w:space="0" w:color="auto"/>
      </w:divBdr>
    </w:div>
    <w:div w:id="432867321">
      <w:bodyDiv w:val="1"/>
      <w:marLeft w:val="0"/>
      <w:marRight w:val="0"/>
      <w:marTop w:val="0"/>
      <w:marBottom w:val="0"/>
      <w:divBdr>
        <w:top w:val="none" w:sz="0" w:space="0" w:color="auto"/>
        <w:left w:val="none" w:sz="0" w:space="0" w:color="auto"/>
        <w:bottom w:val="none" w:sz="0" w:space="0" w:color="auto"/>
        <w:right w:val="none" w:sz="0" w:space="0" w:color="auto"/>
      </w:divBdr>
    </w:div>
    <w:div w:id="507406903">
      <w:bodyDiv w:val="1"/>
      <w:marLeft w:val="0"/>
      <w:marRight w:val="0"/>
      <w:marTop w:val="0"/>
      <w:marBottom w:val="0"/>
      <w:divBdr>
        <w:top w:val="none" w:sz="0" w:space="0" w:color="auto"/>
        <w:left w:val="none" w:sz="0" w:space="0" w:color="auto"/>
        <w:bottom w:val="none" w:sz="0" w:space="0" w:color="auto"/>
        <w:right w:val="none" w:sz="0" w:space="0" w:color="auto"/>
      </w:divBdr>
    </w:div>
    <w:div w:id="554897222">
      <w:bodyDiv w:val="1"/>
      <w:marLeft w:val="0"/>
      <w:marRight w:val="0"/>
      <w:marTop w:val="0"/>
      <w:marBottom w:val="0"/>
      <w:divBdr>
        <w:top w:val="none" w:sz="0" w:space="0" w:color="auto"/>
        <w:left w:val="none" w:sz="0" w:space="0" w:color="auto"/>
        <w:bottom w:val="none" w:sz="0" w:space="0" w:color="auto"/>
        <w:right w:val="none" w:sz="0" w:space="0" w:color="auto"/>
      </w:divBdr>
    </w:div>
    <w:div w:id="618413130">
      <w:bodyDiv w:val="1"/>
      <w:marLeft w:val="0"/>
      <w:marRight w:val="0"/>
      <w:marTop w:val="0"/>
      <w:marBottom w:val="0"/>
      <w:divBdr>
        <w:top w:val="none" w:sz="0" w:space="0" w:color="auto"/>
        <w:left w:val="none" w:sz="0" w:space="0" w:color="auto"/>
        <w:bottom w:val="none" w:sz="0" w:space="0" w:color="auto"/>
        <w:right w:val="none" w:sz="0" w:space="0" w:color="auto"/>
      </w:divBdr>
    </w:div>
    <w:div w:id="639920253">
      <w:bodyDiv w:val="1"/>
      <w:marLeft w:val="0"/>
      <w:marRight w:val="0"/>
      <w:marTop w:val="0"/>
      <w:marBottom w:val="0"/>
      <w:divBdr>
        <w:top w:val="none" w:sz="0" w:space="0" w:color="auto"/>
        <w:left w:val="none" w:sz="0" w:space="0" w:color="auto"/>
        <w:bottom w:val="none" w:sz="0" w:space="0" w:color="auto"/>
        <w:right w:val="none" w:sz="0" w:space="0" w:color="auto"/>
      </w:divBdr>
    </w:div>
    <w:div w:id="710348499">
      <w:bodyDiv w:val="1"/>
      <w:marLeft w:val="0"/>
      <w:marRight w:val="0"/>
      <w:marTop w:val="0"/>
      <w:marBottom w:val="0"/>
      <w:divBdr>
        <w:top w:val="none" w:sz="0" w:space="0" w:color="auto"/>
        <w:left w:val="none" w:sz="0" w:space="0" w:color="auto"/>
        <w:bottom w:val="none" w:sz="0" w:space="0" w:color="auto"/>
        <w:right w:val="none" w:sz="0" w:space="0" w:color="auto"/>
      </w:divBdr>
    </w:div>
    <w:div w:id="793720306">
      <w:bodyDiv w:val="1"/>
      <w:marLeft w:val="0"/>
      <w:marRight w:val="0"/>
      <w:marTop w:val="0"/>
      <w:marBottom w:val="0"/>
      <w:divBdr>
        <w:top w:val="none" w:sz="0" w:space="0" w:color="auto"/>
        <w:left w:val="none" w:sz="0" w:space="0" w:color="auto"/>
        <w:bottom w:val="none" w:sz="0" w:space="0" w:color="auto"/>
        <w:right w:val="none" w:sz="0" w:space="0" w:color="auto"/>
      </w:divBdr>
    </w:div>
    <w:div w:id="854804981">
      <w:bodyDiv w:val="1"/>
      <w:marLeft w:val="0"/>
      <w:marRight w:val="0"/>
      <w:marTop w:val="0"/>
      <w:marBottom w:val="0"/>
      <w:divBdr>
        <w:top w:val="none" w:sz="0" w:space="0" w:color="auto"/>
        <w:left w:val="none" w:sz="0" w:space="0" w:color="auto"/>
        <w:bottom w:val="none" w:sz="0" w:space="0" w:color="auto"/>
        <w:right w:val="none" w:sz="0" w:space="0" w:color="auto"/>
      </w:divBdr>
    </w:div>
    <w:div w:id="980765373">
      <w:bodyDiv w:val="1"/>
      <w:marLeft w:val="0"/>
      <w:marRight w:val="0"/>
      <w:marTop w:val="0"/>
      <w:marBottom w:val="0"/>
      <w:divBdr>
        <w:top w:val="none" w:sz="0" w:space="0" w:color="auto"/>
        <w:left w:val="none" w:sz="0" w:space="0" w:color="auto"/>
        <w:bottom w:val="none" w:sz="0" w:space="0" w:color="auto"/>
        <w:right w:val="none" w:sz="0" w:space="0" w:color="auto"/>
      </w:divBdr>
    </w:div>
    <w:div w:id="1072698626">
      <w:bodyDiv w:val="1"/>
      <w:marLeft w:val="0"/>
      <w:marRight w:val="0"/>
      <w:marTop w:val="0"/>
      <w:marBottom w:val="0"/>
      <w:divBdr>
        <w:top w:val="none" w:sz="0" w:space="0" w:color="auto"/>
        <w:left w:val="none" w:sz="0" w:space="0" w:color="auto"/>
        <w:bottom w:val="none" w:sz="0" w:space="0" w:color="auto"/>
        <w:right w:val="none" w:sz="0" w:space="0" w:color="auto"/>
      </w:divBdr>
    </w:div>
    <w:div w:id="1284193751">
      <w:bodyDiv w:val="1"/>
      <w:marLeft w:val="0"/>
      <w:marRight w:val="0"/>
      <w:marTop w:val="0"/>
      <w:marBottom w:val="0"/>
      <w:divBdr>
        <w:top w:val="none" w:sz="0" w:space="0" w:color="auto"/>
        <w:left w:val="none" w:sz="0" w:space="0" w:color="auto"/>
        <w:bottom w:val="none" w:sz="0" w:space="0" w:color="auto"/>
        <w:right w:val="none" w:sz="0" w:space="0" w:color="auto"/>
      </w:divBdr>
    </w:div>
    <w:div w:id="1285307414">
      <w:bodyDiv w:val="1"/>
      <w:marLeft w:val="0"/>
      <w:marRight w:val="0"/>
      <w:marTop w:val="0"/>
      <w:marBottom w:val="0"/>
      <w:divBdr>
        <w:top w:val="none" w:sz="0" w:space="0" w:color="auto"/>
        <w:left w:val="none" w:sz="0" w:space="0" w:color="auto"/>
        <w:bottom w:val="none" w:sz="0" w:space="0" w:color="auto"/>
        <w:right w:val="none" w:sz="0" w:space="0" w:color="auto"/>
      </w:divBdr>
    </w:div>
    <w:div w:id="1305501597">
      <w:bodyDiv w:val="1"/>
      <w:marLeft w:val="0"/>
      <w:marRight w:val="0"/>
      <w:marTop w:val="0"/>
      <w:marBottom w:val="0"/>
      <w:divBdr>
        <w:top w:val="none" w:sz="0" w:space="0" w:color="auto"/>
        <w:left w:val="none" w:sz="0" w:space="0" w:color="auto"/>
        <w:bottom w:val="none" w:sz="0" w:space="0" w:color="auto"/>
        <w:right w:val="none" w:sz="0" w:space="0" w:color="auto"/>
      </w:divBdr>
    </w:div>
    <w:div w:id="1398549866">
      <w:bodyDiv w:val="1"/>
      <w:marLeft w:val="0"/>
      <w:marRight w:val="0"/>
      <w:marTop w:val="0"/>
      <w:marBottom w:val="0"/>
      <w:divBdr>
        <w:top w:val="none" w:sz="0" w:space="0" w:color="auto"/>
        <w:left w:val="none" w:sz="0" w:space="0" w:color="auto"/>
        <w:bottom w:val="none" w:sz="0" w:space="0" w:color="auto"/>
        <w:right w:val="none" w:sz="0" w:space="0" w:color="auto"/>
      </w:divBdr>
    </w:div>
    <w:div w:id="1457985781">
      <w:bodyDiv w:val="1"/>
      <w:marLeft w:val="0"/>
      <w:marRight w:val="0"/>
      <w:marTop w:val="0"/>
      <w:marBottom w:val="0"/>
      <w:divBdr>
        <w:top w:val="none" w:sz="0" w:space="0" w:color="auto"/>
        <w:left w:val="none" w:sz="0" w:space="0" w:color="auto"/>
        <w:bottom w:val="none" w:sz="0" w:space="0" w:color="auto"/>
        <w:right w:val="none" w:sz="0" w:space="0" w:color="auto"/>
      </w:divBdr>
    </w:div>
    <w:div w:id="1484128586">
      <w:bodyDiv w:val="1"/>
      <w:marLeft w:val="0"/>
      <w:marRight w:val="0"/>
      <w:marTop w:val="0"/>
      <w:marBottom w:val="0"/>
      <w:divBdr>
        <w:top w:val="none" w:sz="0" w:space="0" w:color="auto"/>
        <w:left w:val="none" w:sz="0" w:space="0" w:color="auto"/>
        <w:bottom w:val="none" w:sz="0" w:space="0" w:color="auto"/>
        <w:right w:val="none" w:sz="0" w:space="0" w:color="auto"/>
      </w:divBdr>
    </w:div>
    <w:div w:id="1597858285">
      <w:bodyDiv w:val="1"/>
      <w:marLeft w:val="0"/>
      <w:marRight w:val="0"/>
      <w:marTop w:val="0"/>
      <w:marBottom w:val="0"/>
      <w:divBdr>
        <w:top w:val="none" w:sz="0" w:space="0" w:color="auto"/>
        <w:left w:val="none" w:sz="0" w:space="0" w:color="auto"/>
        <w:bottom w:val="none" w:sz="0" w:space="0" w:color="auto"/>
        <w:right w:val="none" w:sz="0" w:space="0" w:color="auto"/>
      </w:divBdr>
    </w:div>
    <w:div w:id="1626960859">
      <w:bodyDiv w:val="1"/>
      <w:marLeft w:val="0"/>
      <w:marRight w:val="0"/>
      <w:marTop w:val="0"/>
      <w:marBottom w:val="0"/>
      <w:divBdr>
        <w:top w:val="none" w:sz="0" w:space="0" w:color="auto"/>
        <w:left w:val="none" w:sz="0" w:space="0" w:color="auto"/>
        <w:bottom w:val="none" w:sz="0" w:space="0" w:color="auto"/>
        <w:right w:val="none" w:sz="0" w:space="0" w:color="auto"/>
      </w:divBdr>
    </w:div>
    <w:div w:id="1728382753">
      <w:bodyDiv w:val="1"/>
      <w:marLeft w:val="0"/>
      <w:marRight w:val="0"/>
      <w:marTop w:val="0"/>
      <w:marBottom w:val="0"/>
      <w:divBdr>
        <w:top w:val="none" w:sz="0" w:space="0" w:color="auto"/>
        <w:left w:val="none" w:sz="0" w:space="0" w:color="auto"/>
        <w:bottom w:val="none" w:sz="0" w:space="0" w:color="auto"/>
        <w:right w:val="none" w:sz="0" w:space="0" w:color="auto"/>
      </w:divBdr>
    </w:div>
    <w:div w:id="1755012958">
      <w:bodyDiv w:val="1"/>
      <w:marLeft w:val="0"/>
      <w:marRight w:val="0"/>
      <w:marTop w:val="0"/>
      <w:marBottom w:val="0"/>
      <w:divBdr>
        <w:top w:val="none" w:sz="0" w:space="0" w:color="auto"/>
        <w:left w:val="none" w:sz="0" w:space="0" w:color="auto"/>
        <w:bottom w:val="none" w:sz="0" w:space="0" w:color="auto"/>
        <w:right w:val="none" w:sz="0" w:space="0" w:color="auto"/>
      </w:divBdr>
    </w:div>
    <w:div w:id="1786386299">
      <w:bodyDiv w:val="1"/>
      <w:marLeft w:val="0"/>
      <w:marRight w:val="0"/>
      <w:marTop w:val="0"/>
      <w:marBottom w:val="0"/>
      <w:divBdr>
        <w:top w:val="none" w:sz="0" w:space="0" w:color="auto"/>
        <w:left w:val="none" w:sz="0" w:space="0" w:color="auto"/>
        <w:bottom w:val="none" w:sz="0" w:space="0" w:color="auto"/>
        <w:right w:val="none" w:sz="0" w:space="0" w:color="auto"/>
      </w:divBdr>
    </w:div>
    <w:div w:id="1832477692">
      <w:bodyDiv w:val="1"/>
      <w:marLeft w:val="0"/>
      <w:marRight w:val="0"/>
      <w:marTop w:val="0"/>
      <w:marBottom w:val="0"/>
      <w:divBdr>
        <w:top w:val="none" w:sz="0" w:space="0" w:color="auto"/>
        <w:left w:val="none" w:sz="0" w:space="0" w:color="auto"/>
        <w:bottom w:val="none" w:sz="0" w:space="0" w:color="auto"/>
        <w:right w:val="none" w:sz="0" w:space="0" w:color="auto"/>
      </w:divBdr>
    </w:div>
    <w:div w:id="1916284201">
      <w:bodyDiv w:val="1"/>
      <w:marLeft w:val="0"/>
      <w:marRight w:val="0"/>
      <w:marTop w:val="0"/>
      <w:marBottom w:val="0"/>
      <w:divBdr>
        <w:top w:val="none" w:sz="0" w:space="0" w:color="auto"/>
        <w:left w:val="none" w:sz="0" w:space="0" w:color="auto"/>
        <w:bottom w:val="none" w:sz="0" w:space="0" w:color="auto"/>
        <w:right w:val="none" w:sz="0" w:space="0" w:color="auto"/>
      </w:divBdr>
    </w:div>
    <w:div w:id="2018531988">
      <w:bodyDiv w:val="1"/>
      <w:marLeft w:val="0"/>
      <w:marRight w:val="0"/>
      <w:marTop w:val="0"/>
      <w:marBottom w:val="0"/>
      <w:divBdr>
        <w:top w:val="none" w:sz="0" w:space="0" w:color="auto"/>
        <w:left w:val="none" w:sz="0" w:space="0" w:color="auto"/>
        <w:bottom w:val="none" w:sz="0" w:space="0" w:color="auto"/>
        <w:right w:val="none" w:sz="0" w:space="0" w:color="auto"/>
      </w:divBdr>
    </w:div>
    <w:div w:id="2088572937">
      <w:bodyDiv w:val="1"/>
      <w:marLeft w:val="0"/>
      <w:marRight w:val="0"/>
      <w:marTop w:val="0"/>
      <w:marBottom w:val="0"/>
      <w:divBdr>
        <w:top w:val="none" w:sz="0" w:space="0" w:color="auto"/>
        <w:left w:val="none" w:sz="0" w:space="0" w:color="auto"/>
        <w:bottom w:val="none" w:sz="0" w:space="0" w:color="auto"/>
        <w:right w:val="none" w:sz="0" w:space="0" w:color="auto"/>
      </w:divBdr>
    </w:div>
    <w:div w:id="2108766835">
      <w:bodyDiv w:val="1"/>
      <w:marLeft w:val="0"/>
      <w:marRight w:val="0"/>
      <w:marTop w:val="0"/>
      <w:marBottom w:val="0"/>
      <w:divBdr>
        <w:top w:val="none" w:sz="0" w:space="0" w:color="auto"/>
        <w:left w:val="none" w:sz="0" w:space="0" w:color="auto"/>
        <w:bottom w:val="none" w:sz="0" w:space="0" w:color="auto"/>
        <w:right w:val="none" w:sz="0" w:space="0" w:color="auto"/>
      </w:divBdr>
    </w:div>
    <w:div w:id="214580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chart" Target="charts/chart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ims.gov.uk\data\Users\GBBULVD\BULHOME1\ATotenho\My%20Documents\Board%20Report%20April%202017\Application%20Monitoring%20Log%20V3.0%2021st%20April%202016%20(Macro%20Run).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ms.gov.uk\data\Users\GBBULVD\BULHOME1\ATotenho\My%20Documents\Board%20Report%20April%202017\Application%20Monitoring%20Log%20V3.0%2021st%20April%202016%20(Macro%20Run).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ims.gov.uk\data\Users\GBBULVD\BULHOME1\ATotenho\My%20Documents\Board%20Report%20April%202017\Application%20Monitoring%20Log%20V3.0%2021st%20April%202016%20(Macro%20Run).xlsm"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ims.gov.uk\data\Users\GBBULVD\BULHOME1\ATotenho\My%20Documents\Board%20Report%20April%202017\Application%20Monitoring%20Log%20V3.0%2021st%20April%202016%20(Macro%20Run).xlsm"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ims.gov.uk\data\Users\GBBULVD\BULHOME1\ATotenho\My%20Documents\Board%20Report%20April%202017\Application%20Monitoring%20Log%20V3.0%2021st%20April%202016%20(Macro%20Run).xlsm"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ims.gov.uk\data\DH\London\SKH\NW080\Shared%20Drive\HRA%20Approval\Amendments\Amendment%20Log\HRA%20Amendment%20Tracker%20v2.1%2027.7.2016.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ims.gov.uk\data\DH\London\SKH\NW080\Shared%20Drive\HRA%20Approval\Pre-HRA%20Approval%20Applications\Pre-HRA%20Escalations\Pre-HRA%20Approvals%20(lite%20lite+)_24.03.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0"/>
      <c:rotY val="0"/>
      <c:rAngAx val="1"/>
    </c:view3D>
    <c:floor>
      <c:thickness val="0"/>
    </c:floor>
    <c:sideWall>
      <c:thickness val="0"/>
    </c:sideWall>
    <c:backWall>
      <c:thickness val="0"/>
    </c:backWall>
    <c:plotArea>
      <c:layout/>
      <c:bar3DChart>
        <c:barDir val="col"/>
        <c:grouping val="stacked"/>
        <c:varyColors val="0"/>
        <c:ser>
          <c:idx val="0"/>
          <c:order val="0"/>
          <c:tx>
            <c:strRef>
              <c:f>'(4) graphs'!$B$17</c:f>
              <c:strCache>
                <c:ptCount val="1"/>
                <c:pt idx="0">
                  <c:v>Time to REC decision</c:v>
                </c:pt>
              </c:strCache>
            </c:strRef>
          </c:tx>
          <c:spPr>
            <a:solidFill>
              <a:srgbClr val="0070C0"/>
            </a:solidFill>
          </c:spPr>
          <c:invertIfNegative val="0"/>
          <c:dPt>
            <c:idx val="4"/>
            <c:invertIfNegative val="0"/>
            <c:bubble3D val="0"/>
            <c:spPr>
              <a:solidFill>
                <a:srgbClr val="0070C0">
                  <a:alpha val="30000"/>
                </a:srgbClr>
              </a:solidFill>
            </c:spPr>
          </c:dPt>
          <c:dPt>
            <c:idx val="7"/>
            <c:invertIfNegative val="0"/>
            <c:bubble3D val="0"/>
            <c:spPr>
              <a:solidFill>
                <a:srgbClr val="0070C0">
                  <a:alpha val="30000"/>
                </a:srgbClr>
              </a:solidFill>
            </c:spPr>
          </c:dPt>
          <c:dPt>
            <c:idx val="10"/>
            <c:invertIfNegative val="0"/>
            <c:bubble3D val="0"/>
            <c:spPr>
              <a:solidFill>
                <a:srgbClr val="0070C0">
                  <a:alpha val="30000"/>
                </a:srgbClr>
              </a:solidFill>
            </c:spPr>
          </c:dPt>
          <c:cat>
            <c:strRef>
              <c:f>'(4) graphs'!$A$18:$A$28</c:f>
              <c:strCache>
                <c:ptCount val="11"/>
                <c:pt idx="0">
                  <c:v>Non-REC - Mar 2017</c:v>
                </c:pt>
                <c:pt idx="1">
                  <c:v>Feb-17</c:v>
                </c:pt>
                <c:pt idx="3">
                  <c:v>REC Proportionate Review - Mar 2017</c:v>
                </c:pt>
                <c:pt idx="4">
                  <c:v>Feb-17</c:v>
                </c:pt>
                <c:pt idx="6">
                  <c:v>REC Study, Commercial Sponsor - Mar 2017</c:v>
                </c:pt>
                <c:pt idx="7">
                  <c:v>Feb-17</c:v>
                </c:pt>
                <c:pt idx="9">
                  <c:v>REC Study, Non-Commercial Sponsor - Mar 2017</c:v>
                </c:pt>
                <c:pt idx="10">
                  <c:v>Feb-17</c:v>
                </c:pt>
              </c:strCache>
            </c:strRef>
          </c:cat>
          <c:val>
            <c:numRef>
              <c:f>'(4) graphs'!$B$18:$B$28</c:f>
              <c:numCache>
                <c:formatCode>General</c:formatCode>
                <c:ptCount val="11"/>
                <c:pt idx="0">
                  <c:v>0</c:v>
                </c:pt>
                <c:pt idx="1">
                  <c:v>0</c:v>
                </c:pt>
                <c:pt idx="3" formatCode="0">
                  <c:v>19</c:v>
                </c:pt>
                <c:pt idx="4" formatCode="0">
                  <c:v>24.5</c:v>
                </c:pt>
                <c:pt idx="6">
                  <c:v>72</c:v>
                </c:pt>
                <c:pt idx="7">
                  <c:v>65.5</c:v>
                </c:pt>
                <c:pt idx="9">
                  <c:v>63</c:v>
                </c:pt>
                <c:pt idx="10">
                  <c:v>55</c:v>
                </c:pt>
              </c:numCache>
            </c:numRef>
          </c:val>
        </c:ser>
        <c:ser>
          <c:idx val="1"/>
          <c:order val="1"/>
          <c:tx>
            <c:strRef>
              <c:f>'(4) graphs'!$C$17</c:f>
              <c:strCache>
                <c:ptCount val="1"/>
                <c:pt idx="0">
                  <c:v>Time from REC decision[Non-rec from application submission] to HRA Approval </c:v>
                </c:pt>
              </c:strCache>
            </c:strRef>
          </c:tx>
          <c:invertIfNegative val="0"/>
          <c:dPt>
            <c:idx val="1"/>
            <c:invertIfNegative val="0"/>
            <c:bubble3D val="0"/>
            <c:spPr>
              <a:solidFill>
                <a:schemeClr val="accent2">
                  <a:alpha val="30000"/>
                </a:schemeClr>
              </a:solidFill>
            </c:spPr>
          </c:dPt>
          <c:dPt>
            <c:idx val="3"/>
            <c:invertIfNegative val="0"/>
            <c:bubble3D val="0"/>
            <c:spPr>
              <a:solidFill>
                <a:schemeClr val="accent2"/>
              </a:solidFill>
            </c:spPr>
          </c:dPt>
          <c:dPt>
            <c:idx val="4"/>
            <c:invertIfNegative val="0"/>
            <c:bubble3D val="0"/>
            <c:spPr>
              <a:solidFill>
                <a:schemeClr val="accent2">
                  <a:alpha val="30000"/>
                </a:schemeClr>
              </a:solidFill>
            </c:spPr>
          </c:dPt>
          <c:dPt>
            <c:idx val="5"/>
            <c:invertIfNegative val="0"/>
            <c:bubble3D val="0"/>
            <c:spPr>
              <a:solidFill>
                <a:schemeClr val="accent2">
                  <a:alpha val="60000"/>
                </a:schemeClr>
              </a:solidFill>
            </c:spPr>
          </c:dPt>
          <c:dPt>
            <c:idx val="7"/>
            <c:invertIfNegative val="0"/>
            <c:bubble3D val="0"/>
            <c:spPr>
              <a:solidFill>
                <a:schemeClr val="accent2">
                  <a:alpha val="30000"/>
                </a:schemeClr>
              </a:solidFill>
            </c:spPr>
          </c:dPt>
          <c:dPt>
            <c:idx val="10"/>
            <c:invertIfNegative val="0"/>
            <c:bubble3D val="0"/>
            <c:spPr>
              <a:solidFill>
                <a:schemeClr val="accent2">
                  <a:alpha val="30000"/>
                </a:schemeClr>
              </a:solidFill>
            </c:spPr>
          </c:dPt>
          <c:cat>
            <c:strRef>
              <c:f>'(4) graphs'!$A$18:$A$28</c:f>
              <c:strCache>
                <c:ptCount val="11"/>
                <c:pt idx="0">
                  <c:v>Non-REC - Mar 2017</c:v>
                </c:pt>
                <c:pt idx="1">
                  <c:v>Feb-17</c:v>
                </c:pt>
                <c:pt idx="3">
                  <c:v>REC Proportionate Review - Mar 2017</c:v>
                </c:pt>
                <c:pt idx="4">
                  <c:v>Feb-17</c:v>
                </c:pt>
                <c:pt idx="6">
                  <c:v>REC Study, Commercial Sponsor - Mar 2017</c:v>
                </c:pt>
                <c:pt idx="7">
                  <c:v>Feb-17</c:v>
                </c:pt>
                <c:pt idx="9">
                  <c:v>REC Study, Non-Commercial Sponsor - Mar 2017</c:v>
                </c:pt>
                <c:pt idx="10">
                  <c:v>Feb-17</c:v>
                </c:pt>
              </c:strCache>
            </c:strRef>
          </c:cat>
          <c:val>
            <c:numRef>
              <c:f>'(4) graphs'!$C$18:$C$28</c:f>
              <c:numCache>
                <c:formatCode>0</c:formatCode>
                <c:ptCount val="11"/>
                <c:pt idx="0">
                  <c:v>20</c:v>
                </c:pt>
                <c:pt idx="1">
                  <c:v>29</c:v>
                </c:pt>
                <c:pt idx="3">
                  <c:v>11</c:v>
                </c:pt>
                <c:pt idx="4">
                  <c:v>18.5</c:v>
                </c:pt>
                <c:pt idx="6">
                  <c:v>8</c:v>
                </c:pt>
                <c:pt idx="7">
                  <c:v>17.5</c:v>
                </c:pt>
                <c:pt idx="9">
                  <c:v>12</c:v>
                </c:pt>
                <c:pt idx="10">
                  <c:v>24</c:v>
                </c:pt>
              </c:numCache>
            </c:numRef>
          </c:val>
        </c:ser>
        <c:dLbls>
          <c:showLegendKey val="0"/>
          <c:showVal val="0"/>
          <c:showCatName val="0"/>
          <c:showSerName val="0"/>
          <c:showPercent val="0"/>
          <c:showBubbleSize val="0"/>
        </c:dLbls>
        <c:gapWidth val="150"/>
        <c:shape val="box"/>
        <c:axId val="45151744"/>
        <c:axId val="45153280"/>
        <c:axId val="0"/>
      </c:bar3DChart>
      <c:catAx>
        <c:axId val="45151744"/>
        <c:scaling>
          <c:orientation val="minMax"/>
        </c:scaling>
        <c:delete val="0"/>
        <c:axPos val="b"/>
        <c:majorTickMark val="out"/>
        <c:minorTickMark val="none"/>
        <c:tickLblPos val="nextTo"/>
        <c:crossAx val="45153280"/>
        <c:crosses val="autoZero"/>
        <c:auto val="1"/>
        <c:lblAlgn val="ctr"/>
        <c:lblOffset val="100"/>
        <c:noMultiLvlLbl val="0"/>
      </c:catAx>
      <c:valAx>
        <c:axId val="45153280"/>
        <c:scaling>
          <c:orientation val="minMax"/>
        </c:scaling>
        <c:delete val="0"/>
        <c:axPos val="l"/>
        <c:majorGridlines/>
        <c:numFmt formatCode="General" sourceLinked="1"/>
        <c:majorTickMark val="out"/>
        <c:minorTickMark val="none"/>
        <c:tickLblPos val="nextTo"/>
        <c:crossAx val="4515174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7094250937083237E-2"/>
          <c:y val="4.2937504891304185E-2"/>
          <c:w val="0.70227370339038198"/>
          <c:h val="0.78905194420396063"/>
        </c:manualLayout>
      </c:layout>
      <c:lineChart>
        <c:grouping val="standard"/>
        <c:varyColors val="0"/>
        <c:ser>
          <c:idx val="1"/>
          <c:order val="0"/>
          <c:tx>
            <c:strRef>
              <c:f>'Programme Board Report (4)'!$S$23</c:f>
              <c:strCache>
                <c:ptCount val="1"/>
                <c:pt idx="0">
                  <c:v>NON-REC</c:v>
                </c:pt>
              </c:strCache>
            </c:strRef>
          </c:tx>
          <c:marker>
            <c:symbol val="none"/>
          </c:marker>
          <c:cat>
            <c:numRef>
              <c:f>'Programme Board Report (4)'!$T$21:$AE$21</c:f>
              <c:numCache>
                <c:formatCode>mmm\-yy</c:formatCode>
                <c:ptCount val="12"/>
                <c:pt idx="0">
                  <c:v>42461</c:v>
                </c:pt>
                <c:pt idx="1">
                  <c:v>42491</c:v>
                </c:pt>
                <c:pt idx="2">
                  <c:v>42522</c:v>
                </c:pt>
                <c:pt idx="3">
                  <c:v>42552</c:v>
                </c:pt>
                <c:pt idx="4">
                  <c:v>42583</c:v>
                </c:pt>
                <c:pt idx="5">
                  <c:v>42614</c:v>
                </c:pt>
                <c:pt idx="6">
                  <c:v>42644</c:v>
                </c:pt>
                <c:pt idx="7">
                  <c:v>42675</c:v>
                </c:pt>
                <c:pt idx="8">
                  <c:v>42705</c:v>
                </c:pt>
                <c:pt idx="9">
                  <c:v>42736</c:v>
                </c:pt>
                <c:pt idx="10">
                  <c:v>42767</c:v>
                </c:pt>
                <c:pt idx="11">
                  <c:v>42795</c:v>
                </c:pt>
              </c:numCache>
            </c:numRef>
          </c:cat>
          <c:val>
            <c:numRef>
              <c:f>'Programme Board Report (4)'!$T$23:$AE$23</c:f>
              <c:numCache>
                <c:formatCode>0</c:formatCode>
                <c:ptCount val="12"/>
                <c:pt idx="0">
                  <c:v>26.5</c:v>
                </c:pt>
                <c:pt idx="1">
                  <c:v>31.5</c:v>
                </c:pt>
                <c:pt idx="2">
                  <c:v>28</c:v>
                </c:pt>
                <c:pt idx="3">
                  <c:v>50.5</c:v>
                </c:pt>
                <c:pt idx="4">
                  <c:v>63.5</c:v>
                </c:pt>
                <c:pt idx="5">
                  <c:v>56.5</c:v>
                </c:pt>
                <c:pt idx="6">
                  <c:v>51.5</c:v>
                </c:pt>
                <c:pt idx="7">
                  <c:v>56</c:v>
                </c:pt>
                <c:pt idx="8">
                  <c:v>43</c:v>
                </c:pt>
                <c:pt idx="9">
                  <c:v>40</c:v>
                </c:pt>
                <c:pt idx="10">
                  <c:v>29</c:v>
                </c:pt>
                <c:pt idx="11">
                  <c:v>20</c:v>
                </c:pt>
              </c:numCache>
            </c:numRef>
          </c:val>
          <c:smooth val="0"/>
        </c:ser>
        <c:ser>
          <c:idx val="2"/>
          <c:order val="1"/>
          <c:tx>
            <c:strRef>
              <c:f>'Programme Board Report (4)'!$S$24</c:f>
              <c:strCache>
                <c:ptCount val="1"/>
                <c:pt idx="0">
                  <c:v>REC - PR Studies</c:v>
                </c:pt>
              </c:strCache>
            </c:strRef>
          </c:tx>
          <c:marker>
            <c:symbol val="none"/>
          </c:marker>
          <c:cat>
            <c:numRef>
              <c:f>'Programme Board Report (4)'!$T$21:$AE$21</c:f>
              <c:numCache>
                <c:formatCode>mmm\-yy</c:formatCode>
                <c:ptCount val="12"/>
                <c:pt idx="0">
                  <c:v>42461</c:v>
                </c:pt>
                <c:pt idx="1">
                  <c:v>42491</c:v>
                </c:pt>
                <c:pt idx="2">
                  <c:v>42522</c:v>
                </c:pt>
                <c:pt idx="3">
                  <c:v>42552</c:v>
                </c:pt>
                <c:pt idx="4">
                  <c:v>42583</c:v>
                </c:pt>
                <c:pt idx="5">
                  <c:v>42614</c:v>
                </c:pt>
                <c:pt idx="6">
                  <c:v>42644</c:v>
                </c:pt>
                <c:pt idx="7">
                  <c:v>42675</c:v>
                </c:pt>
                <c:pt idx="8">
                  <c:v>42705</c:v>
                </c:pt>
                <c:pt idx="9">
                  <c:v>42736</c:v>
                </c:pt>
                <c:pt idx="10">
                  <c:v>42767</c:v>
                </c:pt>
                <c:pt idx="11">
                  <c:v>42795</c:v>
                </c:pt>
              </c:numCache>
            </c:numRef>
          </c:cat>
          <c:val>
            <c:numRef>
              <c:f>'Programme Board Report (4)'!$T$24:$AE$24</c:f>
              <c:numCache>
                <c:formatCode>0</c:formatCode>
                <c:ptCount val="12"/>
                <c:pt idx="0">
                  <c:v>15.5</c:v>
                </c:pt>
                <c:pt idx="1">
                  <c:v>18.5</c:v>
                </c:pt>
                <c:pt idx="2">
                  <c:v>28</c:v>
                </c:pt>
                <c:pt idx="3">
                  <c:v>38</c:v>
                </c:pt>
                <c:pt idx="4">
                  <c:v>35</c:v>
                </c:pt>
                <c:pt idx="5">
                  <c:v>44</c:v>
                </c:pt>
                <c:pt idx="6">
                  <c:v>42</c:v>
                </c:pt>
                <c:pt idx="7">
                  <c:v>53</c:v>
                </c:pt>
                <c:pt idx="8">
                  <c:v>41</c:v>
                </c:pt>
                <c:pt idx="9">
                  <c:v>33</c:v>
                </c:pt>
                <c:pt idx="10">
                  <c:v>18.5</c:v>
                </c:pt>
                <c:pt idx="11">
                  <c:v>11</c:v>
                </c:pt>
              </c:numCache>
            </c:numRef>
          </c:val>
          <c:smooth val="0"/>
        </c:ser>
        <c:ser>
          <c:idx val="3"/>
          <c:order val="2"/>
          <c:tx>
            <c:strRef>
              <c:f>'Programme Board Report (4)'!$S$25</c:f>
              <c:strCache>
                <c:ptCount val="1"/>
                <c:pt idx="0">
                  <c:v>REC Study, Commercial Sponsor</c:v>
                </c:pt>
              </c:strCache>
            </c:strRef>
          </c:tx>
          <c:marker>
            <c:symbol val="none"/>
          </c:marker>
          <c:cat>
            <c:numRef>
              <c:f>'Programme Board Report (4)'!$T$21:$AE$21</c:f>
              <c:numCache>
                <c:formatCode>mmm\-yy</c:formatCode>
                <c:ptCount val="12"/>
                <c:pt idx="0">
                  <c:v>42461</c:v>
                </c:pt>
                <c:pt idx="1">
                  <c:v>42491</c:v>
                </c:pt>
                <c:pt idx="2">
                  <c:v>42522</c:v>
                </c:pt>
                <c:pt idx="3">
                  <c:v>42552</c:v>
                </c:pt>
                <c:pt idx="4">
                  <c:v>42583</c:v>
                </c:pt>
                <c:pt idx="5">
                  <c:v>42614</c:v>
                </c:pt>
                <c:pt idx="6">
                  <c:v>42644</c:v>
                </c:pt>
                <c:pt idx="7">
                  <c:v>42675</c:v>
                </c:pt>
                <c:pt idx="8">
                  <c:v>42705</c:v>
                </c:pt>
                <c:pt idx="9">
                  <c:v>42736</c:v>
                </c:pt>
                <c:pt idx="10">
                  <c:v>42767</c:v>
                </c:pt>
                <c:pt idx="11">
                  <c:v>42795</c:v>
                </c:pt>
              </c:numCache>
            </c:numRef>
          </c:cat>
          <c:val>
            <c:numRef>
              <c:f>'Programme Board Report (4)'!$T$25:$AE$25</c:f>
              <c:numCache>
                <c:formatCode>0</c:formatCode>
                <c:ptCount val="12"/>
                <c:pt idx="0">
                  <c:v>10</c:v>
                </c:pt>
                <c:pt idx="1">
                  <c:v>13</c:v>
                </c:pt>
                <c:pt idx="2">
                  <c:v>8</c:v>
                </c:pt>
                <c:pt idx="3">
                  <c:v>12</c:v>
                </c:pt>
                <c:pt idx="4">
                  <c:v>18</c:v>
                </c:pt>
                <c:pt idx="5">
                  <c:v>12</c:v>
                </c:pt>
                <c:pt idx="6">
                  <c:v>20.5</c:v>
                </c:pt>
                <c:pt idx="7">
                  <c:v>17.5</c:v>
                </c:pt>
                <c:pt idx="8">
                  <c:v>18</c:v>
                </c:pt>
                <c:pt idx="9">
                  <c:v>26.5</c:v>
                </c:pt>
                <c:pt idx="10">
                  <c:v>17.5</c:v>
                </c:pt>
                <c:pt idx="11">
                  <c:v>8</c:v>
                </c:pt>
              </c:numCache>
            </c:numRef>
          </c:val>
          <c:smooth val="0"/>
        </c:ser>
        <c:ser>
          <c:idx val="4"/>
          <c:order val="3"/>
          <c:tx>
            <c:strRef>
              <c:f>'Programme Board Report (4)'!$S$26</c:f>
              <c:strCache>
                <c:ptCount val="1"/>
                <c:pt idx="0">
                  <c:v>REC Study, Non-Commercial Sponsor</c:v>
                </c:pt>
              </c:strCache>
            </c:strRef>
          </c:tx>
          <c:marker>
            <c:symbol val="none"/>
          </c:marker>
          <c:cat>
            <c:numRef>
              <c:f>'Programme Board Report (4)'!$T$21:$AE$21</c:f>
              <c:numCache>
                <c:formatCode>mmm\-yy</c:formatCode>
                <c:ptCount val="12"/>
                <c:pt idx="0">
                  <c:v>42461</c:v>
                </c:pt>
                <c:pt idx="1">
                  <c:v>42491</c:v>
                </c:pt>
                <c:pt idx="2">
                  <c:v>42522</c:v>
                </c:pt>
                <c:pt idx="3">
                  <c:v>42552</c:v>
                </c:pt>
                <c:pt idx="4">
                  <c:v>42583</c:v>
                </c:pt>
                <c:pt idx="5">
                  <c:v>42614</c:v>
                </c:pt>
                <c:pt idx="6">
                  <c:v>42644</c:v>
                </c:pt>
                <c:pt idx="7">
                  <c:v>42675</c:v>
                </c:pt>
                <c:pt idx="8">
                  <c:v>42705</c:v>
                </c:pt>
                <c:pt idx="9">
                  <c:v>42736</c:v>
                </c:pt>
                <c:pt idx="10">
                  <c:v>42767</c:v>
                </c:pt>
                <c:pt idx="11">
                  <c:v>42795</c:v>
                </c:pt>
              </c:numCache>
            </c:numRef>
          </c:cat>
          <c:val>
            <c:numRef>
              <c:f>'Programme Board Report (4)'!$T$26:$AE$26</c:f>
              <c:numCache>
                <c:formatCode>0</c:formatCode>
                <c:ptCount val="12"/>
                <c:pt idx="0">
                  <c:v>8</c:v>
                </c:pt>
                <c:pt idx="1">
                  <c:v>9</c:v>
                </c:pt>
                <c:pt idx="2">
                  <c:v>16</c:v>
                </c:pt>
                <c:pt idx="3">
                  <c:v>23</c:v>
                </c:pt>
                <c:pt idx="4">
                  <c:v>29</c:v>
                </c:pt>
                <c:pt idx="5">
                  <c:v>29</c:v>
                </c:pt>
                <c:pt idx="6">
                  <c:v>36</c:v>
                </c:pt>
                <c:pt idx="7">
                  <c:v>35</c:v>
                </c:pt>
                <c:pt idx="8">
                  <c:v>33</c:v>
                </c:pt>
                <c:pt idx="9">
                  <c:v>37.5</c:v>
                </c:pt>
                <c:pt idx="10">
                  <c:v>24</c:v>
                </c:pt>
                <c:pt idx="11">
                  <c:v>12</c:v>
                </c:pt>
              </c:numCache>
            </c:numRef>
          </c:val>
          <c:smooth val="0"/>
        </c:ser>
        <c:dLbls>
          <c:showLegendKey val="0"/>
          <c:showVal val="0"/>
          <c:showCatName val="0"/>
          <c:showSerName val="0"/>
          <c:showPercent val="0"/>
          <c:showBubbleSize val="0"/>
        </c:dLbls>
        <c:marker val="1"/>
        <c:smooth val="0"/>
        <c:axId val="45511808"/>
        <c:axId val="45513344"/>
      </c:lineChart>
      <c:dateAx>
        <c:axId val="45511808"/>
        <c:scaling>
          <c:orientation val="minMax"/>
        </c:scaling>
        <c:delete val="0"/>
        <c:axPos val="b"/>
        <c:numFmt formatCode="mmm\-yy" sourceLinked="1"/>
        <c:majorTickMark val="out"/>
        <c:minorTickMark val="none"/>
        <c:tickLblPos val="nextTo"/>
        <c:crossAx val="45513344"/>
        <c:crosses val="autoZero"/>
        <c:auto val="1"/>
        <c:lblOffset val="100"/>
        <c:baseTimeUnit val="months"/>
      </c:dateAx>
      <c:valAx>
        <c:axId val="45513344"/>
        <c:scaling>
          <c:orientation val="minMax"/>
        </c:scaling>
        <c:delete val="0"/>
        <c:axPos val="l"/>
        <c:majorGridlines/>
        <c:numFmt formatCode="#,##0" sourceLinked="0"/>
        <c:majorTickMark val="out"/>
        <c:minorTickMark val="none"/>
        <c:tickLblPos val="nextTo"/>
        <c:crossAx val="45511808"/>
        <c:crosses val="autoZero"/>
        <c:crossBetween val="between"/>
      </c:valAx>
    </c:plotArea>
    <c:legend>
      <c:legendPos val="r"/>
      <c:layout>
        <c:manualLayout>
          <c:xMode val="edge"/>
          <c:yMode val="edge"/>
          <c:x val="0.77677898527146916"/>
          <c:y val="0.10316974782034348"/>
          <c:w val="0.21004143149959686"/>
          <c:h val="0.71588625559511909"/>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77210236942702E-2"/>
          <c:y val="0.27453940384479869"/>
          <c:w val="0.96545440085678991"/>
          <c:h val="0.46671546352851323"/>
        </c:manualLayout>
      </c:layout>
      <c:lineChart>
        <c:grouping val="standard"/>
        <c:varyColors val="0"/>
        <c:ser>
          <c:idx val="2"/>
          <c:order val="0"/>
          <c:tx>
            <c:strRef>
              <c:f>'Programme Board Report (7)'!$C$5</c:f>
              <c:strCache>
                <c:ptCount val="1"/>
                <c:pt idx="0">
                  <c:v>Number of Applications Received</c:v>
                </c:pt>
              </c:strCache>
            </c:strRef>
          </c:tx>
          <c:spPr>
            <a:ln w="22225">
              <a:solidFill>
                <a:srgbClr val="0070C0"/>
              </a:solidFill>
            </a:ln>
          </c:spPr>
          <c:marker>
            <c:symbol val="none"/>
          </c:marker>
          <c:dLbls>
            <c:delete val="1"/>
          </c:dLbls>
          <c:cat>
            <c:numRef>
              <c:f>'Programme Board Report (7)'!$D$4:$AA$4</c:f>
              <c:numCache>
                <c:formatCode>mmm\-yy</c:formatCode>
                <c:ptCount val="12"/>
                <c:pt idx="0">
                  <c:v>42461</c:v>
                </c:pt>
                <c:pt idx="1">
                  <c:v>42491</c:v>
                </c:pt>
                <c:pt idx="2">
                  <c:v>42522</c:v>
                </c:pt>
                <c:pt idx="3">
                  <c:v>42552</c:v>
                </c:pt>
                <c:pt idx="4">
                  <c:v>42583</c:v>
                </c:pt>
                <c:pt idx="5">
                  <c:v>42614</c:v>
                </c:pt>
                <c:pt idx="6">
                  <c:v>42644</c:v>
                </c:pt>
                <c:pt idx="7">
                  <c:v>42675</c:v>
                </c:pt>
                <c:pt idx="8">
                  <c:v>42705</c:v>
                </c:pt>
                <c:pt idx="9">
                  <c:v>42736</c:v>
                </c:pt>
                <c:pt idx="10">
                  <c:v>42767</c:v>
                </c:pt>
                <c:pt idx="11">
                  <c:v>42795</c:v>
                </c:pt>
              </c:numCache>
            </c:numRef>
          </c:cat>
          <c:val>
            <c:numRef>
              <c:f>'Programme Board Report (7)'!$D$5:$AA$5</c:f>
              <c:numCache>
                <c:formatCode>General</c:formatCode>
                <c:ptCount val="12"/>
                <c:pt idx="0">
                  <c:v>452</c:v>
                </c:pt>
                <c:pt idx="1">
                  <c:v>436</c:v>
                </c:pt>
                <c:pt idx="2">
                  <c:v>522</c:v>
                </c:pt>
                <c:pt idx="3">
                  <c:v>463</c:v>
                </c:pt>
                <c:pt idx="4">
                  <c:v>500</c:v>
                </c:pt>
                <c:pt idx="5">
                  <c:v>468</c:v>
                </c:pt>
                <c:pt idx="6">
                  <c:v>396</c:v>
                </c:pt>
                <c:pt idx="7">
                  <c:v>480</c:v>
                </c:pt>
                <c:pt idx="8">
                  <c:v>378</c:v>
                </c:pt>
                <c:pt idx="9">
                  <c:v>475</c:v>
                </c:pt>
                <c:pt idx="10">
                  <c:v>462</c:v>
                </c:pt>
                <c:pt idx="11">
                  <c:v>562</c:v>
                </c:pt>
              </c:numCache>
            </c:numRef>
          </c:val>
          <c:smooth val="0"/>
        </c:ser>
        <c:ser>
          <c:idx val="3"/>
          <c:order val="1"/>
          <c:tx>
            <c:strRef>
              <c:f>'Programme Board Report (7)'!$C$6</c:f>
              <c:strCache>
                <c:ptCount val="1"/>
                <c:pt idx="0">
                  <c:v>Number Applications Approved</c:v>
                </c:pt>
              </c:strCache>
            </c:strRef>
          </c:tx>
          <c:spPr>
            <a:ln w="22225">
              <a:solidFill>
                <a:srgbClr val="00B050"/>
              </a:solidFill>
            </a:ln>
          </c:spPr>
          <c:marker>
            <c:symbol val="none"/>
          </c:marker>
          <c:dLbls>
            <c:delete val="1"/>
          </c:dLbls>
          <c:cat>
            <c:numRef>
              <c:f>'Programme Board Report (7)'!$D$4:$AA$4</c:f>
              <c:numCache>
                <c:formatCode>mmm\-yy</c:formatCode>
                <c:ptCount val="12"/>
                <c:pt idx="0">
                  <c:v>42461</c:v>
                </c:pt>
                <c:pt idx="1">
                  <c:v>42491</c:v>
                </c:pt>
                <c:pt idx="2">
                  <c:v>42522</c:v>
                </c:pt>
                <c:pt idx="3">
                  <c:v>42552</c:v>
                </c:pt>
                <c:pt idx="4">
                  <c:v>42583</c:v>
                </c:pt>
                <c:pt idx="5">
                  <c:v>42614</c:v>
                </c:pt>
                <c:pt idx="6">
                  <c:v>42644</c:v>
                </c:pt>
                <c:pt idx="7">
                  <c:v>42675</c:v>
                </c:pt>
                <c:pt idx="8">
                  <c:v>42705</c:v>
                </c:pt>
                <c:pt idx="9">
                  <c:v>42736</c:v>
                </c:pt>
                <c:pt idx="10">
                  <c:v>42767</c:v>
                </c:pt>
                <c:pt idx="11">
                  <c:v>42795</c:v>
                </c:pt>
              </c:numCache>
            </c:numRef>
          </c:cat>
          <c:val>
            <c:numRef>
              <c:f>'Programme Board Report (7)'!$D$6:$AA$6</c:f>
              <c:numCache>
                <c:formatCode>General</c:formatCode>
                <c:ptCount val="12"/>
                <c:pt idx="0">
                  <c:v>44</c:v>
                </c:pt>
                <c:pt idx="1">
                  <c:v>84</c:v>
                </c:pt>
                <c:pt idx="2">
                  <c:v>176</c:v>
                </c:pt>
                <c:pt idx="3">
                  <c:v>229</c:v>
                </c:pt>
                <c:pt idx="4">
                  <c:v>326</c:v>
                </c:pt>
                <c:pt idx="5">
                  <c:v>367</c:v>
                </c:pt>
                <c:pt idx="6">
                  <c:v>387</c:v>
                </c:pt>
                <c:pt idx="7">
                  <c:v>413</c:v>
                </c:pt>
                <c:pt idx="8">
                  <c:v>347</c:v>
                </c:pt>
                <c:pt idx="9">
                  <c:v>439</c:v>
                </c:pt>
                <c:pt idx="10">
                  <c:v>402</c:v>
                </c:pt>
                <c:pt idx="11">
                  <c:v>359</c:v>
                </c:pt>
              </c:numCache>
            </c:numRef>
          </c:val>
          <c:smooth val="0"/>
        </c:ser>
        <c:ser>
          <c:idx val="1"/>
          <c:order val="2"/>
          <c:tx>
            <c:strRef>
              <c:f>'Programme Board Report (7)'!$C$8</c:f>
              <c:strCache>
                <c:ptCount val="1"/>
                <c:pt idx="0">
                  <c:v>Number of applications completed(no date)</c:v>
                </c:pt>
              </c:strCache>
            </c:strRef>
          </c:tx>
          <c:cat>
            <c:numRef>
              <c:f>'Programme Board Report (7)'!$D$4:$AA$4</c:f>
              <c:numCache>
                <c:formatCode>mmm\-yy</c:formatCode>
                <c:ptCount val="12"/>
                <c:pt idx="0">
                  <c:v>42461</c:v>
                </c:pt>
                <c:pt idx="1">
                  <c:v>42491</c:v>
                </c:pt>
                <c:pt idx="2">
                  <c:v>42522</c:v>
                </c:pt>
                <c:pt idx="3">
                  <c:v>42552</c:v>
                </c:pt>
                <c:pt idx="4">
                  <c:v>42583</c:v>
                </c:pt>
                <c:pt idx="5">
                  <c:v>42614</c:v>
                </c:pt>
                <c:pt idx="6">
                  <c:v>42644</c:v>
                </c:pt>
                <c:pt idx="7">
                  <c:v>42675</c:v>
                </c:pt>
                <c:pt idx="8">
                  <c:v>42705</c:v>
                </c:pt>
                <c:pt idx="9">
                  <c:v>42736</c:v>
                </c:pt>
                <c:pt idx="10">
                  <c:v>42767</c:v>
                </c:pt>
                <c:pt idx="11">
                  <c:v>42795</c:v>
                </c:pt>
              </c:numCache>
            </c:numRef>
          </c:cat>
          <c:val>
            <c:numRef>
              <c:f>'Programme Board Report (7)'!$D$8:$W$8</c:f>
            </c:numRef>
          </c:val>
          <c:smooth val="0"/>
        </c:ser>
        <c:ser>
          <c:idx val="4"/>
          <c:order val="3"/>
          <c:tx>
            <c:strRef>
              <c:f>'Programme Board Report (7)'!$C$9</c:f>
              <c:strCache>
                <c:ptCount val="1"/>
                <c:pt idx="0">
                  <c:v>Number Open at End of Month</c:v>
                </c:pt>
              </c:strCache>
            </c:strRef>
          </c:tx>
          <c:spPr>
            <a:ln w="22225">
              <a:solidFill>
                <a:srgbClr val="FF0000"/>
              </a:solidFill>
            </a:ln>
          </c:spPr>
          <c:dLbls>
            <c:delete val="1"/>
          </c:dLbls>
          <c:cat>
            <c:numRef>
              <c:f>'Programme Board Report (7)'!$D$4:$AA$4</c:f>
              <c:numCache>
                <c:formatCode>mmm\-yy</c:formatCode>
                <c:ptCount val="12"/>
                <c:pt idx="0">
                  <c:v>42461</c:v>
                </c:pt>
                <c:pt idx="1">
                  <c:v>42491</c:v>
                </c:pt>
                <c:pt idx="2">
                  <c:v>42522</c:v>
                </c:pt>
                <c:pt idx="3">
                  <c:v>42552</c:v>
                </c:pt>
                <c:pt idx="4">
                  <c:v>42583</c:v>
                </c:pt>
                <c:pt idx="5">
                  <c:v>42614</c:v>
                </c:pt>
                <c:pt idx="6">
                  <c:v>42644</c:v>
                </c:pt>
                <c:pt idx="7">
                  <c:v>42675</c:v>
                </c:pt>
                <c:pt idx="8">
                  <c:v>42705</c:v>
                </c:pt>
                <c:pt idx="9">
                  <c:v>42736</c:v>
                </c:pt>
                <c:pt idx="10">
                  <c:v>42767</c:v>
                </c:pt>
                <c:pt idx="11">
                  <c:v>42795</c:v>
                </c:pt>
              </c:numCache>
            </c:numRef>
          </c:cat>
          <c:val>
            <c:numRef>
              <c:f>'Programme Board Report (7)'!$D$9:$AA$9</c:f>
              <c:numCache>
                <c:formatCode>General</c:formatCode>
                <c:ptCount val="12"/>
                <c:pt idx="0">
                  <c:v>595</c:v>
                </c:pt>
                <c:pt idx="1">
                  <c:v>884</c:v>
                </c:pt>
                <c:pt idx="2">
                  <c:v>1137</c:v>
                </c:pt>
                <c:pt idx="3">
                  <c:v>1298</c:v>
                </c:pt>
                <c:pt idx="4">
                  <c:v>1381</c:v>
                </c:pt>
                <c:pt idx="5">
                  <c:v>1385</c:v>
                </c:pt>
                <c:pt idx="6">
                  <c:v>1313</c:v>
                </c:pt>
                <c:pt idx="7">
                  <c:v>1282</c:v>
                </c:pt>
                <c:pt idx="8">
                  <c:v>1239</c:v>
                </c:pt>
                <c:pt idx="9">
                  <c:v>1170</c:v>
                </c:pt>
                <c:pt idx="10">
                  <c:v>1143</c:v>
                </c:pt>
                <c:pt idx="11">
                  <c:v>1255</c:v>
                </c:pt>
              </c:numCache>
            </c:numRef>
          </c:val>
          <c:smooth val="0"/>
        </c:ser>
        <c:ser>
          <c:idx val="5"/>
          <c:order val="4"/>
          <c:tx>
            <c:strRef>
              <c:f>'Programme Board Report (7)'!$C$10</c:f>
              <c:strCache>
                <c:ptCount val="1"/>
                <c:pt idx="0">
                  <c:v>Number of Applications Closed</c:v>
                </c:pt>
              </c:strCache>
            </c:strRef>
          </c:tx>
          <c:spPr>
            <a:ln w="22225" cap="sq">
              <a:prstDash val="sysDash"/>
            </a:ln>
          </c:spPr>
          <c:marker>
            <c:symbol val="none"/>
          </c:marker>
          <c:dLbls>
            <c:delete val="1"/>
          </c:dLbls>
          <c:cat>
            <c:numRef>
              <c:f>'Programme Board Report (7)'!$D$4:$AA$4</c:f>
              <c:numCache>
                <c:formatCode>mmm\-yy</c:formatCode>
                <c:ptCount val="12"/>
                <c:pt idx="0">
                  <c:v>42461</c:v>
                </c:pt>
                <c:pt idx="1">
                  <c:v>42491</c:v>
                </c:pt>
                <c:pt idx="2">
                  <c:v>42522</c:v>
                </c:pt>
                <c:pt idx="3">
                  <c:v>42552</c:v>
                </c:pt>
                <c:pt idx="4">
                  <c:v>42583</c:v>
                </c:pt>
                <c:pt idx="5">
                  <c:v>42614</c:v>
                </c:pt>
                <c:pt idx="6">
                  <c:v>42644</c:v>
                </c:pt>
                <c:pt idx="7">
                  <c:v>42675</c:v>
                </c:pt>
                <c:pt idx="8">
                  <c:v>42705</c:v>
                </c:pt>
                <c:pt idx="9">
                  <c:v>42736</c:v>
                </c:pt>
                <c:pt idx="10">
                  <c:v>42767</c:v>
                </c:pt>
                <c:pt idx="11">
                  <c:v>42795</c:v>
                </c:pt>
              </c:numCache>
            </c:numRef>
          </c:cat>
          <c:val>
            <c:numRef>
              <c:f>'Programme Board Report (7)'!$D$10:$AA$10</c:f>
              <c:numCache>
                <c:formatCode>General</c:formatCode>
                <c:ptCount val="12"/>
                <c:pt idx="0">
                  <c:v>86</c:v>
                </c:pt>
                <c:pt idx="1">
                  <c:v>147</c:v>
                </c:pt>
                <c:pt idx="2">
                  <c:v>269</c:v>
                </c:pt>
                <c:pt idx="3">
                  <c:v>302</c:v>
                </c:pt>
                <c:pt idx="4">
                  <c:v>417</c:v>
                </c:pt>
                <c:pt idx="5">
                  <c:v>464</c:v>
                </c:pt>
                <c:pt idx="6">
                  <c:v>468</c:v>
                </c:pt>
                <c:pt idx="7">
                  <c:v>511</c:v>
                </c:pt>
                <c:pt idx="8">
                  <c:v>421</c:v>
                </c:pt>
                <c:pt idx="9">
                  <c:v>544</c:v>
                </c:pt>
                <c:pt idx="10">
                  <c:v>489</c:v>
                </c:pt>
                <c:pt idx="11">
                  <c:v>450</c:v>
                </c:pt>
              </c:numCache>
            </c:numRef>
          </c:val>
          <c:smooth val="0"/>
        </c:ser>
        <c:ser>
          <c:idx val="0"/>
          <c:order val="5"/>
          <c:tx>
            <c:strRef>
              <c:f>'Programme Board Report (7)'!$C$11</c:f>
              <c:strCache>
                <c:ptCount val="1"/>
                <c:pt idx="0">
                  <c:v>Expected Caseload</c:v>
                </c:pt>
              </c:strCache>
            </c:strRef>
          </c:tx>
          <c:spPr>
            <a:ln w="165100">
              <a:solidFill>
                <a:schemeClr val="bg1">
                  <a:lumMod val="75000"/>
                  <a:alpha val="51000"/>
                </a:schemeClr>
              </a:solidFill>
              <a:tailEnd type="none"/>
            </a:ln>
          </c:spPr>
          <c:marker>
            <c:symbol val="none"/>
          </c:marker>
          <c:dLbls>
            <c:delete val="1"/>
          </c:dLbls>
          <c:cat>
            <c:numRef>
              <c:f>'Programme Board Report (7)'!$D$4:$AA$4</c:f>
              <c:numCache>
                <c:formatCode>mmm\-yy</c:formatCode>
                <c:ptCount val="12"/>
                <c:pt idx="0">
                  <c:v>42461</c:v>
                </c:pt>
                <c:pt idx="1">
                  <c:v>42491</c:v>
                </c:pt>
                <c:pt idx="2">
                  <c:v>42522</c:v>
                </c:pt>
                <c:pt idx="3">
                  <c:v>42552</c:v>
                </c:pt>
                <c:pt idx="4">
                  <c:v>42583</c:v>
                </c:pt>
                <c:pt idx="5">
                  <c:v>42614</c:v>
                </c:pt>
                <c:pt idx="6">
                  <c:v>42644</c:v>
                </c:pt>
                <c:pt idx="7">
                  <c:v>42675</c:v>
                </c:pt>
                <c:pt idx="8">
                  <c:v>42705</c:v>
                </c:pt>
                <c:pt idx="9">
                  <c:v>42736</c:v>
                </c:pt>
                <c:pt idx="10">
                  <c:v>42767</c:v>
                </c:pt>
                <c:pt idx="11">
                  <c:v>42795</c:v>
                </c:pt>
              </c:numCache>
            </c:numRef>
          </c:cat>
          <c:val>
            <c:numRef>
              <c:f>'Programme Board Report (7)'!$P$11:$AA$11</c:f>
              <c:numCache>
                <c:formatCode>General</c:formatCode>
                <c:ptCount val="12"/>
                <c:pt idx="8">
                  <c:v>1000</c:v>
                </c:pt>
                <c:pt idx="9">
                  <c:v>1000</c:v>
                </c:pt>
                <c:pt idx="10">
                  <c:v>1000</c:v>
                </c:pt>
                <c:pt idx="11">
                  <c:v>1000</c:v>
                </c:pt>
              </c:numCache>
            </c:numRef>
          </c:val>
          <c:smooth val="0"/>
        </c:ser>
        <c:dLbls>
          <c:showLegendKey val="0"/>
          <c:showVal val="1"/>
          <c:showCatName val="0"/>
          <c:showSerName val="0"/>
          <c:showPercent val="0"/>
          <c:showBubbleSize val="0"/>
        </c:dLbls>
        <c:marker val="1"/>
        <c:smooth val="0"/>
        <c:axId val="45542784"/>
        <c:axId val="45438080"/>
      </c:lineChart>
      <c:dateAx>
        <c:axId val="45542784"/>
        <c:scaling>
          <c:orientation val="minMax"/>
        </c:scaling>
        <c:delete val="0"/>
        <c:axPos val="b"/>
        <c:numFmt formatCode="mmm\-yy" sourceLinked="1"/>
        <c:majorTickMark val="none"/>
        <c:minorTickMark val="none"/>
        <c:tickLblPos val="nextTo"/>
        <c:crossAx val="45438080"/>
        <c:crosses val="autoZero"/>
        <c:auto val="1"/>
        <c:lblOffset val="100"/>
        <c:baseTimeUnit val="months"/>
      </c:dateAx>
      <c:valAx>
        <c:axId val="45438080"/>
        <c:scaling>
          <c:orientation val="minMax"/>
        </c:scaling>
        <c:delete val="0"/>
        <c:axPos val="l"/>
        <c:majorGridlines/>
        <c:numFmt formatCode="General" sourceLinked="1"/>
        <c:majorTickMark val="out"/>
        <c:minorTickMark val="none"/>
        <c:tickLblPos val="nextTo"/>
        <c:crossAx val="45542784"/>
        <c:crosses val="autoZero"/>
        <c:crossBetween val="between"/>
      </c:valAx>
    </c:plotArea>
    <c:legend>
      <c:legendPos val="t"/>
      <c:layout>
        <c:manualLayout>
          <c:xMode val="edge"/>
          <c:yMode val="edge"/>
          <c:x val="5.3293822772396013E-2"/>
          <c:y val="0.13360437908596273"/>
          <c:w val="0.66474390125681859"/>
          <c:h val="0.10643018093972036"/>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GB"/>
              <a:t>Open Studies [Mar 2017]</a:t>
            </a:r>
          </a:p>
        </c:rich>
      </c:tx>
      <c:layout>
        <c:manualLayout>
          <c:xMode val="edge"/>
          <c:yMode val="edge"/>
          <c:x val="0.31355126063787486"/>
          <c:y val="3.4519956850053934E-2"/>
        </c:manualLayout>
      </c:layout>
      <c:overlay val="0"/>
    </c:title>
    <c:autoTitleDeleted val="0"/>
    <c:plotArea>
      <c:layout>
        <c:manualLayout>
          <c:layoutTarget val="inner"/>
          <c:xMode val="edge"/>
          <c:yMode val="edge"/>
          <c:x val="0.32918227074650813"/>
          <c:y val="0.21682939632545931"/>
          <c:w val="0.2284656430725712"/>
          <c:h val="0.67040387139107616"/>
        </c:manualLayout>
      </c:layout>
      <c:doughnutChart>
        <c:varyColors val="1"/>
        <c:ser>
          <c:idx val="0"/>
          <c:order val="0"/>
          <c:dLbls>
            <c:showLegendKey val="0"/>
            <c:showVal val="1"/>
            <c:showCatName val="0"/>
            <c:showSerName val="0"/>
            <c:showPercent val="0"/>
            <c:showBubbleSize val="0"/>
            <c:showLeaderLines val="1"/>
          </c:dLbls>
          <c:cat>
            <c:strRef>
              <c:f>OPEN!$A$5:$A$7</c:f>
              <c:strCache>
                <c:ptCount val="3"/>
                <c:pt idx="0">
                  <c:v>REC FO</c:v>
                </c:pt>
                <c:pt idx="1">
                  <c:v>REC in progress</c:v>
                </c:pt>
                <c:pt idx="2">
                  <c:v>Non REC</c:v>
                </c:pt>
              </c:strCache>
            </c:strRef>
          </c:cat>
          <c:val>
            <c:numRef>
              <c:f>OPEN!$B$5:$B$7</c:f>
              <c:numCache>
                <c:formatCode>General</c:formatCode>
                <c:ptCount val="3"/>
                <c:pt idx="0">
                  <c:v>262</c:v>
                </c:pt>
                <c:pt idx="1">
                  <c:v>610</c:v>
                </c:pt>
                <c:pt idx="2">
                  <c:v>83</c:v>
                </c:pt>
              </c:numCache>
            </c:numRef>
          </c:val>
        </c:ser>
        <c:dLbls>
          <c:showLegendKey val="0"/>
          <c:showVal val="0"/>
          <c:showCatName val="1"/>
          <c:showSerName val="0"/>
          <c:showPercent val="0"/>
          <c:showBubbleSize val="0"/>
          <c:showLeaderLines val="1"/>
        </c:dLbls>
        <c:firstSliceAng val="30"/>
        <c:holeSize val="50"/>
      </c:doughnutChart>
    </c:plotArea>
    <c:legend>
      <c:legendPos val="r"/>
      <c:layout>
        <c:manualLayout>
          <c:xMode val="edge"/>
          <c:yMode val="edge"/>
          <c:x val="0.73755474345611105"/>
          <c:y val="3.1232406628783054E-2"/>
          <c:w val="0.16948398196636905"/>
          <c:h val="0.23408302117575108"/>
        </c:manualLayout>
      </c:layout>
      <c:overlay val="0"/>
      <c:txPr>
        <a:bodyPr/>
        <a:lstStyle/>
        <a:p>
          <a:pPr rtl="0">
            <a:defRPr/>
          </a:pPr>
          <a:endParaRPr lang="en-US"/>
        </a:p>
      </c:txPr>
    </c:legend>
    <c:plotVisOnly val="1"/>
    <c:dispBlanksAs val="gap"/>
    <c:showDLblsOverMax val="0"/>
  </c:chart>
  <c:spPr>
    <a:ln>
      <a:solidFill>
        <a:schemeClr val="accent1"/>
      </a:solid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Distribution of Open applications </a:t>
            </a:r>
          </a:p>
        </c:rich>
      </c:tx>
      <c:layout>
        <c:manualLayout>
          <c:xMode val="edge"/>
          <c:yMode val="edge"/>
          <c:x val="0.18254052546282359"/>
          <c:y val="4.1666636419796552E-2"/>
        </c:manualLayout>
      </c:layout>
      <c:overlay val="0"/>
    </c:title>
    <c:autoTitleDeleted val="0"/>
    <c:plotArea>
      <c:layout/>
      <c:barChart>
        <c:barDir val="col"/>
        <c:grouping val="clustered"/>
        <c:varyColors val="0"/>
        <c:ser>
          <c:idx val="2"/>
          <c:order val="0"/>
          <c:tx>
            <c:strRef>
              <c:f>OPEN!$F$35</c:f>
              <c:strCache>
                <c:ptCount val="1"/>
                <c:pt idx="0">
                  <c:v>Feb</c:v>
                </c:pt>
              </c:strCache>
            </c:strRef>
          </c:tx>
          <c:invertIfNegative val="0"/>
          <c:cat>
            <c:strRef>
              <c:f>OPEN!$C$36:$C$44</c:f>
              <c:strCache>
                <c:ptCount val="9"/>
                <c:pt idx="0">
                  <c:v>0-40</c:v>
                </c:pt>
                <c:pt idx="1">
                  <c:v>41-80</c:v>
                </c:pt>
                <c:pt idx="2">
                  <c:v>81-120</c:v>
                </c:pt>
                <c:pt idx="3">
                  <c:v>121-160</c:v>
                </c:pt>
                <c:pt idx="4">
                  <c:v>161-200</c:v>
                </c:pt>
                <c:pt idx="5">
                  <c:v>201-240</c:v>
                </c:pt>
                <c:pt idx="6">
                  <c:v>241-280</c:v>
                </c:pt>
                <c:pt idx="7">
                  <c:v>281-320</c:v>
                </c:pt>
                <c:pt idx="8">
                  <c:v>&gt;320</c:v>
                </c:pt>
              </c:strCache>
            </c:strRef>
          </c:cat>
          <c:val>
            <c:numRef>
              <c:f>OPEN!$F$36:$F$44</c:f>
              <c:numCache>
                <c:formatCode>General</c:formatCode>
                <c:ptCount val="9"/>
                <c:pt idx="0">
                  <c:v>498</c:v>
                </c:pt>
                <c:pt idx="1">
                  <c:v>249</c:v>
                </c:pt>
                <c:pt idx="2">
                  <c:v>121</c:v>
                </c:pt>
                <c:pt idx="3">
                  <c:v>71</c:v>
                </c:pt>
                <c:pt idx="4">
                  <c:v>44</c:v>
                </c:pt>
                <c:pt idx="5">
                  <c:v>35</c:v>
                </c:pt>
                <c:pt idx="6">
                  <c:v>22</c:v>
                </c:pt>
                <c:pt idx="7">
                  <c:v>16</c:v>
                </c:pt>
                <c:pt idx="8">
                  <c:v>7</c:v>
                </c:pt>
              </c:numCache>
            </c:numRef>
          </c:val>
        </c:ser>
        <c:ser>
          <c:idx val="3"/>
          <c:order val="1"/>
          <c:tx>
            <c:strRef>
              <c:f>OPEN!$G$35</c:f>
              <c:strCache>
                <c:ptCount val="1"/>
                <c:pt idx="0">
                  <c:v>Mar</c:v>
                </c:pt>
              </c:strCache>
            </c:strRef>
          </c:tx>
          <c:invertIfNegative val="0"/>
          <c:cat>
            <c:strRef>
              <c:f>OPEN!$C$36:$C$44</c:f>
              <c:strCache>
                <c:ptCount val="9"/>
                <c:pt idx="0">
                  <c:v>0-40</c:v>
                </c:pt>
                <c:pt idx="1">
                  <c:v>41-80</c:v>
                </c:pt>
                <c:pt idx="2">
                  <c:v>81-120</c:v>
                </c:pt>
                <c:pt idx="3">
                  <c:v>121-160</c:v>
                </c:pt>
                <c:pt idx="4">
                  <c:v>161-200</c:v>
                </c:pt>
                <c:pt idx="5">
                  <c:v>201-240</c:v>
                </c:pt>
                <c:pt idx="6">
                  <c:v>241-280</c:v>
                </c:pt>
                <c:pt idx="7">
                  <c:v>281-320</c:v>
                </c:pt>
                <c:pt idx="8">
                  <c:v>&gt;320</c:v>
                </c:pt>
              </c:strCache>
            </c:strRef>
          </c:cat>
          <c:val>
            <c:numRef>
              <c:f>OPEN!$G$36:$G$44</c:f>
              <c:numCache>
                <c:formatCode>General</c:formatCode>
                <c:ptCount val="9"/>
                <c:pt idx="0">
                  <c:v>326</c:v>
                </c:pt>
                <c:pt idx="1">
                  <c:v>231</c:v>
                </c:pt>
                <c:pt idx="2">
                  <c:v>90</c:v>
                </c:pt>
                <c:pt idx="3">
                  <c:v>54</c:v>
                </c:pt>
                <c:pt idx="4">
                  <c:v>32</c:v>
                </c:pt>
                <c:pt idx="5">
                  <c:v>30</c:v>
                </c:pt>
                <c:pt idx="6">
                  <c:v>20</c:v>
                </c:pt>
                <c:pt idx="7">
                  <c:v>14</c:v>
                </c:pt>
                <c:pt idx="8">
                  <c:v>13</c:v>
                </c:pt>
              </c:numCache>
            </c:numRef>
          </c:val>
        </c:ser>
        <c:dLbls>
          <c:showLegendKey val="0"/>
          <c:showVal val="0"/>
          <c:showCatName val="0"/>
          <c:showSerName val="0"/>
          <c:showPercent val="0"/>
          <c:showBubbleSize val="0"/>
        </c:dLbls>
        <c:gapWidth val="150"/>
        <c:axId val="45650688"/>
        <c:axId val="45652608"/>
      </c:barChart>
      <c:catAx>
        <c:axId val="45650688"/>
        <c:scaling>
          <c:orientation val="minMax"/>
        </c:scaling>
        <c:delete val="0"/>
        <c:axPos val="b"/>
        <c:title>
          <c:tx>
            <c:rich>
              <a:bodyPr/>
              <a:lstStyle/>
              <a:p>
                <a:pPr>
                  <a:defRPr/>
                </a:pPr>
                <a:r>
                  <a:rPr lang="en-US"/>
                  <a:t>Number of days from valid application submission</a:t>
                </a:r>
              </a:p>
            </c:rich>
          </c:tx>
          <c:layout>
            <c:manualLayout>
              <c:xMode val="edge"/>
              <c:yMode val="edge"/>
              <c:x val="0.37379410906969956"/>
              <c:y val="0.89954531835384721"/>
            </c:manualLayout>
          </c:layout>
          <c:overlay val="0"/>
        </c:title>
        <c:numFmt formatCode="General" sourceLinked="1"/>
        <c:majorTickMark val="out"/>
        <c:minorTickMark val="none"/>
        <c:tickLblPos val="nextTo"/>
        <c:crossAx val="45652608"/>
        <c:crosses val="autoZero"/>
        <c:auto val="1"/>
        <c:lblAlgn val="ctr"/>
        <c:lblOffset val="100"/>
        <c:noMultiLvlLbl val="0"/>
      </c:catAx>
      <c:valAx>
        <c:axId val="45652608"/>
        <c:scaling>
          <c:orientation val="minMax"/>
        </c:scaling>
        <c:delete val="0"/>
        <c:axPos val="l"/>
        <c:majorGridlines/>
        <c:title>
          <c:tx>
            <c:rich>
              <a:bodyPr rot="-5400000" vert="horz"/>
              <a:lstStyle/>
              <a:p>
                <a:pPr>
                  <a:defRPr/>
                </a:pPr>
                <a:r>
                  <a:rPr lang="en-US"/>
                  <a:t>number of open applications</a:t>
                </a:r>
              </a:p>
            </c:rich>
          </c:tx>
          <c:overlay val="0"/>
        </c:title>
        <c:numFmt formatCode="General" sourceLinked="1"/>
        <c:majorTickMark val="out"/>
        <c:minorTickMark val="none"/>
        <c:tickLblPos val="nextTo"/>
        <c:crossAx val="45650688"/>
        <c:crosses val="autoZero"/>
        <c:crossBetween val="between"/>
      </c:valAx>
    </c:plotArea>
    <c:legend>
      <c:legendPos val="r"/>
      <c:overlay val="0"/>
    </c:legend>
    <c:plotVisOnly val="1"/>
    <c:dispBlanksAs val="gap"/>
    <c:showDLblsOverMax val="0"/>
  </c:chart>
  <c:spPr>
    <a:ln>
      <a:solidFill>
        <a:schemeClr val="accent1"/>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'Red Line Graph'!$M$3</c:f>
              <c:strCache>
                <c:ptCount val="1"/>
                <c:pt idx="0">
                  <c:v>Number of Amendments Received</c:v>
                </c:pt>
              </c:strCache>
            </c:strRef>
          </c:tx>
          <c:marker>
            <c:symbol val="none"/>
          </c:marker>
          <c:cat>
            <c:numRef>
              <c:f>'Red Line Graph'!$B$4:$B$15</c:f>
              <c:numCache>
                <c:formatCode>mmm\-yy</c:formatCode>
                <c:ptCount val="12"/>
                <c:pt idx="0">
                  <c:v>42461</c:v>
                </c:pt>
                <c:pt idx="1">
                  <c:v>42491</c:v>
                </c:pt>
                <c:pt idx="2">
                  <c:v>42522</c:v>
                </c:pt>
                <c:pt idx="3">
                  <c:v>42552</c:v>
                </c:pt>
                <c:pt idx="4">
                  <c:v>42583</c:v>
                </c:pt>
                <c:pt idx="5">
                  <c:v>42614</c:v>
                </c:pt>
                <c:pt idx="6">
                  <c:v>42644</c:v>
                </c:pt>
                <c:pt idx="7">
                  <c:v>42675</c:v>
                </c:pt>
                <c:pt idx="8">
                  <c:v>42705</c:v>
                </c:pt>
                <c:pt idx="9">
                  <c:v>42736</c:v>
                </c:pt>
                <c:pt idx="10">
                  <c:v>42767</c:v>
                </c:pt>
                <c:pt idx="11">
                  <c:v>42795</c:v>
                </c:pt>
              </c:numCache>
            </c:numRef>
          </c:cat>
          <c:val>
            <c:numRef>
              <c:f>'Red Line Graph'!$M$4:$M$15</c:f>
              <c:numCache>
                <c:formatCode>General</c:formatCode>
                <c:ptCount val="12"/>
                <c:pt idx="0">
                  <c:v>1059</c:v>
                </c:pt>
                <c:pt idx="1">
                  <c:v>1178</c:v>
                </c:pt>
                <c:pt idx="2">
                  <c:v>1493</c:v>
                </c:pt>
                <c:pt idx="3">
                  <c:v>1280</c:v>
                </c:pt>
                <c:pt idx="4">
                  <c:v>1342</c:v>
                </c:pt>
                <c:pt idx="5">
                  <c:v>1424</c:v>
                </c:pt>
                <c:pt idx="6">
                  <c:v>1012</c:v>
                </c:pt>
                <c:pt idx="7">
                  <c:v>685</c:v>
                </c:pt>
                <c:pt idx="8">
                  <c:v>612</c:v>
                </c:pt>
                <c:pt idx="9">
                  <c:v>553</c:v>
                </c:pt>
                <c:pt idx="10">
                  <c:v>589</c:v>
                </c:pt>
                <c:pt idx="11">
                  <c:v>721</c:v>
                </c:pt>
              </c:numCache>
            </c:numRef>
          </c:val>
          <c:smooth val="0"/>
        </c:ser>
        <c:ser>
          <c:idx val="1"/>
          <c:order val="1"/>
          <c:tx>
            <c:strRef>
              <c:f>'Red Line Graph'!$N$3</c:f>
              <c:strCache>
                <c:ptCount val="1"/>
                <c:pt idx="0">
                  <c:v>Number of Amendments Approved</c:v>
                </c:pt>
              </c:strCache>
            </c:strRef>
          </c:tx>
          <c:spPr>
            <a:ln>
              <a:solidFill>
                <a:srgbClr val="FF0000"/>
              </a:solidFill>
            </a:ln>
          </c:spPr>
          <c:marker>
            <c:symbol val="none"/>
          </c:marker>
          <c:cat>
            <c:numRef>
              <c:f>'Red Line Graph'!$B$4:$B$15</c:f>
              <c:numCache>
                <c:formatCode>mmm\-yy</c:formatCode>
                <c:ptCount val="12"/>
                <c:pt idx="0">
                  <c:v>42461</c:v>
                </c:pt>
                <c:pt idx="1">
                  <c:v>42491</c:v>
                </c:pt>
                <c:pt idx="2">
                  <c:v>42522</c:v>
                </c:pt>
                <c:pt idx="3">
                  <c:v>42552</c:v>
                </c:pt>
                <c:pt idx="4">
                  <c:v>42583</c:v>
                </c:pt>
                <c:pt idx="5">
                  <c:v>42614</c:v>
                </c:pt>
                <c:pt idx="6">
                  <c:v>42644</c:v>
                </c:pt>
                <c:pt idx="7">
                  <c:v>42675</c:v>
                </c:pt>
                <c:pt idx="8">
                  <c:v>42705</c:v>
                </c:pt>
                <c:pt idx="9">
                  <c:v>42736</c:v>
                </c:pt>
                <c:pt idx="10">
                  <c:v>42767</c:v>
                </c:pt>
                <c:pt idx="11">
                  <c:v>42795</c:v>
                </c:pt>
              </c:numCache>
            </c:numRef>
          </c:cat>
          <c:val>
            <c:numRef>
              <c:f>'Red Line Graph'!$N$4:$N$15</c:f>
              <c:numCache>
                <c:formatCode>General</c:formatCode>
                <c:ptCount val="12"/>
                <c:pt idx="0">
                  <c:v>47</c:v>
                </c:pt>
                <c:pt idx="1">
                  <c:v>133</c:v>
                </c:pt>
                <c:pt idx="2">
                  <c:v>313</c:v>
                </c:pt>
                <c:pt idx="3">
                  <c:v>312</c:v>
                </c:pt>
                <c:pt idx="4">
                  <c:v>1976</c:v>
                </c:pt>
                <c:pt idx="5">
                  <c:v>462</c:v>
                </c:pt>
                <c:pt idx="6">
                  <c:v>506</c:v>
                </c:pt>
                <c:pt idx="7">
                  <c:v>510</c:v>
                </c:pt>
                <c:pt idx="8">
                  <c:v>492</c:v>
                </c:pt>
                <c:pt idx="9">
                  <c:v>518</c:v>
                </c:pt>
                <c:pt idx="10">
                  <c:v>561</c:v>
                </c:pt>
                <c:pt idx="11">
                  <c:v>685</c:v>
                </c:pt>
              </c:numCache>
            </c:numRef>
          </c:val>
          <c:smooth val="0"/>
        </c:ser>
        <c:ser>
          <c:idx val="2"/>
          <c:order val="2"/>
          <c:tx>
            <c:strRef>
              <c:f>'Red Line Graph'!$O$3</c:f>
              <c:strCache>
                <c:ptCount val="1"/>
                <c:pt idx="0">
                  <c:v>Number of Amendments Closed</c:v>
                </c:pt>
              </c:strCache>
            </c:strRef>
          </c:tx>
          <c:spPr>
            <a:ln>
              <a:solidFill>
                <a:srgbClr val="FF0000"/>
              </a:solidFill>
              <a:prstDash val="dash"/>
            </a:ln>
          </c:spPr>
          <c:marker>
            <c:spPr>
              <a:noFill/>
              <a:ln>
                <a:solidFill>
                  <a:srgbClr val="FF0000"/>
                </a:solidFill>
              </a:ln>
            </c:spPr>
          </c:marker>
          <c:cat>
            <c:numRef>
              <c:f>'Red Line Graph'!$B$4:$B$15</c:f>
              <c:numCache>
                <c:formatCode>mmm\-yy</c:formatCode>
                <c:ptCount val="12"/>
                <c:pt idx="0">
                  <c:v>42461</c:v>
                </c:pt>
                <c:pt idx="1">
                  <c:v>42491</c:v>
                </c:pt>
                <c:pt idx="2">
                  <c:v>42522</c:v>
                </c:pt>
                <c:pt idx="3">
                  <c:v>42552</c:v>
                </c:pt>
                <c:pt idx="4">
                  <c:v>42583</c:v>
                </c:pt>
                <c:pt idx="5">
                  <c:v>42614</c:v>
                </c:pt>
                <c:pt idx="6">
                  <c:v>42644</c:v>
                </c:pt>
                <c:pt idx="7">
                  <c:v>42675</c:v>
                </c:pt>
                <c:pt idx="8">
                  <c:v>42705</c:v>
                </c:pt>
                <c:pt idx="9">
                  <c:v>42736</c:v>
                </c:pt>
                <c:pt idx="10">
                  <c:v>42767</c:v>
                </c:pt>
                <c:pt idx="11">
                  <c:v>42795</c:v>
                </c:pt>
              </c:numCache>
            </c:numRef>
          </c:cat>
          <c:val>
            <c:numRef>
              <c:f>'Red Line Graph'!$O$4:$O$15</c:f>
              <c:numCache>
                <c:formatCode>General</c:formatCode>
                <c:ptCount val="12"/>
                <c:pt idx="0">
                  <c:v>58</c:v>
                </c:pt>
                <c:pt idx="1">
                  <c:v>148</c:v>
                </c:pt>
                <c:pt idx="2">
                  <c:v>379</c:v>
                </c:pt>
                <c:pt idx="3">
                  <c:v>728</c:v>
                </c:pt>
                <c:pt idx="4">
                  <c:v>2864</c:v>
                </c:pt>
                <c:pt idx="5">
                  <c:v>1031</c:v>
                </c:pt>
                <c:pt idx="6">
                  <c:v>1004</c:v>
                </c:pt>
                <c:pt idx="7">
                  <c:v>518</c:v>
                </c:pt>
                <c:pt idx="8">
                  <c:v>514</c:v>
                </c:pt>
                <c:pt idx="9">
                  <c:v>548</c:v>
                </c:pt>
                <c:pt idx="10">
                  <c:v>599</c:v>
                </c:pt>
                <c:pt idx="11">
                  <c:v>717</c:v>
                </c:pt>
              </c:numCache>
            </c:numRef>
          </c:val>
          <c:smooth val="0"/>
        </c:ser>
        <c:ser>
          <c:idx val="3"/>
          <c:order val="3"/>
          <c:tx>
            <c:strRef>
              <c:f>'Red Line Graph'!$P$3</c:f>
              <c:strCache>
                <c:ptCount val="1"/>
                <c:pt idx="0">
                  <c:v>Number of Amendments Open at End of Month (Total)</c:v>
                </c:pt>
              </c:strCache>
            </c:strRef>
          </c:tx>
          <c:spPr>
            <a:ln>
              <a:solidFill>
                <a:srgbClr val="00B050"/>
              </a:solidFill>
            </a:ln>
          </c:spPr>
          <c:cat>
            <c:numRef>
              <c:f>'Red Line Graph'!$B$4:$B$15</c:f>
              <c:numCache>
                <c:formatCode>mmm\-yy</c:formatCode>
                <c:ptCount val="12"/>
                <c:pt idx="0">
                  <c:v>42461</c:v>
                </c:pt>
                <c:pt idx="1">
                  <c:v>42491</c:v>
                </c:pt>
                <c:pt idx="2">
                  <c:v>42522</c:v>
                </c:pt>
                <c:pt idx="3">
                  <c:v>42552</c:v>
                </c:pt>
                <c:pt idx="4">
                  <c:v>42583</c:v>
                </c:pt>
                <c:pt idx="5">
                  <c:v>42614</c:v>
                </c:pt>
                <c:pt idx="6">
                  <c:v>42644</c:v>
                </c:pt>
                <c:pt idx="7">
                  <c:v>42675</c:v>
                </c:pt>
                <c:pt idx="8">
                  <c:v>42705</c:v>
                </c:pt>
                <c:pt idx="9">
                  <c:v>42736</c:v>
                </c:pt>
                <c:pt idx="10">
                  <c:v>42767</c:v>
                </c:pt>
                <c:pt idx="11">
                  <c:v>42795</c:v>
                </c:pt>
              </c:numCache>
            </c:numRef>
          </c:cat>
          <c:val>
            <c:numRef>
              <c:f>'Red Line Graph'!$P$4:$P$15</c:f>
              <c:numCache>
                <c:formatCode>General</c:formatCode>
                <c:ptCount val="12"/>
                <c:pt idx="0">
                  <c:v>1001</c:v>
                </c:pt>
                <c:pt idx="1">
                  <c:v>2031</c:v>
                </c:pt>
                <c:pt idx="2">
                  <c:v>3145</c:v>
                </c:pt>
                <c:pt idx="3">
                  <c:v>3497</c:v>
                </c:pt>
                <c:pt idx="4">
                  <c:v>1225</c:v>
                </c:pt>
                <c:pt idx="5">
                  <c:v>1118</c:v>
                </c:pt>
                <c:pt idx="6">
                  <c:v>876</c:v>
                </c:pt>
                <c:pt idx="7">
                  <c:v>943</c:v>
                </c:pt>
                <c:pt idx="8">
                  <c:v>691</c:v>
                </c:pt>
                <c:pt idx="9">
                  <c:v>696</c:v>
                </c:pt>
                <c:pt idx="10">
                  <c:v>558</c:v>
                </c:pt>
                <c:pt idx="11">
                  <c:v>507</c:v>
                </c:pt>
              </c:numCache>
            </c:numRef>
          </c:val>
          <c:smooth val="0"/>
        </c:ser>
        <c:ser>
          <c:idx val="4"/>
          <c:order val="4"/>
          <c:tx>
            <c:strRef>
              <c:f>'Red Line Graph'!$Q$3</c:f>
              <c:strCache>
                <c:ptCount val="1"/>
                <c:pt idx="0">
                  <c:v>Number of Amendments Complete Subject to Regulatory Approval</c:v>
                </c:pt>
              </c:strCache>
            </c:strRef>
          </c:tx>
          <c:spPr>
            <a:ln>
              <a:solidFill>
                <a:srgbClr val="FFC000"/>
              </a:solidFill>
            </a:ln>
          </c:spPr>
          <c:marker>
            <c:symbol val="none"/>
          </c:marker>
          <c:cat>
            <c:numRef>
              <c:f>'Red Line Graph'!$B$4:$B$15</c:f>
              <c:numCache>
                <c:formatCode>mmm\-yy</c:formatCode>
                <c:ptCount val="12"/>
                <c:pt idx="0">
                  <c:v>42461</c:v>
                </c:pt>
                <c:pt idx="1">
                  <c:v>42491</c:v>
                </c:pt>
                <c:pt idx="2">
                  <c:v>42522</c:v>
                </c:pt>
                <c:pt idx="3">
                  <c:v>42552</c:v>
                </c:pt>
                <c:pt idx="4">
                  <c:v>42583</c:v>
                </c:pt>
                <c:pt idx="5">
                  <c:v>42614</c:v>
                </c:pt>
                <c:pt idx="6">
                  <c:v>42644</c:v>
                </c:pt>
                <c:pt idx="7">
                  <c:v>42675</c:v>
                </c:pt>
                <c:pt idx="8">
                  <c:v>42705</c:v>
                </c:pt>
                <c:pt idx="9">
                  <c:v>42736</c:v>
                </c:pt>
                <c:pt idx="10">
                  <c:v>42767</c:v>
                </c:pt>
                <c:pt idx="11">
                  <c:v>42795</c:v>
                </c:pt>
              </c:numCache>
            </c:numRef>
          </c:cat>
          <c:val>
            <c:numRef>
              <c:f>'Red Line Graph'!$Q$4:$Q$15</c:f>
              <c:numCache>
                <c:formatCode>General</c:formatCode>
                <c:ptCount val="12"/>
                <c:pt idx="10">
                  <c:v>567</c:v>
                </c:pt>
                <c:pt idx="11">
                  <c:v>764</c:v>
                </c:pt>
              </c:numCache>
            </c:numRef>
          </c:val>
          <c:smooth val="0"/>
        </c:ser>
        <c:dLbls>
          <c:showLegendKey val="0"/>
          <c:showVal val="0"/>
          <c:showCatName val="0"/>
          <c:showSerName val="0"/>
          <c:showPercent val="0"/>
          <c:showBubbleSize val="0"/>
        </c:dLbls>
        <c:marker val="1"/>
        <c:smooth val="0"/>
        <c:axId val="47528192"/>
        <c:axId val="47538176"/>
      </c:lineChart>
      <c:dateAx>
        <c:axId val="47528192"/>
        <c:scaling>
          <c:orientation val="minMax"/>
        </c:scaling>
        <c:delete val="0"/>
        <c:axPos val="b"/>
        <c:numFmt formatCode="mmm\-yy" sourceLinked="1"/>
        <c:majorTickMark val="out"/>
        <c:minorTickMark val="none"/>
        <c:tickLblPos val="nextTo"/>
        <c:crossAx val="47538176"/>
        <c:crosses val="autoZero"/>
        <c:auto val="1"/>
        <c:lblOffset val="100"/>
        <c:baseTimeUnit val="months"/>
      </c:dateAx>
      <c:valAx>
        <c:axId val="47538176"/>
        <c:scaling>
          <c:orientation val="minMax"/>
        </c:scaling>
        <c:delete val="0"/>
        <c:axPos val="l"/>
        <c:majorGridlines/>
        <c:numFmt formatCode="General" sourceLinked="1"/>
        <c:majorTickMark val="out"/>
        <c:minorTickMark val="none"/>
        <c:tickLblPos val="nextTo"/>
        <c:crossAx val="47528192"/>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en-GB"/>
              <a:t>Pre-HRA Applications</a:t>
            </a:r>
          </a:p>
        </c:rich>
      </c:tx>
      <c:overlay val="0"/>
    </c:title>
    <c:autoTitleDeleted val="0"/>
    <c:plotArea>
      <c:layout>
        <c:manualLayout>
          <c:layoutTarget val="inner"/>
          <c:xMode val="edge"/>
          <c:yMode val="edge"/>
          <c:x val="3.4659761489545353E-2"/>
          <c:y val="0.30875609943903698"/>
          <c:w val="0.9530359879511705"/>
          <c:h val="0.59160608817414673"/>
        </c:manualLayout>
      </c:layout>
      <c:lineChart>
        <c:grouping val="standard"/>
        <c:varyColors val="0"/>
        <c:ser>
          <c:idx val="1"/>
          <c:order val="0"/>
          <c:tx>
            <c:strRef>
              <c:f>'Programme board'!$A$5</c:f>
              <c:strCache>
                <c:ptCount val="1"/>
                <c:pt idx="0">
                  <c:v>Number Applications received</c:v>
                </c:pt>
              </c:strCache>
            </c:strRef>
          </c:tx>
          <c:spPr>
            <a:ln w="22225">
              <a:solidFill>
                <a:srgbClr val="0070C0"/>
              </a:solidFill>
            </a:ln>
          </c:spPr>
          <c:marker>
            <c:symbol val="none"/>
          </c:marker>
          <c:cat>
            <c:strRef>
              <c:f>'Programme board'!$B$2:$M$3</c:f>
              <c:strCache>
                <c:ptCount val="12"/>
                <c:pt idx="0">
                  <c:v>Apr-16</c:v>
                </c:pt>
                <c:pt idx="1">
                  <c:v>May-16</c:v>
                </c:pt>
                <c:pt idx="2">
                  <c:v>Jun-16</c:v>
                </c:pt>
                <c:pt idx="3">
                  <c:v>Jul-16</c:v>
                </c:pt>
                <c:pt idx="4">
                  <c:v>Aug-16</c:v>
                </c:pt>
                <c:pt idx="5">
                  <c:v>Sep-16</c:v>
                </c:pt>
                <c:pt idx="6">
                  <c:v>Oct-16</c:v>
                </c:pt>
                <c:pt idx="7">
                  <c:v>Nov-16</c:v>
                </c:pt>
                <c:pt idx="8">
                  <c:v>Dec-16</c:v>
                </c:pt>
                <c:pt idx="9">
                  <c:v>Jan-17</c:v>
                </c:pt>
                <c:pt idx="10">
                  <c:v>Feb-17</c:v>
                </c:pt>
                <c:pt idx="11">
                  <c:v>Mar-17</c:v>
                </c:pt>
              </c:strCache>
            </c:strRef>
          </c:cat>
          <c:val>
            <c:numRef>
              <c:f>'Programme board'!$B$5:$M$5</c:f>
              <c:numCache>
                <c:formatCode>General</c:formatCode>
                <c:ptCount val="12"/>
                <c:pt idx="0">
                  <c:v>521</c:v>
                </c:pt>
                <c:pt idx="1">
                  <c:v>369</c:v>
                </c:pt>
                <c:pt idx="2">
                  <c:v>296</c:v>
                </c:pt>
                <c:pt idx="3">
                  <c:v>154</c:v>
                </c:pt>
                <c:pt idx="4">
                  <c:v>136</c:v>
                </c:pt>
                <c:pt idx="5">
                  <c:v>93</c:v>
                </c:pt>
                <c:pt idx="6">
                  <c:v>100</c:v>
                </c:pt>
                <c:pt idx="7">
                  <c:v>94</c:v>
                </c:pt>
                <c:pt idx="8">
                  <c:v>45</c:v>
                </c:pt>
                <c:pt idx="9">
                  <c:v>62</c:v>
                </c:pt>
                <c:pt idx="10">
                  <c:v>39</c:v>
                </c:pt>
                <c:pt idx="11">
                  <c:v>31</c:v>
                </c:pt>
              </c:numCache>
            </c:numRef>
          </c:val>
          <c:smooth val="0"/>
        </c:ser>
        <c:ser>
          <c:idx val="2"/>
          <c:order val="1"/>
          <c:tx>
            <c:strRef>
              <c:f>'Programme board'!$A$6</c:f>
              <c:strCache>
                <c:ptCount val="1"/>
                <c:pt idx="0">
                  <c:v>Number applications approved</c:v>
                </c:pt>
              </c:strCache>
            </c:strRef>
          </c:tx>
          <c:spPr>
            <a:ln w="25400">
              <a:solidFill>
                <a:srgbClr val="00B050"/>
              </a:solidFill>
            </a:ln>
          </c:spPr>
          <c:marker>
            <c:symbol val="none"/>
          </c:marker>
          <c:cat>
            <c:strRef>
              <c:f>'Programme board'!$B$2:$M$3</c:f>
              <c:strCache>
                <c:ptCount val="12"/>
                <c:pt idx="0">
                  <c:v>Apr-16</c:v>
                </c:pt>
                <c:pt idx="1">
                  <c:v>May-16</c:v>
                </c:pt>
                <c:pt idx="2">
                  <c:v>Jun-16</c:v>
                </c:pt>
                <c:pt idx="3">
                  <c:v>Jul-16</c:v>
                </c:pt>
                <c:pt idx="4">
                  <c:v>Aug-16</c:v>
                </c:pt>
                <c:pt idx="5">
                  <c:v>Sep-16</c:v>
                </c:pt>
                <c:pt idx="6">
                  <c:v>Oct-16</c:v>
                </c:pt>
                <c:pt idx="7">
                  <c:v>Nov-16</c:v>
                </c:pt>
                <c:pt idx="8">
                  <c:v>Dec-16</c:v>
                </c:pt>
                <c:pt idx="9">
                  <c:v>Jan-17</c:v>
                </c:pt>
                <c:pt idx="10">
                  <c:v>Feb-17</c:v>
                </c:pt>
                <c:pt idx="11">
                  <c:v>Mar-17</c:v>
                </c:pt>
              </c:strCache>
            </c:strRef>
          </c:cat>
          <c:val>
            <c:numRef>
              <c:f>'Programme board'!$B$6:$M$6</c:f>
              <c:numCache>
                <c:formatCode>General</c:formatCode>
                <c:ptCount val="12"/>
                <c:pt idx="0">
                  <c:v>60</c:v>
                </c:pt>
                <c:pt idx="1">
                  <c:v>118</c:v>
                </c:pt>
                <c:pt idx="2">
                  <c:v>585</c:v>
                </c:pt>
                <c:pt idx="3">
                  <c:v>265</c:v>
                </c:pt>
                <c:pt idx="4">
                  <c:v>369</c:v>
                </c:pt>
                <c:pt idx="5">
                  <c:v>93</c:v>
                </c:pt>
                <c:pt idx="6">
                  <c:v>106</c:v>
                </c:pt>
                <c:pt idx="7">
                  <c:v>96</c:v>
                </c:pt>
                <c:pt idx="8">
                  <c:v>80</c:v>
                </c:pt>
                <c:pt idx="9">
                  <c:v>69</c:v>
                </c:pt>
                <c:pt idx="10">
                  <c:v>38</c:v>
                </c:pt>
                <c:pt idx="11">
                  <c:v>35</c:v>
                </c:pt>
              </c:numCache>
            </c:numRef>
          </c:val>
          <c:smooth val="0"/>
        </c:ser>
        <c:ser>
          <c:idx val="3"/>
          <c:order val="2"/>
          <c:tx>
            <c:strRef>
              <c:f>'Programme board'!$A$7</c:f>
              <c:strCache>
                <c:ptCount val="1"/>
                <c:pt idx="0">
                  <c:v>Number open at end of month (cumulative)</c:v>
                </c:pt>
              </c:strCache>
            </c:strRef>
          </c:tx>
          <c:spPr>
            <a:ln w="25400">
              <a:solidFill>
                <a:srgbClr val="FF0000"/>
              </a:solidFill>
            </a:ln>
          </c:spPr>
          <c:marker>
            <c:symbol val="none"/>
          </c:marker>
          <c:cat>
            <c:strRef>
              <c:f>'Programme board'!$B$2:$M$3</c:f>
              <c:strCache>
                <c:ptCount val="12"/>
                <c:pt idx="0">
                  <c:v>Apr-16</c:v>
                </c:pt>
                <c:pt idx="1">
                  <c:v>May-16</c:v>
                </c:pt>
                <c:pt idx="2">
                  <c:v>Jun-16</c:v>
                </c:pt>
                <c:pt idx="3">
                  <c:v>Jul-16</c:v>
                </c:pt>
                <c:pt idx="4">
                  <c:v>Aug-16</c:v>
                </c:pt>
                <c:pt idx="5">
                  <c:v>Sep-16</c:v>
                </c:pt>
                <c:pt idx="6">
                  <c:v>Oct-16</c:v>
                </c:pt>
                <c:pt idx="7">
                  <c:v>Nov-16</c:v>
                </c:pt>
                <c:pt idx="8">
                  <c:v>Dec-16</c:v>
                </c:pt>
                <c:pt idx="9">
                  <c:v>Jan-17</c:v>
                </c:pt>
                <c:pt idx="10">
                  <c:v>Feb-17</c:v>
                </c:pt>
                <c:pt idx="11">
                  <c:v>Mar-17</c:v>
                </c:pt>
              </c:strCache>
            </c:strRef>
          </c:cat>
          <c:val>
            <c:numRef>
              <c:f>'Programme board'!$B$7:$M$7</c:f>
              <c:numCache>
                <c:formatCode>General</c:formatCode>
                <c:ptCount val="12"/>
                <c:pt idx="0">
                  <c:v>461</c:v>
                </c:pt>
                <c:pt idx="1">
                  <c:v>712</c:v>
                </c:pt>
                <c:pt idx="2">
                  <c:v>423</c:v>
                </c:pt>
                <c:pt idx="3">
                  <c:v>312</c:v>
                </c:pt>
                <c:pt idx="4">
                  <c:v>79</c:v>
                </c:pt>
                <c:pt idx="5">
                  <c:v>79</c:v>
                </c:pt>
                <c:pt idx="6">
                  <c:v>73</c:v>
                </c:pt>
                <c:pt idx="7">
                  <c:v>71</c:v>
                </c:pt>
                <c:pt idx="8">
                  <c:v>36</c:v>
                </c:pt>
                <c:pt idx="9">
                  <c:v>29</c:v>
                </c:pt>
                <c:pt idx="10">
                  <c:v>30</c:v>
                </c:pt>
                <c:pt idx="11">
                  <c:v>26</c:v>
                </c:pt>
              </c:numCache>
            </c:numRef>
          </c:val>
          <c:smooth val="0"/>
        </c:ser>
        <c:ser>
          <c:idx val="0"/>
          <c:order val="3"/>
          <c:tx>
            <c:strRef>
              <c:f>'Programme board'!$A$8</c:f>
              <c:strCache>
                <c:ptCount val="1"/>
                <c:pt idx="0">
                  <c:v>Submissions received:Requiring assessment</c:v>
                </c:pt>
              </c:strCache>
            </c:strRef>
          </c:tx>
          <c:spPr>
            <a:ln w="25400">
              <a:solidFill>
                <a:schemeClr val="accent6"/>
              </a:solidFill>
              <a:prstDash val="dash"/>
            </a:ln>
          </c:spPr>
          <c:marker>
            <c:symbol val="none"/>
          </c:marker>
          <c:cat>
            <c:strRef>
              <c:f>'Programme board'!$B$2:$M$3</c:f>
              <c:strCache>
                <c:ptCount val="12"/>
                <c:pt idx="0">
                  <c:v>Apr-16</c:v>
                </c:pt>
                <c:pt idx="1">
                  <c:v>May-16</c:v>
                </c:pt>
                <c:pt idx="2">
                  <c:v>Jun-16</c:v>
                </c:pt>
                <c:pt idx="3">
                  <c:v>Jul-16</c:v>
                </c:pt>
                <c:pt idx="4">
                  <c:v>Aug-16</c:v>
                </c:pt>
                <c:pt idx="5">
                  <c:v>Sep-16</c:v>
                </c:pt>
                <c:pt idx="6">
                  <c:v>Oct-16</c:v>
                </c:pt>
                <c:pt idx="7">
                  <c:v>Nov-16</c:v>
                </c:pt>
                <c:pt idx="8">
                  <c:v>Dec-16</c:v>
                </c:pt>
                <c:pt idx="9">
                  <c:v>Jan-17</c:v>
                </c:pt>
                <c:pt idx="10">
                  <c:v>Feb-17</c:v>
                </c:pt>
                <c:pt idx="11">
                  <c:v>Mar-17</c:v>
                </c:pt>
              </c:strCache>
            </c:strRef>
          </c:cat>
          <c:val>
            <c:numRef>
              <c:f>'Programme board'!$B$8:$M$8</c:f>
              <c:numCache>
                <c:formatCode>General</c:formatCode>
                <c:ptCount val="12"/>
                <c:pt idx="0">
                  <c:v>282</c:v>
                </c:pt>
                <c:pt idx="1">
                  <c:v>140</c:v>
                </c:pt>
                <c:pt idx="2">
                  <c:v>68</c:v>
                </c:pt>
                <c:pt idx="3">
                  <c:v>40</c:v>
                </c:pt>
                <c:pt idx="4">
                  <c:v>20</c:v>
                </c:pt>
                <c:pt idx="5">
                  <c:v>18</c:v>
                </c:pt>
                <c:pt idx="6">
                  <c:v>11</c:v>
                </c:pt>
                <c:pt idx="7">
                  <c:v>19</c:v>
                </c:pt>
                <c:pt idx="8">
                  <c:v>4</c:v>
                </c:pt>
                <c:pt idx="9">
                  <c:v>9</c:v>
                </c:pt>
                <c:pt idx="10">
                  <c:v>8</c:v>
                </c:pt>
                <c:pt idx="11">
                  <c:v>6</c:v>
                </c:pt>
              </c:numCache>
            </c:numRef>
          </c:val>
          <c:smooth val="0"/>
        </c:ser>
        <c:dLbls>
          <c:showLegendKey val="0"/>
          <c:showVal val="0"/>
          <c:showCatName val="0"/>
          <c:showSerName val="0"/>
          <c:showPercent val="0"/>
          <c:showBubbleSize val="0"/>
        </c:dLbls>
        <c:marker val="1"/>
        <c:smooth val="0"/>
        <c:axId val="47573248"/>
        <c:axId val="47251456"/>
      </c:lineChart>
      <c:catAx>
        <c:axId val="47573248"/>
        <c:scaling>
          <c:orientation val="minMax"/>
        </c:scaling>
        <c:delete val="0"/>
        <c:axPos val="b"/>
        <c:majorTickMark val="none"/>
        <c:minorTickMark val="none"/>
        <c:tickLblPos val="nextTo"/>
        <c:crossAx val="47251456"/>
        <c:crosses val="autoZero"/>
        <c:auto val="1"/>
        <c:lblAlgn val="ctr"/>
        <c:lblOffset val="100"/>
        <c:tickLblSkip val="1"/>
        <c:tickMarkSkip val="3"/>
        <c:noMultiLvlLbl val="0"/>
      </c:catAx>
      <c:valAx>
        <c:axId val="47251456"/>
        <c:scaling>
          <c:orientation val="minMax"/>
        </c:scaling>
        <c:delete val="0"/>
        <c:axPos val="l"/>
        <c:majorGridlines/>
        <c:numFmt formatCode="General" sourceLinked="1"/>
        <c:majorTickMark val="none"/>
        <c:minorTickMark val="none"/>
        <c:tickLblPos val="nextTo"/>
        <c:crossAx val="47573248"/>
        <c:crosses val="autoZero"/>
        <c:crossBetween val="between"/>
        <c:majorUnit val="150"/>
      </c:valAx>
      <c:spPr>
        <a:noFill/>
      </c:spPr>
    </c:plotArea>
    <c:legend>
      <c:legendPos val="t"/>
      <c:overlay val="0"/>
    </c:legend>
    <c:plotVisOnly val="1"/>
    <c:dispBlanksAs val="gap"/>
    <c:showDLblsOverMax val="0"/>
  </c:chart>
  <c:spPr>
    <a:solidFill>
      <a:schemeClr val="lt1"/>
    </a:solidFill>
    <a:ln w="25400" cap="flat" cmpd="sng" algn="ctr">
      <a:solidFill>
        <a:schemeClr val="accent5"/>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0.57516</cdr:x>
      <cdr:y>0.33607</cdr:y>
    </cdr:from>
    <cdr:to>
      <cdr:x>0.65468</cdr:x>
      <cdr:y>0.71585</cdr:y>
    </cdr:to>
    <cdr:sp macro="" textlink="">
      <cdr:nvSpPr>
        <cdr:cNvPr id="3" name="Isosceles Triangle 2"/>
        <cdr:cNvSpPr/>
      </cdr:nvSpPr>
      <cdr:spPr>
        <a:xfrm xmlns:a="http://schemas.openxmlformats.org/drawingml/2006/main" rot="16200000">
          <a:off x="4714876" y="1485900"/>
          <a:ext cx="1323975" cy="695325"/>
        </a:xfrm>
        <a:prstGeom xmlns:a="http://schemas.openxmlformats.org/drawingml/2006/main" prst="triangle">
          <a:avLst/>
        </a:prstGeom>
        <a:gradFill xmlns:a="http://schemas.openxmlformats.org/drawingml/2006/main" flip="none" rotWithShape="1">
          <a:gsLst>
            <a:gs pos="0">
              <a:schemeClr val="accent1"/>
            </a:gs>
            <a:gs pos="50000">
              <a:schemeClr val="accent1">
                <a:tint val="44500"/>
                <a:satMod val="160000"/>
              </a:schemeClr>
            </a:gs>
            <a:gs pos="100000">
              <a:schemeClr val="accent1">
                <a:tint val="23500"/>
                <a:satMod val="160000"/>
              </a:schemeClr>
            </a:gs>
          </a:gsLst>
          <a:lin ang="5400000" scaled="0"/>
          <a:tileRect/>
        </a:gra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ln>
              <a:noFill/>
            </a:ln>
          </a:endParaRPr>
        </a:p>
      </cdr:txBody>
    </cdr:sp>
  </cdr:relSizeAnchor>
  <cdr:relSizeAnchor xmlns:cdr="http://schemas.openxmlformats.org/drawingml/2006/chartDrawing">
    <cdr:from>
      <cdr:x>0.66117</cdr:x>
      <cdr:y>0.28689</cdr:y>
    </cdr:from>
    <cdr:to>
      <cdr:x>0.8697</cdr:x>
      <cdr:y>0.96764</cdr:y>
    </cdr:to>
    <cdr:sp macro="" textlink="">
      <cdr:nvSpPr>
        <cdr:cNvPr id="2" name="Text Box 1"/>
        <cdr:cNvSpPr txBox="1"/>
      </cdr:nvSpPr>
      <cdr:spPr>
        <a:xfrm xmlns:a="http://schemas.openxmlformats.org/drawingml/2006/main">
          <a:off x="4156418" y="844381"/>
          <a:ext cx="1310931" cy="200359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000"/>
            <a:t>REC favourable opinion</a:t>
          </a:r>
          <a:r>
            <a:rPr lang="en-GB" sz="1000" baseline="0"/>
            <a:t> including all conditions met:</a:t>
          </a:r>
        </a:p>
        <a:p xmlns:a="http://schemas.openxmlformats.org/drawingml/2006/main">
          <a:r>
            <a:rPr lang="en-GB" sz="1000" baseline="0"/>
            <a:t>1. awaiting other regulatory approvals</a:t>
          </a:r>
        </a:p>
        <a:p xmlns:a="http://schemas.openxmlformats.org/drawingml/2006/main">
          <a:r>
            <a:rPr lang="en-GB" sz="1000" baseline="0"/>
            <a:t>2. awaiting response from applicant to queries</a:t>
          </a:r>
        </a:p>
        <a:p xmlns:a="http://schemas.openxmlformats.org/drawingml/2006/main">
          <a:r>
            <a:rPr lang="en-GB" sz="1000" baseline="0"/>
            <a:t>3. action needed from assessor</a:t>
          </a:r>
          <a:endParaRPr lang="en-GB" sz="1000"/>
        </a:p>
      </cdr:txBody>
    </cdr:sp>
  </cdr:relSizeAnchor>
  <cdr:relSizeAnchor xmlns:cdr="http://schemas.openxmlformats.org/drawingml/2006/chartDrawing">
    <cdr:from>
      <cdr:x>0.2215</cdr:x>
      <cdr:y>0.33698</cdr:y>
    </cdr:from>
    <cdr:to>
      <cdr:x>0.30102</cdr:x>
      <cdr:y>0.71676</cdr:y>
    </cdr:to>
    <cdr:sp macro="" textlink="">
      <cdr:nvSpPr>
        <cdr:cNvPr id="4" name="Isosceles Triangle 3"/>
        <cdr:cNvSpPr/>
      </cdr:nvSpPr>
      <cdr:spPr>
        <a:xfrm xmlns:a="http://schemas.openxmlformats.org/drawingml/2006/main" rot="5400000">
          <a:off x="1622426" y="1489075"/>
          <a:ext cx="1323975" cy="695325"/>
        </a:xfrm>
        <a:prstGeom xmlns:a="http://schemas.openxmlformats.org/drawingml/2006/main" prst="triangle">
          <a:avLst/>
        </a:prstGeom>
        <a:gradFill xmlns:a="http://schemas.openxmlformats.org/drawingml/2006/main" flip="none" rotWithShape="1">
          <a:gsLst>
            <a:gs pos="0">
              <a:schemeClr val="accent2"/>
            </a:gs>
            <a:gs pos="50000">
              <a:schemeClr val="accent2">
                <a:lumMod val="60000"/>
                <a:lumOff val="40000"/>
              </a:schemeClr>
            </a:gs>
            <a:gs pos="100000">
              <a:schemeClr val="accent2">
                <a:lumMod val="20000"/>
                <a:lumOff val="80000"/>
              </a:schemeClr>
            </a:gs>
          </a:gsLst>
          <a:lin ang="5400000" scaled="0"/>
          <a:tileRect/>
        </a:gra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0.02424</cdr:x>
      <cdr:y>0.27516</cdr:y>
    </cdr:from>
    <cdr:to>
      <cdr:x>0.20606</cdr:x>
      <cdr:y>0.83819</cdr:y>
    </cdr:to>
    <cdr:sp macro="" textlink="">
      <cdr:nvSpPr>
        <cdr:cNvPr id="5" name="Text Box 4"/>
        <cdr:cNvSpPr txBox="1"/>
      </cdr:nvSpPr>
      <cdr:spPr>
        <a:xfrm xmlns:a="http://schemas.openxmlformats.org/drawingml/2006/main">
          <a:off x="152400" y="809848"/>
          <a:ext cx="1142999" cy="16571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000"/>
            <a:t>REC review in progress:</a:t>
          </a:r>
        </a:p>
        <a:p xmlns:a="http://schemas.openxmlformats.org/drawingml/2006/main">
          <a:r>
            <a:rPr lang="en-GB" sz="1000"/>
            <a:t>1. not</a:t>
          </a:r>
          <a:r>
            <a:rPr lang="en-GB" sz="1000" baseline="0"/>
            <a:t> 'valid' for assessment</a:t>
          </a:r>
        </a:p>
        <a:p xmlns:a="http://schemas.openxmlformats.org/drawingml/2006/main">
          <a:r>
            <a:rPr lang="en-GB" sz="1000" baseline="0"/>
            <a:t>2. REC review in progress</a:t>
          </a:r>
        </a:p>
        <a:p xmlns:a="http://schemas.openxmlformats.org/drawingml/2006/main">
          <a:r>
            <a:rPr lang="en-GB" sz="1000" baseline="0"/>
            <a:t>3. REC provisional or additional conditions issued</a:t>
          </a:r>
          <a:endParaRPr lang="en-GB" sz="1000"/>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38110DA50D447EFBD82299D232CD3D7"/>
        <w:category>
          <w:name w:val="General"/>
          <w:gallery w:val="placeholder"/>
        </w:category>
        <w:types>
          <w:type w:val="bbPlcHdr"/>
        </w:types>
        <w:behaviors>
          <w:behavior w:val="content"/>
        </w:behaviors>
        <w:guid w:val="{D358E471-F580-4D7A-8430-3B1CBA81D29C}"/>
      </w:docPartPr>
      <w:docPartBody>
        <w:p w:rsidR="00E77490" w:rsidRDefault="007F5B6E" w:rsidP="007F5B6E">
          <w:pPr>
            <w:pStyle w:val="338110DA50D447EFBD82299D232CD3D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B6E"/>
    <w:rsid w:val="004159CB"/>
    <w:rsid w:val="005234DF"/>
    <w:rsid w:val="007F5B6E"/>
    <w:rsid w:val="00E77490"/>
    <w:rsid w:val="00E85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8110DA50D447EFBD82299D232CD3D7">
    <w:name w:val="338110DA50D447EFBD82299D232CD3D7"/>
    <w:rsid w:val="007F5B6E"/>
  </w:style>
  <w:style w:type="paragraph" w:customStyle="1" w:styleId="4389AECD977346D5AF7614A55082C37C">
    <w:name w:val="4389AECD977346D5AF7614A55082C37C"/>
    <w:rsid w:val="007F5B6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8110DA50D447EFBD82299D232CD3D7">
    <w:name w:val="338110DA50D447EFBD82299D232CD3D7"/>
    <w:rsid w:val="007F5B6E"/>
  </w:style>
  <w:style w:type="paragraph" w:customStyle="1" w:styleId="4389AECD977346D5AF7614A55082C37C">
    <w:name w:val="4389AECD977346D5AF7614A55082C37C"/>
    <w:rsid w:val="007F5B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400B5-8F42-47D3-8221-374613CF3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Cannaby, Chris</dc:creator>
  <cp:lastModifiedBy>Steve Tebbutt</cp:lastModifiedBy>
  <cp:revision>4</cp:revision>
  <dcterms:created xsi:type="dcterms:W3CDTF">2017-04-04T16:06:00Z</dcterms:created>
  <dcterms:modified xsi:type="dcterms:W3CDTF">2017-04-11T09:30:00Z</dcterms:modified>
</cp:coreProperties>
</file>