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BD1982">
      <w:pPr>
        <w:ind w:right="-188" w:firstLine="720"/>
        <w:rPr>
          <w:rFonts w:cs="Arial"/>
          <w:b/>
          <w:sz w:val="24"/>
          <w:szCs w:val="24"/>
          <w:u w:val="single"/>
        </w:rPr>
      </w:pPr>
    </w:p>
    <w:p w:rsidR="000906D9" w:rsidRPr="00436F50" w:rsidRDefault="004179A6" w:rsidP="00E91412">
      <w:pPr>
        <w:ind w:right="-188"/>
        <w:jc w:val="center"/>
        <w:rPr>
          <w:rFonts w:cs="Arial"/>
          <w:b/>
          <w:sz w:val="28"/>
          <w:szCs w:val="28"/>
          <w:u w:val="single"/>
        </w:rPr>
      </w:pPr>
      <w:r w:rsidRPr="00436F50">
        <w:rPr>
          <w:rFonts w:cs="Arial"/>
          <w:b/>
          <w:sz w:val="28"/>
          <w:szCs w:val="28"/>
          <w:u w:val="single"/>
        </w:rPr>
        <w:t>Phase I Advisory Group</w:t>
      </w:r>
    </w:p>
    <w:p w:rsidR="000906D9" w:rsidRDefault="004665B7" w:rsidP="00E91412">
      <w:pPr>
        <w:ind w:right="-188"/>
        <w:jc w:val="center"/>
        <w:rPr>
          <w:rFonts w:cs="Arial"/>
          <w:b/>
          <w:sz w:val="28"/>
          <w:szCs w:val="28"/>
          <w:u w:val="single"/>
        </w:rPr>
      </w:pPr>
      <w:r>
        <w:rPr>
          <w:rFonts w:cs="Arial"/>
          <w:b/>
          <w:sz w:val="28"/>
          <w:szCs w:val="28"/>
          <w:u w:val="single"/>
        </w:rPr>
        <w:t>Minutes</w:t>
      </w:r>
    </w:p>
    <w:p w:rsidR="004665B7" w:rsidRDefault="004665B7" w:rsidP="00E91412">
      <w:pPr>
        <w:ind w:right="-188"/>
        <w:jc w:val="center"/>
        <w:rPr>
          <w:rFonts w:cs="Arial"/>
          <w:b/>
          <w:sz w:val="28"/>
          <w:szCs w:val="28"/>
          <w:u w:val="single"/>
        </w:rPr>
      </w:pPr>
      <w:r>
        <w:rPr>
          <w:rFonts w:cs="Arial"/>
          <w:b/>
          <w:sz w:val="28"/>
          <w:szCs w:val="28"/>
          <w:u w:val="single"/>
        </w:rPr>
        <w:t>6 February 2014</w:t>
      </w:r>
    </w:p>
    <w:p w:rsidR="004665B7" w:rsidRPr="00436F50" w:rsidRDefault="004665B7" w:rsidP="00E91412">
      <w:pPr>
        <w:ind w:right="-188"/>
        <w:jc w:val="center"/>
        <w:rPr>
          <w:rFonts w:cs="Arial"/>
          <w:b/>
          <w:sz w:val="28"/>
          <w:szCs w:val="28"/>
          <w:u w:val="single"/>
        </w:rPr>
      </w:pPr>
      <w:r>
        <w:rPr>
          <w:rFonts w:cs="Arial"/>
          <w:b/>
          <w:sz w:val="28"/>
          <w:szCs w:val="28"/>
          <w:u w:val="single"/>
        </w:rPr>
        <w:t>11:00 - 14:00</w:t>
      </w:r>
    </w:p>
    <w:p w:rsidR="000906D9" w:rsidRPr="00CF6547" w:rsidRDefault="000906D9" w:rsidP="00032121">
      <w:pPr>
        <w:jc w:val="center"/>
        <w:rPr>
          <w:rFonts w:cs="Arial"/>
          <w:b/>
        </w:rPr>
      </w:pPr>
    </w:p>
    <w:p w:rsidR="000C6A9F" w:rsidRDefault="00BC6A13" w:rsidP="004665B7">
      <w:pPr>
        <w:spacing w:after="120"/>
        <w:rPr>
          <w:rFonts w:cs="Arial"/>
          <w:b/>
        </w:rPr>
      </w:pPr>
      <w:r>
        <w:rPr>
          <w:rFonts w:cs="Arial"/>
          <w:b/>
        </w:rPr>
        <w:t>Present</w:t>
      </w:r>
    </w:p>
    <w:tbl>
      <w:tblPr>
        <w:tblStyle w:val="TableGrid"/>
        <w:tblW w:w="0" w:type="auto"/>
        <w:tblLook w:val="04A0" w:firstRow="1" w:lastRow="0" w:firstColumn="1" w:lastColumn="0" w:noHBand="0" w:noVBand="1"/>
      </w:tblPr>
      <w:tblGrid>
        <w:gridCol w:w="2235"/>
        <w:gridCol w:w="3402"/>
        <w:gridCol w:w="567"/>
      </w:tblGrid>
      <w:tr w:rsidR="00C420F6" w:rsidRPr="00C420F6" w:rsidTr="002C67C8">
        <w:tc>
          <w:tcPr>
            <w:tcW w:w="2235" w:type="dxa"/>
          </w:tcPr>
          <w:p w:rsidR="00C420F6" w:rsidRPr="00C420F6" w:rsidRDefault="00C420F6" w:rsidP="000D4F76">
            <w:pPr>
              <w:rPr>
                <w:rFonts w:cs="Arial"/>
              </w:rPr>
            </w:pPr>
            <w:r>
              <w:rPr>
                <w:rFonts w:cs="Arial"/>
              </w:rPr>
              <w:t xml:space="preserve">Richard </w:t>
            </w:r>
            <w:proofErr w:type="spellStart"/>
            <w:r>
              <w:rPr>
                <w:rFonts w:cs="Arial"/>
              </w:rPr>
              <w:t>Tiner</w:t>
            </w:r>
            <w:proofErr w:type="spellEnd"/>
            <w:r>
              <w:rPr>
                <w:rFonts w:cs="Arial"/>
              </w:rPr>
              <w:t xml:space="preserve"> </w:t>
            </w:r>
          </w:p>
        </w:tc>
        <w:tc>
          <w:tcPr>
            <w:tcW w:w="3402" w:type="dxa"/>
          </w:tcPr>
          <w:p w:rsidR="00C420F6" w:rsidRPr="00C420F6" w:rsidRDefault="00C420F6" w:rsidP="000D4F76">
            <w:pPr>
              <w:rPr>
                <w:rFonts w:cs="Arial"/>
              </w:rPr>
            </w:pPr>
            <w:r>
              <w:rPr>
                <w:rFonts w:cs="Arial"/>
              </w:rPr>
              <w:t>Chair</w:t>
            </w:r>
          </w:p>
        </w:tc>
        <w:tc>
          <w:tcPr>
            <w:tcW w:w="567" w:type="dxa"/>
          </w:tcPr>
          <w:p w:rsidR="00C420F6" w:rsidRPr="00C420F6" w:rsidRDefault="00C420F6" w:rsidP="000D4F76">
            <w:pPr>
              <w:rPr>
                <w:rFonts w:cs="Arial"/>
              </w:rPr>
            </w:pPr>
            <w:r>
              <w:rPr>
                <w:rFonts w:cs="Arial"/>
              </w:rPr>
              <w:t>RT</w:t>
            </w:r>
          </w:p>
        </w:tc>
      </w:tr>
      <w:tr w:rsidR="00C420F6" w:rsidRPr="00C420F6" w:rsidTr="002C67C8">
        <w:tc>
          <w:tcPr>
            <w:tcW w:w="2235" w:type="dxa"/>
          </w:tcPr>
          <w:p w:rsidR="00C420F6" w:rsidRPr="00C420F6" w:rsidRDefault="00C420F6" w:rsidP="000D4F76">
            <w:pPr>
              <w:rPr>
                <w:rFonts w:cs="Arial"/>
              </w:rPr>
            </w:pPr>
            <w:r>
              <w:rPr>
                <w:rFonts w:cs="Arial"/>
              </w:rPr>
              <w:t>Catherine Blewett</w:t>
            </w:r>
          </w:p>
        </w:tc>
        <w:tc>
          <w:tcPr>
            <w:tcW w:w="3402" w:type="dxa"/>
          </w:tcPr>
          <w:p w:rsidR="00C420F6" w:rsidRPr="00C420F6" w:rsidRDefault="00C420F6" w:rsidP="000D4F76">
            <w:pPr>
              <w:rPr>
                <w:rFonts w:cs="Arial"/>
              </w:rPr>
            </w:pPr>
            <w:r>
              <w:rPr>
                <w:rFonts w:cs="Arial"/>
              </w:rPr>
              <w:t>Health Research Authority</w:t>
            </w:r>
          </w:p>
        </w:tc>
        <w:tc>
          <w:tcPr>
            <w:tcW w:w="567" w:type="dxa"/>
          </w:tcPr>
          <w:p w:rsidR="00C420F6" w:rsidRPr="00C420F6" w:rsidRDefault="00C420F6" w:rsidP="000D4F76">
            <w:pPr>
              <w:rPr>
                <w:rFonts w:cs="Arial"/>
              </w:rPr>
            </w:pPr>
            <w:proofErr w:type="spellStart"/>
            <w:r>
              <w:rPr>
                <w:rFonts w:cs="Arial"/>
              </w:rPr>
              <w:t>CBl</w:t>
            </w:r>
            <w:proofErr w:type="spellEnd"/>
          </w:p>
        </w:tc>
      </w:tr>
      <w:tr w:rsidR="00C420F6" w:rsidRPr="00C420F6" w:rsidTr="002C67C8">
        <w:tc>
          <w:tcPr>
            <w:tcW w:w="2235" w:type="dxa"/>
          </w:tcPr>
          <w:p w:rsidR="00C420F6" w:rsidRPr="00C420F6" w:rsidRDefault="00C420F6" w:rsidP="000D4F76">
            <w:pPr>
              <w:rPr>
                <w:rFonts w:cs="Arial"/>
              </w:rPr>
            </w:pPr>
            <w:r>
              <w:rPr>
                <w:rFonts w:cs="Arial"/>
              </w:rPr>
              <w:t xml:space="preserve">Joan Kirkbride </w:t>
            </w:r>
          </w:p>
        </w:tc>
        <w:tc>
          <w:tcPr>
            <w:tcW w:w="3402" w:type="dxa"/>
          </w:tcPr>
          <w:p w:rsidR="00C420F6" w:rsidRPr="00C420F6" w:rsidRDefault="00C420F6" w:rsidP="000D4F76">
            <w:pPr>
              <w:rPr>
                <w:rFonts w:cs="Arial"/>
              </w:rPr>
            </w:pPr>
            <w:r w:rsidRPr="00C420F6">
              <w:rPr>
                <w:rFonts w:cs="Arial"/>
              </w:rPr>
              <w:t>Health Research Authority</w:t>
            </w:r>
          </w:p>
        </w:tc>
        <w:tc>
          <w:tcPr>
            <w:tcW w:w="567" w:type="dxa"/>
          </w:tcPr>
          <w:p w:rsidR="00C420F6" w:rsidRPr="00C420F6" w:rsidRDefault="00C420F6" w:rsidP="000D4F76">
            <w:pPr>
              <w:rPr>
                <w:rFonts w:cs="Arial"/>
              </w:rPr>
            </w:pPr>
            <w:r>
              <w:rPr>
                <w:rFonts w:cs="Arial"/>
              </w:rPr>
              <w:t>JK</w:t>
            </w:r>
          </w:p>
        </w:tc>
      </w:tr>
      <w:tr w:rsidR="00C420F6" w:rsidRPr="00C420F6" w:rsidTr="002C67C8">
        <w:tc>
          <w:tcPr>
            <w:tcW w:w="2235" w:type="dxa"/>
          </w:tcPr>
          <w:p w:rsidR="00C420F6" w:rsidRPr="00C420F6" w:rsidRDefault="00C420F6" w:rsidP="00C420F6">
            <w:pPr>
              <w:rPr>
                <w:rFonts w:cs="Arial"/>
              </w:rPr>
            </w:pPr>
            <w:r w:rsidRPr="00C420F6">
              <w:rPr>
                <w:rFonts w:cs="Arial"/>
              </w:rPr>
              <w:t xml:space="preserve">Clive Collett </w:t>
            </w:r>
          </w:p>
        </w:tc>
        <w:tc>
          <w:tcPr>
            <w:tcW w:w="3402" w:type="dxa"/>
          </w:tcPr>
          <w:p w:rsidR="00C420F6" w:rsidRPr="00C420F6" w:rsidRDefault="00C420F6" w:rsidP="000D4F76">
            <w:pPr>
              <w:rPr>
                <w:rFonts w:cs="Arial"/>
              </w:rPr>
            </w:pPr>
            <w:r w:rsidRPr="00C420F6">
              <w:rPr>
                <w:rFonts w:cs="Arial"/>
              </w:rPr>
              <w:t>Health Research Authority</w:t>
            </w:r>
          </w:p>
        </w:tc>
        <w:tc>
          <w:tcPr>
            <w:tcW w:w="567" w:type="dxa"/>
          </w:tcPr>
          <w:p w:rsidR="00C420F6" w:rsidRPr="00C420F6" w:rsidRDefault="00C420F6" w:rsidP="000D4F76">
            <w:pPr>
              <w:rPr>
                <w:rFonts w:cs="Arial"/>
              </w:rPr>
            </w:pPr>
            <w:r>
              <w:rPr>
                <w:rFonts w:cs="Arial"/>
              </w:rPr>
              <w:t>CC</w:t>
            </w:r>
          </w:p>
        </w:tc>
      </w:tr>
      <w:tr w:rsidR="002C67C8" w:rsidRPr="00C420F6" w:rsidTr="002C67C8">
        <w:tc>
          <w:tcPr>
            <w:tcW w:w="2235" w:type="dxa"/>
          </w:tcPr>
          <w:p w:rsidR="002C67C8" w:rsidRDefault="002C67C8" w:rsidP="000D4F76">
            <w:pPr>
              <w:rPr>
                <w:rFonts w:cs="Arial"/>
              </w:rPr>
            </w:pPr>
            <w:r>
              <w:rPr>
                <w:rFonts w:cs="Arial"/>
              </w:rPr>
              <w:t xml:space="preserve">Tom Smith (items 1-5) </w:t>
            </w:r>
          </w:p>
        </w:tc>
        <w:tc>
          <w:tcPr>
            <w:tcW w:w="3402" w:type="dxa"/>
          </w:tcPr>
          <w:p w:rsidR="002C67C8" w:rsidRPr="00C420F6" w:rsidRDefault="002C67C8" w:rsidP="000D4F76">
            <w:pPr>
              <w:rPr>
                <w:rFonts w:cs="Arial"/>
              </w:rPr>
            </w:pPr>
            <w:r w:rsidRPr="002C67C8">
              <w:rPr>
                <w:rFonts w:cs="Arial"/>
              </w:rPr>
              <w:t>Health Research Authority</w:t>
            </w:r>
            <w:r>
              <w:rPr>
                <w:rFonts w:cs="Arial"/>
              </w:rPr>
              <w:t xml:space="preserve"> </w:t>
            </w:r>
          </w:p>
        </w:tc>
        <w:tc>
          <w:tcPr>
            <w:tcW w:w="567" w:type="dxa"/>
          </w:tcPr>
          <w:p w:rsidR="002C67C8" w:rsidRDefault="002C67C8" w:rsidP="000D4F76">
            <w:pPr>
              <w:rPr>
                <w:rFonts w:cs="Arial"/>
              </w:rPr>
            </w:pPr>
            <w:r>
              <w:rPr>
                <w:rFonts w:cs="Arial"/>
              </w:rPr>
              <w:t>TS</w:t>
            </w:r>
          </w:p>
        </w:tc>
      </w:tr>
      <w:tr w:rsidR="00C420F6" w:rsidRPr="00C420F6" w:rsidTr="002C67C8">
        <w:tc>
          <w:tcPr>
            <w:tcW w:w="2235" w:type="dxa"/>
          </w:tcPr>
          <w:p w:rsidR="00C420F6" w:rsidRPr="00C420F6" w:rsidRDefault="00C420F6" w:rsidP="000D4F76">
            <w:pPr>
              <w:rPr>
                <w:rFonts w:cs="Arial"/>
              </w:rPr>
            </w:pPr>
            <w:r>
              <w:rPr>
                <w:rFonts w:cs="Arial"/>
              </w:rPr>
              <w:t>Gary</w:t>
            </w:r>
            <w:r w:rsidR="002C67C8">
              <w:rPr>
                <w:rFonts w:cs="Arial"/>
              </w:rPr>
              <w:t xml:space="preserve"> </w:t>
            </w:r>
            <w:proofErr w:type="spellStart"/>
            <w:r w:rsidR="002C67C8">
              <w:rPr>
                <w:rFonts w:cs="Arial"/>
              </w:rPr>
              <w:t>Joh</w:t>
            </w:r>
            <w:r>
              <w:rPr>
                <w:rFonts w:cs="Arial"/>
              </w:rPr>
              <w:t>nstone</w:t>
            </w:r>
            <w:proofErr w:type="spellEnd"/>
            <w:r>
              <w:rPr>
                <w:rFonts w:cs="Arial"/>
              </w:rPr>
              <w:t xml:space="preserve"> </w:t>
            </w:r>
          </w:p>
        </w:tc>
        <w:tc>
          <w:tcPr>
            <w:tcW w:w="3402" w:type="dxa"/>
          </w:tcPr>
          <w:p w:rsidR="00C420F6" w:rsidRPr="00C420F6" w:rsidRDefault="00C420F6" w:rsidP="000D4F76">
            <w:pPr>
              <w:rPr>
                <w:rFonts w:cs="Arial"/>
              </w:rPr>
            </w:pPr>
            <w:proofErr w:type="spellStart"/>
            <w:r w:rsidRPr="00C420F6">
              <w:rPr>
                <w:rFonts w:cs="Arial"/>
              </w:rPr>
              <w:t>BioKinetic</w:t>
            </w:r>
            <w:proofErr w:type="spellEnd"/>
          </w:p>
        </w:tc>
        <w:tc>
          <w:tcPr>
            <w:tcW w:w="567" w:type="dxa"/>
          </w:tcPr>
          <w:p w:rsidR="00C420F6" w:rsidRPr="00C420F6" w:rsidRDefault="00C420F6" w:rsidP="000D4F76">
            <w:pPr>
              <w:rPr>
                <w:rFonts w:cs="Arial"/>
              </w:rPr>
            </w:pPr>
            <w:r>
              <w:rPr>
                <w:rFonts w:cs="Arial"/>
              </w:rPr>
              <w:t>GJ</w:t>
            </w:r>
          </w:p>
        </w:tc>
      </w:tr>
      <w:tr w:rsidR="00C420F6" w:rsidRPr="00C420F6" w:rsidTr="002C67C8">
        <w:tc>
          <w:tcPr>
            <w:tcW w:w="2235" w:type="dxa"/>
          </w:tcPr>
          <w:p w:rsidR="00C420F6" w:rsidRPr="00C420F6" w:rsidRDefault="00C420F6" w:rsidP="00C420F6">
            <w:pPr>
              <w:rPr>
                <w:rFonts w:cs="Arial"/>
              </w:rPr>
            </w:pPr>
            <w:r>
              <w:rPr>
                <w:rFonts w:cs="Arial"/>
              </w:rPr>
              <w:t xml:space="preserve">Malcolm Boyce </w:t>
            </w:r>
            <w:r w:rsidRPr="00C420F6">
              <w:rPr>
                <w:rFonts w:cs="Arial"/>
              </w:rPr>
              <w:t xml:space="preserve"> </w:t>
            </w:r>
          </w:p>
        </w:tc>
        <w:tc>
          <w:tcPr>
            <w:tcW w:w="3402" w:type="dxa"/>
          </w:tcPr>
          <w:p w:rsidR="00C420F6" w:rsidRPr="00C420F6" w:rsidRDefault="00C420F6" w:rsidP="000D4F76">
            <w:pPr>
              <w:rPr>
                <w:rFonts w:cs="Arial"/>
              </w:rPr>
            </w:pPr>
            <w:r w:rsidRPr="00C420F6">
              <w:rPr>
                <w:rFonts w:cs="Arial"/>
              </w:rPr>
              <w:t>HMR</w:t>
            </w:r>
          </w:p>
        </w:tc>
        <w:tc>
          <w:tcPr>
            <w:tcW w:w="567" w:type="dxa"/>
          </w:tcPr>
          <w:p w:rsidR="00C420F6" w:rsidRPr="00C420F6" w:rsidRDefault="00C420F6" w:rsidP="000D4F76">
            <w:pPr>
              <w:rPr>
                <w:rFonts w:cs="Arial"/>
              </w:rPr>
            </w:pPr>
            <w:r>
              <w:rPr>
                <w:rFonts w:cs="Arial"/>
              </w:rPr>
              <w:t>MB</w:t>
            </w:r>
          </w:p>
        </w:tc>
      </w:tr>
      <w:tr w:rsidR="00C420F6" w:rsidRPr="00C420F6" w:rsidTr="002C67C8">
        <w:tc>
          <w:tcPr>
            <w:tcW w:w="2235" w:type="dxa"/>
          </w:tcPr>
          <w:p w:rsidR="00C420F6" w:rsidRPr="00C420F6" w:rsidRDefault="00C420F6" w:rsidP="00C420F6">
            <w:pPr>
              <w:rPr>
                <w:rFonts w:cs="Arial"/>
              </w:rPr>
            </w:pPr>
            <w:r>
              <w:rPr>
                <w:rFonts w:cs="Arial"/>
              </w:rPr>
              <w:t xml:space="preserve">C </w:t>
            </w:r>
            <w:proofErr w:type="spellStart"/>
            <w:r>
              <w:rPr>
                <w:rFonts w:cs="Arial"/>
              </w:rPr>
              <w:t>Brearly</w:t>
            </w:r>
            <w:proofErr w:type="spellEnd"/>
            <w:r>
              <w:rPr>
                <w:rFonts w:cs="Arial"/>
              </w:rPr>
              <w:t xml:space="preserve"> </w:t>
            </w:r>
          </w:p>
        </w:tc>
        <w:tc>
          <w:tcPr>
            <w:tcW w:w="3402" w:type="dxa"/>
          </w:tcPr>
          <w:p w:rsidR="00C420F6" w:rsidRPr="00C420F6" w:rsidRDefault="00C420F6" w:rsidP="000D4F76">
            <w:pPr>
              <w:rPr>
                <w:rFonts w:cs="Arial"/>
              </w:rPr>
            </w:pPr>
            <w:r w:rsidRPr="00C420F6">
              <w:rPr>
                <w:rFonts w:cs="Arial"/>
              </w:rPr>
              <w:t>ABPI Experimental Medicines Group</w:t>
            </w:r>
          </w:p>
        </w:tc>
        <w:tc>
          <w:tcPr>
            <w:tcW w:w="567" w:type="dxa"/>
          </w:tcPr>
          <w:p w:rsidR="00C420F6" w:rsidRPr="00C420F6" w:rsidRDefault="00C420F6" w:rsidP="000D4F76">
            <w:pPr>
              <w:rPr>
                <w:rFonts w:cs="Arial"/>
              </w:rPr>
            </w:pPr>
            <w:r>
              <w:rPr>
                <w:rFonts w:cs="Arial"/>
              </w:rPr>
              <w:t>CB</w:t>
            </w:r>
          </w:p>
        </w:tc>
      </w:tr>
      <w:tr w:rsidR="00C420F6" w:rsidRPr="00C420F6" w:rsidTr="002C67C8">
        <w:tc>
          <w:tcPr>
            <w:tcW w:w="2235" w:type="dxa"/>
          </w:tcPr>
          <w:p w:rsidR="00C420F6" w:rsidRPr="00C420F6" w:rsidRDefault="00C420F6" w:rsidP="00C420F6">
            <w:pPr>
              <w:rPr>
                <w:rFonts w:cs="Arial"/>
              </w:rPr>
            </w:pPr>
            <w:r>
              <w:rPr>
                <w:rFonts w:cs="Arial"/>
              </w:rPr>
              <w:t xml:space="preserve">Simon Lee </w:t>
            </w:r>
          </w:p>
        </w:tc>
        <w:tc>
          <w:tcPr>
            <w:tcW w:w="3402" w:type="dxa"/>
          </w:tcPr>
          <w:p w:rsidR="00C420F6" w:rsidRPr="00C420F6" w:rsidRDefault="00C420F6" w:rsidP="00BC764D">
            <w:pPr>
              <w:rPr>
                <w:rFonts w:cs="Arial"/>
              </w:rPr>
            </w:pPr>
            <w:r w:rsidRPr="00C420F6">
              <w:rPr>
                <w:rFonts w:cs="Arial"/>
              </w:rPr>
              <w:t xml:space="preserve">Quotient </w:t>
            </w:r>
            <w:proofErr w:type="spellStart"/>
            <w:r w:rsidR="00BC764D">
              <w:rPr>
                <w:rFonts w:cs="Arial"/>
              </w:rPr>
              <w:t>Clinicals</w:t>
            </w:r>
            <w:proofErr w:type="spellEnd"/>
          </w:p>
        </w:tc>
        <w:tc>
          <w:tcPr>
            <w:tcW w:w="567" w:type="dxa"/>
          </w:tcPr>
          <w:p w:rsidR="00C420F6" w:rsidRPr="00C420F6" w:rsidRDefault="00C420F6" w:rsidP="000D4F76">
            <w:pPr>
              <w:rPr>
                <w:rFonts w:cs="Arial"/>
              </w:rPr>
            </w:pPr>
            <w:r>
              <w:rPr>
                <w:rFonts w:cs="Arial"/>
              </w:rPr>
              <w:t>SL</w:t>
            </w:r>
          </w:p>
        </w:tc>
      </w:tr>
      <w:tr w:rsidR="00C420F6" w:rsidRPr="00C420F6" w:rsidTr="002C67C8">
        <w:tc>
          <w:tcPr>
            <w:tcW w:w="2235" w:type="dxa"/>
          </w:tcPr>
          <w:p w:rsidR="00C420F6" w:rsidRPr="00C420F6" w:rsidRDefault="00C420F6" w:rsidP="00C420F6">
            <w:pPr>
              <w:rPr>
                <w:rFonts w:cs="Arial"/>
              </w:rPr>
            </w:pPr>
            <w:r>
              <w:rPr>
                <w:rFonts w:cs="Arial"/>
              </w:rPr>
              <w:t>Sarah Dobbin</w:t>
            </w:r>
            <w:r w:rsidRPr="00C420F6">
              <w:rPr>
                <w:rFonts w:cs="Arial"/>
              </w:rPr>
              <w:t xml:space="preserve"> </w:t>
            </w:r>
          </w:p>
        </w:tc>
        <w:tc>
          <w:tcPr>
            <w:tcW w:w="3402" w:type="dxa"/>
          </w:tcPr>
          <w:p w:rsidR="00C420F6" w:rsidRPr="00C420F6" w:rsidRDefault="00BD1982" w:rsidP="00BD1982">
            <w:pPr>
              <w:rPr>
                <w:rFonts w:cs="Arial"/>
              </w:rPr>
            </w:pPr>
            <w:r w:rsidRPr="00BD1982">
              <w:rPr>
                <w:rFonts w:cs="Arial"/>
              </w:rPr>
              <w:t xml:space="preserve">Quotient </w:t>
            </w:r>
            <w:proofErr w:type="spellStart"/>
            <w:r w:rsidRPr="00BD1982">
              <w:rPr>
                <w:rFonts w:cs="Arial"/>
              </w:rPr>
              <w:t>Clinicals</w:t>
            </w:r>
            <w:proofErr w:type="spellEnd"/>
          </w:p>
        </w:tc>
        <w:tc>
          <w:tcPr>
            <w:tcW w:w="567" w:type="dxa"/>
          </w:tcPr>
          <w:p w:rsidR="00C420F6" w:rsidRPr="00C420F6" w:rsidRDefault="00C420F6" w:rsidP="000D4F76">
            <w:pPr>
              <w:rPr>
                <w:rFonts w:cs="Arial"/>
              </w:rPr>
            </w:pPr>
            <w:r>
              <w:rPr>
                <w:rFonts w:cs="Arial"/>
              </w:rPr>
              <w:t>SD</w:t>
            </w:r>
          </w:p>
        </w:tc>
      </w:tr>
      <w:tr w:rsidR="00C420F6" w:rsidRPr="00C420F6" w:rsidTr="002C67C8">
        <w:tc>
          <w:tcPr>
            <w:tcW w:w="2235" w:type="dxa"/>
          </w:tcPr>
          <w:p w:rsidR="00C420F6" w:rsidRPr="00C420F6" w:rsidRDefault="00C420F6" w:rsidP="00C420F6">
            <w:pPr>
              <w:rPr>
                <w:rFonts w:cs="Arial"/>
              </w:rPr>
            </w:pPr>
            <w:r>
              <w:rPr>
                <w:rFonts w:cs="Arial"/>
              </w:rPr>
              <w:t xml:space="preserve">Ulrike </w:t>
            </w:r>
            <w:proofErr w:type="spellStart"/>
            <w:r>
              <w:rPr>
                <w:rFonts w:cs="Arial"/>
              </w:rPr>
              <w:t>Lorch</w:t>
            </w:r>
            <w:proofErr w:type="spellEnd"/>
            <w:r>
              <w:rPr>
                <w:rFonts w:cs="Arial"/>
              </w:rPr>
              <w:t xml:space="preserve"> </w:t>
            </w:r>
          </w:p>
        </w:tc>
        <w:tc>
          <w:tcPr>
            <w:tcW w:w="3402" w:type="dxa"/>
          </w:tcPr>
          <w:p w:rsidR="00C420F6" w:rsidRPr="00C420F6" w:rsidRDefault="00C420F6" w:rsidP="000D4F76">
            <w:pPr>
              <w:rPr>
                <w:rFonts w:cs="Arial"/>
              </w:rPr>
            </w:pPr>
            <w:r w:rsidRPr="00C420F6">
              <w:rPr>
                <w:rFonts w:cs="Arial"/>
              </w:rPr>
              <w:t>Richmond Pharmacology</w:t>
            </w:r>
          </w:p>
        </w:tc>
        <w:tc>
          <w:tcPr>
            <w:tcW w:w="567" w:type="dxa"/>
          </w:tcPr>
          <w:p w:rsidR="00C420F6" w:rsidRPr="00C420F6" w:rsidRDefault="00C420F6" w:rsidP="000D4F76">
            <w:pPr>
              <w:rPr>
                <w:rFonts w:cs="Arial"/>
              </w:rPr>
            </w:pPr>
            <w:r>
              <w:rPr>
                <w:rFonts w:cs="Arial"/>
              </w:rPr>
              <w:t>UK</w:t>
            </w:r>
          </w:p>
        </w:tc>
      </w:tr>
      <w:tr w:rsidR="00C420F6" w:rsidRPr="00C420F6" w:rsidTr="002C67C8">
        <w:tc>
          <w:tcPr>
            <w:tcW w:w="2235" w:type="dxa"/>
          </w:tcPr>
          <w:p w:rsidR="00C420F6" w:rsidRPr="00C420F6" w:rsidRDefault="00C420F6" w:rsidP="00C420F6">
            <w:pPr>
              <w:rPr>
                <w:rFonts w:cs="Arial"/>
              </w:rPr>
            </w:pPr>
            <w:r>
              <w:rPr>
                <w:rFonts w:cs="Arial"/>
              </w:rPr>
              <w:t xml:space="preserve">Keith Berelowitz </w:t>
            </w:r>
          </w:p>
        </w:tc>
        <w:tc>
          <w:tcPr>
            <w:tcW w:w="3402" w:type="dxa"/>
          </w:tcPr>
          <w:p w:rsidR="00C420F6" w:rsidRPr="00C420F6" w:rsidRDefault="00C420F6" w:rsidP="000D4F76">
            <w:pPr>
              <w:rPr>
                <w:rFonts w:cs="Arial"/>
              </w:rPr>
            </w:pPr>
            <w:r w:rsidRPr="00C420F6">
              <w:rPr>
                <w:rFonts w:cs="Arial"/>
              </w:rPr>
              <w:t>Richmond Pharmacology</w:t>
            </w:r>
          </w:p>
        </w:tc>
        <w:tc>
          <w:tcPr>
            <w:tcW w:w="567" w:type="dxa"/>
          </w:tcPr>
          <w:p w:rsidR="00C420F6" w:rsidRPr="00C420F6" w:rsidRDefault="00C420F6" w:rsidP="000D4F76">
            <w:pPr>
              <w:rPr>
                <w:rFonts w:cs="Arial"/>
              </w:rPr>
            </w:pPr>
            <w:r>
              <w:rPr>
                <w:rFonts w:cs="Arial"/>
              </w:rPr>
              <w:t>KB</w:t>
            </w:r>
          </w:p>
        </w:tc>
      </w:tr>
      <w:tr w:rsidR="00C420F6" w:rsidRPr="00C420F6" w:rsidTr="002C67C8">
        <w:tc>
          <w:tcPr>
            <w:tcW w:w="2235" w:type="dxa"/>
          </w:tcPr>
          <w:p w:rsidR="00C420F6" w:rsidRPr="00C420F6" w:rsidRDefault="00C420F6" w:rsidP="00C420F6">
            <w:pPr>
              <w:rPr>
                <w:rFonts w:cs="Arial"/>
              </w:rPr>
            </w:pPr>
            <w:r>
              <w:rPr>
                <w:rFonts w:cs="Arial"/>
              </w:rPr>
              <w:t xml:space="preserve">John Keen </w:t>
            </w:r>
          </w:p>
        </w:tc>
        <w:tc>
          <w:tcPr>
            <w:tcW w:w="3402" w:type="dxa"/>
          </w:tcPr>
          <w:p w:rsidR="00C420F6" w:rsidRPr="00C420F6" w:rsidRDefault="00C420F6" w:rsidP="000D4F76">
            <w:pPr>
              <w:rPr>
                <w:rFonts w:cs="Arial"/>
              </w:rPr>
            </w:pPr>
            <w:r w:rsidRPr="00C420F6">
              <w:rPr>
                <w:rFonts w:cs="Arial"/>
              </w:rPr>
              <w:t>Brent REC</w:t>
            </w:r>
          </w:p>
        </w:tc>
        <w:tc>
          <w:tcPr>
            <w:tcW w:w="567" w:type="dxa"/>
          </w:tcPr>
          <w:p w:rsidR="00C420F6" w:rsidRPr="00C420F6" w:rsidRDefault="00C420F6" w:rsidP="000D4F76">
            <w:pPr>
              <w:rPr>
                <w:rFonts w:cs="Arial"/>
              </w:rPr>
            </w:pPr>
            <w:r>
              <w:rPr>
                <w:rFonts w:cs="Arial"/>
              </w:rPr>
              <w:t>JK</w:t>
            </w:r>
          </w:p>
        </w:tc>
      </w:tr>
      <w:tr w:rsidR="00C420F6" w:rsidRPr="00C420F6" w:rsidTr="002C67C8">
        <w:tc>
          <w:tcPr>
            <w:tcW w:w="2235" w:type="dxa"/>
          </w:tcPr>
          <w:p w:rsidR="00C420F6" w:rsidRPr="00C420F6" w:rsidRDefault="00C420F6" w:rsidP="00C420F6">
            <w:pPr>
              <w:rPr>
                <w:rFonts w:cs="Arial"/>
              </w:rPr>
            </w:pPr>
            <w:r>
              <w:rPr>
                <w:rFonts w:cs="Arial"/>
              </w:rPr>
              <w:t xml:space="preserve">Daryl Rees </w:t>
            </w:r>
            <w:r w:rsidRPr="00C420F6">
              <w:rPr>
                <w:rFonts w:cs="Arial"/>
              </w:rPr>
              <w:t xml:space="preserve"> </w:t>
            </w:r>
          </w:p>
        </w:tc>
        <w:tc>
          <w:tcPr>
            <w:tcW w:w="3402" w:type="dxa"/>
          </w:tcPr>
          <w:p w:rsidR="00C420F6" w:rsidRPr="00C420F6" w:rsidRDefault="00C420F6" w:rsidP="000D4F76">
            <w:pPr>
              <w:rPr>
                <w:rFonts w:cs="Arial"/>
              </w:rPr>
            </w:pPr>
            <w:r w:rsidRPr="00C420F6">
              <w:rPr>
                <w:rFonts w:cs="Arial"/>
              </w:rPr>
              <w:t>Cambridge East REC</w:t>
            </w:r>
          </w:p>
        </w:tc>
        <w:tc>
          <w:tcPr>
            <w:tcW w:w="567" w:type="dxa"/>
          </w:tcPr>
          <w:p w:rsidR="00C420F6" w:rsidRPr="00C420F6" w:rsidRDefault="00C420F6" w:rsidP="000D4F76">
            <w:pPr>
              <w:rPr>
                <w:rFonts w:cs="Arial"/>
              </w:rPr>
            </w:pPr>
            <w:r>
              <w:rPr>
                <w:rFonts w:cs="Arial"/>
              </w:rPr>
              <w:t>DR</w:t>
            </w:r>
          </w:p>
        </w:tc>
      </w:tr>
      <w:tr w:rsidR="00C420F6" w:rsidRPr="00C420F6" w:rsidTr="00BC6A13">
        <w:tc>
          <w:tcPr>
            <w:tcW w:w="2235" w:type="dxa"/>
            <w:tcBorders>
              <w:bottom w:val="single" w:sz="4" w:space="0" w:color="auto"/>
            </w:tcBorders>
          </w:tcPr>
          <w:p w:rsidR="00C420F6" w:rsidRPr="00C420F6" w:rsidRDefault="00C420F6" w:rsidP="00C420F6">
            <w:pPr>
              <w:rPr>
                <w:rFonts w:cs="Arial"/>
              </w:rPr>
            </w:pPr>
            <w:r>
              <w:rPr>
                <w:rFonts w:cs="Arial"/>
              </w:rPr>
              <w:t xml:space="preserve">Ian Skidmore </w:t>
            </w:r>
            <w:r w:rsidRPr="00C420F6">
              <w:rPr>
                <w:rFonts w:cs="Arial"/>
              </w:rPr>
              <w:t xml:space="preserve"> </w:t>
            </w:r>
          </w:p>
        </w:tc>
        <w:tc>
          <w:tcPr>
            <w:tcW w:w="3402" w:type="dxa"/>
            <w:tcBorders>
              <w:bottom w:val="single" w:sz="4" w:space="0" w:color="auto"/>
            </w:tcBorders>
          </w:tcPr>
          <w:p w:rsidR="00C420F6" w:rsidRPr="00C420F6" w:rsidRDefault="00C420F6" w:rsidP="000D4F76">
            <w:pPr>
              <w:rPr>
                <w:rFonts w:cs="Arial"/>
              </w:rPr>
            </w:pPr>
            <w:r w:rsidRPr="00C420F6">
              <w:rPr>
                <w:rFonts w:cs="Arial"/>
              </w:rPr>
              <w:t>Hatfield REC</w:t>
            </w:r>
          </w:p>
        </w:tc>
        <w:tc>
          <w:tcPr>
            <w:tcW w:w="567" w:type="dxa"/>
          </w:tcPr>
          <w:p w:rsidR="00C420F6" w:rsidRPr="00C420F6" w:rsidRDefault="00C420F6" w:rsidP="000D4F76">
            <w:pPr>
              <w:rPr>
                <w:rFonts w:cs="Arial"/>
              </w:rPr>
            </w:pPr>
            <w:r>
              <w:rPr>
                <w:rFonts w:cs="Arial"/>
              </w:rPr>
              <w:t>IS</w:t>
            </w:r>
          </w:p>
        </w:tc>
      </w:tr>
      <w:tr w:rsidR="00C420F6" w:rsidRPr="00C420F6" w:rsidTr="00BC6A13">
        <w:tc>
          <w:tcPr>
            <w:tcW w:w="2235" w:type="dxa"/>
            <w:shd w:val="clear" w:color="auto" w:fill="auto"/>
          </w:tcPr>
          <w:p w:rsidR="00C420F6" w:rsidRPr="00BC6A13" w:rsidRDefault="00C420F6" w:rsidP="00C420F6">
            <w:pPr>
              <w:rPr>
                <w:rFonts w:cs="Arial"/>
              </w:rPr>
            </w:pPr>
            <w:r w:rsidRPr="00BC6A13">
              <w:rPr>
                <w:rFonts w:cs="Arial"/>
              </w:rPr>
              <w:t xml:space="preserve">Siobhan McGrath </w:t>
            </w:r>
          </w:p>
        </w:tc>
        <w:tc>
          <w:tcPr>
            <w:tcW w:w="3402" w:type="dxa"/>
            <w:shd w:val="clear" w:color="auto" w:fill="auto"/>
          </w:tcPr>
          <w:p w:rsidR="00C420F6" w:rsidRPr="00BC6A13" w:rsidRDefault="00BC6A13" w:rsidP="000D4F76">
            <w:pPr>
              <w:rPr>
                <w:rFonts w:cs="Arial"/>
              </w:rPr>
            </w:pPr>
            <w:r w:rsidRPr="00BC6A13">
              <w:rPr>
                <w:rFonts w:cs="Arial"/>
              </w:rPr>
              <w:t xml:space="preserve">HSC </w:t>
            </w:r>
            <w:r w:rsidR="00C420F6" w:rsidRPr="00BC6A13">
              <w:rPr>
                <w:rFonts w:cs="Arial"/>
              </w:rPr>
              <w:t>Northern Ireland</w:t>
            </w:r>
          </w:p>
        </w:tc>
        <w:tc>
          <w:tcPr>
            <w:tcW w:w="567" w:type="dxa"/>
          </w:tcPr>
          <w:p w:rsidR="00C420F6" w:rsidRPr="00C420F6" w:rsidRDefault="00C420F6" w:rsidP="000D4F76">
            <w:pPr>
              <w:rPr>
                <w:rFonts w:cs="Arial"/>
              </w:rPr>
            </w:pPr>
            <w:r>
              <w:rPr>
                <w:rFonts w:cs="Arial"/>
              </w:rPr>
              <w:t>SM</w:t>
            </w:r>
          </w:p>
        </w:tc>
      </w:tr>
      <w:tr w:rsidR="00C420F6" w:rsidRPr="00C420F6" w:rsidTr="002C67C8">
        <w:tc>
          <w:tcPr>
            <w:tcW w:w="2235" w:type="dxa"/>
          </w:tcPr>
          <w:p w:rsidR="00C420F6" w:rsidRPr="00C420F6" w:rsidRDefault="00C420F6" w:rsidP="00C420F6">
            <w:pPr>
              <w:rPr>
                <w:rFonts w:cs="Arial"/>
              </w:rPr>
            </w:pPr>
            <w:r>
              <w:rPr>
                <w:rFonts w:cs="Arial"/>
              </w:rPr>
              <w:t xml:space="preserve">Stephanie Ellis </w:t>
            </w:r>
          </w:p>
        </w:tc>
        <w:tc>
          <w:tcPr>
            <w:tcW w:w="3402" w:type="dxa"/>
          </w:tcPr>
          <w:p w:rsidR="00C420F6" w:rsidRPr="00C420F6" w:rsidRDefault="00C420F6" w:rsidP="000D4F76">
            <w:pPr>
              <w:rPr>
                <w:rFonts w:cs="Arial"/>
              </w:rPr>
            </w:pPr>
            <w:r w:rsidRPr="00C420F6">
              <w:rPr>
                <w:rFonts w:cs="Arial"/>
              </w:rPr>
              <w:t>Hampstead REC</w:t>
            </w:r>
          </w:p>
        </w:tc>
        <w:tc>
          <w:tcPr>
            <w:tcW w:w="567" w:type="dxa"/>
          </w:tcPr>
          <w:p w:rsidR="00C420F6" w:rsidRPr="00C420F6" w:rsidRDefault="00C420F6" w:rsidP="000D4F76">
            <w:pPr>
              <w:rPr>
                <w:rFonts w:cs="Arial"/>
              </w:rPr>
            </w:pPr>
            <w:r>
              <w:rPr>
                <w:rFonts w:cs="Arial"/>
              </w:rPr>
              <w:t>SE</w:t>
            </w:r>
          </w:p>
        </w:tc>
      </w:tr>
      <w:tr w:rsidR="00C420F6" w:rsidRPr="00C420F6" w:rsidTr="002C67C8">
        <w:tc>
          <w:tcPr>
            <w:tcW w:w="2235" w:type="dxa"/>
          </w:tcPr>
          <w:p w:rsidR="00C420F6" w:rsidRPr="00C420F6" w:rsidRDefault="00C420F6" w:rsidP="00C420F6">
            <w:pPr>
              <w:rPr>
                <w:rFonts w:cs="Arial"/>
              </w:rPr>
            </w:pPr>
            <w:r>
              <w:rPr>
                <w:rFonts w:cs="Arial"/>
              </w:rPr>
              <w:t>Poonam Chowdhary</w:t>
            </w:r>
          </w:p>
        </w:tc>
        <w:tc>
          <w:tcPr>
            <w:tcW w:w="3402" w:type="dxa"/>
          </w:tcPr>
          <w:p w:rsidR="00C420F6" w:rsidRPr="00C420F6" w:rsidRDefault="00C420F6" w:rsidP="000D4F76">
            <w:pPr>
              <w:rPr>
                <w:rFonts w:cs="Arial"/>
              </w:rPr>
            </w:pPr>
            <w:r w:rsidRPr="00C420F6">
              <w:rPr>
                <w:rFonts w:cs="Arial"/>
              </w:rPr>
              <w:t>Quintiles</w:t>
            </w:r>
          </w:p>
        </w:tc>
        <w:tc>
          <w:tcPr>
            <w:tcW w:w="567" w:type="dxa"/>
          </w:tcPr>
          <w:p w:rsidR="00C420F6" w:rsidRPr="00C420F6" w:rsidRDefault="00C420F6" w:rsidP="000D4F76">
            <w:pPr>
              <w:rPr>
                <w:rFonts w:cs="Arial"/>
              </w:rPr>
            </w:pPr>
            <w:r>
              <w:rPr>
                <w:rFonts w:cs="Arial"/>
              </w:rPr>
              <w:t>PC</w:t>
            </w:r>
          </w:p>
        </w:tc>
      </w:tr>
    </w:tbl>
    <w:p w:rsidR="004665B7" w:rsidRDefault="004665B7" w:rsidP="004665B7">
      <w:pPr>
        <w:spacing w:after="120"/>
        <w:rPr>
          <w:rFonts w:cs="Arial"/>
        </w:rPr>
      </w:pPr>
    </w:p>
    <w:p w:rsidR="0007279B" w:rsidRDefault="0007279B" w:rsidP="0007279B">
      <w:pPr>
        <w:rPr>
          <w:rFonts w:cs="Arial"/>
          <w:b/>
        </w:rPr>
      </w:pPr>
      <w:r w:rsidRPr="0007279B">
        <w:rPr>
          <w:rFonts w:cs="Arial"/>
          <w:b/>
        </w:rPr>
        <w:t>Via teleconference</w:t>
      </w:r>
    </w:p>
    <w:p w:rsidR="00190F0A" w:rsidRPr="0007279B" w:rsidRDefault="00190F0A" w:rsidP="0007279B">
      <w:pPr>
        <w:rPr>
          <w:rFonts w:cs="Arial"/>
          <w:b/>
        </w:rPr>
      </w:pPr>
    </w:p>
    <w:tbl>
      <w:tblPr>
        <w:tblStyle w:val="TableGrid"/>
        <w:tblW w:w="0" w:type="auto"/>
        <w:tblLook w:val="04A0" w:firstRow="1" w:lastRow="0" w:firstColumn="1" w:lastColumn="0" w:noHBand="0" w:noVBand="1"/>
      </w:tblPr>
      <w:tblGrid>
        <w:gridCol w:w="2235"/>
        <w:gridCol w:w="3402"/>
        <w:gridCol w:w="567"/>
      </w:tblGrid>
      <w:tr w:rsidR="00190F0A" w:rsidRPr="00190F0A" w:rsidTr="00190F0A">
        <w:tc>
          <w:tcPr>
            <w:tcW w:w="2235" w:type="dxa"/>
          </w:tcPr>
          <w:p w:rsidR="00190F0A" w:rsidRPr="00190F0A" w:rsidRDefault="00190F0A" w:rsidP="001D6EEF">
            <w:pPr>
              <w:rPr>
                <w:rFonts w:cs="Arial"/>
              </w:rPr>
            </w:pPr>
            <w:r w:rsidRPr="00190F0A">
              <w:rPr>
                <w:rFonts w:cs="Arial"/>
              </w:rPr>
              <w:t xml:space="preserve">John </w:t>
            </w:r>
            <w:proofErr w:type="spellStart"/>
            <w:r w:rsidRPr="00190F0A">
              <w:rPr>
                <w:rFonts w:cs="Arial"/>
              </w:rPr>
              <w:t>Sheriden</w:t>
            </w:r>
            <w:proofErr w:type="spellEnd"/>
            <w:r w:rsidRPr="00190F0A">
              <w:rPr>
                <w:rFonts w:cs="Arial"/>
              </w:rPr>
              <w:t xml:space="preserve"> </w:t>
            </w:r>
          </w:p>
        </w:tc>
        <w:tc>
          <w:tcPr>
            <w:tcW w:w="3402" w:type="dxa"/>
          </w:tcPr>
          <w:p w:rsidR="00190F0A" w:rsidRPr="00190F0A" w:rsidRDefault="00190F0A" w:rsidP="001D6EEF">
            <w:pPr>
              <w:rPr>
                <w:rFonts w:cs="Arial"/>
              </w:rPr>
            </w:pPr>
            <w:r w:rsidRPr="00190F0A">
              <w:rPr>
                <w:rFonts w:cs="Arial"/>
              </w:rPr>
              <w:t>Berkshire B REC</w:t>
            </w:r>
          </w:p>
        </w:tc>
        <w:tc>
          <w:tcPr>
            <w:tcW w:w="567" w:type="dxa"/>
          </w:tcPr>
          <w:p w:rsidR="00190F0A" w:rsidRPr="00190F0A" w:rsidRDefault="00190F0A" w:rsidP="001D6EEF">
            <w:pPr>
              <w:rPr>
                <w:rFonts w:cs="Arial"/>
              </w:rPr>
            </w:pPr>
            <w:r>
              <w:rPr>
                <w:rFonts w:cs="Arial"/>
              </w:rPr>
              <w:t>JS</w:t>
            </w:r>
          </w:p>
        </w:tc>
      </w:tr>
      <w:tr w:rsidR="00190F0A" w:rsidRPr="00190F0A" w:rsidTr="00190F0A">
        <w:tc>
          <w:tcPr>
            <w:tcW w:w="2235" w:type="dxa"/>
          </w:tcPr>
          <w:p w:rsidR="00190F0A" w:rsidRPr="00190F0A" w:rsidRDefault="00190F0A" w:rsidP="001D6EEF">
            <w:pPr>
              <w:rPr>
                <w:rFonts w:cs="Arial"/>
              </w:rPr>
            </w:pPr>
            <w:r w:rsidRPr="00190F0A">
              <w:rPr>
                <w:rFonts w:cs="Arial"/>
              </w:rPr>
              <w:t xml:space="preserve">Peter Dewland </w:t>
            </w:r>
          </w:p>
        </w:tc>
        <w:tc>
          <w:tcPr>
            <w:tcW w:w="3402" w:type="dxa"/>
          </w:tcPr>
          <w:p w:rsidR="00190F0A" w:rsidRPr="00190F0A" w:rsidRDefault="00190F0A" w:rsidP="001D6EEF">
            <w:pPr>
              <w:rPr>
                <w:rFonts w:cs="Arial"/>
              </w:rPr>
            </w:pPr>
            <w:r w:rsidRPr="00190F0A">
              <w:rPr>
                <w:rFonts w:cs="Arial"/>
              </w:rPr>
              <w:t>AHPPI</w:t>
            </w:r>
          </w:p>
        </w:tc>
        <w:tc>
          <w:tcPr>
            <w:tcW w:w="567" w:type="dxa"/>
          </w:tcPr>
          <w:p w:rsidR="00190F0A" w:rsidRPr="00190F0A" w:rsidRDefault="00190F0A" w:rsidP="001D6EEF">
            <w:pPr>
              <w:rPr>
                <w:rFonts w:cs="Arial"/>
              </w:rPr>
            </w:pPr>
            <w:r>
              <w:rPr>
                <w:rFonts w:cs="Arial"/>
              </w:rPr>
              <w:t>PD</w:t>
            </w:r>
          </w:p>
        </w:tc>
      </w:tr>
      <w:tr w:rsidR="00190F0A" w:rsidRPr="00190F0A" w:rsidTr="00190F0A">
        <w:tc>
          <w:tcPr>
            <w:tcW w:w="2235" w:type="dxa"/>
          </w:tcPr>
          <w:p w:rsidR="00190F0A" w:rsidRPr="00190F0A" w:rsidRDefault="00190F0A" w:rsidP="001D6EEF">
            <w:pPr>
              <w:rPr>
                <w:rFonts w:cs="Arial"/>
              </w:rPr>
            </w:pPr>
            <w:r w:rsidRPr="00190F0A">
              <w:rPr>
                <w:rFonts w:cs="Arial"/>
              </w:rPr>
              <w:t xml:space="preserve">Jennifer Martin </w:t>
            </w:r>
          </w:p>
        </w:tc>
        <w:tc>
          <w:tcPr>
            <w:tcW w:w="3402" w:type="dxa"/>
          </w:tcPr>
          <w:p w:rsidR="00190F0A" w:rsidRPr="00190F0A" w:rsidRDefault="00190F0A" w:rsidP="001D6EEF">
            <w:pPr>
              <w:rPr>
                <w:rFonts w:cs="Arial"/>
              </w:rPr>
            </w:pPr>
            <w:r w:rsidRPr="00190F0A">
              <w:rPr>
                <w:rFonts w:cs="Arial"/>
              </w:rPr>
              <w:t>MHRA</w:t>
            </w:r>
          </w:p>
        </w:tc>
        <w:tc>
          <w:tcPr>
            <w:tcW w:w="567" w:type="dxa"/>
          </w:tcPr>
          <w:p w:rsidR="00190F0A" w:rsidRPr="00190F0A" w:rsidRDefault="00190F0A" w:rsidP="001D6EEF">
            <w:pPr>
              <w:rPr>
                <w:rFonts w:cs="Arial"/>
              </w:rPr>
            </w:pPr>
            <w:r>
              <w:rPr>
                <w:rFonts w:cs="Arial"/>
              </w:rPr>
              <w:t>JM</w:t>
            </w:r>
          </w:p>
        </w:tc>
      </w:tr>
      <w:tr w:rsidR="00C32B99" w:rsidRPr="00190F0A" w:rsidTr="00190F0A">
        <w:tc>
          <w:tcPr>
            <w:tcW w:w="2235" w:type="dxa"/>
          </w:tcPr>
          <w:p w:rsidR="00C32B99" w:rsidRPr="00190F0A" w:rsidRDefault="00C32B99" w:rsidP="001D6EEF">
            <w:pPr>
              <w:rPr>
                <w:rFonts w:cs="Arial"/>
              </w:rPr>
            </w:pPr>
            <w:r>
              <w:rPr>
                <w:rFonts w:cs="Arial"/>
              </w:rPr>
              <w:t xml:space="preserve">Raj </w:t>
            </w:r>
            <w:proofErr w:type="spellStart"/>
            <w:r>
              <w:rPr>
                <w:rFonts w:cs="Arial"/>
              </w:rPr>
              <w:t>Bains</w:t>
            </w:r>
            <w:proofErr w:type="spellEnd"/>
          </w:p>
        </w:tc>
        <w:tc>
          <w:tcPr>
            <w:tcW w:w="3402" w:type="dxa"/>
          </w:tcPr>
          <w:p w:rsidR="00C32B99" w:rsidRPr="00190F0A" w:rsidRDefault="00C32B99" w:rsidP="001D6EEF">
            <w:pPr>
              <w:rPr>
                <w:rFonts w:cs="Arial"/>
              </w:rPr>
            </w:pPr>
            <w:r>
              <w:rPr>
                <w:rFonts w:cs="Arial"/>
              </w:rPr>
              <w:t>Oxford A REC</w:t>
            </w:r>
          </w:p>
        </w:tc>
        <w:tc>
          <w:tcPr>
            <w:tcW w:w="567" w:type="dxa"/>
          </w:tcPr>
          <w:p w:rsidR="00C32B99" w:rsidRDefault="00C32B99" w:rsidP="001D6EEF">
            <w:pPr>
              <w:rPr>
                <w:rFonts w:cs="Arial"/>
              </w:rPr>
            </w:pPr>
          </w:p>
        </w:tc>
      </w:tr>
    </w:tbl>
    <w:p w:rsidR="00BC6A13" w:rsidRDefault="00BC6A13" w:rsidP="0007279B">
      <w:pPr>
        <w:rPr>
          <w:rFonts w:cs="Arial"/>
        </w:rPr>
      </w:pPr>
    </w:p>
    <w:p w:rsidR="0007279B" w:rsidRDefault="0007279B" w:rsidP="004665B7">
      <w:pPr>
        <w:spacing w:after="120"/>
        <w:rPr>
          <w:rFonts w:cs="Arial"/>
          <w:b/>
        </w:rPr>
      </w:pPr>
      <w:r>
        <w:rPr>
          <w:rFonts w:cs="Arial"/>
          <w:b/>
        </w:rPr>
        <w:t>Apologies</w:t>
      </w:r>
    </w:p>
    <w:p w:rsidR="0007279B" w:rsidRDefault="0007279B" w:rsidP="0007279B">
      <w:pPr>
        <w:tabs>
          <w:tab w:val="left" w:pos="432"/>
        </w:tabs>
        <w:rPr>
          <w:rFonts w:cs="Arial"/>
        </w:rPr>
      </w:pPr>
      <w:r>
        <w:rPr>
          <w:rFonts w:cs="Arial"/>
        </w:rPr>
        <w:t>Art Tucker - London City &amp; East REC</w:t>
      </w:r>
    </w:p>
    <w:p w:rsidR="0007279B" w:rsidRDefault="0007279B" w:rsidP="0007279B">
      <w:pPr>
        <w:tabs>
          <w:tab w:val="left" w:pos="432"/>
        </w:tabs>
        <w:rPr>
          <w:rFonts w:cs="Arial"/>
        </w:rPr>
      </w:pPr>
      <w:r>
        <w:rPr>
          <w:rFonts w:cs="Arial"/>
        </w:rPr>
        <w:t>David Carpenter - Berkshire REC</w:t>
      </w:r>
    </w:p>
    <w:p w:rsidR="0007279B" w:rsidRDefault="0007279B" w:rsidP="0007279B">
      <w:pPr>
        <w:tabs>
          <w:tab w:val="left" w:pos="432"/>
        </w:tabs>
        <w:rPr>
          <w:rFonts w:cs="Arial"/>
        </w:rPr>
      </w:pPr>
      <w:r>
        <w:rPr>
          <w:rFonts w:cs="Arial"/>
        </w:rPr>
        <w:t>Kath Osborne - REC Manager: GM Central REC</w:t>
      </w:r>
    </w:p>
    <w:p w:rsidR="0007279B" w:rsidRDefault="00190F0A" w:rsidP="0007279B">
      <w:pPr>
        <w:tabs>
          <w:tab w:val="left" w:pos="432"/>
        </w:tabs>
        <w:rPr>
          <w:rFonts w:cs="Arial"/>
        </w:rPr>
      </w:pPr>
      <w:r>
        <w:rPr>
          <w:rFonts w:cs="Arial"/>
        </w:rPr>
        <w:t>Peter Heasman - York REC</w:t>
      </w:r>
    </w:p>
    <w:p w:rsidR="0007279B" w:rsidRDefault="0007279B" w:rsidP="0007279B">
      <w:pPr>
        <w:tabs>
          <w:tab w:val="left" w:pos="432"/>
        </w:tabs>
        <w:rPr>
          <w:rFonts w:cs="Arial"/>
        </w:rPr>
      </w:pPr>
      <w:r>
        <w:rPr>
          <w:rFonts w:cs="Arial"/>
        </w:rPr>
        <w:t xml:space="preserve">Deidre </w:t>
      </w:r>
      <w:proofErr w:type="spellStart"/>
      <w:r>
        <w:rPr>
          <w:rFonts w:cs="Arial"/>
        </w:rPr>
        <w:t>McColl</w:t>
      </w:r>
      <w:r w:rsidR="00190F0A">
        <w:rPr>
          <w:rFonts w:cs="Arial"/>
        </w:rPr>
        <w:t>am</w:t>
      </w:r>
      <w:proofErr w:type="spellEnd"/>
      <w:r w:rsidR="00190F0A">
        <w:rPr>
          <w:rFonts w:cs="Arial"/>
        </w:rPr>
        <w:t xml:space="preserve"> -</w:t>
      </w:r>
      <w:r>
        <w:rPr>
          <w:rFonts w:cs="Arial"/>
        </w:rPr>
        <w:t xml:space="preserve"> </w:t>
      </w:r>
      <w:proofErr w:type="spellStart"/>
      <w:r>
        <w:rPr>
          <w:rFonts w:cs="Arial"/>
        </w:rPr>
        <w:t>Biokinetic</w:t>
      </w:r>
      <w:proofErr w:type="spellEnd"/>
    </w:p>
    <w:p w:rsidR="0007279B" w:rsidRDefault="00190F0A" w:rsidP="0007279B">
      <w:pPr>
        <w:tabs>
          <w:tab w:val="left" w:pos="432"/>
        </w:tabs>
        <w:rPr>
          <w:rFonts w:cs="Arial"/>
        </w:rPr>
      </w:pPr>
      <w:r>
        <w:rPr>
          <w:rFonts w:cs="Arial"/>
        </w:rPr>
        <w:t xml:space="preserve">Roger </w:t>
      </w:r>
      <w:proofErr w:type="spellStart"/>
      <w:r>
        <w:rPr>
          <w:rFonts w:cs="Arial"/>
        </w:rPr>
        <w:t>Rawbone</w:t>
      </w:r>
      <w:proofErr w:type="spellEnd"/>
      <w:r>
        <w:rPr>
          <w:rFonts w:cs="Arial"/>
        </w:rPr>
        <w:t xml:space="preserve"> -</w:t>
      </w:r>
      <w:r w:rsidR="0007279B">
        <w:rPr>
          <w:rFonts w:cs="Arial"/>
        </w:rPr>
        <w:t xml:space="preserve"> GM Central REC</w:t>
      </w:r>
    </w:p>
    <w:p w:rsidR="0007279B" w:rsidRDefault="00190F0A" w:rsidP="0007279B">
      <w:pPr>
        <w:tabs>
          <w:tab w:val="left" w:pos="432"/>
        </w:tabs>
        <w:rPr>
          <w:rFonts w:cs="Arial"/>
        </w:rPr>
      </w:pPr>
      <w:r>
        <w:rPr>
          <w:rFonts w:cs="Arial"/>
        </w:rPr>
        <w:t xml:space="preserve">Christiane </w:t>
      </w:r>
      <w:proofErr w:type="spellStart"/>
      <w:r>
        <w:rPr>
          <w:rFonts w:cs="Arial"/>
        </w:rPr>
        <w:t>Abouzeid</w:t>
      </w:r>
      <w:proofErr w:type="spellEnd"/>
      <w:r>
        <w:rPr>
          <w:rFonts w:cs="Arial"/>
        </w:rPr>
        <w:t xml:space="preserve"> -</w:t>
      </w:r>
      <w:r w:rsidR="0007279B">
        <w:rPr>
          <w:rFonts w:cs="Arial"/>
        </w:rPr>
        <w:t xml:space="preserve"> BIA</w:t>
      </w:r>
    </w:p>
    <w:p w:rsidR="0007279B" w:rsidRDefault="00190F0A" w:rsidP="0007279B">
      <w:pPr>
        <w:tabs>
          <w:tab w:val="left" w:pos="432"/>
        </w:tabs>
        <w:rPr>
          <w:rFonts w:cs="Arial"/>
        </w:rPr>
      </w:pPr>
      <w:r>
        <w:rPr>
          <w:rFonts w:cs="Arial"/>
        </w:rPr>
        <w:t xml:space="preserve">Chris </w:t>
      </w:r>
      <w:proofErr w:type="spellStart"/>
      <w:r>
        <w:rPr>
          <w:rFonts w:cs="Arial"/>
        </w:rPr>
        <w:t>Vallin</w:t>
      </w:r>
      <w:proofErr w:type="spellEnd"/>
      <w:r>
        <w:rPr>
          <w:rFonts w:cs="Arial"/>
        </w:rPr>
        <w:t xml:space="preserve"> -</w:t>
      </w:r>
      <w:r w:rsidR="0007279B">
        <w:rPr>
          <w:rFonts w:cs="Arial"/>
        </w:rPr>
        <w:t xml:space="preserve"> Surrey REC</w:t>
      </w:r>
    </w:p>
    <w:p w:rsidR="00190F0A" w:rsidRDefault="00190F0A" w:rsidP="00190F0A">
      <w:pPr>
        <w:rPr>
          <w:rFonts w:cs="Arial"/>
        </w:rPr>
      </w:pPr>
      <w:r>
        <w:rPr>
          <w:rFonts w:cs="Arial"/>
        </w:rPr>
        <w:t>Joe Brierley - Bloomsbury REC</w:t>
      </w:r>
    </w:p>
    <w:p w:rsidR="00190F0A" w:rsidRDefault="00190F0A" w:rsidP="00190F0A">
      <w:pPr>
        <w:rPr>
          <w:rFonts w:cs="Arial"/>
        </w:rPr>
      </w:pPr>
      <w:r>
        <w:rPr>
          <w:rFonts w:cs="Arial"/>
        </w:rPr>
        <w:t>Ashley Totenhofer - Bloomsbury REC</w:t>
      </w:r>
    </w:p>
    <w:p w:rsidR="00190F0A" w:rsidRDefault="00190F0A" w:rsidP="00190F0A">
      <w:pPr>
        <w:rPr>
          <w:rFonts w:cs="Arial"/>
        </w:rPr>
      </w:pPr>
      <w:r>
        <w:rPr>
          <w:rFonts w:cs="Arial"/>
        </w:rPr>
        <w:t>Jan Downer - Harrow REC</w:t>
      </w:r>
    </w:p>
    <w:p w:rsidR="00190F0A" w:rsidRDefault="00190F0A" w:rsidP="00190F0A">
      <w:pPr>
        <w:rPr>
          <w:rFonts w:cs="Arial"/>
        </w:rPr>
      </w:pPr>
      <w:r>
        <w:rPr>
          <w:rFonts w:cs="Arial"/>
        </w:rPr>
        <w:t>Noel Landsman - Quintiles</w:t>
      </w:r>
    </w:p>
    <w:p w:rsidR="00190F0A" w:rsidRDefault="00190F0A" w:rsidP="00190F0A">
      <w:pPr>
        <w:rPr>
          <w:rFonts w:cs="Arial"/>
        </w:rPr>
      </w:pPr>
      <w:r>
        <w:rPr>
          <w:rFonts w:cs="Arial"/>
        </w:rPr>
        <w:t>Susan Tonks - Berkshire REC</w:t>
      </w:r>
    </w:p>
    <w:p w:rsidR="00190F0A" w:rsidRPr="0007279B" w:rsidRDefault="00190F0A" w:rsidP="00190F0A">
      <w:pPr>
        <w:rPr>
          <w:rFonts w:cs="Arial"/>
        </w:rPr>
      </w:pPr>
      <w:r>
        <w:rPr>
          <w:rFonts w:cs="Arial"/>
        </w:rPr>
        <w:t xml:space="preserve">Anita </w:t>
      </w:r>
      <w:proofErr w:type="spellStart"/>
      <w:r>
        <w:rPr>
          <w:rFonts w:cs="Arial"/>
        </w:rPr>
        <w:t>Chhabra</w:t>
      </w:r>
      <w:proofErr w:type="spellEnd"/>
      <w:r>
        <w:rPr>
          <w:rFonts w:cs="Arial"/>
        </w:rPr>
        <w:t xml:space="preserve"> - Cambridge Central</w:t>
      </w:r>
    </w:p>
    <w:p w:rsidR="004617DB" w:rsidRDefault="004617DB" w:rsidP="006B3203">
      <w:pPr>
        <w:rPr>
          <w:rFonts w:cs="Arial"/>
        </w:rPr>
      </w:pPr>
    </w:p>
    <w:tbl>
      <w:tblPr>
        <w:tblStyle w:val="TableGrid"/>
        <w:tblW w:w="8330" w:type="dxa"/>
        <w:tblLayout w:type="fixed"/>
        <w:tblLook w:val="04A0" w:firstRow="1" w:lastRow="0" w:firstColumn="1" w:lastColumn="0" w:noHBand="0" w:noVBand="1"/>
      </w:tblPr>
      <w:tblGrid>
        <w:gridCol w:w="675"/>
        <w:gridCol w:w="6946"/>
        <w:gridCol w:w="709"/>
      </w:tblGrid>
      <w:tr w:rsidR="00712276" w:rsidTr="00190F0A">
        <w:trPr>
          <w:trHeight w:val="575"/>
        </w:trPr>
        <w:tc>
          <w:tcPr>
            <w:tcW w:w="675" w:type="dxa"/>
            <w:shd w:val="clear" w:color="auto" w:fill="D9D9D9" w:themeFill="background1" w:themeFillShade="D9"/>
          </w:tcPr>
          <w:p w:rsidR="00712276" w:rsidRPr="004617DB" w:rsidRDefault="00712276" w:rsidP="000C26F1">
            <w:pPr>
              <w:tabs>
                <w:tab w:val="left" w:pos="360"/>
              </w:tabs>
              <w:spacing w:before="120" w:after="120"/>
              <w:jc w:val="center"/>
              <w:rPr>
                <w:rFonts w:cs="Arial"/>
                <w:b/>
              </w:rPr>
            </w:pPr>
            <w:r w:rsidRPr="004617DB">
              <w:rPr>
                <w:rFonts w:cs="Arial"/>
                <w:b/>
              </w:rPr>
              <w:t>Item</w:t>
            </w:r>
          </w:p>
        </w:tc>
        <w:tc>
          <w:tcPr>
            <w:tcW w:w="6946" w:type="dxa"/>
            <w:shd w:val="clear" w:color="auto" w:fill="D9D9D9" w:themeFill="background1" w:themeFillShade="D9"/>
          </w:tcPr>
          <w:p w:rsidR="00712276" w:rsidRPr="004617DB" w:rsidRDefault="00712276" w:rsidP="00480BCD">
            <w:pPr>
              <w:tabs>
                <w:tab w:val="left" w:pos="432"/>
              </w:tabs>
              <w:spacing w:before="120" w:after="120"/>
              <w:rPr>
                <w:rFonts w:cs="Arial"/>
                <w:b/>
              </w:rPr>
            </w:pPr>
            <w:r w:rsidRPr="004617DB">
              <w:rPr>
                <w:rFonts w:cs="Arial"/>
                <w:b/>
              </w:rPr>
              <w:t>Item details</w:t>
            </w:r>
          </w:p>
        </w:tc>
        <w:tc>
          <w:tcPr>
            <w:tcW w:w="709" w:type="dxa"/>
            <w:shd w:val="clear" w:color="auto" w:fill="D9D9D9" w:themeFill="background1" w:themeFillShade="D9"/>
          </w:tcPr>
          <w:p w:rsidR="00712276" w:rsidRPr="007F1FCA" w:rsidRDefault="004665B7" w:rsidP="00024034">
            <w:pPr>
              <w:spacing w:before="120" w:after="120"/>
              <w:rPr>
                <w:rFonts w:cs="Arial"/>
                <w:b/>
                <w:sz w:val="20"/>
                <w:szCs w:val="20"/>
              </w:rPr>
            </w:pPr>
            <w:r>
              <w:rPr>
                <w:rFonts w:cs="Arial"/>
                <w:b/>
                <w:sz w:val="20"/>
                <w:szCs w:val="20"/>
              </w:rPr>
              <w:t>Action</w:t>
            </w:r>
          </w:p>
        </w:tc>
      </w:tr>
      <w:tr w:rsidR="00712276" w:rsidTr="00190F0A">
        <w:tc>
          <w:tcPr>
            <w:tcW w:w="675" w:type="dxa"/>
          </w:tcPr>
          <w:p w:rsidR="00712276" w:rsidRPr="00480BCD" w:rsidRDefault="00712276" w:rsidP="000C26F1">
            <w:pPr>
              <w:pStyle w:val="ListParagraph"/>
              <w:numPr>
                <w:ilvl w:val="0"/>
                <w:numId w:val="7"/>
              </w:numPr>
              <w:tabs>
                <w:tab w:val="left" w:pos="360"/>
              </w:tabs>
              <w:ind w:left="144" w:firstLine="0"/>
              <w:jc w:val="center"/>
              <w:rPr>
                <w:rFonts w:cs="Arial"/>
                <w:b/>
              </w:rPr>
            </w:pPr>
          </w:p>
        </w:tc>
        <w:tc>
          <w:tcPr>
            <w:tcW w:w="6946" w:type="dxa"/>
          </w:tcPr>
          <w:p w:rsidR="00FD5F4C" w:rsidRPr="00FD5F4C" w:rsidRDefault="00FD5F4C" w:rsidP="00190F0A">
            <w:pPr>
              <w:tabs>
                <w:tab w:val="left" w:pos="432"/>
              </w:tabs>
              <w:jc w:val="both"/>
              <w:rPr>
                <w:rFonts w:cs="Arial"/>
              </w:rPr>
            </w:pPr>
            <w:r w:rsidRPr="00FD5F4C">
              <w:rPr>
                <w:rFonts w:cs="Arial"/>
              </w:rPr>
              <w:t>RT thanked those present and joining the meeting by teleconference for attending, especially due to the travel disruption.</w:t>
            </w:r>
          </w:p>
          <w:p w:rsidR="00FD5F4C" w:rsidRPr="00FD5F4C" w:rsidRDefault="00FD5F4C" w:rsidP="00190F0A">
            <w:pPr>
              <w:tabs>
                <w:tab w:val="left" w:pos="432"/>
              </w:tabs>
              <w:jc w:val="both"/>
              <w:rPr>
                <w:rFonts w:cs="Arial"/>
              </w:rPr>
            </w:pPr>
          </w:p>
          <w:p w:rsidR="00B64C78" w:rsidRPr="00FD5F4C" w:rsidRDefault="00FD5F4C" w:rsidP="00190F0A">
            <w:pPr>
              <w:jc w:val="both"/>
            </w:pPr>
            <w:r w:rsidRPr="00FD5F4C">
              <w:rPr>
                <w:rFonts w:cs="Arial"/>
              </w:rPr>
              <w:t>RT requested that item 5 (</w:t>
            </w:r>
            <w:r w:rsidRPr="00FD5F4C">
              <w:t>Update on the Clinical Trials Regulations</w:t>
            </w:r>
            <w:r w:rsidRPr="00FD5F4C">
              <w:rPr>
                <w:rFonts w:cs="Arial"/>
              </w:rPr>
              <w:t>) be brought forward on the agenda to before item 4 (Registration of all Phase 1 clinical trials as a condition of the favourable ethical opinion). This was due to the context of the EUCTR being relevant for the discussion regarding clinical trial registration.</w:t>
            </w:r>
          </w:p>
          <w:p w:rsidR="00521C3E" w:rsidRPr="00814A0B" w:rsidRDefault="00521C3E" w:rsidP="00FD5F4C">
            <w:pPr>
              <w:tabs>
                <w:tab w:val="left" w:pos="432"/>
              </w:tabs>
              <w:rPr>
                <w:rFonts w:cs="Arial"/>
              </w:rPr>
            </w:pPr>
          </w:p>
        </w:tc>
        <w:tc>
          <w:tcPr>
            <w:tcW w:w="709" w:type="dxa"/>
          </w:tcPr>
          <w:p w:rsidR="00712276" w:rsidRPr="00F549B5" w:rsidRDefault="00712276" w:rsidP="006B3203">
            <w:pPr>
              <w:rPr>
                <w:rFonts w:cs="Arial"/>
                <w:sz w:val="18"/>
                <w:szCs w:val="18"/>
              </w:rPr>
            </w:pPr>
          </w:p>
        </w:tc>
      </w:tr>
      <w:tr w:rsidR="00712276" w:rsidTr="00190F0A">
        <w:tc>
          <w:tcPr>
            <w:tcW w:w="675" w:type="dxa"/>
          </w:tcPr>
          <w:p w:rsidR="00712276" w:rsidRPr="00480BCD" w:rsidRDefault="00712276" w:rsidP="000C26F1">
            <w:pPr>
              <w:pStyle w:val="ListParagraph"/>
              <w:numPr>
                <w:ilvl w:val="0"/>
                <w:numId w:val="7"/>
              </w:numPr>
              <w:tabs>
                <w:tab w:val="left" w:pos="360"/>
              </w:tabs>
              <w:ind w:left="144" w:firstLine="0"/>
              <w:jc w:val="center"/>
              <w:rPr>
                <w:rFonts w:cs="Arial"/>
                <w:b/>
              </w:rPr>
            </w:pPr>
          </w:p>
        </w:tc>
        <w:tc>
          <w:tcPr>
            <w:tcW w:w="6946" w:type="dxa"/>
          </w:tcPr>
          <w:p w:rsidR="007F1FCA" w:rsidRDefault="00712276" w:rsidP="00480BCD">
            <w:pPr>
              <w:tabs>
                <w:tab w:val="left" w:pos="432"/>
              </w:tabs>
              <w:rPr>
                <w:rFonts w:cs="Arial"/>
              </w:rPr>
            </w:pPr>
            <w:r w:rsidRPr="00814A0B">
              <w:rPr>
                <w:rFonts w:cs="Arial"/>
                <w:b/>
              </w:rPr>
              <w:t>Minutes of previous meeting on</w:t>
            </w:r>
            <w:r w:rsidR="007F1FCA">
              <w:rPr>
                <w:rFonts w:cs="Arial"/>
                <w:b/>
              </w:rPr>
              <w:t xml:space="preserve">: </w:t>
            </w:r>
            <w:r w:rsidR="00EA6009">
              <w:rPr>
                <w:rFonts w:cs="Arial"/>
              </w:rPr>
              <w:t>25 July</w:t>
            </w:r>
            <w:r w:rsidR="00B00277" w:rsidRPr="007F1FCA">
              <w:rPr>
                <w:rFonts w:cs="Arial"/>
              </w:rPr>
              <w:t xml:space="preserve"> 2013</w:t>
            </w:r>
          </w:p>
          <w:p w:rsidR="000C6A9F" w:rsidRDefault="000C6A9F" w:rsidP="00480BCD">
            <w:pPr>
              <w:tabs>
                <w:tab w:val="left" w:pos="432"/>
              </w:tabs>
              <w:rPr>
                <w:rFonts w:cs="Arial"/>
              </w:rPr>
            </w:pPr>
          </w:p>
          <w:p w:rsidR="00521C3E" w:rsidRDefault="00FD5F4C" w:rsidP="00190F0A">
            <w:pPr>
              <w:tabs>
                <w:tab w:val="left" w:pos="432"/>
              </w:tabs>
              <w:jc w:val="both"/>
              <w:rPr>
                <w:rFonts w:cs="Arial"/>
              </w:rPr>
            </w:pPr>
            <w:r>
              <w:rPr>
                <w:rFonts w:cs="Arial"/>
              </w:rPr>
              <w:t>The minutes were a</w:t>
            </w:r>
            <w:r w:rsidR="00FE4BC6">
              <w:rPr>
                <w:rFonts w:cs="Arial"/>
              </w:rPr>
              <w:t>greed as an accurate record.</w:t>
            </w:r>
          </w:p>
          <w:p w:rsidR="00FE4BC6" w:rsidRDefault="00FE4BC6" w:rsidP="00190F0A">
            <w:pPr>
              <w:tabs>
                <w:tab w:val="left" w:pos="432"/>
              </w:tabs>
              <w:jc w:val="both"/>
              <w:rPr>
                <w:rFonts w:cs="Arial"/>
              </w:rPr>
            </w:pPr>
          </w:p>
          <w:p w:rsidR="00FD5F4C" w:rsidRDefault="00FE4BC6" w:rsidP="00190F0A">
            <w:pPr>
              <w:tabs>
                <w:tab w:val="left" w:pos="432"/>
              </w:tabs>
              <w:jc w:val="both"/>
              <w:rPr>
                <w:rFonts w:cs="Arial"/>
              </w:rPr>
            </w:pPr>
            <w:r>
              <w:rPr>
                <w:rFonts w:cs="Arial"/>
              </w:rPr>
              <w:t>R</w:t>
            </w:r>
            <w:r w:rsidR="00FD5F4C">
              <w:rPr>
                <w:rFonts w:cs="Arial"/>
              </w:rPr>
              <w:t xml:space="preserve">T noted that in the last meeting (25.7.13) the group agreed for the minutes of the meeting to be published. There had not been any required redactions identified but RT asked the members of the group to inform </w:t>
            </w:r>
            <w:proofErr w:type="spellStart"/>
            <w:r w:rsidR="00FD5F4C">
              <w:rPr>
                <w:rFonts w:cs="Arial"/>
              </w:rPr>
              <w:t>CB</w:t>
            </w:r>
            <w:r w:rsidR="00C420F6">
              <w:rPr>
                <w:rFonts w:cs="Arial"/>
              </w:rPr>
              <w:t>l</w:t>
            </w:r>
            <w:proofErr w:type="spellEnd"/>
            <w:r w:rsidR="00FD5F4C">
              <w:rPr>
                <w:rFonts w:cs="Arial"/>
              </w:rPr>
              <w:t xml:space="preserve"> of any required prior to publication on the HRA website.</w:t>
            </w:r>
          </w:p>
          <w:p w:rsidR="00FE4BC6" w:rsidRDefault="00FE4BC6" w:rsidP="00190F0A">
            <w:pPr>
              <w:tabs>
                <w:tab w:val="left" w:pos="432"/>
              </w:tabs>
              <w:jc w:val="both"/>
              <w:rPr>
                <w:rFonts w:cs="Arial"/>
              </w:rPr>
            </w:pPr>
          </w:p>
          <w:p w:rsidR="00521C3E" w:rsidRPr="00814A0B" w:rsidRDefault="00521C3E" w:rsidP="00480BCD">
            <w:pPr>
              <w:tabs>
                <w:tab w:val="left" w:pos="432"/>
              </w:tabs>
              <w:rPr>
                <w:rFonts w:cs="Arial"/>
              </w:rPr>
            </w:pPr>
          </w:p>
        </w:tc>
        <w:tc>
          <w:tcPr>
            <w:tcW w:w="709" w:type="dxa"/>
          </w:tcPr>
          <w:p w:rsidR="00712276" w:rsidRDefault="00712276" w:rsidP="00BE7FA1">
            <w:pPr>
              <w:rPr>
                <w:rFonts w:cs="Arial"/>
                <w:sz w:val="18"/>
                <w:szCs w:val="18"/>
              </w:rPr>
            </w:pPr>
          </w:p>
          <w:p w:rsidR="00FD5F4C" w:rsidRDefault="00FD5F4C" w:rsidP="00BE7FA1">
            <w:pPr>
              <w:rPr>
                <w:rFonts w:cs="Arial"/>
                <w:sz w:val="18"/>
                <w:szCs w:val="18"/>
              </w:rPr>
            </w:pPr>
          </w:p>
          <w:p w:rsidR="00FD5F4C" w:rsidRDefault="00FD5F4C" w:rsidP="00BE7FA1">
            <w:pPr>
              <w:rPr>
                <w:rFonts w:cs="Arial"/>
                <w:sz w:val="18"/>
                <w:szCs w:val="18"/>
              </w:rPr>
            </w:pPr>
          </w:p>
          <w:p w:rsidR="00FD5F4C" w:rsidRDefault="00FD5F4C" w:rsidP="00BE7FA1">
            <w:pPr>
              <w:rPr>
                <w:rFonts w:cs="Arial"/>
                <w:sz w:val="18"/>
                <w:szCs w:val="18"/>
              </w:rPr>
            </w:pPr>
          </w:p>
          <w:p w:rsidR="00FD5F4C" w:rsidRDefault="00FD5F4C" w:rsidP="00BE7FA1">
            <w:pPr>
              <w:rPr>
                <w:rFonts w:cs="Arial"/>
                <w:sz w:val="18"/>
                <w:szCs w:val="18"/>
              </w:rPr>
            </w:pPr>
          </w:p>
          <w:p w:rsidR="00FD5F4C" w:rsidRDefault="00FD5F4C" w:rsidP="00BE7FA1">
            <w:pPr>
              <w:rPr>
                <w:rFonts w:cs="Arial"/>
                <w:sz w:val="18"/>
                <w:szCs w:val="18"/>
              </w:rPr>
            </w:pPr>
          </w:p>
          <w:p w:rsidR="00FD5F4C" w:rsidRDefault="00FD5F4C" w:rsidP="00BE7FA1">
            <w:pPr>
              <w:rPr>
                <w:rFonts w:cs="Arial"/>
                <w:sz w:val="18"/>
                <w:szCs w:val="18"/>
              </w:rPr>
            </w:pPr>
          </w:p>
          <w:p w:rsidR="00FD5F4C" w:rsidRDefault="00FD5F4C" w:rsidP="00BE7FA1">
            <w:pPr>
              <w:rPr>
                <w:rFonts w:cs="Arial"/>
                <w:sz w:val="18"/>
                <w:szCs w:val="18"/>
              </w:rPr>
            </w:pPr>
          </w:p>
          <w:p w:rsidR="00FD5F4C" w:rsidRDefault="00FD5F4C" w:rsidP="00BE7FA1">
            <w:pPr>
              <w:rPr>
                <w:rFonts w:cs="Arial"/>
                <w:sz w:val="18"/>
                <w:szCs w:val="18"/>
              </w:rPr>
            </w:pPr>
          </w:p>
          <w:p w:rsidR="00FD5F4C" w:rsidRPr="00CE433F" w:rsidRDefault="00FD5F4C" w:rsidP="00BE7FA1">
            <w:pPr>
              <w:rPr>
                <w:rFonts w:cs="Arial"/>
                <w:b/>
                <w:sz w:val="18"/>
                <w:szCs w:val="18"/>
              </w:rPr>
            </w:pPr>
            <w:r w:rsidRPr="00CE433F">
              <w:rPr>
                <w:rFonts w:cs="Arial"/>
                <w:b/>
                <w:sz w:val="18"/>
                <w:szCs w:val="18"/>
              </w:rPr>
              <w:t>All</w:t>
            </w:r>
          </w:p>
        </w:tc>
      </w:tr>
      <w:tr w:rsidR="00712276" w:rsidTr="00190F0A">
        <w:tc>
          <w:tcPr>
            <w:tcW w:w="675" w:type="dxa"/>
          </w:tcPr>
          <w:p w:rsidR="00712276" w:rsidRPr="00480BCD" w:rsidRDefault="00712276" w:rsidP="00190F0A">
            <w:pPr>
              <w:pStyle w:val="ListParagraph"/>
              <w:numPr>
                <w:ilvl w:val="0"/>
                <w:numId w:val="7"/>
              </w:numPr>
              <w:tabs>
                <w:tab w:val="left" w:pos="360"/>
              </w:tabs>
              <w:ind w:left="144" w:firstLine="0"/>
              <w:jc w:val="both"/>
              <w:rPr>
                <w:rFonts w:cs="Arial"/>
                <w:b/>
              </w:rPr>
            </w:pPr>
          </w:p>
        </w:tc>
        <w:tc>
          <w:tcPr>
            <w:tcW w:w="6946" w:type="dxa"/>
          </w:tcPr>
          <w:p w:rsidR="00712276" w:rsidRDefault="00712276" w:rsidP="00190F0A">
            <w:pPr>
              <w:tabs>
                <w:tab w:val="left" w:pos="432"/>
              </w:tabs>
              <w:jc w:val="both"/>
              <w:rPr>
                <w:rFonts w:cs="Arial"/>
                <w:b/>
              </w:rPr>
            </w:pPr>
            <w:r w:rsidRPr="00814A0B">
              <w:rPr>
                <w:rFonts w:cs="Arial"/>
                <w:b/>
              </w:rPr>
              <w:t xml:space="preserve">Matters Arising </w:t>
            </w:r>
          </w:p>
          <w:p w:rsidR="00935DF7" w:rsidRDefault="00935DF7" w:rsidP="00190F0A">
            <w:pPr>
              <w:tabs>
                <w:tab w:val="left" w:pos="432"/>
              </w:tabs>
              <w:jc w:val="both"/>
              <w:rPr>
                <w:rFonts w:cs="Arial"/>
              </w:rPr>
            </w:pPr>
          </w:p>
          <w:p w:rsidR="002C6AD6" w:rsidRDefault="00FD5F4C" w:rsidP="00190F0A">
            <w:pPr>
              <w:tabs>
                <w:tab w:val="left" w:pos="432"/>
              </w:tabs>
              <w:jc w:val="both"/>
              <w:rPr>
                <w:rFonts w:cs="Arial"/>
              </w:rPr>
            </w:pPr>
            <w:r>
              <w:rPr>
                <w:rFonts w:cs="Arial"/>
              </w:rPr>
              <w:t xml:space="preserve">4.2 - </w:t>
            </w:r>
            <w:r w:rsidR="005B07B9">
              <w:rPr>
                <w:rFonts w:cs="Arial"/>
              </w:rPr>
              <w:t>Patient volunteers with active disease where ther</w:t>
            </w:r>
            <w:r w:rsidR="00AB0A6F">
              <w:rPr>
                <w:rFonts w:cs="Arial"/>
              </w:rPr>
              <w:t>e is no therapeutic benefit - Confirmation</w:t>
            </w:r>
            <w:r w:rsidR="002C6AD6">
              <w:rPr>
                <w:rFonts w:cs="Arial"/>
              </w:rPr>
              <w:t xml:space="preserve"> had been requested</w:t>
            </w:r>
            <w:r w:rsidR="00AB0A6F">
              <w:rPr>
                <w:rFonts w:cs="Arial"/>
              </w:rPr>
              <w:t xml:space="preserve"> re</w:t>
            </w:r>
            <w:r w:rsidR="002C6AD6">
              <w:rPr>
                <w:rFonts w:cs="Arial"/>
              </w:rPr>
              <w:t>garding</w:t>
            </w:r>
            <w:r w:rsidR="00AB0A6F">
              <w:rPr>
                <w:rFonts w:cs="Arial"/>
              </w:rPr>
              <w:t xml:space="preserve"> which type of REC </w:t>
            </w:r>
            <w:r w:rsidR="002C6AD6">
              <w:rPr>
                <w:rFonts w:cs="Arial"/>
              </w:rPr>
              <w:t xml:space="preserve">such studies </w:t>
            </w:r>
            <w:r w:rsidR="00AB0A6F">
              <w:rPr>
                <w:rFonts w:cs="Arial"/>
              </w:rPr>
              <w:t>should be reviewed</w:t>
            </w:r>
            <w:r w:rsidR="00FE4BC6">
              <w:rPr>
                <w:rFonts w:cs="Arial"/>
              </w:rPr>
              <w:t xml:space="preserve"> by</w:t>
            </w:r>
            <w:r w:rsidR="002C6AD6">
              <w:rPr>
                <w:rFonts w:cs="Arial"/>
              </w:rPr>
              <w:t xml:space="preserve">. JK confirmed that they fall under the remit of Phase 1 as they fall under Phase 1 insurance requirements. This will be clarified as part of the ongoing work to revise SOPs. Clarification would also be included in a NRES staff Operational Management Email Alert to ensure that </w:t>
            </w:r>
            <w:proofErr w:type="gramStart"/>
            <w:r w:rsidR="002C6AD6">
              <w:rPr>
                <w:rFonts w:cs="Arial"/>
              </w:rPr>
              <w:t>staff are</w:t>
            </w:r>
            <w:proofErr w:type="gramEnd"/>
            <w:r w:rsidR="002C6AD6">
              <w:rPr>
                <w:rFonts w:cs="Arial"/>
              </w:rPr>
              <w:t xml:space="preserve"> aware to manage such studies in line with Phase 1 studies in healthy volunteer timelines.</w:t>
            </w:r>
          </w:p>
          <w:p w:rsidR="002C6AD6" w:rsidRDefault="002C6AD6" w:rsidP="00190F0A">
            <w:pPr>
              <w:tabs>
                <w:tab w:val="left" w:pos="432"/>
              </w:tabs>
              <w:jc w:val="both"/>
              <w:rPr>
                <w:rFonts w:cs="Arial"/>
              </w:rPr>
            </w:pPr>
          </w:p>
          <w:p w:rsidR="00FE4BC6" w:rsidRDefault="00FE4BC6" w:rsidP="00190F0A">
            <w:pPr>
              <w:tabs>
                <w:tab w:val="left" w:pos="432"/>
              </w:tabs>
              <w:jc w:val="both"/>
              <w:rPr>
                <w:rFonts w:cs="Arial"/>
              </w:rPr>
            </w:pPr>
            <w:r>
              <w:rPr>
                <w:rFonts w:cs="Arial"/>
              </w:rPr>
              <w:t xml:space="preserve"> </w:t>
            </w:r>
            <w:r w:rsidR="00C420F6">
              <w:rPr>
                <w:rFonts w:cs="Arial"/>
              </w:rPr>
              <w:t xml:space="preserve">3.3 - RT stated that the Terms of Reference for this group needed revising. It was agreed that a tracked changes version of the document tabled at the meeting would be sent out to members. All comments should be sent to </w:t>
            </w:r>
            <w:proofErr w:type="spellStart"/>
            <w:r w:rsidR="00C420F6">
              <w:rPr>
                <w:rFonts w:cs="Arial"/>
              </w:rPr>
              <w:t>CBl</w:t>
            </w:r>
            <w:proofErr w:type="spellEnd"/>
            <w:r w:rsidR="00C420F6">
              <w:rPr>
                <w:rFonts w:cs="Arial"/>
              </w:rPr>
              <w:t>.</w:t>
            </w:r>
            <w:r w:rsidR="00C96B72">
              <w:rPr>
                <w:rFonts w:cs="Arial"/>
              </w:rPr>
              <w:t xml:space="preserve"> This document will then be revised and shared before the next meeting. </w:t>
            </w:r>
          </w:p>
          <w:p w:rsidR="007E0AA9" w:rsidRDefault="007E0AA9" w:rsidP="00190F0A">
            <w:pPr>
              <w:tabs>
                <w:tab w:val="left" w:pos="432"/>
              </w:tabs>
              <w:jc w:val="both"/>
              <w:rPr>
                <w:rFonts w:cs="Arial"/>
              </w:rPr>
            </w:pPr>
          </w:p>
          <w:p w:rsidR="00C96B72" w:rsidRDefault="00C96B72" w:rsidP="00190F0A">
            <w:pPr>
              <w:tabs>
                <w:tab w:val="left" w:pos="432"/>
              </w:tabs>
              <w:jc w:val="both"/>
              <w:rPr>
                <w:rFonts w:cs="Arial"/>
              </w:rPr>
            </w:pPr>
            <w:r>
              <w:rPr>
                <w:rFonts w:cs="Arial"/>
              </w:rPr>
              <w:t>4.1 - CC informed the group that</w:t>
            </w:r>
            <w:r w:rsidR="007E0AA9">
              <w:rPr>
                <w:rFonts w:cs="Arial"/>
              </w:rPr>
              <w:t xml:space="preserve"> </w:t>
            </w:r>
            <w:r>
              <w:rPr>
                <w:rFonts w:cs="Arial"/>
              </w:rPr>
              <w:t xml:space="preserve">the National Research Ethics Advisory Panel had reviewed a document regarding payments which included offering luxury items, particularly in regard to comparing the cost of the item with monetary value. This issue had not been picked up by the panel however and no further guidance had been offered on the matter. </w:t>
            </w:r>
          </w:p>
          <w:p w:rsidR="007E0AA9" w:rsidRDefault="007E0AA9" w:rsidP="00190F0A">
            <w:pPr>
              <w:tabs>
                <w:tab w:val="left" w:pos="432"/>
              </w:tabs>
              <w:jc w:val="both"/>
              <w:rPr>
                <w:rFonts w:cs="Arial"/>
              </w:rPr>
            </w:pPr>
          </w:p>
          <w:p w:rsidR="00C96B72" w:rsidRDefault="00C96B72" w:rsidP="00190F0A">
            <w:pPr>
              <w:tabs>
                <w:tab w:val="left" w:pos="432"/>
              </w:tabs>
              <w:jc w:val="both"/>
              <w:rPr>
                <w:rFonts w:cs="Arial"/>
              </w:rPr>
            </w:pPr>
            <w:r>
              <w:rPr>
                <w:rFonts w:cs="Arial"/>
              </w:rPr>
              <w:t>JK suggested that</w:t>
            </w:r>
            <w:r w:rsidR="007E0AA9">
              <w:rPr>
                <w:rFonts w:cs="Arial"/>
              </w:rPr>
              <w:t xml:space="preserve"> if</w:t>
            </w:r>
            <w:r>
              <w:rPr>
                <w:rFonts w:cs="Arial"/>
              </w:rPr>
              <w:t xml:space="preserve"> the offer related to</w:t>
            </w:r>
            <w:r w:rsidR="007E0AA9">
              <w:rPr>
                <w:rFonts w:cs="Arial"/>
              </w:rPr>
              <w:t xml:space="preserve"> </w:t>
            </w:r>
            <w:r>
              <w:rPr>
                <w:rFonts w:cs="Arial"/>
              </w:rPr>
              <w:t xml:space="preserve">a specific study then this would be reviewed by the REC and be considered as part of the ethical opinion. </w:t>
            </w:r>
            <w:r w:rsidR="007E0AA9">
              <w:rPr>
                <w:rFonts w:cs="Arial"/>
              </w:rPr>
              <w:t>If generic</w:t>
            </w:r>
            <w:r>
              <w:rPr>
                <w:rFonts w:cs="Arial"/>
              </w:rPr>
              <w:t xml:space="preserve"> however</w:t>
            </w:r>
            <w:r w:rsidR="007E0AA9">
              <w:rPr>
                <w:rFonts w:cs="Arial"/>
              </w:rPr>
              <w:t xml:space="preserve">, </w:t>
            </w:r>
            <w:r>
              <w:rPr>
                <w:rFonts w:cs="Arial"/>
              </w:rPr>
              <w:t xml:space="preserve">this could </w:t>
            </w:r>
            <w:r w:rsidR="007E0AA9">
              <w:rPr>
                <w:rFonts w:cs="Arial"/>
              </w:rPr>
              <w:t xml:space="preserve">go through </w:t>
            </w:r>
            <w:r>
              <w:rPr>
                <w:rFonts w:cs="Arial"/>
              </w:rPr>
              <w:t xml:space="preserve">the generic review committee. The generic review committee </w:t>
            </w:r>
            <w:r w:rsidR="007E0AA9">
              <w:rPr>
                <w:rFonts w:cs="Arial"/>
              </w:rPr>
              <w:t xml:space="preserve">members confirmed that </w:t>
            </w:r>
            <w:r>
              <w:rPr>
                <w:rFonts w:cs="Arial"/>
              </w:rPr>
              <w:t>this issue had not arisen to date</w:t>
            </w:r>
            <w:r w:rsidR="007E0AA9">
              <w:rPr>
                <w:rFonts w:cs="Arial"/>
              </w:rPr>
              <w:t xml:space="preserve">. </w:t>
            </w:r>
            <w:r>
              <w:rPr>
                <w:rFonts w:cs="Arial"/>
              </w:rPr>
              <w:t xml:space="preserve">It was queried whether CROs or industry had requested such guidance and JM noted that this had come up through a complaint received by the MHRA. A member of the public had complained that luxury items such as </w:t>
            </w:r>
            <w:proofErr w:type="spellStart"/>
            <w:r>
              <w:rPr>
                <w:rFonts w:cs="Arial"/>
              </w:rPr>
              <w:t>i</w:t>
            </w:r>
            <w:proofErr w:type="spellEnd"/>
            <w:r>
              <w:rPr>
                <w:rFonts w:cs="Arial"/>
              </w:rPr>
              <w:t xml:space="preserve">-pads might be seen as coercion. JM suggested that from a MHRA perspective, if the stance was clear in the SOPs that if the advertising is part of the study it is approved by the REC, if it was generic then this would be the responsibility of the site, this would be acceptable.  </w:t>
            </w:r>
          </w:p>
          <w:p w:rsidR="00FE4BC6" w:rsidRDefault="00FE4BC6" w:rsidP="00190F0A">
            <w:pPr>
              <w:tabs>
                <w:tab w:val="left" w:pos="432"/>
              </w:tabs>
              <w:jc w:val="both"/>
              <w:rPr>
                <w:rFonts w:cs="Arial"/>
              </w:rPr>
            </w:pPr>
          </w:p>
          <w:p w:rsidR="00CD343B" w:rsidRDefault="001E7247" w:rsidP="00190F0A">
            <w:pPr>
              <w:tabs>
                <w:tab w:val="left" w:pos="432"/>
              </w:tabs>
              <w:jc w:val="both"/>
              <w:rPr>
                <w:rFonts w:cs="Arial"/>
              </w:rPr>
            </w:pPr>
            <w:r>
              <w:rPr>
                <w:rFonts w:cs="Arial"/>
              </w:rPr>
              <w:t>4.3</w:t>
            </w:r>
            <w:r w:rsidR="0060757A">
              <w:rPr>
                <w:rFonts w:cs="Arial"/>
              </w:rPr>
              <w:t xml:space="preserve"> - This point refers to the potential need to declare payment for </w:t>
            </w:r>
            <w:r w:rsidR="00CD343B" w:rsidRPr="00CD343B">
              <w:rPr>
                <w:rFonts w:cs="Arial"/>
              </w:rPr>
              <w:t xml:space="preserve">tax purposes.  </w:t>
            </w:r>
            <w:r w:rsidR="0060757A">
              <w:rPr>
                <w:rFonts w:cs="Arial"/>
              </w:rPr>
              <w:t>This</w:t>
            </w:r>
            <w:r w:rsidR="00CD343B" w:rsidRPr="00CD343B">
              <w:rPr>
                <w:rFonts w:cs="Arial"/>
              </w:rPr>
              <w:t xml:space="preserve"> should also include reference to declaration for benefit purposes too.    This is an area where currently a more unsympathetic stance might be taken by the officials in the field.</w:t>
            </w:r>
            <w:r w:rsidR="0060757A">
              <w:rPr>
                <w:rFonts w:cs="Arial"/>
              </w:rPr>
              <w:t xml:space="preserve"> The group noted that the issue was whether the HMRC accept expenses and not in excess of £8,000.</w:t>
            </w:r>
          </w:p>
          <w:p w:rsidR="0063259B" w:rsidRPr="00835F18" w:rsidRDefault="0063259B" w:rsidP="00190F0A">
            <w:pPr>
              <w:tabs>
                <w:tab w:val="left" w:pos="432"/>
              </w:tabs>
              <w:jc w:val="both"/>
              <w:rPr>
                <w:rFonts w:cs="Arial"/>
              </w:rPr>
            </w:pPr>
          </w:p>
        </w:tc>
        <w:tc>
          <w:tcPr>
            <w:tcW w:w="709" w:type="dxa"/>
          </w:tcPr>
          <w:p w:rsidR="00712276" w:rsidRDefault="00712276" w:rsidP="00190F0A">
            <w:pPr>
              <w:jc w:val="both"/>
              <w:rPr>
                <w:rFonts w:cs="Arial"/>
                <w:sz w:val="18"/>
                <w:szCs w:val="18"/>
              </w:rPr>
            </w:pPr>
          </w:p>
          <w:p w:rsidR="00C420F6" w:rsidRDefault="00C420F6" w:rsidP="00190F0A">
            <w:pPr>
              <w:jc w:val="both"/>
              <w:rPr>
                <w:rFonts w:cs="Arial"/>
                <w:sz w:val="18"/>
                <w:szCs w:val="18"/>
              </w:rPr>
            </w:pPr>
          </w:p>
          <w:p w:rsidR="00C420F6" w:rsidRDefault="00C420F6" w:rsidP="00190F0A">
            <w:pPr>
              <w:jc w:val="both"/>
              <w:rPr>
                <w:rFonts w:cs="Arial"/>
                <w:sz w:val="18"/>
                <w:szCs w:val="18"/>
              </w:rPr>
            </w:pPr>
          </w:p>
          <w:p w:rsidR="00C420F6" w:rsidRDefault="00C420F6" w:rsidP="00190F0A">
            <w:pPr>
              <w:jc w:val="both"/>
              <w:rPr>
                <w:rFonts w:cs="Arial"/>
                <w:sz w:val="18"/>
                <w:szCs w:val="18"/>
              </w:rPr>
            </w:pPr>
          </w:p>
          <w:p w:rsidR="00C420F6" w:rsidRDefault="00C420F6" w:rsidP="00190F0A">
            <w:pPr>
              <w:jc w:val="both"/>
              <w:rPr>
                <w:rFonts w:cs="Arial"/>
                <w:sz w:val="18"/>
                <w:szCs w:val="18"/>
              </w:rPr>
            </w:pPr>
          </w:p>
          <w:p w:rsidR="00C420F6" w:rsidRDefault="00C420F6" w:rsidP="00190F0A">
            <w:pPr>
              <w:jc w:val="both"/>
              <w:rPr>
                <w:rFonts w:cs="Arial"/>
                <w:sz w:val="18"/>
                <w:szCs w:val="18"/>
              </w:rPr>
            </w:pPr>
          </w:p>
          <w:p w:rsidR="00C420F6" w:rsidRDefault="00C420F6" w:rsidP="00190F0A">
            <w:pPr>
              <w:jc w:val="both"/>
              <w:rPr>
                <w:rFonts w:cs="Arial"/>
                <w:sz w:val="18"/>
                <w:szCs w:val="18"/>
              </w:rPr>
            </w:pPr>
          </w:p>
          <w:p w:rsidR="00C420F6" w:rsidRDefault="00C420F6" w:rsidP="00190F0A">
            <w:pPr>
              <w:jc w:val="both"/>
              <w:rPr>
                <w:rFonts w:cs="Arial"/>
                <w:sz w:val="18"/>
                <w:szCs w:val="18"/>
              </w:rPr>
            </w:pPr>
          </w:p>
          <w:p w:rsidR="00C420F6" w:rsidRDefault="00C420F6" w:rsidP="00190F0A">
            <w:pPr>
              <w:jc w:val="both"/>
              <w:rPr>
                <w:rFonts w:cs="Arial"/>
                <w:sz w:val="18"/>
                <w:szCs w:val="18"/>
              </w:rPr>
            </w:pPr>
          </w:p>
          <w:p w:rsidR="00C420F6" w:rsidRDefault="00C420F6" w:rsidP="00190F0A">
            <w:pPr>
              <w:jc w:val="both"/>
              <w:rPr>
                <w:rFonts w:cs="Arial"/>
                <w:sz w:val="18"/>
                <w:szCs w:val="18"/>
              </w:rPr>
            </w:pPr>
          </w:p>
          <w:p w:rsidR="00C420F6" w:rsidRDefault="00C420F6" w:rsidP="00190F0A">
            <w:pPr>
              <w:jc w:val="both"/>
              <w:rPr>
                <w:rFonts w:cs="Arial"/>
                <w:sz w:val="18"/>
                <w:szCs w:val="18"/>
              </w:rPr>
            </w:pPr>
          </w:p>
          <w:p w:rsidR="00C420F6" w:rsidRPr="00CE433F" w:rsidRDefault="00C420F6" w:rsidP="00190F0A">
            <w:pPr>
              <w:jc w:val="both"/>
              <w:rPr>
                <w:rFonts w:cs="Arial"/>
                <w:b/>
                <w:sz w:val="18"/>
                <w:szCs w:val="18"/>
              </w:rPr>
            </w:pPr>
            <w:proofErr w:type="spellStart"/>
            <w:r w:rsidRPr="00CE433F">
              <w:rPr>
                <w:rFonts w:cs="Arial"/>
                <w:b/>
                <w:sz w:val="18"/>
                <w:szCs w:val="18"/>
              </w:rPr>
              <w:t>CBl</w:t>
            </w:r>
            <w:proofErr w:type="spellEnd"/>
          </w:p>
          <w:p w:rsidR="00C420F6" w:rsidRPr="00CE433F" w:rsidRDefault="00C420F6" w:rsidP="00190F0A">
            <w:pPr>
              <w:jc w:val="both"/>
              <w:rPr>
                <w:rFonts w:cs="Arial"/>
                <w:b/>
                <w:sz w:val="18"/>
                <w:szCs w:val="18"/>
              </w:rPr>
            </w:pPr>
          </w:p>
          <w:p w:rsidR="00C420F6" w:rsidRPr="00CE433F" w:rsidRDefault="00C420F6" w:rsidP="00190F0A">
            <w:pPr>
              <w:jc w:val="both"/>
              <w:rPr>
                <w:rFonts w:cs="Arial"/>
                <w:b/>
                <w:sz w:val="18"/>
                <w:szCs w:val="18"/>
              </w:rPr>
            </w:pPr>
          </w:p>
          <w:p w:rsidR="00C420F6" w:rsidRPr="00CE433F" w:rsidRDefault="00C420F6" w:rsidP="00190F0A">
            <w:pPr>
              <w:jc w:val="both"/>
              <w:rPr>
                <w:rFonts w:cs="Arial"/>
                <w:b/>
                <w:sz w:val="18"/>
                <w:szCs w:val="18"/>
              </w:rPr>
            </w:pPr>
          </w:p>
          <w:p w:rsidR="00C420F6" w:rsidRPr="00CE433F" w:rsidRDefault="00C420F6" w:rsidP="00190F0A">
            <w:pPr>
              <w:jc w:val="both"/>
              <w:rPr>
                <w:rFonts w:cs="Arial"/>
                <w:b/>
                <w:sz w:val="18"/>
                <w:szCs w:val="18"/>
              </w:rPr>
            </w:pPr>
          </w:p>
          <w:p w:rsidR="00C420F6" w:rsidRPr="00CE433F" w:rsidRDefault="00C420F6" w:rsidP="00190F0A">
            <w:pPr>
              <w:jc w:val="both"/>
              <w:rPr>
                <w:rFonts w:cs="Arial"/>
                <w:b/>
                <w:sz w:val="18"/>
                <w:szCs w:val="18"/>
              </w:rPr>
            </w:pPr>
          </w:p>
          <w:p w:rsidR="00C420F6" w:rsidRPr="00CE433F" w:rsidRDefault="00C420F6" w:rsidP="00190F0A">
            <w:pPr>
              <w:jc w:val="both"/>
              <w:rPr>
                <w:rFonts w:cs="Arial"/>
                <w:b/>
                <w:sz w:val="18"/>
                <w:szCs w:val="18"/>
              </w:rPr>
            </w:pPr>
          </w:p>
          <w:p w:rsidR="00C420F6" w:rsidRPr="00F549B5" w:rsidRDefault="00C420F6" w:rsidP="00190F0A">
            <w:pPr>
              <w:jc w:val="both"/>
              <w:rPr>
                <w:rFonts w:cs="Arial"/>
                <w:sz w:val="18"/>
                <w:szCs w:val="18"/>
              </w:rPr>
            </w:pPr>
            <w:proofErr w:type="spellStart"/>
            <w:r w:rsidRPr="00CE433F">
              <w:rPr>
                <w:rFonts w:cs="Arial"/>
                <w:b/>
                <w:sz w:val="18"/>
                <w:szCs w:val="18"/>
              </w:rPr>
              <w:t>CBl</w:t>
            </w:r>
            <w:proofErr w:type="spellEnd"/>
          </w:p>
        </w:tc>
      </w:tr>
      <w:tr w:rsidR="000C26F1" w:rsidTr="00190F0A">
        <w:tc>
          <w:tcPr>
            <w:tcW w:w="675" w:type="dxa"/>
          </w:tcPr>
          <w:p w:rsidR="000C26F1" w:rsidRPr="00945946" w:rsidRDefault="000C26F1" w:rsidP="00190F0A">
            <w:pPr>
              <w:pStyle w:val="ListParagraph"/>
              <w:numPr>
                <w:ilvl w:val="0"/>
                <w:numId w:val="7"/>
              </w:numPr>
              <w:jc w:val="both"/>
            </w:pPr>
          </w:p>
        </w:tc>
        <w:tc>
          <w:tcPr>
            <w:tcW w:w="6946" w:type="dxa"/>
          </w:tcPr>
          <w:p w:rsidR="000C26F1" w:rsidRPr="000C26F1" w:rsidRDefault="000C26F1" w:rsidP="00190F0A">
            <w:pPr>
              <w:jc w:val="both"/>
              <w:rPr>
                <w:b/>
              </w:rPr>
            </w:pPr>
            <w:r w:rsidRPr="000C26F1">
              <w:rPr>
                <w:b/>
              </w:rPr>
              <w:t>Update on the Clinical Trials Regulations</w:t>
            </w:r>
          </w:p>
          <w:p w:rsidR="000C26F1" w:rsidRDefault="000C26F1" w:rsidP="00190F0A">
            <w:pPr>
              <w:jc w:val="both"/>
            </w:pPr>
          </w:p>
          <w:p w:rsidR="00A053E7" w:rsidRDefault="00A053E7" w:rsidP="00190F0A">
            <w:pPr>
              <w:jc w:val="both"/>
            </w:pPr>
            <w:r>
              <w:t xml:space="preserve">CC </w:t>
            </w:r>
            <w:r w:rsidR="006A795F">
              <w:t xml:space="preserve">explained that the paper which had been distributed to the group had been written by Sue Bourne and set out the text which had now been agreed. The text will now go through language and legal checks prior </w:t>
            </w:r>
            <w:r>
              <w:t>to be</w:t>
            </w:r>
            <w:r w:rsidR="006A795F">
              <w:t>ing</w:t>
            </w:r>
            <w:r>
              <w:t xml:space="preserve"> formally adopted by</w:t>
            </w:r>
            <w:r w:rsidR="006A795F">
              <w:t xml:space="preserve"> the E</w:t>
            </w:r>
            <w:r>
              <w:t>uro</w:t>
            </w:r>
            <w:r w:rsidR="006A795F">
              <w:t>pean P</w:t>
            </w:r>
            <w:r w:rsidR="0061789E">
              <w:t>arliament before being officiall</w:t>
            </w:r>
            <w:r>
              <w:t xml:space="preserve">y published. </w:t>
            </w:r>
          </w:p>
          <w:p w:rsidR="00A053E7" w:rsidRDefault="00A053E7" w:rsidP="00190F0A">
            <w:pPr>
              <w:jc w:val="both"/>
            </w:pPr>
          </w:p>
          <w:p w:rsidR="00A053E7" w:rsidRDefault="006A795F" w:rsidP="00190F0A">
            <w:pPr>
              <w:jc w:val="both"/>
            </w:pPr>
            <w:r>
              <w:t>The expectation is that the Regulation will come into force two years after being published which will be mid 2016. However, there is a caveat which states that the Regulation will not come into force until the EU portal is up an</w:t>
            </w:r>
            <w:r w:rsidR="00A93901">
              <w:t>d</w:t>
            </w:r>
            <w:r>
              <w:t xml:space="preserve"> running. It has been agreed that the EMA portal will be responsible for the EU portal. </w:t>
            </w:r>
            <w:r w:rsidR="00190F0A">
              <w:t xml:space="preserve">It was queried whether they would be true ECDT submissions. CC suggested that </w:t>
            </w:r>
            <w:r w:rsidR="00CE433F">
              <w:t xml:space="preserve">this was not clear at this stage but Sue Bourne may be </w:t>
            </w:r>
            <w:r w:rsidR="00A93901">
              <w:t>able</w:t>
            </w:r>
            <w:r w:rsidR="00CE433F">
              <w:t xml:space="preserve"> to answer this. There may be implications if published in this format. </w:t>
            </w:r>
          </w:p>
          <w:p w:rsidR="0061789E" w:rsidRDefault="0061789E" w:rsidP="00190F0A">
            <w:pPr>
              <w:jc w:val="both"/>
            </w:pPr>
          </w:p>
          <w:p w:rsidR="006A795F" w:rsidRDefault="006A795F" w:rsidP="00190F0A">
            <w:pPr>
              <w:jc w:val="both"/>
            </w:pPr>
            <w:r>
              <w:t xml:space="preserve">RT </w:t>
            </w:r>
            <w:r w:rsidR="0061789E">
              <w:t>s</w:t>
            </w:r>
            <w:r>
              <w:t>uggested that Sue Bourne</w:t>
            </w:r>
            <w:r w:rsidR="00A93901">
              <w:t xml:space="preserve"> be invited to</w:t>
            </w:r>
            <w:r>
              <w:t xml:space="preserve"> attend</w:t>
            </w:r>
            <w:r w:rsidR="0061789E">
              <w:t xml:space="preserve"> the next meeting to update </w:t>
            </w:r>
            <w:r>
              <w:t xml:space="preserve">the group </w:t>
            </w:r>
            <w:r w:rsidR="0061789E">
              <w:t>regarding this</w:t>
            </w:r>
            <w:r>
              <w:t xml:space="preserve"> matter as it will be an</w:t>
            </w:r>
            <w:r w:rsidR="0061789E">
              <w:t xml:space="preserve"> important factor. JK </w:t>
            </w:r>
            <w:r>
              <w:t xml:space="preserve">stated that the HRA and MHRA had been heavily involved in the </w:t>
            </w:r>
            <w:proofErr w:type="gramStart"/>
            <w:r>
              <w:t>negotiations which is</w:t>
            </w:r>
            <w:proofErr w:type="gramEnd"/>
            <w:r>
              <w:t xml:space="preserve"> reassuring. </w:t>
            </w:r>
          </w:p>
          <w:p w:rsidR="006A795F" w:rsidRDefault="006A795F" w:rsidP="00190F0A">
            <w:pPr>
              <w:jc w:val="both"/>
            </w:pPr>
          </w:p>
          <w:p w:rsidR="006A795F" w:rsidRDefault="006A795F" w:rsidP="00190F0A">
            <w:pPr>
              <w:jc w:val="both"/>
            </w:pPr>
            <w:r>
              <w:t>CC explained that The new Regulation will introduce:</w:t>
            </w:r>
          </w:p>
          <w:p w:rsidR="006A795F" w:rsidRDefault="006A795F" w:rsidP="00190F0A">
            <w:pPr>
              <w:jc w:val="both"/>
            </w:pPr>
            <w:r>
              <w:t>•</w:t>
            </w:r>
            <w:r>
              <w:tab/>
            </w:r>
            <w:r w:rsidRPr="004C6997">
              <w:rPr>
                <w:u w:val="single"/>
              </w:rPr>
              <w:t>A simplified application process</w:t>
            </w:r>
            <w:r>
              <w:t xml:space="preserve"> - one application will be submitted regardless </w:t>
            </w:r>
            <w:proofErr w:type="gramStart"/>
            <w:r>
              <w:t>of  how</w:t>
            </w:r>
            <w:proofErr w:type="gramEnd"/>
            <w:r>
              <w:t xml:space="preserve"> many Member States will be taking part in the trial. This will replace</w:t>
            </w:r>
            <w:r w:rsidR="00A93901">
              <w:t xml:space="preserve"> the</w:t>
            </w:r>
            <w:r>
              <w:t xml:space="preserve"> current situation of individual submissions to each competent authority and ethics committee(s) in each Member State. Additionally, the requirements for the application package, which will be submitted electronically via an “EU portal”, will be harmonised</w:t>
            </w:r>
          </w:p>
          <w:p w:rsidR="006A795F" w:rsidRDefault="006A795F" w:rsidP="00190F0A">
            <w:pPr>
              <w:jc w:val="both"/>
            </w:pPr>
            <w:r>
              <w:t>•</w:t>
            </w:r>
            <w:r>
              <w:tab/>
            </w:r>
            <w:r w:rsidRPr="004C6997">
              <w:rPr>
                <w:u w:val="single"/>
              </w:rPr>
              <w:t>A streamlined process for review and authorisation</w:t>
            </w:r>
            <w:r>
              <w:t xml:space="preserve"> – there will be one authorisation (decision) for the trial in each Member State, replacing the current separate approvals of competent authority and ethics committee(s). Where multiple Member States are involved in a trial the Member States will jointly assess the application, except in respect of defined aspects, such as ethical review. The processes and timelines are defined (up to 60days for decision on an initial application (where no questions), rising to maximum 91 days where questions asked at each stage); tacit approval is assumed where timelines are missed. </w:t>
            </w:r>
          </w:p>
          <w:p w:rsidR="006A795F" w:rsidRDefault="006A795F" w:rsidP="00190F0A">
            <w:pPr>
              <w:jc w:val="both"/>
            </w:pPr>
            <w:r>
              <w:t>•</w:t>
            </w:r>
            <w:r>
              <w:tab/>
            </w:r>
            <w:r w:rsidRPr="004C6997">
              <w:rPr>
                <w:u w:val="single"/>
              </w:rPr>
              <w:t>A category of “Low-intervention trials”</w:t>
            </w:r>
            <w:r>
              <w:t xml:space="preserve"> – where trials fall into this category they are afforded less stringent requirements for monitoring and documentation. </w:t>
            </w:r>
          </w:p>
          <w:p w:rsidR="006A795F" w:rsidRDefault="006A795F" w:rsidP="00190F0A">
            <w:pPr>
              <w:jc w:val="both"/>
            </w:pPr>
            <w:r>
              <w:t>•</w:t>
            </w:r>
            <w:r>
              <w:tab/>
            </w:r>
            <w:r w:rsidRPr="004C6997">
              <w:rPr>
                <w:u w:val="single"/>
              </w:rPr>
              <w:t xml:space="preserve">Rules on the protection of subjects and informed consent </w:t>
            </w:r>
            <w:r>
              <w:t xml:space="preserve">– these are intended to harmonise requirements but still allow for national rules in some aspects, such as who may act as a legal representative of a subject or legal age of consent. Additionally provisions have been added for some particular areas of interest to the UK, such as trials in emergency situations and cluster trials. </w:t>
            </w:r>
          </w:p>
          <w:p w:rsidR="006A795F" w:rsidRDefault="006A795F" w:rsidP="00190F0A">
            <w:pPr>
              <w:jc w:val="both"/>
            </w:pPr>
            <w:r>
              <w:t>•</w:t>
            </w:r>
            <w:r>
              <w:tab/>
            </w:r>
            <w:r w:rsidRPr="004C6997">
              <w:rPr>
                <w:u w:val="single"/>
              </w:rPr>
              <w:t>Transparency requirements</w:t>
            </w:r>
            <w:r>
              <w:t xml:space="preserve"> - all clinical trials in the EU will need to be registered and summary of results must be published within one year of the trial ending. Additionally where a clinical study report (CSR) has been submitted in support of a marketing authorisation (MA), it must be made available by the applicant within 30 days of the regulatory decision on the MA application. Note, the Regulation requires Member States to have penalties for infringement of Regulation and particular attention is drawn to non-compliance with requirements for information to be made publicly available.</w:t>
            </w:r>
          </w:p>
          <w:p w:rsidR="006A795F" w:rsidRDefault="006A795F" w:rsidP="00190F0A">
            <w:pPr>
              <w:jc w:val="both"/>
            </w:pPr>
          </w:p>
          <w:p w:rsidR="0061789E" w:rsidRDefault="0061789E" w:rsidP="00190F0A">
            <w:pPr>
              <w:jc w:val="both"/>
            </w:pPr>
          </w:p>
          <w:p w:rsidR="004C6997" w:rsidRDefault="004C6997" w:rsidP="00190F0A">
            <w:pPr>
              <w:jc w:val="both"/>
            </w:pPr>
            <w:r>
              <w:t xml:space="preserve">CC noted that tacit </w:t>
            </w:r>
            <w:r w:rsidR="0061789E">
              <w:t xml:space="preserve">approval </w:t>
            </w:r>
            <w:r>
              <w:t>where a response is not received within the set timeframe had been contro</w:t>
            </w:r>
            <w:r w:rsidR="0061789E">
              <w:t xml:space="preserve">versial but </w:t>
            </w:r>
            <w:r>
              <w:t>was included in the final text. The HRA &amp; MHRA are c</w:t>
            </w:r>
            <w:r w:rsidR="0061789E">
              <w:t>onfident that</w:t>
            </w:r>
            <w:r>
              <w:t xml:space="preserve"> the</w:t>
            </w:r>
            <w:r w:rsidR="0061789E">
              <w:t xml:space="preserve"> </w:t>
            </w:r>
            <w:r>
              <w:t xml:space="preserve">set </w:t>
            </w:r>
            <w:r w:rsidR="0061789E">
              <w:t xml:space="preserve">timeframes are not only achievable but </w:t>
            </w:r>
            <w:r>
              <w:t>the UK should be able to work to lesser timeframes than proposed.</w:t>
            </w:r>
          </w:p>
          <w:p w:rsidR="004C6997" w:rsidRDefault="004C6997" w:rsidP="00190F0A">
            <w:pPr>
              <w:jc w:val="both"/>
            </w:pPr>
          </w:p>
          <w:p w:rsidR="0061789E" w:rsidRDefault="00E278D9" w:rsidP="00190F0A">
            <w:pPr>
              <w:jc w:val="both"/>
            </w:pPr>
            <w:r>
              <w:t xml:space="preserve">IS queried what the actual impact for Phase 1 studies would be as they are usually single country and single site? JK explained that there would not be a significant impact on Phase 1 studies. The MHRA will remain the competent authority and the NRES will undertake the ethical review. The timelines agreed (60 days) are the same as current timelines rather than </w:t>
            </w:r>
            <w:r w:rsidR="00C85769">
              <w:t xml:space="preserve">90 days which had been the case during early discussions. The MHRA and HRA are committed to doing whatever is required to meet the proposed timelines. This may require a tweak to current processes or it may require a more radical change. </w:t>
            </w:r>
          </w:p>
          <w:p w:rsidR="00E278D9" w:rsidRDefault="00E278D9" w:rsidP="00190F0A">
            <w:pPr>
              <w:jc w:val="both"/>
            </w:pPr>
          </w:p>
          <w:p w:rsidR="0061789E" w:rsidRDefault="00C85769" w:rsidP="00190F0A">
            <w:pPr>
              <w:jc w:val="both"/>
            </w:pPr>
            <w:r>
              <w:t xml:space="preserve">CC </w:t>
            </w:r>
            <w:proofErr w:type="spellStart"/>
            <w:r>
              <w:t>fedback</w:t>
            </w:r>
            <w:proofErr w:type="spellEnd"/>
            <w:r>
              <w:t xml:space="preserve"> that the final text did make explicit reference to Ethics Committees, which has not been included in earlier versions. The text also included a definition of an Ethics Committee:</w:t>
            </w:r>
            <w:r w:rsidR="000D4F76">
              <w:t xml:space="preserve"> </w:t>
            </w:r>
            <w:r w:rsidR="000D4F76" w:rsidRPr="000D4F76">
              <w:rPr>
                <w:i/>
              </w:rPr>
              <w:t xml:space="preserve">“an independent body in a Member State established in accordance with national law and empowered to give opinions for the purposes of this Regulation, taking into account the views of lay-persons, in particular patients or </w:t>
            </w:r>
            <w:proofErr w:type="gramStart"/>
            <w:r w:rsidR="000D4F76" w:rsidRPr="000D4F76">
              <w:rPr>
                <w:i/>
              </w:rPr>
              <w:t>patients</w:t>
            </w:r>
            <w:proofErr w:type="gramEnd"/>
            <w:r w:rsidR="000D4F76" w:rsidRPr="000D4F76">
              <w:rPr>
                <w:i/>
              </w:rPr>
              <w:t xml:space="preserve"> organisations.”</w:t>
            </w:r>
            <w:r w:rsidRPr="000D4F76">
              <w:rPr>
                <w:i/>
              </w:rPr>
              <w:t xml:space="preserve"> </w:t>
            </w:r>
          </w:p>
          <w:p w:rsidR="00C85769" w:rsidRDefault="00C85769" w:rsidP="00190F0A">
            <w:pPr>
              <w:jc w:val="both"/>
            </w:pPr>
          </w:p>
          <w:p w:rsidR="00C85769" w:rsidRDefault="000D4F76" w:rsidP="00190F0A">
            <w:pPr>
              <w:jc w:val="both"/>
            </w:pPr>
            <w:r>
              <w:t xml:space="preserve">The text regarding patient inclusion as part of the review process has been revised and it was noted that the updated wording was preferable. </w:t>
            </w:r>
          </w:p>
          <w:p w:rsidR="000D4F76" w:rsidRDefault="000D4F76" w:rsidP="00190F0A">
            <w:pPr>
              <w:jc w:val="both"/>
            </w:pPr>
          </w:p>
          <w:p w:rsidR="000D4F76" w:rsidRDefault="000D4F76" w:rsidP="00190F0A">
            <w:pPr>
              <w:jc w:val="both"/>
            </w:pPr>
            <w:r>
              <w:t xml:space="preserve">SL asked whether there was </w:t>
            </w:r>
            <w:r w:rsidR="00CF3693">
              <w:t xml:space="preserve">any </w:t>
            </w:r>
            <w:r>
              <w:t>reference to</w:t>
            </w:r>
            <w:r w:rsidR="00CF3693">
              <w:t xml:space="preserve"> ARSAC approval in </w:t>
            </w:r>
            <w:r>
              <w:t>the Regulations. CC replied that he was not aware that this was referenced.</w:t>
            </w:r>
          </w:p>
          <w:p w:rsidR="009C148E" w:rsidRDefault="009C148E" w:rsidP="00190F0A">
            <w:pPr>
              <w:jc w:val="both"/>
            </w:pPr>
          </w:p>
          <w:p w:rsidR="009C148E" w:rsidRDefault="000D4F76" w:rsidP="00190F0A">
            <w:pPr>
              <w:jc w:val="both"/>
            </w:pPr>
            <w:r>
              <w:t>CC explained that the EU Portal will be a database which</w:t>
            </w:r>
            <w:r w:rsidR="009C148E">
              <w:t xml:space="preserve"> include</w:t>
            </w:r>
            <w:r>
              <w:t>s all information uploaded to the</w:t>
            </w:r>
            <w:r w:rsidR="009C148E">
              <w:t xml:space="preserve"> portal and</w:t>
            </w:r>
            <w:r>
              <w:t xml:space="preserve"> this</w:t>
            </w:r>
            <w:r w:rsidR="009C148E">
              <w:t xml:space="preserve"> will be publicly accessible. There </w:t>
            </w:r>
            <w:r>
              <w:t xml:space="preserve">is </w:t>
            </w:r>
            <w:r w:rsidR="009C148E">
              <w:t>also</w:t>
            </w:r>
            <w:r>
              <w:t xml:space="preserve"> reference to</w:t>
            </w:r>
            <w:r w:rsidR="009C148E">
              <w:t xml:space="preserve"> penalties, including </w:t>
            </w:r>
            <w:r>
              <w:t xml:space="preserve">for </w:t>
            </w:r>
            <w:proofErr w:type="spellStart"/>
            <w:r>
              <w:t>non compliance</w:t>
            </w:r>
            <w:proofErr w:type="spellEnd"/>
            <w:r w:rsidR="009C148E">
              <w:t xml:space="preserve"> with</w:t>
            </w:r>
            <w:r>
              <w:t xml:space="preserve"> the requirements for</w:t>
            </w:r>
            <w:r w:rsidR="009C148E">
              <w:t xml:space="preserve"> registration and publication. </w:t>
            </w:r>
            <w:r>
              <w:t>CC further noted that any s</w:t>
            </w:r>
            <w:r w:rsidR="002D0E7F">
              <w:t>tudies</w:t>
            </w:r>
            <w:r>
              <w:t xml:space="preserve"> which are</w:t>
            </w:r>
            <w:r w:rsidR="002D0E7F">
              <w:t xml:space="preserve"> referenced in </w:t>
            </w:r>
            <w:r>
              <w:t xml:space="preserve">the </w:t>
            </w:r>
            <w:r w:rsidR="002D0E7F">
              <w:t>application</w:t>
            </w:r>
            <w:r>
              <w:t xml:space="preserve"> for a new study</w:t>
            </w:r>
            <w:r w:rsidR="002D0E7F">
              <w:t xml:space="preserve"> will need to be registered</w:t>
            </w:r>
            <w:r w:rsidR="00F95594">
              <w:t xml:space="preserve"> and published. RT -suggested that not all studies are registered and therefore </w:t>
            </w:r>
            <w:r w:rsidR="002D0E7F">
              <w:t xml:space="preserve">some would need to be </w:t>
            </w:r>
            <w:r w:rsidR="00F95594">
              <w:t>registered</w:t>
            </w:r>
            <w:r w:rsidR="002D0E7F">
              <w:t xml:space="preserve"> retrospectively. CC</w:t>
            </w:r>
            <w:r w:rsidR="00F95594">
              <w:t xml:space="preserve"> said that</w:t>
            </w:r>
            <w:r w:rsidR="002D0E7F">
              <w:t xml:space="preserve"> this </w:t>
            </w:r>
            <w:r w:rsidR="00F95594">
              <w:t>would be something that would</w:t>
            </w:r>
            <w:r w:rsidR="002D0E7F">
              <w:t xml:space="preserve"> need to be worked through. </w:t>
            </w:r>
          </w:p>
          <w:p w:rsidR="002D0E7F" w:rsidRDefault="002D0E7F" w:rsidP="00190F0A">
            <w:pPr>
              <w:jc w:val="both"/>
            </w:pPr>
          </w:p>
          <w:p w:rsidR="002D0E7F" w:rsidRDefault="002D0E7F" w:rsidP="00190F0A">
            <w:pPr>
              <w:jc w:val="both"/>
            </w:pPr>
            <w:r>
              <w:t xml:space="preserve">Cluster randomised trials </w:t>
            </w:r>
            <w:r w:rsidR="000B6ADA">
              <w:t xml:space="preserve">are </w:t>
            </w:r>
            <w:r>
              <w:t>now included, with</w:t>
            </w:r>
            <w:r w:rsidR="000B6ADA">
              <w:t xml:space="preserve"> a</w:t>
            </w:r>
            <w:r>
              <w:t xml:space="preserve"> reduced c</w:t>
            </w:r>
            <w:r w:rsidR="000B6ADA">
              <w:t>onsent process. There was d</w:t>
            </w:r>
            <w:r>
              <w:t xml:space="preserve">eemed </w:t>
            </w:r>
            <w:r w:rsidR="000B6ADA">
              <w:t xml:space="preserve">to be </w:t>
            </w:r>
            <w:r>
              <w:t>inf</w:t>
            </w:r>
            <w:r w:rsidR="000B6ADA">
              <w:t>o</w:t>
            </w:r>
            <w:r>
              <w:t xml:space="preserve">rmed consent if </w:t>
            </w:r>
            <w:r w:rsidR="000B6ADA">
              <w:t xml:space="preserve">information had been provided and no objection had been offered. CC suggested that further consideration would need to be given to what would constitute ‘having been given information’ </w:t>
            </w:r>
            <w:proofErr w:type="spellStart"/>
            <w:r w:rsidR="000B6ADA">
              <w:t>i.e</w:t>
            </w:r>
            <w:proofErr w:type="spellEnd"/>
            <w:r w:rsidR="000B6ADA">
              <w:t xml:space="preserve"> would a poster on the wall in a GP waiting room meet </w:t>
            </w:r>
            <w:proofErr w:type="gramStart"/>
            <w:r w:rsidR="000B6ADA">
              <w:t>this criteria</w:t>
            </w:r>
            <w:proofErr w:type="gramEnd"/>
            <w:r w:rsidR="000B6ADA">
              <w:t xml:space="preserve">? </w:t>
            </w:r>
            <w:r>
              <w:t xml:space="preserve">Members of the group suggested that this was not </w:t>
            </w:r>
            <w:proofErr w:type="gramStart"/>
            <w:r>
              <w:t>‘informed’  consent</w:t>
            </w:r>
            <w:proofErr w:type="gramEnd"/>
            <w:r>
              <w:t xml:space="preserve">. </w:t>
            </w:r>
            <w:r w:rsidR="000B6ADA">
              <w:t xml:space="preserve"> </w:t>
            </w:r>
          </w:p>
          <w:p w:rsidR="002D0E7F" w:rsidRDefault="002D0E7F" w:rsidP="00190F0A">
            <w:pPr>
              <w:jc w:val="both"/>
            </w:pPr>
          </w:p>
          <w:p w:rsidR="000B6ADA" w:rsidRDefault="000B6ADA" w:rsidP="00190F0A">
            <w:pPr>
              <w:jc w:val="both"/>
            </w:pPr>
            <w:r>
              <w:t>DR suggested that</w:t>
            </w:r>
            <w:r w:rsidR="002D0E7F">
              <w:t xml:space="preserve"> tac</w:t>
            </w:r>
            <w:r>
              <w:t>it approval is</w:t>
            </w:r>
            <w:r w:rsidR="002D0E7F">
              <w:t xml:space="preserve"> </w:t>
            </w:r>
            <w:r>
              <w:t>concerning</w:t>
            </w:r>
            <w:r w:rsidR="002D0E7F">
              <w:t xml:space="preserve"> for</w:t>
            </w:r>
            <w:r>
              <w:t xml:space="preserve"> both the</w:t>
            </w:r>
            <w:r w:rsidR="002D0E7F">
              <w:t xml:space="preserve"> sponsor </w:t>
            </w:r>
            <w:proofErr w:type="gramStart"/>
            <w:r w:rsidR="002D0E7F">
              <w:t xml:space="preserve">and </w:t>
            </w:r>
            <w:r>
              <w:t xml:space="preserve"> the</w:t>
            </w:r>
            <w:proofErr w:type="gramEnd"/>
            <w:r>
              <w:t xml:space="preserve"> </w:t>
            </w:r>
            <w:r w:rsidR="002D0E7F">
              <w:t xml:space="preserve">EC. </w:t>
            </w:r>
            <w:r>
              <w:t xml:space="preserve">It was confirmed that this would be from receipt of a valid application so there would be evidence that the application was in the system. Approval could be assumed if there is no formal approval or </w:t>
            </w:r>
            <w:proofErr w:type="spellStart"/>
            <w:r>
              <w:t>non approval</w:t>
            </w:r>
            <w:proofErr w:type="spellEnd"/>
            <w:r>
              <w:t xml:space="preserve"> given by the member state. </w:t>
            </w:r>
          </w:p>
          <w:p w:rsidR="002D0E7F" w:rsidRDefault="002D0E7F" w:rsidP="00190F0A">
            <w:pPr>
              <w:jc w:val="both"/>
            </w:pPr>
          </w:p>
          <w:p w:rsidR="002D0E7F" w:rsidRDefault="000B6ADA" w:rsidP="00190F0A">
            <w:pPr>
              <w:jc w:val="both"/>
            </w:pPr>
            <w:proofErr w:type="gramStart"/>
            <w:r>
              <w:t>RT  suggested</w:t>
            </w:r>
            <w:proofErr w:type="gramEnd"/>
            <w:r>
              <w:t xml:space="preserve"> that </w:t>
            </w:r>
            <w:r w:rsidR="002D0E7F">
              <w:t>there is an element of tacit approval in place already</w:t>
            </w:r>
            <w:r>
              <w:t xml:space="preserve"> with the current system. JK noted that </w:t>
            </w:r>
            <w:r w:rsidR="002D0E7F">
              <w:t>there have been issues with modified amendment which can go ahead</w:t>
            </w:r>
            <w:r>
              <w:t xml:space="preserve"> if there is no objection given by the EC after 14 days. However, m</w:t>
            </w:r>
            <w:r w:rsidR="002D0E7F">
              <w:t>ost sponsors don’t go ahead without checking</w:t>
            </w:r>
            <w:r>
              <w:t xml:space="preserve"> with the EC in the first instance</w:t>
            </w:r>
            <w:r w:rsidR="002D0E7F">
              <w:t xml:space="preserve">. </w:t>
            </w:r>
          </w:p>
          <w:p w:rsidR="002D0E7F" w:rsidRDefault="002D0E7F" w:rsidP="00190F0A">
            <w:pPr>
              <w:jc w:val="both"/>
            </w:pPr>
          </w:p>
          <w:p w:rsidR="004D3706" w:rsidRDefault="002D0E7F" w:rsidP="00190F0A">
            <w:pPr>
              <w:jc w:val="both"/>
            </w:pPr>
            <w:r>
              <w:t xml:space="preserve">UL </w:t>
            </w:r>
            <w:r w:rsidR="000B6ADA">
              <w:t>asked whether the EU Portal would be a</w:t>
            </w:r>
            <w:r w:rsidR="004D3706">
              <w:t xml:space="preserve"> single submission or whether the relevant parts of the submission would go to the relevant organisations. CC explained that it would</w:t>
            </w:r>
            <w:r>
              <w:t xml:space="preserve"> still</w:t>
            </w:r>
            <w:r w:rsidR="004D3706">
              <w:t xml:space="preserve"> be necessary</w:t>
            </w:r>
            <w:r>
              <w:t xml:space="preserve"> to work through the details. </w:t>
            </w:r>
            <w:r w:rsidR="004D3706">
              <w:t>It was unclear</w:t>
            </w:r>
            <w:r>
              <w:t xml:space="preserve"> what the submission process wil</w:t>
            </w:r>
            <w:r w:rsidR="004D3706">
              <w:t>l look like for applicants. JK suggested that the process would</w:t>
            </w:r>
            <w:r>
              <w:t xml:space="preserve"> probably</w:t>
            </w:r>
            <w:r w:rsidR="004D3706">
              <w:t xml:space="preserve"> be similar for P</w:t>
            </w:r>
            <w:r>
              <w:t xml:space="preserve">hase 1 </w:t>
            </w:r>
            <w:r w:rsidR="004D3706">
              <w:t xml:space="preserve">studies </w:t>
            </w:r>
            <w:r>
              <w:t xml:space="preserve">but for other studies would be more complex </w:t>
            </w:r>
            <w:proofErr w:type="spellStart"/>
            <w:r>
              <w:t>e.g</w:t>
            </w:r>
            <w:proofErr w:type="spellEnd"/>
            <w:r>
              <w:t xml:space="preserve"> </w:t>
            </w:r>
            <w:r w:rsidR="008715C6">
              <w:t>involvement of section 251</w:t>
            </w:r>
            <w:r>
              <w:t>.</w:t>
            </w:r>
          </w:p>
          <w:p w:rsidR="004D3706" w:rsidRDefault="004D3706" w:rsidP="00190F0A">
            <w:pPr>
              <w:jc w:val="both"/>
            </w:pPr>
          </w:p>
          <w:p w:rsidR="002D0E7F" w:rsidRDefault="002D0E7F" w:rsidP="00190F0A">
            <w:pPr>
              <w:jc w:val="both"/>
            </w:pPr>
            <w:r>
              <w:t xml:space="preserve"> </w:t>
            </w:r>
            <w:r w:rsidR="000257F3">
              <w:t>UL asked for confirmation whether there would be an option to submit to EC &amp; Competent Authority (CA) separately, as this has logistic advantages and saves time. SD reiterated this concern.  It was clarified that it was not possible to submit to EC and CA separately.</w:t>
            </w:r>
          </w:p>
          <w:p w:rsidR="004D3706" w:rsidRDefault="004D3706" w:rsidP="00190F0A">
            <w:pPr>
              <w:jc w:val="both"/>
            </w:pPr>
          </w:p>
          <w:p w:rsidR="004D3706" w:rsidRDefault="004D3706" w:rsidP="00190F0A">
            <w:pPr>
              <w:jc w:val="both"/>
            </w:pPr>
            <w:r>
              <w:t xml:space="preserve">RT suggested that once the text is officially approved, CROs should go through </w:t>
            </w:r>
            <w:r w:rsidR="005637BA">
              <w:t xml:space="preserve">the </w:t>
            </w:r>
            <w:r>
              <w:t xml:space="preserve">Regulation in detail and highlight areas of concern which should be forwarded to </w:t>
            </w:r>
            <w:proofErr w:type="spellStart"/>
            <w:r>
              <w:t>CBl</w:t>
            </w:r>
            <w:proofErr w:type="spellEnd"/>
            <w:r>
              <w:t>, particularly where there were concerns regarding the EU becoming less competitive (It was noted that the US turnaround is currently 30 days).</w:t>
            </w:r>
          </w:p>
          <w:p w:rsidR="00E26FC5" w:rsidRDefault="00E26FC5" w:rsidP="00190F0A">
            <w:pPr>
              <w:jc w:val="both"/>
            </w:pPr>
          </w:p>
          <w:p w:rsidR="00E26FC5" w:rsidRDefault="004D3706" w:rsidP="00190F0A">
            <w:pPr>
              <w:jc w:val="both"/>
            </w:pPr>
            <w:r>
              <w:t xml:space="preserve">It was suggested that there would be an advantage in that the applicant won’t </w:t>
            </w:r>
            <w:r w:rsidR="00E26FC5">
              <w:t>be asked for changes by</w:t>
            </w:r>
            <w:r>
              <w:t xml:space="preserve"> both</w:t>
            </w:r>
            <w:r w:rsidR="00E26FC5">
              <w:t xml:space="preserve"> EC </w:t>
            </w:r>
            <w:proofErr w:type="gramStart"/>
            <w:r w:rsidR="00E26FC5">
              <w:t>and  MH</w:t>
            </w:r>
            <w:r>
              <w:t>RA</w:t>
            </w:r>
            <w:proofErr w:type="gramEnd"/>
            <w:r>
              <w:t xml:space="preserve"> as there will be</w:t>
            </w:r>
            <w:r w:rsidR="00E26FC5">
              <w:t xml:space="preserve"> just one</w:t>
            </w:r>
            <w:r>
              <w:t xml:space="preserve"> review</w:t>
            </w:r>
            <w:r w:rsidR="00E26FC5">
              <w:t>.</w:t>
            </w:r>
            <w:r w:rsidR="00C36B6C">
              <w:t xml:space="preserve"> It was confirmed that substantial amendments, referred to as substantial modifications in the Regulations, would go through the EU portal. </w:t>
            </w:r>
          </w:p>
          <w:p w:rsidR="00E26FC5" w:rsidRDefault="00E26FC5" w:rsidP="00190F0A">
            <w:pPr>
              <w:jc w:val="both"/>
            </w:pPr>
          </w:p>
          <w:p w:rsidR="00E26FC5" w:rsidRDefault="00C36B6C" w:rsidP="00190F0A">
            <w:pPr>
              <w:jc w:val="both"/>
            </w:pPr>
            <w:r w:rsidRPr="00C36B6C">
              <w:t>PD</w:t>
            </w:r>
            <w:r>
              <w:t xml:space="preserve"> suggested that </w:t>
            </w:r>
            <w:r w:rsidR="00E26FC5">
              <w:t xml:space="preserve">if </w:t>
            </w:r>
            <w:r>
              <w:t xml:space="preserve">the </w:t>
            </w:r>
            <w:r w:rsidR="00E26FC5">
              <w:t xml:space="preserve">EMA validation phase before </w:t>
            </w:r>
            <w:r>
              <w:t xml:space="preserve">the application </w:t>
            </w:r>
            <w:r w:rsidR="00E26FC5">
              <w:t xml:space="preserve">goes to </w:t>
            </w:r>
            <w:r>
              <w:t xml:space="preserve">the relevant </w:t>
            </w:r>
            <w:r w:rsidR="00E26FC5">
              <w:t xml:space="preserve">member state </w:t>
            </w:r>
            <w:r>
              <w:t xml:space="preserve">for review, </w:t>
            </w:r>
            <w:r w:rsidR="00E26FC5">
              <w:t>particularly</w:t>
            </w:r>
            <w:r>
              <w:t xml:space="preserve"> for</w:t>
            </w:r>
            <w:r w:rsidR="00E26FC5">
              <w:t xml:space="preserve"> phase 1</w:t>
            </w:r>
            <w:proofErr w:type="gramStart"/>
            <w:r>
              <w:t xml:space="preserve">, </w:t>
            </w:r>
            <w:r w:rsidR="00E26FC5">
              <w:t xml:space="preserve"> </w:t>
            </w:r>
            <w:r w:rsidR="005637BA">
              <w:t>could</w:t>
            </w:r>
            <w:proofErr w:type="gramEnd"/>
            <w:r w:rsidR="00E26FC5">
              <w:t xml:space="preserve"> increase the</w:t>
            </w:r>
            <w:r>
              <w:t xml:space="preserve"> overall</w:t>
            </w:r>
            <w:r w:rsidR="00E26FC5">
              <w:t xml:space="preserve"> time. </w:t>
            </w:r>
            <w:r>
              <w:t>Currently there is a</w:t>
            </w:r>
            <w:r w:rsidR="00E26FC5">
              <w:t xml:space="preserve"> 14 day turnaround with </w:t>
            </w:r>
            <w:r>
              <w:t>the MHRA and ECs are</w:t>
            </w:r>
            <w:r w:rsidR="00E26FC5">
              <w:t xml:space="preserve"> doing their best to keep times down. </w:t>
            </w:r>
            <w:r>
              <w:t xml:space="preserve">Concern had </w:t>
            </w:r>
            <w:proofErr w:type="gramStart"/>
            <w:r>
              <w:t>been  expressed</w:t>
            </w:r>
            <w:proofErr w:type="gramEnd"/>
            <w:r>
              <w:t xml:space="preserve"> by A</w:t>
            </w:r>
            <w:r w:rsidR="00B340E7">
              <w:t>HPPI</w:t>
            </w:r>
            <w:r>
              <w:t xml:space="preserve"> </w:t>
            </w:r>
            <w:r w:rsidR="00E26FC5">
              <w:t xml:space="preserve">members that </w:t>
            </w:r>
            <w:r>
              <w:t xml:space="preserve">it is </w:t>
            </w:r>
            <w:r w:rsidR="00E26FC5">
              <w:t xml:space="preserve">difficult to see how the </w:t>
            </w:r>
            <w:r>
              <w:t xml:space="preserve">new </w:t>
            </w:r>
            <w:r w:rsidR="00E26FC5">
              <w:t>process is as</w:t>
            </w:r>
            <w:r>
              <w:t xml:space="preserve"> </w:t>
            </w:r>
            <w:r w:rsidR="00E26FC5">
              <w:t>efficient as</w:t>
            </w:r>
            <w:r>
              <w:t xml:space="preserve"> the current service. It was suggested that a</w:t>
            </w:r>
            <w:r w:rsidR="00E26FC5">
              <w:t xml:space="preserve">nything that makes </w:t>
            </w:r>
            <w:r>
              <w:t>the process any worse will tak</w:t>
            </w:r>
            <w:r w:rsidR="00E26FC5">
              <w:t>e work away from the UK.</w:t>
            </w:r>
            <w:r w:rsidR="008F0404">
              <w:t xml:space="preserve"> JK reiterated that the HRA and MHRA were determined that the review and approval process will be as quick as possible, even if this requires </w:t>
            </w:r>
            <w:r w:rsidR="00E26FC5">
              <w:t>radical change</w:t>
            </w:r>
            <w:r w:rsidR="008F0404">
              <w:t>s to process. PD suggested that it</w:t>
            </w:r>
            <w:r w:rsidR="00E26FC5">
              <w:t xml:space="preserve"> would </w:t>
            </w:r>
            <w:r w:rsidR="008F0404">
              <w:t xml:space="preserve">be good to have input in regard to the </w:t>
            </w:r>
            <w:r w:rsidR="00E26FC5">
              <w:t xml:space="preserve">construction etc. of the </w:t>
            </w:r>
            <w:r w:rsidR="008F0404">
              <w:t xml:space="preserve">EU Portal. JK said that she </w:t>
            </w:r>
            <w:r w:rsidR="00055991">
              <w:t>wa</w:t>
            </w:r>
            <w:r w:rsidR="008F0404">
              <w:t>s</w:t>
            </w:r>
            <w:r w:rsidR="00E26FC5">
              <w:t xml:space="preserve"> not aware </w:t>
            </w:r>
            <w:r w:rsidR="00055991">
              <w:t>that there was an additional</w:t>
            </w:r>
            <w:r w:rsidR="00E26FC5">
              <w:t xml:space="preserve"> EMA validation. </w:t>
            </w:r>
            <w:r w:rsidR="008F0404">
              <w:t xml:space="preserve">The expectation is that the application </w:t>
            </w:r>
            <w:r w:rsidR="00E26FC5">
              <w:t xml:space="preserve">goes into </w:t>
            </w:r>
            <w:r w:rsidR="008F0404">
              <w:t xml:space="preserve">the </w:t>
            </w:r>
            <w:r w:rsidR="00E26FC5">
              <w:t xml:space="preserve">EU portal, then ends up </w:t>
            </w:r>
            <w:r w:rsidR="008F0404">
              <w:t>with the member state</w:t>
            </w:r>
            <w:r w:rsidR="00E26FC5">
              <w:t xml:space="preserve"> area and they validate at this point</w:t>
            </w:r>
            <w:r w:rsidR="008F0404">
              <w:t>,</w:t>
            </w:r>
            <w:r w:rsidR="00BD1982">
              <w:t xml:space="preserve"> </w:t>
            </w:r>
            <w:r w:rsidR="005637BA">
              <w:t xml:space="preserve">particularly with </w:t>
            </w:r>
            <w:proofErr w:type="gramStart"/>
            <w:r w:rsidR="005637BA">
              <w:t>a</w:t>
            </w:r>
            <w:proofErr w:type="gramEnd"/>
            <w:r w:rsidR="00E26FC5">
              <w:t xml:space="preserve"> e single nation trial. </w:t>
            </w:r>
            <w:r w:rsidR="008F0404">
              <w:t xml:space="preserve">It is therefore not expected that the new process will make a significant difference for Phase 1 studies. </w:t>
            </w:r>
            <w:r w:rsidR="00E26FC5">
              <w:t>Even w</w:t>
            </w:r>
            <w:r w:rsidR="005637BA">
              <w:t>ith</w:t>
            </w:r>
            <w:r w:rsidR="00E26FC5">
              <w:t xml:space="preserve"> </w:t>
            </w:r>
            <w:r w:rsidR="008F0404">
              <w:t xml:space="preserve">a </w:t>
            </w:r>
            <w:proofErr w:type="spellStart"/>
            <w:r w:rsidR="00E26FC5">
              <w:t>mul</w:t>
            </w:r>
            <w:r w:rsidR="008963B3">
              <w:t>ti state</w:t>
            </w:r>
            <w:proofErr w:type="spellEnd"/>
            <w:r w:rsidR="008F0404">
              <w:t xml:space="preserve"> study</w:t>
            </w:r>
            <w:r w:rsidR="008963B3">
              <w:t>, the chosen member</w:t>
            </w:r>
            <w:r w:rsidR="008F0404">
              <w:t xml:space="preserve"> </w:t>
            </w:r>
            <w:r w:rsidR="008963B3">
              <w:t>s</w:t>
            </w:r>
            <w:r w:rsidR="008F0404">
              <w:t xml:space="preserve">tate </w:t>
            </w:r>
            <w:r w:rsidR="00857971">
              <w:t xml:space="preserve">would </w:t>
            </w:r>
            <w:r w:rsidR="008F0404">
              <w:t>undertake</w:t>
            </w:r>
            <w:r w:rsidR="008963B3">
              <w:t xml:space="preserve"> one validation for the wh</w:t>
            </w:r>
            <w:r w:rsidR="00E26FC5">
              <w:t xml:space="preserve">ole study. </w:t>
            </w:r>
          </w:p>
          <w:p w:rsidR="003C58F0" w:rsidRDefault="003C58F0" w:rsidP="00190F0A">
            <w:pPr>
              <w:jc w:val="both"/>
            </w:pPr>
          </w:p>
          <w:p w:rsidR="003C58F0" w:rsidRDefault="00857971" w:rsidP="00190F0A">
            <w:pPr>
              <w:jc w:val="both"/>
            </w:pPr>
            <w:r>
              <w:t>RT suggested that it wa</w:t>
            </w:r>
            <w:r w:rsidR="003C58F0">
              <w:t xml:space="preserve">s only once the </w:t>
            </w:r>
            <w:r>
              <w:t>EU Clinical Trials D</w:t>
            </w:r>
            <w:r w:rsidR="003C58F0">
              <w:t xml:space="preserve">irective was written that the </w:t>
            </w:r>
            <w:proofErr w:type="gramStart"/>
            <w:r w:rsidR="003C58F0">
              <w:t>work  start</w:t>
            </w:r>
            <w:r w:rsidR="00D133E8">
              <w:t>ed</w:t>
            </w:r>
            <w:proofErr w:type="gramEnd"/>
            <w:r w:rsidR="003C58F0">
              <w:t xml:space="preserve"> </w:t>
            </w:r>
            <w:r>
              <w:t xml:space="preserve">to </w:t>
            </w:r>
            <w:r w:rsidR="00D133E8">
              <w:t>ensure that</w:t>
            </w:r>
            <w:r w:rsidR="00055991">
              <w:t xml:space="preserve"> </w:t>
            </w:r>
            <w:r>
              <w:t>the service was excellent and it w</w:t>
            </w:r>
            <w:r w:rsidR="003C58F0">
              <w:t xml:space="preserve">ill </w:t>
            </w:r>
            <w:r w:rsidR="00D133E8">
              <w:t>probably</w:t>
            </w:r>
            <w:r>
              <w:t xml:space="preserve"> be the same with the Regulation. There would be c</w:t>
            </w:r>
            <w:r w:rsidR="003C58F0">
              <w:t xml:space="preserve">ontinued discussions over the </w:t>
            </w:r>
            <w:r>
              <w:t>forthcoming</w:t>
            </w:r>
            <w:r w:rsidR="003C58F0">
              <w:t xml:space="preserve"> two years. T</w:t>
            </w:r>
            <w:r>
              <w:t>he UK will need to t</w:t>
            </w:r>
            <w:r w:rsidR="003C58F0">
              <w:t xml:space="preserve">ry to keep timelines </w:t>
            </w:r>
            <w:r>
              <w:t>less than they are legally required to be</w:t>
            </w:r>
            <w:r w:rsidR="003C58F0">
              <w:t>, as</w:t>
            </w:r>
            <w:r>
              <w:t xml:space="preserve"> we</w:t>
            </w:r>
            <w:r w:rsidR="003C58F0">
              <w:t xml:space="preserve"> currently do. CC </w:t>
            </w:r>
            <w:r>
              <w:t xml:space="preserve">reiterated that the </w:t>
            </w:r>
            <w:r w:rsidR="003C58F0">
              <w:t xml:space="preserve">timelines </w:t>
            </w:r>
            <w:r>
              <w:t>s</w:t>
            </w:r>
            <w:r w:rsidR="003C58F0">
              <w:t>et are always</w:t>
            </w:r>
            <w:r>
              <w:t xml:space="preserve"> a maximum and there is nothing to stop member states being</w:t>
            </w:r>
            <w:r w:rsidR="003C58F0">
              <w:t xml:space="preserve"> quicker. </w:t>
            </w:r>
          </w:p>
          <w:p w:rsidR="003C58F0" w:rsidRDefault="003C58F0" w:rsidP="00190F0A">
            <w:pPr>
              <w:jc w:val="both"/>
            </w:pPr>
          </w:p>
          <w:p w:rsidR="00850804" w:rsidRDefault="003C58F0" w:rsidP="00190F0A">
            <w:pPr>
              <w:jc w:val="both"/>
            </w:pPr>
            <w:r>
              <w:t xml:space="preserve">PD </w:t>
            </w:r>
            <w:r w:rsidR="00FD7C62">
              <w:t>suggested that CROs</w:t>
            </w:r>
            <w:r>
              <w:t xml:space="preserve"> would need</w:t>
            </w:r>
            <w:r w:rsidR="00FD7C62">
              <w:t xml:space="preserve"> the support of </w:t>
            </w:r>
            <w:r>
              <w:t>UK agencies to guarantee qu</w:t>
            </w:r>
            <w:r w:rsidR="00FD7C62">
              <w:t xml:space="preserve">icker timelines than stated in the Regulation. It was noted that it would be beneficial for CROs to have something to show to sponsors to provide these reassurances. RT suggested that Janet Wisely should be informed regarding the concerns of CROs in regard to the </w:t>
            </w:r>
            <w:r>
              <w:t>EUCTD</w:t>
            </w:r>
            <w:r w:rsidR="00FD7C62">
              <w:t xml:space="preserve"> and asked to take this message forward</w:t>
            </w:r>
            <w:r w:rsidR="00850804">
              <w:t>.</w:t>
            </w:r>
            <w:r w:rsidR="00055991">
              <w:t xml:space="preserve"> JK</w:t>
            </w:r>
            <w:r w:rsidR="00D133E8">
              <w:t xml:space="preserve"> s</w:t>
            </w:r>
            <w:r w:rsidR="00850804">
              <w:t>aid that she found it difficult</w:t>
            </w:r>
            <w:r>
              <w:t xml:space="preserve"> to understand the concerns</w:t>
            </w:r>
            <w:r w:rsidR="00850804">
              <w:t xml:space="preserve"> as the HRA and MHRA were confident that the current timelines would be maintained and p</w:t>
            </w:r>
            <w:r w:rsidR="00055991">
              <w:t>robably</w:t>
            </w:r>
            <w:r w:rsidR="00850804">
              <w:t xml:space="preserve"> improved. RT explained that </w:t>
            </w:r>
            <w:r>
              <w:t>there will be companies who</w:t>
            </w:r>
            <w:r w:rsidR="00850804">
              <w:t xml:space="preserve"> </w:t>
            </w:r>
            <w:r>
              <w:t>look at final document</w:t>
            </w:r>
            <w:r w:rsidR="00850804">
              <w:t>s out of context and</w:t>
            </w:r>
            <w:r>
              <w:t xml:space="preserve"> who will consider going to US rather than </w:t>
            </w:r>
            <w:r w:rsidR="00850804">
              <w:t xml:space="preserve">the </w:t>
            </w:r>
            <w:r>
              <w:t>EU</w:t>
            </w:r>
            <w:r w:rsidR="00850804">
              <w:t xml:space="preserve"> because of this</w:t>
            </w:r>
            <w:r>
              <w:t xml:space="preserve">. </w:t>
            </w:r>
          </w:p>
          <w:p w:rsidR="00850804" w:rsidRDefault="00850804" w:rsidP="00190F0A">
            <w:pPr>
              <w:jc w:val="both"/>
            </w:pPr>
          </w:p>
          <w:p w:rsidR="003C58F0" w:rsidRDefault="00992163" w:rsidP="00190F0A">
            <w:pPr>
              <w:jc w:val="both"/>
            </w:pPr>
            <w:r>
              <w:t>RT confirmed that t</w:t>
            </w:r>
            <w:r w:rsidR="00850804">
              <w:t>he request to escalate this matter was for a statement from a senior source</w:t>
            </w:r>
            <w:r w:rsidR="003C58F0">
              <w:t xml:space="preserve"> </w:t>
            </w:r>
            <w:r w:rsidR="00850804">
              <w:t>confirming that it will be business as usual. This w</w:t>
            </w:r>
            <w:r w:rsidR="003C58F0">
              <w:t>ould need to be within</w:t>
            </w:r>
            <w:r w:rsidR="00850804">
              <w:t xml:space="preserve"> the</w:t>
            </w:r>
            <w:r w:rsidR="003C58F0">
              <w:t xml:space="preserve"> next few months to prevent </w:t>
            </w:r>
            <w:r>
              <w:t xml:space="preserve">too many </w:t>
            </w:r>
            <w:r w:rsidR="003C58F0">
              <w:t xml:space="preserve">problems. </w:t>
            </w:r>
          </w:p>
          <w:p w:rsidR="003C58F0" w:rsidRDefault="003C58F0" w:rsidP="00190F0A">
            <w:pPr>
              <w:jc w:val="both"/>
            </w:pPr>
          </w:p>
          <w:p w:rsidR="00992163" w:rsidRDefault="00992163" w:rsidP="00190F0A">
            <w:pPr>
              <w:jc w:val="both"/>
            </w:pPr>
            <w:r>
              <w:t>JK reiterated that</w:t>
            </w:r>
            <w:r w:rsidR="003C58F0">
              <w:t xml:space="preserve"> nothing has changed</w:t>
            </w:r>
            <w:r>
              <w:t xml:space="preserve"> in terms of </w:t>
            </w:r>
            <w:proofErr w:type="gramStart"/>
            <w:r>
              <w:t>timeframes,</w:t>
            </w:r>
            <w:proofErr w:type="gramEnd"/>
            <w:r>
              <w:t xml:space="preserve"> they remain the same in the Regulations as they were in the Directive, 60 days. </w:t>
            </w:r>
          </w:p>
          <w:p w:rsidR="008E786C" w:rsidRDefault="008E786C" w:rsidP="00190F0A">
            <w:pPr>
              <w:jc w:val="both"/>
            </w:pPr>
          </w:p>
          <w:p w:rsidR="00E04E34" w:rsidRDefault="00E04E34" w:rsidP="00190F0A">
            <w:pPr>
              <w:jc w:val="both"/>
            </w:pPr>
            <w:r>
              <w:t>It was a</w:t>
            </w:r>
            <w:r w:rsidR="003C58F0">
              <w:t>gree</w:t>
            </w:r>
            <w:r>
              <w:t xml:space="preserve">d that </w:t>
            </w:r>
            <w:r w:rsidR="003C58F0">
              <w:t xml:space="preserve">metrics </w:t>
            </w:r>
            <w:r>
              <w:t>should be published to demonstrate that the UK</w:t>
            </w:r>
            <w:r w:rsidR="003C58F0">
              <w:t xml:space="preserve"> review in significantly less</w:t>
            </w:r>
            <w:r>
              <w:t xml:space="preserve"> than 60 days</w:t>
            </w:r>
            <w:r w:rsidR="003C58F0">
              <w:t xml:space="preserve">. </w:t>
            </w:r>
          </w:p>
          <w:p w:rsidR="00E04E34" w:rsidRDefault="00E04E34" w:rsidP="00190F0A">
            <w:pPr>
              <w:jc w:val="both"/>
            </w:pPr>
          </w:p>
          <w:p w:rsidR="000257F3" w:rsidRDefault="000257F3" w:rsidP="00190F0A">
            <w:pPr>
              <w:jc w:val="both"/>
            </w:pPr>
          </w:p>
          <w:p w:rsidR="000257F3" w:rsidRDefault="000257F3" w:rsidP="000257F3">
            <w:pPr>
              <w:jc w:val="both"/>
            </w:pPr>
            <w:r>
              <w:t xml:space="preserve">UL stated that the UK’s share of global Phase 1 studies continues to decline and that it is therefore important to show to sponsors the advantages of conducting studies in the UK.  She suggested that there should be </w:t>
            </w:r>
            <w:proofErr w:type="gramStart"/>
            <w:r>
              <w:t>a public commitment to fast REC review</w:t>
            </w:r>
            <w:proofErr w:type="gramEnd"/>
            <w:r>
              <w:t xml:space="preserve"> times, similar to that given by the MHRA on the MHRA website.  She stated that the MHRA publishes performance measures on their website which is credible evidence for fast turnaround times to sponsors.  </w:t>
            </w:r>
          </w:p>
          <w:p w:rsidR="000257F3" w:rsidRDefault="000257F3" w:rsidP="000257F3">
            <w:pPr>
              <w:jc w:val="both"/>
            </w:pPr>
          </w:p>
          <w:p w:rsidR="000257F3" w:rsidRDefault="000257F3" w:rsidP="000257F3">
            <w:pPr>
              <w:jc w:val="both"/>
            </w:pPr>
            <w:r>
              <w:t xml:space="preserve">It is important that sponsors, in particular international sponsors who may not be familiar with UK practices, are informed about the translation of regulation into practice. Sponsors who read the updated legislation may assume that approvals will take 60 days and this will put them off. It is important to ensure that the perception of fast review times in the UK is maintained.  We need to be able to attract business to the UK. It was agreed that a statement of intent regarding timeframes would be beneficial. </w:t>
            </w:r>
          </w:p>
          <w:p w:rsidR="000257F3" w:rsidRDefault="000257F3" w:rsidP="00190F0A">
            <w:pPr>
              <w:jc w:val="both"/>
            </w:pPr>
          </w:p>
          <w:p w:rsidR="0044701C" w:rsidRDefault="0044701C" w:rsidP="00190F0A">
            <w:pPr>
              <w:jc w:val="both"/>
            </w:pPr>
          </w:p>
          <w:p w:rsidR="0044701C" w:rsidRDefault="004F1EEF" w:rsidP="00190F0A">
            <w:pPr>
              <w:jc w:val="both"/>
            </w:pPr>
            <w:r>
              <w:t>JK suggested that the HRA should</w:t>
            </w:r>
            <w:r w:rsidR="0044701C">
              <w:t xml:space="preserve"> start work with the comm</w:t>
            </w:r>
            <w:r>
              <w:t>unications</w:t>
            </w:r>
            <w:r w:rsidR="0044701C">
              <w:t xml:space="preserve"> te</w:t>
            </w:r>
            <w:r>
              <w:t xml:space="preserve">am to get the message out. KB stated that </w:t>
            </w:r>
            <w:r w:rsidR="0044701C">
              <w:t xml:space="preserve">there are sponsors who would be </w:t>
            </w:r>
            <w:r>
              <w:t>willing</w:t>
            </w:r>
            <w:r w:rsidR="0044701C">
              <w:t xml:space="preserve"> to say that they are happy with the service</w:t>
            </w:r>
            <w:r>
              <w:t xml:space="preserve"> being provided in the UK</w:t>
            </w:r>
            <w:r w:rsidR="0044701C">
              <w:t xml:space="preserve">. </w:t>
            </w:r>
          </w:p>
          <w:p w:rsidR="0044701C" w:rsidRDefault="0044701C" w:rsidP="00190F0A">
            <w:pPr>
              <w:jc w:val="both"/>
            </w:pPr>
          </w:p>
          <w:p w:rsidR="0044701C" w:rsidRDefault="004F1EEF" w:rsidP="00190F0A">
            <w:pPr>
              <w:jc w:val="both"/>
            </w:pPr>
            <w:r>
              <w:t>It was</w:t>
            </w:r>
            <w:r w:rsidR="0044701C">
              <w:t xml:space="preserve"> </w:t>
            </w:r>
            <w:r>
              <w:t xml:space="preserve">queried whether </w:t>
            </w:r>
            <w:r w:rsidR="0044701C">
              <w:t>validation be in accor</w:t>
            </w:r>
            <w:r>
              <w:t>dance with UK standards? For example, in Germany the CR</w:t>
            </w:r>
            <w:r w:rsidR="0044701C">
              <w:t xml:space="preserve">F has to be submitted to the EC. CC </w:t>
            </w:r>
            <w:r>
              <w:t xml:space="preserve">confirmed that validation </w:t>
            </w:r>
            <w:r w:rsidR="0044701C">
              <w:t>should be standard across the EU.  UL asked for confirmation on what the documentation would be and</w:t>
            </w:r>
            <w:r>
              <w:t xml:space="preserve"> whether this would include CRF as t</w:t>
            </w:r>
            <w:r w:rsidR="0044701C">
              <w:t xml:space="preserve">his is very impractical. CC referred the group to the relevant annex in the provided document. </w:t>
            </w:r>
          </w:p>
          <w:p w:rsidR="00BC28CD" w:rsidRDefault="00BC28CD" w:rsidP="00190F0A">
            <w:pPr>
              <w:jc w:val="both"/>
            </w:pPr>
          </w:p>
          <w:p w:rsidR="00BC28CD" w:rsidRDefault="004F1EEF" w:rsidP="00190F0A">
            <w:pPr>
              <w:jc w:val="both"/>
            </w:pPr>
            <w:r>
              <w:t>It was agreed that all feedback would be sent to CB who will keep a log and forward on to the relevant person to take forward.</w:t>
            </w:r>
            <w:r w:rsidR="00BC28CD">
              <w:t xml:space="preserve"> </w:t>
            </w:r>
          </w:p>
          <w:p w:rsidR="0009551D" w:rsidRDefault="0009551D" w:rsidP="00190F0A">
            <w:pPr>
              <w:jc w:val="both"/>
            </w:pPr>
          </w:p>
          <w:p w:rsidR="0009551D" w:rsidRDefault="004C15E3" w:rsidP="00190F0A">
            <w:pPr>
              <w:jc w:val="both"/>
            </w:pPr>
            <w:r>
              <w:t xml:space="preserve">RT noted that the Regulations </w:t>
            </w:r>
            <w:r w:rsidR="00E37DFB">
              <w:t>empowered</w:t>
            </w:r>
            <w:r>
              <w:t xml:space="preserve"> RECs</w:t>
            </w:r>
            <w:r w:rsidR="00E37DFB">
              <w:t xml:space="preserve"> to be involved in the assessment of SUSARS,</w:t>
            </w:r>
            <w:r>
              <w:t xml:space="preserve"> commenting that he is</w:t>
            </w:r>
            <w:r w:rsidR="00E37DFB">
              <w:t xml:space="preserve"> not sure</w:t>
            </w:r>
            <w:r>
              <w:t xml:space="preserve"> whether</w:t>
            </w:r>
            <w:r w:rsidR="00E37DFB">
              <w:t xml:space="preserve"> REC</w:t>
            </w:r>
            <w:r>
              <w:t>s would like to take this on. CC confirmed that this was</w:t>
            </w:r>
            <w:r w:rsidR="00E37DFB">
              <w:t xml:space="preserve"> not mandatory but allows </w:t>
            </w:r>
            <w:r>
              <w:t xml:space="preserve">the </w:t>
            </w:r>
            <w:r w:rsidR="00E37DFB">
              <w:t xml:space="preserve">provision.  </w:t>
            </w:r>
          </w:p>
          <w:p w:rsidR="00E37DFB" w:rsidRDefault="00E37DFB" w:rsidP="00190F0A">
            <w:pPr>
              <w:jc w:val="both"/>
            </w:pPr>
          </w:p>
          <w:p w:rsidR="004C15E3" w:rsidRDefault="004C15E3" w:rsidP="00190F0A">
            <w:pPr>
              <w:jc w:val="both"/>
            </w:pPr>
            <w:r>
              <w:t>RT noted that the Regulations state that the Princip</w:t>
            </w:r>
            <w:r w:rsidR="00B340E7">
              <w:t>al</w:t>
            </w:r>
            <w:r>
              <w:t xml:space="preserve"> I</w:t>
            </w:r>
            <w:r w:rsidR="00E37DFB">
              <w:t>nvestigator</w:t>
            </w:r>
            <w:r>
              <w:t xml:space="preserve"> is</w:t>
            </w:r>
            <w:r w:rsidR="00E37DFB">
              <w:t xml:space="preserve"> responsible for compliance with </w:t>
            </w:r>
            <w:r>
              <w:t>the R</w:t>
            </w:r>
            <w:r w:rsidR="00E37DFB">
              <w:t xml:space="preserve">egulation. </w:t>
            </w:r>
            <w:r>
              <w:t xml:space="preserve">It was confirmed that the </w:t>
            </w:r>
            <w:r w:rsidRPr="004C15E3">
              <w:t>“Principal Investigator” is responsible for compliance with the Regulation of the clinical trial at site</w:t>
            </w:r>
            <w:r>
              <w:t>.</w:t>
            </w:r>
          </w:p>
          <w:p w:rsidR="0044701C" w:rsidRPr="00945946" w:rsidRDefault="0044701C" w:rsidP="00190F0A">
            <w:pPr>
              <w:jc w:val="both"/>
            </w:pPr>
          </w:p>
        </w:tc>
        <w:tc>
          <w:tcPr>
            <w:tcW w:w="709" w:type="dxa"/>
          </w:tcPr>
          <w:p w:rsidR="000C26F1" w:rsidRDefault="000C26F1" w:rsidP="00190F0A">
            <w:pPr>
              <w:jc w:val="both"/>
            </w:pPr>
          </w:p>
          <w:p w:rsidR="00CE433F" w:rsidRDefault="00CE433F" w:rsidP="00190F0A">
            <w:pPr>
              <w:jc w:val="both"/>
            </w:pPr>
          </w:p>
          <w:p w:rsidR="00CE433F" w:rsidRDefault="00CE433F" w:rsidP="00190F0A">
            <w:pPr>
              <w:jc w:val="both"/>
            </w:pPr>
          </w:p>
          <w:p w:rsidR="00CE433F" w:rsidRDefault="00CE433F" w:rsidP="00190F0A">
            <w:pPr>
              <w:jc w:val="both"/>
            </w:pPr>
          </w:p>
          <w:p w:rsidR="00CE433F" w:rsidRDefault="00CE433F" w:rsidP="00190F0A">
            <w:pPr>
              <w:jc w:val="both"/>
            </w:pPr>
          </w:p>
          <w:p w:rsidR="00CE433F" w:rsidRDefault="00CE433F" w:rsidP="00190F0A">
            <w:pPr>
              <w:jc w:val="both"/>
            </w:pPr>
          </w:p>
          <w:p w:rsidR="00CE433F" w:rsidRDefault="00CE433F" w:rsidP="00190F0A">
            <w:pPr>
              <w:jc w:val="both"/>
            </w:pPr>
          </w:p>
          <w:p w:rsidR="00CE433F" w:rsidRDefault="00CE433F" w:rsidP="00190F0A">
            <w:pPr>
              <w:jc w:val="both"/>
            </w:pPr>
          </w:p>
          <w:p w:rsidR="00CE433F" w:rsidRDefault="00CE433F" w:rsidP="00190F0A">
            <w:pPr>
              <w:jc w:val="both"/>
            </w:pPr>
          </w:p>
          <w:p w:rsidR="00CE433F" w:rsidRDefault="00CE433F" w:rsidP="00190F0A">
            <w:pPr>
              <w:jc w:val="both"/>
            </w:pPr>
          </w:p>
          <w:p w:rsidR="00CE433F" w:rsidRDefault="00CE433F" w:rsidP="00190F0A">
            <w:pPr>
              <w:jc w:val="both"/>
            </w:pPr>
          </w:p>
          <w:p w:rsidR="00CE433F" w:rsidRDefault="00CE433F" w:rsidP="00190F0A">
            <w:pPr>
              <w:jc w:val="both"/>
            </w:pPr>
          </w:p>
          <w:p w:rsidR="00CE433F" w:rsidRDefault="00CE433F" w:rsidP="00190F0A">
            <w:pPr>
              <w:jc w:val="both"/>
            </w:pPr>
          </w:p>
          <w:p w:rsidR="00CE433F" w:rsidRDefault="00CE433F" w:rsidP="00190F0A">
            <w:pPr>
              <w:jc w:val="both"/>
            </w:pPr>
          </w:p>
          <w:p w:rsidR="00CE433F" w:rsidRDefault="00CE433F" w:rsidP="00190F0A">
            <w:pPr>
              <w:jc w:val="both"/>
            </w:pPr>
          </w:p>
          <w:p w:rsidR="00CE433F" w:rsidRDefault="00CE433F" w:rsidP="00190F0A">
            <w:pPr>
              <w:jc w:val="both"/>
            </w:pPr>
          </w:p>
          <w:p w:rsidR="00CE433F" w:rsidRDefault="00CE433F" w:rsidP="00190F0A">
            <w:pPr>
              <w:jc w:val="both"/>
            </w:pPr>
          </w:p>
          <w:p w:rsidR="00CE433F" w:rsidRDefault="008715C6" w:rsidP="00190F0A">
            <w:pPr>
              <w:jc w:val="both"/>
              <w:rPr>
                <w:rFonts w:cs="Arial"/>
                <w:b/>
                <w:sz w:val="18"/>
                <w:szCs w:val="18"/>
              </w:rPr>
            </w:pPr>
            <w:proofErr w:type="spellStart"/>
            <w:r w:rsidRPr="00CE433F">
              <w:rPr>
                <w:rFonts w:cs="Arial"/>
                <w:b/>
                <w:sz w:val="18"/>
                <w:szCs w:val="18"/>
              </w:rPr>
              <w:t>CBl</w:t>
            </w:r>
            <w:proofErr w:type="spellEnd"/>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Default="00055991" w:rsidP="00190F0A">
            <w:pPr>
              <w:jc w:val="both"/>
              <w:rPr>
                <w:rFonts w:cs="Arial"/>
                <w:b/>
                <w:sz w:val="18"/>
                <w:szCs w:val="18"/>
              </w:rPr>
            </w:pPr>
          </w:p>
          <w:p w:rsidR="00055991" w:rsidRPr="00CE433F" w:rsidRDefault="00055991" w:rsidP="00190F0A">
            <w:pPr>
              <w:jc w:val="both"/>
              <w:rPr>
                <w:b/>
              </w:rPr>
            </w:pPr>
          </w:p>
        </w:tc>
      </w:tr>
      <w:tr w:rsidR="00712276" w:rsidTr="00190F0A">
        <w:tc>
          <w:tcPr>
            <w:tcW w:w="675" w:type="dxa"/>
          </w:tcPr>
          <w:p w:rsidR="00712276" w:rsidRPr="00480BCD" w:rsidRDefault="00712276" w:rsidP="00190F0A">
            <w:pPr>
              <w:pStyle w:val="ListParagraph"/>
              <w:numPr>
                <w:ilvl w:val="0"/>
                <w:numId w:val="7"/>
              </w:numPr>
              <w:tabs>
                <w:tab w:val="left" w:pos="360"/>
              </w:tabs>
              <w:ind w:left="144" w:firstLine="0"/>
              <w:jc w:val="both"/>
              <w:rPr>
                <w:rFonts w:cs="Arial"/>
                <w:b/>
              </w:rPr>
            </w:pPr>
          </w:p>
        </w:tc>
        <w:tc>
          <w:tcPr>
            <w:tcW w:w="6946" w:type="dxa"/>
          </w:tcPr>
          <w:p w:rsidR="00145AE5" w:rsidRPr="00935DF7" w:rsidRDefault="00935DF7" w:rsidP="00190F0A">
            <w:pPr>
              <w:tabs>
                <w:tab w:val="left" w:pos="432"/>
                <w:tab w:val="left" w:pos="489"/>
              </w:tabs>
              <w:jc w:val="both"/>
              <w:rPr>
                <w:rFonts w:cs="Arial"/>
                <w:b/>
              </w:rPr>
            </w:pPr>
            <w:r w:rsidRPr="00935DF7">
              <w:rPr>
                <w:rFonts w:cs="Arial"/>
                <w:b/>
              </w:rPr>
              <w:t xml:space="preserve">Registration of all Phase 1 clinical trials as a condition of the favourable ethical opinion </w:t>
            </w:r>
          </w:p>
          <w:p w:rsidR="008330CE" w:rsidRDefault="008330CE" w:rsidP="00190F0A">
            <w:pPr>
              <w:tabs>
                <w:tab w:val="left" w:pos="432"/>
                <w:tab w:val="left" w:pos="489"/>
              </w:tabs>
              <w:jc w:val="both"/>
              <w:rPr>
                <w:rFonts w:cs="Arial"/>
              </w:rPr>
            </w:pPr>
          </w:p>
          <w:p w:rsidR="008330CE" w:rsidRDefault="008330CE" w:rsidP="00190F0A">
            <w:pPr>
              <w:tabs>
                <w:tab w:val="left" w:pos="432"/>
                <w:tab w:val="left" w:pos="489"/>
              </w:tabs>
              <w:jc w:val="both"/>
              <w:rPr>
                <w:rFonts w:cs="Arial"/>
              </w:rPr>
            </w:pPr>
          </w:p>
          <w:p w:rsidR="001B7DD6" w:rsidRDefault="00EF54E7" w:rsidP="00190F0A">
            <w:pPr>
              <w:tabs>
                <w:tab w:val="left" w:pos="432"/>
                <w:tab w:val="left" w:pos="489"/>
              </w:tabs>
              <w:jc w:val="both"/>
              <w:rPr>
                <w:rFonts w:cs="Arial"/>
              </w:rPr>
            </w:pPr>
            <w:r w:rsidRPr="00EF54E7">
              <w:rPr>
                <w:rFonts w:cs="Arial"/>
              </w:rPr>
              <w:t>RT outlined the situation</w:t>
            </w:r>
            <w:r>
              <w:rPr>
                <w:rFonts w:cs="Arial"/>
              </w:rPr>
              <w:t xml:space="preserve">. The </w:t>
            </w:r>
            <w:r w:rsidR="008330CE">
              <w:rPr>
                <w:rFonts w:cs="Arial"/>
              </w:rPr>
              <w:t>HRA requires registration of clinical trials within 6 weeks of recruitment of the first participants</w:t>
            </w:r>
            <w:r>
              <w:rPr>
                <w:rFonts w:cs="Arial"/>
              </w:rPr>
              <w:t xml:space="preserve"> as a condition of the favourable ethical opinion. I</w:t>
            </w:r>
            <w:r w:rsidR="008330CE">
              <w:rPr>
                <w:rFonts w:cs="Arial"/>
              </w:rPr>
              <w:t xml:space="preserve">n phase 1 this may </w:t>
            </w:r>
            <w:r>
              <w:rPr>
                <w:rFonts w:cs="Arial"/>
              </w:rPr>
              <w:t xml:space="preserve">actually </w:t>
            </w:r>
            <w:r w:rsidR="008330CE">
              <w:rPr>
                <w:rFonts w:cs="Arial"/>
              </w:rPr>
              <w:t>b</w:t>
            </w:r>
            <w:r>
              <w:rPr>
                <w:rFonts w:cs="Arial"/>
              </w:rPr>
              <w:t>e after the trial has finished. The</w:t>
            </w:r>
            <w:r w:rsidR="008330CE">
              <w:rPr>
                <w:rFonts w:cs="Arial"/>
              </w:rPr>
              <w:t xml:space="preserve"> HRA</w:t>
            </w:r>
            <w:r>
              <w:rPr>
                <w:rFonts w:cs="Arial"/>
              </w:rPr>
              <w:t xml:space="preserve"> also</w:t>
            </w:r>
            <w:r w:rsidR="008330CE">
              <w:rPr>
                <w:rFonts w:cs="Arial"/>
              </w:rPr>
              <w:t xml:space="preserve"> i</w:t>
            </w:r>
            <w:r>
              <w:rPr>
                <w:rFonts w:cs="Arial"/>
              </w:rPr>
              <w:t>ntroduced a process of registration deferral</w:t>
            </w:r>
            <w:r w:rsidR="008330CE">
              <w:rPr>
                <w:rFonts w:cs="Arial"/>
              </w:rPr>
              <w:t xml:space="preserve"> as</w:t>
            </w:r>
            <w:r>
              <w:rPr>
                <w:rFonts w:cs="Arial"/>
              </w:rPr>
              <w:t xml:space="preserve"> it</w:t>
            </w:r>
            <w:r w:rsidR="008330CE">
              <w:rPr>
                <w:rFonts w:cs="Arial"/>
              </w:rPr>
              <w:t xml:space="preserve"> recognise</w:t>
            </w:r>
            <w:r>
              <w:rPr>
                <w:rFonts w:cs="Arial"/>
              </w:rPr>
              <w:t>s that there are occasions</w:t>
            </w:r>
            <w:r w:rsidR="008330CE">
              <w:rPr>
                <w:rFonts w:cs="Arial"/>
              </w:rPr>
              <w:t xml:space="preserve"> where </w:t>
            </w:r>
            <w:r>
              <w:rPr>
                <w:rFonts w:cs="Arial"/>
              </w:rPr>
              <w:t xml:space="preserve">this would be appropriate. RT said that the message </w:t>
            </w:r>
            <w:r w:rsidR="008330CE">
              <w:rPr>
                <w:rFonts w:cs="Arial"/>
              </w:rPr>
              <w:t>for companies who have stated that they will not register phase 1</w:t>
            </w:r>
            <w:r w:rsidR="001B7DD6">
              <w:rPr>
                <w:rFonts w:cs="Arial"/>
              </w:rPr>
              <w:t xml:space="preserve"> c</w:t>
            </w:r>
            <w:r w:rsidR="008330CE">
              <w:rPr>
                <w:rFonts w:cs="Arial"/>
              </w:rPr>
              <w:t>linical trials, is t</w:t>
            </w:r>
            <w:r>
              <w:rPr>
                <w:rFonts w:cs="Arial"/>
              </w:rPr>
              <w:t>hat they will have to as if they</w:t>
            </w:r>
            <w:r w:rsidR="008330CE">
              <w:rPr>
                <w:rFonts w:cs="Arial"/>
              </w:rPr>
              <w:t xml:space="preserve"> want to undertake clinical trials in Europe in 2 </w:t>
            </w:r>
            <w:proofErr w:type="spellStart"/>
            <w:r w:rsidR="008330CE">
              <w:rPr>
                <w:rFonts w:cs="Arial"/>
              </w:rPr>
              <w:t>years</w:t>
            </w:r>
            <w:r>
              <w:rPr>
                <w:rFonts w:cs="Arial"/>
              </w:rPr>
              <w:t xml:space="preserve"> time</w:t>
            </w:r>
            <w:proofErr w:type="spellEnd"/>
            <w:r>
              <w:rPr>
                <w:rFonts w:cs="Arial"/>
              </w:rPr>
              <w:t>, it</w:t>
            </w:r>
            <w:r w:rsidR="008330CE">
              <w:rPr>
                <w:rFonts w:cs="Arial"/>
              </w:rPr>
              <w:t xml:space="preserve"> will be a requirement. </w:t>
            </w:r>
            <w:r w:rsidR="001B7DD6">
              <w:rPr>
                <w:rFonts w:cs="Arial"/>
              </w:rPr>
              <w:t>Therefore</w:t>
            </w:r>
            <w:r>
              <w:rPr>
                <w:rFonts w:cs="Arial"/>
              </w:rPr>
              <w:t>,</w:t>
            </w:r>
            <w:r w:rsidR="00255D1F">
              <w:rPr>
                <w:rFonts w:cs="Arial"/>
              </w:rPr>
              <w:t xml:space="preserve"> there is not much</w:t>
            </w:r>
            <w:r w:rsidR="001B7DD6">
              <w:rPr>
                <w:rFonts w:cs="Arial"/>
              </w:rPr>
              <w:t xml:space="preserve"> to discuss</w:t>
            </w:r>
            <w:r w:rsidR="00255D1F">
              <w:rPr>
                <w:rFonts w:cs="Arial"/>
              </w:rPr>
              <w:t xml:space="preserve"> in terms of</w:t>
            </w:r>
            <w:r w:rsidR="001B7DD6">
              <w:rPr>
                <w:rFonts w:cs="Arial"/>
              </w:rPr>
              <w:t xml:space="preserve"> whether</w:t>
            </w:r>
            <w:r w:rsidR="00255D1F">
              <w:rPr>
                <w:rFonts w:cs="Arial"/>
              </w:rPr>
              <w:t xml:space="preserve"> the decision is</w:t>
            </w:r>
            <w:r w:rsidR="001B7DD6">
              <w:rPr>
                <w:rFonts w:cs="Arial"/>
              </w:rPr>
              <w:t xml:space="preserve"> right or wrong as</w:t>
            </w:r>
            <w:r w:rsidR="00255D1F">
              <w:rPr>
                <w:rFonts w:cs="Arial"/>
              </w:rPr>
              <w:t xml:space="preserve"> it is</w:t>
            </w:r>
            <w:r w:rsidR="001B7DD6">
              <w:rPr>
                <w:rFonts w:cs="Arial"/>
              </w:rPr>
              <w:t xml:space="preserve"> know</w:t>
            </w:r>
            <w:r w:rsidR="00255D1F">
              <w:rPr>
                <w:rFonts w:cs="Arial"/>
              </w:rPr>
              <w:t>n</w:t>
            </w:r>
            <w:r w:rsidR="001B7DD6">
              <w:rPr>
                <w:rFonts w:cs="Arial"/>
              </w:rPr>
              <w:t xml:space="preserve"> that </w:t>
            </w:r>
            <w:r w:rsidR="00255D1F">
              <w:rPr>
                <w:rFonts w:cs="Arial"/>
              </w:rPr>
              <w:t xml:space="preserve">it </w:t>
            </w:r>
            <w:r w:rsidR="001B7DD6">
              <w:rPr>
                <w:rFonts w:cs="Arial"/>
              </w:rPr>
              <w:t>will be a re</w:t>
            </w:r>
            <w:r w:rsidR="00255D1F">
              <w:rPr>
                <w:rFonts w:cs="Arial"/>
              </w:rPr>
              <w:t>q</w:t>
            </w:r>
            <w:r w:rsidR="001B7DD6">
              <w:rPr>
                <w:rFonts w:cs="Arial"/>
              </w:rPr>
              <w:t>u</w:t>
            </w:r>
            <w:r w:rsidR="00255D1F">
              <w:rPr>
                <w:rFonts w:cs="Arial"/>
              </w:rPr>
              <w:t>i</w:t>
            </w:r>
            <w:r w:rsidR="001B7DD6">
              <w:rPr>
                <w:rFonts w:cs="Arial"/>
              </w:rPr>
              <w:t xml:space="preserve">rement. </w:t>
            </w:r>
            <w:r w:rsidR="00255D1F">
              <w:rPr>
                <w:rFonts w:cs="Arial"/>
              </w:rPr>
              <w:t>Clinical trial registration had initially been a HRA initiative but the issue was now wider than this.</w:t>
            </w:r>
          </w:p>
          <w:p w:rsidR="001B7DD6" w:rsidRDefault="001B7DD6" w:rsidP="00190F0A">
            <w:pPr>
              <w:tabs>
                <w:tab w:val="left" w:pos="432"/>
                <w:tab w:val="left" w:pos="489"/>
              </w:tabs>
              <w:jc w:val="both"/>
              <w:rPr>
                <w:rFonts w:cs="Arial"/>
              </w:rPr>
            </w:pPr>
          </w:p>
          <w:p w:rsidR="001B7DD6" w:rsidRDefault="001B7DD6" w:rsidP="00190F0A">
            <w:pPr>
              <w:tabs>
                <w:tab w:val="left" w:pos="432"/>
                <w:tab w:val="left" w:pos="489"/>
              </w:tabs>
              <w:jc w:val="both"/>
              <w:rPr>
                <w:rFonts w:cs="Arial"/>
              </w:rPr>
            </w:pPr>
            <w:r>
              <w:rPr>
                <w:rFonts w:cs="Arial"/>
              </w:rPr>
              <w:t xml:space="preserve">RT </w:t>
            </w:r>
            <w:r w:rsidR="00255D1F">
              <w:rPr>
                <w:rFonts w:cs="Arial"/>
              </w:rPr>
              <w:t>stated that his</w:t>
            </w:r>
            <w:r>
              <w:rPr>
                <w:rFonts w:cs="Arial"/>
              </w:rPr>
              <w:t xml:space="preserve"> personal view </w:t>
            </w:r>
            <w:r w:rsidR="00255D1F">
              <w:rPr>
                <w:rFonts w:cs="Arial"/>
              </w:rPr>
              <w:t>is</w:t>
            </w:r>
            <w:r>
              <w:rPr>
                <w:rFonts w:cs="Arial"/>
              </w:rPr>
              <w:t xml:space="preserve"> that this is the right way to go but appreciate</w:t>
            </w:r>
            <w:r w:rsidR="00255D1F">
              <w:rPr>
                <w:rFonts w:cs="Arial"/>
              </w:rPr>
              <w:t>d that</w:t>
            </w:r>
            <w:r>
              <w:rPr>
                <w:rFonts w:cs="Arial"/>
              </w:rPr>
              <w:t xml:space="preserve"> othe</w:t>
            </w:r>
            <w:r w:rsidR="00255D1F">
              <w:rPr>
                <w:rFonts w:cs="Arial"/>
              </w:rPr>
              <w:t>r</w:t>
            </w:r>
            <w:r>
              <w:rPr>
                <w:rFonts w:cs="Arial"/>
              </w:rPr>
              <w:t>s disagree with this</w:t>
            </w:r>
            <w:r w:rsidR="00255D1F">
              <w:rPr>
                <w:rFonts w:cs="Arial"/>
              </w:rPr>
              <w:t xml:space="preserve"> opinion</w:t>
            </w:r>
            <w:r>
              <w:rPr>
                <w:rFonts w:cs="Arial"/>
              </w:rPr>
              <w:t xml:space="preserve">. </w:t>
            </w:r>
            <w:r w:rsidR="00255D1F">
              <w:rPr>
                <w:rFonts w:cs="Arial"/>
              </w:rPr>
              <w:t>The question should be w</w:t>
            </w:r>
            <w:r>
              <w:rPr>
                <w:rFonts w:cs="Arial"/>
              </w:rPr>
              <w:t xml:space="preserve">hat can people do between now and when </w:t>
            </w:r>
            <w:r w:rsidR="00255D1F">
              <w:rPr>
                <w:rFonts w:cs="Arial"/>
              </w:rPr>
              <w:t>there is a requirement to publish</w:t>
            </w:r>
            <w:r>
              <w:rPr>
                <w:rFonts w:cs="Arial"/>
              </w:rPr>
              <w:t xml:space="preserve"> to manage difficulties with sponsors and whether the deferment process helps. </w:t>
            </w:r>
            <w:r w:rsidR="00255D1F">
              <w:rPr>
                <w:rFonts w:cs="Arial"/>
              </w:rPr>
              <w:t xml:space="preserve">RT explained that he had been </w:t>
            </w:r>
            <w:r>
              <w:rPr>
                <w:rFonts w:cs="Arial"/>
              </w:rPr>
              <w:t>sent details, in confidence, of one sponsor who ha</w:t>
            </w:r>
            <w:r w:rsidR="00D133E8">
              <w:rPr>
                <w:rFonts w:cs="Arial"/>
              </w:rPr>
              <w:t>s</w:t>
            </w:r>
            <w:r>
              <w:rPr>
                <w:rFonts w:cs="Arial"/>
              </w:rPr>
              <w:t xml:space="preserve"> categorically said that they w</w:t>
            </w:r>
            <w:r w:rsidR="00255D1F">
              <w:rPr>
                <w:rFonts w:cs="Arial"/>
              </w:rPr>
              <w:t>ill send their work to the US. It was noted that the company are n</w:t>
            </w:r>
            <w:r>
              <w:rPr>
                <w:rFonts w:cs="Arial"/>
              </w:rPr>
              <w:t>ot members of the ABPI.</w:t>
            </w:r>
            <w:r w:rsidR="00B53367">
              <w:rPr>
                <w:rFonts w:cs="Arial"/>
              </w:rPr>
              <w:t xml:space="preserve"> </w:t>
            </w:r>
            <w:r w:rsidR="00255D1F">
              <w:rPr>
                <w:rFonts w:cs="Arial"/>
              </w:rPr>
              <w:t>The assumption is that the ABPI will be encouraging members to move in this direction. CB noted that at a</w:t>
            </w:r>
            <w:r w:rsidR="00B53367">
              <w:rPr>
                <w:rFonts w:cs="Arial"/>
              </w:rPr>
              <w:t xml:space="preserve"> recent</w:t>
            </w:r>
            <w:r w:rsidR="00255D1F">
              <w:rPr>
                <w:rFonts w:cs="Arial"/>
              </w:rPr>
              <w:t xml:space="preserve"> ABPI</w:t>
            </w:r>
            <w:r w:rsidR="00B53367">
              <w:rPr>
                <w:rFonts w:cs="Arial"/>
              </w:rPr>
              <w:t xml:space="preserve"> meeting</w:t>
            </w:r>
            <w:r w:rsidR="00255D1F">
              <w:rPr>
                <w:rFonts w:cs="Arial"/>
              </w:rPr>
              <w:t>,</w:t>
            </w:r>
            <w:r w:rsidR="00B53367">
              <w:rPr>
                <w:rFonts w:cs="Arial"/>
              </w:rPr>
              <w:t xml:space="preserve"> this</w:t>
            </w:r>
            <w:r w:rsidR="00255D1F">
              <w:rPr>
                <w:rFonts w:cs="Arial"/>
              </w:rPr>
              <w:t xml:space="preserve"> issue</w:t>
            </w:r>
            <w:r w:rsidR="00B53367">
              <w:rPr>
                <w:rFonts w:cs="Arial"/>
              </w:rPr>
              <w:t xml:space="preserve"> was discussed and it was agreed that this is the way to go.</w:t>
            </w:r>
          </w:p>
          <w:p w:rsidR="00255D1F" w:rsidRDefault="00255D1F" w:rsidP="00190F0A">
            <w:pPr>
              <w:tabs>
                <w:tab w:val="left" w:pos="432"/>
                <w:tab w:val="left" w:pos="489"/>
              </w:tabs>
              <w:jc w:val="both"/>
              <w:rPr>
                <w:rFonts w:cs="Arial"/>
              </w:rPr>
            </w:pPr>
          </w:p>
          <w:p w:rsidR="00255D1F" w:rsidRDefault="00255D1F" w:rsidP="00190F0A">
            <w:pPr>
              <w:tabs>
                <w:tab w:val="left" w:pos="432"/>
                <w:tab w:val="left" w:pos="489"/>
              </w:tabs>
              <w:jc w:val="both"/>
              <w:rPr>
                <w:rFonts w:cs="Arial"/>
              </w:rPr>
            </w:pPr>
            <w:r>
              <w:rPr>
                <w:rFonts w:cs="Arial"/>
              </w:rPr>
              <w:t>JK asked whether there is a likelihood that the US will move in the same direction in this regard. It was noted that the FDA insist on registration for Phase II but this is for the purpose of the Government and not transparency. It was suggested that it would become clear whether the US follow suit</w:t>
            </w:r>
            <w:r w:rsidR="00CE38A0">
              <w:rPr>
                <w:rFonts w:cs="Arial"/>
              </w:rPr>
              <w:t xml:space="preserve"> </w:t>
            </w:r>
            <w:r w:rsidR="00D133E8">
              <w:rPr>
                <w:rFonts w:cs="Arial"/>
              </w:rPr>
              <w:t>in due course.</w:t>
            </w:r>
          </w:p>
          <w:p w:rsidR="00B53367" w:rsidRDefault="00B53367" w:rsidP="00190F0A">
            <w:pPr>
              <w:tabs>
                <w:tab w:val="left" w:pos="432"/>
                <w:tab w:val="left" w:pos="489"/>
              </w:tabs>
              <w:jc w:val="both"/>
              <w:rPr>
                <w:rFonts w:cs="Arial"/>
              </w:rPr>
            </w:pPr>
          </w:p>
          <w:p w:rsidR="00B53367" w:rsidRDefault="00255D1F" w:rsidP="00190F0A">
            <w:pPr>
              <w:tabs>
                <w:tab w:val="left" w:pos="432"/>
                <w:tab w:val="left" w:pos="489"/>
              </w:tabs>
              <w:jc w:val="both"/>
              <w:rPr>
                <w:rFonts w:cs="Arial"/>
              </w:rPr>
            </w:pPr>
            <w:r>
              <w:rPr>
                <w:rFonts w:cs="Arial"/>
              </w:rPr>
              <w:t xml:space="preserve">SL noted that it </w:t>
            </w:r>
            <w:r w:rsidR="00B53367">
              <w:rPr>
                <w:rFonts w:cs="Arial"/>
              </w:rPr>
              <w:t xml:space="preserve">has been important to be able to </w:t>
            </w:r>
            <w:r>
              <w:rPr>
                <w:rFonts w:cs="Arial"/>
              </w:rPr>
              <w:t>defer registration</w:t>
            </w:r>
            <w:r w:rsidR="007B1EC4">
              <w:rPr>
                <w:rFonts w:cs="Arial"/>
              </w:rPr>
              <w:t xml:space="preserve">, quoting reasons having been given by sponsors as </w:t>
            </w:r>
            <w:r w:rsidR="00B53367">
              <w:rPr>
                <w:rFonts w:cs="Arial"/>
              </w:rPr>
              <w:t xml:space="preserve">commercial sensitivity and </w:t>
            </w:r>
            <w:r w:rsidR="007B1EC4">
              <w:rPr>
                <w:rFonts w:cs="Arial"/>
              </w:rPr>
              <w:t>having their own transparency policy. It was suggested that it would be</w:t>
            </w:r>
            <w:r w:rsidR="00B53367">
              <w:rPr>
                <w:rFonts w:cs="Arial"/>
              </w:rPr>
              <w:t xml:space="preserve"> interesting to see how companies will amend their transparency policy to meet the upcoming </w:t>
            </w:r>
            <w:r w:rsidR="007B1EC4">
              <w:rPr>
                <w:rFonts w:cs="Arial"/>
              </w:rPr>
              <w:t>requirement determined by the Regulation.</w:t>
            </w:r>
            <w:r w:rsidR="00B53367">
              <w:rPr>
                <w:rFonts w:cs="Arial"/>
              </w:rPr>
              <w:t xml:space="preserve"> </w:t>
            </w:r>
          </w:p>
          <w:p w:rsidR="00B53367" w:rsidRDefault="00B53367" w:rsidP="00190F0A">
            <w:pPr>
              <w:tabs>
                <w:tab w:val="left" w:pos="432"/>
                <w:tab w:val="left" w:pos="489"/>
              </w:tabs>
              <w:jc w:val="both"/>
              <w:rPr>
                <w:rFonts w:cs="Arial"/>
              </w:rPr>
            </w:pPr>
          </w:p>
          <w:p w:rsidR="000257F3" w:rsidRDefault="000257F3" w:rsidP="00190F0A">
            <w:pPr>
              <w:tabs>
                <w:tab w:val="left" w:pos="432"/>
                <w:tab w:val="left" w:pos="489"/>
              </w:tabs>
              <w:jc w:val="both"/>
              <w:rPr>
                <w:rFonts w:cs="Arial"/>
              </w:rPr>
            </w:pPr>
          </w:p>
          <w:p w:rsidR="000257F3" w:rsidRDefault="000257F3" w:rsidP="000257F3">
            <w:pPr>
              <w:tabs>
                <w:tab w:val="left" w:pos="432"/>
                <w:tab w:val="left" w:pos="489"/>
              </w:tabs>
              <w:jc w:val="both"/>
              <w:rPr>
                <w:rFonts w:cs="Arial"/>
              </w:rPr>
            </w:pPr>
            <w:r>
              <w:rPr>
                <w:rFonts w:cs="Arial"/>
              </w:rPr>
              <w:t xml:space="preserve">UL noted that until implementation of the updated clinical trials regulation there are still two years of business during which the UK should be able to compete on a level playing field with other European countries. The benefit of registering early phase trials is not clear, unless a study is terminated for safety reasons, has therapeutic benefit for patients or is publicly funded, in which cases registration is clearly beneficial. It was suggested that one way forward would be for the deferral process to be made simpler, such as a tick box on the IRAS form, as the current process is time consuming and perceived as difficult.  </w:t>
            </w:r>
          </w:p>
          <w:p w:rsidR="000257F3" w:rsidRDefault="000257F3" w:rsidP="00190F0A">
            <w:pPr>
              <w:tabs>
                <w:tab w:val="left" w:pos="432"/>
                <w:tab w:val="left" w:pos="489"/>
              </w:tabs>
              <w:jc w:val="both"/>
              <w:rPr>
                <w:rFonts w:cs="Arial"/>
              </w:rPr>
            </w:pPr>
          </w:p>
          <w:p w:rsidR="00C66D0D" w:rsidRDefault="00C66D0D" w:rsidP="00190F0A">
            <w:pPr>
              <w:tabs>
                <w:tab w:val="left" w:pos="432"/>
                <w:tab w:val="left" w:pos="489"/>
              </w:tabs>
              <w:jc w:val="both"/>
              <w:rPr>
                <w:rFonts w:cs="Arial"/>
              </w:rPr>
            </w:pPr>
          </w:p>
          <w:p w:rsidR="00C66D0D" w:rsidRDefault="007B1EC4" w:rsidP="00190F0A">
            <w:pPr>
              <w:tabs>
                <w:tab w:val="left" w:pos="432"/>
                <w:tab w:val="left" w:pos="489"/>
              </w:tabs>
              <w:jc w:val="both"/>
              <w:rPr>
                <w:rFonts w:cs="Arial"/>
              </w:rPr>
            </w:pPr>
            <w:r>
              <w:rPr>
                <w:rFonts w:cs="Arial"/>
              </w:rPr>
              <w:t xml:space="preserve">MB noted that when </w:t>
            </w:r>
            <w:r w:rsidR="00C66D0D">
              <w:rPr>
                <w:rFonts w:cs="Arial"/>
              </w:rPr>
              <w:t>a patent application</w:t>
            </w:r>
            <w:r>
              <w:rPr>
                <w:rFonts w:cs="Arial"/>
              </w:rPr>
              <w:t xml:space="preserve"> is submitted they have one</w:t>
            </w:r>
            <w:r w:rsidR="00C66D0D">
              <w:rPr>
                <w:rFonts w:cs="Arial"/>
              </w:rPr>
              <w:t xml:space="preserve"> year to gather information. </w:t>
            </w:r>
            <w:r>
              <w:rPr>
                <w:rFonts w:cs="Arial"/>
              </w:rPr>
              <w:t xml:space="preserve">MB added that he is aware of </w:t>
            </w:r>
            <w:r w:rsidR="00C66D0D">
              <w:rPr>
                <w:rFonts w:cs="Arial"/>
              </w:rPr>
              <w:t>one company say</w:t>
            </w:r>
            <w:r>
              <w:rPr>
                <w:rFonts w:cs="Arial"/>
              </w:rPr>
              <w:t>ing</w:t>
            </w:r>
            <w:r w:rsidR="00C66D0D">
              <w:rPr>
                <w:rFonts w:cs="Arial"/>
              </w:rPr>
              <w:t xml:space="preserve"> </w:t>
            </w:r>
            <w:r>
              <w:rPr>
                <w:rFonts w:cs="Arial"/>
              </w:rPr>
              <w:t xml:space="preserve">that they </w:t>
            </w:r>
            <w:r w:rsidR="00C66D0D">
              <w:rPr>
                <w:rFonts w:cs="Arial"/>
              </w:rPr>
              <w:t>would</w:t>
            </w:r>
            <w:r>
              <w:rPr>
                <w:rFonts w:cs="Arial"/>
              </w:rPr>
              <w:t xml:space="preserve"> </w:t>
            </w:r>
            <w:r w:rsidR="00C66D0D">
              <w:rPr>
                <w:rFonts w:cs="Arial"/>
              </w:rPr>
              <w:t xml:space="preserve">request </w:t>
            </w:r>
            <w:r>
              <w:rPr>
                <w:rFonts w:cs="Arial"/>
              </w:rPr>
              <w:t>deferral,</w:t>
            </w:r>
            <w:r w:rsidR="00C66D0D">
              <w:rPr>
                <w:rFonts w:cs="Arial"/>
              </w:rPr>
              <w:t xml:space="preserve"> one </w:t>
            </w:r>
            <w:r>
              <w:rPr>
                <w:rFonts w:cs="Arial"/>
              </w:rPr>
              <w:t>saying that they</w:t>
            </w:r>
            <w:r w:rsidR="00C66D0D">
              <w:rPr>
                <w:rFonts w:cs="Arial"/>
              </w:rPr>
              <w:t xml:space="preserve"> would take </w:t>
            </w:r>
            <w:r>
              <w:rPr>
                <w:rFonts w:cs="Arial"/>
              </w:rPr>
              <w:t xml:space="preserve">their business </w:t>
            </w:r>
            <w:r w:rsidR="00C66D0D">
              <w:rPr>
                <w:rFonts w:cs="Arial"/>
              </w:rPr>
              <w:t>elsewhere</w:t>
            </w:r>
            <w:r>
              <w:rPr>
                <w:rFonts w:cs="Arial"/>
              </w:rPr>
              <w:t xml:space="preserve"> and</w:t>
            </w:r>
            <w:r w:rsidR="00C66D0D">
              <w:rPr>
                <w:rFonts w:cs="Arial"/>
              </w:rPr>
              <w:t xml:space="preserve"> one which said if </w:t>
            </w:r>
            <w:r>
              <w:rPr>
                <w:rFonts w:cs="Arial"/>
              </w:rPr>
              <w:t xml:space="preserve">they </w:t>
            </w:r>
            <w:r w:rsidR="00C66D0D">
              <w:rPr>
                <w:rFonts w:cs="Arial"/>
              </w:rPr>
              <w:t xml:space="preserve">can have </w:t>
            </w:r>
            <w:r>
              <w:rPr>
                <w:rFonts w:cs="Arial"/>
              </w:rPr>
              <w:t>deferral</w:t>
            </w:r>
            <w:r w:rsidR="00C66D0D">
              <w:rPr>
                <w:rFonts w:cs="Arial"/>
              </w:rPr>
              <w:t xml:space="preserve"> during</w:t>
            </w:r>
            <w:r>
              <w:rPr>
                <w:rFonts w:cs="Arial"/>
              </w:rPr>
              <w:t xml:space="preserve"> the</w:t>
            </w:r>
            <w:r w:rsidR="00C66D0D">
              <w:rPr>
                <w:rFonts w:cs="Arial"/>
              </w:rPr>
              <w:t xml:space="preserve"> patent year</w:t>
            </w:r>
            <w:r>
              <w:rPr>
                <w:rFonts w:cs="Arial"/>
              </w:rPr>
              <w:t xml:space="preserve"> this would be acceptable,</w:t>
            </w:r>
            <w:r w:rsidR="00C66D0D">
              <w:rPr>
                <w:rFonts w:cs="Arial"/>
              </w:rPr>
              <w:t xml:space="preserve"> otherwise </w:t>
            </w:r>
            <w:r>
              <w:rPr>
                <w:rFonts w:cs="Arial"/>
              </w:rPr>
              <w:t xml:space="preserve">they </w:t>
            </w:r>
            <w:r w:rsidR="00C66D0D">
              <w:rPr>
                <w:rFonts w:cs="Arial"/>
              </w:rPr>
              <w:t xml:space="preserve">will go outside </w:t>
            </w:r>
            <w:r>
              <w:rPr>
                <w:rFonts w:cs="Arial"/>
              </w:rPr>
              <w:t xml:space="preserve">the </w:t>
            </w:r>
            <w:r w:rsidR="00C66D0D">
              <w:rPr>
                <w:rFonts w:cs="Arial"/>
              </w:rPr>
              <w:t xml:space="preserve">EU. </w:t>
            </w:r>
          </w:p>
          <w:p w:rsidR="003310F6" w:rsidRDefault="003310F6" w:rsidP="00190F0A">
            <w:pPr>
              <w:tabs>
                <w:tab w:val="left" w:pos="432"/>
                <w:tab w:val="left" w:pos="489"/>
              </w:tabs>
              <w:jc w:val="both"/>
              <w:rPr>
                <w:rFonts w:cs="Arial"/>
              </w:rPr>
            </w:pPr>
          </w:p>
          <w:p w:rsidR="003310F6" w:rsidRDefault="003310F6" w:rsidP="00190F0A">
            <w:pPr>
              <w:tabs>
                <w:tab w:val="left" w:pos="432"/>
                <w:tab w:val="left" w:pos="489"/>
              </w:tabs>
              <w:jc w:val="both"/>
              <w:rPr>
                <w:rFonts w:cs="Arial"/>
              </w:rPr>
            </w:pPr>
            <w:r>
              <w:rPr>
                <w:rFonts w:cs="Arial"/>
              </w:rPr>
              <w:t xml:space="preserve">TS </w:t>
            </w:r>
            <w:r w:rsidR="007B1EC4">
              <w:rPr>
                <w:rFonts w:cs="Arial"/>
              </w:rPr>
              <w:t>introduced himself to the group as the person in the HRA who is</w:t>
            </w:r>
            <w:r>
              <w:rPr>
                <w:rFonts w:cs="Arial"/>
              </w:rPr>
              <w:t xml:space="preserve"> taking the lead on the transparency work</w:t>
            </w:r>
            <w:r w:rsidR="007B1EC4">
              <w:rPr>
                <w:rFonts w:cs="Arial"/>
              </w:rPr>
              <w:t xml:space="preserve">. TS clarified that </w:t>
            </w:r>
            <w:r w:rsidR="00076C7C">
              <w:rPr>
                <w:rFonts w:cs="Arial"/>
              </w:rPr>
              <w:t xml:space="preserve">registration </w:t>
            </w:r>
            <w:r w:rsidR="007B1EC4">
              <w:rPr>
                <w:rFonts w:cs="Arial"/>
              </w:rPr>
              <w:t>exemption is not something that would be considered but deferral was accepted to be appropriate under certain circumstances. Of all requests to defer registration received to date (14), no requests have been refused.</w:t>
            </w:r>
            <w:r w:rsidR="00E61C67">
              <w:rPr>
                <w:rFonts w:cs="Arial"/>
              </w:rPr>
              <w:t xml:space="preserve"> In terms of process, the HRA</w:t>
            </w:r>
            <w:r>
              <w:rPr>
                <w:rFonts w:cs="Arial"/>
              </w:rPr>
              <w:t xml:space="preserve"> consider </w:t>
            </w:r>
            <w:r w:rsidR="00E61C67">
              <w:rPr>
                <w:rFonts w:cs="Arial"/>
              </w:rPr>
              <w:t xml:space="preserve">this </w:t>
            </w:r>
            <w:r>
              <w:rPr>
                <w:rFonts w:cs="Arial"/>
              </w:rPr>
              <w:t>to be an easy process so welcome feedback re</w:t>
            </w:r>
            <w:r w:rsidR="00E61C67">
              <w:rPr>
                <w:rFonts w:cs="Arial"/>
              </w:rPr>
              <w:t>garding this. In regard to the</w:t>
            </w:r>
            <w:r>
              <w:rPr>
                <w:rFonts w:cs="Arial"/>
              </w:rPr>
              <w:t xml:space="preserve"> two year intervening </w:t>
            </w:r>
            <w:r w:rsidR="00E61C67">
              <w:rPr>
                <w:rFonts w:cs="Arial"/>
              </w:rPr>
              <w:t>period, the HRA</w:t>
            </w:r>
            <w:r>
              <w:rPr>
                <w:rFonts w:cs="Arial"/>
              </w:rPr>
              <w:t xml:space="preserve"> are looking at the barriers to registration</w:t>
            </w:r>
            <w:r w:rsidR="00E61C67">
              <w:rPr>
                <w:rFonts w:cs="Arial"/>
              </w:rPr>
              <w:t xml:space="preserve"> so that solutions can be identified where possible. Th</w:t>
            </w:r>
            <w:r>
              <w:rPr>
                <w:rFonts w:cs="Arial"/>
              </w:rPr>
              <w:t>e</w:t>
            </w:r>
            <w:r w:rsidR="00E61C67">
              <w:rPr>
                <w:rFonts w:cs="Arial"/>
              </w:rPr>
              <w:t xml:space="preserve"> HRA</w:t>
            </w:r>
            <w:r>
              <w:rPr>
                <w:rFonts w:cs="Arial"/>
              </w:rPr>
              <w:t xml:space="preserve"> are seeking examples of practical issues which arise with registration</w:t>
            </w:r>
            <w:r w:rsidR="00E61C67">
              <w:rPr>
                <w:rFonts w:cs="Arial"/>
              </w:rPr>
              <w:t xml:space="preserve"> and would welcome comments regarding this</w:t>
            </w:r>
            <w:r>
              <w:rPr>
                <w:rFonts w:cs="Arial"/>
              </w:rPr>
              <w:t xml:space="preserve">. </w:t>
            </w:r>
          </w:p>
          <w:p w:rsidR="00A056C0" w:rsidRDefault="00A056C0" w:rsidP="00190F0A">
            <w:pPr>
              <w:tabs>
                <w:tab w:val="left" w:pos="432"/>
                <w:tab w:val="left" w:pos="489"/>
              </w:tabs>
              <w:jc w:val="both"/>
              <w:rPr>
                <w:rFonts w:cs="Arial"/>
              </w:rPr>
            </w:pPr>
          </w:p>
          <w:p w:rsidR="00A056C0" w:rsidRDefault="00A056C0" w:rsidP="00190F0A">
            <w:pPr>
              <w:tabs>
                <w:tab w:val="left" w:pos="432"/>
                <w:tab w:val="left" w:pos="489"/>
              </w:tabs>
              <w:jc w:val="both"/>
              <w:rPr>
                <w:rFonts w:cs="Arial"/>
              </w:rPr>
            </w:pPr>
            <w:r>
              <w:rPr>
                <w:rFonts w:cs="Arial"/>
              </w:rPr>
              <w:t xml:space="preserve">It was noted that in regard to the suggestion to include a tick box on the IRAS form, this would not be possible as updates could not be made to the form. It was also stated that blanket deferral was not acceptable and the requirement would be for each request to be given consideration on a case by case basis. MB said that he finds the process for requesting deferral acceptable and is grateful that the HRA have this position, adding that it was unfortunate that this would change with the implementation of the EUCTR. </w:t>
            </w:r>
          </w:p>
          <w:p w:rsidR="00A31448" w:rsidRDefault="00A31448" w:rsidP="00190F0A">
            <w:pPr>
              <w:tabs>
                <w:tab w:val="left" w:pos="432"/>
                <w:tab w:val="left" w:pos="489"/>
              </w:tabs>
              <w:jc w:val="both"/>
              <w:rPr>
                <w:rFonts w:cs="Arial"/>
              </w:rPr>
            </w:pPr>
          </w:p>
          <w:p w:rsidR="00A31448" w:rsidRDefault="00A31448" w:rsidP="00190F0A">
            <w:pPr>
              <w:tabs>
                <w:tab w:val="left" w:pos="432"/>
                <w:tab w:val="left" w:pos="489"/>
              </w:tabs>
              <w:jc w:val="both"/>
              <w:rPr>
                <w:rFonts w:cs="Arial"/>
              </w:rPr>
            </w:pPr>
            <w:r>
              <w:rPr>
                <w:rFonts w:cs="Arial"/>
              </w:rPr>
              <w:t xml:space="preserve">JK confirmed that some </w:t>
            </w:r>
            <w:r w:rsidR="00A056C0">
              <w:rPr>
                <w:rFonts w:cs="Arial"/>
              </w:rPr>
              <w:t xml:space="preserve">Phase 1 </w:t>
            </w:r>
            <w:r>
              <w:rPr>
                <w:rFonts w:cs="Arial"/>
              </w:rPr>
              <w:t>st</w:t>
            </w:r>
            <w:r w:rsidR="00A056C0">
              <w:rPr>
                <w:rFonts w:cs="Arial"/>
              </w:rPr>
              <w:t>udies are being registered</w:t>
            </w:r>
            <w:r>
              <w:rPr>
                <w:rFonts w:cs="Arial"/>
              </w:rPr>
              <w:t xml:space="preserve">. </w:t>
            </w:r>
            <w:r w:rsidR="00A056C0">
              <w:rPr>
                <w:rFonts w:cs="Arial"/>
              </w:rPr>
              <w:t xml:space="preserve">It was suggested that the issues would be less for larger companies. Small companies are usually a </w:t>
            </w:r>
            <w:proofErr w:type="spellStart"/>
            <w:r w:rsidR="00A056C0">
              <w:rPr>
                <w:rFonts w:cs="Arial"/>
              </w:rPr>
              <w:t>spin off</w:t>
            </w:r>
            <w:proofErr w:type="spellEnd"/>
            <w:r w:rsidR="00A056C0">
              <w:rPr>
                <w:rFonts w:cs="Arial"/>
              </w:rPr>
              <w:t xml:space="preserve"> company from universities and are the ones who are apprehensive about doing their work in the UK as they don’t want other companies to know what they are doing until they have got a head start. </w:t>
            </w:r>
          </w:p>
          <w:p w:rsidR="00B00B46" w:rsidRDefault="00B00B46" w:rsidP="00190F0A">
            <w:pPr>
              <w:tabs>
                <w:tab w:val="left" w:pos="432"/>
                <w:tab w:val="left" w:pos="489"/>
              </w:tabs>
              <w:jc w:val="both"/>
              <w:rPr>
                <w:rFonts w:cs="Arial"/>
              </w:rPr>
            </w:pPr>
          </w:p>
          <w:p w:rsidR="000675C3" w:rsidRDefault="00A056C0" w:rsidP="00190F0A">
            <w:pPr>
              <w:tabs>
                <w:tab w:val="left" w:pos="432"/>
                <w:tab w:val="left" w:pos="489"/>
              </w:tabs>
              <w:jc w:val="both"/>
              <w:rPr>
                <w:rFonts w:cs="Arial"/>
              </w:rPr>
            </w:pPr>
            <w:r>
              <w:rPr>
                <w:rFonts w:cs="Arial"/>
              </w:rPr>
              <w:t xml:space="preserve">SM suggested that as every REC is obliged to </w:t>
            </w:r>
            <w:r w:rsidR="00B00B46">
              <w:rPr>
                <w:rFonts w:cs="Arial"/>
              </w:rPr>
              <w:t>publish an annual report</w:t>
            </w:r>
            <w:r>
              <w:rPr>
                <w:rFonts w:cs="Arial"/>
              </w:rPr>
              <w:t>,</w:t>
            </w:r>
            <w:r w:rsidR="00B00B46">
              <w:rPr>
                <w:rFonts w:cs="Arial"/>
              </w:rPr>
              <w:t xml:space="preserve"> which incl</w:t>
            </w:r>
            <w:r>
              <w:rPr>
                <w:rFonts w:cs="Arial"/>
              </w:rPr>
              <w:t>udes the full title of all studies</w:t>
            </w:r>
            <w:r w:rsidR="00B00B46">
              <w:rPr>
                <w:rFonts w:cs="Arial"/>
              </w:rPr>
              <w:t xml:space="preserve"> review</w:t>
            </w:r>
            <w:r>
              <w:rPr>
                <w:rFonts w:cs="Arial"/>
              </w:rPr>
              <w:t xml:space="preserve">ed and could be only one month after </w:t>
            </w:r>
            <w:proofErr w:type="gramStart"/>
            <w:r>
              <w:rPr>
                <w:rFonts w:cs="Arial"/>
              </w:rPr>
              <w:t>approval,</w:t>
            </w:r>
            <w:proofErr w:type="gramEnd"/>
            <w:r>
              <w:rPr>
                <w:rFonts w:cs="Arial"/>
              </w:rPr>
              <w:t xml:space="preserve"> information which could be </w:t>
            </w:r>
            <w:r w:rsidR="009D0EF1">
              <w:rPr>
                <w:rFonts w:cs="Arial"/>
              </w:rPr>
              <w:t>d</w:t>
            </w:r>
            <w:r>
              <w:rPr>
                <w:rFonts w:cs="Arial"/>
              </w:rPr>
              <w:t xml:space="preserve">eemed sensitive is already in the public domain. It was noted that it is possible to disguise certain information when devising a study title. </w:t>
            </w:r>
            <w:r w:rsidR="000675C3">
              <w:rPr>
                <w:rFonts w:cs="Arial"/>
              </w:rPr>
              <w:t xml:space="preserve">SE added that there have been occasions when the REC have asked for the study title to be changed </w:t>
            </w:r>
            <w:r w:rsidR="00B00B46">
              <w:rPr>
                <w:rFonts w:cs="Arial"/>
              </w:rPr>
              <w:t>as</w:t>
            </w:r>
            <w:r w:rsidR="000675C3">
              <w:rPr>
                <w:rFonts w:cs="Arial"/>
              </w:rPr>
              <w:t xml:space="preserve"> it</w:t>
            </w:r>
            <w:r w:rsidR="00B00B46">
              <w:rPr>
                <w:rFonts w:cs="Arial"/>
              </w:rPr>
              <w:t xml:space="preserve"> does not reflect the study, as well as</w:t>
            </w:r>
            <w:r w:rsidR="000675C3">
              <w:rPr>
                <w:rFonts w:cs="Arial"/>
              </w:rPr>
              <w:t xml:space="preserve"> requesting rewording of</w:t>
            </w:r>
            <w:r w:rsidR="00B00B46">
              <w:rPr>
                <w:rFonts w:cs="Arial"/>
              </w:rPr>
              <w:t xml:space="preserve"> the research summary.</w:t>
            </w:r>
          </w:p>
          <w:p w:rsidR="000675C3" w:rsidRDefault="000675C3" w:rsidP="00190F0A">
            <w:pPr>
              <w:tabs>
                <w:tab w:val="left" w:pos="432"/>
                <w:tab w:val="left" w:pos="489"/>
              </w:tabs>
              <w:jc w:val="both"/>
              <w:rPr>
                <w:rFonts w:cs="Arial"/>
              </w:rPr>
            </w:pPr>
          </w:p>
          <w:p w:rsidR="000F1DDC" w:rsidRDefault="000675C3" w:rsidP="00190F0A">
            <w:pPr>
              <w:tabs>
                <w:tab w:val="left" w:pos="432"/>
                <w:tab w:val="left" w:pos="489"/>
              </w:tabs>
              <w:jc w:val="both"/>
              <w:rPr>
                <w:rFonts w:cs="Arial"/>
              </w:rPr>
            </w:pPr>
            <w:r>
              <w:rPr>
                <w:rFonts w:cs="Arial"/>
              </w:rPr>
              <w:t>SE suggested that indus</w:t>
            </w:r>
            <w:r w:rsidR="00C62A04">
              <w:rPr>
                <w:rFonts w:cs="Arial"/>
              </w:rPr>
              <w:t xml:space="preserve">try would say that </w:t>
            </w:r>
            <w:r w:rsidR="000F1DDC">
              <w:rPr>
                <w:rFonts w:cs="Arial"/>
              </w:rPr>
              <w:t xml:space="preserve">‘if you don’t know what your competitors are doing then you’re not doing your job properly’. </w:t>
            </w:r>
            <w:r>
              <w:rPr>
                <w:rFonts w:cs="Arial"/>
              </w:rPr>
              <w:t xml:space="preserve">It is naive to think that rivals don’t know what companies are doing, regardless of registration. </w:t>
            </w:r>
          </w:p>
          <w:p w:rsidR="002F43F4" w:rsidRDefault="002F43F4" w:rsidP="00190F0A">
            <w:pPr>
              <w:tabs>
                <w:tab w:val="left" w:pos="432"/>
                <w:tab w:val="left" w:pos="489"/>
              </w:tabs>
              <w:jc w:val="both"/>
              <w:rPr>
                <w:rFonts w:cs="Arial"/>
              </w:rPr>
            </w:pPr>
          </w:p>
          <w:p w:rsidR="00052BFD" w:rsidRDefault="0072416B" w:rsidP="00190F0A">
            <w:pPr>
              <w:tabs>
                <w:tab w:val="left" w:pos="432"/>
                <w:tab w:val="left" w:pos="489"/>
              </w:tabs>
              <w:jc w:val="both"/>
              <w:rPr>
                <w:rFonts w:cs="Arial"/>
              </w:rPr>
            </w:pPr>
            <w:r>
              <w:rPr>
                <w:rFonts w:cs="Arial"/>
              </w:rPr>
              <w:t>JK stated that</w:t>
            </w:r>
            <w:r w:rsidR="002F43F4">
              <w:rPr>
                <w:rFonts w:cs="Arial"/>
              </w:rPr>
              <w:t xml:space="preserve"> Janet</w:t>
            </w:r>
            <w:r>
              <w:rPr>
                <w:rFonts w:cs="Arial"/>
              </w:rPr>
              <w:t xml:space="preserve"> Wisely</w:t>
            </w:r>
            <w:r w:rsidR="002F43F4">
              <w:rPr>
                <w:rFonts w:cs="Arial"/>
              </w:rPr>
              <w:t xml:space="preserve"> has made it clear that HRA will not </w:t>
            </w:r>
            <w:r>
              <w:rPr>
                <w:rFonts w:cs="Arial"/>
              </w:rPr>
              <w:t>‘</w:t>
            </w:r>
            <w:r w:rsidR="002F43F4">
              <w:rPr>
                <w:rFonts w:cs="Arial"/>
              </w:rPr>
              <w:t>back track</w:t>
            </w:r>
            <w:r>
              <w:rPr>
                <w:rFonts w:cs="Arial"/>
              </w:rPr>
              <w:t>’ on the decision</w:t>
            </w:r>
            <w:r w:rsidR="002F43F4">
              <w:rPr>
                <w:rFonts w:cs="Arial"/>
              </w:rPr>
              <w:t xml:space="preserve"> </w:t>
            </w:r>
            <w:r>
              <w:rPr>
                <w:rFonts w:cs="Arial"/>
              </w:rPr>
              <w:t>and will not</w:t>
            </w:r>
            <w:r w:rsidR="002F43F4">
              <w:rPr>
                <w:rFonts w:cs="Arial"/>
              </w:rPr>
              <w:t xml:space="preserve"> make </w:t>
            </w:r>
            <w:r>
              <w:rPr>
                <w:rFonts w:cs="Arial"/>
              </w:rPr>
              <w:t xml:space="preserve">this a </w:t>
            </w:r>
            <w:r w:rsidR="002F43F4">
              <w:rPr>
                <w:rFonts w:cs="Arial"/>
              </w:rPr>
              <w:t>tick box</w:t>
            </w:r>
            <w:r>
              <w:rPr>
                <w:rFonts w:cs="Arial"/>
              </w:rPr>
              <w:t xml:space="preserve"> exercise. RT noted that there had been an </w:t>
            </w:r>
            <w:r w:rsidR="002F43F4">
              <w:rPr>
                <w:rFonts w:cs="Arial"/>
              </w:rPr>
              <w:t xml:space="preserve">editorial in </w:t>
            </w:r>
            <w:r>
              <w:rPr>
                <w:rFonts w:cs="Arial"/>
              </w:rPr>
              <w:t xml:space="preserve">the </w:t>
            </w:r>
            <w:r w:rsidR="002F43F4">
              <w:rPr>
                <w:rFonts w:cs="Arial"/>
              </w:rPr>
              <w:t xml:space="preserve">BMJ </w:t>
            </w:r>
            <w:r>
              <w:rPr>
                <w:rFonts w:cs="Arial"/>
              </w:rPr>
              <w:t xml:space="preserve">shortly </w:t>
            </w:r>
            <w:r w:rsidR="002F43F4">
              <w:rPr>
                <w:rFonts w:cs="Arial"/>
              </w:rPr>
              <w:t>after</w:t>
            </w:r>
            <w:r w:rsidR="009D0EF1">
              <w:rPr>
                <w:rFonts w:cs="Arial"/>
              </w:rPr>
              <w:t xml:space="preserve"> the</w:t>
            </w:r>
            <w:r w:rsidR="002F43F4">
              <w:rPr>
                <w:rFonts w:cs="Arial"/>
              </w:rPr>
              <w:t xml:space="preserve"> announcement</w:t>
            </w:r>
            <w:r>
              <w:rPr>
                <w:rFonts w:cs="Arial"/>
              </w:rPr>
              <w:t xml:space="preserve"> had initially been made by the HRA</w:t>
            </w:r>
            <w:r w:rsidR="002F43F4">
              <w:rPr>
                <w:rFonts w:cs="Arial"/>
              </w:rPr>
              <w:t>. I</w:t>
            </w:r>
            <w:r>
              <w:rPr>
                <w:rFonts w:cs="Arial"/>
              </w:rPr>
              <w:t>t is i</w:t>
            </w:r>
            <w:r w:rsidR="002F43F4">
              <w:rPr>
                <w:rFonts w:cs="Arial"/>
              </w:rPr>
              <w:t xml:space="preserve">n the public domain that </w:t>
            </w:r>
            <w:r>
              <w:rPr>
                <w:rFonts w:cs="Arial"/>
              </w:rPr>
              <w:t xml:space="preserve">the </w:t>
            </w:r>
            <w:r w:rsidR="002F43F4">
              <w:rPr>
                <w:rFonts w:cs="Arial"/>
              </w:rPr>
              <w:t>HRA have done this and there is a lot o</w:t>
            </w:r>
            <w:r>
              <w:rPr>
                <w:rFonts w:cs="Arial"/>
              </w:rPr>
              <w:t>f support for the initiative. It is important</w:t>
            </w:r>
            <w:r w:rsidR="002F43F4">
              <w:rPr>
                <w:rFonts w:cs="Arial"/>
              </w:rPr>
              <w:t xml:space="preserve"> to be transparent but also maintain and increase the amount of Pha</w:t>
            </w:r>
            <w:r w:rsidR="00543FD2">
              <w:rPr>
                <w:rFonts w:cs="Arial"/>
              </w:rPr>
              <w:t>s</w:t>
            </w:r>
            <w:r>
              <w:rPr>
                <w:rFonts w:cs="Arial"/>
              </w:rPr>
              <w:t xml:space="preserve">e 1 in the UK. The issue is getting </w:t>
            </w:r>
            <w:r w:rsidR="002F43F4">
              <w:rPr>
                <w:rFonts w:cs="Arial"/>
              </w:rPr>
              <w:t xml:space="preserve">sponsors on board and </w:t>
            </w:r>
            <w:r>
              <w:rPr>
                <w:rFonts w:cs="Arial"/>
              </w:rPr>
              <w:t xml:space="preserve">getting them to </w:t>
            </w:r>
            <w:r w:rsidR="002F43F4">
              <w:rPr>
                <w:rFonts w:cs="Arial"/>
              </w:rPr>
              <w:t>r</w:t>
            </w:r>
            <w:r w:rsidR="00543FD2">
              <w:rPr>
                <w:rFonts w:cs="Arial"/>
              </w:rPr>
              <w:t>e</w:t>
            </w:r>
            <w:r w:rsidR="002F43F4">
              <w:rPr>
                <w:rFonts w:cs="Arial"/>
              </w:rPr>
              <w:t>cognise that this is the way forward. There are opportunities for sponsors to get pr</w:t>
            </w:r>
            <w:r>
              <w:rPr>
                <w:rFonts w:cs="Arial"/>
              </w:rPr>
              <w:t>aise for this, a good example is GSK. T</w:t>
            </w:r>
            <w:r w:rsidR="002F43F4">
              <w:rPr>
                <w:rFonts w:cs="Arial"/>
              </w:rPr>
              <w:t xml:space="preserve">hey are a big company but after negative </w:t>
            </w:r>
            <w:r>
              <w:rPr>
                <w:rFonts w:cs="Arial"/>
              </w:rPr>
              <w:t>press</w:t>
            </w:r>
            <w:r w:rsidR="002F43F4">
              <w:rPr>
                <w:rFonts w:cs="Arial"/>
              </w:rPr>
              <w:t xml:space="preserve"> in the past, they are now perceived to be ethical in terms of transparency. </w:t>
            </w:r>
            <w:r w:rsidR="00543FD2">
              <w:rPr>
                <w:rFonts w:cs="Arial"/>
              </w:rPr>
              <w:t xml:space="preserve">It would be a sad state of affairs if companies took their work away from what is a very </w:t>
            </w:r>
            <w:r>
              <w:rPr>
                <w:rFonts w:cs="Arial"/>
              </w:rPr>
              <w:t>good service in the UK</w:t>
            </w:r>
            <w:r w:rsidR="00543FD2">
              <w:rPr>
                <w:rFonts w:cs="Arial"/>
              </w:rPr>
              <w:t xml:space="preserve"> due to </w:t>
            </w:r>
            <w:r>
              <w:rPr>
                <w:rFonts w:cs="Arial"/>
              </w:rPr>
              <w:t>concerns regarding transparency</w:t>
            </w:r>
            <w:r w:rsidR="00543FD2">
              <w:rPr>
                <w:rFonts w:cs="Arial"/>
              </w:rPr>
              <w:t xml:space="preserve">. </w:t>
            </w:r>
          </w:p>
          <w:p w:rsidR="00543FD2" w:rsidRDefault="00543FD2" w:rsidP="00190F0A">
            <w:pPr>
              <w:tabs>
                <w:tab w:val="left" w:pos="432"/>
                <w:tab w:val="left" w:pos="489"/>
              </w:tabs>
              <w:jc w:val="both"/>
              <w:rPr>
                <w:rFonts w:cs="Arial"/>
              </w:rPr>
            </w:pPr>
          </w:p>
          <w:p w:rsidR="00074C76" w:rsidRDefault="0072416B" w:rsidP="00190F0A">
            <w:pPr>
              <w:tabs>
                <w:tab w:val="left" w:pos="432"/>
                <w:tab w:val="left" w:pos="489"/>
              </w:tabs>
              <w:jc w:val="both"/>
              <w:rPr>
                <w:rFonts w:cs="Arial"/>
              </w:rPr>
            </w:pPr>
            <w:r>
              <w:rPr>
                <w:rFonts w:cs="Arial"/>
              </w:rPr>
              <w:t>RT asked for clarification regarding</w:t>
            </w:r>
            <w:r w:rsidR="00074C76">
              <w:rPr>
                <w:rFonts w:cs="Arial"/>
              </w:rPr>
              <w:t xml:space="preserve"> wha</w:t>
            </w:r>
            <w:r>
              <w:rPr>
                <w:rFonts w:cs="Arial"/>
              </w:rPr>
              <w:t>t happens if</w:t>
            </w:r>
            <w:r w:rsidR="009D0EF1">
              <w:rPr>
                <w:rFonts w:cs="Arial"/>
              </w:rPr>
              <w:t xml:space="preserve"> a</w:t>
            </w:r>
            <w:r>
              <w:rPr>
                <w:rFonts w:cs="Arial"/>
              </w:rPr>
              <w:t xml:space="preserve"> safety issue arise</w:t>
            </w:r>
            <w:r w:rsidR="009D0EF1">
              <w:rPr>
                <w:rFonts w:cs="Arial"/>
              </w:rPr>
              <w:t>s</w:t>
            </w:r>
            <w:r>
              <w:rPr>
                <w:rFonts w:cs="Arial"/>
              </w:rPr>
              <w:t xml:space="preserve">. TS confirmed that the expectation is that the study would be registered immediately if the study was terminated early due to safety concerns. </w:t>
            </w:r>
            <w:r w:rsidR="00074C76">
              <w:rPr>
                <w:rFonts w:cs="Arial"/>
              </w:rPr>
              <w:t xml:space="preserve"> </w:t>
            </w:r>
          </w:p>
          <w:p w:rsidR="00074C76" w:rsidRDefault="00074C76" w:rsidP="00190F0A">
            <w:pPr>
              <w:tabs>
                <w:tab w:val="left" w:pos="432"/>
                <w:tab w:val="left" w:pos="489"/>
              </w:tabs>
              <w:jc w:val="both"/>
              <w:rPr>
                <w:rFonts w:cs="Arial"/>
              </w:rPr>
            </w:pPr>
          </w:p>
          <w:p w:rsidR="005C20A9" w:rsidRDefault="0072416B" w:rsidP="00190F0A">
            <w:pPr>
              <w:tabs>
                <w:tab w:val="left" w:pos="432"/>
                <w:tab w:val="left" w:pos="489"/>
              </w:tabs>
              <w:jc w:val="both"/>
              <w:rPr>
                <w:rFonts w:cs="Arial"/>
              </w:rPr>
            </w:pPr>
            <w:r>
              <w:rPr>
                <w:rFonts w:cs="Arial"/>
              </w:rPr>
              <w:t>UL asked whether</w:t>
            </w:r>
            <w:r w:rsidR="005C20A9">
              <w:rPr>
                <w:rFonts w:cs="Arial"/>
              </w:rPr>
              <w:t xml:space="preserve"> the request </w:t>
            </w:r>
            <w:r>
              <w:rPr>
                <w:rFonts w:cs="Arial"/>
              </w:rPr>
              <w:t xml:space="preserve">to defer registration could </w:t>
            </w:r>
            <w:r w:rsidR="005C20A9">
              <w:rPr>
                <w:rFonts w:cs="Arial"/>
              </w:rPr>
              <w:t xml:space="preserve">be included in the cover letter </w:t>
            </w:r>
            <w:r>
              <w:rPr>
                <w:rFonts w:cs="Arial"/>
              </w:rPr>
              <w:t xml:space="preserve">sent </w:t>
            </w:r>
            <w:r w:rsidR="005C20A9">
              <w:rPr>
                <w:rFonts w:cs="Arial"/>
              </w:rPr>
              <w:t xml:space="preserve">to the REC so that the sponsor only needs to review </w:t>
            </w:r>
            <w:r w:rsidR="000257F3">
              <w:rPr>
                <w:rFonts w:cs="Arial"/>
              </w:rPr>
              <w:t xml:space="preserve">and approve </w:t>
            </w:r>
            <w:r w:rsidR="005C20A9">
              <w:rPr>
                <w:rFonts w:cs="Arial"/>
              </w:rPr>
              <w:t xml:space="preserve">one letter. CB agreed that this would be acceptable and is already being done by some companies. As long as the information which is required is included then this is </w:t>
            </w:r>
            <w:r>
              <w:rPr>
                <w:rFonts w:cs="Arial"/>
              </w:rPr>
              <w:t>acceptable</w:t>
            </w:r>
            <w:r w:rsidR="005C20A9">
              <w:rPr>
                <w:rFonts w:cs="Arial"/>
              </w:rPr>
              <w:t xml:space="preserve">. </w:t>
            </w:r>
            <w:r>
              <w:rPr>
                <w:rFonts w:cs="Arial"/>
              </w:rPr>
              <w:t>TS added that it is important</w:t>
            </w:r>
            <w:r w:rsidR="005C20A9">
              <w:rPr>
                <w:rFonts w:cs="Arial"/>
              </w:rPr>
              <w:t xml:space="preserve"> to be clear that </w:t>
            </w:r>
            <w:r>
              <w:rPr>
                <w:rFonts w:cs="Arial"/>
              </w:rPr>
              <w:t>such requests</w:t>
            </w:r>
            <w:r w:rsidR="005C20A9">
              <w:rPr>
                <w:rFonts w:cs="Arial"/>
              </w:rPr>
              <w:t xml:space="preserve"> should be when required and not just an automatic and standard request. </w:t>
            </w:r>
          </w:p>
          <w:p w:rsidR="005C20A9" w:rsidRDefault="005C20A9" w:rsidP="00190F0A">
            <w:pPr>
              <w:tabs>
                <w:tab w:val="left" w:pos="432"/>
                <w:tab w:val="left" w:pos="489"/>
              </w:tabs>
              <w:jc w:val="both"/>
              <w:rPr>
                <w:rFonts w:cs="Arial"/>
              </w:rPr>
            </w:pPr>
          </w:p>
          <w:p w:rsidR="005C20A9" w:rsidRDefault="0072416B" w:rsidP="00190F0A">
            <w:pPr>
              <w:tabs>
                <w:tab w:val="left" w:pos="432"/>
                <w:tab w:val="left" w:pos="489"/>
              </w:tabs>
              <w:jc w:val="both"/>
              <w:rPr>
                <w:rFonts w:cs="Arial"/>
              </w:rPr>
            </w:pPr>
            <w:r>
              <w:rPr>
                <w:rFonts w:cs="Arial"/>
              </w:rPr>
              <w:t>JK suggested that</w:t>
            </w:r>
            <w:r w:rsidR="00555752">
              <w:rPr>
                <w:rFonts w:cs="Arial"/>
              </w:rPr>
              <w:t xml:space="preserve"> whe</w:t>
            </w:r>
            <w:r>
              <w:rPr>
                <w:rFonts w:cs="Arial"/>
              </w:rPr>
              <w:t>n companies do have policies, the HRA</w:t>
            </w:r>
            <w:r w:rsidR="00555752">
              <w:rPr>
                <w:rFonts w:cs="Arial"/>
              </w:rPr>
              <w:t xml:space="preserve"> can encoura</w:t>
            </w:r>
            <w:r>
              <w:rPr>
                <w:rFonts w:cs="Arial"/>
              </w:rPr>
              <w:t>ge</w:t>
            </w:r>
            <w:r w:rsidR="009D0EF1">
              <w:rPr>
                <w:rFonts w:cs="Arial"/>
              </w:rPr>
              <w:t xml:space="preserve"> them</w:t>
            </w:r>
            <w:r>
              <w:rPr>
                <w:rFonts w:cs="Arial"/>
              </w:rPr>
              <w:t xml:space="preserve"> to give consideration to policy revision</w:t>
            </w:r>
            <w:r w:rsidR="00555752">
              <w:rPr>
                <w:rFonts w:cs="Arial"/>
              </w:rPr>
              <w:t xml:space="preserve"> now in preparation for EUCTR implementation. </w:t>
            </w:r>
            <w:r>
              <w:rPr>
                <w:rFonts w:cs="Arial"/>
              </w:rPr>
              <w:t xml:space="preserve">JK added that the HRA will be actively monitoring registration of clinical trials where </w:t>
            </w:r>
            <w:r w:rsidR="009D0EF1">
              <w:rPr>
                <w:rFonts w:cs="Arial"/>
              </w:rPr>
              <w:t>a</w:t>
            </w:r>
            <w:r>
              <w:rPr>
                <w:rFonts w:cs="Arial"/>
              </w:rPr>
              <w:t xml:space="preserve"> request to defer registration has</w:t>
            </w:r>
            <w:r w:rsidR="009D0EF1">
              <w:rPr>
                <w:rFonts w:cs="Arial"/>
              </w:rPr>
              <w:t xml:space="preserve"> not</w:t>
            </w:r>
            <w:r>
              <w:rPr>
                <w:rFonts w:cs="Arial"/>
              </w:rPr>
              <w:t xml:space="preserve"> been received. </w:t>
            </w:r>
          </w:p>
          <w:p w:rsidR="00555752" w:rsidRDefault="00555752" w:rsidP="00190F0A">
            <w:pPr>
              <w:tabs>
                <w:tab w:val="left" w:pos="432"/>
                <w:tab w:val="left" w:pos="489"/>
              </w:tabs>
              <w:jc w:val="both"/>
              <w:rPr>
                <w:rFonts w:cs="Arial"/>
              </w:rPr>
            </w:pPr>
          </w:p>
          <w:p w:rsidR="00555752" w:rsidRDefault="002B7EAB" w:rsidP="00190F0A">
            <w:pPr>
              <w:tabs>
                <w:tab w:val="left" w:pos="432"/>
                <w:tab w:val="left" w:pos="489"/>
              </w:tabs>
              <w:jc w:val="both"/>
              <w:rPr>
                <w:rFonts w:cs="Arial"/>
              </w:rPr>
            </w:pPr>
            <w:r>
              <w:rPr>
                <w:rFonts w:cs="Arial"/>
              </w:rPr>
              <w:t xml:space="preserve">TS said that he would be grateful to receive </w:t>
            </w:r>
            <w:r w:rsidR="00555752">
              <w:rPr>
                <w:rFonts w:cs="Arial"/>
              </w:rPr>
              <w:t>feedback regarding barriers to publication</w:t>
            </w:r>
            <w:r w:rsidR="00076C7C">
              <w:rPr>
                <w:rFonts w:cs="Arial"/>
              </w:rPr>
              <w:t>,</w:t>
            </w:r>
            <w:r>
              <w:rPr>
                <w:rFonts w:cs="Arial"/>
              </w:rPr>
              <w:t xml:space="preserve"> </w:t>
            </w:r>
            <w:r w:rsidR="00076C7C">
              <w:rPr>
                <w:rFonts w:cs="Arial"/>
              </w:rPr>
              <w:t xml:space="preserve">before the end of May if possible, </w:t>
            </w:r>
            <w:r>
              <w:rPr>
                <w:rFonts w:cs="Arial"/>
              </w:rPr>
              <w:t>and can be e-mailed via the following</w:t>
            </w:r>
            <w:r w:rsidR="00555752">
              <w:rPr>
                <w:rFonts w:cs="Arial"/>
              </w:rPr>
              <w:t xml:space="preserve">  </w:t>
            </w:r>
            <w:hyperlink r:id="rId9" w:history="1">
              <w:r w:rsidR="00555752" w:rsidRPr="006805C4">
                <w:rPr>
                  <w:rStyle w:val="Hyperlink"/>
                  <w:rFonts w:cs="Arial"/>
                </w:rPr>
                <w:t>tom.smith2@nhs.net</w:t>
              </w:r>
            </w:hyperlink>
          </w:p>
          <w:p w:rsidR="00555752" w:rsidRDefault="00555752" w:rsidP="00190F0A">
            <w:pPr>
              <w:tabs>
                <w:tab w:val="left" w:pos="432"/>
                <w:tab w:val="left" w:pos="489"/>
              </w:tabs>
              <w:jc w:val="both"/>
              <w:rPr>
                <w:rFonts w:cs="Arial"/>
              </w:rPr>
            </w:pPr>
          </w:p>
          <w:p w:rsidR="002B7EAB" w:rsidRDefault="002B7EAB" w:rsidP="00190F0A">
            <w:pPr>
              <w:tabs>
                <w:tab w:val="left" w:pos="432"/>
                <w:tab w:val="left" w:pos="489"/>
              </w:tabs>
              <w:jc w:val="both"/>
              <w:rPr>
                <w:rFonts w:cs="Arial"/>
              </w:rPr>
            </w:pPr>
            <w:r>
              <w:rPr>
                <w:rFonts w:cs="Arial"/>
              </w:rPr>
              <w:t xml:space="preserve">RT asked whether metrics could be provided which set out the number of studies being registered and the number of deferral requests received and allowed. </w:t>
            </w:r>
          </w:p>
          <w:p w:rsidR="002B7EAB" w:rsidRDefault="002B7EAB" w:rsidP="00190F0A">
            <w:pPr>
              <w:tabs>
                <w:tab w:val="left" w:pos="432"/>
                <w:tab w:val="left" w:pos="489"/>
              </w:tabs>
              <w:jc w:val="both"/>
              <w:rPr>
                <w:rFonts w:cs="Arial"/>
              </w:rPr>
            </w:pPr>
          </w:p>
          <w:p w:rsidR="002B7EAB" w:rsidRDefault="002B7EAB" w:rsidP="00190F0A">
            <w:pPr>
              <w:tabs>
                <w:tab w:val="left" w:pos="432"/>
                <w:tab w:val="left" w:pos="489"/>
              </w:tabs>
              <w:jc w:val="both"/>
              <w:rPr>
                <w:rFonts w:cs="Arial"/>
              </w:rPr>
            </w:pPr>
            <w:r>
              <w:rPr>
                <w:rFonts w:cs="Arial"/>
              </w:rPr>
              <w:t xml:space="preserve">SD </w:t>
            </w:r>
            <w:proofErr w:type="gramStart"/>
            <w:r>
              <w:rPr>
                <w:rFonts w:cs="Arial"/>
              </w:rPr>
              <w:t>queried  whether</w:t>
            </w:r>
            <w:proofErr w:type="gramEnd"/>
            <w:r>
              <w:rPr>
                <w:rFonts w:cs="Arial"/>
              </w:rPr>
              <w:t xml:space="preserve"> the clinical trial dossier would be publicly available under the EUCTR. CC confirmed that </w:t>
            </w:r>
            <w:r w:rsidRPr="002B7EAB">
              <w:rPr>
                <w:rFonts w:cs="Arial"/>
              </w:rPr>
              <w:t>personal and commercially sensitive information will not be accessible on the EU database.</w:t>
            </w:r>
          </w:p>
          <w:p w:rsidR="00935DF7" w:rsidRPr="00935DF7" w:rsidRDefault="00935DF7" w:rsidP="00190F0A">
            <w:pPr>
              <w:tabs>
                <w:tab w:val="left" w:pos="432"/>
                <w:tab w:val="left" w:pos="489"/>
              </w:tabs>
              <w:jc w:val="both"/>
              <w:rPr>
                <w:rFonts w:cs="Arial"/>
              </w:rPr>
            </w:pPr>
          </w:p>
        </w:tc>
        <w:tc>
          <w:tcPr>
            <w:tcW w:w="709" w:type="dxa"/>
          </w:tcPr>
          <w:p w:rsidR="00712276" w:rsidRDefault="00712276"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Default="002B7EAB" w:rsidP="00190F0A">
            <w:pPr>
              <w:jc w:val="both"/>
              <w:rPr>
                <w:rFonts w:cs="Arial"/>
                <w:sz w:val="18"/>
                <w:szCs w:val="18"/>
              </w:rPr>
            </w:pPr>
          </w:p>
          <w:p w:rsidR="002B7EAB" w:rsidRPr="00F549B5" w:rsidRDefault="002B7EAB" w:rsidP="00190F0A">
            <w:pPr>
              <w:jc w:val="both"/>
              <w:rPr>
                <w:rFonts w:cs="Arial"/>
                <w:sz w:val="18"/>
                <w:szCs w:val="18"/>
              </w:rPr>
            </w:pPr>
            <w:proofErr w:type="spellStart"/>
            <w:r>
              <w:rPr>
                <w:rFonts w:cs="Arial"/>
                <w:sz w:val="18"/>
                <w:szCs w:val="18"/>
              </w:rPr>
              <w:t>CBl</w:t>
            </w:r>
            <w:proofErr w:type="spellEnd"/>
          </w:p>
        </w:tc>
      </w:tr>
      <w:tr w:rsidR="00631981" w:rsidTr="00190F0A">
        <w:tc>
          <w:tcPr>
            <w:tcW w:w="675" w:type="dxa"/>
          </w:tcPr>
          <w:p w:rsidR="00631981" w:rsidRPr="00480BCD" w:rsidRDefault="00631981" w:rsidP="00190F0A">
            <w:pPr>
              <w:pStyle w:val="ListParagraph"/>
              <w:numPr>
                <w:ilvl w:val="0"/>
                <w:numId w:val="7"/>
              </w:numPr>
              <w:tabs>
                <w:tab w:val="left" w:pos="360"/>
              </w:tabs>
              <w:ind w:left="144" w:firstLine="0"/>
              <w:jc w:val="both"/>
              <w:rPr>
                <w:rFonts w:cs="Arial"/>
                <w:b/>
              </w:rPr>
            </w:pPr>
          </w:p>
        </w:tc>
        <w:tc>
          <w:tcPr>
            <w:tcW w:w="6946" w:type="dxa"/>
          </w:tcPr>
          <w:p w:rsidR="00631981" w:rsidRPr="00631981" w:rsidRDefault="00631981" w:rsidP="00190F0A">
            <w:pPr>
              <w:jc w:val="both"/>
              <w:rPr>
                <w:rFonts w:cs="Arial"/>
                <w:b/>
              </w:rPr>
            </w:pPr>
            <w:r w:rsidRPr="00631981">
              <w:rPr>
                <w:rFonts w:cs="Arial"/>
                <w:b/>
              </w:rPr>
              <w:t xml:space="preserve">"How does NRES plan to implement the changes that will be brought about by the impending single central EU Clinical </w:t>
            </w:r>
            <w:r>
              <w:rPr>
                <w:rFonts w:cs="Arial"/>
                <w:b/>
              </w:rPr>
              <w:t>Trial Application process”</w:t>
            </w:r>
            <w:r w:rsidRPr="00631981">
              <w:rPr>
                <w:rFonts w:cs="Arial"/>
                <w:b/>
              </w:rPr>
              <w:t xml:space="preserve">  Will Ethics review be swift enough to meet the planned timelines?"</w:t>
            </w:r>
          </w:p>
          <w:p w:rsidR="00631981" w:rsidRDefault="00631981" w:rsidP="00190F0A">
            <w:pPr>
              <w:tabs>
                <w:tab w:val="left" w:pos="432"/>
              </w:tabs>
              <w:jc w:val="both"/>
              <w:rPr>
                <w:rFonts w:cs="Arial"/>
                <w:b/>
              </w:rPr>
            </w:pPr>
          </w:p>
          <w:p w:rsidR="002B7EAB" w:rsidRDefault="002B7EAB" w:rsidP="00190F0A">
            <w:pPr>
              <w:tabs>
                <w:tab w:val="left" w:pos="432"/>
              </w:tabs>
              <w:jc w:val="both"/>
              <w:rPr>
                <w:rFonts w:cs="Arial"/>
              </w:rPr>
            </w:pPr>
            <w:r>
              <w:rPr>
                <w:rFonts w:cs="Arial"/>
              </w:rPr>
              <w:t>It was agreed that this had been covered under item 5.</w:t>
            </w:r>
          </w:p>
          <w:p w:rsidR="00FE63DC" w:rsidRPr="00FE63DC" w:rsidRDefault="00843CB9" w:rsidP="00190F0A">
            <w:pPr>
              <w:tabs>
                <w:tab w:val="left" w:pos="432"/>
              </w:tabs>
              <w:jc w:val="both"/>
              <w:rPr>
                <w:rFonts w:cs="Arial"/>
              </w:rPr>
            </w:pPr>
            <w:r>
              <w:rPr>
                <w:rFonts w:cs="Arial"/>
              </w:rPr>
              <w:t xml:space="preserve"> </w:t>
            </w:r>
          </w:p>
        </w:tc>
        <w:tc>
          <w:tcPr>
            <w:tcW w:w="709" w:type="dxa"/>
          </w:tcPr>
          <w:p w:rsidR="00631981" w:rsidRDefault="00631981" w:rsidP="00190F0A">
            <w:pPr>
              <w:jc w:val="both"/>
              <w:rPr>
                <w:rFonts w:cs="Arial"/>
                <w:sz w:val="18"/>
                <w:szCs w:val="18"/>
              </w:rPr>
            </w:pPr>
          </w:p>
        </w:tc>
      </w:tr>
      <w:tr w:rsidR="00712276" w:rsidTr="00190F0A">
        <w:tc>
          <w:tcPr>
            <w:tcW w:w="675" w:type="dxa"/>
          </w:tcPr>
          <w:p w:rsidR="00712276" w:rsidRPr="00480BCD" w:rsidRDefault="00712276" w:rsidP="00190F0A">
            <w:pPr>
              <w:pStyle w:val="ListParagraph"/>
              <w:numPr>
                <w:ilvl w:val="0"/>
                <w:numId w:val="7"/>
              </w:numPr>
              <w:tabs>
                <w:tab w:val="left" w:pos="360"/>
              </w:tabs>
              <w:ind w:left="144" w:firstLine="0"/>
              <w:jc w:val="both"/>
              <w:rPr>
                <w:rFonts w:cs="Arial"/>
                <w:b/>
              </w:rPr>
            </w:pPr>
          </w:p>
        </w:tc>
        <w:tc>
          <w:tcPr>
            <w:tcW w:w="6946" w:type="dxa"/>
          </w:tcPr>
          <w:p w:rsidR="00145AE5" w:rsidRDefault="005B07B9" w:rsidP="00190F0A">
            <w:pPr>
              <w:tabs>
                <w:tab w:val="left" w:pos="432"/>
              </w:tabs>
              <w:jc w:val="both"/>
              <w:rPr>
                <w:rFonts w:cs="Arial"/>
                <w:b/>
              </w:rPr>
            </w:pPr>
            <w:r>
              <w:rPr>
                <w:rFonts w:cs="Arial"/>
                <w:b/>
              </w:rPr>
              <w:t>Advertising for Healthy Volunteers for Phase 1 clinical trials on job websites.</w:t>
            </w:r>
          </w:p>
          <w:p w:rsidR="005B07B9" w:rsidRDefault="005B07B9" w:rsidP="00190F0A">
            <w:pPr>
              <w:tabs>
                <w:tab w:val="left" w:pos="432"/>
              </w:tabs>
              <w:jc w:val="both"/>
              <w:rPr>
                <w:rFonts w:cs="Arial"/>
                <w:b/>
              </w:rPr>
            </w:pPr>
          </w:p>
          <w:p w:rsidR="00BA7D0C" w:rsidRDefault="00BA7D0C" w:rsidP="00190F0A">
            <w:pPr>
              <w:tabs>
                <w:tab w:val="left" w:pos="432"/>
              </w:tabs>
              <w:jc w:val="both"/>
              <w:rPr>
                <w:rFonts w:cs="Arial"/>
              </w:rPr>
            </w:pPr>
            <w:r>
              <w:rPr>
                <w:rFonts w:cs="Arial"/>
              </w:rPr>
              <w:t xml:space="preserve">This </w:t>
            </w:r>
            <w:r w:rsidR="002B7EAB">
              <w:rPr>
                <w:rFonts w:cs="Arial"/>
              </w:rPr>
              <w:t xml:space="preserve">issue arose due to a complaint received about a CRO recruitment advert which had been </w:t>
            </w:r>
            <w:proofErr w:type="gramStart"/>
            <w:r w:rsidR="002B7EAB">
              <w:rPr>
                <w:rFonts w:cs="Arial"/>
              </w:rPr>
              <w:t>noted  on</w:t>
            </w:r>
            <w:proofErr w:type="gramEnd"/>
            <w:r w:rsidR="002B7EAB">
              <w:rPr>
                <w:rFonts w:cs="Arial"/>
              </w:rPr>
              <w:t xml:space="preserve"> a job advertising website. The issue was referred to the generic advert review panel who suggested discussion at this group. JK suggested that it would</w:t>
            </w:r>
            <w:r w:rsidR="002B7EAB" w:rsidRPr="002B7EAB">
              <w:rPr>
                <w:rFonts w:cs="Arial"/>
              </w:rPr>
              <w:t xml:space="preserve"> not</w:t>
            </w:r>
            <w:r w:rsidR="009D0EF1">
              <w:rPr>
                <w:rFonts w:cs="Arial"/>
              </w:rPr>
              <w:t xml:space="preserve"> be</w:t>
            </w:r>
            <w:r w:rsidR="002B7EAB" w:rsidRPr="002B7EAB">
              <w:rPr>
                <w:rFonts w:cs="Arial"/>
              </w:rPr>
              <w:t xml:space="preserve"> appropriate to advertise on a job website.</w:t>
            </w:r>
            <w:r w:rsidR="002B7EAB">
              <w:rPr>
                <w:rFonts w:cs="Arial"/>
              </w:rPr>
              <w:t xml:space="preserve"> DR added that one of the issues was that sites are using a ‘scraping’ technique to get the data from other </w:t>
            </w:r>
            <w:proofErr w:type="gramStart"/>
            <w:r w:rsidR="002B7EAB">
              <w:rPr>
                <w:rFonts w:cs="Arial"/>
              </w:rPr>
              <w:t>sites,</w:t>
            </w:r>
            <w:proofErr w:type="gramEnd"/>
            <w:r w:rsidR="002B7EAB">
              <w:rPr>
                <w:rFonts w:cs="Arial"/>
              </w:rPr>
              <w:t xml:space="preserve"> it is not necessarily </w:t>
            </w:r>
            <w:r>
              <w:rPr>
                <w:rFonts w:cs="Arial"/>
              </w:rPr>
              <w:t xml:space="preserve">placed there in the first instance. </w:t>
            </w:r>
          </w:p>
          <w:p w:rsidR="00BA7D0C" w:rsidRDefault="00BA7D0C" w:rsidP="00190F0A">
            <w:pPr>
              <w:tabs>
                <w:tab w:val="left" w:pos="432"/>
              </w:tabs>
              <w:jc w:val="both"/>
              <w:rPr>
                <w:rFonts w:cs="Arial"/>
              </w:rPr>
            </w:pPr>
          </w:p>
          <w:p w:rsidR="002B7EAB" w:rsidRDefault="00732521" w:rsidP="00190F0A">
            <w:pPr>
              <w:tabs>
                <w:tab w:val="left" w:pos="432"/>
              </w:tabs>
              <w:jc w:val="both"/>
              <w:rPr>
                <w:rFonts w:cs="Arial"/>
              </w:rPr>
            </w:pPr>
            <w:proofErr w:type="spellStart"/>
            <w:r>
              <w:rPr>
                <w:rFonts w:cs="Arial"/>
              </w:rPr>
              <w:t>JKe</w:t>
            </w:r>
            <w:proofErr w:type="spellEnd"/>
            <w:r w:rsidR="002B7EAB">
              <w:rPr>
                <w:rFonts w:cs="Arial"/>
              </w:rPr>
              <w:t xml:space="preserve"> noted that newspapers often advertise for clinical trial volunteers in close proximity to job adverts and suggested if there was a blanket rule that job sites should not be used, this should also be given consideration. The group discussed whether this would be considered unethical and whether</w:t>
            </w:r>
            <w:r w:rsidR="00D37A21">
              <w:rPr>
                <w:rFonts w:cs="Arial"/>
              </w:rPr>
              <w:t xml:space="preserve"> volunteering in clinical trials could be considered to be ‘work’ as there is a payment associated with taking part. JK added that this issue had previously arisen in regard to people coming into the country and stating that they were taking part in a clinical trial would be refused entry. CC was asked to look into this matter further and feedback to the group. </w:t>
            </w:r>
          </w:p>
          <w:p w:rsidR="001F7F9F" w:rsidRDefault="001F7F9F" w:rsidP="00190F0A">
            <w:pPr>
              <w:tabs>
                <w:tab w:val="left" w:pos="432"/>
              </w:tabs>
              <w:jc w:val="both"/>
              <w:rPr>
                <w:rFonts w:cs="Arial"/>
              </w:rPr>
            </w:pPr>
          </w:p>
          <w:p w:rsidR="001F7F9F" w:rsidRDefault="00D37A21" w:rsidP="00190F0A">
            <w:pPr>
              <w:tabs>
                <w:tab w:val="left" w:pos="432"/>
              </w:tabs>
              <w:jc w:val="both"/>
              <w:rPr>
                <w:rFonts w:cs="Arial"/>
              </w:rPr>
            </w:pPr>
            <w:r>
              <w:rPr>
                <w:rFonts w:cs="Arial"/>
              </w:rPr>
              <w:t xml:space="preserve">KB </w:t>
            </w:r>
            <w:r w:rsidR="00AD0506">
              <w:rPr>
                <w:rFonts w:cs="Arial"/>
              </w:rPr>
              <w:t xml:space="preserve">they said that </w:t>
            </w:r>
            <w:r>
              <w:rPr>
                <w:rFonts w:cs="Arial"/>
              </w:rPr>
              <w:t xml:space="preserve">in his experience, </w:t>
            </w:r>
            <w:r w:rsidR="00AD0506">
              <w:rPr>
                <w:rFonts w:cs="Arial"/>
              </w:rPr>
              <w:t xml:space="preserve">any referrals through this route would not be accepted. </w:t>
            </w:r>
          </w:p>
          <w:p w:rsidR="00AD0506" w:rsidRDefault="00AD0506" w:rsidP="00190F0A">
            <w:pPr>
              <w:tabs>
                <w:tab w:val="left" w:pos="432"/>
              </w:tabs>
              <w:jc w:val="both"/>
              <w:rPr>
                <w:rFonts w:cs="Arial"/>
              </w:rPr>
            </w:pPr>
          </w:p>
          <w:p w:rsidR="00AD0506" w:rsidRDefault="00D37A21" w:rsidP="00190F0A">
            <w:pPr>
              <w:tabs>
                <w:tab w:val="left" w:pos="432"/>
              </w:tabs>
              <w:jc w:val="both"/>
              <w:rPr>
                <w:rFonts w:cs="Arial"/>
              </w:rPr>
            </w:pPr>
            <w:r>
              <w:rPr>
                <w:rFonts w:cs="Arial"/>
              </w:rPr>
              <w:t>The r</w:t>
            </w:r>
            <w:r w:rsidR="00AD0506">
              <w:rPr>
                <w:rFonts w:cs="Arial"/>
              </w:rPr>
              <w:t xml:space="preserve">eview committee confirmed that this was how </w:t>
            </w:r>
            <w:r>
              <w:rPr>
                <w:rFonts w:cs="Arial"/>
              </w:rPr>
              <w:t>they had managed the enquiry</w:t>
            </w:r>
            <w:r w:rsidR="00AD0506">
              <w:rPr>
                <w:rFonts w:cs="Arial"/>
              </w:rPr>
              <w:t xml:space="preserve"> </w:t>
            </w:r>
            <w:r>
              <w:rPr>
                <w:rFonts w:cs="Arial"/>
              </w:rPr>
              <w:t xml:space="preserve">which was reassuring </w:t>
            </w:r>
            <w:r w:rsidR="00AD0506">
              <w:rPr>
                <w:rFonts w:cs="Arial"/>
              </w:rPr>
              <w:t>and thanked the group</w:t>
            </w:r>
            <w:r>
              <w:rPr>
                <w:rFonts w:cs="Arial"/>
              </w:rPr>
              <w:t xml:space="preserve"> for their input</w:t>
            </w:r>
            <w:r w:rsidR="00AD0506">
              <w:rPr>
                <w:rFonts w:cs="Arial"/>
              </w:rPr>
              <w:t xml:space="preserve">. </w:t>
            </w:r>
          </w:p>
          <w:p w:rsidR="00BA7D0C" w:rsidRPr="00AB0A6F" w:rsidRDefault="00BA7D0C" w:rsidP="00190F0A">
            <w:pPr>
              <w:tabs>
                <w:tab w:val="left" w:pos="432"/>
              </w:tabs>
              <w:jc w:val="both"/>
              <w:rPr>
                <w:rFonts w:cs="Arial"/>
              </w:rPr>
            </w:pPr>
          </w:p>
        </w:tc>
        <w:tc>
          <w:tcPr>
            <w:tcW w:w="709" w:type="dxa"/>
          </w:tcPr>
          <w:p w:rsidR="005B07B9" w:rsidRDefault="005B07B9" w:rsidP="00190F0A">
            <w:pPr>
              <w:jc w:val="both"/>
              <w:rPr>
                <w:rFonts w:cs="Arial"/>
                <w:sz w:val="18"/>
                <w:szCs w:val="18"/>
              </w:rPr>
            </w:pPr>
          </w:p>
          <w:p w:rsidR="00D37A21" w:rsidRDefault="00D37A21" w:rsidP="00190F0A">
            <w:pPr>
              <w:jc w:val="both"/>
              <w:rPr>
                <w:rFonts w:cs="Arial"/>
                <w:sz w:val="18"/>
                <w:szCs w:val="18"/>
              </w:rPr>
            </w:pPr>
          </w:p>
          <w:p w:rsidR="00D37A21" w:rsidRDefault="00D37A21" w:rsidP="00190F0A">
            <w:pPr>
              <w:jc w:val="both"/>
              <w:rPr>
                <w:rFonts w:cs="Arial"/>
                <w:sz w:val="18"/>
                <w:szCs w:val="18"/>
              </w:rPr>
            </w:pPr>
          </w:p>
          <w:p w:rsidR="00D37A21" w:rsidRDefault="00D37A21" w:rsidP="00190F0A">
            <w:pPr>
              <w:jc w:val="both"/>
              <w:rPr>
                <w:rFonts w:cs="Arial"/>
                <w:sz w:val="18"/>
                <w:szCs w:val="18"/>
              </w:rPr>
            </w:pPr>
          </w:p>
          <w:p w:rsidR="00D37A21" w:rsidRDefault="00D37A21" w:rsidP="00190F0A">
            <w:pPr>
              <w:jc w:val="both"/>
              <w:rPr>
                <w:rFonts w:cs="Arial"/>
                <w:sz w:val="18"/>
                <w:szCs w:val="18"/>
              </w:rPr>
            </w:pPr>
          </w:p>
          <w:p w:rsidR="00D37A21" w:rsidRDefault="00D37A21" w:rsidP="00190F0A">
            <w:pPr>
              <w:jc w:val="both"/>
              <w:rPr>
                <w:rFonts w:cs="Arial"/>
                <w:sz w:val="18"/>
                <w:szCs w:val="18"/>
              </w:rPr>
            </w:pPr>
          </w:p>
          <w:p w:rsidR="00D37A21" w:rsidRDefault="00D37A21" w:rsidP="00190F0A">
            <w:pPr>
              <w:jc w:val="both"/>
              <w:rPr>
                <w:rFonts w:cs="Arial"/>
                <w:sz w:val="18"/>
                <w:szCs w:val="18"/>
              </w:rPr>
            </w:pPr>
          </w:p>
          <w:p w:rsidR="00D37A21" w:rsidRDefault="00D37A21" w:rsidP="00190F0A">
            <w:pPr>
              <w:jc w:val="both"/>
              <w:rPr>
                <w:rFonts w:cs="Arial"/>
                <w:sz w:val="18"/>
                <w:szCs w:val="18"/>
              </w:rPr>
            </w:pPr>
          </w:p>
          <w:p w:rsidR="00D37A21" w:rsidRDefault="00D37A21" w:rsidP="00190F0A">
            <w:pPr>
              <w:jc w:val="both"/>
              <w:rPr>
                <w:rFonts w:cs="Arial"/>
                <w:sz w:val="18"/>
                <w:szCs w:val="18"/>
              </w:rPr>
            </w:pPr>
          </w:p>
          <w:p w:rsidR="00D37A21" w:rsidRDefault="00D37A21" w:rsidP="00190F0A">
            <w:pPr>
              <w:jc w:val="both"/>
              <w:rPr>
                <w:rFonts w:cs="Arial"/>
                <w:sz w:val="18"/>
                <w:szCs w:val="18"/>
              </w:rPr>
            </w:pPr>
          </w:p>
          <w:p w:rsidR="00D37A21" w:rsidRDefault="00D37A21" w:rsidP="00190F0A">
            <w:pPr>
              <w:jc w:val="both"/>
              <w:rPr>
                <w:rFonts w:cs="Arial"/>
                <w:sz w:val="18"/>
                <w:szCs w:val="18"/>
              </w:rPr>
            </w:pPr>
          </w:p>
          <w:p w:rsidR="00D37A21" w:rsidRDefault="00D37A21" w:rsidP="00190F0A">
            <w:pPr>
              <w:jc w:val="both"/>
              <w:rPr>
                <w:rFonts w:cs="Arial"/>
                <w:sz w:val="18"/>
                <w:szCs w:val="18"/>
              </w:rPr>
            </w:pPr>
          </w:p>
          <w:p w:rsidR="00D37A21" w:rsidRDefault="00D37A21" w:rsidP="00190F0A">
            <w:pPr>
              <w:jc w:val="both"/>
              <w:rPr>
                <w:rFonts w:cs="Arial"/>
                <w:sz w:val="18"/>
                <w:szCs w:val="18"/>
              </w:rPr>
            </w:pPr>
          </w:p>
          <w:p w:rsidR="00D37A21" w:rsidRDefault="00D37A21" w:rsidP="00190F0A">
            <w:pPr>
              <w:jc w:val="both"/>
              <w:rPr>
                <w:rFonts w:cs="Arial"/>
                <w:sz w:val="18"/>
                <w:szCs w:val="18"/>
              </w:rPr>
            </w:pPr>
          </w:p>
          <w:p w:rsidR="00D37A21" w:rsidRDefault="00D37A21" w:rsidP="00190F0A">
            <w:pPr>
              <w:jc w:val="both"/>
              <w:rPr>
                <w:rFonts w:cs="Arial"/>
                <w:sz w:val="18"/>
                <w:szCs w:val="18"/>
              </w:rPr>
            </w:pPr>
          </w:p>
          <w:p w:rsidR="00D37A21" w:rsidRDefault="00D37A21" w:rsidP="00190F0A">
            <w:pPr>
              <w:jc w:val="both"/>
              <w:rPr>
                <w:rFonts w:cs="Arial"/>
                <w:sz w:val="18"/>
                <w:szCs w:val="18"/>
              </w:rPr>
            </w:pPr>
          </w:p>
          <w:p w:rsidR="00D37A21" w:rsidRDefault="00D37A21" w:rsidP="00190F0A">
            <w:pPr>
              <w:jc w:val="both"/>
              <w:rPr>
                <w:rFonts w:cs="Arial"/>
                <w:sz w:val="18"/>
                <w:szCs w:val="18"/>
              </w:rPr>
            </w:pPr>
          </w:p>
          <w:p w:rsidR="00D37A21" w:rsidRDefault="00D37A21" w:rsidP="00190F0A">
            <w:pPr>
              <w:jc w:val="both"/>
              <w:rPr>
                <w:rFonts w:cs="Arial"/>
                <w:sz w:val="18"/>
                <w:szCs w:val="18"/>
              </w:rPr>
            </w:pPr>
          </w:p>
          <w:p w:rsidR="00D37A21" w:rsidRDefault="00D37A21" w:rsidP="00190F0A">
            <w:pPr>
              <w:jc w:val="both"/>
              <w:rPr>
                <w:rFonts w:cs="Arial"/>
                <w:sz w:val="18"/>
                <w:szCs w:val="18"/>
              </w:rPr>
            </w:pPr>
          </w:p>
          <w:p w:rsidR="00D37A21" w:rsidRDefault="00D37A21" w:rsidP="00190F0A">
            <w:pPr>
              <w:jc w:val="both"/>
              <w:rPr>
                <w:rFonts w:cs="Arial"/>
                <w:sz w:val="18"/>
                <w:szCs w:val="18"/>
              </w:rPr>
            </w:pPr>
          </w:p>
          <w:p w:rsidR="00D37A21" w:rsidRDefault="00D37A21" w:rsidP="00190F0A">
            <w:pPr>
              <w:jc w:val="both"/>
              <w:rPr>
                <w:rFonts w:cs="Arial"/>
                <w:sz w:val="18"/>
                <w:szCs w:val="18"/>
              </w:rPr>
            </w:pPr>
          </w:p>
          <w:p w:rsidR="00D37A21" w:rsidRDefault="00D37A21" w:rsidP="00190F0A">
            <w:pPr>
              <w:jc w:val="both"/>
              <w:rPr>
                <w:rFonts w:cs="Arial"/>
                <w:sz w:val="18"/>
                <w:szCs w:val="18"/>
              </w:rPr>
            </w:pPr>
          </w:p>
          <w:p w:rsidR="00D37A21" w:rsidRPr="00F549B5" w:rsidRDefault="00D37A21" w:rsidP="00190F0A">
            <w:pPr>
              <w:jc w:val="both"/>
              <w:rPr>
                <w:rFonts w:cs="Arial"/>
                <w:sz w:val="18"/>
                <w:szCs w:val="18"/>
              </w:rPr>
            </w:pPr>
            <w:r>
              <w:rPr>
                <w:rFonts w:cs="Arial"/>
                <w:sz w:val="18"/>
                <w:szCs w:val="18"/>
              </w:rPr>
              <w:t>CC</w:t>
            </w:r>
          </w:p>
        </w:tc>
      </w:tr>
      <w:tr w:rsidR="00712276" w:rsidTr="00190F0A">
        <w:tc>
          <w:tcPr>
            <w:tcW w:w="675" w:type="dxa"/>
          </w:tcPr>
          <w:p w:rsidR="00712276" w:rsidRPr="00480BCD" w:rsidRDefault="00712276" w:rsidP="00190F0A">
            <w:pPr>
              <w:pStyle w:val="ListParagraph"/>
              <w:numPr>
                <w:ilvl w:val="0"/>
                <w:numId w:val="7"/>
              </w:numPr>
              <w:tabs>
                <w:tab w:val="left" w:pos="360"/>
              </w:tabs>
              <w:ind w:left="144" w:firstLine="0"/>
              <w:jc w:val="both"/>
              <w:rPr>
                <w:rFonts w:cs="Arial"/>
                <w:b/>
              </w:rPr>
            </w:pPr>
          </w:p>
        </w:tc>
        <w:tc>
          <w:tcPr>
            <w:tcW w:w="6946" w:type="dxa"/>
          </w:tcPr>
          <w:p w:rsidR="00145AE5" w:rsidRPr="00AB0A6F" w:rsidRDefault="00AB0A6F" w:rsidP="00190F0A">
            <w:pPr>
              <w:tabs>
                <w:tab w:val="left" w:pos="432"/>
              </w:tabs>
              <w:jc w:val="both"/>
              <w:rPr>
                <w:rFonts w:cs="Arial"/>
                <w:b/>
              </w:rPr>
            </w:pPr>
            <w:r w:rsidRPr="00190F0A">
              <w:rPr>
                <w:rFonts w:cs="Arial"/>
                <w:b/>
              </w:rPr>
              <w:t>Electronic submission of generic advertising and REC submissions</w:t>
            </w:r>
          </w:p>
          <w:p w:rsidR="00AB0A6F" w:rsidRDefault="00AB0A6F" w:rsidP="00190F0A">
            <w:pPr>
              <w:tabs>
                <w:tab w:val="left" w:pos="432"/>
              </w:tabs>
              <w:jc w:val="both"/>
              <w:rPr>
                <w:rFonts w:cs="Arial"/>
              </w:rPr>
            </w:pPr>
          </w:p>
          <w:p w:rsidR="00B7777F" w:rsidRDefault="00D65A82" w:rsidP="00190F0A">
            <w:pPr>
              <w:tabs>
                <w:tab w:val="left" w:pos="432"/>
              </w:tabs>
              <w:jc w:val="both"/>
              <w:rPr>
                <w:rFonts w:cs="Arial"/>
              </w:rPr>
            </w:pPr>
            <w:r>
              <w:rPr>
                <w:rFonts w:cs="Arial"/>
              </w:rPr>
              <w:t>G</w:t>
            </w:r>
            <w:r w:rsidR="00B7777F">
              <w:rPr>
                <w:rFonts w:cs="Arial"/>
              </w:rPr>
              <w:t xml:space="preserve">J </w:t>
            </w:r>
            <w:proofErr w:type="spellStart"/>
            <w:r w:rsidR="00B7777F">
              <w:rPr>
                <w:rFonts w:cs="Arial"/>
              </w:rPr>
              <w:t>fedback</w:t>
            </w:r>
            <w:proofErr w:type="spellEnd"/>
            <w:r w:rsidR="00B7777F">
              <w:rPr>
                <w:rFonts w:cs="Arial"/>
              </w:rPr>
              <w:t xml:space="preserve"> that they found the generic advertisement</w:t>
            </w:r>
            <w:r>
              <w:rPr>
                <w:rFonts w:cs="Arial"/>
              </w:rPr>
              <w:t xml:space="preserve"> process </w:t>
            </w:r>
            <w:r w:rsidR="00B7777F">
              <w:rPr>
                <w:rFonts w:cs="Arial"/>
              </w:rPr>
              <w:t xml:space="preserve">easy and quick which was appreciated. </w:t>
            </w:r>
            <w:proofErr w:type="gramStart"/>
            <w:r w:rsidR="00B7777F">
              <w:rPr>
                <w:rFonts w:cs="Arial"/>
              </w:rPr>
              <w:t>GJ  asked</w:t>
            </w:r>
            <w:proofErr w:type="gramEnd"/>
            <w:r w:rsidR="009D0EF1">
              <w:rPr>
                <w:rFonts w:cs="Arial"/>
              </w:rPr>
              <w:t xml:space="preserve"> that</w:t>
            </w:r>
            <w:r w:rsidR="00B7777F">
              <w:rPr>
                <w:rFonts w:cs="Arial"/>
              </w:rPr>
              <w:t xml:space="preserve"> th</w:t>
            </w:r>
            <w:r w:rsidR="009D0EF1">
              <w:rPr>
                <w:rFonts w:cs="Arial"/>
              </w:rPr>
              <w:t>e</w:t>
            </w:r>
            <w:r w:rsidR="00B7777F">
              <w:rPr>
                <w:rFonts w:cs="Arial"/>
              </w:rPr>
              <w:t xml:space="preserve"> principle of generic/virtual committee review could be applied to new applications so that they also benefited from such a quick service. GJ also suggested that industry would gain from the availability of such committees rather than adhering to set meeting dates. </w:t>
            </w:r>
          </w:p>
          <w:p w:rsidR="00D65A82" w:rsidRDefault="00D65A82" w:rsidP="00190F0A">
            <w:pPr>
              <w:tabs>
                <w:tab w:val="left" w:pos="432"/>
              </w:tabs>
              <w:jc w:val="both"/>
              <w:rPr>
                <w:rFonts w:cs="Arial"/>
              </w:rPr>
            </w:pPr>
          </w:p>
          <w:p w:rsidR="00B7777F" w:rsidRDefault="00D65A82" w:rsidP="00190F0A">
            <w:pPr>
              <w:tabs>
                <w:tab w:val="left" w:pos="432"/>
              </w:tabs>
              <w:jc w:val="both"/>
              <w:rPr>
                <w:rFonts w:cs="Arial"/>
              </w:rPr>
            </w:pPr>
            <w:r>
              <w:rPr>
                <w:rFonts w:cs="Arial"/>
              </w:rPr>
              <w:t>JK</w:t>
            </w:r>
            <w:r w:rsidR="00B7777F">
              <w:rPr>
                <w:rFonts w:cs="Arial"/>
              </w:rPr>
              <w:t xml:space="preserve"> explained in accordance with the Clinical Trial Regulation that there must be at least 7 members with no more than 2 co-opted members to review a CTIMP. There have however been early discussions in regard to how the UK will structure the ethics service to meet the requirements of the EU Clinical Trials </w:t>
            </w:r>
            <w:r w:rsidR="00B82BF2">
              <w:rPr>
                <w:rFonts w:cs="Arial"/>
              </w:rPr>
              <w:t>Regulation</w:t>
            </w:r>
            <w:r w:rsidR="00B7777F">
              <w:rPr>
                <w:rFonts w:cs="Arial"/>
              </w:rPr>
              <w:t xml:space="preserve"> from 2016. This may involve a radical change to the process. </w:t>
            </w:r>
          </w:p>
          <w:p w:rsidR="00B7777F" w:rsidRDefault="00B7777F" w:rsidP="00190F0A">
            <w:pPr>
              <w:tabs>
                <w:tab w:val="left" w:pos="432"/>
              </w:tabs>
              <w:jc w:val="both"/>
              <w:rPr>
                <w:rFonts w:cs="Arial"/>
              </w:rPr>
            </w:pPr>
          </w:p>
          <w:p w:rsidR="000753F3" w:rsidRDefault="00B7777F" w:rsidP="00190F0A">
            <w:pPr>
              <w:tabs>
                <w:tab w:val="left" w:pos="432"/>
              </w:tabs>
              <w:jc w:val="both"/>
              <w:rPr>
                <w:rFonts w:cs="Arial"/>
              </w:rPr>
            </w:pPr>
            <w:r>
              <w:rPr>
                <w:rFonts w:cs="Arial"/>
              </w:rPr>
              <w:t xml:space="preserve">Discussion took place regarding whether the issue of maintaining experience of reviewing Phase 1 studies could be </w:t>
            </w:r>
            <w:r w:rsidR="003C431D">
              <w:rPr>
                <w:rFonts w:cs="Arial"/>
              </w:rPr>
              <w:t xml:space="preserve">managed via the Shared Ethical Debate process. It was agreed that this would be beneficial and JK asked those present who submit Phase 1 applications to consider allowing an application to be used for this purpose. </w:t>
            </w:r>
            <w:r w:rsidR="00687064">
              <w:rPr>
                <w:rFonts w:cs="Arial"/>
              </w:rPr>
              <w:t>IS suggested that would need a virtual committee to review the ShED, otherwise</w:t>
            </w:r>
            <w:r w:rsidR="003C431D">
              <w:rPr>
                <w:rFonts w:cs="Arial"/>
              </w:rPr>
              <w:t xml:space="preserve"> it would be</w:t>
            </w:r>
            <w:r w:rsidR="00687064">
              <w:rPr>
                <w:rFonts w:cs="Arial"/>
              </w:rPr>
              <w:t xml:space="preserve"> no different. </w:t>
            </w:r>
            <w:r w:rsidR="00B11DBD">
              <w:rPr>
                <w:rFonts w:cs="Arial"/>
              </w:rPr>
              <w:t xml:space="preserve">It was </w:t>
            </w:r>
            <w:r w:rsidR="003C431D">
              <w:rPr>
                <w:rFonts w:cs="Arial"/>
              </w:rPr>
              <w:t xml:space="preserve">suggested </w:t>
            </w:r>
            <w:r w:rsidR="00B11DBD">
              <w:rPr>
                <w:rFonts w:cs="Arial"/>
              </w:rPr>
              <w:t xml:space="preserve">that </w:t>
            </w:r>
            <w:r w:rsidR="003C431D">
              <w:rPr>
                <w:rFonts w:cs="Arial"/>
              </w:rPr>
              <w:t xml:space="preserve">reviewing a Phase 1 application as a </w:t>
            </w:r>
            <w:r w:rsidR="00B11DBD">
              <w:rPr>
                <w:rFonts w:cs="Arial"/>
              </w:rPr>
              <w:t xml:space="preserve">ShED would not address the issue raised. </w:t>
            </w:r>
          </w:p>
          <w:p w:rsidR="00687064" w:rsidRDefault="00687064" w:rsidP="00190F0A">
            <w:pPr>
              <w:tabs>
                <w:tab w:val="left" w:pos="432"/>
              </w:tabs>
              <w:jc w:val="both"/>
              <w:rPr>
                <w:rFonts w:cs="Arial"/>
              </w:rPr>
            </w:pPr>
          </w:p>
          <w:p w:rsidR="003C431D" w:rsidRPr="00AB0A6F" w:rsidRDefault="00B11DBD" w:rsidP="00190F0A">
            <w:pPr>
              <w:tabs>
                <w:tab w:val="left" w:pos="432"/>
              </w:tabs>
              <w:jc w:val="both"/>
              <w:rPr>
                <w:rFonts w:cs="Arial"/>
              </w:rPr>
            </w:pPr>
            <w:r>
              <w:rPr>
                <w:rFonts w:cs="Arial"/>
              </w:rPr>
              <w:t>JK</w:t>
            </w:r>
            <w:r w:rsidR="003C431D">
              <w:rPr>
                <w:rFonts w:cs="Arial"/>
              </w:rPr>
              <w:t xml:space="preserve"> reiterated that it was not possible to revise the process at this time but there may be scope in the future. </w:t>
            </w:r>
          </w:p>
          <w:p w:rsidR="00D65A82" w:rsidRPr="00AB0A6F" w:rsidRDefault="00D65A82" w:rsidP="00190F0A">
            <w:pPr>
              <w:tabs>
                <w:tab w:val="left" w:pos="432"/>
              </w:tabs>
              <w:jc w:val="both"/>
              <w:rPr>
                <w:rFonts w:cs="Arial"/>
              </w:rPr>
            </w:pPr>
          </w:p>
        </w:tc>
        <w:tc>
          <w:tcPr>
            <w:tcW w:w="709" w:type="dxa"/>
          </w:tcPr>
          <w:p w:rsidR="00AB0A6F" w:rsidRPr="00F549B5" w:rsidRDefault="00AB0A6F" w:rsidP="00190F0A">
            <w:pPr>
              <w:jc w:val="both"/>
              <w:rPr>
                <w:rFonts w:cs="Arial"/>
                <w:sz w:val="18"/>
                <w:szCs w:val="18"/>
              </w:rPr>
            </w:pPr>
          </w:p>
        </w:tc>
      </w:tr>
      <w:tr w:rsidR="000C6A9F" w:rsidTr="00190F0A">
        <w:tc>
          <w:tcPr>
            <w:tcW w:w="675" w:type="dxa"/>
          </w:tcPr>
          <w:p w:rsidR="000C6A9F" w:rsidRPr="00480BCD" w:rsidRDefault="000C6A9F" w:rsidP="00190F0A">
            <w:pPr>
              <w:pStyle w:val="ListParagraph"/>
              <w:numPr>
                <w:ilvl w:val="0"/>
                <w:numId w:val="7"/>
              </w:numPr>
              <w:tabs>
                <w:tab w:val="left" w:pos="360"/>
              </w:tabs>
              <w:ind w:left="144" w:firstLine="0"/>
              <w:jc w:val="both"/>
              <w:rPr>
                <w:rFonts w:cs="Arial"/>
                <w:b/>
              </w:rPr>
            </w:pPr>
          </w:p>
        </w:tc>
        <w:tc>
          <w:tcPr>
            <w:tcW w:w="6946" w:type="dxa"/>
          </w:tcPr>
          <w:p w:rsidR="000C6A9F" w:rsidRDefault="000C6A9F" w:rsidP="00190F0A">
            <w:pPr>
              <w:tabs>
                <w:tab w:val="left" w:pos="432"/>
              </w:tabs>
              <w:jc w:val="both"/>
              <w:rPr>
                <w:rFonts w:cs="Arial"/>
                <w:b/>
              </w:rPr>
            </w:pPr>
            <w:r>
              <w:rPr>
                <w:rFonts w:cs="Arial"/>
                <w:b/>
              </w:rPr>
              <w:t>TOPS</w:t>
            </w:r>
          </w:p>
          <w:p w:rsidR="000C6A9F" w:rsidRDefault="000C6A9F" w:rsidP="00190F0A">
            <w:pPr>
              <w:tabs>
                <w:tab w:val="left" w:pos="432"/>
              </w:tabs>
              <w:jc w:val="both"/>
              <w:rPr>
                <w:rFonts w:cs="Arial"/>
                <w:b/>
              </w:rPr>
            </w:pPr>
          </w:p>
          <w:p w:rsidR="00FE5BBA" w:rsidRDefault="003C431D" w:rsidP="00190F0A">
            <w:pPr>
              <w:tabs>
                <w:tab w:val="left" w:pos="432"/>
              </w:tabs>
              <w:jc w:val="both"/>
              <w:rPr>
                <w:rFonts w:cs="Arial"/>
              </w:rPr>
            </w:pPr>
            <w:r>
              <w:rPr>
                <w:rFonts w:cs="Arial"/>
              </w:rPr>
              <w:t xml:space="preserve">CB provided an update regarding The Over-volunteering Prevention System. TOPS transferred to the HRA in April 2013. It was agreed that improvements would be made to the system and a questionnaire was sent out to TOPS users to request suggestions for possible improvements. The feedback which was received was very positive about the system and there were only a few suggested improvements. There were also a number of improvements to the administrator functionality which would not affect the users of the system but would assist with the management of the system. </w:t>
            </w:r>
          </w:p>
          <w:p w:rsidR="003C431D" w:rsidRDefault="003C431D" w:rsidP="00190F0A">
            <w:pPr>
              <w:tabs>
                <w:tab w:val="left" w:pos="432"/>
              </w:tabs>
              <w:jc w:val="both"/>
              <w:rPr>
                <w:rFonts w:cs="Arial"/>
              </w:rPr>
            </w:pPr>
          </w:p>
          <w:p w:rsidR="003C431D" w:rsidRDefault="003C431D" w:rsidP="00190F0A">
            <w:pPr>
              <w:pStyle w:val="ListParagraph"/>
              <w:numPr>
                <w:ilvl w:val="0"/>
                <w:numId w:val="20"/>
              </w:numPr>
              <w:tabs>
                <w:tab w:val="left" w:pos="432"/>
              </w:tabs>
              <w:jc w:val="both"/>
              <w:rPr>
                <w:rFonts w:cs="Arial"/>
              </w:rPr>
            </w:pPr>
            <w:r>
              <w:rPr>
                <w:rFonts w:cs="Arial"/>
              </w:rPr>
              <w:t xml:space="preserve">Include the IRAS project ID. </w:t>
            </w:r>
          </w:p>
          <w:p w:rsidR="003C431D" w:rsidRDefault="003C431D" w:rsidP="00190F0A">
            <w:pPr>
              <w:pStyle w:val="ListParagraph"/>
              <w:numPr>
                <w:ilvl w:val="0"/>
                <w:numId w:val="20"/>
              </w:numPr>
              <w:tabs>
                <w:tab w:val="left" w:pos="432"/>
              </w:tabs>
              <w:jc w:val="both"/>
              <w:rPr>
                <w:rFonts w:cs="Arial"/>
              </w:rPr>
            </w:pPr>
            <w:r>
              <w:rPr>
                <w:rFonts w:cs="Arial"/>
              </w:rPr>
              <w:t xml:space="preserve">Online form for enquiries of request for data changes. This is a preferable process to e-mail as it filters out spam. </w:t>
            </w:r>
          </w:p>
          <w:p w:rsidR="003C431D" w:rsidRDefault="003C431D" w:rsidP="00190F0A">
            <w:pPr>
              <w:pStyle w:val="ListParagraph"/>
              <w:numPr>
                <w:ilvl w:val="0"/>
                <w:numId w:val="20"/>
              </w:numPr>
              <w:tabs>
                <w:tab w:val="left" w:pos="432"/>
              </w:tabs>
              <w:jc w:val="both"/>
              <w:rPr>
                <w:rFonts w:cs="Arial"/>
              </w:rPr>
            </w:pPr>
            <w:r>
              <w:rPr>
                <w:rFonts w:cs="Arial"/>
              </w:rPr>
              <w:t xml:space="preserve">The site will be branded in line with the HRA. </w:t>
            </w:r>
          </w:p>
          <w:p w:rsidR="003C431D" w:rsidRDefault="003C431D" w:rsidP="00190F0A">
            <w:pPr>
              <w:pStyle w:val="ListParagraph"/>
              <w:numPr>
                <w:ilvl w:val="0"/>
                <w:numId w:val="20"/>
              </w:numPr>
              <w:tabs>
                <w:tab w:val="left" w:pos="432"/>
              </w:tabs>
              <w:jc w:val="both"/>
              <w:rPr>
                <w:rFonts w:cs="Arial"/>
              </w:rPr>
            </w:pPr>
            <w:r>
              <w:rPr>
                <w:rFonts w:cs="Arial"/>
              </w:rPr>
              <w:t xml:space="preserve">It was identified that each site has only two </w:t>
            </w:r>
            <w:proofErr w:type="gramStart"/>
            <w:r>
              <w:rPr>
                <w:rFonts w:cs="Arial"/>
              </w:rPr>
              <w:t>log</w:t>
            </w:r>
            <w:proofErr w:type="gramEnd"/>
            <w:r>
              <w:rPr>
                <w:rFonts w:cs="Arial"/>
              </w:rPr>
              <w:t xml:space="preserve"> on usernames but up to10 people per site were using the system. Sharing of passwords is always discouraged and therefore it was agreed that all users of the system would have their own username and password. This would ensure that there is an accurate audit trail of use and also prevent possible problems when </w:t>
            </w:r>
            <w:proofErr w:type="gramStart"/>
            <w:r>
              <w:rPr>
                <w:rFonts w:cs="Arial"/>
              </w:rPr>
              <w:t>staff leave</w:t>
            </w:r>
            <w:proofErr w:type="gramEnd"/>
            <w:r>
              <w:rPr>
                <w:rFonts w:cs="Arial"/>
              </w:rPr>
              <w:t xml:space="preserve"> the organisation.</w:t>
            </w:r>
          </w:p>
          <w:p w:rsidR="003C431D" w:rsidRDefault="007F3931" w:rsidP="00190F0A">
            <w:pPr>
              <w:pStyle w:val="ListParagraph"/>
              <w:numPr>
                <w:ilvl w:val="0"/>
                <w:numId w:val="20"/>
              </w:numPr>
              <w:tabs>
                <w:tab w:val="left" w:pos="432"/>
              </w:tabs>
              <w:jc w:val="both"/>
              <w:rPr>
                <w:rFonts w:cs="Arial"/>
              </w:rPr>
            </w:pPr>
            <w:r>
              <w:rPr>
                <w:rFonts w:cs="Arial"/>
              </w:rPr>
              <w:t xml:space="preserve">Add </w:t>
            </w:r>
            <w:proofErr w:type="gramStart"/>
            <w:r>
              <w:rPr>
                <w:rFonts w:cs="Arial"/>
              </w:rPr>
              <w:t>a search</w:t>
            </w:r>
            <w:proofErr w:type="gramEnd"/>
            <w:r>
              <w:rPr>
                <w:rFonts w:cs="Arial"/>
              </w:rPr>
              <w:t xml:space="preserve"> functionality. Records are currently listed in chronological order with no search functionality. This can make identifying the required record difficult and time consuming. </w:t>
            </w:r>
          </w:p>
          <w:p w:rsidR="007F3931" w:rsidRDefault="007F3931" w:rsidP="00190F0A">
            <w:pPr>
              <w:pStyle w:val="ListParagraph"/>
              <w:numPr>
                <w:ilvl w:val="0"/>
                <w:numId w:val="20"/>
              </w:numPr>
              <w:tabs>
                <w:tab w:val="left" w:pos="432"/>
              </w:tabs>
              <w:jc w:val="both"/>
              <w:rPr>
                <w:rFonts w:cs="Arial"/>
              </w:rPr>
            </w:pPr>
            <w:r>
              <w:rPr>
                <w:rFonts w:cs="Arial"/>
              </w:rPr>
              <w:t xml:space="preserve">Alter functionality - It was noted that there are a large number of incomplete records where a prospective participant has been added but there is no information regarding dosing. An alert will therefore be added which reminds users after a set period of time that there are records which need to be updated. There will also be a category ‘not dosed as participant already in trial’. This will ensure that we capture how often the system prevents over volunteering. </w:t>
            </w:r>
          </w:p>
          <w:p w:rsidR="00652984" w:rsidRDefault="00652984" w:rsidP="00190F0A">
            <w:pPr>
              <w:pStyle w:val="ListParagraph"/>
              <w:numPr>
                <w:ilvl w:val="0"/>
                <w:numId w:val="20"/>
              </w:numPr>
              <w:tabs>
                <w:tab w:val="left" w:pos="432"/>
              </w:tabs>
              <w:jc w:val="both"/>
              <w:rPr>
                <w:rFonts w:cs="Arial"/>
              </w:rPr>
            </w:pPr>
            <w:r>
              <w:rPr>
                <w:rFonts w:cs="Arial"/>
              </w:rPr>
              <w:t xml:space="preserve">Archiving of records over 2 years. The system currently holds all records since it commenced, which is approximately 10 years. It was noted that there is no requirement to keep </w:t>
            </w:r>
            <w:proofErr w:type="gramStart"/>
            <w:r>
              <w:rPr>
                <w:rFonts w:cs="Arial"/>
              </w:rPr>
              <w:t>all  of</w:t>
            </w:r>
            <w:proofErr w:type="gramEnd"/>
            <w:r>
              <w:rPr>
                <w:rFonts w:cs="Arial"/>
              </w:rPr>
              <w:t xml:space="preserve"> these records and it was suggested that keeping the last two years of records active would be preferable and the remaining records archived. </w:t>
            </w:r>
          </w:p>
          <w:p w:rsidR="00652984" w:rsidRPr="003C431D" w:rsidRDefault="00652984" w:rsidP="00190F0A">
            <w:pPr>
              <w:pStyle w:val="ListParagraph"/>
              <w:numPr>
                <w:ilvl w:val="0"/>
                <w:numId w:val="20"/>
              </w:numPr>
              <w:tabs>
                <w:tab w:val="left" w:pos="432"/>
              </w:tabs>
              <w:jc w:val="both"/>
              <w:rPr>
                <w:rFonts w:cs="Arial"/>
              </w:rPr>
            </w:pPr>
            <w:r>
              <w:rPr>
                <w:rFonts w:cs="Arial"/>
              </w:rPr>
              <w:t xml:space="preserve">Management Information reporting functionality - this would allow for the collection of key metrics such as the number of potential participants registered and the number of participants dosed etc. </w:t>
            </w:r>
          </w:p>
          <w:p w:rsidR="003C431D" w:rsidRDefault="003C431D" w:rsidP="00190F0A">
            <w:pPr>
              <w:tabs>
                <w:tab w:val="left" w:pos="432"/>
              </w:tabs>
              <w:jc w:val="both"/>
              <w:rPr>
                <w:rFonts w:cs="Arial"/>
              </w:rPr>
            </w:pPr>
          </w:p>
          <w:p w:rsidR="00BD1982" w:rsidRDefault="00BD1982" w:rsidP="00190F0A">
            <w:pPr>
              <w:tabs>
                <w:tab w:val="left" w:pos="432"/>
              </w:tabs>
              <w:jc w:val="both"/>
              <w:rPr>
                <w:rFonts w:cs="Arial"/>
              </w:rPr>
            </w:pPr>
            <w:r w:rsidRPr="00BD1982">
              <w:rPr>
                <w:rFonts w:cs="Arial"/>
              </w:rPr>
              <w:t xml:space="preserve">KB </w:t>
            </w:r>
            <w:r>
              <w:rPr>
                <w:rFonts w:cs="Arial"/>
              </w:rPr>
              <w:t xml:space="preserve">stated that he </w:t>
            </w:r>
            <w:r w:rsidRPr="00BD1982">
              <w:rPr>
                <w:rFonts w:cs="Arial"/>
              </w:rPr>
              <w:t xml:space="preserve">strongly disagreed with the management information reporting functionality and the development of the TOPS system beyond what it is intended for. </w:t>
            </w:r>
            <w:r>
              <w:rPr>
                <w:rFonts w:cs="Arial"/>
              </w:rPr>
              <w:t>Further stating</w:t>
            </w:r>
            <w:r w:rsidRPr="00BD1982">
              <w:rPr>
                <w:rFonts w:cs="Arial"/>
              </w:rPr>
              <w:t xml:space="preserve"> that this is supposed to be a tool to help asses a </w:t>
            </w:r>
            <w:proofErr w:type="gramStart"/>
            <w:r w:rsidRPr="00BD1982">
              <w:rPr>
                <w:rFonts w:cs="Arial"/>
              </w:rPr>
              <w:t>volunteers</w:t>
            </w:r>
            <w:proofErr w:type="gramEnd"/>
            <w:r w:rsidRPr="00BD1982">
              <w:rPr>
                <w:rFonts w:cs="Arial"/>
              </w:rPr>
              <w:t xml:space="preserve"> eligibility to participate in a clinical trial based on their “current clinical trial history” and the tool should be used for that only.</w:t>
            </w:r>
          </w:p>
          <w:p w:rsidR="00CE38A0" w:rsidRDefault="00CE38A0" w:rsidP="00190F0A">
            <w:pPr>
              <w:tabs>
                <w:tab w:val="left" w:pos="432"/>
              </w:tabs>
              <w:jc w:val="both"/>
              <w:rPr>
                <w:rFonts w:cs="Arial"/>
              </w:rPr>
            </w:pPr>
          </w:p>
          <w:p w:rsidR="00CE38A0" w:rsidRDefault="00CE38A0" w:rsidP="00190F0A">
            <w:pPr>
              <w:tabs>
                <w:tab w:val="left" w:pos="432"/>
              </w:tabs>
              <w:jc w:val="both"/>
              <w:rPr>
                <w:rFonts w:cs="Arial"/>
              </w:rPr>
            </w:pPr>
            <w:r>
              <w:rPr>
                <w:rFonts w:cs="Arial"/>
              </w:rPr>
              <w:t>JK</w:t>
            </w:r>
            <w:r w:rsidR="00652984">
              <w:rPr>
                <w:rFonts w:cs="Arial"/>
              </w:rPr>
              <w:t xml:space="preserve"> raised concern in regard to the information being held on the system and the length of time for which it was being held, particularly where potential participants are never dosed.</w:t>
            </w:r>
            <w:r>
              <w:rPr>
                <w:rFonts w:cs="Arial"/>
              </w:rPr>
              <w:t xml:space="preserve">  She advised that the records should be destroyed and not archived.  </w:t>
            </w:r>
            <w:r w:rsidR="00652984">
              <w:rPr>
                <w:rFonts w:cs="Arial"/>
              </w:rPr>
              <w:t xml:space="preserve"> I</w:t>
            </w:r>
            <w:r w:rsidR="00B82BF2">
              <w:rPr>
                <w:rFonts w:cs="Arial"/>
              </w:rPr>
              <w:t>f</w:t>
            </w:r>
            <w:r w:rsidR="00652984">
              <w:rPr>
                <w:rFonts w:cs="Arial"/>
              </w:rPr>
              <w:t xml:space="preserve"> a FOI request was made, it would be a requirement to disclose this information by CRO. I</w:t>
            </w:r>
            <w:r w:rsidR="00951D0B">
              <w:rPr>
                <w:rFonts w:cs="Arial"/>
              </w:rPr>
              <w:t xml:space="preserve">t was therefore suggested that only the minimal information should be retained for the shortest period of time appropriate. </w:t>
            </w:r>
            <w:r>
              <w:rPr>
                <w:rFonts w:cs="Arial"/>
              </w:rPr>
              <w:t xml:space="preserve">  KB agreed with this and advised that he had recent experience of volunteers refusing to participate in studies because they became aware that historical personal data was stored.</w:t>
            </w:r>
          </w:p>
          <w:p w:rsidR="00DA65A0" w:rsidRDefault="00DA65A0" w:rsidP="00190F0A">
            <w:pPr>
              <w:tabs>
                <w:tab w:val="left" w:pos="432"/>
              </w:tabs>
              <w:jc w:val="both"/>
              <w:rPr>
                <w:rFonts w:cs="Arial"/>
              </w:rPr>
            </w:pPr>
          </w:p>
          <w:p w:rsidR="00DA65A0" w:rsidRDefault="00DA65A0" w:rsidP="00190F0A">
            <w:pPr>
              <w:tabs>
                <w:tab w:val="left" w:pos="432"/>
              </w:tabs>
              <w:jc w:val="both"/>
              <w:rPr>
                <w:rFonts w:cs="Arial"/>
              </w:rPr>
            </w:pPr>
            <w:r>
              <w:rPr>
                <w:rFonts w:cs="Arial"/>
              </w:rPr>
              <w:t xml:space="preserve">It was also noted that by including the IRAS ID, this was extra data than previously collected. </w:t>
            </w:r>
            <w:r w:rsidR="00BD1982" w:rsidRPr="00BD1982">
              <w:rPr>
                <w:rFonts w:cs="Arial"/>
              </w:rPr>
              <w:t xml:space="preserve">KB questioned the necessity of this and what value it would add to assess a </w:t>
            </w:r>
            <w:proofErr w:type="gramStart"/>
            <w:r w:rsidR="00BD1982" w:rsidRPr="00BD1982">
              <w:rPr>
                <w:rFonts w:cs="Arial"/>
              </w:rPr>
              <w:t>volunteers</w:t>
            </w:r>
            <w:proofErr w:type="gramEnd"/>
            <w:r w:rsidR="00BD1982" w:rsidRPr="00BD1982">
              <w:rPr>
                <w:rFonts w:cs="Arial"/>
              </w:rPr>
              <w:t xml:space="preserve"> suitability for a clinical trial.</w:t>
            </w:r>
          </w:p>
          <w:p w:rsidR="00DA65A0" w:rsidRDefault="00DA65A0" w:rsidP="00190F0A">
            <w:pPr>
              <w:tabs>
                <w:tab w:val="left" w:pos="432"/>
              </w:tabs>
              <w:jc w:val="both"/>
              <w:rPr>
                <w:rFonts w:cs="Arial"/>
              </w:rPr>
            </w:pPr>
          </w:p>
          <w:p w:rsidR="00DA65A0" w:rsidRDefault="00DA65A0" w:rsidP="00190F0A">
            <w:pPr>
              <w:tabs>
                <w:tab w:val="left" w:pos="432"/>
              </w:tabs>
              <w:jc w:val="both"/>
              <w:rPr>
                <w:rFonts w:cs="Arial"/>
              </w:rPr>
            </w:pPr>
            <w:r>
              <w:rPr>
                <w:rFonts w:cs="Arial"/>
              </w:rPr>
              <w:t xml:space="preserve">MB explained that when the system had initially been set up, it was confirmed that the data which is being collected, </w:t>
            </w:r>
            <w:proofErr w:type="spellStart"/>
            <w:r>
              <w:rPr>
                <w:rFonts w:cs="Arial"/>
              </w:rPr>
              <w:t>i.e</w:t>
            </w:r>
            <w:proofErr w:type="spellEnd"/>
            <w:r>
              <w:rPr>
                <w:rFonts w:cs="Arial"/>
              </w:rPr>
              <w:t xml:space="preserve"> passport number / NI number, was not considered to be identifiable information and therefore there were no issues with data protection.</w:t>
            </w:r>
            <w:r w:rsidR="00CE38A0">
              <w:rPr>
                <w:rFonts w:cs="Arial"/>
              </w:rPr>
              <w:t xml:space="preserve">  JK advised that she had consulted the HRA Confidentiality Advisory Team and they had confirmed the referenced data would be classified as personal identifiable and there was a common law duty of confidentiality. </w:t>
            </w:r>
            <w:r>
              <w:rPr>
                <w:rFonts w:cs="Arial"/>
              </w:rPr>
              <w:t xml:space="preserve"> </w:t>
            </w:r>
            <w:r w:rsidR="0068310F">
              <w:rPr>
                <w:rFonts w:cs="Arial"/>
              </w:rPr>
              <w:t xml:space="preserve">The main issue with the system was encouraging its use. JK added that it was important to note that using the system means completing all of the required fields and not just registering potential participants with no further information being added. It had been disappointing to see that the condition of the favourable ethical opinion to register participants on TOPS had in some instances been seen as just registering and not completing all required information. JK confirmed that the condition of the favourable ethical opinion does require all relevant fields to be completed. </w:t>
            </w:r>
          </w:p>
          <w:p w:rsidR="006A2F56" w:rsidRDefault="006A2F56" w:rsidP="00190F0A">
            <w:pPr>
              <w:tabs>
                <w:tab w:val="left" w:pos="432"/>
              </w:tabs>
              <w:jc w:val="both"/>
              <w:rPr>
                <w:rFonts w:cs="Arial"/>
              </w:rPr>
            </w:pPr>
          </w:p>
          <w:p w:rsidR="006A2F56" w:rsidRDefault="006A2F56" w:rsidP="00190F0A">
            <w:pPr>
              <w:tabs>
                <w:tab w:val="left" w:pos="432"/>
              </w:tabs>
              <w:jc w:val="both"/>
              <w:rPr>
                <w:rFonts w:cs="Arial"/>
              </w:rPr>
            </w:pPr>
            <w:r>
              <w:rPr>
                <w:rFonts w:cs="Arial"/>
              </w:rPr>
              <w:t>JK said that the hope was that</w:t>
            </w:r>
            <w:r w:rsidR="00B82BF2">
              <w:rPr>
                <w:rFonts w:cs="Arial"/>
              </w:rPr>
              <w:t xml:space="preserve"> the</w:t>
            </w:r>
            <w:r>
              <w:rPr>
                <w:rFonts w:cs="Arial"/>
              </w:rPr>
              <w:t xml:space="preserve"> information which could be extrapolated from the system would be a good news story for UK phase 1 research. JK suggested that if CROs were concerned regarding linking their organisation with other information, </w:t>
            </w:r>
            <w:proofErr w:type="spellStart"/>
            <w:r>
              <w:rPr>
                <w:rFonts w:cs="Arial"/>
              </w:rPr>
              <w:t>i.e</w:t>
            </w:r>
            <w:proofErr w:type="spellEnd"/>
            <w:r>
              <w:rPr>
                <w:rFonts w:cs="Arial"/>
              </w:rPr>
              <w:t xml:space="preserve"> in case an FOI request was made, this could be un-linked on a regular basis. </w:t>
            </w:r>
          </w:p>
          <w:p w:rsidR="006A2F56" w:rsidRDefault="006A2F56" w:rsidP="00190F0A">
            <w:pPr>
              <w:tabs>
                <w:tab w:val="left" w:pos="432"/>
              </w:tabs>
              <w:jc w:val="both"/>
              <w:rPr>
                <w:rFonts w:cs="Arial"/>
              </w:rPr>
            </w:pPr>
          </w:p>
          <w:p w:rsidR="006425E2" w:rsidRDefault="006A2F56" w:rsidP="00190F0A">
            <w:pPr>
              <w:tabs>
                <w:tab w:val="left" w:pos="432"/>
              </w:tabs>
              <w:jc w:val="both"/>
              <w:rPr>
                <w:rFonts w:cs="Arial"/>
              </w:rPr>
            </w:pPr>
            <w:r>
              <w:rPr>
                <w:rFonts w:cs="Arial"/>
              </w:rPr>
              <w:t xml:space="preserve">MB explained that the intention has always been to only keep 2 </w:t>
            </w:r>
            <w:proofErr w:type="spellStart"/>
            <w:r>
              <w:rPr>
                <w:rFonts w:cs="Arial"/>
              </w:rPr>
              <w:t>years worth</w:t>
            </w:r>
            <w:proofErr w:type="spellEnd"/>
            <w:r>
              <w:rPr>
                <w:rFonts w:cs="Arial"/>
              </w:rPr>
              <w:t xml:space="preserve"> of data but unfortunately this hadn’t happened. The intention had however been to keep all records archived in case there was ever a requirement to trace a participant after a long period of time, such as with a biological agent or vaccine. It was agreed that consideration needed to be given to data protection and ensuring that TOPS was manage</w:t>
            </w:r>
            <w:r w:rsidR="00B82BF2">
              <w:rPr>
                <w:rFonts w:cs="Arial"/>
              </w:rPr>
              <w:t>d</w:t>
            </w:r>
            <w:r>
              <w:rPr>
                <w:rFonts w:cs="Arial"/>
              </w:rPr>
              <w:t xml:space="preserve"> in accordance with the Data Protection Act at all times. CB added that it would be possible to set up automatic deletion or archiving </w:t>
            </w:r>
            <w:proofErr w:type="gramStart"/>
            <w:r>
              <w:rPr>
                <w:rFonts w:cs="Arial"/>
              </w:rPr>
              <w:t>rules  into</w:t>
            </w:r>
            <w:proofErr w:type="gramEnd"/>
            <w:r>
              <w:rPr>
                <w:rFonts w:cs="Arial"/>
              </w:rPr>
              <w:t xml:space="preserve"> the system but this would only be possible where there was confidence that the information being put into the system was complete which is not currently the case. </w:t>
            </w:r>
            <w:r w:rsidR="006425E2">
              <w:rPr>
                <w:rFonts w:cs="Arial"/>
              </w:rPr>
              <w:t>If such rules could</w:t>
            </w:r>
            <w:r w:rsidR="00B82BF2">
              <w:rPr>
                <w:rFonts w:cs="Arial"/>
              </w:rPr>
              <w:t xml:space="preserve"> be</w:t>
            </w:r>
            <w:r w:rsidR="006425E2">
              <w:rPr>
                <w:rFonts w:cs="Arial"/>
              </w:rPr>
              <w:t xml:space="preserve"> set up then the records could be removed after the most appropriate period of time dependant on the study instead of defaulting to 2 years which is the current proposal. </w:t>
            </w:r>
          </w:p>
          <w:p w:rsidR="00652984" w:rsidRDefault="00652984" w:rsidP="00190F0A">
            <w:pPr>
              <w:tabs>
                <w:tab w:val="left" w:pos="432"/>
              </w:tabs>
              <w:jc w:val="both"/>
              <w:rPr>
                <w:rFonts w:cs="Arial"/>
              </w:rPr>
            </w:pPr>
          </w:p>
          <w:p w:rsidR="00BD1982" w:rsidRPr="00BD1982" w:rsidRDefault="00BD1982" w:rsidP="00BD1982">
            <w:pPr>
              <w:tabs>
                <w:tab w:val="left" w:pos="432"/>
              </w:tabs>
              <w:jc w:val="both"/>
              <w:rPr>
                <w:rFonts w:cs="Arial"/>
              </w:rPr>
            </w:pPr>
            <w:r w:rsidRPr="00BD1982">
              <w:rPr>
                <w:rFonts w:cs="Arial"/>
              </w:rPr>
              <w:t xml:space="preserve">KB suggested that if a subject had not been dosed then the TOPS check by one unit should not be visible to anther unit. </w:t>
            </w:r>
          </w:p>
          <w:p w:rsidR="00BD1982" w:rsidRPr="00BD1982" w:rsidRDefault="00BD1982" w:rsidP="00BD1982">
            <w:pPr>
              <w:tabs>
                <w:tab w:val="left" w:pos="432"/>
              </w:tabs>
              <w:jc w:val="both"/>
              <w:rPr>
                <w:rFonts w:cs="Arial"/>
              </w:rPr>
            </w:pPr>
          </w:p>
          <w:p w:rsidR="00652984" w:rsidRDefault="00BD1982" w:rsidP="00BD1982">
            <w:pPr>
              <w:tabs>
                <w:tab w:val="left" w:pos="432"/>
              </w:tabs>
              <w:jc w:val="both"/>
              <w:rPr>
                <w:rFonts w:cs="Arial"/>
              </w:rPr>
            </w:pPr>
            <w:r w:rsidRPr="00BD1982">
              <w:rPr>
                <w:rFonts w:cs="Arial"/>
              </w:rPr>
              <w:t>KB offered to help with the redesign of the system to ensure that only relevant data is displayed for the shortest time possible and to promote the system to be used by all units including those outside of the UK as there are a number of volunteers crossing borders to participate in clinical trials both in the UK and mainland Europe.</w:t>
            </w:r>
          </w:p>
          <w:p w:rsidR="00190F0A" w:rsidRDefault="00190F0A" w:rsidP="00190F0A">
            <w:pPr>
              <w:tabs>
                <w:tab w:val="left" w:pos="432"/>
              </w:tabs>
              <w:jc w:val="both"/>
              <w:rPr>
                <w:rFonts w:cs="Arial"/>
              </w:rPr>
            </w:pPr>
          </w:p>
          <w:p w:rsidR="00190F0A" w:rsidRPr="003C431D" w:rsidRDefault="00190F0A" w:rsidP="00190F0A">
            <w:pPr>
              <w:tabs>
                <w:tab w:val="left" w:pos="432"/>
              </w:tabs>
              <w:jc w:val="both"/>
              <w:rPr>
                <w:rFonts w:cs="Arial"/>
              </w:rPr>
            </w:pPr>
          </w:p>
        </w:tc>
        <w:tc>
          <w:tcPr>
            <w:tcW w:w="709" w:type="dxa"/>
          </w:tcPr>
          <w:p w:rsidR="000C6A9F" w:rsidRDefault="000C6A9F"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Default="006A2F56" w:rsidP="00190F0A">
            <w:pPr>
              <w:jc w:val="both"/>
              <w:rPr>
                <w:rFonts w:cs="Arial"/>
                <w:sz w:val="18"/>
                <w:szCs w:val="18"/>
              </w:rPr>
            </w:pPr>
          </w:p>
          <w:p w:rsidR="006A2F56" w:rsidRPr="006A2F56" w:rsidRDefault="006A2F56" w:rsidP="00190F0A">
            <w:pPr>
              <w:jc w:val="both"/>
              <w:rPr>
                <w:rFonts w:cs="Arial"/>
                <w:b/>
                <w:sz w:val="18"/>
                <w:szCs w:val="18"/>
              </w:rPr>
            </w:pPr>
            <w:proofErr w:type="spellStart"/>
            <w:r w:rsidRPr="006A2F56">
              <w:rPr>
                <w:rFonts w:cs="Arial"/>
                <w:b/>
                <w:sz w:val="18"/>
                <w:szCs w:val="18"/>
              </w:rPr>
              <w:t>CB</w:t>
            </w:r>
            <w:r w:rsidR="008715C6">
              <w:rPr>
                <w:rFonts w:cs="Arial"/>
                <w:b/>
                <w:sz w:val="18"/>
                <w:szCs w:val="18"/>
              </w:rPr>
              <w:t>l</w:t>
            </w:r>
            <w:proofErr w:type="spellEnd"/>
          </w:p>
        </w:tc>
      </w:tr>
      <w:tr w:rsidR="00603CD5" w:rsidTr="00190F0A">
        <w:tc>
          <w:tcPr>
            <w:tcW w:w="675" w:type="dxa"/>
          </w:tcPr>
          <w:p w:rsidR="00603CD5" w:rsidRPr="00480BCD" w:rsidRDefault="00603CD5" w:rsidP="00190F0A">
            <w:pPr>
              <w:pStyle w:val="ListParagraph"/>
              <w:numPr>
                <w:ilvl w:val="0"/>
                <w:numId w:val="7"/>
              </w:numPr>
              <w:tabs>
                <w:tab w:val="left" w:pos="360"/>
              </w:tabs>
              <w:ind w:left="144" w:firstLine="0"/>
              <w:jc w:val="both"/>
              <w:rPr>
                <w:rFonts w:cs="Arial"/>
                <w:b/>
              </w:rPr>
            </w:pPr>
          </w:p>
        </w:tc>
        <w:tc>
          <w:tcPr>
            <w:tcW w:w="6946" w:type="dxa"/>
          </w:tcPr>
          <w:p w:rsidR="00603CD5" w:rsidRDefault="00603CD5" w:rsidP="00190F0A">
            <w:pPr>
              <w:tabs>
                <w:tab w:val="left" w:pos="432"/>
              </w:tabs>
              <w:jc w:val="both"/>
              <w:rPr>
                <w:rFonts w:cs="Arial"/>
                <w:b/>
              </w:rPr>
            </w:pPr>
            <w:r>
              <w:rPr>
                <w:rFonts w:cs="Arial"/>
                <w:b/>
              </w:rPr>
              <w:t xml:space="preserve">Phase I Management Information Data </w:t>
            </w:r>
          </w:p>
          <w:p w:rsidR="00603CD5" w:rsidRDefault="00603CD5" w:rsidP="00190F0A">
            <w:pPr>
              <w:tabs>
                <w:tab w:val="left" w:pos="432"/>
              </w:tabs>
              <w:jc w:val="both"/>
              <w:rPr>
                <w:rFonts w:cs="Arial"/>
                <w:sz w:val="20"/>
                <w:szCs w:val="20"/>
              </w:rPr>
            </w:pPr>
          </w:p>
          <w:p w:rsidR="0058779E" w:rsidRDefault="007002E4" w:rsidP="00190F0A">
            <w:pPr>
              <w:tabs>
                <w:tab w:val="left" w:pos="432"/>
              </w:tabs>
              <w:jc w:val="both"/>
              <w:rPr>
                <w:rFonts w:cs="Arial"/>
                <w:sz w:val="20"/>
                <w:szCs w:val="20"/>
              </w:rPr>
            </w:pPr>
            <w:r>
              <w:rPr>
                <w:rFonts w:cs="Arial"/>
                <w:sz w:val="20"/>
                <w:szCs w:val="20"/>
              </w:rPr>
              <w:t>The group noted the management information. It was requested that in future, t</w:t>
            </w:r>
            <w:r w:rsidR="0058779E">
              <w:rPr>
                <w:rFonts w:cs="Arial"/>
                <w:sz w:val="20"/>
                <w:szCs w:val="20"/>
              </w:rPr>
              <w:t xml:space="preserve">ables </w:t>
            </w:r>
            <w:r>
              <w:rPr>
                <w:rFonts w:cs="Arial"/>
                <w:sz w:val="20"/>
                <w:szCs w:val="20"/>
              </w:rPr>
              <w:t xml:space="preserve">only are included as they are </w:t>
            </w:r>
            <w:r w:rsidR="0058779E">
              <w:rPr>
                <w:rFonts w:cs="Arial"/>
                <w:sz w:val="20"/>
                <w:szCs w:val="20"/>
              </w:rPr>
              <w:t>preferable to charts.</w:t>
            </w:r>
            <w:r>
              <w:rPr>
                <w:rFonts w:cs="Arial"/>
                <w:sz w:val="20"/>
                <w:szCs w:val="20"/>
              </w:rPr>
              <w:t xml:space="preserve"> CB agreed that this would be possible. </w:t>
            </w:r>
          </w:p>
          <w:p w:rsidR="007002E4" w:rsidRPr="0058779E" w:rsidRDefault="007002E4" w:rsidP="00190F0A">
            <w:pPr>
              <w:tabs>
                <w:tab w:val="left" w:pos="432"/>
              </w:tabs>
              <w:jc w:val="both"/>
              <w:rPr>
                <w:rFonts w:cs="Arial"/>
                <w:sz w:val="20"/>
                <w:szCs w:val="20"/>
              </w:rPr>
            </w:pPr>
          </w:p>
        </w:tc>
        <w:tc>
          <w:tcPr>
            <w:tcW w:w="709" w:type="dxa"/>
          </w:tcPr>
          <w:p w:rsidR="00603CD5" w:rsidRDefault="00603CD5" w:rsidP="00190F0A">
            <w:pPr>
              <w:jc w:val="both"/>
              <w:rPr>
                <w:rFonts w:cs="Arial"/>
                <w:sz w:val="18"/>
                <w:szCs w:val="18"/>
              </w:rPr>
            </w:pPr>
          </w:p>
          <w:p w:rsidR="007002E4" w:rsidRDefault="007002E4" w:rsidP="00190F0A">
            <w:pPr>
              <w:jc w:val="both"/>
              <w:rPr>
                <w:rFonts w:cs="Arial"/>
                <w:sz w:val="18"/>
                <w:szCs w:val="18"/>
              </w:rPr>
            </w:pPr>
          </w:p>
          <w:p w:rsidR="007002E4" w:rsidRDefault="007002E4" w:rsidP="00190F0A">
            <w:pPr>
              <w:jc w:val="both"/>
              <w:rPr>
                <w:rFonts w:cs="Arial"/>
                <w:sz w:val="18"/>
                <w:szCs w:val="18"/>
              </w:rPr>
            </w:pPr>
          </w:p>
          <w:p w:rsidR="007002E4" w:rsidRDefault="007002E4" w:rsidP="00190F0A">
            <w:pPr>
              <w:jc w:val="both"/>
              <w:rPr>
                <w:rFonts w:cs="Arial"/>
                <w:sz w:val="18"/>
                <w:szCs w:val="18"/>
              </w:rPr>
            </w:pPr>
          </w:p>
          <w:p w:rsidR="007002E4" w:rsidRPr="008715C6" w:rsidRDefault="007002E4" w:rsidP="00190F0A">
            <w:pPr>
              <w:jc w:val="both"/>
              <w:rPr>
                <w:rFonts w:cs="Arial"/>
                <w:b/>
                <w:sz w:val="18"/>
                <w:szCs w:val="18"/>
              </w:rPr>
            </w:pPr>
            <w:proofErr w:type="spellStart"/>
            <w:r w:rsidRPr="008715C6">
              <w:rPr>
                <w:rFonts w:cs="Arial"/>
                <w:b/>
                <w:sz w:val="18"/>
                <w:szCs w:val="18"/>
              </w:rPr>
              <w:t>CB</w:t>
            </w:r>
            <w:r w:rsidR="008715C6" w:rsidRPr="008715C6">
              <w:rPr>
                <w:rFonts w:cs="Arial"/>
                <w:b/>
                <w:sz w:val="18"/>
                <w:szCs w:val="18"/>
              </w:rPr>
              <w:t>l</w:t>
            </w:r>
            <w:proofErr w:type="spellEnd"/>
          </w:p>
        </w:tc>
      </w:tr>
      <w:tr w:rsidR="008D5495" w:rsidTr="00190F0A">
        <w:tc>
          <w:tcPr>
            <w:tcW w:w="675" w:type="dxa"/>
          </w:tcPr>
          <w:p w:rsidR="008D5495" w:rsidRPr="00480BCD" w:rsidRDefault="007002E4" w:rsidP="00190F0A">
            <w:pPr>
              <w:pStyle w:val="ListParagraph"/>
              <w:numPr>
                <w:ilvl w:val="0"/>
                <w:numId w:val="7"/>
              </w:numPr>
              <w:tabs>
                <w:tab w:val="left" w:pos="360"/>
              </w:tabs>
              <w:ind w:left="144" w:firstLine="0"/>
              <w:jc w:val="both"/>
              <w:rPr>
                <w:rFonts w:cs="Arial"/>
                <w:b/>
              </w:rPr>
            </w:pPr>
            <w:r>
              <w:rPr>
                <w:rFonts w:cs="Arial"/>
                <w:b/>
              </w:rPr>
              <w:t>C</w:t>
            </w:r>
          </w:p>
        </w:tc>
        <w:tc>
          <w:tcPr>
            <w:tcW w:w="6946" w:type="dxa"/>
          </w:tcPr>
          <w:p w:rsidR="008D5495" w:rsidRDefault="008D5495" w:rsidP="00190F0A">
            <w:pPr>
              <w:tabs>
                <w:tab w:val="left" w:pos="432"/>
              </w:tabs>
              <w:jc w:val="both"/>
              <w:rPr>
                <w:rFonts w:cs="Arial"/>
                <w:b/>
              </w:rPr>
            </w:pPr>
            <w:r>
              <w:rPr>
                <w:rFonts w:cs="Arial"/>
                <w:b/>
              </w:rPr>
              <w:t>CRO data</w:t>
            </w:r>
          </w:p>
          <w:p w:rsidR="008D5495" w:rsidRDefault="008D5495" w:rsidP="00190F0A">
            <w:pPr>
              <w:tabs>
                <w:tab w:val="left" w:pos="432"/>
              </w:tabs>
              <w:jc w:val="both"/>
              <w:rPr>
                <w:rFonts w:cs="Arial"/>
                <w:b/>
              </w:rPr>
            </w:pPr>
          </w:p>
          <w:p w:rsidR="008D5495" w:rsidRDefault="007002E4" w:rsidP="00190F0A">
            <w:pPr>
              <w:tabs>
                <w:tab w:val="left" w:pos="432"/>
              </w:tabs>
              <w:jc w:val="both"/>
              <w:rPr>
                <w:rFonts w:cs="Arial"/>
              </w:rPr>
            </w:pPr>
            <w:r>
              <w:rPr>
                <w:rFonts w:cs="Arial"/>
              </w:rPr>
              <w:t xml:space="preserve">CB explained that this data had come about due to a request for information by CRO on ethical opinion at first review, length of time to respond to provisional opinions by the CRO and length of time it takes the REC to respond to the further information provided. </w:t>
            </w:r>
          </w:p>
          <w:p w:rsidR="007002E4" w:rsidRDefault="007002E4" w:rsidP="00190F0A">
            <w:pPr>
              <w:tabs>
                <w:tab w:val="left" w:pos="432"/>
              </w:tabs>
              <w:jc w:val="both"/>
              <w:rPr>
                <w:rFonts w:cs="Arial"/>
              </w:rPr>
            </w:pPr>
          </w:p>
          <w:p w:rsidR="007002E4" w:rsidRDefault="007002E4" w:rsidP="00190F0A">
            <w:pPr>
              <w:tabs>
                <w:tab w:val="left" w:pos="432"/>
              </w:tabs>
              <w:jc w:val="both"/>
              <w:rPr>
                <w:rFonts w:cs="Arial"/>
              </w:rPr>
            </w:pPr>
            <w:r>
              <w:rPr>
                <w:rFonts w:cs="Arial"/>
              </w:rPr>
              <w:t>All CROs who are part of the Phase 1 Advisory group were asked whether they could be identified. All responded t</w:t>
            </w:r>
            <w:r w:rsidR="00B82BF2">
              <w:rPr>
                <w:rFonts w:cs="Arial"/>
              </w:rPr>
              <w:t>hat they</w:t>
            </w:r>
            <w:r>
              <w:rPr>
                <w:rFonts w:cs="Arial"/>
              </w:rPr>
              <w:t xml:space="preserve"> accept identification but unfortunately the paper had been finalised prior to receiving confirmation from Richmond Pharmacology. Richmond Pharmacology </w:t>
            </w:r>
            <w:proofErr w:type="gramStart"/>
            <w:r>
              <w:rPr>
                <w:rFonts w:cs="Arial"/>
              </w:rPr>
              <w:t>are</w:t>
            </w:r>
            <w:proofErr w:type="gramEnd"/>
            <w:r>
              <w:rPr>
                <w:rFonts w:cs="Arial"/>
              </w:rPr>
              <w:t xml:space="preserve"> CRO12.</w:t>
            </w:r>
          </w:p>
          <w:p w:rsidR="007002E4" w:rsidRDefault="007002E4" w:rsidP="00190F0A">
            <w:pPr>
              <w:tabs>
                <w:tab w:val="left" w:pos="432"/>
              </w:tabs>
              <w:jc w:val="both"/>
              <w:rPr>
                <w:rFonts w:cs="Arial"/>
              </w:rPr>
            </w:pPr>
          </w:p>
          <w:p w:rsidR="007002E4" w:rsidRDefault="007002E4" w:rsidP="00190F0A">
            <w:pPr>
              <w:tabs>
                <w:tab w:val="left" w:pos="432"/>
              </w:tabs>
              <w:jc w:val="both"/>
              <w:rPr>
                <w:rFonts w:cs="Arial"/>
              </w:rPr>
            </w:pPr>
            <w:r>
              <w:rPr>
                <w:rFonts w:cs="Arial"/>
              </w:rPr>
              <w:t xml:space="preserve">CROs who are not part of the group were not identified by name </w:t>
            </w:r>
            <w:proofErr w:type="gramStart"/>
            <w:r>
              <w:rPr>
                <w:rFonts w:cs="Arial"/>
              </w:rPr>
              <w:t>but  allocated</w:t>
            </w:r>
            <w:proofErr w:type="gramEnd"/>
            <w:r>
              <w:rPr>
                <w:rFonts w:cs="Arial"/>
              </w:rPr>
              <w:t xml:space="preserve"> a code. </w:t>
            </w:r>
          </w:p>
          <w:p w:rsidR="007002E4" w:rsidRDefault="007002E4" w:rsidP="00190F0A">
            <w:pPr>
              <w:tabs>
                <w:tab w:val="left" w:pos="432"/>
              </w:tabs>
              <w:jc w:val="both"/>
              <w:rPr>
                <w:rFonts w:cs="Arial"/>
              </w:rPr>
            </w:pPr>
          </w:p>
          <w:p w:rsidR="007002E4" w:rsidRDefault="007002E4" w:rsidP="00190F0A">
            <w:pPr>
              <w:tabs>
                <w:tab w:val="left" w:pos="432"/>
              </w:tabs>
              <w:jc w:val="both"/>
              <w:rPr>
                <w:rFonts w:cs="Arial"/>
              </w:rPr>
            </w:pPr>
            <w:r>
              <w:rPr>
                <w:rFonts w:cs="Arial"/>
              </w:rPr>
              <w:t>The group agree</w:t>
            </w:r>
            <w:r w:rsidR="00B82BF2">
              <w:rPr>
                <w:rFonts w:cs="Arial"/>
              </w:rPr>
              <w:t>d</w:t>
            </w:r>
            <w:r>
              <w:rPr>
                <w:rFonts w:cs="Arial"/>
              </w:rPr>
              <w:t xml:space="preserve"> that this was interesting information. CB asked that if there were any specific requests for data reports at future meetings to let her know. </w:t>
            </w:r>
          </w:p>
          <w:p w:rsidR="007002E4" w:rsidRPr="0058779E" w:rsidRDefault="007002E4" w:rsidP="00190F0A">
            <w:pPr>
              <w:tabs>
                <w:tab w:val="left" w:pos="432"/>
              </w:tabs>
              <w:jc w:val="both"/>
              <w:rPr>
                <w:rFonts w:cs="Arial"/>
              </w:rPr>
            </w:pPr>
          </w:p>
        </w:tc>
        <w:tc>
          <w:tcPr>
            <w:tcW w:w="709" w:type="dxa"/>
          </w:tcPr>
          <w:p w:rsidR="008D5495" w:rsidRDefault="008D5495" w:rsidP="00190F0A">
            <w:pPr>
              <w:jc w:val="both"/>
              <w:rPr>
                <w:rFonts w:cs="Arial"/>
                <w:sz w:val="18"/>
                <w:szCs w:val="18"/>
              </w:rPr>
            </w:pPr>
          </w:p>
        </w:tc>
      </w:tr>
      <w:tr w:rsidR="00712276" w:rsidTr="00190F0A">
        <w:tc>
          <w:tcPr>
            <w:tcW w:w="675" w:type="dxa"/>
          </w:tcPr>
          <w:p w:rsidR="00712276" w:rsidRPr="00480BCD" w:rsidRDefault="00712276" w:rsidP="00190F0A">
            <w:pPr>
              <w:pStyle w:val="ListParagraph"/>
              <w:numPr>
                <w:ilvl w:val="0"/>
                <w:numId w:val="7"/>
              </w:numPr>
              <w:tabs>
                <w:tab w:val="left" w:pos="360"/>
              </w:tabs>
              <w:ind w:left="144" w:firstLine="0"/>
              <w:jc w:val="both"/>
              <w:rPr>
                <w:rFonts w:cs="Arial"/>
                <w:b/>
              </w:rPr>
            </w:pPr>
          </w:p>
        </w:tc>
        <w:tc>
          <w:tcPr>
            <w:tcW w:w="6946" w:type="dxa"/>
          </w:tcPr>
          <w:p w:rsidR="00712276" w:rsidRDefault="00712276" w:rsidP="00190F0A">
            <w:pPr>
              <w:tabs>
                <w:tab w:val="left" w:pos="432"/>
              </w:tabs>
              <w:jc w:val="both"/>
              <w:rPr>
                <w:rFonts w:cs="Arial"/>
                <w:b/>
              </w:rPr>
            </w:pPr>
            <w:r w:rsidRPr="00814A0B">
              <w:rPr>
                <w:rFonts w:cs="Arial"/>
                <w:b/>
              </w:rPr>
              <w:t>Any other business</w:t>
            </w:r>
          </w:p>
          <w:p w:rsidR="005B5AF6" w:rsidRDefault="005B5AF6" w:rsidP="00190F0A">
            <w:pPr>
              <w:jc w:val="both"/>
              <w:rPr>
                <w:rFonts w:cs="Arial"/>
                <w:b/>
              </w:rPr>
            </w:pPr>
          </w:p>
          <w:p w:rsidR="00C86049" w:rsidRDefault="00C86049" w:rsidP="00190F0A">
            <w:pPr>
              <w:pStyle w:val="ListParagraph"/>
              <w:numPr>
                <w:ilvl w:val="1"/>
                <w:numId w:val="7"/>
              </w:numPr>
              <w:jc w:val="both"/>
              <w:rPr>
                <w:rFonts w:cs="Arial"/>
              </w:rPr>
            </w:pPr>
            <w:r w:rsidRPr="008D5495">
              <w:rPr>
                <w:rFonts w:cs="Arial"/>
              </w:rPr>
              <w:t xml:space="preserve">Request from </w:t>
            </w:r>
            <w:proofErr w:type="spellStart"/>
            <w:r w:rsidRPr="008D5495">
              <w:rPr>
                <w:rFonts w:cs="Arial"/>
              </w:rPr>
              <w:t>Celerion</w:t>
            </w:r>
            <w:proofErr w:type="spellEnd"/>
            <w:r w:rsidRPr="008D5495">
              <w:rPr>
                <w:rFonts w:cs="Arial"/>
              </w:rPr>
              <w:t xml:space="preserve"> to discuss SOPs for complaints handling in regard to informing the REC</w:t>
            </w:r>
          </w:p>
          <w:p w:rsidR="00EC5DF2" w:rsidRPr="008D5495" w:rsidRDefault="00EC5DF2" w:rsidP="00190F0A">
            <w:pPr>
              <w:pStyle w:val="ListParagraph"/>
              <w:ind w:left="795"/>
              <w:jc w:val="both"/>
              <w:rPr>
                <w:rFonts w:cs="Arial"/>
              </w:rPr>
            </w:pPr>
          </w:p>
          <w:p w:rsidR="001730A8" w:rsidRDefault="001730A8" w:rsidP="00190F0A">
            <w:pPr>
              <w:jc w:val="both"/>
              <w:rPr>
                <w:rFonts w:cs="Arial"/>
              </w:rPr>
            </w:pPr>
            <w:r w:rsidRPr="001730A8">
              <w:rPr>
                <w:rFonts w:cs="Arial"/>
              </w:rPr>
              <w:t>I</w:t>
            </w:r>
            <w:r w:rsidR="00EC5DF2">
              <w:rPr>
                <w:rFonts w:cs="Arial"/>
              </w:rPr>
              <w:t>t was agreed that i</w:t>
            </w:r>
            <w:r w:rsidRPr="001730A8">
              <w:rPr>
                <w:rFonts w:cs="Arial"/>
              </w:rPr>
              <w:t xml:space="preserve">f </w:t>
            </w:r>
            <w:r w:rsidR="00EC5DF2">
              <w:rPr>
                <w:rFonts w:cs="Arial"/>
              </w:rPr>
              <w:t xml:space="preserve">the </w:t>
            </w:r>
            <w:r w:rsidRPr="001730A8">
              <w:rPr>
                <w:rFonts w:cs="Arial"/>
              </w:rPr>
              <w:t>complaint</w:t>
            </w:r>
            <w:r w:rsidR="00EC5DF2">
              <w:rPr>
                <w:rFonts w:cs="Arial"/>
              </w:rPr>
              <w:t xml:space="preserve"> is</w:t>
            </w:r>
            <w:r w:rsidRPr="001730A8">
              <w:rPr>
                <w:rFonts w:cs="Arial"/>
              </w:rPr>
              <w:t xml:space="preserve"> resolved satisfactorily</w:t>
            </w:r>
            <w:r w:rsidR="00EC5DF2">
              <w:rPr>
                <w:rFonts w:cs="Arial"/>
              </w:rPr>
              <w:t>,</w:t>
            </w:r>
            <w:r w:rsidRPr="001730A8">
              <w:rPr>
                <w:rFonts w:cs="Arial"/>
              </w:rPr>
              <w:t xml:space="preserve"> then</w:t>
            </w:r>
            <w:r w:rsidR="00EC5DF2">
              <w:rPr>
                <w:rFonts w:cs="Arial"/>
              </w:rPr>
              <w:t xml:space="preserve"> the REC </w:t>
            </w:r>
            <w:r w:rsidRPr="001730A8">
              <w:rPr>
                <w:rFonts w:cs="Arial"/>
              </w:rPr>
              <w:t>don’t need to know</w:t>
            </w:r>
            <w:r w:rsidR="00EC5DF2">
              <w:rPr>
                <w:rFonts w:cs="Arial"/>
              </w:rPr>
              <w:t xml:space="preserve"> about it</w:t>
            </w:r>
            <w:r w:rsidRPr="001730A8">
              <w:rPr>
                <w:rFonts w:cs="Arial"/>
              </w:rPr>
              <w:t xml:space="preserve">. </w:t>
            </w:r>
            <w:r w:rsidR="00EC5DF2">
              <w:rPr>
                <w:rFonts w:cs="Arial"/>
              </w:rPr>
              <w:t xml:space="preserve">The </w:t>
            </w:r>
            <w:r w:rsidRPr="001730A8">
              <w:rPr>
                <w:rFonts w:cs="Arial"/>
              </w:rPr>
              <w:t xml:space="preserve">REC </w:t>
            </w:r>
            <w:proofErr w:type="gramStart"/>
            <w:r w:rsidRPr="001730A8">
              <w:rPr>
                <w:rFonts w:cs="Arial"/>
              </w:rPr>
              <w:t>don’t</w:t>
            </w:r>
            <w:proofErr w:type="gramEnd"/>
            <w:r w:rsidRPr="001730A8">
              <w:rPr>
                <w:rFonts w:cs="Arial"/>
              </w:rPr>
              <w:t xml:space="preserve"> have a role in this </w:t>
            </w:r>
            <w:r>
              <w:rPr>
                <w:rFonts w:cs="Arial"/>
              </w:rPr>
              <w:t>process and may give false hope</w:t>
            </w:r>
            <w:r w:rsidR="00EC5DF2">
              <w:rPr>
                <w:rFonts w:cs="Arial"/>
              </w:rPr>
              <w:t xml:space="preserve"> to the complainant</w:t>
            </w:r>
            <w:r>
              <w:rPr>
                <w:rFonts w:cs="Arial"/>
              </w:rPr>
              <w:t xml:space="preserve"> that </w:t>
            </w:r>
            <w:r w:rsidR="00EC5DF2">
              <w:rPr>
                <w:rFonts w:cs="Arial"/>
              </w:rPr>
              <w:t xml:space="preserve">they can reach a resolution. RT suggested that any further discussion regarding this should be outside of this meeting. </w:t>
            </w:r>
            <w:r>
              <w:rPr>
                <w:rFonts w:cs="Arial"/>
              </w:rPr>
              <w:t xml:space="preserve"> </w:t>
            </w:r>
          </w:p>
          <w:p w:rsidR="00987DF6" w:rsidRDefault="00987DF6" w:rsidP="00190F0A">
            <w:pPr>
              <w:jc w:val="both"/>
              <w:rPr>
                <w:rFonts w:cs="Arial"/>
              </w:rPr>
            </w:pPr>
          </w:p>
          <w:p w:rsidR="00EC5DF2" w:rsidRDefault="00987DF6" w:rsidP="00190F0A">
            <w:pPr>
              <w:jc w:val="both"/>
              <w:rPr>
                <w:rFonts w:cs="Arial"/>
              </w:rPr>
            </w:pPr>
            <w:r>
              <w:rPr>
                <w:rFonts w:cs="Arial"/>
              </w:rPr>
              <w:t xml:space="preserve">JK </w:t>
            </w:r>
            <w:proofErr w:type="spellStart"/>
            <w:r w:rsidR="00EC5DF2">
              <w:rPr>
                <w:rFonts w:cs="Arial"/>
              </w:rPr>
              <w:t>fedback</w:t>
            </w:r>
            <w:proofErr w:type="spellEnd"/>
            <w:r w:rsidR="00EC5DF2">
              <w:rPr>
                <w:rFonts w:cs="Arial"/>
              </w:rPr>
              <w:t xml:space="preserve"> that the HRA are currently developing a new Research Ethics D</w:t>
            </w:r>
            <w:r>
              <w:rPr>
                <w:rFonts w:cs="Arial"/>
              </w:rPr>
              <w:t>atabase</w:t>
            </w:r>
            <w:r w:rsidR="00EC5DF2">
              <w:rPr>
                <w:rFonts w:cs="Arial"/>
              </w:rPr>
              <w:t xml:space="preserve"> which is known as HARP</w:t>
            </w:r>
            <w:r>
              <w:rPr>
                <w:rFonts w:cs="Arial"/>
              </w:rPr>
              <w:t xml:space="preserve">. </w:t>
            </w:r>
            <w:r w:rsidR="00EC5DF2">
              <w:rPr>
                <w:rFonts w:cs="Arial"/>
              </w:rPr>
              <w:t>Following on from this, there will be a centralised booking process from April 2014 onwards. Phase 1 studies can continue to be booked directly with the REC Manager for the required REC. The new process will require e</w:t>
            </w:r>
            <w:r>
              <w:rPr>
                <w:rFonts w:cs="Arial"/>
              </w:rPr>
              <w:t xml:space="preserve">lectronic </w:t>
            </w:r>
            <w:r w:rsidR="00EC5DF2">
              <w:rPr>
                <w:rFonts w:cs="Arial"/>
              </w:rPr>
              <w:t>submission of the IRAS form and all supporting documentation</w:t>
            </w:r>
            <w:r>
              <w:rPr>
                <w:rFonts w:cs="Arial"/>
              </w:rPr>
              <w:t xml:space="preserve"> so electronic authorisation </w:t>
            </w:r>
            <w:r w:rsidR="00EC5DF2">
              <w:rPr>
                <w:rFonts w:cs="Arial"/>
              </w:rPr>
              <w:t xml:space="preserve">via IRAS </w:t>
            </w:r>
            <w:r>
              <w:rPr>
                <w:rFonts w:cs="Arial"/>
              </w:rPr>
              <w:t>will be compulsory.</w:t>
            </w:r>
            <w:r w:rsidR="00BB1A5E">
              <w:rPr>
                <w:rFonts w:cs="Arial"/>
              </w:rPr>
              <w:t xml:space="preserve"> </w:t>
            </w:r>
            <w:r w:rsidR="00EC5DF2">
              <w:rPr>
                <w:rFonts w:cs="Arial"/>
              </w:rPr>
              <w:t xml:space="preserve">Wet ink signatures and posted applications will not be accepted after this time. </w:t>
            </w:r>
          </w:p>
          <w:p w:rsidR="00987DF6" w:rsidRDefault="00BB1A5E" w:rsidP="00190F0A">
            <w:pPr>
              <w:jc w:val="both"/>
              <w:rPr>
                <w:rFonts w:cs="Arial"/>
              </w:rPr>
            </w:pPr>
            <w:r>
              <w:rPr>
                <w:rFonts w:cs="Arial"/>
              </w:rPr>
              <w:t xml:space="preserve"> </w:t>
            </w:r>
          </w:p>
          <w:p w:rsidR="00EC5DF2" w:rsidRDefault="00EC5DF2" w:rsidP="00190F0A">
            <w:pPr>
              <w:jc w:val="both"/>
              <w:rPr>
                <w:rFonts w:cs="Arial"/>
              </w:rPr>
            </w:pPr>
            <w:r>
              <w:rPr>
                <w:rFonts w:cs="Arial"/>
              </w:rPr>
              <w:t xml:space="preserve">JK </w:t>
            </w:r>
            <w:proofErr w:type="spellStart"/>
            <w:r>
              <w:rPr>
                <w:rFonts w:cs="Arial"/>
              </w:rPr>
              <w:t>fedback</w:t>
            </w:r>
            <w:proofErr w:type="spellEnd"/>
            <w:r>
              <w:rPr>
                <w:rFonts w:cs="Arial"/>
              </w:rPr>
              <w:t xml:space="preserve"> that after the success of the ‘</w:t>
            </w:r>
            <w:r w:rsidR="00987DF6">
              <w:rPr>
                <w:rFonts w:cs="Arial"/>
              </w:rPr>
              <w:t>Ethics Officer</w:t>
            </w:r>
            <w:r>
              <w:rPr>
                <w:rFonts w:cs="Arial"/>
              </w:rPr>
              <w:t>’ pilot which indicated that pre REC review advice improved the quality of the application when reviewed at the meeting, this is now moving to a live implementation</w:t>
            </w:r>
            <w:r w:rsidR="007909A1">
              <w:rPr>
                <w:rFonts w:cs="Arial"/>
              </w:rPr>
              <w:t xml:space="preserve"> on a pilot basis in the London office.</w:t>
            </w:r>
          </w:p>
          <w:p w:rsidR="00987DF6" w:rsidRDefault="00987DF6" w:rsidP="00190F0A">
            <w:pPr>
              <w:jc w:val="both"/>
              <w:rPr>
                <w:rFonts w:cs="Arial"/>
              </w:rPr>
            </w:pPr>
          </w:p>
          <w:p w:rsidR="00EC5DF2" w:rsidRDefault="00EC5DF2" w:rsidP="00190F0A">
            <w:pPr>
              <w:jc w:val="both"/>
              <w:rPr>
                <w:rFonts w:cs="Arial"/>
              </w:rPr>
            </w:pPr>
            <w:r>
              <w:rPr>
                <w:rFonts w:cs="Arial"/>
              </w:rPr>
              <w:t xml:space="preserve">The </w:t>
            </w:r>
            <w:r w:rsidR="00BB1A5E">
              <w:rPr>
                <w:rFonts w:cs="Arial"/>
              </w:rPr>
              <w:t>HRA</w:t>
            </w:r>
            <w:r>
              <w:rPr>
                <w:rFonts w:cs="Arial"/>
              </w:rPr>
              <w:t xml:space="preserve"> are currently </w:t>
            </w:r>
            <w:proofErr w:type="gramStart"/>
            <w:r>
              <w:rPr>
                <w:rFonts w:cs="Arial"/>
              </w:rPr>
              <w:t>awaiting</w:t>
            </w:r>
            <w:proofErr w:type="gramEnd"/>
            <w:r>
              <w:rPr>
                <w:rFonts w:cs="Arial"/>
              </w:rPr>
              <w:t xml:space="preserve"> for DH to confirm whether funding will be available to support the proposed HRA</w:t>
            </w:r>
            <w:r w:rsidR="00BB1A5E">
              <w:rPr>
                <w:rFonts w:cs="Arial"/>
              </w:rPr>
              <w:t xml:space="preserve"> assessment</w:t>
            </w:r>
            <w:r>
              <w:rPr>
                <w:rFonts w:cs="Arial"/>
              </w:rPr>
              <w:t xml:space="preserve">. A role of ‘application manager’ will be set up in the London REC Centre to manage complex applications with a view to rolling out the function. </w:t>
            </w:r>
          </w:p>
          <w:p w:rsidR="00EC5DF2" w:rsidRDefault="00EC5DF2" w:rsidP="00190F0A">
            <w:pPr>
              <w:jc w:val="both"/>
              <w:rPr>
                <w:rFonts w:cs="Arial"/>
              </w:rPr>
            </w:pPr>
          </w:p>
          <w:p w:rsidR="00BB1A5E" w:rsidRDefault="00BB1A5E" w:rsidP="00190F0A">
            <w:pPr>
              <w:jc w:val="both"/>
              <w:rPr>
                <w:rFonts w:cs="Arial"/>
              </w:rPr>
            </w:pPr>
          </w:p>
          <w:p w:rsidR="00EC5DF2" w:rsidRDefault="00F204D9" w:rsidP="00190F0A">
            <w:pPr>
              <w:jc w:val="both"/>
              <w:rPr>
                <w:rFonts w:cs="Arial"/>
              </w:rPr>
            </w:pPr>
            <w:r>
              <w:rPr>
                <w:rFonts w:cs="Arial"/>
              </w:rPr>
              <w:t>JK informed the group that there is currently a consultation process ongoing with the London REC staff as it has been decided to reduce the number of REC being administ</w:t>
            </w:r>
            <w:r w:rsidR="00B82BF2">
              <w:rPr>
                <w:rFonts w:cs="Arial"/>
              </w:rPr>
              <w:t>ered</w:t>
            </w:r>
            <w:r>
              <w:rPr>
                <w:rFonts w:cs="Arial"/>
              </w:rPr>
              <w:t xml:space="preserve"> from the Centre by half, from 12 to 6. The RECs which do not continue to be administ</w:t>
            </w:r>
            <w:r w:rsidR="00AB2352">
              <w:rPr>
                <w:rFonts w:cs="Arial"/>
              </w:rPr>
              <w:t>e</w:t>
            </w:r>
            <w:r>
              <w:rPr>
                <w:rFonts w:cs="Arial"/>
              </w:rPr>
              <w:t>red from this Centre will be transferred to the Nottingham Centre. This will result in staff redundancies</w:t>
            </w:r>
            <w:r w:rsidR="00AB2352">
              <w:rPr>
                <w:rFonts w:cs="Arial"/>
              </w:rPr>
              <w:t>.</w:t>
            </w:r>
            <w:r>
              <w:rPr>
                <w:rFonts w:cs="Arial"/>
              </w:rPr>
              <w:t xml:space="preserve"> JK asked those present to be mindful of this over the next two months as it will be a difficult time for all staff affected. </w:t>
            </w:r>
          </w:p>
          <w:p w:rsidR="008D5495" w:rsidRPr="00EA6009" w:rsidRDefault="00B11C78" w:rsidP="00190F0A">
            <w:pPr>
              <w:jc w:val="both"/>
              <w:rPr>
                <w:rFonts w:cs="Arial"/>
                <w:b/>
              </w:rPr>
            </w:pPr>
            <w:r>
              <w:rPr>
                <w:rFonts w:cs="Arial"/>
                <w:b/>
              </w:rPr>
              <w:t xml:space="preserve"> </w:t>
            </w:r>
          </w:p>
        </w:tc>
        <w:tc>
          <w:tcPr>
            <w:tcW w:w="709" w:type="dxa"/>
          </w:tcPr>
          <w:p w:rsidR="00712276" w:rsidRDefault="00712276" w:rsidP="00190F0A">
            <w:pPr>
              <w:jc w:val="both"/>
              <w:rPr>
                <w:rFonts w:cs="Arial"/>
                <w:sz w:val="18"/>
                <w:szCs w:val="18"/>
              </w:rPr>
            </w:pPr>
          </w:p>
          <w:p w:rsidR="005B5AF6" w:rsidRDefault="005B5AF6" w:rsidP="00190F0A">
            <w:pPr>
              <w:jc w:val="both"/>
              <w:rPr>
                <w:rFonts w:cs="Arial"/>
                <w:sz w:val="18"/>
                <w:szCs w:val="18"/>
              </w:rPr>
            </w:pPr>
          </w:p>
          <w:p w:rsidR="00C86049" w:rsidRDefault="00C86049" w:rsidP="00190F0A">
            <w:pPr>
              <w:jc w:val="both"/>
              <w:rPr>
                <w:rFonts w:cs="Arial"/>
                <w:sz w:val="18"/>
                <w:szCs w:val="18"/>
              </w:rPr>
            </w:pPr>
          </w:p>
          <w:p w:rsidR="00C86049" w:rsidRDefault="00C86049" w:rsidP="00190F0A">
            <w:pPr>
              <w:jc w:val="both"/>
              <w:rPr>
                <w:rFonts w:cs="Arial"/>
                <w:sz w:val="18"/>
                <w:szCs w:val="18"/>
              </w:rPr>
            </w:pPr>
          </w:p>
          <w:p w:rsidR="005B5AF6" w:rsidRPr="00F549B5" w:rsidRDefault="005B5AF6" w:rsidP="00190F0A">
            <w:pPr>
              <w:jc w:val="both"/>
              <w:rPr>
                <w:rFonts w:cs="Arial"/>
                <w:sz w:val="18"/>
                <w:szCs w:val="18"/>
              </w:rPr>
            </w:pPr>
          </w:p>
        </w:tc>
      </w:tr>
      <w:tr w:rsidR="00712276" w:rsidTr="00190F0A">
        <w:trPr>
          <w:trHeight w:val="126"/>
        </w:trPr>
        <w:tc>
          <w:tcPr>
            <w:tcW w:w="675" w:type="dxa"/>
          </w:tcPr>
          <w:p w:rsidR="00712276" w:rsidRPr="00480BCD" w:rsidRDefault="00712276" w:rsidP="00190F0A">
            <w:pPr>
              <w:pStyle w:val="ListParagraph"/>
              <w:numPr>
                <w:ilvl w:val="0"/>
                <w:numId w:val="16"/>
              </w:numPr>
              <w:tabs>
                <w:tab w:val="left" w:pos="360"/>
              </w:tabs>
              <w:ind w:left="144" w:firstLine="0"/>
              <w:jc w:val="both"/>
              <w:rPr>
                <w:rFonts w:cs="Arial"/>
                <w:b/>
              </w:rPr>
            </w:pPr>
          </w:p>
        </w:tc>
        <w:tc>
          <w:tcPr>
            <w:tcW w:w="6946" w:type="dxa"/>
          </w:tcPr>
          <w:p w:rsidR="00712276" w:rsidRDefault="00712276" w:rsidP="00190F0A">
            <w:pPr>
              <w:tabs>
                <w:tab w:val="left" w:pos="432"/>
              </w:tabs>
              <w:jc w:val="both"/>
              <w:rPr>
                <w:rFonts w:cs="Arial"/>
                <w:b/>
              </w:rPr>
            </w:pPr>
            <w:r w:rsidRPr="00814A0B">
              <w:rPr>
                <w:rFonts w:cs="Arial"/>
                <w:b/>
              </w:rPr>
              <w:t>Date of Next meeting</w:t>
            </w:r>
            <w:r w:rsidR="007F1FCA">
              <w:rPr>
                <w:rFonts w:cs="Arial"/>
                <w:b/>
              </w:rPr>
              <w:t xml:space="preserve"> </w:t>
            </w:r>
          </w:p>
          <w:p w:rsidR="00145AE5" w:rsidRDefault="00145AE5" w:rsidP="00190F0A">
            <w:pPr>
              <w:tabs>
                <w:tab w:val="left" w:pos="432"/>
              </w:tabs>
              <w:jc w:val="both"/>
              <w:rPr>
                <w:rFonts w:cs="Arial"/>
                <w:b/>
              </w:rPr>
            </w:pPr>
          </w:p>
          <w:p w:rsidR="00242947" w:rsidRPr="00242947" w:rsidRDefault="00242947" w:rsidP="00190F0A">
            <w:pPr>
              <w:tabs>
                <w:tab w:val="left" w:pos="432"/>
              </w:tabs>
              <w:jc w:val="both"/>
              <w:rPr>
                <w:rFonts w:cs="Arial"/>
              </w:rPr>
            </w:pPr>
            <w:r w:rsidRPr="00242947">
              <w:rPr>
                <w:rFonts w:cs="Arial"/>
              </w:rPr>
              <w:t>17 July 2014 - 11:00-14:00 - Lunch will be available after the meeting</w:t>
            </w:r>
          </w:p>
          <w:p w:rsidR="00A93FA5" w:rsidRPr="007F1FCA" w:rsidRDefault="00A93FA5" w:rsidP="00190F0A">
            <w:pPr>
              <w:tabs>
                <w:tab w:val="left" w:pos="432"/>
              </w:tabs>
              <w:jc w:val="both"/>
              <w:rPr>
                <w:rFonts w:cs="Arial"/>
                <w:b/>
              </w:rPr>
            </w:pPr>
          </w:p>
        </w:tc>
        <w:tc>
          <w:tcPr>
            <w:tcW w:w="709" w:type="dxa"/>
          </w:tcPr>
          <w:p w:rsidR="00712276" w:rsidRPr="00F549B5" w:rsidRDefault="00712276" w:rsidP="00190F0A">
            <w:pPr>
              <w:jc w:val="both"/>
              <w:rPr>
                <w:rFonts w:cs="Arial"/>
                <w:sz w:val="18"/>
                <w:szCs w:val="18"/>
              </w:rPr>
            </w:pPr>
          </w:p>
        </w:tc>
      </w:tr>
    </w:tbl>
    <w:p w:rsidR="00567491" w:rsidRDefault="00567491" w:rsidP="00190F0A">
      <w:pPr>
        <w:jc w:val="both"/>
      </w:pPr>
    </w:p>
    <w:sectPr w:rsidR="00567491" w:rsidSect="00AB0A6F">
      <w:headerReference w:type="even" r:id="rId10"/>
      <w:headerReference w:type="default" r:id="rId11"/>
      <w:footerReference w:type="default" r:id="rId12"/>
      <w:headerReference w:type="first" r:id="rId13"/>
      <w:footerReference w:type="first" r:id="rId14"/>
      <w:pgSz w:w="11906" w:h="16838"/>
      <w:pgMar w:top="1166" w:right="1440" w:bottom="1276"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B68" w:rsidRDefault="00705B68" w:rsidP="006B3203">
      <w:r>
        <w:separator/>
      </w:r>
    </w:p>
  </w:endnote>
  <w:endnote w:type="continuationSeparator" w:id="0">
    <w:p w:rsidR="00705B68" w:rsidRDefault="00705B68"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13" w:rsidRPr="004617DB" w:rsidRDefault="00BC6A13" w:rsidP="00137071">
    <w:pPr>
      <w:pStyle w:val="Footer"/>
      <w:tabs>
        <w:tab w:val="clear" w:pos="9026"/>
        <w:tab w:val="right" w:pos="9270"/>
      </w:tabs>
      <w:rPr>
        <w:sz w:val="18"/>
        <w:szCs w:val="18"/>
      </w:rPr>
    </w:pPr>
    <w:r>
      <w:rPr>
        <w:sz w:val="18"/>
        <w:szCs w:val="18"/>
      </w:rPr>
      <w:t>Phase 1 Advisory Group meeting minutes 6/2/2014 V1.</w:t>
    </w:r>
    <w:r w:rsidR="00242947">
      <w:rPr>
        <w:sz w:val="18"/>
        <w:szCs w:val="18"/>
      </w:rPr>
      <w:t>2</w:t>
    </w:r>
    <w:r>
      <w:rPr>
        <w:sz w:val="18"/>
        <w:szCs w:val="18"/>
      </w:rPr>
      <w:tab/>
    </w:r>
    <w:r>
      <w:rPr>
        <w:sz w:val="18"/>
        <w:szCs w:val="18"/>
      </w:rPr>
      <w:tab/>
    </w:r>
    <w:r w:rsidRPr="00480BCD">
      <w:rPr>
        <w:sz w:val="18"/>
        <w:szCs w:val="18"/>
      </w:rPr>
      <w:t xml:space="preserve">Page | </w:t>
    </w:r>
    <w:r w:rsidR="002446ED" w:rsidRPr="00480BCD">
      <w:rPr>
        <w:sz w:val="18"/>
        <w:szCs w:val="18"/>
      </w:rPr>
      <w:fldChar w:fldCharType="begin"/>
    </w:r>
    <w:r w:rsidRPr="00480BCD">
      <w:rPr>
        <w:sz w:val="18"/>
        <w:szCs w:val="18"/>
      </w:rPr>
      <w:instrText xml:space="preserve"> PAGE   \* MERGEFORMAT </w:instrText>
    </w:r>
    <w:r w:rsidR="002446ED" w:rsidRPr="00480BCD">
      <w:rPr>
        <w:sz w:val="18"/>
        <w:szCs w:val="18"/>
      </w:rPr>
      <w:fldChar w:fldCharType="separate"/>
    </w:r>
    <w:r w:rsidR="001A154E">
      <w:rPr>
        <w:noProof/>
        <w:sz w:val="18"/>
        <w:szCs w:val="18"/>
      </w:rPr>
      <w:t>14</w:t>
    </w:r>
    <w:r w:rsidR="002446ED" w:rsidRPr="00480BCD">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13" w:rsidRPr="004617DB" w:rsidRDefault="00BC6A13" w:rsidP="00480BCD">
    <w:pPr>
      <w:pStyle w:val="Footer"/>
      <w:tabs>
        <w:tab w:val="clear" w:pos="9026"/>
        <w:tab w:val="right" w:pos="9270"/>
      </w:tabs>
      <w:rPr>
        <w:sz w:val="18"/>
        <w:szCs w:val="18"/>
      </w:rPr>
    </w:pPr>
    <w:r>
      <w:rPr>
        <w:sz w:val="18"/>
        <w:szCs w:val="18"/>
      </w:rPr>
      <w:t>Phase 1 Advisory Group meeting minutes 6/2/2014 V 1.</w:t>
    </w:r>
    <w:r w:rsidR="00242947">
      <w:rPr>
        <w:sz w:val="18"/>
        <w:szCs w:val="18"/>
      </w:rPr>
      <w:t>2</w:t>
    </w:r>
    <w:r>
      <w:rPr>
        <w:sz w:val="18"/>
        <w:szCs w:val="18"/>
      </w:rPr>
      <w:tab/>
    </w:r>
    <w:r>
      <w:rPr>
        <w:sz w:val="18"/>
        <w:szCs w:val="18"/>
      </w:rPr>
      <w:tab/>
    </w:r>
    <w:r w:rsidRPr="00480BCD">
      <w:rPr>
        <w:sz w:val="18"/>
        <w:szCs w:val="18"/>
      </w:rPr>
      <w:t xml:space="preserve">Page | </w:t>
    </w:r>
    <w:r w:rsidR="002446ED" w:rsidRPr="00480BCD">
      <w:rPr>
        <w:sz w:val="18"/>
        <w:szCs w:val="18"/>
      </w:rPr>
      <w:fldChar w:fldCharType="begin"/>
    </w:r>
    <w:r w:rsidRPr="00480BCD">
      <w:rPr>
        <w:sz w:val="18"/>
        <w:szCs w:val="18"/>
      </w:rPr>
      <w:instrText xml:space="preserve"> PAGE   \* MERGEFORMAT </w:instrText>
    </w:r>
    <w:r w:rsidR="002446ED" w:rsidRPr="00480BCD">
      <w:rPr>
        <w:sz w:val="18"/>
        <w:szCs w:val="18"/>
      </w:rPr>
      <w:fldChar w:fldCharType="separate"/>
    </w:r>
    <w:r w:rsidR="001A154E">
      <w:rPr>
        <w:noProof/>
        <w:sz w:val="18"/>
        <w:szCs w:val="18"/>
      </w:rPr>
      <w:t>1</w:t>
    </w:r>
    <w:r w:rsidR="002446ED" w:rsidRPr="00480BCD">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B68" w:rsidRDefault="00705B68" w:rsidP="006B3203">
      <w:r>
        <w:separator/>
      </w:r>
    </w:p>
  </w:footnote>
  <w:footnote w:type="continuationSeparator" w:id="0">
    <w:p w:rsidR="00705B68" w:rsidRDefault="00705B68"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DB" w:rsidRDefault="00705B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643359" o:spid="_x0000_s2050" type="#_x0000_t136" style="position:absolute;margin-left:0;margin-top:0;width:559.8pt;height:76.3pt;rotation:315;z-index:-251655168;mso-position-horizontal:center;mso-position-horizontal-relative:margin;mso-position-vertical:center;mso-position-vertical-relative:margin" o:allowincell="f" fillcolor="silver" stroked="f">
          <v:fill opacity=".5"/>
          <v:textpath style="font-family:&quot;Calibri&quot;;font-size:1pt" string="Management in Confiden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13" w:rsidRDefault="00705B68" w:rsidP="004617DB">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643360" o:spid="_x0000_s2051" type="#_x0000_t136" style="position:absolute;left:0;text-align:left;margin-left:0;margin-top:0;width:559.8pt;height:76.3pt;rotation:315;z-index:-251653120;mso-position-horizontal:center;mso-position-horizontal-relative:margin;mso-position-vertical:center;mso-position-vertical-relative:margin" o:allowincell="f" fillcolor="silver" stroked="f">
          <v:fill opacity=".5"/>
          <v:textpath style="font-family:&quot;Calibri&quot;;font-size:1pt" string="Management in Confidenc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13" w:rsidRDefault="00705B68" w:rsidP="00567491">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643358" o:spid="_x0000_s2049" type="#_x0000_t136" style="position:absolute;left:0;text-align:left;margin-left:0;margin-top:0;width:559.8pt;height:76.3pt;rotation:315;z-index:-251657216;mso-position-horizontal:center;mso-position-horizontal-relative:margin;mso-position-vertical:center;mso-position-vertical-relative:margin" o:allowincell="f" fillcolor="silver" stroked="f">
          <v:fill opacity=".5"/>
          <v:textpath style="font-family:&quot;Calibri&quot;;font-size:1pt" string="Management in Confidence"/>
          <w10:wrap anchorx="margin" anchory="margin"/>
        </v:shape>
      </w:pict>
    </w:r>
  </w:p>
  <w:p w:rsidR="00BC6A13" w:rsidRDefault="00BC6A13" w:rsidP="0056749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20EC"/>
    <w:multiLevelType w:val="multilevel"/>
    <w:tmpl w:val="79FEA058"/>
    <w:lvl w:ilvl="0">
      <w:start w:val="1"/>
      <w:numFmt w:val="decimal"/>
      <w:lvlText w:val="%1."/>
      <w:lvlJc w:val="left"/>
      <w:pPr>
        <w:ind w:left="36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CCA4DF3"/>
    <w:multiLevelType w:val="hybridMultilevel"/>
    <w:tmpl w:val="8BDAC4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58B222E"/>
    <w:multiLevelType w:val="hybridMultilevel"/>
    <w:tmpl w:val="0624FC2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7595E46"/>
    <w:multiLevelType w:val="hybridMultilevel"/>
    <w:tmpl w:val="B8CC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926177"/>
    <w:multiLevelType w:val="hybridMultilevel"/>
    <w:tmpl w:val="A7503E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46D157A"/>
    <w:multiLevelType w:val="hybridMultilevel"/>
    <w:tmpl w:val="F084A5B2"/>
    <w:lvl w:ilvl="0" w:tplc="D13EF836">
      <w:start w:val="1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A170F0"/>
    <w:multiLevelType w:val="hybridMultilevel"/>
    <w:tmpl w:val="DAA6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03073A"/>
    <w:multiLevelType w:val="hybridMultilevel"/>
    <w:tmpl w:val="5BCE6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80A4175"/>
    <w:multiLevelType w:val="hybridMultilevel"/>
    <w:tmpl w:val="B8DC89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B383434"/>
    <w:multiLevelType w:val="hybridMultilevel"/>
    <w:tmpl w:val="B57282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B80E9E"/>
    <w:multiLevelType w:val="hybridMultilevel"/>
    <w:tmpl w:val="BD969870"/>
    <w:lvl w:ilvl="0" w:tplc="DF6CAD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6F4B10"/>
    <w:multiLevelType w:val="hybridMultilevel"/>
    <w:tmpl w:val="DCAA0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E57363"/>
    <w:multiLevelType w:val="hybridMultilevel"/>
    <w:tmpl w:val="74A8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957828"/>
    <w:multiLevelType w:val="hybridMultilevel"/>
    <w:tmpl w:val="D7184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3B26EA"/>
    <w:multiLevelType w:val="hybridMultilevel"/>
    <w:tmpl w:val="D358669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5FF17685"/>
    <w:multiLevelType w:val="hybridMultilevel"/>
    <w:tmpl w:val="2CC4CD5C"/>
    <w:lvl w:ilvl="0" w:tplc="228E20F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701943"/>
    <w:multiLevelType w:val="hybridMultilevel"/>
    <w:tmpl w:val="9A9A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952878"/>
    <w:multiLevelType w:val="hybridMultilevel"/>
    <w:tmpl w:val="D2D4AEB8"/>
    <w:lvl w:ilvl="0" w:tplc="F3D02D9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1"/>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13"/>
  </w:num>
  <w:num w:numId="12">
    <w:abstractNumId w:val="8"/>
  </w:num>
  <w:num w:numId="13">
    <w:abstractNumId w:val="1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6"/>
  </w:num>
  <w:num w:numId="17">
    <w:abstractNumId w:val="11"/>
  </w:num>
  <w:num w:numId="18">
    <w:abstractNumId w:val="5"/>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24034"/>
    <w:rsid w:val="00024F4D"/>
    <w:rsid w:val="00025555"/>
    <w:rsid w:val="000257F3"/>
    <w:rsid w:val="00032121"/>
    <w:rsid w:val="00042910"/>
    <w:rsid w:val="00052BFD"/>
    <w:rsid w:val="00055991"/>
    <w:rsid w:val="000651D0"/>
    <w:rsid w:val="000675C3"/>
    <w:rsid w:val="0007279B"/>
    <w:rsid w:val="0007459C"/>
    <w:rsid w:val="00074BD3"/>
    <w:rsid w:val="00074C76"/>
    <w:rsid w:val="000753F3"/>
    <w:rsid w:val="00076C7C"/>
    <w:rsid w:val="000906D9"/>
    <w:rsid w:val="0009551D"/>
    <w:rsid w:val="000964C6"/>
    <w:rsid w:val="000A46B9"/>
    <w:rsid w:val="000A58E9"/>
    <w:rsid w:val="000B15C8"/>
    <w:rsid w:val="000B34DD"/>
    <w:rsid w:val="000B4FE7"/>
    <w:rsid w:val="000B5158"/>
    <w:rsid w:val="000B6ADA"/>
    <w:rsid w:val="000C2120"/>
    <w:rsid w:val="000C26F1"/>
    <w:rsid w:val="000C5DE4"/>
    <w:rsid w:val="000C6755"/>
    <w:rsid w:val="000C6A9F"/>
    <w:rsid w:val="000D4F76"/>
    <w:rsid w:val="000F12D5"/>
    <w:rsid w:val="000F1DDC"/>
    <w:rsid w:val="00117B27"/>
    <w:rsid w:val="00133A8D"/>
    <w:rsid w:val="00137071"/>
    <w:rsid w:val="00145AE5"/>
    <w:rsid w:val="00152D47"/>
    <w:rsid w:val="001538F9"/>
    <w:rsid w:val="001730A8"/>
    <w:rsid w:val="00190F0A"/>
    <w:rsid w:val="001942D5"/>
    <w:rsid w:val="001A154E"/>
    <w:rsid w:val="001A4596"/>
    <w:rsid w:val="001B40DC"/>
    <w:rsid w:val="001B7CAD"/>
    <w:rsid w:val="001B7DD6"/>
    <w:rsid w:val="001C77B8"/>
    <w:rsid w:val="001E0850"/>
    <w:rsid w:val="001E23BA"/>
    <w:rsid w:val="001E7247"/>
    <w:rsid w:val="001F288B"/>
    <w:rsid w:val="001F7F9F"/>
    <w:rsid w:val="00214008"/>
    <w:rsid w:val="00220C75"/>
    <w:rsid w:val="00220D15"/>
    <w:rsid w:val="00242947"/>
    <w:rsid w:val="00244403"/>
    <w:rsid w:val="002446ED"/>
    <w:rsid w:val="00247343"/>
    <w:rsid w:val="00252D20"/>
    <w:rsid w:val="00255D1F"/>
    <w:rsid w:val="00265C51"/>
    <w:rsid w:val="00273F82"/>
    <w:rsid w:val="0027443A"/>
    <w:rsid w:val="00285094"/>
    <w:rsid w:val="00291A7B"/>
    <w:rsid w:val="002B46C7"/>
    <w:rsid w:val="002B7EAB"/>
    <w:rsid w:val="002C3951"/>
    <w:rsid w:val="002C67C8"/>
    <w:rsid w:val="002C6AD6"/>
    <w:rsid w:val="002D0E7F"/>
    <w:rsid w:val="002D127E"/>
    <w:rsid w:val="002D2EDB"/>
    <w:rsid w:val="002D33FF"/>
    <w:rsid w:val="002F43F4"/>
    <w:rsid w:val="002F50F2"/>
    <w:rsid w:val="003031E1"/>
    <w:rsid w:val="00320889"/>
    <w:rsid w:val="00327ACF"/>
    <w:rsid w:val="003310F6"/>
    <w:rsid w:val="00362E6E"/>
    <w:rsid w:val="00370A47"/>
    <w:rsid w:val="003724C9"/>
    <w:rsid w:val="003770E9"/>
    <w:rsid w:val="00381998"/>
    <w:rsid w:val="0038578B"/>
    <w:rsid w:val="0039663F"/>
    <w:rsid w:val="003973B7"/>
    <w:rsid w:val="003A21B7"/>
    <w:rsid w:val="003A6E68"/>
    <w:rsid w:val="003B05B6"/>
    <w:rsid w:val="003B43BE"/>
    <w:rsid w:val="003B655C"/>
    <w:rsid w:val="003C431D"/>
    <w:rsid w:val="003C58F0"/>
    <w:rsid w:val="003D7AE2"/>
    <w:rsid w:val="00416F80"/>
    <w:rsid w:val="00417991"/>
    <w:rsid w:val="004179A6"/>
    <w:rsid w:val="004368F9"/>
    <w:rsid w:val="00436F50"/>
    <w:rsid w:val="004413F0"/>
    <w:rsid w:val="00445F4F"/>
    <w:rsid w:val="0044701C"/>
    <w:rsid w:val="00453874"/>
    <w:rsid w:val="004617DB"/>
    <w:rsid w:val="00464650"/>
    <w:rsid w:val="004665B7"/>
    <w:rsid w:val="00480BCD"/>
    <w:rsid w:val="00482032"/>
    <w:rsid w:val="004839DC"/>
    <w:rsid w:val="00493D79"/>
    <w:rsid w:val="004B11BA"/>
    <w:rsid w:val="004B23D1"/>
    <w:rsid w:val="004C15E3"/>
    <w:rsid w:val="004C6997"/>
    <w:rsid w:val="004D3185"/>
    <w:rsid w:val="004D3706"/>
    <w:rsid w:val="004D5808"/>
    <w:rsid w:val="004E036C"/>
    <w:rsid w:val="004E21BD"/>
    <w:rsid w:val="004E401F"/>
    <w:rsid w:val="004F0619"/>
    <w:rsid w:val="004F1EEF"/>
    <w:rsid w:val="004F5AA1"/>
    <w:rsid w:val="00502B2B"/>
    <w:rsid w:val="00504DA4"/>
    <w:rsid w:val="00521C3E"/>
    <w:rsid w:val="005225DD"/>
    <w:rsid w:val="00524C6E"/>
    <w:rsid w:val="005251FA"/>
    <w:rsid w:val="00537771"/>
    <w:rsid w:val="00543FD2"/>
    <w:rsid w:val="00553460"/>
    <w:rsid w:val="00555752"/>
    <w:rsid w:val="005637BA"/>
    <w:rsid w:val="00567491"/>
    <w:rsid w:val="0058779E"/>
    <w:rsid w:val="00593B64"/>
    <w:rsid w:val="005A3538"/>
    <w:rsid w:val="005B07B9"/>
    <w:rsid w:val="005B5AF6"/>
    <w:rsid w:val="005C20A9"/>
    <w:rsid w:val="005D0FFC"/>
    <w:rsid w:val="005D2C2C"/>
    <w:rsid w:val="005E70A7"/>
    <w:rsid w:val="006030EF"/>
    <w:rsid w:val="00603CD5"/>
    <w:rsid w:val="00604793"/>
    <w:rsid w:val="0060757A"/>
    <w:rsid w:val="00607F52"/>
    <w:rsid w:val="00610BD1"/>
    <w:rsid w:val="0061789E"/>
    <w:rsid w:val="006207D0"/>
    <w:rsid w:val="00623391"/>
    <w:rsid w:val="00631981"/>
    <w:rsid w:val="0063259B"/>
    <w:rsid w:val="006425E2"/>
    <w:rsid w:val="00647F07"/>
    <w:rsid w:val="00652984"/>
    <w:rsid w:val="0065673F"/>
    <w:rsid w:val="00663C51"/>
    <w:rsid w:val="0068310F"/>
    <w:rsid w:val="006848F9"/>
    <w:rsid w:val="00687064"/>
    <w:rsid w:val="00691296"/>
    <w:rsid w:val="006917F3"/>
    <w:rsid w:val="006974F9"/>
    <w:rsid w:val="006A19D8"/>
    <w:rsid w:val="006A2F56"/>
    <w:rsid w:val="006A3060"/>
    <w:rsid w:val="006A3CC9"/>
    <w:rsid w:val="006A6412"/>
    <w:rsid w:val="006A795F"/>
    <w:rsid w:val="006B3203"/>
    <w:rsid w:val="006B6D16"/>
    <w:rsid w:val="006D3377"/>
    <w:rsid w:val="006D4011"/>
    <w:rsid w:val="006F4D2C"/>
    <w:rsid w:val="006F6E45"/>
    <w:rsid w:val="007002E4"/>
    <w:rsid w:val="00705B68"/>
    <w:rsid w:val="0070737D"/>
    <w:rsid w:val="00712276"/>
    <w:rsid w:val="007145C3"/>
    <w:rsid w:val="007218F0"/>
    <w:rsid w:val="0072416B"/>
    <w:rsid w:val="007256DC"/>
    <w:rsid w:val="00731F2F"/>
    <w:rsid w:val="00732521"/>
    <w:rsid w:val="0074003B"/>
    <w:rsid w:val="00751366"/>
    <w:rsid w:val="007611D5"/>
    <w:rsid w:val="00764C8F"/>
    <w:rsid w:val="00765AF9"/>
    <w:rsid w:val="007660BF"/>
    <w:rsid w:val="0077783E"/>
    <w:rsid w:val="007909A1"/>
    <w:rsid w:val="007B1EC4"/>
    <w:rsid w:val="007C1502"/>
    <w:rsid w:val="007E092F"/>
    <w:rsid w:val="007E0AA9"/>
    <w:rsid w:val="007E0FC2"/>
    <w:rsid w:val="007F1FCA"/>
    <w:rsid w:val="007F2065"/>
    <w:rsid w:val="007F3931"/>
    <w:rsid w:val="0080464E"/>
    <w:rsid w:val="00814A0B"/>
    <w:rsid w:val="0082057A"/>
    <w:rsid w:val="00831FD6"/>
    <w:rsid w:val="008330CE"/>
    <w:rsid w:val="00833525"/>
    <w:rsid w:val="00835F18"/>
    <w:rsid w:val="00837041"/>
    <w:rsid w:val="00843CB9"/>
    <w:rsid w:val="00850804"/>
    <w:rsid w:val="00852B30"/>
    <w:rsid w:val="00857971"/>
    <w:rsid w:val="00871446"/>
    <w:rsid w:val="008715C6"/>
    <w:rsid w:val="00874ADB"/>
    <w:rsid w:val="008765F4"/>
    <w:rsid w:val="008963B3"/>
    <w:rsid w:val="008A35CE"/>
    <w:rsid w:val="008B56FE"/>
    <w:rsid w:val="008C5824"/>
    <w:rsid w:val="008D0C1D"/>
    <w:rsid w:val="008D1869"/>
    <w:rsid w:val="008D5495"/>
    <w:rsid w:val="008D7125"/>
    <w:rsid w:val="008D7966"/>
    <w:rsid w:val="008E786C"/>
    <w:rsid w:val="008F0404"/>
    <w:rsid w:val="008F4837"/>
    <w:rsid w:val="009147BC"/>
    <w:rsid w:val="009167A6"/>
    <w:rsid w:val="009242AB"/>
    <w:rsid w:val="009321AD"/>
    <w:rsid w:val="00935DF7"/>
    <w:rsid w:val="00945C48"/>
    <w:rsid w:val="00950BA5"/>
    <w:rsid w:val="00951D0B"/>
    <w:rsid w:val="00954A0F"/>
    <w:rsid w:val="00961704"/>
    <w:rsid w:val="0096185A"/>
    <w:rsid w:val="00965AFF"/>
    <w:rsid w:val="009836ED"/>
    <w:rsid w:val="00985B56"/>
    <w:rsid w:val="00987DF6"/>
    <w:rsid w:val="00992163"/>
    <w:rsid w:val="00994209"/>
    <w:rsid w:val="009A1476"/>
    <w:rsid w:val="009C148E"/>
    <w:rsid w:val="009C6479"/>
    <w:rsid w:val="009D0EF1"/>
    <w:rsid w:val="009D375F"/>
    <w:rsid w:val="009D630B"/>
    <w:rsid w:val="009D701A"/>
    <w:rsid w:val="009E5B49"/>
    <w:rsid w:val="009F4B37"/>
    <w:rsid w:val="00A053E7"/>
    <w:rsid w:val="00A056C0"/>
    <w:rsid w:val="00A1169A"/>
    <w:rsid w:val="00A1262F"/>
    <w:rsid w:val="00A233E8"/>
    <w:rsid w:val="00A23C8C"/>
    <w:rsid w:val="00A31448"/>
    <w:rsid w:val="00A332C0"/>
    <w:rsid w:val="00A357BD"/>
    <w:rsid w:val="00A521A5"/>
    <w:rsid w:val="00A62F70"/>
    <w:rsid w:val="00A646EF"/>
    <w:rsid w:val="00A64E1D"/>
    <w:rsid w:val="00A658C7"/>
    <w:rsid w:val="00A767D7"/>
    <w:rsid w:val="00A76D08"/>
    <w:rsid w:val="00A77366"/>
    <w:rsid w:val="00A93901"/>
    <w:rsid w:val="00A93FA5"/>
    <w:rsid w:val="00A9541D"/>
    <w:rsid w:val="00AB0A6F"/>
    <w:rsid w:val="00AB2352"/>
    <w:rsid w:val="00AC02F5"/>
    <w:rsid w:val="00AC13FE"/>
    <w:rsid w:val="00AC5250"/>
    <w:rsid w:val="00AD0506"/>
    <w:rsid w:val="00AE7787"/>
    <w:rsid w:val="00AF2183"/>
    <w:rsid w:val="00AF609A"/>
    <w:rsid w:val="00AF6BDD"/>
    <w:rsid w:val="00AF7D51"/>
    <w:rsid w:val="00B00277"/>
    <w:rsid w:val="00B00B46"/>
    <w:rsid w:val="00B020E9"/>
    <w:rsid w:val="00B037CF"/>
    <w:rsid w:val="00B11C78"/>
    <w:rsid w:val="00B11DBD"/>
    <w:rsid w:val="00B2252D"/>
    <w:rsid w:val="00B340E7"/>
    <w:rsid w:val="00B35D88"/>
    <w:rsid w:val="00B41E51"/>
    <w:rsid w:val="00B53367"/>
    <w:rsid w:val="00B64C78"/>
    <w:rsid w:val="00B65C7B"/>
    <w:rsid w:val="00B70FE8"/>
    <w:rsid w:val="00B75E1F"/>
    <w:rsid w:val="00B7777F"/>
    <w:rsid w:val="00B822A4"/>
    <w:rsid w:val="00B82BF2"/>
    <w:rsid w:val="00B94A25"/>
    <w:rsid w:val="00B96C9A"/>
    <w:rsid w:val="00BA175F"/>
    <w:rsid w:val="00BA7D0C"/>
    <w:rsid w:val="00BB1A5E"/>
    <w:rsid w:val="00BB4812"/>
    <w:rsid w:val="00BB709C"/>
    <w:rsid w:val="00BC28CD"/>
    <w:rsid w:val="00BC621A"/>
    <w:rsid w:val="00BC6A13"/>
    <w:rsid w:val="00BC764D"/>
    <w:rsid w:val="00BD1982"/>
    <w:rsid w:val="00BD7E1C"/>
    <w:rsid w:val="00BE1365"/>
    <w:rsid w:val="00BE65F5"/>
    <w:rsid w:val="00BE71C8"/>
    <w:rsid w:val="00BE7FA1"/>
    <w:rsid w:val="00BF1E19"/>
    <w:rsid w:val="00C02E33"/>
    <w:rsid w:val="00C1425D"/>
    <w:rsid w:val="00C23D8F"/>
    <w:rsid w:val="00C32B99"/>
    <w:rsid w:val="00C36B6C"/>
    <w:rsid w:val="00C420F6"/>
    <w:rsid w:val="00C52ABA"/>
    <w:rsid w:val="00C62A04"/>
    <w:rsid w:val="00C66D0D"/>
    <w:rsid w:val="00C739C9"/>
    <w:rsid w:val="00C8518F"/>
    <w:rsid w:val="00C85769"/>
    <w:rsid w:val="00C86049"/>
    <w:rsid w:val="00C96B72"/>
    <w:rsid w:val="00CA112C"/>
    <w:rsid w:val="00CD0F32"/>
    <w:rsid w:val="00CD343B"/>
    <w:rsid w:val="00CD437C"/>
    <w:rsid w:val="00CD5321"/>
    <w:rsid w:val="00CD659E"/>
    <w:rsid w:val="00CE38A0"/>
    <w:rsid w:val="00CE433F"/>
    <w:rsid w:val="00CF0A97"/>
    <w:rsid w:val="00CF3693"/>
    <w:rsid w:val="00CF6D9F"/>
    <w:rsid w:val="00D114D9"/>
    <w:rsid w:val="00D133E8"/>
    <w:rsid w:val="00D21E31"/>
    <w:rsid w:val="00D271D8"/>
    <w:rsid w:val="00D320D6"/>
    <w:rsid w:val="00D37A21"/>
    <w:rsid w:val="00D65A82"/>
    <w:rsid w:val="00D87223"/>
    <w:rsid w:val="00D92568"/>
    <w:rsid w:val="00D9651D"/>
    <w:rsid w:val="00DA4C66"/>
    <w:rsid w:val="00DA65A0"/>
    <w:rsid w:val="00DB42D5"/>
    <w:rsid w:val="00DB5486"/>
    <w:rsid w:val="00DD16D0"/>
    <w:rsid w:val="00DE58EF"/>
    <w:rsid w:val="00DE73BE"/>
    <w:rsid w:val="00E04E34"/>
    <w:rsid w:val="00E16F88"/>
    <w:rsid w:val="00E20B87"/>
    <w:rsid w:val="00E26FC5"/>
    <w:rsid w:val="00E278D9"/>
    <w:rsid w:val="00E34412"/>
    <w:rsid w:val="00E36F4A"/>
    <w:rsid w:val="00E37DFB"/>
    <w:rsid w:val="00E437F1"/>
    <w:rsid w:val="00E6028D"/>
    <w:rsid w:val="00E61C67"/>
    <w:rsid w:val="00E72844"/>
    <w:rsid w:val="00E85722"/>
    <w:rsid w:val="00E91412"/>
    <w:rsid w:val="00EA4882"/>
    <w:rsid w:val="00EA6009"/>
    <w:rsid w:val="00EB0CBA"/>
    <w:rsid w:val="00EB33E6"/>
    <w:rsid w:val="00EB6245"/>
    <w:rsid w:val="00EC208F"/>
    <w:rsid w:val="00EC2E4E"/>
    <w:rsid w:val="00EC5DF2"/>
    <w:rsid w:val="00EE799C"/>
    <w:rsid w:val="00EF54E7"/>
    <w:rsid w:val="00F204D9"/>
    <w:rsid w:val="00F24B43"/>
    <w:rsid w:val="00F37AA0"/>
    <w:rsid w:val="00F425D8"/>
    <w:rsid w:val="00F4622F"/>
    <w:rsid w:val="00F46644"/>
    <w:rsid w:val="00F549B5"/>
    <w:rsid w:val="00F56E46"/>
    <w:rsid w:val="00F579AE"/>
    <w:rsid w:val="00F57D68"/>
    <w:rsid w:val="00F61EE4"/>
    <w:rsid w:val="00F63F41"/>
    <w:rsid w:val="00F6416E"/>
    <w:rsid w:val="00F6760B"/>
    <w:rsid w:val="00F7463D"/>
    <w:rsid w:val="00F95594"/>
    <w:rsid w:val="00F96CED"/>
    <w:rsid w:val="00F96D85"/>
    <w:rsid w:val="00FA2DA0"/>
    <w:rsid w:val="00FA6C9E"/>
    <w:rsid w:val="00FB0C37"/>
    <w:rsid w:val="00FB24B3"/>
    <w:rsid w:val="00FC1806"/>
    <w:rsid w:val="00FD057B"/>
    <w:rsid w:val="00FD0CF0"/>
    <w:rsid w:val="00FD5F4C"/>
    <w:rsid w:val="00FD7C62"/>
    <w:rsid w:val="00FE4BC6"/>
    <w:rsid w:val="00FE5BBA"/>
    <w:rsid w:val="00FE5F60"/>
    <w:rsid w:val="00FE63DC"/>
    <w:rsid w:val="00FF7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F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1412"/>
    <w:rPr>
      <w:rFonts w:ascii="Times New Roman" w:hAnsi="Times New Roman" w:cs="Times New Roman" w:hint="default"/>
      <w:b/>
      <w:bCs/>
    </w:rPr>
  </w:style>
  <w:style w:type="character" w:styleId="CommentReference">
    <w:name w:val="annotation reference"/>
    <w:basedOn w:val="DefaultParagraphFont"/>
    <w:uiPriority w:val="99"/>
    <w:semiHidden/>
    <w:unhideWhenUsed/>
    <w:rsid w:val="007F2065"/>
    <w:rPr>
      <w:sz w:val="16"/>
      <w:szCs w:val="16"/>
    </w:rPr>
  </w:style>
  <w:style w:type="paragraph" w:styleId="CommentText">
    <w:name w:val="annotation text"/>
    <w:basedOn w:val="Normal"/>
    <w:link w:val="CommentTextChar"/>
    <w:uiPriority w:val="99"/>
    <w:semiHidden/>
    <w:unhideWhenUsed/>
    <w:rsid w:val="007F2065"/>
    <w:rPr>
      <w:sz w:val="20"/>
      <w:szCs w:val="20"/>
    </w:rPr>
  </w:style>
  <w:style w:type="character" w:customStyle="1" w:styleId="CommentTextChar">
    <w:name w:val="Comment Text Char"/>
    <w:basedOn w:val="DefaultParagraphFont"/>
    <w:link w:val="CommentText"/>
    <w:uiPriority w:val="99"/>
    <w:semiHidden/>
    <w:rsid w:val="007F206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2065"/>
    <w:rPr>
      <w:b/>
      <w:bCs/>
    </w:rPr>
  </w:style>
  <w:style w:type="character" w:customStyle="1" w:styleId="CommentSubjectChar">
    <w:name w:val="Comment Subject Char"/>
    <w:basedOn w:val="CommentTextChar"/>
    <w:link w:val="CommentSubject"/>
    <w:uiPriority w:val="99"/>
    <w:semiHidden/>
    <w:rsid w:val="007F2065"/>
    <w:rPr>
      <w:rFonts w:ascii="Calibri" w:eastAsia="Calibri" w:hAnsi="Calibri" w:cs="Times New Roman"/>
      <w:b/>
      <w:bCs/>
      <w:sz w:val="20"/>
      <w:szCs w:val="20"/>
    </w:rPr>
  </w:style>
  <w:style w:type="character" w:styleId="Hyperlink">
    <w:name w:val="Hyperlink"/>
    <w:basedOn w:val="DefaultParagraphFont"/>
    <w:uiPriority w:val="99"/>
    <w:unhideWhenUsed/>
    <w:rsid w:val="00567491"/>
    <w:rPr>
      <w:color w:val="0000FF" w:themeColor="hyperlink"/>
      <w:u w:val="single"/>
    </w:rPr>
  </w:style>
  <w:style w:type="paragraph" w:styleId="PlainText">
    <w:name w:val="Plain Text"/>
    <w:basedOn w:val="Normal"/>
    <w:link w:val="PlainTextChar"/>
    <w:uiPriority w:val="99"/>
    <w:unhideWhenUsed/>
    <w:rsid w:val="005A3538"/>
    <w:rPr>
      <w:rFonts w:eastAsiaTheme="minorHAnsi" w:cs="Consolas"/>
      <w:szCs w:val="21"/>
    </w:rPr>
  </w:style>
  <w:style w:type="character" w:customStyle="1" w:styleId="PlainTextChar">
    <w:name w:val="Plain Text Char"/>
    <w:basedOn w:val="DefaultParagraphFont"/>
    <w:link w:val="PlainText"/>
    <w:uiPriority w:val="99"/>
    <w:rsid w:val="005A3538"/>
    <w:rPr>
      <w:rFonts w:ascii="Calibri" w:hAnsi="Calibri" w:cs="Consolas"/>
      <w:szCs w:val="21"/>
    </w:rPr>
  </w:style>
  <w:style w:type="character" w:styleId="FollowedHyperlink">
    <w:name w:val="FollowedHyperlink"/>
    <w:basedOn w:val="DefaultParagraphFont"/>
    <w:uiPriority w:val="99"/>
    <w:semiHidden/>
    <w:unhideWhenUsed/>
    <w:rsid w:val="00F676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F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1412"/>
    <w:rPr>
      <w:rFonts w:ascii="Times New Roman" w:hAnsi="Times New Roman" w:cs="Times New Roman" w:hint="default"/>
      <w:b/>
      <w:bCs/>
    </w:rPr>
  </w:style>
  <w:style w:type="character" w:styleId="CommentReference">
    <w:name w:val="annotation reference"/>
    <w:basedOn w:val="DefaultParagraphFont"/>
    <w:uiPriority w:val="99"/>
    <w:semiHidden/>
    <w:unhideWhenUsed/>
    <w:rsid w:val="007F2065"/>
    <w:rPr>
      <w:sz w:val="16"/>
      <w:szCs w:val="16"/>
    </w:rPr>
  </w:style>
  <w:style w:type="paragraph" w:styleId="CommentText">
    <w:name w:val="annotation text"/>
    <w:basedOn w:val="Normal"/>
    <w:link w:val="CommentTextChar"/>
    <w:uiPriority w:val="99"/>
    <w:semiHidden/>
    <w:unhideWhenUsed/>
    <w:rsid w:val="007F2065"/>
    <w:rPr>
      <w:sz w:val="20"/>
      <w:szCs w:val="20"/>
    </w:rPr>
  </w:style>
  <w:style w:type="character" w:customStyle="1" w:styleId="CommentTextChar">
    <w:name w:val="Comment Text Char"/>
    <w:basedOn w:val="DefaultParagraphFont"/>
    <w:link w:val="CommentText"/>
    <w:uiPriority w:val="99"/>
    <w:semiHidden/>
    <w:rsid w:val="007F206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2065"/>
    <w:rPr>
      <w:b/>
      <w:bCs/>
    </w:rPr>
  </w:style>
  <w:style w:type="character" w:customStyle="1" w:styleId="CommentSubjectChar">
    <w:name w:val="Comment Subject Char"/>
    <w:basedOn w:val="CommentTextChar"/>
    <w:link w:val="CommentSubject"/>
    <w:uiPriority w:val="99"/>
    <w:semiHidden/>
    <w:rsid w:val="007F2065"/>
    <w:rPr>
      <w:rFonts w:ascii="Calibri" w:eastAsia="Calibri" w:hAnsi="Calibri" w:cs="Times New Roman"/>
      <w:b/>
      <w:bCs/>
      <w:sz w:val="20"/>
      <w:szCs w:val="20"/>
    </w:rPr>
  </w:style>
  <w:style w:type="character" w:styleId="Hyperlink">
    <w:name w:val="Hyperlink"/>
    <w:basedOn w:val="DefaultParagraphFont"/>
    <w:uiPriority w:val="99"/>
    <w:unhideWhenUsed/>
    <w:rsid w:val="00567491"/>
    <w:rPr>
      <w:color w:val="0000FF" w:themeColor="hyperlink"/>
      <w:u w:val="single"/>
    </w:rPr>
  </w:style>
  <w:style w:type="paragraph" w:styleId="PlainText">
    <w:name w:val="Plain Text"/>
    <w:basedOn w:val="Normal"/>
    <w:link w:val="PlainTextChar"/>
    <w:uiPriority w:val="99"/>
    <w:unhideWhenUsed/>
    <w:rsid w:val="005A3538"/>
    <w:rPr>
      <w:rFonts w:eastAsiaTheme="minorHAnsi" w:cs="Consolas"/>
      <w:szCs w:val="21"/>
    </w:rPr>
  </w:style>
  <w:style w:type="character" w:customStyle="1" w:styleId="PlainTextChar">
    <w:name w:val="Plain Text Char"/>
    <w:basedOn w:val="DefaultParagraphFont"/>
    <w:link w:val="PlainText"/>
    <w:uiPriority w:val="99"/>
    <w:rsid w:val="005A3538"/>
    <w:rPr>
      <w:rFonts w:ascii="Calibri" w:hAnsi="Calibri" w:cs="Consolas"/>
      <w:szCs w:val="21"/>
    </w:rPr>
  </w:style>
  <w:style w:type="character" w:styleId="FollowedHyperlink">
    <w:name w:val="FollowedHyperlink"/>
    <w:basedOn w:val="DefaultParagraphFont"/>
    <w:uiPriority w:val="99"/>
    <w:semiHidden/>
    <w:unhideWhenUsed/>
    <w:rsid w:val="00F676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51463047">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653336929">
      <w:bodyDiv w:val="1"/>
      <w:marLeft w:val="0"/>
      <w:marRight w:val="0"/>
      <w:marTop w:val="0"/>
      <w:marBottom w:val="0"/>
      <w:divBdr>
        <w:top w:val="none" w:sz="0" w:space="0" w:color="auto"/>
        <w:left w:val="none" w:sz="0" w:space="0" w:color="auto"/>
        <w:bottom w:val="none" w:sz="0" w:space="0" w:color="auto"/>
        <w:right w:val="none" w:sz="0" w:space="0" w:color="auto"/>
      </w:divBdr>
    </w:div>
    <w:div w:id="745493398">
      <w:bodyDiv w:val="1"/>
      <w:marLeft w:val="0"/>
      <w:marRight w:val="0"/>
      <w:marTop w:val="0"/>
      <w:marBottom w:val="0"/>
      <w:divBdr>
        <w:top w:val="none" w:sz="0" w:space="0" w:color="auto"/>
        <w:left w:val="none" w:sz="0" w:space="0" w:color="auto"/>
        <w:bottom w:val="none" w:sz="0" w:space="0" w:color="auto"/>
        <w:right w:val="none" w:sz="0" w:space="0" w:color="auto"/>
      </w:divBdr>
    </w:div>
    <w:div w:id="938560683">
      <w:bodyDiv w:val="1"/>
      <w:marLeft w:val="0"/>
      <w:marRight w:val="0"/>
      <w:marTop w:val="0"/>
      <w:marBottom w:val="0"/>
      <w:divBdr>
        <w:top w:val="none" w:sz="0" w:space="0" w:color="auto"/>
        <w:left w:val="none" w:sz="0" w:space="0" w:color="auto"/>
        <w:bottom w:val="none" w:sz="0" w:space="0" w:color="auto"/>
        <w:right w:val="none" w:sz="0" w:space="0" w:color="auto"/>
      </w:divBdr>
    </w:div>
    <w:div w:id="1407797760">
      <w:bodyDiv w:val="1"/>
      <w:marLeft w:val="0"/>
      <w:marRight w:val="0"/>
      <w:marTop w:val="0"/>
      <w:marBottom w:val="0"/>
      <w:divBdr>
        <w:top w:val="none" w:sz="0" w:space="0" w:color="auto"/>
        <w:left w:val="none" w:sz="0" w:space="0" w:color="auto"/>
        <w:bottom w:val="none" w:sz="0" w:space="0" w:color="auto"/>
        <w:right w:val="none" w:sz="0" w:space="0" w:color="auto"/>
      </w:divBdr>
    </w:div>
    <w:div w:id="1742630499">
      <w:bodyDiv w:val="1"/>
      <w:marLeft w:val="0"/>
      <w:marRight w:val="0"/>
      <w:marTop w:val="0"/>
      <w:marBottom w:val="0"/>
      <w:divBdr>
        <w:top w:val="none" w:sz="0" w:space="0" w:color="auto"/>
        <w:left w:val="none" w:sz="0" w:space="0" w:color="auto"/>
        <w:bottom w:val="none" w:sz="0" w:space="0" w:color="auto"/>
        <w:right w:val="none" w:sz="0" w:space="0" w:color="auto"/>
      </w:divBdr>
    </w:div>
    <w:div w:id="1788158595">
      <w:bodyDiv w:val="1"/>
      <w:marLeft w:val="0"/>
      <w:marRight w:val="0"/>
      <w:marTop w:val="0"/>
      <w:marBottom w:val="0"/>
      <w:divBdr>
        <w:top w:val="none" w:sz="0" w:space="0" w:color="auto"/>
        <w:left w:val="none" w:sz="0" w:space="0" w:color="auto"/>
        <w:bottom w:val="none" w:sz="0" w:space="0" w:color="auto"/>
        <w:right w:val="none" w:sz="0" w:space="0" w:color="auto"/>
      </w:divBdr>
    </w:div>
    <w:div w:id="1825121506">
      <w:bodyDiv w:val="1"/>
      <w:marLeft w:val="0"/>
      <w:marRight w:val="0"/>
      <w:marTop w:val="0"/>
      <w:marBottom w:val="0"/>
      <w:divBdr>
        <w:top w:val="none" w:sz="0" w:space="0" w:color="auto"/>
        <w:left w:val="none" w:sz="0" w:space="0" w:color="auto"/>
        <w:bottom w:val="none" w:sz="0" w:space="0" w:color="auto"/>
        <w:right w:val="none" w:sz="0" w:space="0" w:color="auto"/>
      </w:divBdr>
    </w:div>
    <w:div w:id="20726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om.smith2@nh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79773-F8F2-4E81-92E6-67A8F03D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5833</Words>
  <Characters>33250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39005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Papiccio, Tracy</cp:lastModifiedBy>
  <cp:revision>1</cp:revision>
  <cp:lastPrinted>2013-04-16T12:08:00Z</cp:lastPrinted>
  <dcterms:created xsi:type="dcterms:W3CDTF">2015-02-09T15:49:00Z</dcterms:created>
  <dcterms:modified xsi:type="dcterms:W3CDTF">2015-02-09T15:49:00Z</dcterms:modified>
</cp:coreProperties>
</file>