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49" w:rsidRPr="00410A49" w:rsidRDefault="00410A49" w:rsidP="00410A49">
      <w:pPr>
        <w:widowControl w:val="0"/>
        <w:spacing w:before="94" w:after="0" w:line="240" w:lineRule="auto"/>
        <w:ind w:left="6121" w:right="-20"/>
        <w:rPr>
          <w:rFonts w:ascii="Times New Roman" w:eastAsia="Times New Roman" w:hAnsi="Times New Roman" w:cs="Times New Roman"/>
          <w:sz w:val="20"/>
          <w:szCs w:val="20"/>
          <w:lang w:val="en-US"/>
        </w:rPr>
      </w:pPr>
      <w:r>
        <w:rPr>
          <w:rFonts w:ascii="Calibri" w:eastAsia="Calibri" w:hAnsi="Calibri" w:cs="Times New Roman"/>
          <w:noProof/>
          <w:lang w:eastAsia="en-GB"/>
        </w:rPr>
        <w:drawing>
          <wp:inline distT="0" distB="0" distL="0" distR="0">
            <wp:extent cx="2390775" cy="476250"/>
            <wp:effectExtent l="0" t="0" r="952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pic:spPr>
                </pic:pic>
              </a:graphicData>
            </a:graphic>
          </wp:inline>
        </w:drawing>
      </w:r>
    </w:p>
    <w:p w:rsidR="00410A49" w:rsidRPr="00410A49" w:rsidRDefault="00410A49" w:rsidP="00410A49">
      <w:pPr>
        <w:widowControl w:val="0"/>
        <w:spacing w:before="6" w:after="0" w:line="170" w:lineRule="exact"/>
        <w:rPr>
          <w:rFonts w:ascii="Calibri" w:eastAsia="Calibri" w:hAnsi="Calibri" w:cs="Times New Roman"/>
          <w:sz w:val="17"/>
          <w:szCs w:val="17"/>
          <w:lang w:val="en-US"/>
        </w:rPr>
      </w:pPr>
    </w:p>
    <w:tbl>
      <w:tblPr>
        <w:tblW w:w="0" w:type="auto"/>
        <w:tblInd w:w="5479" w:type="dxa"/>
        <w:tblLayout w:type="fixed"/>
        <w:tblCellMar>
          <w:left w:w="0" w:type="dxa"/>
          <w:right w:w="0" w:type="dxa"/>
        </w:tblCellMar>
        <w:tblLook w:val="01E0" w:firstRow="1" w:lastRow="1" w:firstColumn="1" w:lastColumn="1" w:noHBand="0" w:noVBand="0"/>
      </w:tblPr>
      <w:tblGrid>
        <w:gridCol w:w="3420"/>
        <w:gridCol w:w="1260"/>
      </w:tblGrid>
      <w:tr w:rsidR="00410A49" w:rsidRPr="00410A49" w:rsidTr="00410A49">
        <w:trPr>
          <w:trHeight w:hRule="exact" w:val="558"/>
        </w:trPr>
        <w:tc>
          <w:tcPr>
            <w:tcW w:w="3420" w:type="dxa"/>
            <w:tcBorders>
              <w:top w:val="single" w:sz="13" w:space="0" w:color="000000"/>
              <w:left w:val="single" w:sz="12" w:space="0" w:color="000000"/>
              <w:bottom w:val="single" w:sz="6" w:space="0" w:color="000000"/>
              <w:right w:val="single" w:sz="4" w:space="0" w:color="000000"/>
            </w:tcBorders>
          </w:tcPr>
          <w:p w:rsidR="00410A49" w:rsidRPr="00410A49" w:rsidRDefault="00410A49" w:rsidP="00410A49">
            <w:pPr>
              <w:widowControl w:val="0"/>
              <w:spacing w:after="0" w:line="532" w:lineRule="exact"/>
              <w:ind w:left="849" w:right="-20"/>
              <w:rPr>
                <w:rFonts w:ascii="Calibri" w:eastAsia="Calibri" w:hAnsi="Calibri" w:cs="Calibri"/>
                <w:sz w:val="44"/>
                <w:szCs w:val="44"/>
                <w:lang w:val="en-US"/>
              </w:rPr>
            </w:pPr>
            <w:r w:rsidRPr="00410A49">
              <w:rPr>
                <w:rFonts w:ascii="Calibri" w:eastAsia="Calibri" w:hAnsi="Calibri" w:cs="Calibri"/>
                <w:b/>
                <w:bCs/>
                <w:position w:val="1"/>
                <w:sz w:val="44"/>
                <w:szCs w:val="44"/>
                <w:lang w:val="en-US"/>
              </w:rPr>
              <w:t>Agen</w:t>
            </w:r>
            <w:r w:rsidRPr="00410A49">
              <w:rPr>
                <w:rFonts w:ascii="Calibri" w:eastAsia="Calibri" w:hAnsi="Calibri" w:cs="Calibri"/>
                <w:b/>
                <w:bCs/>
                <w:spacing w:val="2"/>
                <w:position w:val="1"/>
                <w:sz w:val="44"/>
                <w:szCs w:val="44"/>
                <w:lang w:val="en-US"/>
              </w:rPr>
              <w:t>d</w:t>
            </w:r>
            <w:r w:rsidRPr="00410A49">
              <w:rPr>
                <w:rFonts w:ascii="Calibri" w:eastAsia="Calibri" w:hAnsi="Calibri" w:cs="Calibri"/>
                <w:b/>
                <w:bCs/>
                <w:position w:val="1"/>
                <w:sz w:val="44"/>
                <w:szCs w:val="44"/>
                <w:lang w:val="en-US"/>
              </w:rPr>
              <w:t>a</w:t>
            </w:r>
            <w:r w:rsidRPr="00410A49">
              <w:rPr>
                <w:rFonts w:ascii="Calibri" w:eastAsia="Calibri" w:hAnsi="Calibri" w:cs="Calibri"/>
                <w:b/>
                <w:bCs/>
                <w:spacing w:val="-16"/>
                <w:position w:val="1"/>
                <w:sz w:val="44"/>
                <w:szCs w:val="44"/>
                <w:lang w:val="en-US"/>
              </w:rPr>
              <w:t xml:space="preserve"> </w:t>
            </w:r>
            <w:r w:rsidRPr="00410A49">
              <w:rPr>
                <w:rFonts w:ascii="Calibri" w:eastAsia="Calibri" w:hAnsi="Calibri" w:cs="Calibri"/>
                <w:b/>
                <w:bCs/>
                <w:spacing w:val="2"/>
                <w:position w:val="1"/>
                <w:sz w:val="44"/>
                <w:szCs w:val="44"/>
                <w:lang w:val="en-US"/>
              </w:rPr>
              <w:t>i</w:t>
            </w:r>
            <w:r w:rsidRPr="00410A49">
              <w:rPr>
                <w:rFonts w:ascii="Calibri" w:eastAsia="Calibri" w:hAnsi="Calibri" w:cs="Calibri"/>
                <w:b/>
                <w:bCs/>
                <w:spacing w:val="-1"/>
                <w:position w:val="1"/>
                <w:sz w:val="44"/>
                <w:szCs w:val="44"/>
                <w:lang w:val="en-US"/>
              </w:rPr>
              <w:t>t</w:t>
            </w:r>
            <w:r w:rsidRPr="00410A49">
              <w:rPr>
                <w:rFonts w:ascii="Calibri" w:eastAsia="Calibri" w:hAnsi="Calibri" w:cs="Calibri"/>
                <w:b/>
                <w:bCs/>
                <w:position w:val="1"/>
                <w:sz w:val="44"/>
                <w:szCs w:val="44"/>
                <w:lang w:val="en-US"/>
              </w:rPr>
              <w:t>e</w:t>
            </w:r>
            <w:r w:rsidRPr="00410A49">
              <w:rPr>
                <w:rFonts w:ascii="Calibri" w:eastAsia="Calibri" w:hAnsi="Calibri" w:cs="Calibri"/>
                <w:b/>
                <w:bCs/>
                <w:spacing w:val="3"/>
                <w:position w:val="1"/>
                <w:sz w:val="44"/>
                <w:szCs w:val="44"/>
                <w:lang w:val="en-US"/>
              </w:rPr>
              <w:t>m</w:t>
            </w:r>
            <w:r w:rsidRPr="00410A49">
              <w:rPr>
                <w:rFonts w:ascii="Calibri" w:eastAsia="Calibri" w:hAnsi="Calibri" w:cs="Calibri"/>
                <w:b/>
                <w:bCs/>
                <w:position w:val="1"/>
                <w:sz w:val="44"/>
                <w:szCs w:val="44"/>
                <w:lang w:val="en-US"/>
              </w:rPr>
              <w:t>:</w:t>
            </w:r>
          </w:p>
        </w:tc>
        <w:tc>
          <w:tcPr>
            <w:tcW w:w="1260" w:type="dxa"/>
            <w:tcBorders>
              <w:top w:val="single" w:sz="13" w:space="0" w:color="000000"/>
              <w:left w:val="single" w:sz="4" w:space="0" w:color="000000"/>
              <w:bottom w:val="single" w:sz="6" w:space="0" w:color="000000"/>
              <w:right w:val="single" w:sz="12" w:space="0" w:color="000000"/>
            </w:tcBorders>
          </w:tcPr>
          <w:p w:rsidR="00410A49" w:rsidRPr="005E6B04" w:rsidRDefault="006211EB" w:rsidP="00410A49">
            <w:pPr>
              <w:widowControl w:val="0"/>
              <w:spacing w:after="0" w:line="532" w:lineRule="exact"/>
              <w:ind w:left="460" w:right="431"/>
              <w:jc w:val="center"/>
              <w:rPr>
                <w:rFonts w:ascii="Calibri" w:eastAsia="Calibri" w:hAnsi="Calibri" w:cs="Calibri"/>
                <w:b/>
                <w:sz w:val="44"/>
                <w:szCs w:val="44"/>
                <w:lang w:val="en-US"/>
              </w:rPr>
            </w:pPr>
            <w:r>
              <w:rPr>
                <w:rFonts w:ascii="Calibri" w:eastAsia="Calibri" w:hAnsi="Calibri" w:cs="Calibri"/>
                <w:b/>
                <w:sz w:val="44"/>
                <w:szCs w:val="44"/>
                <w:lang w:val="en-US"/>
              </w:rPr>
              <w:t>9</w:t>
            </w:r>
          </w:p>
        </w:tc>
      </w:tr>
      <w:tr w:rsidR="00410A49" w:rsidRPr="00410A49" w:rsidTr="00410A49">
        <w:trPr>
          <w:trHeight w:hRule="exact" w:val="562"/>
        </w:trPr>
        <w:tc>
          <w:tcPr>
            <w:tcW w:w="3420" w:type="dxa"/>
            <w:tcBorders>
              <w:top w:val="single" w:sz="6" w:space="0" w:color="000000"/>
              <w:left w:val="single" w:sz="12" w:space="0" w:color="000000"/>
              <w:bottom w:val="single" w:sz="12" w:space="0" w:color="000000"/>
              <w:right w:val="single" w:sz="4" w:space="0" w:color="000000"/>
            </w:tcBorders>
          </w:tcPr>
          <w:p w:rsidR="00410A49" w:rsidRPr="00410A49" w:rsidRDefault="00410A49" w:rsidP="00410A49">
            <w:pPr>
              <w:widowControl w:val="0"/>
              <w:spacing w:after="0" w:line="535" w:lineRule="exact"/>
              <w:ind w:left="997" w:right="-20"/>
              <w:rPr>
                <w:rFonts w:ascii="Calibri" w:eastAsia="Calibri" w:hAnsi="Calibri" w:cs="Calibri"/>
                <w:sz w:val="44"/>
                <w:szCs w:val="44"/>
                <w:lang w:val="en-US"/>
              </w:rPr>
            </w:pPr>
            <w:r w:rsidRPr="00410A49">
              <w:rPr>
                <w:rFonts w:ascii="Calibri" w:eastAsia="Calibri" w:hAnsi="Calibri" w:cs="Calibri"/>
                <w:b/>
                <w:bCs/>
                <w:position w:val="1"/>
                <w:sz w:val="44"/>
                <w:szCs w:val="44"/>
                <w:lang w:val="en-US"/>
              </w:rPr>
              <w:t>A</w:t>
            </w:r>
            <w:r w:rsidRPr="00410A49">
              <w:rPr>
                <w:rFonts w:ascii="Calibri" w:eastAsia="Calibri" w:hAnsi="Calibri" w:cs="Calibri"/>
                <w:b/>
                <w:bCs/>
                <w:spacing w:val="-1"/>
                <w:position w:val="1"/>
                <w:sz w:val="44"/>
                <w:szCs w:val="44"/>
                <w:lang w:val="en-US"/>
              </w:rPr>
              <w:t>t</w:t>
            </w:r>
            <w:r w:rsidRPr="00410A49">
              <w:rPr>
                <w:rFonts w:ascii="Calibri" w:eastAsia="Calibri" w:hAnsi="Calibri" w:cs="Calibri"/>
                <w:b/>
                <w:bCs/>
                <w:spacing w:val="1"/>
                <w:position w:val="1"/>
                <w:sz w:val="44"/>
                <w:szCs w:val="44"/>
                <w:lang w:val="en-US"/>
              </w:rPr>
              <w:t>t</w:t>
            </w:r>
            <w:r w:rsidRPr="00410A49">
              <w:rPr>
                <w:rFonts w:ascii="Calibri" w:eastAsia="Calibri" w:hAnsi="Calibri" w:cs="Calibri"/>
                <w:b/>
                <w:bCs/>
                <w:spacing w:val="-1"/>
                <w:position w:val="1"/>
                <w:sz w:val="44"/>
                <w:szCs w:val="44"/>
                <w:lang w:val="en-US"/>
              </w:rPr>
              <w:t>a</w:t>
            </w:r>
            <w:r w:rsidRPr="00410A49">
              <w:rPr>
                <w:rFonts w:ascii="Calibri" w:eastAsia="Calibri" w:hAnsi="Calibri" w:cs="Calibri"/>
                <w:b/>
                <w:bCs/>
                <w:spacing w:val="1"/>
                <w:position w:val="1"/>
                <w:sz w:val="44"/>
                <w:szCs w:val="44"/>
                <w:lang w:val="en-US"/>
              </w:rPr>
              <w:t>c</w:t>
            </w:r>
            <w:r w:rsidRPr="00410A49">
              <w:rPr>
                <w:rFonts w:ascii="Calibri" w:eastAsia="Calibri" w:hAnsi="Calibri" w:cs="Calibri"/>
                <w:b/>
                <w:bCs/>
                <w:spacing w:val="-1"/>
                <w:position w:val="1"/>
                <w:sz w:val="44"/>
                <w:szCs w:val="44"/>
                <w:lang w:val="en-US"/>
              </w:rPr>
              <w:t>h</w:t>
            </w:r>
            <w:r w:rsidRPr="00410A49">
              <w:rPr>
                <w:rFonts w:ascii="Calibri" w:eastAsia="Calibri" w:hAnsi="Calibri" w:cs="Calibri"/>
                <w:b/>
                <w:bCs/>
                <w:position w:val="1"/>
                <w:sz w:val="44"/>
                <w:szCs w:val="44"/>
                <w:lang w:val="en-US"/>
              </w:rPr>
              <w:t>m</w:t>
            </w:r>
            <w:r w:rsidRPr="00410A49">
              <w:rPr>
                <w:rFonts w:ascii="Calibri" w:eastAsia="Calibri" w:hAnsi="Calibri" w:cs="Calibri"/>
                <w:b/>
                <w:bCs/>
                <w:spacing w:val="2"/>
                <w:position w:val="1"/>
                <w:sz w:val="44"/>
                <w:szCs w:val="44"/>
                <w:lang w:val="en-US"/>
              </w:rPr>
              <w:t>e</w:t>
            </w:r>
            <w:r w:rsidRPr="00410A49">
              <w:rPr>
                <w:rFonts w:ascii="Calibri" w:eastAsia="Calibri" w:hAnsi="Calibri" w:cs="Calibri"/>
                <w:b/>
                <w:bCs/>
                <w:spacing w:val="-1"/>
                <w:position w:val="1"/>
                <w:sz w:val="44"/>
                <w:szCs w:val="44"/>
                <w:lang w:val="en-US"/>
              </w:rPr>
              <w:t>n</w:t>
            </w:r>
            <w:r w:rsidRPr="00410A49">
              <w:rPr>
                <w:rFonts w:ascii="Calibri" w:eastAsia="Calibri" w:hAnsi="Calibri" w:cs="Calibri"/>
                <w:b/>
                <w:bCs/>
                <w:spacing w:val="2"/>
                <w:position w:val="1"/>
                <w:sz w:val="44"/>
                <w:szCs w:val="44"/>
                <w:lang w:val="en-US"/>
              </w:rPr>
              <w:t>t</w:t>
            </w:r>
            <w:r w:rsidRPr="00410A49">
              <w:rPr>
                <w:rFonts w:ascii="Calibri" w:eastAsia="Calibri" w:hAnsi="Calibri" w:cs="Calibri"/>
                <w:b/>
                <w:bCs/>
                <w:position w:val="1"/>
                <w:sz w:val="44"/>
                <w:szCs w:val="44"/>
                <w:lang w:val="en-US"/>
              </w:rPr>
              <w:t>:</w:t>
            </w:r>
          </w:p>
        </w:tc>
        <w:tc>
          <w:tcPr>
            <w:tcW w:w="1260" w:type="dxa"/>
            <w:tcBorders>
              <w:top w:val="single" w:sz="6" w:space="0" w:color="000000"/>
              <w:left w:val="single" w:sz="4" w:space="0" w:color="000000"/>
              <w:bottom w:val="single" w:sz="12" w:space="0" w:color="000000"/>
              <w:right w:val="single" w:sz="12" w:space="0" w:color="000000"/>
            </w:tcBorders>
          </w:tcPr>
          <w:p w:rsidR="00410A49" w:rsidRPr="005E6B04" w:rsidRDefault="006211EB" w:rsidP="00410A49">
            <w:pPr>
              <w:widowControl w:val="0"/>
              <w:spacing w:after="0" w:line="535" w:lineRule="exact"/>
              <w:ind w:left="455" w:right="426"/>
              <w:jc w:val="center"/>
              <w:rPr>
                <w:rFonts w:ascii="Calibri" w:eastAsia="Calibri" w:hAnsi="Calibri" w:cs="Calibri"/>
                <w:b/>
                <w:sz w:val="44"/>
                <w:szCs w:val="44"/>
                <w:lang w:val="en-US"/>
              </w:rPr>
            </w:pPr>
            <w:r>
              <w:rPr>
                <w:rFonts w:ascii="Calibri" w:eastAsia="Calibri" w:hAnsi="Calibri" w:cs="Calibri"/>
                <w:b/>
                <w:sz w:val="44"/>
                <w:szCs w:val="44"/>
                <w:lang w:val="en-US"/>
              </w:rPr>
              <w:t>B</w:t>
            </w:r>
            <w:bookmarkStart w:id="0" w:name="_GoBack"/>
            <w:bookmarkEnd w:id="0"/>
          </w:p>
        </w:tc>
      </w:tr>
    </w:tbl>
    <w:p w:rsidR="006A743C" w:rsidRPr="00151DBF" w:rsidRDefault="006A743C" w:rsidP="006A743C">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6A743C" w:rsidRDefault="006A743C" w:rsidP="006A743C">
      <w:pPr>
        <w:spacing w:after="0"/>
        <w:jc w:val="center"/>
        <w:rPr>
          <w:rFonts w:cstheme="minorHAnsi"/>
          <w:b/>
          <w:sz w:val="24"/>
          <w:szCs w:val="24"/>
        </w:rPr>
      </w:pPr>
    </w:p>
    <w:tbl>
      <w:tblPr>
        <w:tblStyle w:val="TableGrid"/>
        <w:tblW w:w="0" w:type="auto"/>
        <w:tblLook w:val="04A0" w:firstRow="1" w:lastRow="0" w:firstColumn="1" w:lastColumn="0" w:noHBand="0" w:noVBand="1"/>
      </w:tblPr>
      <w:tblGrid>
        <w:gridCol w:w="2628"/>
        <w:gridCol w:w="6320"/>
      </w:tblGrid>
      <w:tr w:rsidR="006A743C" w:rsidRPr="00C90060" w:rsidTr="001B1EC0">
        <w:tc>
          <w:tcPr>
            <w:tcW w:w="2628" w:type="dxa"/>
          </w:tcPr>
          <w:p w:rsidR="006A743C" w:rsidRPr="00C90060" w:rsidRDefault="006A743C" w:rsidP="001B1EC0">
            <w:pPr>
              <w:rPr>
                <w:rFonts w:cstheme="minorHAnsi"/>
                <w:b/>
              </w:rPr>
            </w:pPr>
            <w:r w:rsidRPr="00C90060">
              <w:rPr>
                <w:rFonts w:cstheme="minorHAnsi"/>
                <w:b/>
              </w:rPr>
              <w:t>Date of Meeting:</w:t>
            </w:r>
          </w:p>
          <w:p w:rsidR="006A743C" w:rsidRPr="00C90060" w:rsidRDefault="006A743C" w:rsidP="001B1EC0">
            <w:pPr>
              <w:rPr>
                <w:rFonts w:cstheme="minorHAnsi"/>
                <w:b/>
              </w:rPr>
            </w:pPr>
          </w:p>
        </w:tc>
        <w:tc>
          <w:tcPr>
            <w:tcW w:w="6320" w:type="dxa"/>
          </w:tcPr>
          <w:p w:rsidR="006A743C" w:rsidRDefault="006A743C" w:rsidP="001B1EC0">
            <w:pPr>
              <w:rPr>
                <w:rFonts w:cstheme="minorHAnsi"/>
              </w:rPr>
            </w:pPr>
          </w:p>
          <w:p w:rsidR="006A743C" w:rsidRDefault="006A743C" w:rsidP="001B1EC0">
            <w:pPr>
              <w:rPr>
                <w:rFonts w:cstheme="minorHAnsi"/>
              </w:rPr>
            </w:pPr>
            <w:r>
              <w:rPr>
                <w:rFonts w:cstheme="minorHAnsi"/>
              </w:rPr>
              <w:t>22 February 2017</w:t>
            </w:r>
          </w:p>
          <w:p w:rsidR="006A743C" w:rsidRPr="00C90060" w:rsidRDefault="006A743C" w:rsidP="001B1EC0">
            <w:pPr>
              <w:rPr>
                <w:rFonts w:cstheme="minorHAnsi"/>
              </w:rPr>
            </w:pPr>
          </w:p>
        </w:tc>
      </w:tr>
    </w:tbl>
    <w:p w:rsidR="006A743C" w:rsidRPr="00C90060" w:rsidRDefault="006A743C" w:rsidP="006A743C">
      <w:pPr>
        <w:spacing w:after="0"/>
        <w:jc w:val="center"/>
        <w:rPr>
          <w:rFonts w:cstheme="minorHAnsi"/>
          <w:b/>
        </w:rPr>
      </w:pPr>
    </w:p>
    <w:tbl>
      <w:tblPr>
        <w:tblStyle w:val="TableGrid"/>
        <w:tblW w:w="0" w:type="auto"/>
        <w:tblLook w:val="04A0" w:firstRow="1" w:lastRow="0" w:firstColumn="1" w:lastColumn="0" w:noHBand="0" w:noVBand="1"/>
      </w:tblPr>
      <w:tblGrid>
        <w:gridCol w:w="2628"/>
        <w:gridCol w:w="6320"/>
      </w:tblGrid>
      <w:tr w:rsidR="006A743C" w:rsidRPr="00C90060" w:rsidTr="001B1EC0">
        <w:tc>
          <w:tcPr>
            <w:tcW w:w="2628" w:type="dxa"/>
          </w:tcPr>
          <w:p w:rsidR="006A743C" w:rsidRDefault="006A743C" w:rsidP="001B1EC0">
            <w:pPr>
              <w:rPr>
                <w:rFonts w:cstheme="minorHAnsi"/>
                <w:b/>
              </w:rPr>
            </w:pPr>
            <w:r w:rsidRPr="00C90060">
              <w:rPr>
                <w:rFonts w:cstheme="minorHAnsi"/>
                <w:b/>
              </w:rPr>
              <w:t>Title of Paper:</w:t>
            </w:r>
          </w:p>
          <w:p w:rsidR="006A743C" w:rsidRDefault="006A743C" w:rsidP="001B1EC0">
            <w:pPr>
              <w:rPr>
                <w:rFonts w:cstheme="minorHAnsi"/>
                <w:b/>
              </w:rPr>
            </w:pPr>
          </w:p>
          <w:p w:rsidR="006A743C" w:rsidRPr="00C90060" w:rsidRDefault="006A743C" w:rsidP="001B1EC0">
            <w:pPr>
              <w:rPr>
                <w:rFonts w:cstheme="minorHAnsi"/>
                <w:b/>
              </w:rPr>
            </w:pPr>
          </w:p>
        </w:tc>
        <w:tc>
          <w:tcPr>
            <w:tcW w:w="6320" w:type="dxa"/>
          </w:tcPr>
          <w:p w:rsidR="006A743C" w:rsidRPr="00847BA6" w:rsidRDefault="006A743C" w:rsidP="001B1EC0">
            <w:pPr>
              <w:widowControl w:val="0"/>
              <w:spacing w:line="242" w:lineRule="exact"/>
              <w:ind w:left="102" w:right="-20"/>
              <w:rPr>
                <w:rFonts w:eastAsia="Calibri" w:cstheme="minorHAnsi"/>
                <w:sz w:val="20"/>
                <w:szCs w:val="20"/>
                <w:lang w:val="en-US"/>
              </w:rPr>
            </w:pPr>
            <w:r w:rsidRPr="00847BA6">
              <w:rPr>
                <w:rFonts w:cstheme="minorHAnsi"/>
                <w:sz w:val="20"/>
              </w:rPr>
              <w:t xml:space="preserve">HRA Approval </w:t>
            </w:r>
            <w:r>
              <w:rPr>
                <w:rFonts w:cstheme="minorHAnsi"/>
                <w:sz w:val="20"/>
              </w:rPr>
              <w:t>Performance</w:t>
            </w:r>
            <w:r w:rsidRPr="00847BA6">
              <w:rPr>
                <w:rFonts w:cstheme="minorHAnsi"/>
                <w:sz w:val="20"/>
              </w:rPr>
              <w:t xml:space="preserve"> Report</w:t>
            </w:r>
          </w:p>
        </w:tc>
      </w:tr>
      <w:tr w:rsidR="006A743C" w:rsidRPr="00C90060" w:rsidTr="001B1EC0">
        <w:tc>
          <w:tcPr>
            <w:tcW w:w="2628" w:type="dxa"/>
          </w:tcPr>
          <w:p w:rsidR="006A743C" w:rsidRDefault="006A743C" w:rsidP="001B1EC0">
            <w:pPr>
              <w:rPr>
                <w:rFonts w:cstheme="minorHAnsi"/>
                <w:b/>
              </w:rPr>
            </w:pPr>
            <w:r w:rsidRPr="00C90060">
              <w:rPr>
                <w:rFonts w:cstheme="minorHAnsi"/>
                <w:b/>
              </w:rPr>
              <w:t>Purpose of Paper:</w:t>
            </w:r>
          </w:p>
          <w:p w:rsidR="006A743C" w:rsidRPr="00C90060" w:rsidRDefault="006A743C" w:rsidP="001B1EC0">
            <w:pPr>
              <w:rPr>
                <w:rFonts w:cstheme="minorHAnsi"/>
                <w:b/>
              </w:rPr>
            </w:pPr>
          </w:p>
          <w:p w:rsidR="006A743C" w:rsidRPr="00C90060" w:rsidRDefault="006A743C" w:rsidP="001B1EC0">
            <w:pPr>
              <w:rPr>
                <w:rFonts w:cstheme="minorHAnsi"/>
                <w:b/>
              </w:rPr>
            </w:pPr>
          </w:p>
        </w:tc>
        <w:tc>
          <w:tcPr>
            <w:tcW w:w="6320" w:type="dxa"/>
          </w:tcPr>
          <w:p w:rsidR="006A743C" w:rsidRPr="00847BA6" w:rsidRDefault="006A743C" w:rsidP="001B1EC0">
            <w:pPr>
              <w:widowControl w:val="0"/>
              <w:spacing w:line="242" w:lineRule="exact"/>
              <w:ind w:left="102" w:right="-20"/>
              <w:rPr>
                <w:rFonts w:eastAsia="Calibri" w:cstheme="minorHAnsi"/>
                <w:sz w:val="20"/>
                <w:szCs w:val="20"/>
                <w:lang w:val="en-US"/>
              </w:rPr>
            </w:pPr>
            <w:r w:rsidRPr="00847BA6">
              <w:rPr>
                <w:rFonts w:eastAsia="Calibri" w:cstheme="minorHAnsi"/>
                <w:spacing w:val="-1"/>
                <w:position w:val="1"/>
                <w:sz w:val="20"/>
                <w:szCs w:val="20"/>
                <w:lang w:val="en-US"/>
              </w:rPr>
              <w:t>T</w:t>
            </w:r>
            <w:r w:rsidRPr="00847BA6">
              <w:rPr>
                <w:rFonts w:eastAsia="Calibri" w:cstheme="minorHAnsi"/>
                <w:position w:val="1"/>
                <w:sz w:val="20"/>
                <w:szCs w:val="20"/>
                <w:lang w:val="en-US"/>
              </w:rPr>
              <w:t>o</w:t>
            </w:r>
            <w:r w:rsidRPr="00847BA6">
              <w:rPr>
                <w:rFonts w:eastAsia="Calibri" w:cstheme="minorHAnsi"/>
                <w:spacing w:val="-1"/>
                <w:position w:val="1"/>
                <w:sz w:val="20"/>
                <w:szCs w:val="20"/>
                <w:lang w:val="en-US"/>
              </w:rPr>
              <w:t xml:space="preserve"> </w:t>
            </w:r>
            <w:r w:rsidRPr="00847BA6">
              <w:rPr>
                <w:rFonts w:eastAsia="Calibri" w:cstheme="minorHAnsi"/>
                <w:spacing w:val="1"/>
                <w:position w:val="1"/>
                <w:sz w:val="20"/>
                <w:szCs w:val="20"/>
                <w:lang w:val="en-US"/>
              </w:rPr>
              <w:t>p</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o</w:t>
            </w:r>
            <w:r w:rsidRPr="00847BA6">
              <w:rPr>
                <w:rFonts w:eastAsia="Calibri" w:cstheme="minorHAnsi"/>
                <w:spacing w:val="-1"/>
                <w:position w:val="1"/>
                <w:sz w:val="20"/>
                <w:szCs w:val="20"/>
                <w:lang w:val="en-US"/>
              </w:rPr>
              <w:t>v</w:t>
            </w:r>
            <w:r w:rsidRPr="00847BA6">
              <w:rPr>
                <w:rFonts w:eastAsia="Calibri" w:cstheme="minorHAnsi"/>
                <w:position w:val="1"/>
                <w:sz w:val="20"/>
                <w:szCs w:val="20"/>
                <w:lang w:val="en-US"/>
              </w:rPr>
              <w:t>i</w:t>
            </w:r>
            <w:r w:rsidRPr="00847BA6">
              <w:rPr>
                <w:rFonts w:eastAsia="Calibri" w:cstheme="minorHAnsi"/>
                <w:spacing w:val="1"/>
                <w:position w:val="1"/>
                <w:sz w:val="20"/>
                <w:szCs w:val="20"/>
                <w:lang w:val="en-US"/>
              </w:rPr>
              <w:t>d</w:t>
            </w:r>
            <w:r w:rsidRPr="00847BA6">
              <w:rPr>
                <w:rFonts w:eastAsia="Calibri" w:cstheme="minorHAnsi"/>
                <w:position w:val="1"/>
                <w:sz w:val="20"/>
                <w:szCs w:val="20"/>
                <w:lang w:val="en-US"/>
              </w:rPr>
              <w:t>e</w:t>
            </w:r>
            <w:r w:rsidRPr="00847BA6">
              <w:rPr>
                <w:rFonts w:eastAsia="Calibri" w:cstheme="minorHAnsi"/>
                <w:spacing w:val="-6"/>
                <w:position w:val="1"/>
                <w:sz w:val="20"/>
                <w:szCs w:val="20"/>
                <w:lang w:val="en-US"/>
              </w:rPr>
              <w:t xml:space="preserve"> </w:t>
            </w:r>
            <w:r w:rsidRPr="00847BA6">
              <w:rPr>
                <w:rFonts w:eastAsia="Calibri" w:cstheme="minorHAnsi"/>
                <w:position w:val="1"/>
                <w:sz w:val="20"/>
                <w:szCs w:val="20"/>
                <w:lang w:val="en-US"/>
              </w:rPr>
              <w:t xml:space="preserve">a </w:t>
            </w:r>
            <w:r w:rsidRPr="00847BA6">
              <w:rPr>
                <w:rFonts w:eastAsia="Calibri" w:cstheme="minorHAnsi"/>
                <w:spacing w:val="-1"/>
                <w:position w:val="1"/>
                <w:sz w:val="20"/>
                <w:szCs w:val="20"/>
                <w:lang w:val="en-US"/>
              </w:rPr>
              <w:t>s</w:t>
            </w:r>
            <w:r w:rsidRPr="00847BA6">
              <w:rPr>
                <w:rFonts w:eastAsia="Calibri" w:cstheme="minorHAnsi"/>
                <w:spacing w:val="3"/>
                <w:position w:val="1"/>
                <w:sz w:val="20"/>
                <w:szCs w:val="20"/>
                <w:lang w:val="en-US"/>
              </w:rPr>
              <w:t>u</w:t>
            </w:r>
            <w:r w:rsidRPr="00847BA6">
              <w:rPr>
                <w:rFonts w:eastAsia="Calibri" w:cstheme="minorHAnsi"/>
                <w:spacing w:val="-1"/>
                <w:position w:val="1"/>
                <w:sz w:val="20"/>
                <w:szCs w:val="20"/>
                <w:lang w:val="en-US"/>
              </w:rPr>
              <w:t>mm</w:t>
            </w:r>
            <w:r w:rsidRPr="00847BA6">
              <w:rPr>
                <w:rFonts w:eastAsia="Calibri" w:cstheme="minorHAnsi"/>
                <w:spacing w:val="1"/>
                <w:position w:val="1"/>
                <w:sz w:val="20"/>
                <w:szCs w:val="20"/>
                <w:lang w:val="en-US"/>
              </w:rPr>
              <w:t>a</w:t>
            </w:r>
            <w:r w:rsidRPr="00847BA6">
              <w:rPr>
                <w:rFonts w:eastAsia="Calibri" w:cstheme="minorHAnsi"/>
                <w:position w:val="1"/>
                <w:sz w:val="20"/>
                <w:szCs w:val="20"/>
                <w:lang w:val="en-US"/>
              </w:rPr>
              <w:t>ry</w:t>
            </w:r>
            <w:r w:rsidRPr="00847BA6">
              <w:rPr>
                <w:rFonts w:eastAsia="Calibri" w:cstheme="minorHAnsi"/>
                <w:spacing w:val="-7"/>
                <w:position w:val="1"/>
                <w:sz w:val="20"/>
                <w:szCs w:val="20"/>
                <w:lang w:val="en-US"/>
              </w:rPr>
              <w:t xml:space="preserve"> </w:t>
            </w:r>
            <w:r w:rsidRPr="00847BA6">
              <w:rPr>
                <w:rFonts w:eastAsia="Calibri" w:cstheme="minorHAnsi"/>
                <w:spacing w:val="1"/>
                <w:position w:val="1"/>
                <w:sz w:val="20"/>
                <w:szCs w:val="20"/>
                <w:lang w:val="en-US"/>
              </w:rPr>
              <w:t>o</w:t>
            </w:r>
            <w:r w:rsidRPr="00847BA6">
              <w:rPr>
                <w:rFonts w:eastAsia="Calibri" w:cstheme="minorHAnsi"/>
                <w:position w:val="1"/>
                <w:sz w:val="20"/>
                <w:szCs w:val="20"/>
                <w:lang w:val="en-US"/>
              </w:rPr>
              <w:t>f</w:t>
            </w:r>
            <w:r w:rsidRPr="00847BA6">
              <w:rPr>
                <w:rFonts w:eastAsia="Calibri" w:cstheme="minorHAnsi"/>
                <w:spacing w:val="-2"/>
                <w:position w:val="1"/>
                <w:sz w:val="20"/>
                <w:szCs w:val="20"/>
                <w:lang w:val="en-US"/>
              </w:rPr>
              <w:t xml:space="preserve"> </w:t>
            </w:r>
            <w:r w:rsidRPr="00847BA6">
              <w:rPr>
                <w:rFonts w:eastAsia="Calibri" w:cstheme="minorHAnsi"/>
                <w:spacing w:val="1"/>
                <w:position w:val="1"/>
                <w:sz w:val="20"/>
                <w:szCs w:val="20"/>
                <w:lang w:val="en-US"/>
              </w:rPr>
              <w:t>H</w:t>
            </w:r>
            <w:r w:rsidRPr="00847BA6">
              <w:rPr>
                <w:rFonts w:eastAsia="Calibri" w:cstheme="minorHAnsi"/>
                <w:spacing w:val="2"/>
                <w:position w:val="1"/>
                <w:sz w:val="20"/>
                <w:szCs w:val="20"/>
                <w:lang w:val="en-US"/>
              </w:rPr>
              <w:t>R</w:t>
            </w:r>
            <w:r w:rsidRPr="00847BA6">
              <w:rPr>
                <w:rFonts w:eastAsia="Calibri" w:cstheme="minorHAnsi"/>
                <w:position w:val="1"/>
                <w:sz w:val="20"/>
                <w:szCs w:val="20"/>
                <w:lang w:val="en-US"/>
              </w:rPr>
              <w:t>A A</w:t>
            </w:r>
            <w:r w:rsidRPr="00847BA6">
              <w:rPr>
                <w:rFonts w:eastAsia="Calibri" w:cstheme="minorHAnsi"/>
                <w:spacing w:val="1"/>
                <w:position w:val="1"/>
                <w:sz w:val="20"/>
                <w:szCs w:val="20"/>
                <w:lang w:val="en-US"/>
              </w:rPr>
              <w:t>pp</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o</w:t>
            </w:r>
            <w:r w:rsidRPr="00847BA6">
              <w:rPr>
                <w:rFonts w:eastAsia="Calibri" w:cstheme="minorHAnsi"/>
                <w:spacing w:val="-1"/>
                <w:position w:val="1"/>
                <w:sz w:val="20"/>
                <w:szCs w:val="20"/>
                <w:lang w:val="en-US"/>
              </w:rPr>
              <w:t>v</w:t>
            </w:r>
            <w:r w:rsidRPr="00847BA6">
              <w:rPr>
                <w:rFonts w:eastAsia="Calibri" w:cstheme="minorHAnsi"/>
                <w:spacing w:val="1"/>
                <w:position w:val="1"/>
                <w:sz w:val="20"/>
                <w:szCs w:val="20"/>
                <w:lang w:val="en-US"/>
              </w:rPr>
              <w:t>a</w:t>
            </w:r>
            <w:r w:rsidRPr="00847BA6">
              <w:rPr>
                <w:rFonts w:eastAsia="Calibri" w:cstheme="minorHAnsi"/>
                <w:position w:val="1"/>
                <w:sz w:val="20"/>
                <w:szCs w:val="20"/>
                <w:lang w:val="en-US"/>
              </w:rPr>
              <w:t>l</w:t>
            </w:r>
            <w:r w:rsidRPr="00847BA6">
              <w:rPr>
                <w:rFonts w:eastAsia="Calibri" w:cstheme="minorHAnsi"/>
                <w:spacing w:val="-7"/>
                <w:position w:val="1"/>
                <w:sz w:val="20"/>
                <w:szCs w:val="20"/>
                <w:lang w:val="en-US"/>
              </w:rPr>
              <w:t xml:space="preserve"> operational </w:t>
            </w:r>
            <w:r w:rsidRPr="00847BA6">
              <w:rPr>
                <w:rFonts w:eastAsia="Calibri" w:cstheme="minorHAnsi"/>
                <w:spacing w:val="1"/>
                <w:position w:val="1"/>
                <w:sz w:val="20"/>
                <w:szCs w:val="20"/>
                <w:lang w:val="en-US"/>
              </w:rPr>
              <w:t>p</w:t>
            </w:r>
            <w:r w:rsidRPr="00847BA6">
              <w:rPr>
                <w:rFonts w:eastAsia="Calibri" w:cstheme="minorHAnsi"/>
                <w:spacing w:val="-1"/>
                <w:position w:val="1"/>
                <w:sz w:val="20"/>
                <w:szCs w:val="20"/>
                <w:lang w:val="en-US"/>
              </w:rPr>
              <w:t>e</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f</w:t>
            </w:r>
            <w:r w:rsidRPr="00847BA6">
              <w:rPr>
                <w:rFonts w:eastAsia="Calibri" w:cstheme="minorHAnsi"/>
                <w:spacing w:val="1"/>
                <w:position w:val="1"/>
                <w:sz w:val="20"/>
                <w:szCs w:val="20"/>
                <w:lang w:val="en-US"/>
              </w:rPr>
              <w:t>o</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m</w:t>
            </w:r>
            <w:r w:rsidRPr="00847BA6">
              <w:rPr>
                <w:rFonts w:eastAsia="Calibri" w:cstheme="minorHAnsi"/>
                <w:spacing w:val="1"/>
                <w:position w:val="1"/>
                <w:sz w:val="20"/>
                <w:szCs w:val="20"/>
                <w:lang w:val="en-US"/>
              </w:rPr>
              <w:t>an</w:t>
            </w:r>
            <w:r w:rsidRPr="00847BA6">
              <w:rPr>
                <w:rFonts w:eastAsia="Calibri" w:cstheme="minorHAnsi"/>
                <w:spacing w:val="2"/>
                <w:position w:val="1"/>
                <w:sz w:val="20"/>
                <w:szCs w:val="20"/>
                <w:lang w:val="en-US"/>
              </w:rPr>
              <w:t>c</w:t>
            </w:r>
            <w:r w:rsidRPr="00847BA6">
              <w:rPr>
                <w:rFonts w:eastAsia="Calibri" w:cstheme="minorHAnsi"/>
                <w:position w:val="1"/>
                <w:sz w:val="20"/>
                <w:szCs w:val="20"/>
                <w:lang w:val="en-US"/>
              </w:rPr>
              <w:t>e</w:t>
            </w:r>
            <w:r w:rsidRPr="00847BA6">
              <w:rPr>
                <w:rFonts w:eastAsia="Calibri" w:cstheme="minorHAnsi"/>
                <w:spacing w:val="-11"/>
                <w:position w:val="1"/>
                <w:sz w:val="20"/>
                <w:szCs w:val="20"/>
                <w:lang w:val="en-US"/>
              </w:rPr>
              <w:t xml:space="preserve"> </w:t>
            </w:r>
          </w:p>
        </w:tc>
      </w:tr>
      <w:tr w:rsidR="006A743C" w:rsidRPr="00C90060" w:rsidTr="001B1EC0">
        <w:tc>
          <w:tcPr>
            <w:tcW w:w="2628" w:type="dxa"/>
          </w:tcPr>
          <w:p w:rsidR="006A743C" w:rsidRDefault="006A743C" w:rsidP="001B1EC0">
            <w:pPr>
              <w:rPr>
                <w:rFonts w:cstheme="minorHAnsi"/>
                <w:b/>
              </w:rPr>
            </w:pPr>
            <w:r w:rsidRPr="00C90060">
              <w:rPr>
                <w:rFonts w:cstheme="minorHAnsi"/>
                <w:b/>
              </w:rPr>
              <w:t>Reason for Submission:</w:t>
            </w:r>
          </w:p>
          <w:p w:rsidR="006A743C" w:rsidRPr="00C90060" w:rsidRDefault="006A743C" w:rsidP="001B1EC0">
            <w:pPr>
              <w:rPr>
                <w:rFonts w:cstheme="minorHAnsi"/>
                <w:b/>
              </w:rPr>
            </w:pPr>
          </w:p>
          <w:p w:rsidR="006A743C" w:rsidRPr="00C90060" w:rsidRDefault="006A743C" w:rsidP="001B1EC0">
            <w:pPr>
              <w:rPr>
                <w:rFonts w:cstheme="minorHAnsi"/>
                <w:b/>
              </w:rPr>
            </w:pPr>
          </w:p>
        </w:tc>
        <w:tc>
          <w:tcPr>
            <w:tcW w:w="6320" w:type="dxa"/>
          </w:tcPr>
          <w:p w:rsidR="006A743C" w:rsidRPr="00847BA6" w:rsidRDefault="006A743C" w:rsidP="001B1EC0">
            <w:pPr>
              <w:widowControl w:val="0"/>
              <w:spacing w:line="242" w:lineRule="exact"/>
              <w:ind w:left="102" w:right="-20"/>
              <w:rPr>
                <w:rFonts w:eastAsia="Calibri" w:cstheme="minorHAnsi"/>
                <w:sz w:val="20"/>
                <w:szCs w:val="20"/>
                <w:lang w:val="en-US"/>
              </w:rPr>
            </w:pPr>
            <w:r w:rsidRPr="00847BA6">
              <w:rPr>
                <w:rFonts w:eastAsia="Calibri" w:cstheme="minorHAnsi"/>
                <w:sz w:val="20"/>
                <w:szCs w:val="20"/>
                <w:lang w:val="en-US"/>
              </w:rPr>
              <w:t xml:space="preserve">To give visibility of progress towards achieving stable operational delivery following implementation on 31 March 2016. </w:t>
            </w:r>
          </w:p>
        </w:tc>
      </w:tr>
      <w:tr w:rsidR="006A743C" w:rsidRPr="00C90060" w:rsidTr="001B1EC0">
        <w:tc>
          <w:tcPr>
            <w:tcW w:w="2628" w:type="dxa"/>
          </w:tcPr>
          <w:p w:rsidR="006A743C" w:rsidRDefault="006A743C" w:rsidP="001B1EC0">
            <w:pPr>
              <w:rPr>
                <w:rFonts w:cstheme="minorHAnsi"/>
                <w:b/>
              </w:rPr>
            </w:pPr>
            <w:r w:rsidRPr="00C90060">
              <w:rPr>
                <w:rFonts w:cstheme="minorHAnsi"/>
                <w:b/>
              </w:rPr>
              <w:t>Details:</w:t>
            </w:r>
          </w:p>
          <w:p w:rsidR="006A743C" w:rsidRDefault="006A743C" w:rsidP="001B1EC0">
            <w:pPr>
              <w:rPr>
                <w:rFonts w:cstheme="minorHAnsi"/>
                <w:b/>
              </w:rPr>
            </w:pPr>
          </w:p>
          <w:p w:rsidR="006A743C" w:rsidRPr="00C90060" w:rsidRDefault="006A743C" w:rsidP="001B1EC0">
            <w:pPr>
              <w:rPr>
                <w:rFonts w:cstheme="minorHAnsi"/>
                <w:b/>
              </w:rPr>
            </w:pPr>
          </w:p>
        </w:tc>
        <w:tc>
          <w:tcPr>
            <w:tcW w:w="6320" w:type="dxa"/>
          </w:tcPr>
          <w:p w:rsidR="006A743C" w:rsidRPr="00847BA6" w:rsidRDefault="006A743C" w:rsidP="006A743C">
            <w:pPr>
              <w:widowControl w:val="0"/>
              <w:spacing w:line="242" w:lineRule="exact"/>
              <w:ind w:left="102" w:right="-20"/>
              <w:rPr>
                <w:rFonts w:eastAsia="Calibri" w:cstheme="minorHAnsi"/>
                <w:position w:val="1"/>
                <w:sz w:val="20"/>
                <w:szCs w:val="20"/>
                <w:lang w:val="en-US"/>
              </w:rPr>
            </w:pPr>
            <w:r w:rsidRPr="00847BA6">
              <w:rPr>
                <w:rFonts w:eastAsia="Calibri" w:cstheme="minorHAnsi"/>
                <w:position w:val="1"/>
                <w:sz w:val="20"/>
                <w:szCs w:val="20"/>
                <w:lang w:val="en-US"/>
              </w:rPr>
              <w:t>The report includes data to the end of October.  It will focus on the 3 main work streams of:</w:t>
            </w:r>
          </w:p>
          <w:p w:rsidR="006A743C" w:rsidRPr="00847BA6" w:rsidRDefault="006A743C" w:rsidP="006A743C">
            <w:pPr>
              <w:pStyle w:val="ListParagraph"/>
              <w:widowControl w:val="0"/>
              <w:numPr>
                <w:ilvl w:val="0"/>
                <w:numId w:val="4"/>
              </w:numPr>
              <w:spacing w:line="242" w:lineRule="exact"/>
              <w:ind w:right="-20"/>
              <w:rPr>
                <w:rFonts w:eastAsia="Calibri" w:cstheme="minorHAnsi"/>
                <w:position w:val="1"/>
                <w:sz w:val="20"/>
                <w:szCs w:val="20"/>
                <w:lang w:val="en-US"/>
              </w:rPr>
            </w:pPr>
            <w:r w:rsidRPr="00847BA6">
              <w:rPr>
                <w:rFonts w:eastAsia="Calibri" w:cstheme="minorHAnsi"/>
                <w:position w:val="1"/>
                <w:sz w:val="20"/>
                <w:szCs w:val="20"/>
                <w:lang w:val="en-US"/>
              </w:rPr>
              <w:t xml:space="preserve">HRA Applications </w:t>
            </w:r>
          </w:p>
          <w:p w:rsidR="006A743C" w:rsidRPr="00847BA6" w:rsidRDefault="006A743C" w:rsidP="006A743C">
            <w:pPr>
              <w:pStyle w:val="ListParagraph"/>
              <w:widowControl w:val="0"/>
              <w:numPr>
                <w:ilvl w:val="0"/>
                <w:numId w:val="4"/>
              </w:numPr>
              <w:spacing w:line="242" w:lineRule="exact"/>
              <w:ind w:right="-20"/>
              <w:rPr>
                <w:rFonts w:eastAsia="Calibri" w:cstheme="minorHAnsi"/>
                <w:position w:val="1"/>
                <w:sz w:val="20"/>
                <w:szCs w:val="20"/>
                <w:lang w:val="en-US"/>
              </w:rPr>
            </w:pPr>
            <w:r w:rsidRPr="00847BA6">
              <w:rPr>
                <w:rFonts w:eastAsia="Calibri" w:cstheme="minorHAnsi"/>
                <w:position w:val="1"/>
                <w:sz w:val="20"/>
                <w:szCs w:val="20"/>
                <w:lang w:val="en-US"/>
              </w:rPr>
              <w:t>Amendments</w:t>
            </w:r>
          </w:p>
          <w:p w:rsidR="006A743C" w:rsidRPr="00847BA6" w:rsidRDefault="006A743C" w:rsidP="006A743C">
            <w:pPr>
              <w:widowControl w:val="0"/>
              <w:spacing w:line="242" w:lineRule="exact"/>
              <w:ind w:left="102" w:right="-20"/>
              <w:rPr>
                <w:rFonts w:eastAsia="Calibri" w:cstheme="minorHAnsi"/>
                <w:position w:val="1"/>
                <w:sz w:val="20"/>
                <w:szCs w:val="20"/>
                <w:lang w:val="en-US"/>
              </w:rPr>
            </w:pPr>
            <w:r w:rsidRPr="00847BA6">
              <w:rPr>
                <w:rFonts w:eastAsia="Calibri" w:cstheme="minorHAnsi"/>
                <w:position w:val="1"/>
                <w:sz w:val="20"/>
                <w:szCs w:val="20"/>
                <w:lang w:val="en-US"/>
              </w:rPr>
              <w:t>3.   Studies set up using pre-HRA Approval processes</w:t>
            </w:r>
          </w:p>
        </w:tc>
      </w:tr>
      <w:tr w:rsidR="006A743C" w:rsidRPr="00C90060" w:rsidTr="001B1EC0">
        <w:tc>
          <w:tcPr>
            <w:tcW w:w="2628" w:type="dxa"/>
          </w:tcPr>
          <w:p w:rsidR="006A743C" w:rsidRDefault="006A743C" w:rsidP="001B1EC0">
            <w:pPr>
              <w:rPr>
                <w:rFonts w:cstheme="minorHAnsi"/>
                <w:b/>
              </w:rPr>
            </w:pPr>
            <w:r>
              <w:rPr>
                <w:rFonts w:cstheme="minorHAnsi"/>
                <w:b/>
              </w:rPr>
              <w:t>Time required for item:</w:t>
            </w:r>
          </w:p>
          <w:p w:rsidR="006A743C" w:rsidRDefault="006A743C" w:rsidP="001B1EC0">
            <w:pPr>
              <w:rPr>
                <w:rFonts w:cstheme="minorHAnsi"/>
                <w:b/>
              </w:rPr>
            </w:pPr>
          </w:p>
          <w:p w:rsidR="006A743C" w:rsidRPr="00C90060" w:rsidRDefault="006A743C" w:rsidP="001B1EC0">
            <w:pPr>
              <w:rPr>
                <w:rFonts w:cstheme="minorHAnsi"/>
                <w:b/>
              </w:rPr>
            </w:pPr>
          </w:p>
        </w:tc>
        <w:tc>
          <w:tcPr>
            <w:tcW w:w="6320" w:type="dxa"/>
          </w:tcPr>
          <w:p w:rsidR="006A743C" w:rsidRPr="00847BA6" w:rsidRDefault="006A743C" w:rsidP="001B1EC0">
            <w:pPr>
              <w:widowControl w:val="0"/>
              <w:spacing w:line="242" w:lineRule="exact"/>
              <w:ind w:left="102" w:right="-20"/>
              <w:rPr>
                <w:rFonts w:eastAsia="Calibri" w:cstheme="minorHAnsi"/>
                <w:position w:val="1"/>
                <w:sz w:val="20"/>
                <w:szCs w:val="20"/>
                <w:lang w:val="en-US"/>
              </w:rPr>
            </w:pPr>
            <w:r>
              <w:rPr>
                <w:rFonts w:eastAsia="Calibri" w:cstheme="minorHAnsi"/>
                <w:position w:val="1"/>
                <w:sz w:val="20"/>
                <w:szCs w:val="20"/>
                <w:lang w:val="en-US"/>
              </w:rPr>
              <w:t>15 minutes</w:t>
            </w:r>
          </w:p>
        </w:tc>
      </w:tr>
    </w:tbl>
    <w:p w:rsidR="006A743C" w:rsidRPr="00C90060" w:rsidRDefault="006A743C" w:rsidP="006A743C">
      <w:pPr>
        <w:spacing w:after="0"/>
        <w:rPr>
          <w:rFonts w:cstheme="minorHAnsi"/>
          <w:b/>
        </w:rPr>
      </w:pPr>
    </w:p>
    <w:tbl>
      <w:tblPr>
        <w:tblW w:w="0" w:type="auto"/>
        <w:tblInd w:w="94" w:type="dxa"/>
        <w:tblLayout w:type="fixed"/>
        <w:tblCellMar>
          <w:left w:w="0" w:type="dxa"/>
          <w:right w:w="0" w:type="dxa"/>
        </w:tblCellMar>
        <w:tblLook w:val="01E0" w:firstRow="1" w:lastRow="1" w:firstColumn="1" w:lastColumn="1" w:noHBand="0" w:noVBand="0"/>
      </w:tblPr>
      <w:tblGrid>
        <w:gridCol w:w="2628"/>
        <w:gridCol w:w="1166"/>
        <w:gridCol w:w="5158"/>
      </w:tblGrid>
      <w:tr w:rsidR="006A743C" w:rsidRPr="006A743C" w:rsidTr="001B1EC0">
        <w:trPr>
          <w:trHeight w:hRule="exact" w:val="254"/>
        </w:trPr>
        <w:tc>
          <w:tcPr>
            <w:tcW w:w="2628" w:type="dxa"/>
            <w:vMerge w:val="restart"/>
            <w:tcBorders>
              <w:top w:val="single" w:sz="4" w:space="0" w:color="000000"/>
              <w:left w:val="single" w:sz="4" w:space="0" w:color="000000"/>
              <w:right w:val="single" w:sz="4" w:space="0" w:color="000000"/>
            </w:tcBorders>
            <w:shd w:val="clear" w:color="auto" w:fill="DADADA"/>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Recommendation / Proposed Actions:</w:t>
            </w:r>
          </w:p>
        </w:tc>
        <w:tc>
          <w:tcPr>
            <w:tcW w:w="6324" w:type="dxa"/>
            <w:gridSpan w:val="2"/>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For Discussion</w:t>
            </w:r>
          </w:p>
        </w:tc>
      </w:tr>
      <w:tr w:rsidR="006A743C" w:rsidRPr="006A743C" w:rsidTr="001B1EC0">
        <w:trPr>
          <w:trHeight w:hRule="exact" w:val="490"/>
        </w:trPr>
        <w:tc>
          <w:tcPr>
            <w:tcW w:w="2628" w:type="dxa"/>
            <w:vMerge/>
            <w:tcBorders>
              <w:left w:val="single" w:sz="4" w:space="0" w:color="000000"/>
              <w:bottom w:val="single" w:sz="4" w:space="0" w:color="000000"/>
              <w:right w:val="single" w:sz="4" w:space="0" w:color="000000"/>
            </w:tcBorders>
            <w:shd w:val="clear" w:color="auto" w:fill="DADADA"/>
          </w:tcPr>
          <w:p w:rsidR="006A743C" w:rsidRPr="006A743C" w:rsidRDefault="006A743C" w:rsidP="006A743C">
            <w:pPr>
              <w:tabs>
                <w:tab w:val="left" w:pos="1980"/>
              </w:tabs>
              <w:spacing w:after="0" w:line="240" w:lineRule="auto"/>
              <w:rPr>
                <w:rFonts w:cstheme="minorHAnsi"/>
                <w:b/>
                <w:lang w:val="en-US"/>
              </w:rPr>
            </w:pPr>
          </w:p>
        </w:tc>
        <w:tc>
          <w:tcPr>
            <w:tcW w:w="1166" w:type="dxa"/>
            <w:tcBorders>
              <w:top w:val="single" w:sz="4" w:space="0" w:color="000000"/>
              <w:left w:val="single" w:sz="4" w:space="0" w:color="000000"/>
              <w:bottom w:val="single" w:sz="4" w:space="0" w:color="000000"/>
              <w:right w:val="single" w:sz="4" w:space="0" w:color="000000"/>
            </w:tcBorders>
            <w:shd w:val="clear" w:color="auto" w:fill="DADADA"/>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Comments</w:t>
            </w:r>
          </w:p>
        </w:tc>
        <w:tc>
          <w:tcPr>
            <w:tcW w:w="5158" w:type="dxa"/>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b/>
                <w:lang w:val="en-US"/>
              </w:rPr>
            </w:pPr>
          </w:p>
        </w:tc>
      </w:tr>
      <w:tr w:rsidR="006A743C" w:rsidRPr="006A743C" w:rsidTr="001B1EC0">
        <w:trPr>
          <w:trHeight w:hRule="exact" w:val="499"/>
        </w:trPr>
        <w:tc>
          <w:tcPr>
            <w:tcW w:w="2628" w:type="dxa"/>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Name:</w:t>
            </w:r>
          </w:p>
        </w:tc>
        <w:tc>
          <w:tcPr>
            <w:tcW w:w="6319" w:type="dxa"/>
            <w:gridSpan w:val="2"/>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lang w:val="en-US"/>
              </w:rPr>
            </w:pPr>
            <w:r w:rsidRPr="006A743C">
              <w:rPr>
                <w:rFonts w:cstheme="minorHAnsi"/>
                <w:lang w:val="en-US"/>
              </w:rPr>
              <w:t xml:space="preserve">Janet Messer </w:t>
            </w:r>
          </w:p>
        </w:tc>
      </w:tr>
      <w:tr w:rsidR="006A743C" w:rsidRPr="006A743C" w:rsidTr="001B1EC0">
        <w:trPr>
          <w:trHeight w:hRule="exact" w:val="497"/>
        </w:trPr>
        <w:tc>
          <w:tcPr>
            <w:tcW w:w="2628" w:type="dxa"/>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Job Title:</w:t>
            </w:r>
          </w:p>
        </w:tc>
        <w:tc>
          <w:tcPr>
            <w:tcW w:w="6319" w:type="dxa"/>
            <w:gridSpan w:val="2"/>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lang w:val="en-US"/>
              </w:rPr>
            </w:pPr>
            <w:r w:rsidRPr="006A743C">
              <w:rPr>
                <w:rFonts w:cstheme="minorHAnsi"/>
                <w:lang w:val="en-US"/>
              </w:rPr>
              <w:t>Director of Research Systems, Standards and HRA Approval Programme</w:t>
            </w:r>
          </w:p>
        </w:tc>
      </w:tr>
      <w:tr w:rsidR="006A743C" w:rsidRPr="006A743C" w:rsidTr="001B1EC0">
        <w:trPr>
          <w:trHeight w:hRule="exact" w:val="499"/>
        </w:trPr>
        <w:tc>
          <w:tcPr>
            <w:tcW w:w="2628" w:type="dxa"/>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b/>
                <w:lang w:val="en-US"/>
              </w:rPr>
            </w:pPr>
            <w:r w:rsidRPr="006A743C">
              <w:rPr>
                <w:rFonts w:cstheme="minorHAnsi"/>
                <w:b/>
                <w:bCs/>
                <w:lang w:val="en-US"/>
              </w:rPr>
              <w:t>Date:</w:t>
            </w:r>
          </w:p>
        </w:tc>
        <w:tc>
          <w:tcPr>
            <w:tcW w:w="6319" w:type="dxa"/>
            <w:gridSpan w:val="2"/>
            <w:tcBorders>
              <w:top w:val="single" w:sz="4" w:space="0" w:color="000000"/>
              <w:left w:val="single" w:sz="4" w:space="0" w:color="000000"/>
              <w:bottom w:val="single" w:sz="4" w:space="0" w:color="000000"/>
              <w:right w:val="single" w:sz="4" w:space="0" w:color="000000"/>
            </w:tcBorders>
          </w:tcPr>
          <w:p w:rsidR="006A743C" w:rsidRPr="006A743C" w:rsidRDefault="006A743C" w:rsidP="006A743C">
            <w:pPr>
              <w:tabs>
                <w:tab w:val="left" w:pos="1980"/>
              </w:tabs>
              <w:spacing w:after="0" w:line="240" w:lineRule="auto"/>
              <w:rPr>
                <w:rFonts w:cstheme="minorHAnsi"/>
                <w:lang w:val="en-US"/>
              </w:rPr>
            </w:pPr>
            <w:r>
              <w:rPr>
                <w:rFonts w:cstheme="minorHAnsi"/>
                <w:lang w:val="en-US"/>
              </w:rPr>
              <w:t>15 February 2017</w:t>
            </w:r>
          </w:p>
        </w:tc>
      </w:tr>
    </w:tbl>
    <w:p w:rsidR="006A743C" w:rsidRDefault="006A743C" w:rsidP="006A743C">
      <w:pPr>
        <w:tabs>
          <w:tab w:val="left" w:pos="1980"/>
        </w:tabs>
        <w:spacing w:after="0" w:line="240" w:lineRule="auto"/>
        <w:rPr>
          <w:rFonts w:cstheme="minorHAnsi"/>
          <w:b/>
        </w:rPr>
      </w:pPr>
    </w:p>
    <w:p w:rsidR="006A743C" w:rsidRDefault="006A743C">
      <w:pPr>
        <w:rPr>
          <w:rFonts w:cstheme="minorHAnsi"/>
          <w:b/>
        </w:rPr>
      </w:pPr>
      <w:r>
        <w:rPr>
          <w:rFonts w:cstheme="minorHAnsi"/>
          <w:b/>
        </w:rPr>
        <w:br w:type="page"/>
      </w:r>
    </w:p>
    <w:p w:rsidR="000B2CDA" w:rsidRDefault="000B2CDA" w:rsidP="000B2CDA">
      <w:pPr>
        <w:pStyle w:val="Title"/>
        <w:rPr>
          <w:rFonts w:ascii="Arial" w:eastAsia="MS Gothic" w:hAnsi="Arial" w:cs="Times New Roman"/>
          <w:bCs/>
          <w:color w:val="331188"/>
          <w:sz w:val="66"/>
          <w:szCs w:val="32"/>
        </w:rPr>
      </w:pPr>
      <w:r>
        <w:rPr>
          <w:rFonts w:ascii="Arial" w:eastAsia="MS Gothic" w:hAnsi="Arial" w:cs="Times New Roman"/>
          <w:bCs/>
          <w:color w:val="331188"/>
          <w:sz w:val="66"/>
          <w:szCs w:val="32"/>
        </w:rPr>
        <w:lastRenderedPageBreak/>
        <w:t xml:space="preserve">HRA Approval Programme Assurance Report: </w:t>
      </w:r>
    </w:p>
    <w:p w:rsidR="000B2CDA" w:rsidRDefault="000B2CDA" w:rsidP="000B2CDA">
      <w:pPr>
        <w:pStyle w:val="Title"/>
        <w:rPr>
          <w:rFonts w:ascii="Arial" w:eastAsia="MS Gothic" w:hAnsi="Arial" w:cs="Times New Roman"/>
          <w:bCs/>
          <w:color w:val="331188"/>
          <w:sz w:val="66"/>
          <w:szCs w:val="32"/>
        </w:rPr>
      </w:pPr>
      <w:r>
        <w:rPr>
          <w:rFonts w:ascii="Arial" w:eastAsia="MS Gothic" w:hAnsi="Arial" w:cs="Times New Roman"/>
          <w:bCs/>
          <w:color w:val="331188"/>
          <w:sz w:val="66"/>
          <w:szCs w:val="32"/>
        </w:rPr>
        <w:t xml:space="preserve">HRA Approval Delivery </w:t>
      </w: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before="11" w:after="0" w:line="220" w:lineRule="exact"/>
        <w:rPr>
          <w:rFonts w:ascii="Calibri" w:eastAsia="Calibri" w:hAnsi="Calibri" w:cs="Times New Roman"/>
          <w:lang w:val="en-US"/>
        </w:rPr>
      </w:pPr>
    </w:p>
    <w:p w:rsidR="00410A49" w:rsidRPr="00410A49" w:rsidRDefault="00410A49" w:rsidP="00410A49">
      <w:pPr>
        <w:widowControl w:val="0"/>
        <w:spacing w:after="0" w:line="240" w:lineRule="auto"/>
        <w:ind w:left="3199" w:right="-20"/>
        <w:rPr>
          <w:rFonts w:ascii="Times New Roman" w:eastAsia="Times New Roman" w:hAnsi="Times New Roman" w:cs="Times New Roman"/>
          <w:sz w:val="20"/>
          <w:szCs w:val="20"/>
          <w:lang w:val="en-US"/>
        </w:rPr>
      </w:pPr>
      <w:r>
        <w:rPr>
          <w:rFonts w:ascii="Calibri" w:eastAsia="Calibri" w:hAnsi="Calibri" w:cs="Times New Roman"/>
          <w:noProof/>
          <w:lang w:eastAsia="en-GB"/>
        </w:rPr>
        <w:drawing>
          <wp:inline distT="0" distB="0" distL="0" distR="0" wp14:anchorId="37DA4786" wp14:editId="4BF6B3F9">
            <wp:extent cx="4371975" cy="437197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4371975"/>
                    </a:xfrm>
                    <a:prstGeom prst="rect">
                      <a:avLst/>
                    </a:prstGeom>
                    <a:noFill/>
                    <a:ln>
                      <a:noFill/>
                    </a:ln>
                  </pic:spPr>
                </pic:pic>
              </a:graphicData>
            </a:graphic>
          </wp:inline>
        </w:drawing>
      </w:r>
    </w:p>
    <w:tbl>
      <w:tblPr>
        <w:tblW w:w="0" w:type="auto"/>
        <w:tblInd w:w="94" w:type="dxa"/>
        <w:tblLayout w:type="fixed"/>
        <w:tblCellMar>
          <w:left w:w="0" w:type="dxa"/>
          <w:right w:w="0" w:type="dxa"/>
        </w:tblCellMar>
        <w:tblLook w:val="01E0" w:firstRow="1" w:lastRow="1" w:firstColumn="1" w:lastColumn="1" w:noHBand="0" w:noVBand="0"/>
      </w:tblPr>
      <w:tblGrid>
        <w:gridCol w:w="1951"/>
        <w:gridCol w:w="3970"/>
      </w:tblGrid>
      <w:tr w:rsidR="00410A49" w:rsidRPr="00410A49" w:rsidTr="00410A49">
        <w:trPr>
          <w:trHeight w:hRule="exact" w:val="516"/>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2"/>
                <w:lang w:val="en-US"/>
              </w:rPr>
              <w:t>T</w:t>
            </w:r>
            <w:r w:rsidRPr="00410A49">
              <w:rPr>
                <w:rFonts w:ascii="Arial" w:eastAsia="Arial" w:hAnsi="Arial" w:cs="Arial"/>
                <w:spacing w:val="-1"/>
                <w:lang w:val="en-US"/>
              </w:rPr>
              <w:t>i</w:t>
            </w:r>
            <w:r w:rsidRPr="00410A49">
              <w:rPr>
                <w:rFonts w:ascii="Arial" w:eastAsia="Arial" w:hAnsi="Arial" w:cs="Arial"/>
                <w:spacing w:val="1"/>
                <w:lang w:val="en-US"/>
              </w:rPr>
              <w:t>t</w:t>
            </w:r>
            <w:r w:rsidRPr="00410A49">
              <w:rPr>
                <w:rFonts w:ascii="Arial" w:eastAsia="Arial" w:hAnsi="Arial" w:cs="Arial"/>
                <w:spacing w:val="-1"/>
                <w:lang w:val="en-US"/>
              </w:rPr>
              <w:t>l</w:t>
            </w:r>
            <w:r w:rsidRPr="00410A49">
              <w:rPr>
                <w:rFonts w:ascii="Arial" w:eastAsia="Arial" w:hAnsi="Arial" w:cs="Arial"/>
                <w:lang w:val="en-US"/>
              </w:rPr>
              <w:t>e</w:t>
            </w:r>
            <w:r w:rsidRPr="00410A49">
              <w:rPr>
                <w:rFonts w:ascii="Arial" w:eastAsia="Arial" w:hAnsi="Arial" w:cs="Arial"/>
                <w:spacing w:val="-1"/>
                <w:lang w:val="en-US"/>
              </w:rPr>
              <w:t>:</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0B2CDA" w:rsidP="005E6B04">
            <w:pPr>
              <w:widowControl w:val="0"/>
              <w:spacing w:after="0" w:line="250" w:lineRule="exact"/>
              <w:ind w:left="102" w:right="-20"/>
              <w:rPr>
                <w:rFonts w:ascii="Arial" w:eastAsia="Arial" w:hAnsi="Arial" w:cs="Arial"/>
                <w:lang w:val="en-US"/>
              </w:rPr>
            </w:pPr>
            <w:r w:rsidRPr="0016288D">
              <w:rPr>
                <w:rFonts w:ascii="Arial" w:hAnsi="Arial" w:cs="Arial"/>
              </w:rPr>
              <w:t>HRA Approval Delivery Report</w:t>
            </w:r>
          </w:p>
        </w:tc>
      </w:tr>
      <w:tr w:rsidR="00410A49" w:rsidRPr="00410A49" w:rsidTr="00410A49">
        <w:trPr>
          <w:trHeight w:hRule="exact" w:val="516"/>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D</w:t>
            </w:r>
            <w:r w:rsidRPr="00410A49">
              <w:rPr>
                <w:rFonts w:ascii="Arial" w:eastAsia="Arial" w:hAnsi="Arial" w:cs="Arial"/>
                <w:lang w:val="en-US"/>
              </w:rPr>
              <w:t>ocu</w:t>
            </w:r>
            <w:r w:rsidRPr="00410A49">
              <w:rPr>
                <w:rFonts w:ascii="Arial" w:eastAsia="Arial" w:hAnsi="Arial" w:cs="Arial"/>
                <w:spacing w:val="1"/>
                <w:lang w:val="en-US"/>
              </w:rPr>
              <w:t>m</w:t>
            </w:r>
            <w:r w:rsidRPr="00410A49">
              <w:rPr>
                <w:rFonts w:ascii="Arial" w:eastAsia="Arial" w:hAnsi="Arial" w:cs="Arial"/>
                <w:lang w:val="en-US"/>
              </w:rPr>
              <w:t>ent</w:t>
            </w:r>
          </w:p>
          <w:p w:rsidR="00410A49" w:rsidRPr="00410A49" w:rsidRDefault="00410A49" w:rsidP="00410A4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V</w:t>
            </w:r>
            <w:r w:rsidRPr="00410A49">
              <w:rPr>
                <w:rFonts w:ascii="Arial" w:eastAsia="Arial" w:hAnsi="Arial" w:cs="Arial"/>
                <w:lang w:val="en-US"/>
              </w:rPr>
              <w:t>e</w:t>
            </w:r>
            <w:r w:rsidRPr="00410A49">
              <w:rPr>
                <w:rFonts w:ascii="Arial" w:eastAsia="Arial" w:hAnsi="Arial" w:cs="Arial"/>
                <w:spacing w:val="1"/>
                <w:lang w:val="en-US"/>
              </w:rPr>
              <w:t>r</w:t>
            </w:r>
            <w:r w:rsidRPr="00410A49">
              <w:rPr>
                <w:rFonts w:ascii="Arial" w:eastAsia="Arial" w:hAnsi="Arial" w:cs="Arial"/>
                <w:lang w:val="en-US"/>
              </w:rPr>
              <w:t>s</w:t>
            </w:r>
            <w:r w:rsidRPr="00410A49">
              <w:rPr>
                <w:rFonts w:ascii="Arial" w:eastAsia="Arial" w:hAnsi="Arial" w:cs="Arial"/>
                <w:spacing w:val="-1"/>
                <w:lang w:val="en-US"/>
              </w:rPr>
              <w:t>i</w:t>
            </w:r>
            <w:r w:rsidRPr="00410A49">
              <w:rPr>
                <w:rFonts w:ascii="Arial" w:eastAsia="Arial" w:hAnsi="Arial" w:cs="Arial"/>
                <w:lang w:val="en-US"/>
              </w:rPr>
              <w:t>on</w:t>
            </w:r>
            <w:r w:rsidRPr="00410A49">
              <w:rPr>
                <w:rFonts w:ascii="Arial" w:eastAsia="Arial" w:hAnsi="Arial" w:cs="Arial"/>
                <w:spacing w:val="1"/>
                <w:lang w:val="en-US"/>
              </w:rPr>
              <w:t xml:space="preserve"> </w:t>
            </w:r>
            <w:r w:rsidRPr="00410A49">
              <w:rPr>
                <w:rFonts w:ascii="Arial" w:eastAsia="Arial" w:hAnsi="Arial" w:cs="Arial"/>
                <w:spacing w:val="-1"/>
                <w:lang w:val="en-US"/>
              </w:rPr>
              <w:t>N</w:t>
            </w:r>
            <w:r w:rsidRPr="00410A49">
              <w:rPr>
                <w:rFonts w:ascii="Arial" w:eastAsia="Arial" w:hAnsi="Arial" w:cs="Arial"/>
                <w:lang w:val="en-US"/>
              </w:rPr>
              <w:t>u</w:t>
            </w:r>
            <w:r w:rsidRPr="00410A49">
              <w:rPr>
                <w:rFonts w:ascii="Arial" w:eastAsia="Arial" w:hAnsi="Arial" w:cs="Arial"/>
                <w:spacing w:val="1"/>
                <w:lang w:val="en-US"/>
              </w:rPr>
              <w:t>m</w:t>
            </w:r>
            <w:r w:rsidRPr="00410A49">
              <w:rPr>
                <w:rFonts w:ascii="Arial" w:eastAsia="Arial" w:hAnsi="Arial" w:cs="Arial"/>
                <w:lang w:val="en-US"/>
              </w:rPr>
              <w:t>b</w:t>
            </w:r>
            <w:r w:rsidRPr="00410A49">
              <w:rPr>
                <w:rFonts w:ascii="Arial" w:eastAsia="Arial" w:hAnsi="Arial" w:cs="Arial"/>
                <w:spacing w:val="-3"/>
                <w:lang w:val="en-US"/>
              </w:rPr>
              <w:t>e</w:t>
            </w:r>
            <w:r w:rsidRPr="00410A49">
              <w:rPr>
                <w:rFonts w:ascii="Arial" w:eastAsia="Arial" w:hAnsi="Arial" w:cs="Arial"/>
                <w:spacing w:val="1"/>
                <w:lang w:val="en-US"/>
              </w:rPr>
              <w:t>r</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6A743C" w:rsidP="001E0413">
            <w:pPr>
              <w:widowControl w:val="0"/>
              <w:spacing w:after="0" w:line="250" w:lineRule="exact"/>
              <w:ind w:left="102" w:right="-20"/>
              <w:rPr>
                <w:rFonts w:ascii="Arial" w:eastAsia="Arial" w:hAnsi="Arial" w:cs="Arial"/>
                <w:lang w:val="en-US"/>
              </w:rPr>
            </w:pPr>
            <w:r>
              <w:rPr>
                <w:rFonts w:ascii="Arial" w:eastAsia="Arial" w:hAnsi="Arial" w:cs="Arial"/>
                <w:lang w:val="en-US"/>
              </w:rPr>
              <w:t>1.2</w:t>
            </w:r>
          </w:p>
        </w:tc>
      </w:tr>
      <w:tr w:rsidR="00410A49" w:rsidRPr="00410A49" w:rsidTr="00410A49">
        <w:trPr>
          <w:trHeight w:hRule="exact" w:val="262"/>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I</w:t>
            </w:r>
            <w:r w:rsidRPr="00410A49">
              <w:rPr>
                <w:rFonts w:ascii="Arial" w:eastAsia="Arial" w:hAnsi="Arial" w:cs="Arial"/>
                <w:lang w:val="en-US"/>
              </w:rPr>
              <w:t>ssue</w:t>
            </w:r>
            <w:r w:rsidRPr="00410A49">
              <w:rPr>
                <w:rFonts w:ascii="Arial" w:eastAsia="Arial" w:hAnsi="Arial" w:cs="Arial"/>
                <w:spacing w:val="1"/>
                <w:lang w:val="en-US"/>
              </w:rPr>
              <w:t xml:space="preserve"> </w:t>
            </w:r>
            <w:r w:rsidRPr="00410A49">
              <w:rPr>
                <w:rFonts w:ascii="Arial" w:eastAsia="Arial" w:hAnsi="Arial" w:cs="Arial"/>
                <w:spacing w:val="-1"/>
                <w:lang w:val="en-US"/>
              </w:rPr>
              <w:t>D</w:t>
            </w:r>
            <w:r w:rsidRPr="00410A49">
              <w:rPr>
                <w:rFonts w:ascii="Arial" w:eastAsia="Arial" w:hAnsi="Arial" w:cs="Arial"/>
                <w:spacing w:val="-3"/>
                <w:lang w:val="en-US"/>
              </w:rPr>
              <w:t>a</w:t>
            </w:r>
            <w:r w:rsidRPr="00410A49">
              <w:rPr>
                <w:rFonts w:ascii="Arial" w:eastAsia="Arial" w:hAnsi="Arial" w:cs="Arial"/>
                <w:spacing w:val="1"/>
                <w:lang w:val="en-US"/>
              </w:rPr>
              <w:t>t</w:t>
            </w:r>
            <w:r w:rsidRPr="00410A49">
              <w:rPr>
                <w:rFonts w:ascii="Arial" w:eastAsia="Arial" w:hAnsi="Arial" w:cs="Arial"/>
                <w:lang w:val="en-US"/>
              </w:rPr>
              <w:t>e:</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6A743C" w:rsidP="002F10E6">
            <w:pPr>
              <w:widowControl w:val="0"/>
              <w:spacing w:after="0" w:line="250" w:lineRule="exact"/>
              <w:ind w:left="102" w:right="-20"/>
              <w:rPr>
                <w:rFonts w:ascii="Arial" w:eastAsia="Arial" w:hAnsi="Arial" w:cs="Arial"/>
                <w:lang w:val="en-US"/>
              </w:rPr>
            </w:pPr>
            <w:r>
              <w:rPr>
                <w:rFonts w:ascii="Arial" w:eastAsia="Arial" w:hAnsi="Arial" w:cs="Arial"/>
                <w:lang w:val="en-US"/>
              </w:rPr>
              <w:t>15</w:t>
            </w:r>
            <w:r w:rsidR="005E6B04">
              <w:rPr>
                <w:rFonts w:ascii="Arial" w:eastAsia="Arial" w:hAnsi="Arial" w:cs="Arial"/>
                <w:lang w:val="en-US"/>
              </w:rPr>
              <w:t>/</w:t>
            </w:r>
            <w:r w:rsidR="002F10E6">
              <w:rPr>
                <w:rFonts w:ascii="Arial" w:eastAsia="Arial" w:hAnsi="Arial" w:cs="Arial"/>
                <w:lang w:val="en-US"/>
              </w:rPr>
              <w:t>02</w:t>
            </w:r>
            <w:r w:rsidR="005E6B04">
              <w:rPr>
                <w:rFonts w:ascii="Arial" w:eastAsia="Arial" w:hAnsi="Arial" w:cs="Arial"/>
                <w:lang w:val="en-US"/>
              </w:rPr>
              <w:t>/1</w:t>
            </w:r>
            <w:r w:rsidR="00CC5467">
              <w:rPr>
                <w:rFonts w:ascii="Arial" w:eastAsia="Arial" w:hAnsi="Arial" w:cs="Arial"/>
                <w:lang w:val="en-US"/>
              </w:rPr>
              <w:t>7</w:t>
            </w:r>
          </w:p>
        </w:tc>
      </w:tr>
      <w:tr w:rsidR="00410A49" w:rsidRPr="00410A49" w:rsidTr="00410A49">
        <w:trPr>
          <w:trHeight w:hRule="exact" w:val="264"/>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A</w:t>
            </w:r>
            <w:r w:rsidRPr="00410A49">
              <w:rPr>
                <w:rFonts w:ascii="Arial" w:eastAsia="Arial" w:hAnsi="Arial" w:cs="Arial"/>
                <w:lang w:val="en-US"/>
              </w:rPr>
              <w:t>u</w:t>
            </w:r>
            <w:r w:rsidRPr="00410A49">
              <w:rPr>
                <w:rFonts w:ascii="Arial" w:eastAsia="Arial" w:hAnsi="Arial" w:cs="Arial"/>
                <w:spacing w:val="1"/>
                <w:lang w:val="en-US"/>
              </w:rPr>
              <w:t>t</w:t>
            </w:r>
            <w:r w:rsidRPr="00410A49">
              <w:rPr>
                <w:rFonts w:ascii="Arial" w:eastAsia="Arial" w:hAnsi="Arial" w:cs="Arial"/>
                <w:lang w:val="en-US"/>
              </w:rPr>
              <w:t>ho</w:t>
            </w:r>
            <w:r w:rsidRPr="00410A49">
              <w:rPr>
                <w:rFonts w:ascii="Arial" w:eastAsia="Arial" w:hAnsi="Arial" w:cs="Arial"/>
                <w:spacing w:val="1"/>
                <w:lang w:val="en-US"/>
              </w:rPr>
              <w:t>r</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Pr>
                <w:rFonts w:ascii="Arial" w:eastAsia="Arial" w:hAnsi="Arial" w:cs="Arial"/>
                <w:spacing w:val="-1"/>
                <w:lang w:val="en-US"/>
              </w:rPr>
              <w:t>Janet Messer</w:t>
            </w:r>
          </w:p>
        </w:tc>
      </w:tr>
      <w:tr w:rsidR="00410A49" w:rsidRPr="00410A49" w:rsidTr="00410A49">
        <w:trPr>
          <w:trHeight w:hRule="exact" w:val="262"/>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Si</w:t>
            </w:r>
            <w:r w:rsidRPr="00410A49">
              <w:rPr>
                <w:rFonts w:ascii="Arial" w:eastAsia="Arial" w:hAnsi="Arial" w:cs="Arial"/>
                <w:spacing w:val="2"/>
                <w:lang w:val="en-US"/>
              </w:rPr>
              <w:t>g</w:t>
            </w:r>
            <w:r w:rsidRPr="00410A49">
              <w:rPr>
                <w:rFonts w:ascii="Arial" w:eastAsia="Arial" w:hAnsi="Arial" w:cs="Arial"/>
                <w:lang w:val="en-US"/>
              </w:rPr>
              <w:t>n</w:t>
            </w:r>
            <w:r w:rsidRPr="00410A49">
              <w:rPr>
                <w:rFonts w:ascii="Arial" w:eastAsia="Arial" w:hAnsi="Arial" w:cs="Arial"/>
                <w:spacing w:val="1"/>
                <w:lang w:val="en-US"/>
              </w:rPr>
              <w:t>-</w:t>
            </w:r>
            <w:r w:rsidRPr="00410A49">
              <w:rPr>
                <w:rFonts w:ascii="Arial" w:eastAsia="Arial" w:hAnsi="Arial" w:cs="Arial"/>
                <w:spacing w:val="-3"/>
                <w:lang w:val="en-US"/>
              </w:rPr>
              <w:t>o</w:t>
            </w:r>
            <w:r w:rsidRPr="00410A49">
              <w:rPr>
                <w:rFonts w:ascii="Arial" w:eastAsia="Arial" w:hAnsi="Arial" w:cs="Arial"/>
                <w:spacing w:val="1"/>
                <w:lang w:val="en-US"/>
              </w:rPr>
              <w:t>f</w:t>
            </w:r>
            <w:r w:rsidRPr="00410A49">
              <w:rPr>
                <w:rFonts w:ascii="Arial" w:eastAsia="Arial" w:hAnsi="Arial" w:cs="Arial"/>
                <w:lang w:val="en-US"/>
              </w:rPr>
              <w:t>f</w:t>
            </w:r>
            <w:r w:rsidRPr="00410A49">
              <w:rPr>
                <w:rFonts w:ascii="Arial" w:eastAsia="Arial" w:hAnsi="Arial" w:cs="Arial"/>
                <w:spacing w:val="2"/>
                <w:lang w:val="en-US"/>
              </w:rPr>
              <w:t xml:space="preserve"> </w:t>
            </w:r>
            <w:r w:rsidRPr="00410A49">
              <w:rPr>
                <w:rFonts w:ascii="Arial" w:eastAsia="Arial" w:hAnsi="Arial" w:cs="Arial"/>
                <w:spacing w:val="-1"/>
                <w:lang w:val="en-US"/>
              </w:rPr>
              <w:t>A</w:t>
            </w:r>
            <w:r w:rsidRPr="00410A49">
              <w:rPr>
                <w:rFonts w:ascii="Arial" w:eastAsia="Arial" w:hAnsi="Arial" w:cs="Arial"/>
                <w:spacing w:val="-3"/>
                <w:lang w:val="en-US"/>
              </w:rPr>
              <w:t>u</w:t>
            </w:r>
            <w:r w:rsidRPr="00410A49">
              <w:rPr>
                <w:rFonts w:ascii="Arial" w:eastAsia="Arial" w:hAnsi="Arial" w:cs="Arial"/>
                <w:spacing w:val="1"/>
                <w:lang w:val="en-US"/>
              </w:rPr>
              <w:t>t</w:t>
            </w:r>
            <w:r w:rsidRPr="00410A49">
              <w:rPr>
                <w:rFonts w:ascii="Arial" w:eastAsia="Arial" w:hAnsi="Arial" w:cs="Arial"/>
                <w:lang w:val="en-US"/>
              </w:rPr>
              <w:t>ho</w:t>
            </w:r>
            <w:r w:rsidRPr="00410A49">
              <w:rPr>
                <w:rFonts w:ascii="Arial" w:eastAsia="Arial" w:hAnsi="Arial" w:cs="Arial"/>
                <w:spacing w:val="1"/>
                <w:lang w:val="en-US"/>
              </w:rPr>
              <w:t>r</w:t>
            </w:r>
            <w:r w:rsidRPr="00410A49">
              <w:rPr>
                <w:rFonts w:ascii="Arial" w:eastAsia="Arial" w:hAnsi="Arial" w:cs="Arial"/>
                <w:spacing w:val="-3"/>
                <w:lang w:val="en-US"/>
              </w:rPr>
              <w:t>i</w:t>
            </w:r>
            <w:r w:rsidRPr="00410A49">
              <w:rPr>
                <w:rFonts w:ascii="Arial" w:eastAsia="Arial" w:hAnsi="Arial" w:cs="Arial"/>
                <w:spacing w:val="1"/>
                <w:lang w:val="en-US"/>
              </w:rPr>
              <w:t>ty</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024B07">
            <w:pPr>
              <w:widowControl w:val="0"/>
              <w:spacing w:after="0" w:line="250" w:lineRule="exact"/>
              <w:ind w:left="102" w:right="-20"/>
              <w:rPr>
                <w:rFonts w:ascii="Arial" w:eastAsia="Arial" w:hAnsi="Arial" w:cs="Arial"/>
                <w:lang w:val="en-US"/>
              </w:rPr>
            </w:pPr>
            <w:r w:rsidRPr="00410A49">
              <w:rPr>
                <w:rFonts w:ascii="Arial" w:eastAsia="Arial" w:hAnsi="Arial" w:cs="Arial"/>
                <w:lang w:val="en-US"/>
              </w:rPr>
              <w:t>Janet</w:t>
            </w:r>
            <w:r w:rsidRPr="00410A49">
              <w:rPr>
                <w:rFonts w:ascii="Arial" w:eastAsia="Arial" w:hAnsi="Arial" w:cs="Arial"/>
                <w:spacing w:val="-5"/>
                <w:lang w:val="en-US"/>
              </w:rPr>
              <w:t xml:space="preserve"> </w:t>
            </w:r>
            <w:r w:rsidR="00024B07">
              <w:rPr>
                <w:rFonts w:ascii="Arial" w:eastAsia="Arial" w:hAnsi="Arial" w:cs="Arial"/>
                <w:spacing w:val="8"/>
                <w:lang w:val="en-US"/>
              </w:rPr>
              <w:t>Messer</w:t>
            </w:r>
          </w:p>
        </w:tc>
      </w:tr>
      <w:tr w:rsidR="00410A49" w:rsidRPr="00410A49" w:rsidTr="00410A49">
        <w:trPr>
          <w:trHeight w:hRule="exact" w:val="264"/>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S</w:t>
            </w:r>
            <w:r w:rsidRPr="00410A49">
              <w:rPr>
                <w:rFonts w:ascii="Arial" w:eastAsia="Arial" w:hAnsi="Arial" w:cs="Arial"/>
                <w:spacing w:val="1"/>
                <w:lang w:val="en-US"/>
              </w:rPr>
              <w:t>t</w:t>
            </w:r>
            <w:r w:rsidRPr="00410A49">
              <w:rPr>
                <w:rFonts w:ascii="Arial" w:eastAsia="Arial" w:hAnsi="Arial" w:cs="Arial"/>
                <w:lang w:val="en-US"/>
              </w:rPr>
              <w:t>a</w:t>
            </w:r>
            <w:r w:rsidRPr="00410A49">
              <w:rPr>
                <w:rFonts w:ascii="Arial" w:eastAsia="Arial" w:hAnsi="Arial" w:cs="Arial"/>
                <w:spacing w:val="1"/>
                <w:lang w:val="en-US"/>
              </w:rPr>
              <w:t>t</w:t>
            </w:r>
            <w:r w:rsidRPr="00410A49">
              <w:rPr>
                <w:rFonts w:ascii="Arial" w:eastAsia="Arial" w:hAnsi="Arial" w:cs="Arial"/>
                <w:lang w:val="en-US"/>
              </w:rPr>
              <w:t>u</w:t>
            </w:r>
            <w:r w:rsidRPr="00410A49">
              <w:rPr>
                <w:rFonts w:ascii="Arial" w:eastAsia="Arial" w:hAnsi="Arial" w:cs="Arial"/>
                <w:spacing w:val="-2"/>
                <w:lang w:val="en-US"/>
              </w:rPr>
              <w:t>s</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E67DE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R</w:t>
            </w:r>
            <w:r w:rsidRPr="00410A49">
              <w:rPr>
                <w:rFonts w:ascii="Arial" w:eastAsia="Arial" w:hAnsi="Arial" w:cs="Arial"/>
                <w:lang w:val="en-US"/>
              </w:rPr>
              <w:t>epo</w:t>
            </w:r>
            <w:r w:rsidRPr="00410A49">
              <w:rPr>
                <w:rFonts w:ascii="Arial" w:eastAsia="Arial" w:hAnsi="Arial" w:cs="Arial"/>
                <w:spacing w:val="1"/>
                <w:lang w:val="en-US"/>
              </w:rPr>
              <w:t>r</w:t>
            </w:r>
            <w:r w:rsidRPr="00410A49">
              <w:rPr>
                <w:rFonts w:ascii="Arial" w:eastAsia="Arial" w:hAnsi="Arial" w:cs="Arial"/>
                <w:lang w:val="en-US"/>
              </w:rPr>
              <w:t xml:space="preserve">t </w:t>
            </w:r>
            <w:r w:rsidRPr="00410A49">
              <w:rPr>
                <w:rFonts w:ascii="Arial" w:eastAsia="Arial" w:hAnsi="Arial" w:cs="Arial"/>
                <w:spacing w:val="1"/>
                <w:lang w:val="en-US"/>
              </w:rPr>
              <w:t>t</w:t>
            </w:r>
            <w:r w:rsidRPr="00410A49">
              <w:rPr>
                <w:rFonts w:ascii="Arial" w:eastAsia="Arial" w:hAnsi="Arial" w:cs="Arial"/>
                <w:lang w:val="en-US"/>
              </w:rPr>
              <w:t>o</w:t>
            </w:r>
            <w:r w:rsidR="00E118A3">
              <w:rPr>
                <w:rFonts w:ascii="Arial" w:eastAsia="Arial" w:hAnsi="Arial" w:cs="Arial"/>
                <w:spacing w:val="1"/>
                <w:lang w:val="en-US"/>
              </w:rPr>
              <w:t xml:space="preserve"> </w:t>
            </w:r>
            <w:r w:rsidRPr="00410A49">
              <w:rPr>
                <w:rFonts w:ascii="Arial" w:eastAsia="Arial" w:hAnsi="Arial" w:cs="Arial"/>
                <w:spacing w:val="-1"/>
                <w:lang w:val="en-US"/>
              </w:rPr>
              <w:t>B</w:t>
            </w:r>
            <w:r w:rsidRPr="00410A49">
              <w:rPr>
                <w:rFonts w:ascii="Arial" w:eastAsia="Arial" w:hAnsi="Arial" w:cs="Arial"/>
                <w:lang w:val="en-US"/>
              </w:rPr>
              <w:t>o</w:t>
            </w:r>
            <w:r w:rsidRPr="00410A49">
              <w:rPr>
                <w:rFonts w:ascii="Arial" w:eastAsia="Arial" w:hAnsi="Arial" w:cs="Arial"/>
                <w:spacing w:val="-3"/>
                <w:lang w:val="en-US"/>
              </w:rPr>
              <w:t>a</w:t>
            </w:r>
            <w:r w:rsidRPr="00410A49">
              <w:rPr>
                <w:rFonts w:ascii="Arial" w:eastAsia="Arial" w:hAnsi="Arial" w:cs="Arial"/>
                <w:spacing w:val="1"/>
                <w:lang w:val="en-US"/>
              </w:rPr>
              <w:t>r</w:t>
            </w:r>
            <w:r w:rsidRPr="00410A49">
              <w:rPr>
                <w:rFonts w:ascii="Arial" w:eastAsia="Arial" w:hAnsi="Arial" w:cs="Arial"/>
                <w:lang w:val="en-US"/>
              </w:rPr>
              <w:t>d</w:t>
            </w:r>
          </w:p>
        </w:tc>
      </w:tr>
    </w:tbl>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rPr>
          <w:rFonts w:ascii="Calibri" w:eastAsia="Calibri" w:hAnsi="Calibri" w:cs="Times New Roman"/>
          <w:lang w:val="en-US"/>
        </w:rPr>
        <w:sectPr w:rsidR="00410A49" w:rsidRPr="00410A49" w:rsidSect="00D52859">
          <w:footerReference w:type="default" r:id="rId11"/>
          <w:pgSz w:w="11920" w:h="16840"/>
          <w:pgMar w:top="1100" w:right="820" w:bottom="280" w:left="920" w:header="720" w:footer="720" w:gutter="0"/>
          <w:pgNumType w:start="1"/>
          <w:cols w:space="720"/>
        </w:sectPr>
      </w:pPr>
    </w:p>
    <w:p w:rsidR="003C7F65" w:rsidRPr="000A5829" w:rsidRDefault="003C7F65" w:rsidP="000A5829">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lastRenderedPageBreak/>
        <w:t>New applications to the HRA</w:t>
      </w:r>
    </w:p>
    <w:p w:rsidR="00C436B2" w:rsidRDefault="00C436B2" w:rsidP="001B7476">
      <w:pPr>
        <w:rPr>
          <w:sz w:val="24"/>
          <w:szCs w:val="24"/>
        </w:rPr>
      </w:pPr>
    </w:p>
    <w:p w:rsidR="00FC4031" w:rsidRDefault="00FC4031" w:rsidP="00FC4031">
      <w:pPr>
        <w:rPr>
          <w:sz w:val="24"/>
          <w:szCs w:val="24"/>
        </w:rPr>
      </w:pPr>
      <w:r>
        <w:rPr>
          <w:sz w:val="24"/>
          <w:szCs w:val="24"/>
        </w:rPr>
        <w:t xml:space="preserve">Figure 1 shows the median timelines for Approval of </w:t>
      </w:r>
      <w:r w:rsidRPr="00DA16D6">
        <w:rPr>
          <w:sz w:val="24"/>
          <w:szCs w:val="24"/>
        </w:rPr>
        <w:t>different study types</w:t>
      </w:r>
      <w:r>
        <w:rPr>
          <w:sz w:val="24"/>
          <w:szCs w:val="24"/>
        </w:rPr>
        <w:t>, splitting out the time period to REC decision and the remaining time to issue HRA Approval</w:t>
      </w:r>
      <w:r w:rsidRPr="00DA16D6">
        <w:rPr>
          <w:sz w:val="24"/>
          <w:szCs w:val="24"/>
        </w:rPr>
        <w:t>. The REC decision is defined as the date of the final REC output, which is either the date of the ‘Favourable Opinion Letter’ or the date on the ‘Further Information Favourable Opinion letter’ if there are no additional conditions, or the date the REC acknowledges that these conditions have been met. The start date is the date the application is valid for REC review</w:t>
      </w:r>
      <w:r>
        <w:rPr>
          <w:sz w:val="24"/>
          <w:szCs w:val="24"/>
        </w:rPr>
        <w:t xml:space="preserve"> (this does not necessarily mean that all documents for assessment are present)</w:t>
      </w:r>
      <w:r w:rsidRPr="00DA16D6">
        <w:rPr>
          <w:sz w:val="24"/>
          <w:szCs w:val="24"/>
        </w:rPr>
        <w:t>, or for non-REC studies the da</w:t>
      </w:r>
      <w:r>
        <w:rPr>
          <w:sz w:val="24"/>
          <w:szCs w:val="24"/>
        </w:rPr>
        <w:t xml:space="preserve">te </w:t>
      </w:r>
      <w:r w:rsidR="00AE56B4">
        <w:rPr>
          <w:sz w:val="24"/>
          <w:szCs w:val="24"/>
        </w:rPr>
        <w:t>valid</w:t>
      </w:r>
      <w:r>
        <w:rPr>
          <w:sz w:val="24"/>
          <w:szCs w:val="24"/>
        </w:rPr>
        <w:t xml:space="preserve"> for assessment. </w:t>
      </w:r>
    </w:p>
    <w:p w:rsidR="00BD6EA7" w:rsidRDefault="00BD6EA7" w:rsidP="00BD6EA7">
      <w:pPr>
        <w:rPr>
          <w:sz w:val="24"/>
          <w:szCs w:val="24"/>
        </w:rPr>
      </w:pPr>
      <w:r>
        <w:rPr>
          <w:sz w:val="24"/>
          <w:szCs w:val="24"/>
        </w:rPr>
        <w:t>The graph shows the range of timelines, in full elapsed days, showing the maximum time that has been taken due to applicant response time. The studies approved include some submitted in the initial roll-out period.</w:t>
      </w:r>
    </w:p>
    <w:p w:rsidR="00FC4031" w:rsidRDefault="00FC4031" w:rsidP="00FC4031">
      <w:pPr>
        <w:pStyle w:val="Caption"/>
        <w:keepNext/>
      </w:pPr>
      <w:r>
        <w:t xml:space="preserve">Figure 1: Median Timelines </w:t>
      </w:r>
      <w:r w:rsidR="00B832F3">
        <w:t xml:space="preserve">in calendar days </w:t>
      </w:r>
      <w:r>
        <w:t xml:space="preserve">for studies approved in </w:t>
      </w:r>
      <w:r w:rsidR="00AC250E">
        <w:t>January</w:t>
      </w:r>
      <w:r w:rsidR="00B57912">
        <w:t xml:space="preserve"> </w:t>
      </w:r>
      <w:r w:rsidR="00AC250E">
        <w:t>2017</w:t>
      </w:r>
    </w:p>
    <w:p w:rsidR="00BE25EB" w:rsidRPr="00BE25EB" w:rsidRDefault="00AC250E" w:rsidP="00BE25EB">
      <w:r w:rsidRPr="00DF7D17">
        <w:rPr>
          <w:noProof/>
          <w:sz w:val="24"/>
          <w:szCs w:val="24"/>
          <w:lang w:eastAsia="en-GB"/>
        </w:rPr>
        <mc:AlternateContent>
          <mc:Choice Requires="wps">
            <w:drawing>
              <wp:anchor distT="0" distB="0" distL="114300" distR="114300" simplePos="0" relativeHeight="251725824" behindDoc="0" locked="0" layoutInCell="1" allowOverlap="1" wp14:anchorId="251CFD2F" wp14:editId="6429A826">
                <wp:simplePos x="0" y="0"/>
                <wp:positionH relativeFrom="column">
                  <wp:posOffset>4445</wp:posOffset>
                </wp:positionH>
                <wp:positionV relativeFrom="paragraph">
                  <wp:posOffset>3394075</wp:posOffset>
                </wp:positionV>
                <wp:extent cx="5495925" cy="5143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14350"/>
                        </a:xfrm>
                        <a:prstGeom prst="rect">
                          <a:avLst/>
                        </a:prstGeom>
                        <a:solidFill>
                          <a:srgbClr val="FFFFFF"/>
                        </a:solidFill>
                        <a:ln w="9525">
                          <a:solidFill>
                            <a:srgbClr val="000000"/>
                          </a:solidFill>
                          <a:miter lim="800000"/>
                          <a:headEnd/>
                          <a:tailEnd/>
                        </a:ln>
                      </wps:spPr>
                      <wps:txbx>
                        <w:txbxContent>
                          <w:p w:rsidR="00FC4031" w:rsidRPr="00BD6EA7" w:rsidRDefault="00FC4031" w:rsidP="00FC4031">
                            <w:pPr>
                              <w:rPr>
                                <w:i/>
                                <w:sz w:val="20"/>
                              </w:rPr>
                            </w:pPr>
                            <w:r w:rsidRPr="00BD6EA7">
                              <w:rPr>
                                <w:i/>
                                <w:sz w:val="20"/>
                              </w:rPr>
                              <w:t xml:space="preserve">Time to REC decision does not include the clock stop for provisional opinion. REC timelines are reported separately and remain </w:t>
                            </w:r>
                            <w:r w:rsidR="00BF6133" w:rsidRPr="00BD6EA7">
                              <w:rPr>
                                <w:i/>
                                <w:sz w:val="20"/>
                              </w:rPr>
                              <w:t>within the RES KPIs</w:t>
                            </w:r>
                            <w:r w:rsidR="00BD6EA7" w:rsidRPr="00BD6EA7">
                              <w:rPr>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67.25pt;width:432.75pt;height: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">
                <v:textbox>
                  <w:txbxContent>
                    <w:p w:rsidR="00FC4031" w:rsidRPr="00BD6EA7" w:rsidRDefault="00FC4031" w:rsidP="00FC4031">
                      <w:pPr>
                        <w:rPr>
                          <w:i/>
                          <w:sz w:val="20"/>
                        </w:rPr>
                      </w:pPr>
                      <w:r w:rsidRPr="00BD6EA7">
                        <w:rPr>
                          <w:i/>
                          <w:sz w:val="20"/>
                        </w:rPr>
                        <w:t xml:space="preserve">Time to REC decision does not include the clock stop for provisional opinion. REC timelines are reported separately and remain </w:t>
                      </w:r>
                      <w:r w:rsidR="00BF6133" w:rsidRPr="00BD6EA7">
                        <w:rPr>
                          <w:i/>
                          <w:sz w:val="20"/>
                        </w:rPr>
                        <w:t>within the RES KPIs</w:t>
                      </w:r>
                      <w:r w:rsidR="00BD6EA7" w:rsidRPr="00BD6EA7">
                        <w:rPr>
                          <w:i/>
                          <w:sz w:val="20"/>
                        </w:rPr>
                        <w:t>.</w:t>
                      </w:r>
                    </w:p>
                  </w:txbxContent>
                </v:textbox>
              </v:shape>
            </w:pict>
          </mc:Fallback>
        </mc:AlternateContent>
      </w:r>
      <w:r>
        <w:rPr>
          <w:noProof/>
          <w:lang w:eastAsia="en-GB"/>
        </w:rPr>
        <w:drawing>
          <wp:inline distT="0" distB="0" distL="0" distR="0" wp14:anchorId="52140F26" wp14:editId="66960A7B">
            <wp:extent cx="5495925" cy="33909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4031" w:rsidRDefault="00FC4031" w:rsidP="00FC4031">
      <w:pPr>
        <w:rPr>
          <w:sz w:val="24"/>
          <w:szCs w:val="24"/>
        </w:rPr>
      </w:pPr>
      <w:r w:rsidRPr="00464D6D">
        <w:rPr>
          <w:noProof/>
          <w:lang w:eastAsia="en-GB"/>
        </w:rPr>
        <w:t xml:space="preserve"> </w:t>
      </w:r>
    </w:p>
    <w:p w:rsidR="00FC4031" w:rsidRDefault="00FC4031" w:rsidP="00FC4031">
      <w:pPr>
        <w:rPr>
          <w:b/>
          <w:sz w:val="24"/>
          <w:szCs w:val="24"/>
        </w:rPr>
      </w:pPr>
    </w:p>
    <w:p w:rsidR="00FC4031" w:rsidRDefault="00FC4031" w:rsidP="00FC4031">
      <w:pPr>
        <w:rPr>
          <w:sz w:val="24"/>
          <w:szCs w:val="24"/>
        </w:rPr>
      </w:pPr>
      <w:r>
        <w:rPr>
          <w:sz w:val="24"/>
          <w:szCs w:val="24"/>
        </w:rPr>
        <w:t>Figure 2</w:t>
      </w:r>
      <w:r w:rsidRPr="00C36581">
        <w:rPr>
          <w:sz w:val="24"/>
          <w:szCs w:val="24"/>
        </w:rPr>
        <w:t xml:space="preserve"> </w:t>
      </w:r>
      <w:r>
        <w:rPr>
          <w:sz w:val="24"/>
          <w:szCs w:val="24"/>
        </w:rPr>
        <w:t xml:space="preserve">shows how timelines for the time from REC final decision to HRA Approval have changed over time (from application to HRA for non-REC studies). </w:t>
      </w:r>
    </w:p>
    <w:p w:rsidR="007A0289" w:rsidRDefault="002C73F3" w:rsidP="00FC4031">
      <w:pPr>
        <w:rPr>
          <w:sz w:val="24"/>
          <w:szCs w:val="24"/>
        </w:rPr>
      </w:pPr>
      <w:r>
        <w:rPr>
          <w:sz w:val="24"/>
          <w:szCs w:val="24"/>
        </w:rPr>
        <w:lastRenderedPageBreak/>
        <w:t xml:space="preserve">The approval of studies that have been open for some time have caused a slight increase in the timelines for REC full review studies, as we have concentrated on clearing those from the system. The expectation is that the timelines will begin to plateau again once those studies that have been in the system for some time have been cleared. These studies were focussed on as part of the new process of </w:t>
      </w:r>
      <w:r w:rsidR="00AE56B4">
        <w:rPr>
          <w:sz w:val="24"/>
          <w:szCs w:val="24"/>
        </w:rPr>
        <w:t xml:space="preserve">chasing, and if appropriate </w:t>
      </w:r>
      <w:r>
        <w:rPr>
          <w:sz w:val="24"/>
          <w:szCs w:val="24"/>
        </w:rPr>
        <w:t>withdrawing</w:t>
      </w:r>
      <w:r w:rsidR="00AE56B4">
        <w:rPr>
          <w:sz w:val="24"/>
          <w:szCs w:val="24"/>
        </w:rPr>
        <w:t>,</w:t>
      </w:r>
      <w:r>
        <w:rPr>
          <w:sz w:val="24"/>
          <w:szCs w:val="24"/>
        </w:rPr>
        <w:t xml:space="preserve"> studies from which we had not had a response for 2 months.</w:t>
      </w:r>
    </w:p>
    <w:p w:rsidR="00AE56B4" w:rsidRDefault="00AE56B4" w:rsidP="00FC4031">
      <w:pPr>
        <w:rPr>
          <w:sz w:val="24"/>
          <w:szCs w:val="24"/>
        </w:rPr>
      </w:pPr>
      <w:r>
        <w:rPr>
          <w:sz w:val="24"/>
          <w:szCs w:val="24"/>
        </w:rPr>
        <w:t xml:space="preserve">This is elaborated in figure 8, which shows the distribution of open days and demonstrates a reduction in those studies open for a long period. Following up with applicants for a response to queries previously raised, and then approving or closing these long-running studies has reduced the open case load, but has caused a skew to the median timelines. </w:t>
      </w:r>
    </w:p>
    <w:p w:rsidR="00FC4031" w:rsidRDefault="00FC4031" w:rsidP="00FC4031">
      <w:pPr>
        <w:pStyle w:val="Caption"/>
        <w:keepNext/>
      </w:pPr>
      <w:r>
        <w:t xml:space="preserve">Figure 2: </w:t>
      </w:r>
      <w:r w:rsidRPr="002266C4">
        <w:t>HRA Approval Timelines</w:t>
      </w:r>
      <w:r w:rsidR="00B832F3">
        <w:t xml:space="preserve"> in Calendar days</w:t>
      </w:r>
      <w:r>
        <w:t xml:space="preserve"> from REC final decision to HRA Approval by month of Approval</w:t>
      </w:r>
    </w:p>
    <w:p w:rsidR="00BE25EB" w:rsidRDefault="00150B6D" w:rsidP="00BE25EB">
      <w:r>
        <w:rPr>
          <w:noProof/>
          <w:lang w:eastAsia="en-GB"/>
        </w:rPr>
        <w:drawing>
          <wp:inline distT="0" distB="0" distL="0" distR="0" wp14:anchorId="1FB41674" wp14:editId="7CDA7BA6">
            <wp:extent cx="5762625" cy="36385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6EA7" w:rsidRDefault="0037673E" w:rsidP="00BD6EA7">
      <w:pPr>
        <w:rPr>
          <w:sz w:val="24"/>
          <w:szCs w:val="24"/>
        </w:rPr>
      </w:pPr>
      <w:r>
        <w:rPr>
          <w:sz w:val="24"/>
          <w:szCs w:val="24"/>
        </w:rPr>
        <w:t xml:space="preserve">Figure 3 shows numbers of initial assessment letters by month of issuing the letters, showing </w:t>
      </w:r>
      <w:r w:rsidR="009E19CC">
        <w:rPr>
          <w:sz w:val="24"/>
          <w:szCs w:val="24"/>
        </w:rPr>
        <w:t>a further reduction in the time to issue the letter</w:t>
      </w:r>
      <w:r>
        <w:rPr>
          <w:sz w:val="24"/>
          <w:szCs w:val="24"/>
        </w:rPr>
        <w:t xml:space="preserve">. </w:t>
      </w:r>
      <w:r w:rsidR="00BD6EA7" w:rsidRPr="0037673E">
        <w:rPr>
          <w:sz w:val="24"/>
          <w:szCs w:val="24"/>
        </w:rPr>
        <w:t xml:space="preserve">There has been </w:t>
      </w:r>
      <w:r w:rsidR="00BD6EA7">
        <w:rPr>
          <w:sz w:val="24"/>
          <w:szCs w:val="24"/>
        </w:rPr>
        <w:t>an increasing focus on producing initial assessment letters in order to support parallel site set-up. The initial assessment letter is part of the local information pack provided by the sponsor to sites.</w:t>
      </w:r>
    </w:p>
    <w:p w:rsidR="009E19CC" w:rsidRDefault="009E19CC" w:rsidP="00BD6EA7">
      <w:pPr>
        <w:rPr>
          <w:sz w:val="24"/>
          <w:szCs w:val="24"/>
        </w:rPr>
      </w:pPr>
      <w:r>
        <w:rPr>
          <w:sz w:val="24"/>
          <w:szCs w:val="24"/>
        </w:rPr>
        <w:t>Production of the letters continues to be hampered by the high percentage of applications missing key documents for assessment as shown in figure 4.</w:t>
      </w:r>
    </w:p>
    <w:p w:rsidR="009E19CC" w:rsidRDefault="009E19CC" w:rsidP="00BD6EA7">
      <w:pPr>
        <w:rPr>
          <w:sz w:val="24"/>
          <w:szCs w:val="24"/>
        </w:rPr>
      </w:pPr>
      <w:r>
        <w:rPr>
          <w:sz w:val="24"/>
          <w:szCs w:val="24"/>
        </w:rPr>
        <w:t xml:space="preserve">Furthermore, the time taken for applications to be valid for REC (often necessitating additional or revised documents) means that there is no time for the initial assessment to be </w:t>
      </w:r>
      <w:r>
        <w:rPr>
          <w:sz w:val="24"/>
          <w:szCs w:val="24"/>
        </w:rPr>
        <w:lastRenderedPageBreak/>
        <w:t>undertaken prior to the REC cut-off date. Therefore, even where initial assessment letters are produced, REC members may not receive an initial assessment.</w:t>
      </w:r>
    </w:p>
    <w:p w:rsidR="00FC4031" w:rsidRDefault="00FC4031" w:rsidP="00FC4031">
      <w:pPr>
        <w:pStyle w:val="Caption"/>
        <w:keepNext/>
      </w:pPr>
      <w:r>
        <w:t xml:space="preserve">Figure </w:t>
      </w:r>
      <w:r w:rsidR="007A0289">
        <w:t>3</w:t>
      </w:r>
      <w:r w:rsidR="00C50D71">
        <w:t>: N</w:t>
      </w:r>
      <w:r>
        <w:t>umber of initial assessments issued by month</w:t>
      </w:r>
    </w:p>
    <w:tbl>
      <w:tblPr>
        <w:tblW w:w="8462" w:type="dxa"/>
        <w:tblInd w:w="98" w:type="dxa"/>
        <w:tblLook w:val="04A0" w:firstRow="1" w:lastRow="0" w:firstColumn="1" w:lastColumn="0" w:noHBand="0" w:noVBand="1"/>
      </w:tblPr>
      <w:tblGrid>
        <w:gridCol w:w="1839"/>
        <w:gridCol w:w="2403"/>
        <w:gridCol w:w="2238"/>
        <w:gridCol w:w="1982"/>
      </w:tblGrid>
      <w:tr w:rsidR="00C50D71" w:rsidRPr="00C50D71" w:rsidTr="001B5B74">
        <w:trPr>
          <w:trHeight w:val="855"/>
        </w:trPr>
        <w:tc>
          <w:tcPr>
            <w:tcW w:w="1839" w:type="dxa"/>
            <w:tcBorders>
              <w:top w:val="single" w:sz="8" w:space="0" w:color="F79646"/>
              <w:left w:val="single" w:sz="8" w:space="0" w:color="F79646"/>
              <w:bottom w:val="nil"/>
              <w:right w:val="single" w:sz="8" w:space="0" w:color="F79646"/>
            </w:tcBorders>
            <w:shd w:val="clear" w:color="000000" w:fill="F79646"/>
            <w:vAlign w:val="center"/>
            <w:hideMark/>
          </w:tcPr>
          <w:p w:rsidR="00C50D71" w:rsidRPr="00C50D71" w:rsidRDefault="00C50D71" w:rsidP="00C50D71">
            <w:pPr>
              <w:spacing w:after="0" w:line="240" w:lineRule="auto"/>
              <w:jc w:val="center"/>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Month</w:t>
            </w:r>
          </w:p>
        </w:tc>
        <w:tc>
          <w:tcPr>
            <w:tcW w:w="2403" w:type="dxa"/>
            <w:tcBorders>
              <w:top w:val="single" w:sz="8" w:space="0" w:color="F79646"/>
              <w:left w:val="single" w:sz="8" w:space="0" w:color="F79646"/>
              <w:bottom w:val="single" w:sz="8" w:space="0" w:color="F79646"/>
              <w:right w:val="single" w:sz="8" w:space="0" w:color="F79646"/>
            </w:tcBorders>
            <w:shd w:val="clear" w:color="000000" w:fill="F79646"/>
            <w:vAlign w:val="center"/>
            <w:hideMark/>
          </w:tcPr>
          <w:p w:rsidR="00C50D71" w:rsidRPr="00C50D71" w:rsidRDefault="00C50D71" w:rsidP="00C50D71">
            <w:pPr>
              <w:spacing w:after="0" w:line="240" w:lineRule="auto"/>
              <w:jc w:val="center"/>
              <w:rPr>
                <w:rFonts w:ascii="Calibri" w:eastAsia="Times New Roman" w:hAnsi="Calibri" w:cs="Calibri"/>
                <w:b/>
                <w:bCs/>
                <w:i/>
                <w:iCs/>
                <w:color w:val="000000"/>
                <w:lang w:eastAsia="en-GB"/>
              </w:rPr>
            </w:pPr>
            <w:r w:rsidRPr="00C50D71">
              <w:rPr>
                <w:rFonts w:ascii="Calibri" w:eastAsia="Times New Roman" w:hAnsi="Calibri" w:cs="Calibri"/>
                <w:b/>
                <w:bCs/>
                <w:i/>
                <w:iCs/>
                <w:color w:val="000000"/>
                <w:lang w:eastAsia="en-GB"/>
              </w:rPr>
              <w:t>No.</w:t>
            </w:r>
            <w:r w:rsidRPr="00C50D71">
              <w:rPr>
                <w:rFonts w:ascii="Calibri" w:eastAsia="Times New Roman" w:hAnsi="Calibri" w:cs="Calibri"/>
                <w:b/>
                <w:bCs/>
                <w:color w:val="000000"/>
                <w:lang w:eastAsia="en-GB"/>
              </w:rPr>
              <w:t xml:space="preserve"> Submissions </w:t>
            </w:r>
            <w:r w:rsidRPr="00C50D71">
              <w:rPr>
                <w:rFonts w:ascii="Calibri" w:eastAsia="Times New Roman" w:hAnsi="Calibri" w:cs="Calibri"/>
                <w:b/>
                <w:bCs/>
                <w:color w:val="000000"/>
                <w:sz w:val="18"/>
                <w:szCs w:val="18"/>
                <w:lang w:eastAsia="en-GB"/>
              </w:rPr>
              <w:t>[Valid for REC]</w:t>
            </w:r>
          </w:p>
        </w:tc>
        <w:tc>
          <w:tcPr>
            <w:tcW w:w="2238" w:type="dxa"/>
            <w:tcBorders>
              <w:top w:val="single" w:sz="8" w:space="0" w:color="F79646"/>
              <w:left w:val="nil"/>
              <w:bottom w:val="nil"/>
              <w:right w:val="single" w:sz="8" w:space="0" w:color="F79646"/>
            </w:tcBorders>
            <w:shd w:val="clear" w:color="000000" w:fill="F79646"/>
            <w:vAlign w:val="center"/>
            <w:hideMark/>
          </w:tcPr>
          <w:p w:rsidR="00C50D71" w:rsidRPr="00C50D71" w:rsidRDefault="00C50D71" w:rsidP="00C50D71">
            <w:pPr>
              <w:spacing w:after="0" w:line="240" w:lineRule="auto"/>
              <w:jc w:val="center"/>
              <w:rPr>
                <w:rFonts w:ascii="Calibri" w:eastAsia="Times New Roman" w:hAnsi="Calibri" w:cs="Calibri"/>
                <w:b/>
                <w:bCs/>
                <w:i/>
                <w:iCs/>
                <w:color w:val="000000"/>
                <w:lang w:eastAsia="en-GB"/>
              </w:rPr>
            </w:pPr>
            <w:r w:rsidRPr="00C50D71">
              <w:rPr>
                <w:rFonts w:ascii="Calibri" w:eastAsia="Times New Roman" w:hAnsi="Calibri" w:cs="Calibri"/>
                <w:b/>
                <w:bCs/>
                <w:i/>
                <w:iCs/>
                <w:color w:val="000000"/>
                <w:lang w:eastAsia="en-GB"/>
              </w:rPr>
              <w:t>No.</w:t>
            </w:r>
            <w:r w:rsidRPr="00C50D71">
              <w:rPr>
                <w:rFonts w:ascii="Calibri" w:eastAsia="Times New Roman" w:hAnsi="Calibri" w:cs="Calibri"/>
                <w:b/>
                <w:bCs/>
                <w:color w:val="000000"/>
                <w:lang w:eastAsia="en-GB"/>
              </w:rPr>
              <w:t xml:space="preserve"> of All IA letters sent</w:t>
            </w:r>
          </w:p>
        </w:tc>
        <w:tc>
          <w:tcPr>
            <w:tcW w:w="1982" w:type="dxa"/>
            <w:tcBorders>
              <w:top w:val="nil"/>
              <w:left w:val="nil"/>
              <w:bottom w:val="nil"/>
              <w:right w:val="nil"/>
            </w:tcBorders>
            <w:shd w:val="clear" w:color="000000" w:fill="E26B0A"/>
            <w:vAlign w:val="center"/>
            <w:hideMark/>
          </w:tcPr>
          <w:p w:rsidR="00C50D71" w:rsidRPr="00C50D71" w:rsidRDefault="00C50D71" w:rsidP="00C50D71">
            <w:pPr>
              <w:spacing w:after="0" w:line="240" w:lineRule="auto"/>
              <w:jc w:val="center"/>
              <w:rPr>
                <w:rFonts w:ascii="Calibri" w:eastAsia="Times New Roman" w:hAnsi="Calibri" w:cs="Calibri"/>
                <w:b/>
                <w:bCs/>
                <w:color w:val="000000"/>
                <w:lang w:eastAsia="en-GB"/>
              </w:rPr>
            </w:pPr>
            <w:r w:rsidRPr="00C50D71">
              <w:rPr>
                <w:rFonts w:ascii="Calibri" w:eastAsia="Times New Roman" w:hAnsi="Calibri" w:cs="Calibri"/>
                <w:b/>
                <w:bCs/>
                <w:i/>
                <w:iCs/>
                <w:color w:val="000000"/>
                <w:lang w:eastAsia="en-GB"/>
              </w:rPr>
              <w:t>IAL</w:t>
            </w:r>
            <w:r w:rsidRPr="00C50D71">
              <w:rPr>
                <w:rFonts w:ascii="Calibri" w:eastAsia="Times New Roman" w:hAnsi="Calibri" w:cs="Calibri"/>
                <w:b/>
                <w:bCs/>
                <w:color w:val="000000"/>
                <w:lang w:eastAsia="en-GB"/>
              </w:rPr>
              <w:t xml:space="preserve"> Median days</w:t>
            </w:r>
          </w:p>
        </w:tc>
      </w:tr>
      <w:tr w:rsidR="00C50D71" w:rsidRPr="00C50D71" w:rsidTr="006A743C">
        <w:trPr>
          <w:trHeight w:val="315"/>
        </w:trPr>
        <w:tc>
          <w:tcPr>
            <w:tcW w:w="1839" w:type="dxa"/>
            <w:tcBorders>
              <w:top w:val="single" w:sz="8" w:space="0" w:color="F79646"/>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April</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357</w:t>
            </w:r>
          </w:p>
        </w:tc>
        <w:tc>
          <w:tcPr>
            <w:tcW w:w="2238" w:type="dxa"/>
            <w:tcBorders>
              <w:top w:val="single" w:sz="8" w:space="0" w:color="F79646"/>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35</w:t>
            </w:r>
          </w:p>
        </w:tc>
        <w:tc>
          <w:tcPr>
            <w:tcW w:w="1982" w:type="dxa"/>
            <w:tcBorders>
              <w:top w:val="single" w:sz="8" w:space="0" w:color="F79646"/>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25</w:t>
            </w:r>
          </w:p>
        </w:tc>
      </w:tr>
      <w:tr w:rsidR="00C50D71" w:rsidRPr="00C50D71" w:rsidTr="006A743C">
        <w:trPr>
          <w:trHeight w:val="315"/>
        </w:trPr>
        <w:tc>
          <w:tcPr>
            <w:tcW w:w="1839" w:type="dxa"/>
            <w:tcBorders>
              <w:top w:val="nil"/>
              <w:left w:val="single" w:sz="8" w:space="0" w:color="F79646"/>
              <w:bottom w:val="nil"/>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May</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361</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37</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39</w:t>
            </w:r>
          </w:p>
        </w:tc>
      </w:tr>
      <w:tr w:rsidR="00C50D71" w:rsidRPr="00C50D71" w:rsidTr="006A743C">
        <w:trPr>
          <w:trHeight w:val="315"/>
        </w:trPr>
        <w:tc>
          <w:tcPr>
            <w:tcW w:w="1839" w:type="dxa"/>
            <w:tcBorders>
              <w:top w:val="single" w:sz="8" w:space="0" w:color="F79646"/>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June</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403</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63</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48</w:t>
            </w:r>
          </w:p>
        </w:tc>
      </w:tr>
      <w:tr w:rsidR="00C50D71" w:rsidRPr="00C50D71" w:rsidTr="006A743C">
        <w:trPr>
          <w:trHeight w:val="315"/>
        </w:trPr>
        <w:tc>
          <w:tcPr>
            <w:tcW w:w="1839" w:type="dxa"/>
            <w:tcBorders>
              <w:top w:val="nil"/>
              <w:left w:val="single" w:sz="8" w:space="0" w:color="F79646"/>
              <w:bottom w:val="nil"/>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July</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369</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37</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48</w:t>
            </w:r>
          </w:p>
        </w:tc>
      </w:tr>
      <w:tr w:rsidR="00C50D71" w:rsidRPr="00C50D71" w:rsidTr="006A743C">
        <w:trPr>
          <w:trHeight w:val="315"/>
        </w:trPr>
        <w:tc>
          <w:tcPr>
            <w:tcW w:w="1839" w:type="dxa"/>
            <w:tcBorders>
              <w:top w:val="single" w:sz="8" w:space="0" w:color="F79646"/>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Aug</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375</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71</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40</w:t>
            </w:r>
          </w:p>
        </w:tc>
      </w:tr>
      <w:tr w:rsidR="00C50D71" w:rsidRPr="00C50D71" w:rsidTr="006A743C">
        <w:trPr>
          <w:trHeight w:val="315"/>
        </w:trPr>
        <w:tc>
          <w:tcPr>
            <w:tcW w:w="1839" w:type="dxa"/>
            <w:tcBorders>
              <w:top w:val="nil"/>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Sep</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373</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94</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30</w:t>
            </w:r>
          </w:p>
        </w:tc>
      </w:tr>
      <w:tr w:rsidR="00C50D71" w:rsidRPr="00C50D71" w:rsidTr="006A743C">
        <w:trPr>
          <w:trHeight w:val="315"/>
        </w:trPr>
        <w:tc>
          <w:tcPr>
            <w:tcW w:w="1839" w:type="dxa"/>
            <w:tcBorders>
              <w:top w:val="nil"/>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Oct</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309</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88</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18.5</w:t>
            </w:r>
          </w:p>
        </w:tc>
      </w:tr>
      <w:tr w:rsidR="00C50D71" w:rsidRPr="00C50D71" w:rsidTr="006A743C">
        <w:trPr>
          <w:trHeight w:val="315"/>
        </w:trPr>
        <w:tc>
          <w:tcPr>
            <w:tcW w:w="1839" w:type="dxa"/>
            <w:tcBorders>
              <w:top w:val="nil"/>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Nov</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363</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103</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23</w:t>
            </w:r>
          </w:p>
        </w:tc>
      </w:tr>
      <w:tr w:rsidR="00C50D71" w:rsidRPr="00C50D71" w:rsidTr="006A743C">
        <w:trPr>
          <w:trHeight w:val="315"/>
        </w:trPr>
        <w:tc>
          <w:tcPr>
            <w:tcW w:w="1839" w:type="dxa"/>
            <w:tcBorders>
              <w:top w:val="nil"/>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Dec</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295</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181</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31</w:t>
            </w:r>
          </w:p>
        </w:tc>
      </w:tr>
      <w:tr w:rsidR="00C50D71" w:rsidRPr="00C50D71" w:rsidTr="006A743C">
        <w:trPr>
          <w:trHeight w:val="315"/>
        </w:trPr>
        <w:tc>
          <w:tcPr>
            <w:tcW w:w="1839" w:type="dxa"/>
            <w:tcBorders>
              <w:top w:val="nil"/>
              <w:left w:val="single" w:sz="8" w:space="0" w:color="F79646"/>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b/>
                <w:bCs/>
                <w:color w:val="000000"/>
                <w:lang w:eastAsia="en-GB"/>
              </w:rPr>
            </w:pPr>
            <w:r w:rsidRPr="00C50D71">
              <w:rPr>
                <w:rFonts w:ascii="Calibri" w:eastAsia="Times New Roman" w:hAnsi="Calibri" w:cs="Calibri"/>
                <w:b/>
                <w:bCs/>
                <w:color w:val="000000"/>
                <w:lang w:eastAsia="en-GB"/>
              </w:rPr>
              <w:t>Jan</w:t>
            </w:r>
          </w:p>
        </w:tc>
        <w:tc>
          <w:tcPr>
            <w:tcW w:w="2403" w:type="dxa"/>
            <w:tcBorders>
              <w:top w:val="single" w:sz="8" w:space="0" w:color="F79646"/>
              <w:left w:val="single" w:sz="8" w:space="0" w:color="F79646"/>
              <w:bottom w:val="single" w:sz="8" w:space="0" w:color="F79646"/>
              <w:right w:val="single" w:sz="8" w:space="0" w:color="F79646"/>
            </w:tcBorders>
            <w:shd w:val="clear" w:color="auto" w:fill="auto"/>
            <w:noWrap/>
            <w:vAlign w:val="center"/>
          </w:tcPr>
          <w:p w:rsidR="00C50D71" w:rsidRPr="00C50D71" w:rsidRDefault="006A743C" w:rsidP="00C50D7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358</w:t>
            </w:r>
          </w:p>
        </w:tc>
        <w:tc>
          <w:tcPr>
            <w:tcW w:w="2238"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184</w:t>
            </w:r>
          </w:p>
        </w:tc>
        <w:tc>
          <w:tcPr>
            <w:tcW w:w="1982" w:type="dxa"/>
            <w:tcBorders>
              <w:top w:val="nil"/>
              <w:left w:val="nil"/>
              <w:bottom w:val="single" w:sz="8" w:space="0" w:color="F79646"/>
              <w:right w:val="single" w:sz="8" w:space="0" w:color="F79646"/>
            </w:tcBorders>
            <w:shd w:val="clear" w:color="auto" w:fill="auto"/>
            <w:noWrap/>
            <w:vAlign w:val="center"/>
            <w:hideMark/>
          </w:tcPr>
          <w:p w:rsidR="00C50D71" w:rsidRPr="00C50D71" w:rsidRDefault="00C50D71" w:rsidP="00C50D71">
            <w:pPr>
              <w:spacing w:after="0" w:line="240" w:lineRule="auto"/>
              <w:jc w:val="center"/>
              <w:rPr>
                <w:rFonts w:ascii="Calibri" w:eastAsia="Times New Roman" w:hAnsi="Calibri" w:cs="Calibri"/>
                <w:color w:val="000000"/>
                <w:lang w:eastAsia="en-GB"/>
              </w:rPr>
            </w:pPr>
            <w:r w:rsidRPr="00C50D71">
              <w:rPr>
                <w:rFonts w:ascii="Calibri" w:eastAsia="Times New Roman" w:hAnsi="Calibri" w:cs="Calibri"/>
                <w:color w:val="000000"/>
                <w:lang w:eastAsia="en-GB"/>
              </w:rPr>
              <w:t>18.5</w:t>
            </w:r>
          </w:p>
        </w:tc>
      </w:tr>
      <w:tr w:rsidR="00C50D71" w:rsidRPr="00C50D71" w:rsidTr="00C50D71">
        <w:trPr>
          <w:trHeight w:val="300"/>
        </w:trPr>
        <w:tc>
          <w:tcPr>
            <w:tcW w:w="8462" w:type="dxa"/>
            <w:gridSpan w:val="4"/>
            <w:tcBorders>
              <w:top w:val="nil"/>
              <w:left w:val="single" w:sz="8" w:space="0" w:color="F79646"/>
              <w:bottom w:val="nil"/>
              <w:right w:val="nil"/>
            </w:tcBorders>
            <w:shd w:val="clear" w:color="auto" w:fill="auto"/>
            <w:noWrap/>
            <w:vAlign w:val="center"/>
            <w:hideMark/>
          </w:tcPr>
          <w:p w:rsidR="00C50D71" w:rsidRPr="00C50D71" w:rsidRDefault="00C50D71" w:rsidP="00C50D71">
            <w:pPr>
              <w:spacing w:after="0" w:line="240" w:lineRule="auto"/>
              <w:rPr>
                <w:rFonts w:ascii="Calibri" w:eastAsia="Times New Roman" w:hAnsi="Calibri" w:cs="Calibri"/>
                <w:color w:val="000000"/>
                <w:lang w:eastAsia="en-GB"/>
              </w:rPr>
            </w:pPr>
            <w:r w:rsidRPr="00C50D71">
              <w:rPr>
                <w:rFonts w:ascii="Calibri" w:eastAsia="Times New Roman" w:hAnsi="Calibri" w:cs="Calibri"/>
                <w:color w:val="000000"/>
                <w:lang w:eastAsia="en-GB"/>
              </w:rPr>
              <w:t>Median days:  Calendar days, from date Application was assigned to Assessor to issue of Letter</w:t>
            </w:r>
          </w:p>
        </w:tc>
      </w:tr>
    </w:tbl>
    <w:p w:rsidR="009C6B57" w:rsidRDefault="009C6B57" w:rsidP="00443A9A">
      <w:pPr>
        <w:rPr>
          <w:sz w:val="24"/>
          <w:szCs w:val="24"/>
        </w:rPr>
      </w:pPr>
    </w:p>
    <w:p w:rsidR="00724E01" w:rsidRDefault="00724E01" w:rsidP="00443A9A">
      <w:pPr>
        <w:rPr>
          <w:sz w:val="24"/>
          <w:szCs w:val="24"/>
        </w:rPr>
      </w:pPr>
      <w:r w:rsidRPr="002C73F3">
        <w:rPr>
          <w:sz w:val="24"/>
          <w:szCs w:val="24"/>
        </w:rPr>
        <w:t xml:space="preserve">Figure 4 shows the </w:t>
      </w:r>
      <w:r w:rsidR="009E19CC">
        <w:rPr>
          <w:sz w:val="24"/>
          <w:szCs w:val="24"/>
        </w:rPr>
        <w:t>number</w:t>
      </w:r>
      <w:r w:rsidR="0032395F" w:rsidRPr="002C73F3">
        <w:rPr>
          <w:sz w:val="24"/>
          <w:szCs w:val="24"/>
        </w:rPr>
        <w:t xml:space="preserve"> of valid </w:t>
      </w:r>
      <w:r w:rsidR="003C6D0C" w:rsidRPr="002C73F3">
        <w:rPr>
          <w:sz w:val="24"/>
          <w:szCs w:val="24"/>
        </w:rPr>
        <w:t>REC submissions since</w:t>
      </w:r>
      <w:r w:rsidR="0032395F" w:rsidRPr="002C73F3">
        <w:rPr>
          <w:sz w:val="24"/>
          <w:szCs w:val="24"/>
        </w:rPr>
        <w:t xml:space="preserve"> November for both commercial and non-commercial studies.  It also indicates of the valid REC submissions made the number with missing documents required for HRA Assessment</w:t>
      </w:r>
      <w:r w:rsidR="003C6D0C" w:rsidRPr="002C73F3">
        <w:rPr>
          <w:sz w:val="24"/>
          <w:szCs w:val="24"/>
        </w:rPr>
        <w:t>.</w:t>
      </w:r>
    </w:p>
    <w:p w:rsidR="00724E01" w:rsidRDefault="00724E01" w:rsidP="00724E01">
      <w:pPr>
        <w:pStyle w:val="Caption"/>
        <w:keepNext/>
      </w:pPr>
      <w:r>
        <w:t>Figure 4 Document Submissions for HRA Approval</w:t>
      </w:r>
    </w:p>
    <w:tbl>
      <w:tblPr>
        <w:tblW w:w="5000" w:type="pct"/>
        <w:tblLook w:val="04A0" w:firstRow="1" w:lastRow="0" w:firstColumn="1" w:lastColumn="0" w:noHBand="0" w:noVBand="1"/>
      </w:tblPr>
      <w:tblGrid>
        <w:gridCol w:w="1699"/>
        <w:gridCol w:w="1315"/>
        <w:gridCol w:w="1214"/>
        <w:gridCol w:w="1315"/>
        <w:gridCol w:w="1214"/>
        <w:gridCol w:w="1315"/>
        <w:gridCol w:w="1214"/>
      </w:tblGrid>
      <w:tr w:rsidR="003C6D0C" w:rsidRPr="003C6D0C" w:rsidTr="003C6D0C">
        <w:trPr>
          <w:trHeight w:val="315"/>
        </w:trPr>
        <w:tc>
          <w:tcPr>
            <w:tcW w:w="1250" w:type="pct"/>
            <w:vMerge w:val="restart"/>
            <w:tcBorders>
              <w:top w:val="single" w:sz="8" w:space="0" w:color="E26B0A"/>
              <w:left w:val="single" w:sz="8" w:space="0" w:color="E26B0A"/>
              <w:bottom w:val="single" w:sz="8" w:space="0" w:color="E26B0A"/>
              <w:right w:val="single" w:sz="8" w:space="0" w:color="E26B0A"/>
            </w:tcBorders>
            <w:shd w:val="clear" w:color="auto" w:fill="auto"/>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 </w:t>
            </w:r>
          </w:p>
        </w:tc>
        <w:tc>
          <w:tcPr>
            <w:tcW w:w="1284" w:type="pct"/>
            <w:gridSpan w:val="2"/>
            <w:tcBorders>
              <w:top w:val="single" w:sz="8" w:space="0" w:color="E26B0A"/>
              <w:left w:val="nil"/>
              <w:bottom w:val="single" w:sz="8" w:space="0" w:color="E26B0A"/>
              <w:right w:val="single" w:sz="8" w:space="0" w:color="E26B0A"/>
            </w:tcBorders>
            <w:shd w:val="clear" w:color="000000" w:fill="FFFFFF"/>
            <w:noWrap/>
            <w:vAlign w:val="center"/>
            <w:hideMark/>
          </w:tcPr>
          <w:p w:rsidR="003C6D0C" w:rsidRPr="003C6D0C" w:rsidRDefault="003C6D0C" w:rsidP="003C6D0C">
            <w:pPr>
              <w:spacing w:after="0" w:line="240" w:lineRule="auto"/>
              <w:jc w:val="center"/>
              <w:rPr>
                <w:rFonts w:ascii="Calibri" w:eastAsia="Times New Roman" w:hAnsi="Calibri" w:cs="Calibri"/>
                <w:b/>
                <w:bCs/>
                <w:color w:val="000000"/>
                <w:lang w:eastAsia="en-GB"/>
              </w:rPr>
            </w:pPr>
            <w:r w:rsidRPr="003C6D0C">
              <w:rPr>
                <w:rFonts w:ascii="Calibri" w:eastAsia="Times New Roman" w:hAnsi="Calibri" w:cs="Calibri"/>
                <w:b/>
                <w:bCs/>
                <w:color w:val="000000"/>
                <w:lang w:eastAsia="en-GB"/>
              </w:rPr>
              <w:t>Nov</w:t>
            </w:r>
          </w:p>
        </w:tc>
        <w:tc>
          <w:tcPr>
            <w:tcW w:w="1267" w:type="pct"/>
            <w:gridSpan w:val="2"/>
            <w:tcBorders>
              <w:top w:val="single" w:sz="8" w:space="0" w:color="E26B0A"/>
              <w:left w:val="nil"/>
              <w:bottom w:val="single" w:sz="8" w:space="0" w:color="E26B0A"/>
              <w:right w:val="single" w:sz="8" w:space="0" w:color="E26B0A"/>
            </w:tcBorders>
            <w:shd w:val="clear" w:color="000000" w:fill="FFFFFF"/>
            <w:noWrap/>
            <w:vAlign w:val="center"/>
            <w:hideMark/>
          </w:tcPr>
          <w:p w:rsidR="003C6D0C" w:rsidRPr="003C6D0C" w:rsidRDefault="003C6D0C" w:rsidP="003C6D0C">
            <w:pPr>
              <w:spacing w:after="0" w:line="240" w:lineRule="auto"/>
              <w:jc w:val="center"/>
              <w:rPr>
                <w:rFonts w:ascii="Calibri" w:eastAsia="Times New Roman" w:hAnsi="Calibri" w:cs="Calibri"/>
                <w:b/>
                <w:bCs/>
                <w:color w:val="000000"/>
                <w:lang w:eastAsia="en-GB"/>
              </w:rPr>
            </w:pPr>
            <w:r w:rsidRPr="003C6D0C">
              <w:rPr>
                <w:rFonts w:ascii="Calibri" w:eastAsia="Times New Roman" w:hAnsi="Calibri" w:cs="Calibri"/>
                <w:b/>
                <w:bCs/>
                <w:color w:val="000000"/>
                <w:lang w:eastAsia="en-GB"/>
              </w:rPr>
              <w:t>Dec</w:t>
            </w:r>
          </w:p>
        </w:tc>
        <w:tc>
          <w:tcPr>
            <w:tcW w:w="1199" w:type="pct"/>
            <w:gridSpan w:val="2"/>
            <w:tcBorders>
              <w:top w:val="single" w:sz="8" w:space="0" w:color="E26B0A"/>
              <w:left w:val="nil"/>
              <w:bottom w:val="single" w:sz="8" w:space="0" w:color="E26B0A"/>
              <w:right w:val="single" w:sz="8" w:space="0" w:color="E26B0A"/>
            </w:tcBorders>
            <w:shd w:val="clear" w:color="000000" w:fill="FFFFFF"/>
            <w:noWrap/>
            <w:vAlign w:val="center"/>
            <w:hideMark/>
          </w:tcPr>
          <w:p w:rsidR="003C6D0C" w:rsidRPr="003C6D0C" w:rsidRDefault="003C6D0C" w:rsidP="003C6D0C">
            <w:pPr>
              <w:spacing w:after="0" w:line="240" w:lineRule="auto"/>
              <w:jc w:val="center"/>
              <w:rPr>
                <w:rFonts w:ascii="Calibri" w:eastAsia="Times New Roman" w:hAnsi="Calibri" w:cs="Calibri"/>
                <w:b/>
                <w:bCs/>
                <w:color w:val="000000"/>
                <w:lang w:eastAsia="en-GB"/>
              </w:rPr>
            </w:pPr>
            <w:r w:rsidRPr="003C6D0C">
              <w:rPr>
                <w:rFonts w:ascii="Calibri" w:eastAsia="Times New Roman" w:hAnsi="Calibri" w:cs="Calibri"/>
                <w:b/>
                <w:bCs/>
                <w:color w:val="000000"/>
                <w:lang w:eastAsia="en-GB"/>
              </w:rPr>
              <w:t>Jan</w:t>
            </w:r>
          </w:p>
        </w:tc>
      </w:tr>
      <w:tr w:rsidR="003C6D0C" w:rsidRPr="003C6D0C" w:rsidTr="003C6D0C">
        <w:trPr>
          <w:trHeight w:val="1215"/>
        </w:trPr>
        <w:tc>
          <w:tcPr>
            <w:tcW w:w="1250" w:type="pct"/>
            <w:vMerge/>
            <w:tcBorders>
              <w:top w:val="single" w:sz="8" w:space="0" w:color="E26B0A"/>
              <w:left w:val="single" w:sz="8" w:space="0" w:color="E26B0A"/>
              <w:bottom w:val="single" w:sz="8" w:space="0" w:color="E26B0A"/>
              <w:right w:val="single" w:sz="8" w:space="0" w:color="E26B0A"/>
            </w:tcBorders>
            <w:vAlign w:val="center"/>
            <w:hideMark/>
          </w:tcPr>
          <w:p w:rsidR="003C6D0C" w:rsidRPr="003C6D0C" w:rsidRDefault="003C6D0C" w:rsidP="003C6D0C">
            <w:pPr>
              <w:spacing w:after="0" w:line="240" w:lineRule="auto"/>
              <w:rPr>
                <w:rFonts w:ascii="Calibri" w:eastAsia="Times New Roman" w:hAnsi="Calibri" w:cs="Calibri"/>
                <w:color w:val="000000"/>
                <w:lang w:eastAsia="en-GB"/>
              </w:rPr>
            </w:pPr>
          </w:p>
        </w:tc>
        <w:tc>
          <w:tcPr>
            <w:tcW w:w="642"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i/>
                <w:iCs/>
                <w:color w:val="000000"/>
                <w:lang w:eastAsia="en-GB"/>
              </w:rPr>
            </w:pPr>
            <w:r w:rsidRPr="003C6D0C">
              <w:rPr>
                <w:rFonts w:ascii="Calibri" w:eastAsia="Times New Roman" w:hAnsi="Calibri" w:cs="Calibri"/>
                <w:i/>
                <w:iCs/>
                <w:color w:val="000000"/>
                <w:lang w:eastAsia="en-GB"/>
              </w:rPr>
              <w:t>No.</w:t>
            </w:r>
            <w:r w:rsidRPr="003C6D0C">
              <w:rPr>
                <w:rFonts w:ascii="Calibri" w:eastAsia="Times New Roman" w:hAnsi="Calibri" w:cs="Calibri"/>
                <w:color w:val="000000"/>
                <w:lang w:eastAsia="en-GB"/>
              </w:rPr>
              <w:t xml:space="preserve"> of </w:t>
            </w:r>
            <w:r w:rsidRPr="003C6D0C">
              <w:rPr>
                <w:rFonts w:ascii="Calibri" w:eastAsia="Times New Roman" w:hAnsi="Calibri" w:cs="Calibri"/>
                <w:b/>
                <w:bCs/>
                <w:color w:val="000000"/>
                <w:lang w:eastAsia="en-GB"/>
              </w:rPr>
              <w:t>REC Valid</w:t>
            </w:r>
            <w:r w:rsidRPr="003C6D0C">
              <w:rPr>
                <w:rFonts w:ascii="Calibri" w:eastAsia="Times New Roman" w:hAnsi="Calibri" w:cs="Calibri"/>
                <w:color w:val="000000"/>
                <w:lang w:eastAsia="en-GB"/>
              </w:rPr>
              <w:t xml:space="preserve"> Submissions </w:t>
            </w:r>
            <w:r w:rsidRPr="003C6D0C">
              <w:rPr>
                <w:rFonts w:ascii="Calibri" w:eastAsia="Times New Roman" w:hAnsi="Calibri" w:cs="Calibri"/>
                <w:color w:val="000000"/>
                <w:sz w:val="18"/>
                <w:szCs w:val="18"/>
                <w:lang w:eastAsia="en-GB"/>
              </w:rPr>
              <w:t>[all REC]</w:t>
            </w:r>
          </w:p>
        </w:tc>
        <w:tc>
          <w:tcPr>
            <w:tcW w:w="642"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 xml:space="preserve">Missing </w:t>
            </w:r>
            <w:r w:rsidRPr="003C6D0C">
              <w:rPr>
                <w:rFonts w:ascii="Calibri" w:eastAsia="Times New Roman" w:hAnsi="Calibri" w:cs="Calibri"/>
                <w:b/>
                <w:bCs/>
                <w:color w:val="000000"/>
                <w:lang w:eastAsia="en-GB"/>
              </w:rPr>
              <w:t xml:space="preserve">HRA </w:t>
            </w:r>
            <w:r w:rsidRPr="003C6D0C">
              <w:rPr>
                <w:rFonts w:ascii="Calibri" w:eastAsia="Times New Roman" w:hAnsi="Calibri" w:cs="Calibri"/>
                <w:color w:val="000000"/>
                <w:lang w:eastAsia="en-GB"/>
              </w:rPr>
              <w:t>full doc set at submission</w:t>
            </w:r>
          </w:p>
        </w:tc>
        <w:tc>
          <w:tcPr>
            <w:tcW w:w="701"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i/>
                <w:iCs/>
                <w:color w:val="000000"/>
                <w:lang w:eastAsia="en-GB"/>
              </w:rPr>
            </w:pPr>
            <w:r w:rsidRPr="003C6D0C">
              <w:rPr>
                <w:rFonts w:ascii="Calibri" w:eastAsia="Times New Roman" w:hAnsi="Calibri" w:cs="Calibri"/>
                <w:i/>
                <w:iCs/>
                <w:color w:val="000000"/>
                <w:lang w:eastAsia="en-GB"/>
              </w:rPr>
              <w:t>No.</w:t>
            </w:r>
            <w:r w:rsidRPr="003C6D0C">
              <w:rPr>
                <w:rFonts w:ascii="Calibri" w:eastAsia="Times New Roman" w:hAnsi="Calibri" w:cs="Calibri"/>
                <w:color w:val="000000"/>
                <w:lang w:eastAsia="en-GB"/>
              </w:rPr>
              <w:t xml:space="preserve"> of </w:t>
            </w:r>
            <w:r w:rsidRPr="003C6D0C">
              <w:rPr>
                <w:rFonts w:ascii="Calibri" w:eastAsia="Times New Roman" w:hAnsi="Calibri" w:cs="Calibri"/>
                <w:b/>
                <w:bCs/>
                <w:color w:val="000000"/>
                <w:lang w:eastAsia="en-GB"/>
              </w:rPr>
              <w:t>REC Valid</w:t>
            </w:r>
            <w:r w:rsidRPr="003C6D0C">
              <w:rPr>
                <w:rFonts w:ascii="Calibri" w:eastAsia="Times New Roman" w:hAnsi="Calibri" w:cs="Calibri"/>
                <w:color w:val="000000"/>
                <w:lang w:eastAsia="en-GB"/>
              </w:rPr>
              <w:t xml:space="preserve"> Submissions </w:t>
            </w:r>
            <w:r w:rsidRPr="003C6D0C">
              <w:rPr>
                <w:rFonts w:ascii="Calibri" w:eastAsia="Times New Roman" w:hAnsi="Calibri" w:cs="Calibri"/>
                <w:color w:val="000000"/>
                <w:sz w:val="18"/>
                <w:szCs w:val="18"/>
                <w:lang w:eastAsia="en-GB"/>
              </w:rPr>
              <w:t>[all REC]</w:t>
            </w:r>
          </w:p>
        </w:tc>
        <w:tc>
          <w:tcPr>
            <w:tcW w:w="566"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 xml:space="preserve">Missing </w:t>
            </w:r>
            <w:r w:rsidRPr="003C6D0C">
              <w:rPr>
                <w:rFonts w:ascii="Calibri" w:eastAsia="Times New Roman" w:hAnsi="Calibri" w:cs="Calibri"/>
                <w:b/>
                <w:bCs/>
                <w:color w:val="000000"/>
                <w:lang w:eastAsia="en-GB"/>
              </w:rPr>
              <w:t>HRA</w:t>
            </w:r>
            <w:r w:rsidRPr="003C6D0C">
              <w:rPr>
                <w:rFonts w:ascii="Calibri" w:eastAsia="Times New Roman" w:hAnsi="Calibri" w:cs="Calibri"/>
                <w:color w:val="000000"/>
                <w:lang w:eastAsia="en-GB"/>
              </w:rPr>
              <w:t xml:space="preserve"> full doc set at submission</w:t>
            </w:r>
          </w:p>
        </w:tc>
        <w:tc>
          <w:tcPr>
            <w:tcW w:w="574"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i/>
                <w:iCs/>
                <w:color w:val="000000"/>
                <w:lang w:eastAsia="en-GB"/>
              </w:rPr>
            </w:pPr>
            <w:r w:rsidRPr="003C6D0C">
              <w:rPr>
                <w:rFonts w:ascii="Calibri" w:eastAsia="Times New Roman" w:hAnsi="Calibri" w:cs="Calibri"/>
                <w:i/>
                <w:iCs/>
                <w:color w:val="000000"/>
                <w:lang w:eastAsia="en-GB"/>
              </w:rPr>
              <w:t>No.</w:t>
            </w:r>
            <w:r w:rsidRPr="003C6D0C">
              <w:rPr>
                <w:rFonts w:ascii="Calibri" w:eastAsia="Times New Roman" w:hAnsi="Calibri" w:cs="Calibri"/>
                <w:color w:val="000000"/>
                <w:lang w:eastAsia="en-GB"/>
              </w:rPr>
              <w:t xml:space="preserve"> of </w:t>
            </w:r>
            <w:r w:rsidRPr="003C6D0C">
              <w:rPr>
                <w:rFonts w:ascii="Calibri" w:eastAsia="Times New Roman" w:hAnsi="Calibri" w:cs="Calibri"/>
                <w:b/>
                <w:bCs/>
                <w:color w:val="000000"/>
                <w:lang w:eastAsia="en-GB"/>
              </w:rPr>
              <w:t>REC Valid</w:t>
            </w:r>
            <w:r w:rsidRPr="003C6D0C">
              <w:rPr>
                <w:rFonts w:ascii="Calibri" w:eastAsia="Times New Roman" w:hAnsi="Calibri" w:cs="Calibri"/>
                <w:color w:val="000000"/>
                <w:lang w:eastAsia="en-GB"/>
              </w:rPr>
              <w:t xml:space="preserve"> Submissions </w:t>
            </w:r>
            <w:r w:rsidRPr="003C6D0C">
              <w:rPr>
                <w:rFonts w:ascii="Calibri" w:eastAsia="Times New Roman" w:hAnsi="Calibri" w:cs="Calibri"/>
                <w:color w:val="000000"/>
                <w:sz w:val="18"/>
                <w:szCs w:val="18"/>
                <w:lang w:eastAsia="en-GB"/>
              </w:rPr>
              <w:t>[all REC]</w:t>
            </w:r>
          </w:p>
        </w:tc>
        <w:tc>
          <w:tcPr>
            <w:tcW w:w="625" w:type="pct"/>
            <w:tcBorders>
              <w:top w:val="nil"/>
              <w:left w:val="nil"/>
              <w:bottom w:val="single" w:sz="8" w:space="0" w:color="E26B0A"/>
              <w:right w:val="single" w:sz="8" w:space="0" w:color="E26B0A"/>
            </w:tcBorders>
            <w:shd w:val="clear" w:color="000000" w:fill="F79646"/>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 xml:space="preserve">Missing </w:t>
            </w:r>
            <w:r w:rsidRPr="003C6D0C">
              <w:rPr>
                <w:rFonts w:ascii="Calibri" w:eastAsia="Times New Roman" w:hAnsi="Calibri" w:cs="Calibri"/>
                <w:b/>
                <w:bCs/>
                <w:color w:val="000000"/>
                <w:lang w:eastAsia="en-GB"/>
              </w:rPr>
              <w:t>HRA</w:t>
            </w:r>
            <w:r w:rsidRPr="003C6D0C">
              <w:rPr>
                <w:rFonts w:ascii="Calibri" w:eastAsia="Times New Roman" w:hAnsi="Calibri" w:cs="Calibri"/>
                <w:color w:val="000000"/>
                <w:lang w:eastAsia="en-GB"/>
              </w:rPr>
              <w:t xml:space="preserve"> full doc set at submission</w:t>
            </w:r>
          </w:p>
        </w:tc>
      </w:tr>
      <w:tr w:rsidR="003C6D0C" w:rsidRPr="003C6D0C" w:rsidTr="003C6D0C">
        <w:trPr>
          <w:trHeight w:val="315"/>
        </w:trPr>
        <w:tc>
          <w:tcPr>
            <w:tcW w:w="1250" w:type="pct"/>
            <w:tcBorders>
              <w:top w:val="nil"/>
              <w:left w:val="single" w:sz="8" w:space="0" w:color="E26B0A"/>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Non commercial</w:t>
            </w:r>
          </w:p>
        </w:tc>
        <w:tc>
          <w:tcPr>
            <w:tcW w:w="642"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289</w:t>
            </w:r>
          </w:p>
        </w:tc>
        <w:tc>
          <w:tcPr>
            <w:tcW w:w="642"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71</w:t>
            </w:r>
          </w:p>
        </w:tc>
        <w:tc>
          <w:tcPr>
            <w:tcW w:w="701"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226</w:t>
            </w:r>
          </w:p>
        </w:tc>
        <w:tc>
          <w:tcPr>
            <w:tcW w:w="566"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49</w:t>
            </w:r>
          </w:p>
        </w:tc>
        <w:tc>
          <w:tcPr>
            <w:tcW w:w="574"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270</w:t>
            </w:r>
          </w:p>
        </w:tc>
        <w:tc>
          <w:tcPr>
            <w:tcW w:w="625"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91</w:t>
            </w:r>
          </w:p>
        </w:tc>
      </w:tr>
      <w:tr w:rsidR="003C6D0C" w:rsidRPr="003C6D0C" w:rsidTr="003C6D0C">
        <w:trPr>
          <w:trHeight w:val="315"/>
        </w:trPr>
        <w:tc>
          <w:tcPr>
            <w:tcW w:w="1250" w:type="pct"/>
            <w:tcBorders>
              <w:top w:val="nil"/>
              <w:left w:val="single" w:sz="8" w:space="0" w:color="E26B0A"/>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rPr>
                <w:rFonts w:ascii="Calibri" w:eastAsia="Times New Roman" w:hAnsi="Calibri" w:cs="Calibri"/>
                <w:color w:val="000000"/>
                <w:lang w:eastAsia="en-GB"/>
              </w:rPr>
            </w:pPr>
            <w:r w:rsidRPr="003C6D0C">
              <w:rPr>
                <w:rFonts w:ascii="Calibri" w:eastAsia="Times New Roman" w:hAnsi="Calibri" w:cs="Calibri"/>
                <w:color w:val="000000"/>
                <w:lang w:eastAsia="en-GB"/>
              </w:rPr>
              <w:t>Commercial</w:t>
            </w:r>
          </w:p>
        </w:tc>
        <w:tc>
          <w:tcPr>
            <w:tcW w:w="642"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69</w:t>
            </w:r>
          </w:p>
        </w:tc>
        <w:tc>
          <w:tcPr>
            <w:tcW w:w="642"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28</w:t>
            </w:r>
          </w:p>
        </w:tc>
        <w:tc>
          <w:tcPr>
            <w:tcW w:w="701"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65</w:t>
            </w:r>
          </w:p>
        </w:tc>
        <w:tc>
          <w:tcPr>
            <w:tcW w:w="566"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23</w:t>
            </w:r>
          </w:p>
        </w:tc>
        <w:tc>
          <w:tcPr>
            <w:tcW w:w="574"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65</w:t>
            </w:r>
          </w:p>
        </w:tc>
        <w:tc>
          <w:tcPr>
            <w:tcW w:w="625" w:type="pct"/>
            <w:tcBorders>
              <w:top w:val="nil"/>
              <w:left w:val="nil"/>
              <w:bottom w:val="single" w:sz="8" w:space="0" w:color="E26B0A"/>
              <w:right w:val="single" w:sz="8" w:space="0" w:color="E26B0A"/>
            </w:tcBorders>
            <w:shd w:val="clear" w:color="auto" w:fill="auto"/>
            <w:noWrap/>
            <w:vAlign w:val="center"/>
            <w:hideMark/>
          </w:tcPr>
          <w:p w:rsidR="003C6D0C" w:rsidRPr="003C6D0C" w:rsidRDefault="003C6D0C" w:rsidP="003C6D0C">
            <w:pPr>
              <w:spacing w:after="0" w:line="240" w:lineRule="auto"/>
              <w:jc w:val="right"/>
              <w:rPr>
                <w:rFonts w:ascii="Calibri" w:eastAsia="Times New Roman" w:hAnsi="Calibri" w:cs="Calibri"/>
                <w:color w:val="000000"/>
                <w:lang w:eastAsia="en-GB"/>
              </w:rPr>
            </w:pPr>
            <w:r w:rsidRPr="003C6D0C">
              <w:rPr>
                <w:rFonts w:ascii="Calibri" w:eastAsia="Times New Roman" w:hAnsi="Calibri" w:cs="Calibri"/>
                <w:color w:val="000000"/>
                <w:lang w:eastAsia="en-GB"/>
              </w:rPr>
              <w:t>29</w:t>
            </w:r>
          </w:p>
        </w:tc>
      </w:tr>
    </w:tbl>
    <w:p w:rsidR="00921DCC" w:rsidRDefault="00921DCC" w:rsidP="00443A9A">
      <w:pPr>
        <w:rPr>
          <w:sz w:val="24"/>
          <w:szCs w:val="24"/>
        </w:rPr>
      </w:pPr>
    </w:p>
    <w:p w:rsidR="00CD04CB" w:rsidRDefault="001B7476" w:rsidP="00443A9A">
      <w:pPr>
        <w:rPr>
          <w:sz w:val="24"/>
          <w:szCs w:val="24"/>
        </w:rPr>
      </w:pPr>
      <w:r>
        <w:rPr>
          <w:sz w:val="24"/>
          <w:szCs w:val="24"/>
        </w:rPr>
        <w:t xml:space="preserve">Figure </w:t>
      </w:r>
      <w:r w:rsidR="00582079">
        <w:rPr>
          <w:sz w:val="24"/>
          <w:szCs w:val="24"/>
        </w:rPr>
        <w:t>5</w:t>
      </w:r>
      <w:r>
        <w:rPr>
          <w:sz w:val="24"/>
          <w:szCs w:val="24"/>
        </w:rPr>
        <w:t xml:space="preserve"> shows</w:t>
      </w:r>
      <w:r w:rsidRPr="00E90104">
        <w:rPr>
          <w:sz w:val="24"/>
          <w:szCs w:val="24"/>
        </w:rPr>
        <w:t xml:space="preserve"> </w:t>
      </w:r>
      <w:r w:rsidR="00FC4031">
        <w:rPr>
          <w:sz w:val="24"/>
          <w:szCs w:val="24"/>
        </w:rPr>
        <w:t xml:space="preserve">the number of </w:t>
      </w:r>
      <w:r>
        <w:rPr>
          <w:sz w:val="24"/>
          <w:szCs w:val="24"/>
        </w:rPr>
        <w:t>a</w:t>
      </w:r>
      <w:r w:rsidRPr="00E90104">
        <w:rPr>
          <w:sz w:val="24"/>
          <w:szCs w:val="24"/>
        </w:rPr>
        <w:t xml:space="preserve">pplications </w:t>
      </w:r>
      <w:r w:rsidR="00FC4031">
        <w:rPr>
          <w:sz w:val="24"/>
          <w:szCs w:val="24"/>
        </w:rPr>
        <w:t>processed</w:t>
      </w:r>
      <w:r w:rsidRPr="00E90104">
        <w:rPr>
          <w:sz w:val="24"/>
          <w:szCs w:val="24"/>
        </w:rPr>
        <w:t xml:space="preserve"> for HRA</w:t>
      </w:r>
      <w:r>
        <w:rPr>
          <w:sz w:val="24"/>
          <w:szCs w:val="24"/>
        </w:rPr>
        <w:t xml:space="preserve"> </w:t>
      </w:r>
      <w:r w:rsidRPr="00E90104">
        <w:rPr>
          <w:sz w:val="24"/>
          <w:szCs w:val="24"/>
        </w:rPr>
        <w:t>Approval</w:t>
      </w:r>
      <w:r w:rsidR="00A90241">
        <w:rPr>
          <w:sz w:val="24"/>
          <w:szCs w:val="24"/>
        </w:rPr>
        <w:t xml:space="preserve"> over time</w:t>
      </w:r>
      <w:r w:rsidRPr="00E90104">
        <w:rPr>
          <w:sz w:val="24"/>
          <w:szCs w:val="24"/>
        </w:rPr>
        <w:t xml:space="preserve">. </w:t>
      </w:r>
      <w:r>
        <w:rPr>
          <w:sz w:val="24"/>
          <w:szCs w:val="24"/>
        </w:rPr>
        <w:t>Application receipt is shown by month of receipt, and approval by month of output</w:t>
      </w:r>
      <w:r w:rsidRPr="00E90104">
        <w:rPr>
          <w:sz w:val="24"/>
          <w:szCs w:val="24"/>
        </w:rPr>
        <w:t xml:space="preserve">. </w:t>
      </w:r>
      <w:r w:rsidR="00F94D9A">
        <w:rPr>
          <w:sz w:val="24"/>
          <w:szCs w:val="24"/>
        </w:rPr>
        <w:t xml:space="preserve">The number of closed studies includes all applications submissions closed by month of output </w:t>
      </w:r>
      <w:r w:rsidR="00BF6133">
        <w:rPr>
          <w:sz w:val="24"/>
          <w:szCs w:val="24"/>
        </w:rPr>
        <w:t>inclu</w:t>
      </w:r>
      <w:r w:rsidR="00F94D9A">
        <w:rPr>
          <w:sz w:val="24"/>
          <w:szCs w:val="24"/>
        </w:rPr>
        <w:t>d</w:t>
      </w:r>
      <w:r w:rsidR="00BF6133">
        <w:rPr>
          <w:sz w:val="24"/>
          <w:szCs w:val="24"/>
        </w:rPr>
        <w:t>ing</w:t>
      </w:r>
      <w:r w:rsidR="00F94D9A">
        <w:rPr>
          <w:sz w:val="24"/>
          <w:szCs w:val="24"/>
        </w:rPr>
        <w:t xml:space="preserve">, REC invalidation, ineligible, Not Approved, Withdrawn, Approved. </w:t>
      </w:r>
      <w:r w:rsidRPr="00E90104">
        <w:rPr>
          <w:sz w:val="24"/>
          <w:szCs w:val="24"/>
        </w:rPr>
        <w:t>The number of open applications includes studies carried forward from implementation phase and is cumulative from month to month.</w:t>
      </w:r>
      <w:r w:rsidR="00A90241">
        <w:rPr>
          <w:sz w:val="24"/>
          <w:szCs w:val="24"/>
        </w:rPr>
        <w:t xml:space="preserve"> The number of studies approve</w:t>
      </w:r>
      <w:r w:rsidR="001B5B74">
        <w:rPr>
          <w:sz w:val="24"/>
          <w:szCs w:val="24"/>
        </w:rPr>
        <w:t>d per month continues to rise, surpassing</w:t>
      </w:r>
      <w:r w:rsidR="00A90241">
        <w:rPr>
          <w:sz w:val="24"/>
          <w:szCs w:val="24"/>
        </w:rPr>
        <w:t xml:space="preserve"> 400 in </w:t>
      </w:r>
      <w:r w:rsidR="001B5B74">
        <w:rPr>
          <w:sz w:val="24"/>
          <w:szCs w:val="24"/>
        </w:rPr>
        <w:t>January</w:t>
      </w:r>
      <w:r w:rsidR="00A90241">
        <w:rPr>
          <w:sz w:val="24"/>
          <w:szCs w:val="24"/>
        </w:rPr>
        <w:t>.</w:t>
      </w:r>
    </w:p>
    <w:p w:rsidR="006A743C" w:rsidRDefault="006A743C" w:rsidP="00443A9A">
      <w:pPr>
        <w:rPr>
          <w:sz w:val="24"/>
          <w:szCs w:val="24"/>
        </w:rPr>
      </w:pPr>
      <w:r>
        <w:rPr>
          <w:sz w:val="24"/>
          <w:szCs w:val="24"/>
        </w:rPr>
        <w:lastRenderedPageBreak/>
        <w:t xml:space="preserve">It is worth noting that the expected business as usual case load did not anticipate such a high rate of non-valid applications. Given that 30-40% of applications that are valid for REC do not contain all documents needed for assessment, the open case load will include a higher than expected load of non-valid applications. </w:t>
      </w:r>
    </w:p>
    <w:p w:rsidR="006A743C" w:rsidRDefault="006A743C" w:rsidP="00443A9A">
      <w:pPr>
        <w:rPr>
          <w:sz w:val="24"/>
          <w:szCs w:val="24"/>
        </w:rPr>
      </w:pPr>
      <w:r>
        <w:rPr>
          <w:sz w:val="24"/>
          <w:szCs w:val="24"/>
        </w:rPr>
        <w:t>This reinforces the importance of achieving an integrated validation process, as an early output of the Service Improvement Programme. Work is already underway on more integrated guidance for applicants, to be accompanied by communications with ‘Top Tips’.</w:t>
      </w:r>
    </w:p>
    <w:p w:rsidR="001D0802" w:rsidRPr="001D0802" w:rsidRDefault="00582079" w:rsidP="001D0802">
      <w:pPr>
        <w:pStyle w:val="Caption"/>
        <w:keepNext/>
      </w:pPr>
      <w:r>
        <w:t>Figure 5</w:t>
      </w:r>
      <w:r w:rsidR="001D0802">
        <w:t xml:space="preserve">: </w:t>
      </w:r>
      <w:r w:rsidR="001D0802" w:rsidRPr="001D0802">
        <w:t>HRA Application numbers</w:t>
      </w:r>
    </w:p>
    <w:p w:rsidR="0028661D" w:rsidRDefault="00092EAD" w:rsidP="00443A9A">
      <w:pPr>
        <w:rPr>
          <w:sz w:val="24"/>
          <w:szCs w:val="24"/>
        </w:rPr>
      </w:pPr>
      <w:r>
        <w:rPr>
          <w:noProof/>
          <w:lang w:eastAsia="en-GB"/>
        </w:rPr>
        <w:drawing>
          <wp:inline distT="0" distB="0" distL="0" distR="0" wp14:anchorId="7C90D3EE" wp14:editId="75DAECA7">
            <wp:extent cx="6067425" cy="3476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29AE" w:rsidRDefault="00B165CA">
      <w:pPr>
        <w:rPr>
          <w:b/>
          <w:sz w:val="24"/>
          <w:szCs w:val="24"/>
        </w:rPr>
      </w:pPr>
      <w:r>
        <w:rPr>
          <w:b/>
          <w:sz w:val="24"/>
          <w:szCs w:val="24"/>
        </w:rPr>
        <w:t>Co</w:t>
      </w:r>
      <w:r w:rsidR="009872E8" w:rsidRPr="00DA16D6">
        <w:rPr>
          <w:b/>
          <w:sz w:val="24"/>
          <w:szCs w:val="24"/>
        </w:rPr>
        <w:t>ntent of open studies</w:t>
      </w:r>
    </w:p>
    <w:p w:rsidR="00443A9A" w:rsidRDefault="00DA16D6">
      <w:pPr>
        <w:rPr>
          <w:sz w:val="24"/>
          <w:szCs w:val="24"/>
        </w:rPr>
      </w:pPr>
      <w:r w:rsidRPr="00966AC8">
        <w:rPr>
          <w:sz w:val="24"/>
          <w:szCs w:val="24"/>
        </w:rPr>
        <w:t xml:space="preserve">Of the open studies requiring REC review, around </w:t>
      </w:r>
      <w:r w:rsidR="00EC2861">
        <w:rPr>
          <w:sz w:val="24"/>
          <w:szCs w:val="24"/>
        </w:rPr>
        <w:t>640</w:t>
      </w:r>
      <w:r w:rsidR="003C6D0C">
        <w:rPr>
          <w:sz w:val="24"/>
          <w:szCs w:val="24"/>
        </w:rPr>
        <w:t xml:space="preserve"> </w:t>
      </w:r>
      <w:r w:rsidR="00FB0DB1">
        <w:rPr>
          <w:sz w:val="24"/>
          <w:szCs w:val="24"/>
        </w:rPr>
        <w:t xml:space="preserve">do not yet have REC opinion and cannot be </w:t>
      </w:r>
      <w:r w:rsidR="00DF7D37">
        <w:rPr>
          <w:sz w:val="24"/>
          <w:szCs w:val="24"/>
        </w:rPr>
        <w:t>a</w:t>
      </w:r>
      <w:r w:rsidR="00FB0DB1">
        <w:rPr>
          <w:sz w:val="24"/>
          <w:szCs w:val="24"/>
        </w:rPr>
        <w:t xml:space="preserve">pproved as Approval is the final step in the overall process. </w:t>
      </w:r>
      <w:r w:rsidR="0028661D">
        <w:rPr>
          <w:sz w:val="24"/>
          <w:szCs w:val="24"/>
        </w:rPr>
        <w:t xml:space="preserve">Around </w:t>
      </w:r>
      <w:r w:rsidR="00A13170">
        <w:rPr>
          <w:sz w:val="24"/>
          <w:szCs w:val="24"/>
        </w:rPr>
        <w:t xml:space="preserve">400 </w:t>
      </w:r>
      <w:r w:rsidRPr="00966AC8">
        <w:rPr>
          <w:sz w:val="24"/>
          <w:szCs w:val="24"/>
        </w:rPr>
        <w:t xml:space="preserve">have REC favourable opinion in place, but approval has not been issued. </w:t>
      </w:r>
      <w:r w:rsidR="00FB0DB1">
        <w:rPr>
          <w:sz w:val="24"/>
          <w:szCs w:val="24"/>
        </w:rPr>
        <w:t>Some may be pending other approvals (e.g. MHRA, CAG, ARSAC)</w:t>
      </w:r>
      <w:r w:rsidR="004109DB">
        <w:rPr>
          <w:sz w:val="24"/>
          <w:szCs w:val="24"/>
        </w:rPr>
        <w:t>, or awa</w:t>
      </w:r>
      <w:r w:rsidR="0028661D">
        <w:rPr>
          <w:sz w:val="24"/>
          <w:szCs w:val="24"/>
        </w:rPr>
        <w:t>iting responses from applicants</w:t>
      </w:r>
      <w:r w:rsidR="00FB0DB1">
        <w:rPr>
          <w:sz w:val="24"/>
          <w:szCs w:val="24"/>
        </w:rPr>
        <w:t xml:space="preserve">. </w:t>
      </w:r>
      <w:r w:rsidRPr="00966AC8">
        <w:rPr>
          <w:sz w:val="24"/>
          <w:szCs w:val="24"/>
        </w:rPr>
        <w:t xml:space="preserve">We would expect to routinely have studies with REC favourable opinion but completing other regulatory approvals or awaiting changes by the applicant to meet HRA Approval standards. </w:t>
      </w:r>
    </w:p>
    <w:p w:rsidR="00CA50A0" w:rsidRDefault="00CA50A0">
      <w:pPr>
        <w:rPr>
          <w:sz w:val="24"/>
          <w:szCs w:val="24"/>
        </w:rPr>
      </w:pPr>
      <w:r>
        <w:rPr>
          <w:sz w:val="24"/>
          <w:szCs w:val="24"/>
        </w:rPr>
        <w:t xml:space="preserve">Figure 6 shows that at the end of December there were 794 studies in progress in the REC process, with the high number probably due to the timing of REC meeting around Christmas. The data for the end of January shows only a small increase in the </w:t>
      </w:r>
      <w:r w:rsidR="00E67DE9">
        <w:rPr>
          <w:sz w:val="24"/>
          <w:szCs w:val="24"/>
        </w:rPr>
        <w:t xml:space="preserve">number of open </w:t>
      </w:r>
      <w:r>
        <w:rPr>
          <w:sz w:val="24"/>
          <w:szCs w:val="24"/>
        </w:rPr>
        <w:t xml:space="preserve">studies that have completed the REC process and remain open despite </w:t>
      </w:r>
      <w:r w:rsidR="00E67DE9">
        <w:rPr>
          <w:sz w:val="24"/>
          <w:szCs w:val="24"/>
        </w:rPr>
        <w:t xml:space="preserve">the significant number of </w:t>
      </w:r>
      <w:r w:rsidR="00E67DE9">
        <w:rPr>
          <w:sz w:val="24"/>
          <w:szCs w:val="24"/>
        </w:rPr>
        <w:lastRenderedPageBreak/>
        <w:t xml:space="preserve">studies that have completed the REC process. This reflects the improved rate of clearing studies as evidenced in figures 7 and 8. </w:t>
      </w:r>
    </w:p>
    <w:p w:rsidR="009872E8" w:rsidRDefault="00BA5186" w:rsidP="00A15857">
      <w:pPr>
        <w:pStyle w:val="Caption"/>
        <w:keepNext/>
      </w:pPr>
      <w:r>
        <w:t xml:space="preserve">Figure </w:t>
      </w:r>
      <w:r w:rsidR="00582079">
        <w:t>6</w:t>
      </w:r>
      <w:r>
        <w:t>: Open Studies</w:t>
      </w:r>
      <w:r w:rsidR="00B12749">
        <w:t>: All Submissions</w:t>
      </w:r>
    </w:p>
    <w:p w:rsidR="00610CCF" w:rsidRDefault="00A13170" w:rsidP="00CA50A0">
      <w:pPr>
        <w:spacing w:after="0"/>
      </w:pPr>
      <w:r w:rsidRPr="0080519F">
        <w:rPr>
          <w:noProof/>
          <w:color w:val="FFFFFF" w:themeColor="background1"/>
          <w:lang w:eastAsia="en-GB"/>
        </w:rPr>
        <w:drawing>
          <wp:inline distT="0" distB="0" distL="0" distR="0" wp14:anchorId="4FF7D63B" wp14:editId="71E26F32">
            <wp:extent cx="5762625" cy="25908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519F" w:rsidRPr="0080519F" w:rsidRDefault="0080519F" w:rsidP="00610CCF">
      <w:pPr>
        <w:rPr>
          <w:b/>
          <w:bCs/>
          <w:color w:val="4F81BD" w:themeColor="accent1"/>
          <w:sz w:val="18"/>
          <w:szCs w:val="18"/>
        </w:rPr>
      </w:pPr>
      <w:r w:rsidRPr="0080519F">
        <w:rPr>
          <w:b/>
          <w:bCs/>
          <w:color w:val="4F81BD" w:themeColor="accent1"/>
          <w:sz w:val="18"/>
          <w:szCs w:val="18"/>
        </w:rPr>
        <w:t>Boxes show data</w:t>
      </w:r>
      <w:r>
        <w:rPr>
          <w:b/>
          <w:bCs/>
          <w:color w:val="4F81BD" w:themeColor="accent1"/>
          <w:sz w:val="18"/>
          <w:szCs w:val="18"/>
        </w:rPr>
        <w:t xml:space="preserve"> previously</w:t>
      </w:r>
      <w:r w:rsidRPr="0080519F">
        <w:rPr>
          <w:b/>
          <w:bCs/>
          <w:color w:val="4F81BD" w:themeColor="accent1"/>
          <w:sz w:val="18"/>
          <w:szCs w:val="18"/>
        </w:rPr>
        <w:t xml:space="preserve"> reported </w:t>
      </w:r>
      <w:r w:rsidR="00CA50A0">
        <w:rPr>
          <w:b/>
          <w:bCs/>
          <w:color w:val="4F81BD" w:themeColor="accent1"/>
          <w:sz w:val="18"/>
          <w:szCs w:val="18"/>
        </w:rPr>
        <w:t>end December 2016</w:t>
      </w:r>
    </w:p>
    <w:p w:rsidR="000517C8" w:rsidRDefault="000517C8" w:rsidP="00B266E5">
      <w:pPr>
        <w:rPr>
          <w:sz w:val="24"/>
          <w:szCs w:val="24"/>
        </w:rPr>
      </w:pPr>
      <w:r w:rsidRPr="000517C8">
        <w:rPr>
          <w:sz w:val="24"/>
          <w:szCs w:val="24"/>
        </w:rPr>
        <w:t xml:space="preserve">Figure </w:t>
      </w:r>
      <w:r w:rsidR="00582079">
        <w:rPr>
          <w:sz w:val="24"/>
          <w:szCs w:val="24"/>
        </w:rPr>
        <w:t>7</w:t>
      </w:r>
      <w:r w:rsidRPr="000517C8">
        <w:rPr>
          <w:sz w:val="24"/>
          <w:szCs w:val="24"/>
        </w:rPr>
        <w:t xml:space="preserve"> shows the number of elapsed days since submission across all open studies that are valid and progressing through the Approval process. As the median and mean are less than the median time to Approval, this confirm</w:t>
      </w:r>
      <w:r>
        <w:rPr>
          <w:sz w:val="24"/>
          <w:szCs w:val="24"/>
        </w:rPr>
        <w:t>s</w:t>
      </w:r>
      <w:r w:rsidRPr="000517C8">
        <w:rPr>
          <w:sz w:val="24"/>
          <w:szCs w:val="24"/>
        </w:rPr>
        <w:t xml:space="preserve"> that the open case load does not consist of a backlog of studies that have been in the system for a long time. </w:t>
      </w:r>
      <w:r w:rsidR="00BC72AA">
        <w:rPr>
          <w:sz w:val="24"/>
          <w:szCs w:val="24"/>
        </w:rPr>
        <w:t>T</w:t>
      </w:r>
      <w:r w:rsidRPr="000517C8">
        <w:rPr>
          <w:sz w:val="24"/>
          <w:szCs w:val="24"/>
        </w:rPr>
        <w:t xml:space="preserve">he median is less than the mean, </w:t>
      </w:r>
      <w:r w:rsidR="00BC72AA">
        <w:rPr>
          <w:sz w:val="24"/>
          <w:szCs w:val="24"/>
        </w:rPr>
        <w:t xml:space="preserve">indicating that </w:t>
      </w:r>
      <w:r w:rsidRPr="000517C8">
        <w:rPr>
          <w:sz w:val="24"/>
          <w:szCs w:val="24"/>
        </w:rPr>
        <w:t xml:space="preserve">the data is skewed to the left of the distribution curve, </w:t>
      </w:r>
      <w:r w:rsidR="00BC72AA">
        <w:rPr>
          <w:sz w:val="24"/>
          <w:szCs w:val="24"/>
        </w:rPr>
        <w:t xml:space="preserve">as shown in figure </w:t>
      </w:r>
      <w:r w:rsidR="00582079">
        <w:rPr>
          <w:sz w:val="24"/>
          <w:szCs w:val="24"/>
        </w:rPr>
        <w:t>8</w:t>
      </w:r>
      <w:r w:rsidR="00BC72AA">
        <w:rPr>
          <w:sz w:val="24"/>
          <w:szCs w:val="24"/>
        </w:rPr>
        <w:t xml:space="preserve">, </w:t>
      </w:r>
      <w:r w:rsidRPr="000517C8">
        <w:rPr>
          <w:sz w:val="24"/>
          <w:szCs w:val="24"/>
        </w:rPr>
        <w:t>which again confirms that there is not a large open backlog.</w:t>
      </w:r>
    </w:p>
    <w:p w:rsidR="00EC2861" w:rsidRPr="000517C8" w:rsidRDefault="00EC2861" w:rsidP="00B266E5">
      <w:pPr>
        <w:rPr>
          <w:sz w:val="24"/>
          <w:szCs w:val="24"/>
        </w:rPr>
      </w:pPr>
      <w:r>
        <w:rPr>
          <w:sz w:val="24"/>
          <w:szCs w:val="24"/>
        </w:rPr>
        <w:t xml:space="preserve">The total number of open applications valid for REC has reduced further from 1132 last month to </w:t>
      </w:r>
      <w:proofErr w:type="gramStart"/>
      <w:r>
        <w:rPr>
          <w:sz w:val="24"/>
          <w:szCs w:val="24"/>
        </w:rPr>
        <w:t>1051,</w:t>
      </w:r>
      <w:proofErr w:type="gramEnd"/>
      <w:r>
        <w:rPr>
          <w:sz w:val="24"/>
          <w:szCs w:val="24"/>
        </w:rPr>
        <w:t xml:space="preserve"> and both the mean and median number of days elapsed since submission for these open studies has reduced. This is a result of clearing a number of long-standing applications where responses from applicants were awaited.</w:t>
      </w:r>
      <w:r w:rsidR="00B070FD">
        <w:rPr>
          <w:sz w:val="24"/>
          <w:szCs w:val="24"/>
        </w:rPr>
        <w:t xml:space="preserve"> This is reflected in the change in the distribution curve of open studies illustrated in figure 8, with 70% of all open studies being open for less than 80 days.</w:t>
      </w:r>
      <w:r w:rsidR="00F73169">
        <w:rPr>
          <w:sz w:val="24"/>
          <w:szCs w:val="24"/>
        </w:rPr>
        <w:t xml:space="preserve"> The number of days shown is full elapsed days including any time taken for applicants to respond. All the longest running applications are awaiting response from applicants.</w:t>
      </w:r>
    </w:p>
    <w:p w:rsidR="007F7900" w:rsidRDefault="007F7900" w:rsidP="007F7900">
      <w:pPr>
        <w:pStyle w:val="Caption"/>
        <w:keepNext/>
      </w:pPr>
      <w:r w:rsidRPr="007F7900">
        <w:t xml:space="preserve">Figure </w:t>
      </w:r>
      <w:r w:rsidR="00582079">
        <w:t>7</w:t>
      </w:r>
      <w:r w:rsidR="00E56110">
        <w:t>: B</w:t>
      </w:r>
      <w:r w:rsidR="00757332">
        <w:t>reakdown of open studies</w:t>
      </w:r>
      <w:r w:rsidR="000517C8">
        <w:t>:</w:t>
      </w:r>
      <w:r w:rsidR="007D73B5">
        <w:t xml:space="preserve"> Valid </w:t>
      </w:r>
      <w:r w:rsidR="00A96E52">
        <w:t xml:space="preserve">REC </w:t>
      </w:r>
      <w:r w:rsidR="007D73B5">
        <w:t>Submissions</w:t>
      </w:r>
    </w:p>
    <w:tbl>
      <w:tblPr>
        <w:tblW w:w="8360" w:type="dxa"/>
        <w:tblInd w:w="103" w:type="dxa"/>
        <w:tblLook w:val="04A0" w:firstRow="1" w:lastRow="0" w:firstColumn="1" w:lastColumn="0" w:noHBand="0" w:noVBand="1"/>
      </w:tblPr>
      <w:tblGrid>
        <w:gridCol w:w="3300"/>
        <w:gridCol w:w="1260"/>
        <w:gridCol w:w="1260"/>
        <w:gridCol w:w="1260"/>
        <w:gridCol w:w="1280"/>
      </w:tblGrid>
      <w:tr w:rsidR="00A87ED9" w:rsidRPr="00A87ED9" w:rsidTr="00F73169">
        <w:trPr>
          <w:trHeight w:val="283"/>
        </w:trPr>
        <w:tc>
          <w:tcPr>
            <w:tcW w:w="3300" w:type="dxa"/>
            <w:vMerge w:val="restart"/>
            <w:tcBorders>
              <w:top w:val="single" w:sz="4" w:space="0" w:color="963634"/>
              <w:left w:val="single" w:sz="4" w:space="0" w:color="963634"/>
              <w:bottom w:val="single" w:sz="8" w:space="0" w:color="DA9694"/>
              <w:right w:val="single" w:sz="4" w:space="0" w:color="963634"/>
            </w:tcBorders>
            <w:shd w:val="clear" w:color="000000" w:fill="DA9694"/>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Number of open applications</w:t>
            </w:r>
          </w:p>
        </w:tc>
        <w:tc>
          <w:tcPr>
            <w:tcW w:w="5060" w:type="dxa"/>
            <w:gridSpan w:val="4"/>
            <w:tcBorders>
              <w:top w:val="single" w:sz="4" w:space="0" w:color="963634"/>
              <w:left w:val="nil"/>
              <w:bottom w:val="nil"/>
              <w:right w:val="single" w:sz="4" w:space="0" w:color="963634"/>
            </w:tcBorders>
            <w:shd w:val="clear" w:color="auto" w:fill="D99594" w:themeFill="accent2" w:themeFillTint="99"/>
            <w:noWrap/>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Number of days elapsed since submission*</w:t>
            </w:r>
          </w:p>
        </w:tc>
      </w:tr>
      <w:tr w:rsidR="00A87ED9" w:rsidRPr="00A87ED9" w:rsidTr="00F73169">
        <w:trPr>
          <w:trHeight w:val="283"/>
        </w:trPr>
        <w:tc>
          <w:tcPr>
            <w:tcW w:w="3300" w:type="dxa"/>
            <w:vMerge/>
            <w:tcBorders>
              <w:top w:val="single" w:sz="4" w:space="0" w:color="963634"/>
              <w:left w:val="single" w:sz="4" w:space="0" w:color="963634"/>
              <w:bottom w:val="single" w:sz="8" w:space="0" w:color="DA9694"/>
              <w:right w:val="single" w:sz="4" w:space="0" w:color="963634"/>
            </w:tcBorders>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p>
        </w:tc>
        <w:tc>
          <w:tcPr>
            <w:tcW w:w="1260" w:type="dxa"/>
            <w:tcBorders>
              <w:top w:val="nil"/>
              <w:left w:val="nil"/>
              <w:bottom w:val="single" w:sz="4" w:space="0" w:color="D99594" w:themeColor="accent2" w:themeTint="99"/>
              <w:right w:val="nil"/>
            </w:tcBorders>
            <w:shd w:val="clear" w:color="auto" w:fill="D99594" w:themeFill="accent2" w:themeFillTint="99"/>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Mean</w:t>
            </w:r>
          </w:p>
        </w:tc>
        <w:tc>
          <w:tcPr>
            <w:tcW w:w="1260" w:type="dxa"/>
            <w:tcBorders>
              <w:top w:val="nil"/>
              <w:left w:val="nil"/>
              <w:bottom w:val="single" w:sz="4" w:space="0" w:color="D99594" w:themeColor="accent2" w:themeTint="99"/>
              <w:right w:val="nil"/>
            </w:tcBorders>
            <w:shd w:val="clear" w:color="auto" w:fill="D99594" w:themeFill="accent2" w:themeFillTint="99"/>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Median</w:t>
            </w:r>
          </w:p>
        </w:tc>
        <w:tc>
          <w:tcPr>
            <w:tcW w:w="1260" w:type="dxa"/>
            <w:tcBorders>
              <w:top w:val="nil"/>
              <w:left w:val="nil"/>
              <w:bottom w:val="single" w:sz="4" w:space="0" w:color="D99594" w:themeColor="accent2" w:themeTint="99"/>
              <w:right w:val="nil"/>
            </w:tcBorders>
            <w:shd w:val="clear" w:color="auto" w:fill="D99594" w:themeFill="accent2" w:themeFillTint="99"/>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Min</w:t>
            </w:r>
          </w:p>
        </w:tc>
        <w:tc>
          <w:tcPr>
            <w:tcW w:w="1280" w:type="dxa"/>
            <w:tcBorders>
              <w:top w:val="nil"/>
              <w:left w:val="nil"/>
              <w:bottom w:val="single" w:sz="4" w:space="0" w:color="D99594" w:themeColor="accent2" w:themeTint="99"/>
              <w:right w:val="single" w:sz="4" w:space="0" w:color="963634"/>
            </w:tcBorders>
            <w:shd w:val="clear" w:color="auto" w:fill="D99594" w:themeFill="accent2" w:themeFillTint="99"/>
            <w:vAlign w:val="center"/>
            <w:hideMark/>
          </w:tcPr>
          <w:p w:rsidR="00A87ED9" w:rsidRPr="00F73169" w:rsidRDefault="00A87ED9" w:rsidP="00F73169">
            <w:pPr>
              <w:spacing w:after="0" w:line="240" w:lineRule="auto"/>
              <w:jc w:val="center"/>
              <w:rPr>
                <w:rFonts w:ascii="Calibri" w:eastAsia="Times New Roman" w:hAnsi="Calibri" w:cs="Calibri"/>
                <w:b/>
                <w:bCs/>
                <w:color w:val="FFFFFF"/>
                <w:lang w:eastAsia="en-GB"/>
              </w:rPr>
            </w:pPr>
            <w:r w:rsidRPr="00F73169">
              <w:rPr>
                <w:rFonts w:ascii="Calibri" w:eastAsia="Times New Roman" w:hAnsi="Calibri" w:cs="Calibri"/>
                <w:b/>
                <w:bCs/>
                <w:color w:val="FFFFFF"/>
                <w:lang w:eastAsia="en-GB"/>
              </w:rPr>
              <w:t>Max</w:t>
            </w:r>
          </w:p>
        </w:tc>
      </w:tr>
      <w:tr w:rsidR="00A87ED9" w:rsidRPr="00A87ED9" w:rsidTr="00F73169">
        <w:trPr>
          <w:trHeight w:val="300"/>
        </w:trPr>
        <w:tc>
          <w:tcPr>
            <w:tcW w:w="3300" w:type="dxa"/>
            <w:tcBorders>
              <w:top w:val="nil"/>
              <w:left w:val="single" w:sz="4" w:space="0" w:color="963634"/>
              <w:bottom w:val="single" w:sz="4" w:space="0" w:color="963634"/>
              <w:right w:val="single" w:sz="4" w:space="0" w:color="963634"/>
            </w:tcBorders>
            <w:shd w:val="clear" w:color="000000" w:fill="FFFFFF"/>
            <w:vAlign w:val="center"/>
            <w:hideMark/>
          </w:tcPr>
          <w:p w:rsidR="00A87ED9" w:rsidRPr="00F73169" w:rsidRDefault="00A87ED9" w:rsidP="00F73169">
            <w:pPr>
              <w:spacing w:after="0" w:line="240" w:lineRule="auto"/>
              <w:jc w:val="center"/>
              <w:rPr>
                <w:rFonts w:ascii="Calibri" w:eastAsia="Times New Roman" w:hAnsi="Calibri" w:cs="Calibri"/>
                <w:color w:val="000000"/>
                <w:lang w:eastAsia="en-GB"/>
              </w:rPr>
            </w:pPr>
            <w:r w:rsidRPr="00F73169">
              <w:rPr>
                <w:rFonts w:ascii="Calibri" w:eastAsia="Times New Roman" w:hAnsi="Calibri" w:cs="Calibri"/>
                <w:color w:val="000000"/>
                <w:lang w:eastAsia="en-GB"/>
              </w:rPr>
              <w:t>1051</w:t>
            </w:r>
          </w:p>
        </w:tc>
        <w:tc>
          <w:tcPr>
            <w:tcW w:w="1260" w:type="dxa"/>
            <w:tcBorders>
              <w:top w:val="single" w:sz="4" w:space="0" w:color="D99594" w:themeColor="accent2" w:themeTint="99"/>
              <w:left w:val="nil"/>
              <w:bottom w:val="single" w:sz="4" w:space="0" w:color="963634"/>
              <w:right w:val="nil"/>
            </w:tcBorders>
            <w:shd w:val="clear" w:color="000000" w:fill="FFFFFF"/>
            <w:vAlign w:val="center"/>
            <w:hideMark/>
          </w:tcPr>
          <w:p w:rsidR="00A87ED9" w:rsidRPr="00F73169" w:rsidRDefault="00A87ED9" w:rsidP="00F73169">
            <w:pPr>
              <w:spacing w:after="0" w:line="240" w:lineRule="auto"/>
              <w:jc w:val="center"/>
              <w:rPr>
                <w:rFonts w:ascii="Calibri" w:eastAsia="Times New Roman" w:hAnsi="Calibri" w:cs="Calibri"/>
                <w:lang w:eastAsia="en-GB"/>
              </w:rPr>
            </w:pPr>
            <w:r w:rsidRPr="00F73169">
              <w:rPr>
                <w:rFonts w:ascii="Calibri" w:eastAsia="Times New Roman" w:hAnsi="Calibri" w:cs="Calibri"/>
                <w:lang w:eastAsia="en-GB"/>
              </w:rPr>
              <w:t>73</w:t>
            </w:r>
          </w:p>
        </w:tc>
        <w:tc>
          <w:tcPr>
            <w:tcW w:w="1260" w:type="dxa"/>
            <w:tcBorders>
              <w:top w:val="single" w:sz="4" w:space="0" w:color="D99594" w:themeColor="accent2" w:themeTint="99"/>
              <w:left w:val="nil"/>
              <w:bottom w:val="single" w:sz="4" w:space="0" w:color="963634"/>
              <w:right w:val="nil"/>
            </w:tcBorders>
            <w:shd w:val="clear" w:color="000000" w:fill="FFFFFF"/>
            <w:vAlign w:val="center"/>
            <w:hideMark/>
          </w:tcPr>
          <w:p w:rsidR="00A87ED9" w:rsidRPr="00F73169" w:rsidRDefault="00A87ED9" w:rsidP="00F73169">
            <w:pPr>
              <w:spacing w:after="0" w:line="240" w:lineRule="auto"/>
              <w:jc w:val="center"/>
              <w:rPr>
                <w:rFonts w:ascii="Calibri" w:eastAsia="Times New Roman" w:hAnsi="Calibri" w:cs="Calibri"/>
                <w:lang w:eastAsia="en-GB"/>
              </w:rPr>
            </w:pPr>
            <w:r w:rsidRPr="00F73169">
              <w:rPr>
                <w:rFonts w:ascii="Calibri" w:eastAsia="Times New Roman" w:hAnsi="Calibri" w:cs="Calibri"/>
                <w:lang w:eastAsia="en-GB"/>
              </w:rPr>
              <w:t>53</w:t>
            </w:r>
          </w:p>
        </w:tc>
        <w:tc>
          <w:tcPr>
            <w:tcW w:w="1260" w:type="dxa"/>
            <w:tcBorders>
              <w:top w:val="single" w:sz="4" w:space="0" w:color="D99594" w:themeColor="accent2" w:themeTint="99"/>
              <w:left w:val="nil"/>
              <w:bottom w:val="single" w:sz="4" w:space="0" w:color="963634"/>
              <w:right w:val="nil"/>
            </w:tcBorders>
            <w:shd w:val="clear" w:color="000000" w:fill="FFFFFF"/>
            <w:vAlign w:val="center"/>
            <w:hideMark/>
          </w:tcPr>
          <w:p w:rsidR="00A87ED9" w:rsidRPr="00F73169" w:rsidRDefault="00A87ED9" w:rsidP="00F73169">
            <w:pPr>
              <w:spacing w:after="0" w:line="240" w:lineRule="auto"/>
              <w:jc w:val="center"/>
              <w:rPr>
                <w:rFonts w:ascii="Calibri" w:eastAsia="Times New Roman" w:hAnsi="Calibri" w:cs="Calibri"/>
                <w:lang w:eastAsia="en-GB"/>
              </w:rPr>
            </w:pPr>
            <w:r w:rsidRPr="00F73169">
              <w:rPr>
                <w:rFonts w:ascii="Calibri" w:eastAsia="Times New Roman" w:hAnsi="Calibri" w:cs="Calibri"/>
                <w:lang w:eastAsia="en-GB"/>
              </w:rPr>
              <w:t>2</w:t>
            </w:r>
          </w:p>
        </w:tc>
        <w:tc>
          <w:tcPr>
            <w:tcW w:w="1280" w:type="dxa"/>
            <w:tcBorders>
              <w:top w:val="single" w:sz="4" w:space="0" w:color="D99594" w:themeColor="accent2" w:themeTint="99"/>
              <w:left w:val="nil"/>
              <w:bottom w:val="single" w:sz="4" w:space="0" w:color="963634"/>
              <w:right w:val="single" w:sz="4" w:space="0" w:color="963634"/>
            </w:tcBorders>
            <w:shd w:val="clear" w:color="auto" w:fill="auto"/>
            <w:noWrap/>
            <w:vAlign w:val="center"/>
            <w:hideMark/>
          </w:tcPr>
          <w:p w:rsidR="00A87ED9" w:rsidRPr="00F73169" w:rsidRDefault="00A87ED9" w:rsidP="00F73169">
            <w:pPr>
              <w:spacing w:after="0" w:line="240" w:lineRule="auto"/>
              <w:jc w:val="center"/>
              <w:rPr>
                <w:rFonts w:ascii="Calibri" w:eastAsia="Times New Roman" w:hAnsi="Calibri" w:cs="Calibri"/>
                <w:color w:val="000000"/>
                <w:lang w:eastAsia="en-GB"/>
              </w:rPr>
            </w:pPr>
            <w:r w:rsidRPr="00F73169">
              <w:rPr>
                <w:rFonts w:ascii="Calibri" w:eastAsia="Times New Roman" w:hAnsi="Calibri" w:cs="Calibri"/>
                <w:color w:val="000000"/>
                <w:lang w:eastAsia="en-GB"/>
              </w:rPr>
              <w:t>411</w:t>
            </w:r>
          </w:p>
        </w:tc>
      </w:tr>
    </w:tbl>
    <w:p w:rsidR="00A87ED9" w:rsidRDefault="00A87ED9" w:rsidP="00A87ED9"/>
    <w:p w:rsidR="00B070FD" w:rsidRPr="00443A9A" w:rsidRDefault="00B070FD" w:rsidP="00B070FD">
      <w:pPr>
        <w:pStyle w:val="Caption"/>
        <w:keepNext/>
      </w:pPr>
      <w:r>
        <w:lastRenderedPageBreak/>
        <w:t>Figure 8: Distribution</w:t>
      </w:r>
      <w:r w:rsidRPr="00443A9A">
        <w:t xml:space="preserve"> of open studies</w:t>
      </w:r>
      <w:r>
        <w:t xml:space="preserve"> Valid Submissions </w:t>
      </w:r>
    </w:p>
    <w:p w:rsidR="00B070FD" w:rsidRDefault="00B070FD" w:rsidP="00B070FD">
      <w:pPr>
        <w:pStyle w:val="Caption"/>
        <w:keepNext/>
      </w:pPr>
      <w:r>
        <w:rPr>
          <w:noProof/>
          <w:lang w:eastAsia="en-GB"/>
        </w:rPr>
        <w:drawing>
          <wp:inline distT="0" distB="0" distL="0" distR="0" wp14:anchorId="4AE43DA4" wp14:editId="311D9E96">
            <wp:extent cx="5419725" cy="34575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0FD" w:rsidRPr="00610CCF" w:rsidRDefault="00B070FD" w:rsidP="00B070FD"/>
    <w:p w:rsidR="0002257D" w:rsidRPr="000A5829" w:rsidRDefault="0002257D" w:rsidP="0002257D">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t>Amendments submitted to the HRA</w:t>
      </w:r>
    </w:p>
    <w:p w:rsidR="0002257D" w:rsidRDefault="0002257D" w:rsidP="0002257D">
      <w:pPr>
        <w:rPr>
          <w:sz w:val="24"/>
          <w:szCs w:val="24"/>
        </w:rPr>
      </w:pPr>
      <w:r w:rsidRPr="00495249">
        <w:rPr>
          <w:sz w:val="24"/>
          <w:szCs w:val="24"/>
        </w:rPr>
        <w:t xml:space="preserve">We are </w:t>
      </w:r>
      <w:r>
        <w:rPr>
          <w:sz w:val="24"/>
          <w:szCs w:val="24"/>
        </w:rPr>
        <w:t xml:space="preserve">now </w:t>
      </w:r>
      <w:r w:rsidRPr="00495249">
        <w:rPr>
          <w:sz w:val="24"/>
          <w:szCs w:val="24"/>
        </w:rPr>
        <w:t xml:space="preserve">receiving between </w:t>
      </w:r>
      <w:r w:rsidR="00CE4465">
        <w:rPr>
          <w:sz w:val="24"/>
          <w:szCs w:val="24"/>
        </w:rPr>
        <w:t>30</w:t>
      </w:r>
      <w:r w:rsidRPr="00495249">
        <w:rPr>
          <w:sz w:val="24"/>
          <w:szCs w:val="24"/>
        </w:rPr>
        <w:t xml:space="preserve"> and </w:t>
      </w:r>
      <w:r w:rsidR="00CE4465">
        <w:rPr>
          <w:sz w:val="24"/>
          <w:szCs w:val="24"/>
        </w:rPr>
        <w:t>5</w:t>
      </w:r>
      <w:r>
        <w:rPr>
          <w:sz w:val="24"/>
          <w:szCs w:val="24"/>
        </w:rPr>
        <w:t>0</w:t>
      </w:r>
      <w:r w:rsidRPr="00495249">
        <w:rPr>
          <w:sz w:val="24"/>
          <w:szCs w:val="24"/>
        </w:rPr>
        <w:t xml:space="preserve"> </w:t>
      </w:r>
      <w:r w:rsidR="00BC72AA">
        <w:rPr>
          <w:sz w:val="24"/>
          <w:szCs w:val="24"/>
        </w:rPr>
        <w:t>amendments each</w:t>
      </w:r>
      <w:r>
        <w:rPr>
          <w:sz w:val="24"/>
          <w:szCs w:val="24"/>
        </w:rPr>
        <w:t xml:space="preserve"> day </w:t>
      </w:r>
      <w:r w:rsidR="00CE4465">
        <w:rPr>
          <w:sz w:val="24"/>
          <w:szCs w:val="24"/>
        </w:rPr>
        <w:t>via HRA Amendments inbox for categorisation (this does not include amendments submitted to REC)</w:t>
      </w:r>
      <w:r>
        <w:rPr>
          <w:sz w:val="24"/>
          <w:szCs w:val="24"/>
        </w:rPr>
        <w:t>.</w:t>
      </w:r>
      <w:r w:rsidRPr="00495249">
        <w:rPr>
          <w:sz w:val="24"/>
          <w:szCs w:val="24"/>
        </w:rPr>
        <w:t xml:space="preserve"> </w:t>
      </w:r>
      <w:r w:rsidR="00CE4465">
        <w:rPr>
          <w:sz w:val="24"/>
          <w:szCs w:val="24"/>
        </w:rPr>
        <w:t xml:space="preserve"> </w:t>
      </w:r>
      <w:r w:rsidR="00F73169">
        <w:rPr>
          <w:sz w:val="24"/>
          <w:szCs w:val="24"/>
        </w:rPr>
        <w:t>O</w:t>
      </w:r>
      <w:r w:rsidR="00CE4465">
        <w:rPr>
          <w:sz w:val="24"/>
          <w:szCs w:val="24"/>
        </w:rPr>
        <w:t>f all amendment Submissions (via HRA amendments and REC),</w:t>
      </w:r>
      <w:r w:rsidR="00BC72AA">
        <w:rPr>
          <w:sz w:val="24"/>
          <w:szCs w:val="24"/>
        </w:rPr>
        <w:t xml:space="preserve"> </w:t>
      </w:r>
      <w:r w:rsidR="009F2335">
        <w:rPr>
          <w:sz w:val="24"/>
          <w:szCs w:val="24"/>
        </w:rPr>
        <w:t xml:space="preserve">15 – 40 amendments each day are identified as requiring HRA Assessment. </w:t>
      </w:r>
      <w:r w:rsidR="00BC72AA">
        <w:rPr>
          <w:sz w:val="24"/>
          <w:szCs w:val="24"/>
        </w:rPr>
        <w:t>Categorisation is routinely being completed within the five working days set out in UK-wide standards.</w:t>
      </w:r>
      <w:r w:rsidR="00D873BE">
        <w:rPr>
          <w:sz w:val="24"/>
          <w:szCs w:val="24"/>
        </w:rPr>
        <w:t xml:space="preserve"> </w:t>
      </w:r>
    </w:p>
    <w:p w:rsidR="0002257D" w:rsidRDefault="0002257D" w:rsidP="0002257D">
      <w:pPr>
        <w:rPr>
          <w:sz w:val="24"/>
          <w:szCs w:val="24"/>
        </w:rPr>
      </w:pPr>
      <w:r>
        <w:rPr>
          <w:sz w:val="24"/>
          <w:szCs w:val="24"/>
        </w:rPr>
        <w:t xml:space="preserve">Figure </w:t>
      </w:r>
      <w:r w:rsidR="00582079">
        <w:rPr>
          <w:sz w:val="24"/>
          <w:szCs w:val="24"/>
        </w:rPr>
        <w:t>9</w:t>
      </w:r>
      <w:r w:rsidRPr="00495249">
        <w:rPr>
          <w:sz w:val="24"/>
          <w:szCs w:val="24"/>
        </w:rPr>
        <w:t xml:space="preserve"> provides information on the number of amendments which have been </w:t>
      </w:r>
      <w:r w:rsidR="00CE4465">
        <w:rPr>
          <w:sz w:val="24"/>
          <w:szCs w:val="24"/>
        </w:rPr>
        <w:t>assessed</w:t>
      </w:r>
      <w:r w:rsidRPr="00495249">
        <w:rPr>
          <w:sz w:val="24"/>
          <w:szCs w:val="24"/>
        </w:rPr>
        <w:t xml:space="preserve">, </w:t>
      </w:r>
      <w:r w:rsidR="00BC72AA">
        <w:rPr>
          <w:sz w:val="24"/>
          <w:szCs w:val="24"/>
        </w:rPr>
        <w:t>the open caseload</w:t>
      </w:r>
      <w:r w:rsidR="00B12749">
        <w:rPr>
          <w:sz w:val="24"/>
          <w:szCs w:val="24"/>
        </w:rPr>
        <w:t xml:space="preserve">, </w:t>
      </w:r>
      <w:r w:rsidRPr="00495249">
        <w:rPr>
          <w:sz w:val="24"/>
          <w:szCs w:val="24"/>
        </w:rPr>
        <w:t xml:space="preserve">and the median time in calendar days to be </w:t>
      </w:r>
      <w:r w:rsidR="00B12749">
        <w:rPr>
          <w:sz w:val="24"/>
          <w:szCs w:val="24"/>
        </w:rPr>
        <w:t>assessed</w:t>
      </w:r>
      <w:r w:rsidRPr="00495249">
        <w:rPr>
          <w:sz w:val="24"/>
          <w:szCs w:val="24"/>
        </w:rPr>
        <w:t>.</w:t>
      </w:r>
      <w:r>
        <w:rPr>
          <w:sz w:val="24"/>
          <w:szCs w:val="24"/>
        </w:rPr>
        <w:t xml:space="preserve"> Start date is from date of receipt.</w:t>
      </w:r>
      <w:r w:rsidR="006D549E">
        <w:rPr>
          <w:sz w:val="24"/>
          <w:szCs w:val="24"/>
        </w:rPr>
        <w:t xml:space="preserve"> </w:t>
      </w:r>
      <w:r w:rsidR="00BC72AA">
        <w:rPr>
          <w:sz w:val="24"/>
          <w:szCs w:val="24"/>
        </w:rPr>
        <w:t xml:space="preserve">The number of amendments marked as requiring assessment is the open caseload, and includes amendments awaiting REC and/or MHRA review as well as those undergoing assessment. </w:t>
      </w:r>
    </w:p>
    <w:p w:rsidR="0002257D" w:rsidRDefault="0002257D" w:rsidP="0002257D">
      <w:pPr>
        <w:pStyle w:val="Caption"/>
        <w:keepNext/>
      </w:pPr>
      <w:r w:rsidRPr="00024B07">
        <w:t xml:space="preserve">Figure </w:t>
      </w:r>
      <w:r w:rsidR="00582079">
        <w:t>9</w:t>
      </w:r>
      <w:r w:rsidRPr="00024B07">
        <w:t xml:space="preserve">: Number of amendments to </w:t>
      </w:r>
      <w:r w:rsidR="00010E1A">
        <w:t xml:space="preserve">Assessment Monthly data </w:t>
      </w:r>
    </w:p>
    <w:tbl>
      <w:tblPr>
        <w:tblW w:w="8803" w:type="dxa"/>
        <w:tblInd w:w="-18" w:type="dxa"/>
        <w:tblCellMar>
          <w:left w:w="0" w:type="dxa"/>
          <w:right w:w="0" w:type="dxa"/>
        </w:tblCellMar>
        <w:tblLook w:val="04A0" w:firstRow="1" w:lastRow="0" w:firstColumn="1" w:lastColumn="0" w:noHBand="0" w:noVBand="1"/>
      </w:tblPr>
      <w:tblGrid>
        <w:gridCol w:w="5359"/>
        <w:gridCol w:w="1148"/>
        <w:gridCol w:w="1148"/>
        <w:gridCol w:w="1148"/>
      </w:tblGrid>
      <w:tr w:rsidR="00CE4465" w:rsidTr="00CE4465">
        <w:trPr>
          <w:trHeight w:val="313"/>
        </w:trPr>
        <w:tc>
          <w:tcPr>
            <w:tcW w:w="5359" w:type="dxa"/>
            <w:tcBorders>
              <w:top w:val="nil"/>
              <w:left w:val="single" w:sz="8" w:space="0" w:color="C0504D"/>
              <w:bottom w:val="single" w:sz="8" w:space="0" w:color="C0504D"/>
              <w:right w:val="single" w:sz="8" w:space="0" w:color="C0504D"/>
            </w:tcBorders>
            <w:shd w:val="clear" w:color="auto" w:fill="C0504D"/>
            <w:noWrap/>
            <w:tcMar>
              <w:top w:w="0" w:type="dxa"/>
              <w:left w:w="108" w:type="dxa"/>
              <w:bottom w:w="0" w:type="dxa"/>
              <w:right w:w="108" w:type="dxa"/>
            </w:tcMar>
            <w:vAlign w:val="center"/>
            <w:hideMark/>
          </w:tcPr>
          <w:p w:rsidR="00CE4465" w:rsidRDefault="00CE4465">
            <w:pPr>
              <w:rPr>
                <w:rFonts w:ascii="Arial" w:hAnsi="Arial" w:cs="Arial"/>
                <w:color w:val="000000"/>
                <w:sz w:val="20"/>
                <w:szCs w:val="20"/>
                <w:lang w:eastAsia="en-GB"/>
              </w:rPr>
            </w:pPr>
            <w:r>
              <w:rPr>
                <w:rFonts w:ascii="Arial" w:hAnsi="Arial" w:cs="Arial"/>
                <w:color w:val="000000"/>
                <w:sz w:val="20"/>
                <w:szCs w:val="20"/>
                <w:lang w:eastAsia="en-GB"/>
              </w:rPr>
              <w:t> </w:t>
            </w:r>
          </w:p>
        </w:tc>
        <w:tc>
          <w:tcPr>
            <w:tcW w:w="1148" w:type="dxa"/>
            <w:tcBorders>
              <w:top w:val="nil"/>
              <w:left w:val="nil"/>
              <w:bottom w:val="single" w:sz="8" w:space="0" w:color="C0504D"/>
              <w:right w:val="single" w:sz="8" w:space="0" w:color="C0504D"/>
            </w:tcBorders>
            <w:shd w:val="clear" w:color="auto" w:fill="C0504D"/>
            <w:noWrap/>
            <w:tcMar>
              <w:top w:w="0" w:type="dxa"/>
              <w:left w:w="108" w:type="dxa"/>
              <w:bottom w:w="0" w:type="dxa"/>
              <w:right w:w="108" w:type="dxa"/>
            </w:tcMar>
            <w:vAlign w:val="center"/>
            <w:hideMark/>
          </w:tcPr>
          <w:p w:rsidR="00CE4465" w:rsidRDefault="00CE4465">
            <w:pPr>
              <w:jc w:val="right"/>
              <w:rPr>
                <w:rFonts w:ascii="Arial" w:hAnsi="Arial" w:cs="Arial"/>
                <w:b/>
                <w:bCs/>
                <w:color w:val="FFFFFF"/>
                <w:sz w:val="20"/>
                <w:szCs w:val="20"/>
                <w:lang w:eastAsia="en-GB"/>
              </w:rPr>
            </w:pPr>
            <w:r>
              <w:rPr>
                <w:rFonts w:ascii="Arial" w:hAnsi="Arial" w:cs="Arial"/>
                <w:b/>
                <w:bCs/>
                <w:color w:val="FFFFFF"/>
                <w:sz w:val="20"/>
                <w:szCs w:val="20"/>
                <w:lang w:eastAsia="en-GB"/>
              </w:rPr>
              <w:t>Nov-16</w:t>
            </w:r>
          </w:p>
        </w:tc>
        <w:tc>
          <w:tcPr>
            <w:tcW w:w="1148" w:type="dxa"/>
            <w:tcBorders>
              <w:top w:val="single" w:sz="8" w:space="0" w:color="C0504D"/>
              <w:left w:val="nil"/>
              <w:bottom w:val="single" w:sz="8" w:space="0" w:color="C0504D"/>
              <w:right w:val="single" w:sz="8" w:space="0" w:color="C0504D"/>
            </w:tcBorders>
            <w:shd w:val="clear" w:color="auto" w:fill="C0504D"/>
            <w:noWrap/>
            <w:tcMar>
              <w:top w:w="0" w:type="dxa"/>
              <w:left w:w="108" w:type="dxa"/>
              <w:bottom w:w="0" w:type="dxa"/>
              <w:right w:w="108" w:type="dxa"/>
            </w:tcMar>
            <w:vAlign w:val="center"/>
            <w:hideMark/>
          </w:tcPr>
          <w:p w:rsidR="00CE4465" w:rsidRDefault="00CE4465">
            <w:pPr>
              <w:jc w:val="right"/>
              <w:rPr>
                <w:rFonts w:ascii="Arial" w:hAnsi="Arial" w:cs="Arial"/>
                <w:b/>
                <w:bCs/>
                <w:color w:val="FFFFFF"/>
                <w:sz w:val="20"/>
                <w:szCs w:val="20"/>
                <w:lang w:eastAsia="en-GB"/>
              </w:rPr>
            </w:pPr>
            <w:r>
              <w:rPr>
                <w:rFonts w:ascii="Arial" w:hAnsi="Arial" w:cs="Arial"/>
                <w:b/>
                <w:bCs/>
                <w:color w:val="FFFFFF"/>
                <w:sz w:val="20"/>
                <w:szCs w:val="20"/>
                <w:lang w:eastAsia="en-GB"/>
              </w:rPr>
              <w:t>Dec-16</w:t>
            </w:r>
          </w:p>
        </w:tc>
        <w:tc>
          <w:tcPr>
            <w:tcW w:w="1148" w:type="dxa"/>
            <w:tcBorders>
              <w:top w:val="single" w:sz="8" w:space="0" w:color="C0504D"/>
              <w:left w:val="nil"/>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CE4465" w:rsidRDefault="00CE4465">
            <w:pPr>
              <w:jc w:val="right"/>
              <w:rPr>
                <w:rFonts w:ascii="Arial" w:hAnsi="Arial" w:cs="Arial"/>
                <w:b/>
                <w:bCs/>
                <w:color w:val="FFFFFF"/>
                <w:sz w:val="20"/>
                <w:szCs w:val="20"/>
                <w:lang w:eastAsia="en-GB"/>
              </w:rPr>
            </w:pPr>
            <w:r>
              <w:rPr>
                <w:rFonts w:ascii="Arial" w:hAnsi="Arial" w:cs="Arial"/>
                <w:b/>
                <w:bCs/>
                <w:color w:val="FFFFFF"/>
                <w:sz w:val="20"/>
                <w:szCs w:val="20"/>
                <w:lang w:eastAsia="en-GB"/>
              </w:rPr>
              <w:t>Jan-17</w:t>
            </w:r>
          </w:p>
        </w:tc>
      </w:tr>
      <w:tr w:rsidR="00CE4465" w:rsidTr="00CE4465">
        <w:trPr>
          <w:trHeight w:val="298"/>
        </w:trPr>
        <w:tc>
          <w:tcPr>
            <w:tcW w:w="5359" w:type="dxa"/>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CE4465" w:rsidRDefault="00CE4465">
            <w:pPr>
              <w:rPr>
                <w:rFonts w:ascii="Arial" w:hAnsi="Arial" w:cs="Arial"/>
                <w:b/>
                <w:bCs/>
                <w:color w:val="FFFFFF"/>
                <w:sz w:val="20"/>
                <w:szCs w:val="20"/>
                <w:lang w:eastAsia="en-GB"/>
              </w:rPr>
            </w:pPr>
            <w:r>
              <w:rPr>
                <w:rFonts w:ascii="Arial" w:hAnsi="Arial" w:cs="Arial"/>
                <w:b/>
                <w:bCs/>
                <w:color w:val="FFFFFF"/>
                <w:sz w:val="20"/>
                <w:szCs w:val="20"/>
                <w:lang w:eastAsia="en-GB"/>
              </w:rPr>
              <w:t>Number of Amendments Assessed</w:t>
            </w:r>
          </w:p>
        </w:tc>
        <w:tc>
          <w:tcPr>
            <w:tcW w:w="1148" w:type="dxa"/>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250</w:t>
            </w:r>
          </w:p>
        </w:tc>
        <w:tc>
          <w:tcPr>
            <w:tcW w:w="1148" w:type="dxa"/>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436</w:t>
            </w:r>
          </w:p>
        </w:tc>
        <w:tc>
          <w:tcPr>
            <w:tcW w:w="1148" w:type="dxa"/>
            <w:tcBorders>
              <w:top w:val="nil"/>
              <w:left w:val="nil"/>
              <w:bottom w:val="single" w:sz="8" w:space="0" w:color="C0504D"/>
              <w:right w:val="single" w:sz="8" w:space="0" w:color="C0504D"/>
            </w:tcBorders>
            <w:shd w:val="clear" w:color="auto" w:fill="FFFFFF"/>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524</w:t>
            </w:r>
          </w:p>
        </w:tc>
      </w:tr>
      <w:tr w:rsidR="00CE4465" w:rsidTr="00CE4465">
        <w:trPr>
          <w:trHeight w:val="521"/>
        </w:trPr>
        <w:tc>
          <w:tcPr>
            <w:tcW w:w="5359" w:type="dxa"/>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CE4465" w:rsidRDefault="00CE4465">
            <w:pPr>
              <w:rPr>
                <w:rFonts w:ascii="Arial" w:hAnsi="Arial" w:cs="Arial"/>
                <w:b/>
                <w:bCs/>
                <w:color w:val="FFFFFF"/>
                <w:sz w:val="20"/>
                <w:szCs w:val="20"/>
                <w:lang w:eastAsia="en-GB"/>
              </w:rPr>
            </w:pPr>
            <w:r>
              <w:rPr>
                <w:rFonts w:ascii="Arial" w:hAnsi="Arial" w:cs="Arial"/>
                <w:b/>
                <w:bCs/>
                <w:color w:val="FFFFFF"/>
                <w:sz w:val="20"/>
                <w:szCs w:val="20"/>
                <w:lang w:eastAsia="en-GB"/>
              </w:rPr>
              <w:t>Number of Amendments Marked as Requiring Assessment</w:t>
            </w:r>
          </w:p>
        </w:tc>
        <w:tc>
          <w:tcPr>
            <w:tcW w:w="1148" w:type="dxa"/>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683</w:t>
            </w:r>
          </w:p>
        </w:tc>
        <w:tc>
          <w:tcPr>
            <w:tcW w:w="1148" w:type="dxa"/>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616</w:t>
            </w:r>
          </w:p>
        </w:tc>
        <w:tc>
          <w:tcPr>
            <w:tcW w:w="1148" w:type="dxa"/>
            <w:tcBorders>
              <w:top w:val="nil"/>
              <w:left w:val="nil"/>
              <w:bottom w:val="single" w:sz="8" w:space="0" w:color="C0504D"/>
              <w:right w:val="single" w:sz="8" w:space="0" w:color="C0504D"/>
            </w:tcBorders>
            <w:shd w:val="clear" w:color="auto" w:fill="FFFFFF"/>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549</w:t>
            </w:r>
          </w:p>
        </w:tc>
      </w:tr>
      <w:tr w:rsidR="00CE4465" w:rsidTr="00CE4465">
        <w:trPr>
          <w:trHeight w:val="313"/>
        </w:trPr>
        <w:tc>
          <w:tcPr>
            <w:tcW w:w="5359" w:type="dxa"/>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CE4465" w:rsidRDefault="00CE4465">
            <w:pPr>
              <w:rPr>
                <w:rFonts w:ascii="Arial" w:hAnsi="Arial" w:cs="Arial"/>
                <w:b/>
                <w:bCs/>
                <w:color w:val="FFFFFF"/>
                <w:sz w:val="20"/>
                <w:szCs w:val="20"/>
                <w:lang w:eastAsia="en-GB"/>
              </w:rPr>
            </w:pPr>
            <w:r>
              <w:rPr>
                <w:rFonts w:ascii="Arial" w:hAnsi="Arial" w:cs="Arial"/>
                <w:b/>
                <w:bCs/>
                <w:color w:val="FFFFFF"/>
                <w:sz w:val="20"/>
                <w:szCs w:val="20"/>
                <w:lang w:eastAsia="en-GB"/>
              </w:rPr>
              <w:t>Median Time to Review (Working Days)</w:t>
            </w:r>
          </w:p>
        </w:tc>
        <w:tc>
          <w:tcPr>
            <w:tcW w:w="1148" w:type="dxa"/>
            <w:tcBorders>
              <w:top w:val="nil"/>
              <w:left w:val="nil"/>
              <w:bottom w:val="single" w:sz="8" w:space="0" w:color="C0504D"/>
              <w:right w:val="single" w:sz="8" w:space="0" w:color="C0504D"/>
            </w:tcBorders>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1148" w:type="dxa"/>
            <w:tcBorders>
              <w:top w:val="nil"/>
              <w:left w:val="nil"/>
              <w:bottom w:val="single" w:sz="8" w:space="0" w:color="C0504D"/>
              <w:right w:val="single" w:sz="8" w:space="0" w:color="C0504D"/>
            </w:tcBorders>
            <w:noWrap/>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17</w:t>
            </w:r>
          </w:p>
        </w:tc>
        <w:tc>
          <w:tcPr>
            <w:tcW w:w="1148" w:type="dxa"/>
            <w:tcBorders>
              <w:top w:val="nil"/>
              <w:left w:val="nil"/>
              <w:bottom w:val="single" w:sz="8" w:space="0" w:color="C0504D"/>
              <w:right w:val="single" w:sz="8" w:space="0" w:color="C0504D"/>
            </w:tcBorders>
            <w:tcMar>
              <w:top w:w="0" w:type="dxa"/>
              <w:left w:w="108" w:type="dxa"/>
              <w:bottom w:w="0" w:type="dxa"/>
              <w:right w:w="108" w:type="dxa"/>
            </w:tcMar>
            <w:vAlign w:val="center"/>
            <w:hideMark/>
          </w:tcPr>
          <w:p w:rsidR="00CE4465" w:rsidRDefault="00CE4465">
            <w:pPr>
              <w:jc w:val="right"/>
              <w:rPr>
                <w:rFonts w:ascii="Arial" w:hAnsi="Arial" w:cs="Arial"/>
                <w:color w:val="000000"/>
                <w:sz w:val="20"/>
                <w:szCs w:val="20"/>
                <w:lang w:eastAsia="en-GB"/>
              </w:rPr>
            </w:pPr>
            <w:r>
              <w:rPr>
                <w:rFonts w:ascii="Arial" w:hAnsi="Arial" w:cs="Arial"/>
                <w:color w:val="000000"/>
                <w:sz w:val="20"/>
                <w:szCs w:val="20"/>
                <w:lang w:eastAsia="en-GB"/>
              </w:rPr>
              <w:t>13</w:t>
            </w:r>
          </w:p>
        </w:tc>
      </w:tr>
    </w:tbl>
    <w:p w:rsidR="00CE4465" w:rsidRDefault="00CE4465" w:rsidP="00CE4465">
      <w:pPr>
        <w:pStyle w:val="Caption"/>
        <w:keepNext/>
      </w:pPr>
      <w:r>
        <w:lastRenderedPageBreak/>
        <w:t xml:space="preserve">Figure </w:t>
      </w:r>
      <w:fldSimple w:instr=" SEQ Figure \* ARABIC ">
        <w:r>
          <w:rPr>
            <w:noProof/>
          </w:rPr>
          <w:t>1</w:t>
        </w:r>
      </w:fldSimple>
      <w:r>
        <w:t>0 Monthly breakdown of Amendments with HRA</w:t>
      </w:r>
    </w:p>
    <w:p w:rsidR="00CE4465" w:rsidRPr="00010E1A" w:rsidRDefault="00CE4465" w:rsidP="00010E1A">
      <w:r>
        <w:rPr>
          <w:noProof/>
          <w:lang w:eastAsia="en-GB"/>
        </w:rPr>
        <w:drawing>
          <wp:inline distT="0" distB="0" distL="0" distR="0">
            <wp:extent cx="5759450" cy="3741339"/>
            <wp:effectExtent l="0" t="0" r="0" b="0"/>
            <wp:docPr id="5" name="Picture 5" descr="cid:image001.png@01D27E2E.A002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27E2E.A002D0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59450" cy="3741339"/>
                    </a:xfrm>
                    <a:prstGeom prst="rect">
                      <a:avLst/>
                    </a:prstGeom>
                    <a:noFill/>
                    <a:ln>
                      <a:noFill/>
                    </a:ln>
                  </pic:spPr>
                </pic:pic>
              </a:graphicData>
            </a:graphic>
          </wp:inline>
        </w:drawing>
      </w:r>
    </w:p>
    <w:p w:rsidR="0002257D" w:rsidRDefault="0002257D" w:rsidP="0002257D">
      <w:pPr>
        <w:rPr>
          <w:b/>
          <w:color w:val="1F497D" w:themeColor="text2"/>
          <w:sz w:val="28"/>
          <w:szCs w:val="28"/>
        </w:rPr>
      </w:pPr>
    </w:p>
    <w:p w:rsidR="00F73169" w:rsidRDefault="00F73169" w:rsidP="0002257D">
      <w:pPr>
        <w:rPr>
          <w:b/>
          <w:color w:val="1F497D" w:themeColor="text2"/>
          <w:sz w:val="28"/>
          <w:szCs w:val="28"/>
        </w:rPr>
        <w:sectPr w:rsidR="00F73169" w:rsidSect="00D52859">
          <w:pgSz w:w="11906" w:h="16838"/>
          <w:pgMar w:top="1418" w:right="1418" w:bottom="1418" w:left="1418" w:header="709" w:footer="709" w:gutter="0"/>
          <w:cols w:space="708"/>
          <w:docGrid w:linePitch="360"/>
        </w:sectPr>
      </w:pPr>
    </w:p>
    <w:p w:rsidR="0002257D" w:rsidRPr="000A5829" w:rsidRDefault="0002257D" w:rsidP="0002257D">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lastRenderedPageBreak/>
        <w:t>Pre-HRA Applications</w:t>
      </w:r>
    </w:p>
    <w:p w:rsidR="0002257D" w:rsidRDefault="0002257D" w:rsidP="0002257D">
      <w:pPr>
        <w:spacing w:after="0" w:line="240" w:lineRule="auto"/>
        <w:rPr>
          <w:sz w:val="24"/>
          <w:szCs w:val="24"/>
        </w:rPr>
      </w:pPr>
    </w:p>
    <w:p w:rsidR="00D94CFD" w:rsidRDefault="0002257D" w:rsidP="00D94CFD">
      <w:pPr>
        <w:rPr>
          <w:sz w:val="24"/>
          <w:szCs w:val="24"/>
        </w:rPr>
      </w:pPr>
      <w:r>
        <w:rPr>
          <w:sz w:val="24"/>
          <w:szCs w:val="24"/>
        </w:rPr>
        <w:t xml:space="preserve">Volumes are now at operational levels where approval outputs balance volumes received. </w:t>
      </w:r>
      <w:r w:rsidR="00DF7D37">
        <w:rPr>
          <w:sz w:val="24"/>
          <w:szCs w:val="24"/>
        </w:rPr>
        <w:t>Applications coming in are now matched on a weekly basis by approvals issued.</w:t>
      </w:r>
    </w:p>
    <w:p w:rsidR="00D47CCF" w:rsidRDefault="0002257D" w:rsidP="00D94CFD">
      <w:pPr>
        <w:rPr>
          <w:b/>
          <w:color w:val="1F497D" w:themeColor="text2"/>
        </w:rPr>
      </w:pPr>
      <w:r w:rsidRPr="0016288D">
        <w:rPr>
          <w:b/>
          <w:color w:val="1F497D" w:themeColor="text2"/>
        </w:rPr>
        <w:t xml:space="preserve">Figure </w:t>
      </w:r>
      <w:r w:rsidR="00582079">
        <w:rPr>
          <w:b/>
          <w:color w:val="1F497D" w:themeColor="text2"/>
        </w:rPr>
        <w:t>1</w:t>
      </w:r>
      <w:r w:rsidR="00CE4465">
        <w:rPr>
          <w:b/>
          <w:color w:val="1F497D" w:themeColor="text2"/>
        </w:rPr>
        <w:t>1</w:t>
      </w:r>
      <w:r w:rsidRPr="0016288D">
        <w:rPr>
          <w:b/>
          <w:color w:val="1F497D" w:themeColor="text2"/>
        </w:rPr>
        <w:t>: Pre-HRA Applications</w:t>
      </w:r>
    </w:p>
    <w:p w:rsidR="00D47CCF" w:rsidRDefault="003C6D0C" w:rsidP="00D94CFD">
      <w:pPr>
        <w:rPr>
          <w:b/>
          <w:color w:val="1F497D" w:themeColor="text2"/>
        </w:rPr>
      </w:pPr>
      <w:r>
        <w:rPr>
          <w:noProof/>
          <w:lang w:eastAsia="en-GB"/>
        </w:rPr>
        <w:drawing>
          <wp:inline distT="0" distB="0" distL="0" distR="0" wp14:anchorId="377252F3" wp14:editId="4D9D2C93">
            <wp:extent cx="5876925" cy="27813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D47CCF" w:rsidSect="00D5285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DF" w:rsidRDefault="00381FDF" w:rsidP="00D678C5">
      <w:pPr>
        <w:spacing w:after="0" w:line="240" w:lineRule="auto"/>
      </w:pPr>
      <w:r>
        <w:separator/>
      </w:r>
    </w:p>
  </w:endnote>
  <w:endnote w:type="continuationSeparator" w:id="0">
    <w:p w:rsidR="00381FDF" w:rsidRDefault="00381FDF" w:rsidP="00D6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C5" w:rsidRDefault="00D678C5" w:rsidP="00D678C5">
    <w:pPr>
      <w:spacing w:after="0" w:line="240" w:lineRule="auto"/>
    </w:pPr>
  </w:p>
  <w:tbl>
    <w:tblPr>
      <w:tblW w:w="0" w:type="auto"/>
      <w:tblInd w:w="94" w:type="dxa"/>
      <w:tblLayout w:type="fixed"/>
      <w:tblCellMar>
        <w:left w:w="0" w:type="dxa"/>
        <w:right w:w="0" w:type="dxa"/>
      </w:tblCellMar>
      <w:tblLook w:val="01E0" w:firstRow="1" w:lastRow="1" w:firstColumn="1" w:lastColumn="1" w:noHBand="0" w:noVBand="0"/>
    </w:tblPr>
    <w:tblGrid>
      <w:gridCol w:w="3290"/>
      <w:gridCol w:w="3286"/>
      <w:gridCol w:w="3278"/>
    </w:tblGrid>
    <w:tr w:rsidR="00D678C5" w:rsidRPr="00410A49" w:rsidTr="0063287F">
      <w:trPr>
        <w:trHeight w:hRule="exact" w:val="377"/>
      </w:trPr>
      <w:tc>
        <w:tcPr>
          <w:tcW w:w="3290" w:type="dxa"/>
          <w:tcBorders>
            <w:top w:val="single" w:sz="4" w:space="0" w:color="000000"/>
            <w:left w:val="single" w:sz="4" w:space="0" w:color="000000"/>
            <w:bottom w:val="single" w:sz="4" w:space="0" w:color="000000"/>
            <w:right w:val="single" w:sz="4" w:space="0" w:color="000000"/>
          </w:tcBorders>
        </w:tcPr>
        <w:p w:rsidR="00D678C5" w:rsidRPr="00410A49" w:rsidRDefault="00D678C5" w:rsidP="000B2CDA">
          <w:pPr>
            <w:widowControl w:val="0"/>
            <w:spacing w:before="3" w:after="0" w:line="240" w:lineRule="auto"/>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w:t>
          </w:r>
          <w:r w:rsidRPr="00410A49">
            <w:rPr>
              <w:rFonts w:ascii="Arial" w:eastAsia="Arial" w:hAnsi="Arial" w:cs="Arial"/>
              <w:b/>
              <w:bCs/>
              <w:color w:val="818181"/>
              <w:spacing w:val="2"/>
              <w:sz w:val="16"/>
              <w:szCs w:val="16"/>
              <w:lang w:val="en-US"/>
            </w:rPr>
            <w:t xml:space="preserve"> </w:t>
          </w:r>
          <w:r w:rsidRPr="00410A49">
            <w:rPr>
              <w:rFonts w:ascii="Arial" w:eastAsia="Arial" w:hAnsi="Arial" w:cs="Arial"/>
              <w:b/>
              <w:bCs/>
              <w:color w:val="818181"/>
              <w:spacing w:val="-1"/>
              <w:sz w:val="16"/>
              <w:szCs w:val="16"/>
              <w:lang w:val="en-US"/>
            </w:rPr>
            <w:t>Na</w:t>
          </w:r>
          <w:r w:rsidRPr="00410A49">
            <w:rPr>
              <w:rFonts w:ascii="Arial" w:eastAsia="Arial" w:hAnsi="Arial" w:cs="Arial"/>
              <w:b/>
              <w:bCs/>
              <w:color w:val="818181"/>
              <w:spacing w:val="1"/>
              <w:sz w:val="16"/>
              <w:szCs w:val="16"/>
              <w:lang w:val="en-US"/>
            </w:rPr>
            <w:t>m</w:t>
          </w:r>
          <w:r w:rsidRPr="00410A49">
            <w:rPr>
              <w:rFonts w:ascii="Arial" w:eastAsia="Arial" w:hAnsi="Arial" w:cs="Arial"/>
              <w:b/>
              <w:bCs/>
              <w:color w:val="818181"/>
              <w:spacing w:val="-3"/>
              <w:sz w:val="16"/>
              <w:szCs w:val="16"/>
              <w:lang w:val="en-US"/>
            </w:rPr>
            <w:t>e</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000B2CDA" w:rsidRPr="000B2CDA">
            <w:rPr>
              <w:rFonts w:ascii="Arial" w:eastAsia="Arial" w:hAnsi="Arial" w:cs="Arial"/>
              <w:color w:val="818181"/>
              <w:spacing w:val="2"/>
              <w:sz w:val="16"/>
              <w:szCs w:val="16"/>
              <w:lang w:val="en-US"/>
            </w:rPr>
            <w:t>HRA Approval Delivery Report</w:t>
          </w:r>
          <w:r w:rsidR="000B2CDA" w:rsidRPr="000B2CDA" w:rsidDel="000B2CDA">
            <w:rPr>
              <w:rFonts w:ascii="Arial" w:eastAsia="Arial" w:hAnsi="Arial" w:cs="Arial"/>
              <w:color w:val="818181"/>
              <w:spacing w:val="2"/>
              <w:sz w:val="16"/>
              <w:szCs w:val="16"/>
              <w:lang w:val="en-US"/>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D678C5" w:rsidRPr="00410A49" w:rsidRDefault="00D678C5" w:rsidP="002F10E6">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I</w:t>
          </w:r>
          <w:r w:rsidRPr="00410A49">
            <w:rPr>
              <w:rFonts w:ascii="Arial" w:eastAsia="Arial" w:hAnsi="Arial" w:cs="Arial"/>
              <w:b/>
              <w:bCs/>
              <w:color w:val="818181"/>
              <w:spacing w:val="-1"/>
              <w:sz w:val="16"/>
              <w:szCs w:val="16"/>
              <w:lang w:val="en-US"/>
            </w:rPr>
            <w:t>ss</w:t>
          </w:r>
          <w:r w:rsidRPr="00410A49">
            <w:rPr>
              <w:rFonts w:ascii="Arial" w:eastAsia="Arial" w:hAnsi="Arial" w:cs="Arial"/>
              <w:b/>
              <w:bCs/>
              <w:color w:val="818181"/>
              <w:sz w:val="16"/>
              <w:szCs w:val="16"/>
              <w:lang w:val="en-US"/>
            </w:rPr>
            <w:t>ue</w:t>
          </w:r>
          <w:r w:rsidRPr="00410A49">
            <w:rPr>
              <w:rFonts w:ascii="Arial" w:eastAsia="Arial" w:hAnsi="Arial" w:cs="Arial"/>
              <w:b/>
              <w:bCs/>
              <w:color w:val="818181"/>
              <w:spacing w:val="1"/>
              <w:sz w:val="16"/>
              <w:szCs w:val="16"/>
              <w:lang w:val="en-US"/>
            </w:rPr>
            <w:t xml:space="preserve"> </w:t>
          </w:r>
          <w:r w:rsidRPr="00410A49">
            <w:rPr>
              <w:rFonts w:ascii="Arial" w:eastAsia="Arial" w:hAnsi="Arial" w:cs="Arial"/>
              <w:b/>
              <w:bCs/>
              <w:color w:val="818181"/>
              <w:spacing w:val="-1"/>
              <w:sz w:val="16"/>
              <w:szCs w:val="16"/>
              <w:lang w:val="en-US"/>
            </w:rPr>
            <w:t>Dat</w:t>
          </w:r>
          <w:r w:rsidRPr="00410A49">
            <w:rPr>
              <w:rFonts w:ascii="Arial" w:eastAsia="Arial" w:hAnsi="Arial" w:cs="Arial"/>
              <w:b/>
              <w:bCs/>
              <w:color w:val="818181"/>
              <w:sz w:val="16"/>
              <w:szCs w:val="16"/>
              <w:lang w:val="en-US"/>
            </w:rPr>
            <w:t>e</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006A743C">
            <w:rPr>
              <w:rFonts w:ascii="Arial" w:eastAsia="Arial" w:hAnsi="Arial" w:cs="Arial"/>
              <w:color w:val="818181"/>
              <w:spacing w:val="2"/>
              <w:sz w:val="16"/>
              <w:szCs w:val="16"/>
              <w:lang w:val="en-US"/>
            </w:rPr>
            <w:t>15</w:t>
          </w:r>
          <w:r w:rsidR="00114890">
            <w:rPr>
              <w:rFonts w:ascii="Arial" w:eastAsia="Arial" w:hAnsi="Arial" w:cs="Arial"/>
              <w:color w:val="818181"/>
              <w:sz w:val="16"/>
              <w:szCs w:val="16"/>
              <w:lang w:val="en-US"/>
            </w:rPr>
            <w:t xml:space="preserve"> </w:t>
          </w:r>
          <w:r w:rsidR="002F10E6">
            <w:rPr>
              <w:rFonts w:ascii="Arial" w:eastAsia="Arial" w:hAnsi="Arial" w:cs="Arial"/>
              <w:color w:val="818181"/>
              <w:sz w:val="16"/>
              <w:szCs w:val="16"/>
              <w:lang w:val="en-US"/>
            </w:rPr>
            <w:t>February</w:t>
          </w:r>
          <w:r w:rsidRPr="00410A49">
            <w:rPr>
              <w:rFonts w:ascii="Arial" w:eastAsia="Arial" w:hAnsi="Arial" w:cs="Arial"/>
              <w:color w:val="818181"/>
              <w:spacing w:val="43"/>
              <w:sz w:val="16"/>
              <w:szCs w:val="16"/>
              <w:lang w:val="en-US"/>
            </w:rPr>
            <w:t xml:space="preserve"> </w:t>
          </w:r>
          <w:r w:rsidR="00CC5467">
            <w:rPr>
              <w:rFonts w:ascii="Arial" w:eastAsia="Arial" w:hAnsi="Arial" w:cs="Arial"/>
              <w:color w:val="818181"/>
              <w:spacing w:val="-1"/>
              <w:sz w:val="16"/>
              <w:szCs w:val="16"/>
              <w:lang w:val="en-US"/>
            </w:rPr>
            <w:t>2017</w:t>
          </w:r>
        </w:p>
      </w:tc>
      <w:tc>
        <w:tcPr>
          <w:tcW w:w="3278" w:type="dxa"/>
          <w:tcBorders>
            <w:top w:val="single" w:sz="4" w:space="0" w:color="000000"/>
            <w:left w:val="single" w:sz="4" w:space="0" w:color="000000"/>
            <w:bottom w:val="single" w:sz="4" w:space="0" w:color="000000"/>
            <w:right w:val="single" w:sz="4" w:space="0" w:color="000000"/>
          </w:tcBorders>
        </w:tcPr>
        <w:p w:rsidR="00D678C5" w:rsidRPr="00410A49" w:rsidRDefault="00D678C5" w:rsidP="0063287F">
          <w:pPr>
            <w:widowControl w:val="0"/>
            <w:spacing w:after="0" w:line="177" w:lineRule="exact"/>
            <w:ind w:left="105"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 xml:space="preserve">. </w:t>
          </w:r>
          <w:r w:rsidRPr="00410A49">
            <w:rPr>
              <w:rFonts w:ascii="Arial" w:eastAsia="Arial" w:hAnsi="Arial" w:cs="Arial"/>
              <w:b/>
              <w:bCs/>
              <w:color w:val="818181"/>
              <w:spacing w:val="1"/>
              <w:sz w:val="16"/>
              <w:szCs w:val="16"/>
              <w:lang w:val="en-US"/>
            </w:rPr>
            <w:t>V</w:t>
          </w:r>
          <w:r w:rsidRPr="00410A49">
            <w:rPr>
              <w:rFonts w:ascii="Arial" w:eastAsia="Arial" w:hAnsi="Arial" w:cs="Arial"/>
              <w:b/>
              <w:bCs/>
              <w:color w:val="818181"/>
              <w:spacing w:val="-1"/>
              <w:sz w:val="16"/>
              <w:szCs w:val="16"/>
              <w:lang w:val="en-US"/>
            </w:rPr>
            <w:t>e</w:t>
          </w:r>
          <w:r w:rsidRPr="00410A49">
            <w:rPr>
              <w:rFonts w:ascii="Arial" w:eastAsia="Arial" w:hAnsi="Arial" w:cs="Arial"/>
              <w:b/>
              <w:bCs/>
              <w:color w:val="818181"/>
              <w:sz w:val="16"/>
              <w:szCs w:val="16"/>
              <w:lang w:val="en-US"/>
            </w:rPr>
            <w:t>r</w:t>
          </w:r>
          <w:r w:rsidRPr="00410A49">
            <w:rPr>
              <w:rFonts w:ascii="Arial" w:eastAsia="Arial" w:hAnsi="Arial" w:cs="Arial"/>
              <w:b/>
              <w:bCs/>
              <w:color w:val="818181"/>
              <w:spacing w:val="-1"/>
              <w:sz w:val="16"/>
              <w:szCs w:val="16"/>
              <w:lang w:val="en-US"/>
            </w:rPr>
            <w:t>s</w:t>
          </w:r>
          <w:r w:rsidRPr="00410A49">
            <w:rPr>
              <w:rFonts w:ascii="Arial" w:eastAsia="Arial" w:hAnsi="Arial" w:cs="Arial"/>
              <w:b/>
              <w:bCs/>
              <w:color w:val="818181"/>
              <w:spacing w:val="1"/>
              <w:sz w:val="16"/>
              <w:szCs w:val="16"/>
              <w:lang w:val="en-US"/>
            </w:rPr>
            <w:t>i</w:t>
          </w:r>
          <w:r w:rsidRPr="00410A49">
            <w:rPr>
              <w:rFonts w:ascii="Arial" w:eastAsia="Arial" w:hAnsi="Arial" w:cs="Arial"/>
              <w:b/>
              <w:bCs/>
              <w:color w:val="818181"/>
              <w:sz w:val="16"/>
              <w:szCs w:val="16"/>
              <w:lang w:val="en-US"/>
            </w:rPr>
            <w:t>on</w:t>
          </w:r>
          <w:r w:rsidRPr="00410A49">
            <w:rPr>
              <w:rFonts w:ascii="Arial" w:eastAsia="Arial" w:hAnsi="Arial" w:cs="Arial"/>
              <w:b/>
              <w:bCs/>
              <w:color w:val="818181"/>
              <w:spacing w:val="-1"/>
              <w:sz w:val="16"/>
              <w:szCs w:val="16"/>
              <w:lang w:val="en-US"/>
            </w:rPr>
            <w:t xml:space="preserve"> N</w:t>
          </w:r>
          <w:r w:rsidRPr="00410A49">
            <w:rPr>
              <w:rFonts w:ascii="Arial" w:eastAsia="Arial" w:hAnsi="Arial" w:cs="Arial"/>
              <w:b/>
              <w:bCs/>
              <w:color w:val="818181"/>
              <w:spacing w:val="-2"/>
              <w:sz w:val="16"/>
              <w:szCs w:val="16"/>
              <w:lang w:val="en-US"/>
            </w:rPr>
            <w:t>u</w:t>
          </w:r>
          <w:r w:rsidRPr="00410A49">
            <w:rPr>
              <w:rFonts w:ascii="Arial" w:eastAsia="Arial" w:hAnsi="Arial" w:cs="Arial"/>
              <w:b/>
              <w:bCs/>
              <w:color w:val="818181"/>
              <w:spacing w:val="1"/>
              <w:sz w:val="16"/>
              <w:szCs w:val="16"/>
              <w:lang w:val="en-US"/>
            </w:rPr>
            <w:t>m</w:t>
          </w:r>
          <w:r w:rsidRPr="00410A49">
            <w:rPr>
              <w:rFonts w:ascii="Arial" w:eastAsia="Arial" w:hAnsi="Arial" w:cs="Arial"/>
              <w:b/>
              <w:bCs/>
              <w:color w:val="818181"/>
              <w:sz w:val="16"/>
              <w:szCs w:val="16"/>
              <w:lang w:val="en-US"/>
            </w:rPr>
            <w:t>b</w:t>
          </w:r>
          <w:r w:rsidRPr="00410A49">
            <w:rPr>
              <w:rFonts w:ascii="Arial" w:eastAsia="Arial" w:hAnsi="Arial" w:cs="Arial"/>
              <w:b/>
              <w:bCs/>
              <w:color w:val="818181"/>
              <w:spacing w:val="-1"/>
              <w:sz w:val="16"/>
              <w:szCs w:val="16"/>
              <w:lang w:val="en-US"/>
            </w:rPr>
            <w:t>e</w:t>
          </w:r>
          <w:r w:rsidRPr="00410A49">
            <w:rPr>
              <w:rFonts w:ascii="Arial" w:eastAsia="Arial" w:hAnsi="Arial" w:cs="Arial"/>
              <w:b/>
              <w:bCs/>
              <w:color w:val="818181"/>
              <w:sz w:val="16"/>
              <w:szCs w:val="16"/>
              <w:lang w:val="en-US"/>
            </w:rPr>
            <w:t>r</w:t>
          </w:r>
          <w:r w:rsidRPr="00410A49">
            <w:rPr>
              <w:rFonts w:ascii="Arial" w:eastAsia="Arial" w:hAnsi="Arial" w:cs="Arial"/>
              <w:color w:val="818181"/>
              <w:sz w:val="16"/>
              <w:szCs w:val="16"/>
              <w:lang w:val="en-US"/>
            </w:rPr>
            <w:t xml:space="preserve">: </w:t>
          </w:r>
          <w:r w:rsidRPr="00410A49">
            <w:rPr>
              <w:rFonts w:ascii="Arial" w:eastAsia="Arial" w:hAnsi="Arial" w:cs="Arial"/>
              <w:color w:val="818181"/>
              <w:spacing w:val="-1"/>
              <w:sz w:val="16"/>
              <w:szCs w:val="16"/>
              <w:lang w:val="en-US"/>
            </w:rPr>
            <w:t>1</w:t>
          </w:r>
          <w:r w:rsidRPr="00410A49">
            <w:rPr>
              <w:rFonts w:ascii="Arial" w:eastAsia="Arial" w:hAnsi="Arial" w:cs="Arial"/>
              <w:color w:val="818181"/>
              <w:spacing w:val="1"/>
              <w:sz w:val="16"/>
              <w:szCs w:val="16"/>
              <w:lang w:val="en-US"/>
            </w:rPr>
            <w:t>.</w:t>
          </w:r>
          <w:r w:rsidR="006A743C">
            <w:rPr>
              <w:rFonts w:ascii="Arial" w:eastAsia="Arial" w:hAnsi="Arial" w:cs="Arial"/>
              <w:color w:val="818181"/>
              <w:sz w:val="16"/>
              <w:szCs w:val="16"/>
              <w:lang w:val="en-US"/>
            </w:rPr>
            <w:t>2</w:t>
          </w:r>
        </w:p>
      </w:tc>
    </w:tr>
    <w:tr w:rsidR="00D678C5" w:rsidRPr="00410A49" w:rsidTr="0063287F">
      <w:trPr>
        <w:trHeight w:hRule="exact" w:val="194"/>
      </w:trPr>
      <w:tc>
        <w:tcPr>
          <w:tcW w:w="3290" w:type="dxa"/>
          <w:tcBorders>
            <w:top w:val="single" w:sz="4" w:space="0" w:color="000000"/>
            <w:left w:val="single" w:sz="4" w:space="0" w:color="000000"/>
            <w:bottom w:val="single" w:sz="4" w:space="0" w:color="000000"/>
            <w:right w:val="single" w:sz="4" w:space="0" w:color="000000"/>
          </w:tcBorders>
        </w:tcPr>
        <w:p w:rsidR="00D678C5" w:rsidRPr="00410A49" w:rsidRDefault="00D678C5" w:rsidP="0063287F">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6"/>
              <w:sz w:val="16"/>
              <w:szCs w:val="16"/>
              <w:lang w:val="en-US"/>
            </w:rPr>
            <w:t>A</w:t>
          </w:r>
          <w:r w:rsidRPr="00410A49">
            <w:rPr>
              <w:rFonts w:ascii="Arial" w:eastAsia="Arial" w:hAnsi="Arial" w:cs="Arial"/>
              <w:b/>
              <w:bCs/>
              <w:color w:val="818181"/>
              <w:spacing w:val="3"/>
              <w:sz w:val="16"/>
              <w:szCs w:val="16"/>
              <w:lang w:val="en-US"/>
            </w:rPr>
            <w:t>u</w:t>
          </w:r>
          <w:r w:rsidRPr="00410A49">
            <w:rPr>
              <w:rFonts w:ascii="Arial" w:eastAsia="Arial" w:hAnsi="Arial" w:cs="Arial"/>
              <w:b/>
              <w:bCs/>
              <w:color w:val="818181"/>
              <w:spacing w:val="-1"/>
              <w:sz w:val="16"/>
              <w:szCs w:val="16"/>
              <w:lang w:val="en-US"/>
            </w:rPr>
            <w:t>t</w:t>
          </w:r>
          <w:r w:rsidRPr="00410A49">
            <w:rPr>
              <w:rFonts w:ascii="Arial" w:eastAsia="Arial" w:hAnsi="Arial" w:cs="Arial"/>
              <w:b/>
              <w:bCs/>
              <w:color w:val="818181"/>
              <w:sz w:val="16"/>
              <w:szCs w:val="16"/>
              <w:lang w:val="en-US"/>
            </w:rPr>
            <w:t>hor</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Pr>
              <w:rFonts w:ascii="Arial" w:eastAsia="Arial" w:hAnsi="Arial" w:cs="Arial"/>
              <w:color w:val="818181"/>
              <w:spacing w:val="1"/>
              <w:sz w:val="16"/>
              <w:szCs w:val="16"/>
              <w:lang w:val="en-US"/>
            </w:rPr>
            <w:t>Janet Messer</w:t>
          </w:r>
        </w:p>
      </w:tc>
      <w:tc>
        <w:tcPr>
          <w:tcW w:w="3286" w:type="dxa"/>
          <w:tcBorders>
            <w:top w:val="single" w:sz="4" w:space="0" w:color="000000"/>
            <w:left w:val="single" w:sz="4" w:space="0" w:color="000000"/>
            <w:bottom w:val="single" w:sz="4" w:space="0" w:color="000000"/>
            <w:right w:val="single" w:sz="4" w:space="0" w:color="000000"/>
          </w:tcBorders>
        </w:tcPr>
        <w:p w:rsidR="00D678C5" w:rsidRPr="00410A49" w:rsidRDefault="00D678C5" w:rsidP="00D678C5">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P</w:t>
          </w:r>
          <w:r w:rsidRPr="00410A49">
            <w:rPr>
              <w:rFonts w:ascii="Arial" w:eastAsia="Arial" w:hAnsi="Arial" w:cs="Arial"/>
              <w:b/>
              <w:bCs/>
              <w:color w:val="818181"/>
              <w:spacing w:val="-1"/>
              <w:sz w:val="16"/>
              <w:szCs w:val="16"/>
              <w:lang w:val="en-US"/>
            </w:rPr>
            <w:t>a</w:t>
          </w:r>
          <w:r w:rsidRPr="00410A49">
            <w:rPr>
              <w:rFonts w:ascii="Arial" w:eastAsia="Arial" w:hAnsi="Arial" w:cs="Arial"/>
              <w:b/>
              <w:bCs/>
              <w:color w:val="818181"/>
              <w:sz w:val="16"/>
              <w:szCs w:val="16"/>
              <w:lang w:val="en-US"/>
            </w:rPr>
            <w:t>g</w:t>
          </w:r>
          <w:r w:rsidRPr="00410A49">
            <w:rPr>
              <w:rFonts w:ascii="Arial" w:eastAsia="Arial" w:hAnsi="Arial" w:cs="Arial"/>
              <w:b/>
              <w:bCs/>
              <w:color w:val="818181"/>
              <w:spacing w:val="-1"/>
              <w:sz w:val="16"/>
              <w:szCs w:val="16"/>
              <w:lang w:val="en-US"/>
            </w:rPr>
            <w:t>e</w:t>
          </w:r>
          <w:r w:rsidRPr="00410A49">
            <w:rPr>
              <w:rFonts w:ascii="Arial" w:eastAsia="Arial" w:hAnsi="Arial" w:cs="Arial"/>
              <w:color w:val="818181"/>
              <w:sz w:val="16"/>
              <w:szCs w:val="16"/>
              <w:lang w:val="en-US"/>
            </w:rPr>
            <w:t xml:space="preserve">: </w:t>
          </w:r>
          <w:r w:rsidRPr="00410A49">
            <w:rPr>
              <w:rFonts w:ascii="Arial" w:eastAsia="Arial" w:hAnsi="Arial" w:cs="Arial"/>
              <w:color w:val="818181"/>
              <w:spacing w:val="1"/>
              <w:sz w:val="16"/>
              <w:szCs w:val="16"/>
              <w:lang w:val="en-US"/>
            </w:rPr>
            <w:t xml:space="preserve"> </w:t>
          </w:r>
          <w:r w:rsidRPr="00D678C5">
            <w:rPr>
              <w:rFonts w:ascii="Arial" w:eastAsia="Arial" w:hAnsi="Arial" w:cs="Arial"/>
              <w:color w:val="818181"/>
              <w:spacing w:val="1"/>
              <w:sz w:val="16"/>
              <w:szCs w:val="16"/>
              <w:lang w:val="en-US"/>
            </w:rPr>
            <w:fldChar w:fldCharType="begin"/>
          </w:r>
          <w:r w:rsidRPr="00D678C5">
            <w:rPr>
              <w:rFonts w:ascii="Arial" w:eastAsia="Arial" w:hAnsi="Arial" w:cs="Arial"/>
              <w:color w:val="818181"/>
              <w:spacing w:val="1"/>
              <w:sz w:val="16"/>
              <w:szCs w:val="16"/>
              <w:lang w:val="en-US"/>
            </w:rPr>
            <w:instrText xml:space="preserve"> PAGE   \* MERGEFORMAT </w:instrText>
          </w:r>
          <w:r w:rsidRPr="00D678C5">
            <w:rPr>
              <w:rFonts w:ascii="Arial" w:eastAsia="Arial" w:hAnsi="Arial" w:cs="Arial"/>
              <w:color w:val="818181"/>
              <w:spacing w:val="1"/>
              <w:sz w:val="16"/>
              <w:szCs w:val="16"/>
              <w:lang w:val="en-US"/>
            </w:rPr>
            <w:fldChar w:fldCharType="separate"/>
          </w:r>
          <w:r w:rsidR="006211EB">
            <w:rPr>
              <w:rFonts w:ascii="Arial" w:eastAsia="Arial" w:hAnsi="Arial" w:cs="Arial"/>
              <w:noProof/>
              <w:color w:val="818181"/>
              <w:spacing w:val="1"/>
              <w:sz w:val="16"/>
              <w:szCs w:val="16"/>
              <w:lang w:val="en-US"/>
            </w:rPr>
            <w:t>2</w:t>
          </w:r>
          <w:r w:rsidRPr="00D678C5">
            <w:rPr>
              <w:rFonts w:ascii="Arial" w:eastAsia="Arial" w:hAnsi="Arial" w:cs="Arial"/>
              <w:noProof/>
              <w:color w:val="818181"/>
              <w:spacing w:val="1"/>
              <w:sz w:val="16"/>
              <w:szCs w:val="16"/>
              <w:lang w:val="en-US"/>
            </w:rPr>
            <w:fldChar w:fldCharType="end"/>
          </w:r>
          <w:r w:rsidR="00E67DE9">
            <w:rPr>
              <w:rFonts w:ascii="Arial" w:eastAsia="Arial" w:hAnsi="Arial" w:cs="Arial"/>
              <w:noProof/>
              <w:color w:val="818181"/>
              <w:spacing w:val="1"/>
              <w:sz w:val="16"/>
              <w:szCs w:val="16"/>
              <w:lang w:val="en-US"/>
            </w:rPr>
            <w:t xml:space="preserve"> of 9</w:t>
          </w:r>
        </w:p>
      </w:tc>
      <w:tc>
        <w:tcPr>
          <w:tcW w:w="3278" w:type="dxa"/>
          <w:tcBorders>
            <w:top w:val="single" w:sz="4" w:space="0" w:color="000000"/>
            <w:left w:val="single" w:sz="4" w:space="0" w:color="000000"/>
            <w:bottom w:val="single" w:sz="4" w:space="0" w:color="000000"/>
            <w:right w:val="single" w:sz="4" w:space="0" w:color="000000"/>
          </w:tcBorders>
        </w:tcPr>
        <w:p w:rsidR="00D678C5" w:rsidRPr="00410A49" w:rsidRDefault="00D678C5" w:rsidP="00E67DE9">
          <w:pPr>
            <w:widowControl w:val="0"/>
            <w:spacing w:after="0" w:line="177" w:lineRule="exact"/>
            <w:ind w:left="105"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 xml:space="preserve">. </w:t>
          </w:r>
          <w:r w:rsidRPr="00410A49">
            <w:rPr>
              <w:rFonts w:ascii="Arial" w:eastAsia="Arial" w:hAnsi="Arial" w:cs="Arial"/>
              <w:b/>
              <w:bCs/>
              <w:color w:val="818181"/>
              <w:spacing w:val="1"/>
              <w:sz w:val="16"/>
              <w:szCs w:val="16"/>
              <w:lang w:val="en-US"/>
            </w:rPr>
            <w:t>S</w:t>
          </w:r>
          <w:r w:rsidRPr="00410A49">
            <w:rPr>
              <w:rFonts w:ascii="Arial" w:eastAsia="Arial" w:hAnsi="Arial" w:cs="Arial"/>
              <w:b/>
              <w:bCs/>
              <w:color w:val="818181"/>
              <w:spacing w:val="-1"/>
              <w:sz w:val="16"/>
              <w:szCs w:val="16"/>
              <w:lang w:val="en-US"/>
            </w:rPr>
            <w:t>tat</w:t>
          </w:r>
          <w:r w:rsidRPr="00410A49">
            <w:rPr>
              <w:rFonts w:ascii="Arial" w:eastAsia="Arial" w:hAnsi="Arial" w:cs="Arial"/>
              <w:b/>
              <w:bCs/>
              <w:color w:val="818181"/>
              <w:sz w:val="16"/>
              <w:szCs w:val="16"/>
              <w:lang w:val="en-US"/>
            </w:rPr>
            <w:t>u</w:t>
          </w:r>
          <w:r w:rsidRPr="00410A49">
            <w:rPr>
              <w:rFonts w:ascii="Arial" w:eastAsia="Arial" w:hAnsi="Arial" w:cs="Arial"/>
              <w:b/>
              <w:bCs/>
              <w:color w:val="818181"/>
              <w:spacing w:val="-1"/>
              <w:sz w:val="16"/>
              <w:szCs w:val="16"/>
              <w:lang w:val="en-US"/>
            </w:rPr>
            <w:t>s</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Pr="00410A49">
            <w:rPr>
              <w:rFonts w:ascii="Arial" w:eastAsia="Arial" w:hAnsi="Arial" w:cs="Arial"/>
              <w:color w:val="818181"/>
              <w:spacing w:val="-1"/>
              <w:sz w:val="16"/>
              <w:szCs w:val="16"/>
              <w:lang w:val="en-US"/>
            </w:rPr>
            <w:t>Repor</w:t>
          </w:r>
          <w:r w:rsidRPr="00410A49">
            <w:rPr>
              <w:rFonts w:ascii="Arial" w:eastAsia="Arial" w:hAnsi="Arial" w:cs="Arial"/>
              <w:color w:val="818181"/>
              <w:sz w:val="16"/>
              <w:szCs w:val="16"/>
              <w:lang w:val="en-US"/>
            </w:rPr>
            <w:t xml:space="preserve">t </w:t>
          </w:r>
          <w:r w:rsidRPr="00410A49">
            <w:rPr>
              <w:rFonts w:ascii="Arial" w:eastAsia="Arial" w:hAnsi="Arial" w:cs="Arial"/>
              <w:color w:val="818181"/>
              <w:spacing w:val="1"/>
              <w:sz w:val="16"/>
              <w:szCs w:val="16"/>
              <w:lang w:val="en-US"/>
            </w:rPr>
            <w:t>t</w:t>
          </w:r>
          <w:r w:rsidRPr="00410A49">
            <w:rPr>
              <w:rFonts w:ascii="Arial" w:eastAsia="Arial" w:hAnsi="Arial" w:cs="Arial"/>
              <w:color w:val="818181"/>
              <w:sz w:val="16"/>
              <w:szCs w:val="16"/>
              <w:lang w:val="en-US"/>
            </w:rPr>
            <w:t>o</w:t>
          </w:r>
          <w:r w:rsidRPr="00410A49">
            <w:rPr>
              <w:rFonts w:ascii="Arial" w:eastAsia="Arial" w:hAnsi="Arial" w:cs="Arial"/>
              <w:color w:val="818181"/>
              <w:spacing w:val="-2"/>
              <w:sz w:val="16"/>
              <w:szCs w:val="16"/>
              <w:lang w:val="en-US"/>
            </w:rPr>
            <w:t xml:space="preserve"> </w:t>
          </w:r>
          <w:r w:rsidRPr="00410A49">
            <w:rPr>
              <w:rFonts w:ascii="Arial" w:eastAsia="Arial" w:hAnsi="Arial" w:cs="Arial"/>
              <w:color w:val="818181"/>
              <w:spacing w:val="1"/>
              <w:sz w:val="16"/>
              <w:szCs w:val="16"/>
              <w:lang w:val="en-US"/>
            </w:rPr>
            <w:t>B</w:t>
          </w:r>
          <w:r w:rsidRPr="00410A49">
            <w:rPr>
              <w:rFonts w:ascii="Arial" w:eastAsia="Arial" w:hAnsi="Arial" w:cs="Arial"/>
              <w:color w:val="818181"/>
              <w:spacing w:val="-1"/>
              <w:sz w:val="16"/>
              <w:szCs w:val="16"/>
              <w:lang w:val="en-US"/>
            </w:rPr>
            <w:t>oar</w:t>
          </w:r>
          <w:r w:rsidRPr="00410A49">
            <w:rPr>
              <w:rFonts w:ascii="Arial" w:eastAsia="Arial" w:hAnsi="Arial" w:cs="Arial"/>
              <w:color w:val="818181"/>
              <w:sz w:val="16"/>
              <w:szCs w:val="16"/>
              <w:lang w:val="en-US"/>
            </w:rPr>
            <w:t>d</w:t>
          </w:r>
        </w:p>
      </w:tc>
    </w:tr>
  </w:tbl>
  <w:p w:rsidR="00D678C5" w:rsidRDefault="00D678C5" w:rsidP="00D67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DF" w:rsidRDefault="00381FDF" w:rsidP="00D678C5">
      <w:pPr>
        <w:spacing w:after="0" w:line="240" w:lineRule="auto"/>
      </w:pPr>
      <w:r>
        <w:separator/>
      </w:r>
    </w:p>
  </w:footnote>
  <w:footnote w:type="continuationSeparator" w:id="0">
    <w:p w:rsidR="00381FDF" w:rsidRDefault="00381FDF" w:rsidP="00D6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10A3"/>
    <w:multiLevelType w:val="hybridMultilevel"/>
    <w:tmpl w:val="069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270AB"/>
    <w:multiLevelType w:val="hybridMultilevel"/>
    <w:tmpl w:val="C55E2E82"/>
    <w:lvl w:ilvl="0" w:tplc="94EA3A3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2F67440A"/>
    <w:multiLevelType w:val="hybridMultilevel"/>
    <w:tmpl w:val="C6B2406A"/>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37DE0DF8"/>
    <w:multiLevelType w:val="hybridMultilevel"/>
    <w:tmpl w:val="8BE0B910"/>
    <w:lvl w:ilvl="0" w:tplc="17AED2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134C9"/>
    <w:multiLevelType w:val="hybridMultilevel"/>
    <w:tmpl w:val="9560E92A"/>
    <w:lvl w:ilvl="0" w:tplc="C76E41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5"/>
    <w:rsid w:val="000015BE"/>
    <w:rsid w:val="00010E1A"/>
    <w:rsid w:val="0002257D"/>
    <w:rsid w:val="00024B07"/>
    <w:rsid w:val="00037458"/>
    <w:rsid w:val="000517C8"/>
    <w:rsid w:val="000559A9"/>
    <w:rsid w:val="00073408"/>
    <w:rsid w:val="00083FA9"/>
    <w:rsid w:val="00085D1E"/>
    <w:rsid w:val="000918A5"/>
    <w:rsid w:val="00092EAD"/>
    <w:rsid w:val="000A5829"/>
    <w:rsid w:val="000B2CDA"/>
    <w:rsid w:val="000B3F04"/>
    <w:rsid w:val="000D2537"/>
    <w:rsid w:val="000E777A"/>
    <w:rsid w:val="001028C6"/>
    <w:rsid w:val="00111673"/>
    <w:rsid w:val="00114890"/>
    <w:rsid w:val="0012740E"/>
    <w:rsid w:val="00133812"/>
    <w:rsid w:val="00136307"/>
    <w:rsid w:val="00142E63"/>
    <w:rsid w:val="0014455E"/>
    <w:rsid w:val="00150B6D"/>
    <w:rsid w:val="00160391"/>
    <w:rsid w:val="0016288D"/>
    <w:rsid w:val="00162BE4"/>
    <w:rsid w:val="001647FE"/>
    <w:rsid w:val="00173A00"/>
    <w:rsid w:val="00176909"/>
    <w:rsid w:val="001B39B5"/>
    <w:rsid w:val="001B5B74"/>
    <w:rsid w:val="001B7476"/>
    <w:rsid w:val="001C6871"/>
    <w:rsid w:val="001D0802"/>
    <w:rsid w:val="001E0413"/>
    <w:rsid w:val="001E1A88"/>
    <w:rsid w:val="001E29AE"/>
    <w:rsid w:val="001E40F3"/>
    <w:rsid w:val="00212932"/>
    <w:rsid w:val="0021319D"/>
    <w:rsid w:val="00226076"/>
    <w:rsid w:val="002312E0"/>
    <w:rsid w:val="00234F38"/>
    <w:rsid w:val="00253726"/>
    <w:rsid w:val="00255CBE"/>
    <w:rsid w:val="002622CE"/>
    <w:rsid w:val="0028661D"/>
    <w:rsid w:val="00290CA6"/>
    <w:rsid w:val="002C73F3"/>
    <w:rsid w:val="002E15B5"/>
    <w:rsid w:val="002F10E6"/>
    <w:rsid w:val="0030300A"/>
    <w:rsid w:val="00306F12"/>
    <w:rsid w:val="0031377F"/>
    <w:rsid w:val="0032395F"/>
    <w:rsid w:val="003512DB"/>
    <w:rsid w:val="00357EDF"/>
    <w:rsid w:val="00364A8F"/>
    <w:rsid w:val="0037215C"/>
    <w:rsid w:val="0037673E"/>
    <w:rsid w:val="00381FDF"/>
    <w:rsid w:val="00382DCA"/>
    <w:rsid w:val="003843BF"/>
    <w:rsid w:val="00394F0B"/>
    <w:rsid w:val="003A690F"/>
    <w:rsid w:val="003A7E3F"/>
    <w:rsid w:val="003B072B"/>
    <w:rsid w:val="003C6D0C"/>
    <w:rsid w:val="003C6F1D"/>
    <w:rsid w:val="003C7F65"/>
    <w:rsid w:val="003E0879"/>
    <w:rsid w:val="004109DB"/>
    <w:rsid w:val="00410A49"/>
    <w:rsid w:val="004204F4"/>
    <w:rsid w:val="0044167A"/>
    <w:rsid w:val="00443A9A"/>
    <w:rsid w:val="00452F99"/>
    <w:rsid w:val="00464D6D"/>
    <w:rsid w:val="00495249"/>
    <w:rsid w:val="004A00F3"/>
    <w:rsid w:val="004B22B4"/>
    <w:rsid w:val="004C1896"/>
    <w:rsid w:val="0051397D"/>
    <w:rsid w:val="00530BC1"/>
    <w:rsid w:val="00571403"/>
    <w:rsid w:val="0057399B"/>
    <w:rsid w:val="00574F9A"/>
    <w:rsid w:val="005755DC"/>
    <w:rsid w:val="00582079"/>
    <w:rsid w:val="00585F98"/>
    <w:rsid w:val="00593AB2"/>
    <w:rsid w:val="005A24C6"/>
    <w:rsid w:val="005A5945"/>
    <w:rsid w:val="005B491D"/>
    <w:rsid w:val="005D48C7"/>
    <w:rsid w:val="005E1085"/>
    <w:rsid w:val="005E6B04"/>
    <w:rsid w:val="00610CCF"/>
    <w:rsid w:val="006140AE"/>
    <w:rsid w:val="006211EB"/>
    <w:rsid w:val="00623A7A"/>
    <w:rsid w:val="0063287F"/>
    <w:rsid w:val="0064710D"/>
    <w:rsid w:val="00651B2D"/>
    <w:rsid w:val="00665D00"/>
    <w:rsid w:val="00667D98"/>
    <w:rsid w:val="006A743C"/>
    <w:rsid w:val="006B4CEA"/>
    <w:rsid w:val="006C18F8"/>
    <w:rsid w:val="006D549E"/>
    <w:rsid w:val="006E567A"/>
    <w:rsid w:val="00701DE1"/>
    <w:rsid w:val="00724E01"/>
    <w:rsid w:val="00750E00"/>
    <w:rsid w:val="00757332"/>
    <w:rsid w:val="007926F5"/>
    <w:rsid w:val="007A0289"/>
    <w:rsid w:val="007A4CC4"/>
    <w:rsid w:val="007C2D9D"/>
    <w:rsid w:val="007C5C84"/>
    <w:rsid w:val="007D73B5"/>
    <w:rsid w:val="007E2A61"/>
    <w:rsid w:val="007F7900"/>
    <w:rsid w:val="0080519F"/>
    <w:rsid w:val="008101A0"/>
    <w:rsid w:val="0082149F"/>
    <w:rsid w:val="00831B24"/>
    <w:rsid w:val="008431C1"/>
    <w:rsid w:val="00865726"/>
    <w:rsid w:val="0086608D"/>
    <w:rsid w:val="00886018"/>
    <w:rsid w:val="008B3B8D"/>
    <w:rsid w:val="008D59B1"/>
    <w:rsid w:val="008F5B1C"/>
    <w:rsid w:val="0090582F"/>
    <w:rsid w:val="00916E01"/>
    <w:rsid w:val="00917079"/>
    <w:rsid w:val="00917CF4"/>
    <w:rsid w:val="00921DCC"/>
    <w:rsid w:val="00932395"/>
    <w:rsid w:val="00940378"/>
    <w:rsid w:val="00946221"/>
    <w:rsid w:val="00946C49"/>
    <w:rsid w:val="0096301F"/>
    <w:rsid w:val="00966AC8"/>
    <w:rsid w:val="009740E9"/>
    <w:rsid w:val="009820A3"/>
    <w:rsid w:val="009872E8"/>
    <w:rsid w:val="00993D34"/>
    <w:rsid w:val="009B5212"/>
    <w:rsid w:val="009C6B57"/>
    <w:rsid w:val="009E19CC"/>
    <w:rsid w:val="009F2335"/>
    <w:rsid w:val="00A103A2"/>
    <w:rsid w:val="00A1292F"/>
    <w:rsid w:val="00A13170"/>
    <w:rsid w:val="00A15857"/>
    <w:rsid w:val="00A415C7"/>
    <w:rsid w:val="00A44DE3"/>
    <w:rsid w:val="00A65C6F"/>
    <w:rsid w:val="00A87ED9"/>
    <w:rsid w:val="00A90241"/>
    <w:rsid w:val="00A9110E"/>
    <w:rsid w:val="00A96E52"/>
    <w:rsid w:val="00AB6822"/>
    <w:rsid w:val="00AC250E"/>
    <w:rsid w:val="00AE56B4"/>
    <w:rsid w:val="00B070FD"/>
    <w:rsid w:val="00B108A4"/>
    <w:rsid w:val="00B12749"/>
    <w:rsid w:val="00B165CA"/>
    <w:rsid w:val="00B16CE9"/>
    <w:rsid w:val="00B266E5"/>
    <w:rsid w:val="00B33AF0"/>
    <w:rsid w:val="00B404D4"/>
    <w:rsid w:val="00B40CF6"/>
    <w:rsid w:val="00B4578F"/>
    <w:rsid w:val="00B57912"/>
    <w:rsid w:val="00B832F3"/>
    <w:rsid w:val="00BA5186"/>
    <w:rsid w:val="00BB01B2"/>
    <w:rsid w:val="00BC72AA"/>
    <w:rsid w:val="00BD6EA7"/>
    <w:rsid w:val="00BE25EB"/>
    <w:rsid w:val="00BF0ADC"/>
    <w:rsid w:val="00BF6133"/>
    <w:rsid w:val="00BF79A7"/>
    <w:rsid w:val="00C00D84"/>
    <w:rsid w:val="00C06D65"/>
    <w:rsid w:val="00C21ADD"/>
    <w:rsid w:val="00C2408B"/>
    <w:rsid w:val="00C35C7B"/>
    <w:rsid w:val="00C360EA"/>
    <w:rsid w:val="00C36581"/>
    <w:rsid w:val="00C436B2"/>
    <w:rsid w:val="00C44C30"/>
    <w:rsid w:val="00C50D71"/>
    <w:rsid w:val="00C570F9"/>
    <w:rsid w:val="00C6161F"/>
    <w:rsid w:val="00C63502"/>
    <w:rsid w:val="00C86183"/>
    <w:rsid w:val="00CA0625"/>
    <w:rsid w:val="00CA50A0"/>
    <w:rsid w:val="00CA6A31"/>
    <w:rsid w:val="00CA6EF8"/>
    <w:rsid w:val="00CC27FF"/>
    <w:rsid w:val="00CC5467"/>
    <w:rsid w:val="00CD04CB"/>
    <w:rsid w:val="00CE4465"/>
    <w:rsid w:val="00CF14E1"/>
    <w:rsid w:val="00D1582C"/>
    <w:rsid w:val="00D16F72"/>
    <w:rsid w:val="00D17686"/>
    <w:rsid w:val="00D47CCF"/>
    <w:rsid w:val="00D52859"/>
    <w:rsid w:val="00D57BCA"/>
    <w:rsid w:val="00D62B46"/>
    <w:rsid w:val="00D66A52"/>
    <w:rsid w:val="00D67472"/>
    <w:rsid w:val="00D678C5"/>
    <w:rsid w:val="00D865A6"/>
    <w:rsid w:val="00D873BE"/>
    <w:rsid w:val="00D94CFD"/>
    <w:rsid w:val="00DA05DE"/>
    <w:rsid w:val="00DA16D6"/>
    <w:rsid w:val="00DB0745"/>
    <w:rsid w:val="00DD1D09"/>
    <w:rsid w:val="00DD3FF2"/>
    <w:rsid w:val="00DF4126"/>
    <w:rsid w:val="00DF7D17"/>
    <w:rsid w:val="00DF7D37"/>
    <w:rsid w:val="00E03C90"/>
    <w:rsid w:val="00E118A3"/>
    <w:rsid w:val="00E134A5"/>
    <w:rsid w:val="00E15015"/>
    <w:rsid w:val="00E15399"/>
    <w:rsid w:val="00E26640"/>
    <w:rsid w:val="00E32239"/>
    <w:rsid w:val="00E45669"/>
    <w:rsid w:val="00E56110"/>
    <w:rsid w:val="00E64936"/>
    <w:rsid w:val="00E67A19"/>
    <w:rsid w:val="00E67DE9"/>
    <w:rsid w:val="00E71609"/>
    <w:rsid w:val="00E878F4"/>
    <w:rsid w:val="00E90104"/>
    <w:rsid w:val="00EA44AB"/>
    <w:rsid w:val="00EC2861"/>
    <w:rsid w:val="00EC6094"/>
    <w:rsid w:val="00ED5D2F"/>
    <w:rsid w:val="00ED6FC6"/>
    <w:rsid w:val="00ED70B3"/>
    <w:rsid w:val="00EE3BB8"/>
    <w:rsid w:val="00F06603"/>
    <w:rsid w:val="00F20818"/>
    <w:rsid w:val="00F32921"/>
    <w:rsid w:val="00F72CE4"/>
    <w:rsid w:val="00F73169"/>
    <w:rsid w:val="00F85D65"/>
    <w:rsid w:val="00F94D9A"/>
    <w:rsid w:val="00FA58BE"/>
    <w:rsid w:val="00FB0DB1"/>
    <w:rsid w:val="00FB5AB0"/>
    <w:rsid w:val="00FC4031"/>
    <w:rsid w:val="00FD34E6"/>
    <w:rsid w:val="00FD3E06"/>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604">
      <w:bodyDiv w:val="1"/>
      <w:marLeft w:val="0"/>
      <w:marRight w:val="0"/>
      <w:marTop w:val="0"/>
      <w:marBottom w:val="0"/>
      <w:divBdr>
        <w:top w:val="none" w:sz="0" w:space="0" w:color="auto"/>
        <w:left w:val="none" w:sz="0" w:space="0" w:color="auto"/>
        <w:bottom w:val="none" w:sz="0" w:space="0" w:color="auto"/>
        <w:right w:val="none" w:sz="0" w:space="0" w:color="auto"/>
      </w:divBdr>
    </w:div>
    <w:div w:id="83650436">
      <w:bodyDiv w:val="1"/>
      <w:marLeft w:val="0"/>
      <w:marRight w:val="0"/>
      <w:marTop w:val="0"/>
      <w:marBottom w:val="0"/>
      <w:divBdr>
        <w:top w:val="none" w:sz="0" w:space="0" w:color="auto"/>
        <w:left w:val="none" w:sz="0" w:space="0" w:color="auto"/>
        <w:bottom w:val="none" w:sz="0" w:space="0" w:color="auto"/>
        <w:right w:val="none" w:sz="0" w:space="0" w:color="auto"/>
      </w:divBdr>
    </w:div>
    <w:div w:id="98531073">
      <w:bodyDiv w:val="1"/>
      <w:marLeft w:val="0"/>
      <w:marRight w:val="0"/>
      <w:marTop w:val="0"/>
      <w:marBottom w:val="0"/>
      <w:divBdr>
        <w:top w:val="none" w:sz="0" w:space="0" w:color="auto"/>
        <w:left w:val="none" w:sz="0" w:space="0" w:color="auto"/>
        <w:bottom w:val="none" w:sz="0" w:space="0" w:color="auto"/>
        <w:right w:val="none" w:sz="0" w:space="0" w:color="auto"/>
      </w:divBdr>
    </w:div>
    <w:div w:id="172259734">
      <w:bodyDiv w:val="1"/>
      <w:marLeft w:val="0"/>
      <w:marRight w:val="0"/>
      <w:marTop w:val="0"/>
      <w:marBottom w:val="0"/>
      <w:divBdr>
        <w:top w:val="none" w:sz="0" w:space="0" w:color="auto"/>
        <w:left w:val="none" w:sz="0" w:space="0" w:color="auto"/>
        <w:bottom w:val="none" w:sz="0" w:space="0" w:color="auto"/>
        <w:right w:val="none" w:sz="0" w:space="0" w:color="auto"/>
      </w:divBdr>
    </w:div>
    <w:div w:id="306134793">
      <w:bodyDiv w:val="1"/>
      <w:marLeft w:val="0"/>
      <w:marRight w:val="0"/>
      <w:marTop w:val="0"/>
      <w:marBottom w:val="0"/>
      <w:divBdr>
        <w:top w:val="none" w:sz="0" w:space="0" w:color="auto"/>
        <w:left w:val="none" w:sz="0" w:space="0" w:color="auto"/>
        <w:bottom w:val="none" w:sz="0" w:space="0" w:color="auto"/>
        <w:right w:val="none" w:sz="0" w:space="0" w:color="auto"/>
      </w:divBdr>
    </w:div>
    <w:div w:id="432867321">
      <w:bodyDiv w:val="1"/>
      <w:marLeft w:val="0"/>
      <w:marRight w:val="0"/>
      <w:marTop w:val="0"/>
      <w:marBottom w:val="0"/>
      <w:divBdr>
        <w:top w:val="none" w:sz="0" w:space="0" w:color="auto"/>
        <w:left w:val="none" w:sz="0" w:space="0" w:color="auto"/>
        <w:bottom w:val="none" w:sz="0" w:space="0" w:color="auto"/>
        <w:right w:val="none" w:sz="0" w:space="0" w:color="auto"/>
      </w:divBdr>
    </w:div>
    <w:div w:id="507406903">
      <w:bodyDiv w:val="1"/>
      <w:marLeft w:val="0"/>
      <w:marRight w:val="0"/>
      <w:marTop w:val="0"/>
      <w:marBottom w:val="0"/>
      <w:divBdr>
        <w:top w:val="none" w:sz="0" w:space="0" w:color="auto"/>
        <w:left w:val="none" w:sz="0" w:space="0" w:color="auto"/>
        <w:bottom w:val="none" w:sz="0" w:space="0" w:color="auto"/>
        <w:right w:val="none" w:sz="0" w:space="0" w:color="auto"/>
      </w:divBdr>
    </w:div>
    <w:div w:id="554897222">
      <w:bodyDiv w:val="1"/>
      <w:marLeft w:val="0"/>
      <w:marRight w:val="0"/>
      <w:marTop w:val="0"/>
      <w:marBottom w:val="0"/>
      <w:divBdr>
        <w:top w:val="none" w:sz="0" w:space="0" w:color="auto"/>
        <w:left w:val="none" w:sz="0" w:space="0" w:color="auto"/>
        <w:bottom w:val="none" w:sz="0" w:space="0" w:color="auto"/>
        <w:right w:val="none" w:sz="0" w:space="0" w:color="auto"/>
      </w:divBdr>
    </w:div>
    <w:div w:id="639920253">
      <w:bodyDiv w:val="1"/>
      <w:marLeft w:val="0"/>
      <w:marRight w:val="0"/>
      <w:marTop w:val="0"/>
      <w:marBottom w:val="0"/>
      <w:divBdr>
        <w:top w:val="none" w:sz="0" w:space="0" w:color="auto"/>
        <w:left w:val="none" w:sz="0" w:space="0" w:color="auto"/>
        <w:bottom w:val="none" w:sz="0" w:space="0" w:color="auto"/>
        <w:right w:val="none" w:sz="0" w:space="0" w:color="auto"/>
      </w:divBdr>
    </w:div>
    <w:div w:id="793720306">
      <w:bodyDiv w:val="1"/>
      <w:marLeft w:val="0"/>
      <w:marRight w:val="0"/>
      <w:marTop w:val="0"/>
      <w:marBottom w:val="0"/>
      <w:divBdr>
        <w:top w:val="none" w:sz="0" w:space="0" w:color="auto"/>
        <w:left w:val="none" w:sz="0" w:space="0" w:color="auto"/>
        <w:bottom w:val="none" w:sz="0" w:space="0" w:color="auto"/>
        <w:right w:val="none" w:sz="0" w:space="0" w:color="auto"/>
      </w:divBdr>
    </w:div>
    <w:div w:id="854804981">
      <w:bodyDiv w:val="1"/>
      <w:marLeft w:val="0"/>
      <w:marRight w:val="0"/>
      <w:marTop w:val="0"/>
      <w:marBottom w:val="0"/>
      <w:divBdr>
        <w:top w:val="none" w:sz="0" w:space="0" w:color="auto"/>
        <w:left w:val="none" w:sz="0" w:space="0" w:color="auto"/>
        <w:bottom w:val="none" w:sz="0" w:space="0" w:color="auto"/>
        <w:right w:val="none" w:sz="0" w:space="0" w:color="auto"/>
      </w:divBdr>
    </w:div>
    <w:div w:id="980765373">
      <w:bodyDiv w:val="1"/>
      <w:marLeft w:val="0"/>
      <w:marRight w:val="0"/>
      <w:marTop w:val="0"/>
      <w:marBottom w:val="0"/>
      <w:divBdr>
        <w:top w:val="none" w:sz="0" w:space="0" w:color="auto"/>
        <w:left w:val="none" w:sz="0" w:space="0" w:color="auto"/>
        <w:bottom w:val="none" w:sz="0" w:space="0" w:color="auto"/>
        <w:right w:val="none" w:sz="0" w:space="0" w:color="auto"/>
      </w:divBdr>
    </w:div>
    <w:div w:id="1284193751">
      <w:bodyDiv w:val="1"/>
      <w:marLeft w:val="0"/>
      <w:marRight w:val="0"/>
      <w:marTop w:val="0"/>
      <w:marBottom w:val="0"/>
      <w:divBdr>
        <w:top w:val="none" w:sz="0" w:space="0" w:color="auto"/>
        <w:left w:val="none" w:sz="0" w:space="0" w:color="auto"/>
        <w:bottom w:val="none" w:sz="0" w:space="0" w:color="auto"/>
        <w:right w:val="none" w:sz="0" w:space="0" w:color="auto"/>
      </w:divBdr>
    </w:div>
    <w:div w:id="1285307414">
      <w:bodyDiv w:val="1"/>
      <w:marLeft w:val="0"/>
      <w:marRight w:val="0"/>
      <w:marTop w:val="0"/>
      <w:marBottom w:val="0"/>
      <w:divBdr>
        <w:top w:val="none" w:sz="0" w:space="0" w:color="auto"/>
        <w:left w:val="none" w:sz="0" w:space="0" w:color="auto"/>
        <w:bottom w:val="none" w:sz="0" w:space="0" w:color="auto"/>
        <w:right w:val="none" w:sz="0" w:space="0" w:color="auto"/>
      </w:divBdr>
    </w:div>
    <w:div w:id="1305501597">
      <w:bodyDiv w:val="1"/>
      <w:marLeft w:val="0"/>
      <w:marRight w:val="0"/>
      <w:marTop w:val="0"/>
      <w:marBottom w:val="0"/>
      <w:divBdr>
        <w:top w:val="none" w:sz="0" w:space="0" w:color="auto"/>
        <w:left w:val="none" w:sz="0" w:space="0" w:color="auto"/>
        <w:bottom w:val="none" w:sz="0" w:space="0" w:color="auto"/>
        <w:right w:val="none" w:sz="0" w:space="0" w:color="auto"/>
      </w:divBdr>
    </w:div>
    <w:div w:id="1398549866">
      <w:bodyDiv w:val="1"/>
      <w:marLeft w:val="0"/>
      <w:marRight w:val="0"/>
      <w:marTop w:val="0"/>
      <w:marBottom w:val="0"/>
      <w:divBdr>
        <w:top w:val="none" w:sz="0" w:space="0" w:color="auto"/>
        <w:left w:val="none" w:sz="0" w:space="0" w:color="auto"/>
        <w:bottom w:val="none" w:sz="0" w:space="0" w:color="auto"/>
        <w:right w:val="none" w:sz="0" w:space="0" w:color="auto"/>
      </w:divBdr>
    </w:div>
    <w:div w:id="1457985781">
      <w:bodyDiv w:val="1"/>
      <w:marLeft w:val="0"/>
      <w:marRight w:val="0"/>
      <w:marTop w:val="0"/>
      <w:marBottom w:val="0"/>
      <w:divBdr>
        <w:top w:val="none" w:sz="0" w:space="0" w:color="auto"/>
        <w:left w:val="none" w:sz="0" w:space="0" w:color="auto"/>
        <w:bottom w:val="none" w:sz="0" w:space="0" w:color="auto"/>
        <w:right w:val="none" w:sz="0" w:space="0" w:color="auto"/>
      </w:divBdr>
    </w:div>
    <w:div w:id="1484128586">
      <w:bodyDiv w:val="1"/>
      <w:marLeft w:val="0"/>
      <w:marRight w:val="0"/>
      <w:marTop w:val="0"/>
      <w:marBottom w:val="0"/>
      <w:divBdr>
        <w:top w:val="none" w:sz="0" w:space="0" w:color="auto"/>
        <w:left w:val="none" w:sz="0" w:space="0" w:color="auto"/>
        <w:bottom w:val="none" w:sz="0" w:space="0" w:color="auto"/>
        <w:right w:val="none" w:sz="0" w:space="0" w:color="auto"/>
      </w:divBdr>
    </w:div>
    <w:div w:id="1626960859">
      <w:bodyDiv w:val="1"/>
      <w:marLeft w:val="0"/>
      <w:marRight w:val="0"/>
      <w:marTop w:val="0"/>
      <w:marBottom w:val="0"/>
      <w:divBdr>
        <w:top w:val="none" w:sz="0" w:space="0" w:color="auto"/>
        <w:left w:val="none" w:sz="0" w:space="0" w:color="auto"/>
        <w:bottom w:val="none" w:sz="0" w:space="0" w:color="auto"/>
        <w:right w:val="none" w:sz="0" w:space="0" w:color="auto"/>
      </w:divBdr>
    </w:div>
    <w:div w:id="1728382753">
      <w:bodyDiv w:val="1"/>
      <w:marLeft w:val="0"/>
      <w:marRight w:val="0"/>
      <w:marTop w:val="0"/>
      <w:marBottom w:val="0"/>
      <w:divBdr>
        <w:top w:val="none" w:sz="0" w:space="0" w:color="auto"/>
        <w:left w:val="none" w:sz="0" w:space="0" w:color="auto"/>
        <w:bottom w:val="none" w:sz="0" w:space="0" w:color="auto"/>
        <w:right w:val="none" w:sz="0" w:space="0" w:color="auto"/>
      </w:divBdr>
    </w:div>
    <w:div w:id="1755012958">
      <w:bodyDiv w:val="1"/>
      <w:marLeft w:val="0"/>
      <w:marRight w:val="0"/>
      <w:marTop w:val="0"/>
      <w:marBottom w:val="0"/>
      <w:divBdr>
        <w:top w:val="none" w:sz="0" w:space="0" w:color="auto"/>
        <w:left w:val="none" w:sz="0" w:space="0" w:color="auto"/>
        <w:bottom w:val="none" w:sz="0" w:space="0" w:color="auto"/>
        <w:right w:val="none" w:sz="0" w:space="0" w:color="auto"/>
      </w:divBdr>
    </w:div>
    <w:div w:id="1786386299">
      <w:bodyDiv w:val="1"/>
      <w:marLeft w:val="0"/>
      <w:marRight w:val="0"/>
      <w:marTop w:val="0"/>
      <w:marBottom w:val="0"/>
      <w:divBdr>
        <w:top w:val="none" w:sz="0" w:space="0" w:color="auto"/>
        <w:left w:val="none" w:sz="0" w:space="0" w:color="auto"/>
        <w:bottom w:val="none" w:sz="0" w:space="0" w:color="auto"/>
        <w:right w:val="none" w:sz="0" w:space="0" w:color="auto"/>
      </w:divBdr>
    </w:div>
    <w:div w:id="1832477692">
      <w:bodyDiv w:val="1"/>
      <w:marLeft w:val="0"/>
      <w:marRight w:val="0"/>
      <w:marTop w:val="0"/>
      <w:marBottom w:val="0"/>
      <w:divBdr>
        <w:top w:val="none" w:sz="0" w:space="0" w:color="auto"/>
        <w:left w:val="none" w:sz="0" w:space="0" w:color="auto"/>
        <w:bottom w:val="none" w:sz="0" w:space="0" w:color="auto"/>
        <w:right w:val="none" w:sz="0" w:space="0" w:color="auto"/>
      </w:divBdr>
    </w:div>
    <w:div w:id="1916284201">
      <w:bodyDiv w:val="1"/>
      <w:marLeft w:val="0"/>
      <w:marRight w:val="0"/>
      <w:marTop w:val="0"/>
      <w:marBottom w:val="0"/>
      <w:divBdr>
        <w:top w:val="none" w:sz="0" w:space="0" w:color="auto"/>
        <w:left w:val="none" w:sz="0" w:space="0" w:color="auto"/>
        <w:bottom w:val="none" w:sz="0" w:space="0" w:color="auto"/>
        <w:right w:val="none" w:sz="0" w:space="0" w:color="auto"/>
      </w:divBdr>
    </w:div>
    <w:div w:id="2088572937">
      <w:bodyDiv w:val="1"/>
      <w:marLeft w:val="0"/>
      <w:marRight w:val="0"/>
      <w:marTop w:val="0"/>
      <w:marBottom w:val="0"/>
      <w:divBdr>
        <w:top w:val="none" w:sz="0" w:space="0" w:color="auto"/>
        <w:left w:val="none" w:sz="0" w:space="0" w:color="auto"/>
        <w:bottom w:val="none" w:sz="0" w:space="0" w:color="auto"/>
        <w:right w:val="none" w:sz="0" w:space="0" w:color="auto"/>
      </w:divBdr>
    </w:div>
    <w:div w:id="2108766835">
      <w:bodyDiv w:val="1"/>
      <w:marLeft w:val="0"/>
      <w:marRight w:val="0"/>
      <w:marTop w:val="0"/>
      <w:marBottom w:val="0"/>
      <w:divBdr>
        <w:top w:val="none" w:sz="0" w:space="0" w:color="auto"/>
        <w:left w:val="none" w:sz="0" w:space="0" w:color="auto"/>
        <w:bottom w:val="none" w:sz="0" w:space="0" w:color="auto"/>
        <w:right w:val="none" w:sz="0" w:space="0" w:color="auto"/>
      </w:divBdr>
    </w:div>
    <w:div w:id="21458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cid:image001.png@01D27E2E.A002D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18\AZiolek\Data\Desktop\All%20BOARDS\Feb%202017\Application%20Monitoring%20Log%20V3.0%2021st%20April%202016_Feb%202017%20Boards%20Cuto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18\AZiolek\Data\Desktop\All%20BOARDS\Feb%202017\Application%20Monitoring%20Log%20V3.0%2021st%20April%202016_Feb%202017%20Boards%20Cutof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18\AZiolek\Data\Desktop\All%20BOARDS\Feb%202017\Application%20Monitoring%20Log%20V3.0%2021st%20April%202016_Feb%202017%20Boards%20Cutoff.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ms.gov.uk\data\Users\GBBULVD\BULHOME18\AZiolek\Data\Desktop\All%20BOARDS\Feb%202017\Application%20Monitoring%20Log%20V3.0%2021st%20April%202016_Feb%202017%20Boards%20Cutof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DH\London\SKH\NW080\Shared%20Drive\HRA%20Approval\Pre-HRA%20Approval%20Applications\Pre-HRA%20Escalations\Pre-HRA%20Approvals%20(lite%20lite+)_24.01.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0"/>
        <c:ser>
          <c:idx val="0"/>
          <c:order val="0"/>
          <c:tx>
            <c:strRef>
              <c:f>'(4) graphs'!$B$17</c:f>
              <c:strCache>
                <c:ptCount val="1"/>
                <c:pt idx="0">
                  <c:v>Time to REC decision</c:v>
                </c:pt>
              </c:strCache>
            </c:strRef>
          </c:tx>
          <c:invertIfNegative val="0"/>
          <c:cat>
            <c:strRef>
              <c:f>'(4) graphs'!$A$18:$A$21</c:f>
              <c:strCache>
                <c:ptCount val="4"/>
                <c:pt idx="0">
                  <c:v>Non-REC </c:v>
                </c:pt>
                <c:pt idx="1">
                  <c:v>REC Proportionate Review</c:v>
                </c:pt>
                <c:pt idx="2">
                  <c:v>REC Study, Commercial Sponsor</c:v>
                </c:pt>
                <c:pt idx="3">
                  <c:v>REC Study, Non-Commercial Sponsor</c:v>
                </c:pt>
              </c:strCache>
            </c:strRef>
          </c:cat>
          <c:val>
            <c:numRef>
              <c:f>'(4) graphs'!$B$18:$B$21</c:f>
              <c:numCache>
                <c:formatCode>0</c:formatCode>
                <c:ptCount val="4"/>
                <c:pt idx="0" formatCode="General">
                  <c:v>0</c:v>
                </c:pt>
                <c:pt idx="1">
                  <c:v>23.5</c:v>
                </c:pt>
                <c:pt idx="2" formatCode="General">
                  <c:v>63.5</c:v>
                </c:pt>
                <c:pt idx="3" formatCode="General">
                  <c:v>54</c:v>
                </c:pt>
              </c:numCache>
            </c:numRef>
          </c:val>
        </c:ser>
        <c:ser>
          <c:idx val="1"/>
          <c:order val="1"/>
          <c:tx>
            <c:strRef>
              <c:f>'(4) graphs'!$C$17</c:f>
              <c:strCache>
                <c:ptCount val="1"/>
                <c:pt idx="0">
                  <c:v>Time from REC decision[Non-rec from application submission] to HRA Approval </c:v>
                </c:pt>
              </c:strCache>
            </c:strRef>
          </c:tx>
          <c:invertIfNegative val="0"/>
          <c:cat>
            <c:strRef>
              <c:f>'(4) graphs'!$A$18:$A$21</c:f>
              <c:strCache>
                <c:ptCount val="4"/>
                <c:pt idx="0">
                  <c:v>Non-REC </c:v>
                </c:pt>
                <c:pt idx="1">
                  <c:v>REC Proportionate Review</c:v>
                </c:pt>
                <c:pt idx="2">
                  <c:v>REC Study, Commercial Sponsor</c:v>
                </c:pt>
                <c:pt idx="3">
                  <c:v>REC Study, Non-Commercial Sponsor</c:v>
                </c:pt>
              </c:strCache>
            </c:strRef>
          </c:cat>
          <c:val>
            <c:numRef>
              <c:f>'(4) graphs'!$C$18:$C$21</c:f>
              <c:numCache>
                <c:formatCode>0</c:formatCode>
                <c:ptCount val="4"/>
                <c:pt idx="0">
                  <c:v>41</c:v>
                </c:pt>
                <c:pt idx="1">
                  <c:v>33</c:v>
                </c:pt>
                <c:pt idx="2">
                  <c:v>23.5</c:v>
                </c:pt>
                <c:pt idx="3">
                  <c:v>35.5</c:v>
                </c:pt>
              </c:numCache>
            </c:numRef>
          </c:val>
        </c:ser>
        <c:dLbls>
          <c:showLegendKey val="0"/>
          <c:showVal val="0"/>
          <c:showCatName val="0"/>
          <c:showSerName val="0"/>
          <c:showPercent val="0"/>
          <c:showBubbleSize val="0"/>
        </c:dLbls>
        <c:gapWidth val="75"/>
        <c:shape val="box"/>
        <c:axId val="83649664"/>
        <c:axId val="99252096"/>
        <c:axId val="0"/>
      </c:bar3DChart>
      <c:catAx>
        <c:axId val="83649664"/>
        <c:scaling>
          <c:orientation val="minMax"/>
        </c:scaling>
        <c:delete val="0"/>
        <c:axPos val="b"/>
        <c:majorTickMark val="none"/>
        <c:minorTickMark val="none"/>
        <c:tickLblPos val="nextTo"/>
        <c:crossAx val="99252096"/>
        <c:crosses val="autoZero"/>
        <c:auto val="1"/>
        <c:lblAlgn val="ctr"/>
        <c:lblOffset val="100"/>
        <c:noMultiLvlLbl val="0"/>
      </c:catAx>
      <c:valAx>
        <c:axId val="99252096"/>
        <c:scaling>
          <c:orientation val="minMax"/>
          <c:max val="150"/>
          <c:min val="0"/>
        </c:scaling>
        <c:delete val="0"/>
        <c:axPos val="l"/>
        <c:majorGridlines/>
        <c:numFmt formatCode="General" sourceLinked="1"/>
        <c:majorTickMark val="none"/>
        <c:minorTickMark val="none"/>
        <c:tickLblPos val="nextTo"/>
        <c:spPr>
          <a:ln w="9525">
            <a:noFill/>
          </a:ln>
        </c:spPr>
        <c:crossAx val="8364966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4769744691006E-2"/>
          <c:y val="3.8752250209561502E-2"/>
          <c:w val="0.69750660506279694"/>
          <c:h val="0.80961371975099972"/>
        </c:manualLayout>
      </c:layout>
      <c:lineChart>
        <c:grouping val="standard"/>
        <c:varyColors val="0"/>
        <c:ser>
          <c:idx val="1"/>
          <c:order val="0"/>
          <c:tx>
            <c:strRef>
              <c:f>'Programme Board Report (4)'!$S$23</c:f>
              <c:strCache>
                <c:ptCount val="1"/>
                <c:pt idx="0">
                  <c:v>NON-REC</c:v>
                </c:pt>
              </c:strCache>
            </c:strRef>
          </c:tx>
          <c:marker>
            <c:symbol val="none"/>
          </c:marker>
          <c:cat>
            <c:numRef>
              <c:f>'Programme Board Report (4)'!$T$21:$AC$21</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(4)'!$T$23:$AC$23</c:f>
              <c:numCache>
                <c:formatCode>0</c:formatCode>
                <c:ptCount val="10"/>
                <c:pt idx="0">
                  <c:v>26.5</c:v>
                </c:pt>
                <c:pt idx="1">
                  <c:v>31.5</c:v>
                </c:pt>
                <c:pt idx="2">
                  <c:v>28</c:v>
                </c:pt>
                <c:pt idx="3">
                  <c:v>50.5</c:v>
                </c:pt>
                <c:pt idx="4">
                  <c:v>63.5</c:v>
                </c:pt>
                <c:pt idx="5">
                  <c:v>56.5</c:v>
                </c:pt>
                <c:pt idx="6">
                  <c:v>51.5</c:v>
                </c:pt>
                <c:pt idx="7">
                  <c:v>56</c:v>
                </c:pt>
                <c:pt idx="8">
                  <c:v>42.517361111109494</c:v>
                </c:pt>
                <c:pt idx="9">
                  <c:v>41</c:v>
                </c:pt>
              </c:numCache>
            </c:numRef>
          </c:val>
          <c:smooth val="0"/>
        </c:ser>
        <c:ser>
          <c:idx val="2"/>
          <c:order val="1"/>
          <c:tx>
            <c:strRef>
              <c:f>'Programme Board Report (4)'!$S$24</c:f>
              <c:strCache>
                <c:ptCount val="1"/>
                <c:pt idx="0">
                  <c:v>REC - PR Studies</c:v>
                </c:pt>
              </c:strCache>
            </c:strRef>
          </c:tx>
          <c:marker>
            <c:symbol val="none"/>
          </c:marker>
          <c:cat>
            <c:numRef>
              <c:f>'Programme Board Report (4)'!$T$21:$AC$21</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(4)'!$T$24:$AC$24</c:f>
              <c:numCache>
                <c:formatCode>0</c:formatCode>
                <c:ptCount val="10"/>
                <c:pt idx="0">
                  <c:v>13</c:v>
                </c:pt>
                <c:pt idx="1">
                  <c:v>18.5</c:v>
                </c:pt>
                <c:pt idx="2">
                  <c:v>28</c:v>
                </c:pt>
                <c:pt idx="3">
                  <c:v>38</c:v>
                </c:pt>
                <c:pt idx="4">
                  <c:v>35</c:v>
                </c:pt>
                <c:pt idx="5">
                  <c:v>44</c:v>
                </c:pt>
                <c:pt idx="6">
                  <c:v>42</c:v>
                </c:pt>
                <c:pt idx="7">
                  <c:v>52</c:v>
                </c:pt>
                <c:pt idx="8">
                  <c:v>35</c:v>
                </c:pt>
                <c:pt idx="9">
                  <c:v>33</c:v>
                </c:pt>
              </c:numCache>
            </c:numRef>
          </c:val>
          <c:smooth val="0"/>
        </c:ser>
        <c:ser>
          <c:idx val="3"/>
          <c:order val="2"/>
          <c:tx>
            <c:strRef>
              <c:f>'Programme Board Report (4)'!$S$25</c:f>
              <c:strCache>
                <c:ptCount val="1"/>
                <c:pt idx="0">
                  <c:v>REC Study, Commercial Sponsor</c:v>
                </c:pt>
              </c:strCache>
            </c:strRef>
          </c:tx>
          <c:marker>
            <c:symbol val="none"/>
          </c:marker>
          <c:cat>
            <c:numRef>
              <c:f>'Programme Board Report (4)'!$T$21:$AC$21</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(4)'!$T$25:$AC$25</c:f>
              <c:numCache>
                <c:formatCode>0</c:formatCode>
                <c:ptCount val="10"/>
                <c:pt idx="0">
                  <c:v>10</c:v>
                </c:pt>
                <c:pt idx="1">
                  <c:v>13</c:v>
                </c:pt>
                <c:pt idx="2">
                  <c:v>8</c:v>
                </c:pt>
                <c:pt idx="3">
                  <c:v>11</c:v>
                </c:pt>
                <c:pt idx="4">
                  <c:v>18</c:v>
                </c:pt>
                <c:pt idx="5">
                  <c:v>11</c:v>
                </c:pt>
                <c:pt idx="6">
                  <c:v>20.5</c:v>
                </c:pt>
                <c:pt idx="7">
                  <c:v>17.5</c:v>
                </c:pt>
                <c:pt idx="8">
                  <c:v>18</c:v>
                </c:pt>
                <c:pt idx="9">
                  <c:v>23.5</c:v>
                </c:pt>
              </c:numCache>
            </c:numRef>
          </c:val>
          <c:smooth val="0"/>
        </c:ser>
        <c:ser>
          <c:idx val="4"/>
          <c:order val="3"/>
          <c:tx>
            <c:strRef>
              <c:f>'Programme Board Report (4)'!$S$26</c:f>
              <c:strCache>
                <c:ptCount val="1"/>
                <c:pt idx="0">
                  <c:v>REC Study, Non-Commercial Sponsor</c:v>
                </c:pt>
              </c:strCache>
            </c:strRef>
          </c:tx>
          <c:marker>
            <c:symbol val="none"/>
          </c:marker>
          <c:cat>
            <c:numRef>
              <c:f>'Programme Board Report (4)'!$T$21:$AC$21</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(4)'!$T$26:$AC$26</c:f>
              <c:numCache>
                <c:formatCode>0</c:formatCode>
                <c:ptCount val="10"/>
                <c:pt idx="0">
                  <c:v>8</c:v>
                </c:pt>
                <c:pt idx="1">
                  <c:v>9</c:v>
                </c:pt>
                <c:pt idx="2">
                  <c:v>16</c:v>
                </c:pt>
                <c:pt idx="3">
                  <c:v>23</c:v>
                </c:pt>
                <c:pt idx="4">
                  <c:v>29</c:v>
                </c:pt>
                <c:pt idx="5">
                  <c:v>29</c:v>
                </c:pt>
                <c:pt idx="6">
                  <c:v>36</c:v>
                </c:pt>
                <c:pt idx="7">
                  <c:v>35</c:v>
                </c:pt>
                <c:pt idx="8">
                  <c:v>33</c:v>
                </c:pt>
                <c:pt idx="9">
                  <c:v>35.5</c:v>
                </c:pt>
              </c:numCache>
            </c:numRef>
          </c:val>
          <c:smooth val="0"/>
        </c:ser>
        <c:dLbls>
          <c:showLegendKey val="0"/>
          <c:showVal val="0"/>
          <c:showCatName val="0"/>
          <c:showSerName val="0"/>
          <c:showPercent val="0"/>
          <c:showBubbleSize val="0"/>
        </c:dLbls>
        <c:marker val="1"/>
        <c:smooth val="0"/>
        <c:axId val="99227136"/>
        <c:axId val="99228672"/>
      </c:lineChart>
      <c:dateAx>
        <c:axId val="99227136"/>
        <c:scaling>
          <c:orientation val="minMax"/>
        </c:scaling>
        <c:delete val="0"/>
        <c:axPos val="b"/>
        <c:numFmt formatCode="mmm\-yy" sourceLinked="1"/>
        <c:majorTickMark val="out"/>
        <c:minorTickMark val="none"/>
        <c:tickLblPos val="nextTo"/>
        <c:crossAx val="99228672"/>
        <c:crosses val="autoZero"/>
        <c:auto val="1"/>
        <c:lblOffset val="100"/>
        <c:baseTimeUnit val="months"/>
      </c:dateAx>
      <c:valAx>
        <c:axId val="99228672"/>
        <c:scaling>
          <c:orientation val="minMax"/>
        </c:scaling>
        <c:delete val="0"/>
        <c:axPos val="l"/>
        <c:majorGridlines/>
        <c:numFmt formatCode="#,##0" sourceLinked="0"/>
        <c:majorTickMark val="out"/>
        <c:minorTickMark val="none"/>
        <c:tickLblPos val="nextTo"/>
        <c:crossAx val="99227136"/>
        <c:crosses val="autoZero"/>
        <c:crossBetween val="between"/>
      </c:valAx>
    </c:plotArea>
    <c:legend>
      <c:legendPos val="r"/>
      <c:layout>
        <c:manualLayout>
          <c:xMode val="edge"/>
          <c:yMode val="edge"/>
          <c:x val="0.7788637990499121"/>
          <c:y val="0.12536944662021962"/>
          <c:w val="0.20791306045422009"/>
          <c:h val="0.6724722760440284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HRA Applications</a:t>
            </a:r>
          </a:p>
        </c:rich>
      </c:tx>
      <c:overlay val="0"/>
    </c:title>
    <c:autoTitleDeleted val="0"/>
    <c:plotArea>
      <c:layout>
        <c:manualLayout>
          <c:layoutTarget val="inner"/>
          <c:xMode val="edge"/>
          <c:yMode val="edge"/>
          <c:x val="2.377210236942702E-2"/>
          <c:y val="0.27453940384479869"/>
          <c:w val="0.96545440085678991"/>
          <c:h val="0.53246898932154019"/>
        </c:manualLayout>
      </c:layout>
      <c:lineChart>
        <c:grouping val="standard"/>
        <c:varyColors val="0"/>
        <c:ser>
          <c:idx val="2"/>
          <c:order val="0"/>
          <c:tx>
            <c:strRef>
              <c:f>'Programme Board Report (7)'!$C$5</c:f>
              <c:strCache>
                <c:ptCount val="1"/>
                <c:pt idx="0">
                  <c:v>Number of Applications Received</c:v>
                </c:pt>
              </c:strCache>
            </c:strRef>
          </c:tx>
          <c:spPr>
            <a:ln w="22225">
              <a:solidFill>
                <a:srgbClr val="0070C0"/>
              </a:solidFill>
            </a:ln>
          </c:spPr>
          <c:marker>
            <c:symbol val="none"/>
          </c:marker>
          <c:dLbls>
            <c:delete val="1"/>
          </c:dLbls>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(7)'!$D$5:$Y$5</c:f>
              <c:numCache>
                <c:formatCode>General</c:formatCode>
                <c:ptCount val="10"/>
                <c:pt idx="0">
                  <c:v>452</c:v>
                </c:pt>
                <c:pt idx="1">
                  <c:v>436</c:v>
                </c:pt>
                <c:pt idx="2">
                  <c:v>522</c:v>
                </c:pt>
                <c:pt idx="3">
                  <c:v>463</c:v>
                </c:pt>
                <c:pt idx="4">
                  <c:v>500</c:v>
                </c:pt>
                <c:pt idx="5">
                  <c:v>468</c:v>
                </c:pt>
                <c:pt idx="6">
                  <c:v>396</c:v>
                </c:pt>
                <c:pt idx="7">
                  <c:v>479</c:v>
                </c:pt>
                <c:pt idx="8">
                  <c:v>379</c:v>
                </c:pt>
                <c:pt idx="9">
                  <c:v>452</c:v>
                </c:pt>
              </c:numCache>
            </c:numRef>
          </c:val>
          <c:smooth val="0"/>
        </c:ser>
        <c:ser>
          <c:idx val="3"/>
          <c:order val="1"/>
          <c:tx>
            <c:strRef>
              <c:f>'Programme Board Report (7)'!$C$6</c:f>
              <c:strCache>
                <c:ptCount val="1"/>
                <c:pt idx="0">
                  <c:v>Number Applications Approved</c:v>
                </c:pt>
              </c:strCache>
            </c:strRef>
          </c:tx>
          <c:spPr>
            <a:ln w="22225">
              <a:solidFill>
                <a:srgbClr val="00B050"/>
              </a:solidFill>
            </a:ln>
          </c:spPr>
          <c:marker>
            <c:symbol val="none"/>
          </c:marker>
          <c:dLbls>
            <c:delete val="1"/>
          </c:dLbls>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(7)'!$D$6:$Y$6</c:f>
              <c:numCache>
                <c:formatCode>General</c:formatCode>
                <c:ptCount val="10"/>
                <c:pt idx="0">
                  <c:v>44</c:v>
                </c:pt>
                <c:pt idx="1">
                  <c:v>84</c:v>
                </c:pt>
                <c:pt idx="2">
                  <c:v>176</c:v>
                </c:pt>
                <c:pt idx="3">
                  <c:v>227</c:v>
                </c:pt>
                <c:pt idx="4">
                  <c:v>326</c:v>
                </c:pt>
                <c:pt idx="5">
                  <c:v>367</c:v>
                </c:pt>
                <c:pt idx="6">
                  <c:v>387</c:v>
                </c:pt>
                <c:pt idx="7">
                  <c:v>415</c:v>
                </c:pt>
                <c:pt idx="8">
                  <c:v>345</c:v>
                </c:pt>
                <c:pt idx="9">
                  <c:v>433</c:v>
                </c:pt>
              </c:numCache>
            </c:numRef>
          </c:val>
          <c:smooth val="0"/>
        </c:ser>
        <c:ser>
          <c:idx val="1"/>
          <c:order val="2"/>
          <c:tx>
            <c:strRef>
              <c:f>'Programme Board Report (7)'!$C$8</c:f>
              <c:strCache>
                <c:ptCount val="1"/>
                <c:pt idx="0">
                  <c:v>Number of applications completed(no date)</c:v>
                </c:pt>
              </c:strCache>
            </c:strRef>
          </c:tx>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(7)'!$D$8:$W$8</c:f>
            </c:numRef>
          </c:val>
          <c:smooth val="0"/>
        </c:ser>
        <c:ser>
          <c:idx val="4"/>
          <c:order val="3"/>
          <c:tx>
            <c:strRef>
              <c:f>'Programme Board Report (7)'!$C$9</c:f>
              <c:strCache>
                <c:ptCount val="1"/>
                <c:pt idx="0">
                  <c:v>Number Open at End of Month</c:v>
                </c:pt>
              </c:strCache>
            </c:strRef>
          </c:tx>
          <c:spPr>
            <a:ln w="22225">
              <a:solidFill>
                <a:srgbClr val="FF0000"/>
              </a:solidFill>
            </a:ln>
          </c:spPr>
          <c:dLbls>
            <c:delete val="1"/>
          </c:dLbls>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(7)'!$D$9:$Y$9</c:f>
              <c:numCache>
                <c:formatCode>General</c:formatCode>
                <c:ptCount val="10"/>
                <c:pt idx="0">
                  <c:v>582</c:v>
                </c:pt>
                <c:pt idx="1">
                  <c:v>872</c:v>
                </c:pt>
                <c:pt idx="2">
                  <c:v>1124</c:v>
                </c:pt>
                <c:pt idx="3">
                  <c:v>1288</c:v>
                </c:pt>
                <c:pt idx="4">
                  <c:v>1370</c:v>
                </c:pt>
                <c:pt idx="5">
                  <c:v>1374</c:v>
                </c:pt>
                <c:pt idx="6">
                  <c:v>1301</c:v>
                </c:pt>
                <c:pt idx="7">
                  <c:v>1265</c:v>
                </c:pt>
                <c:pt idx="8">
                  <c:v>1227</c:v>
                </c:pt>
                <c:pt idx="9">
                  <c:v>1143</c:v>
                </c:pt>
              </c:numCache>
            </c:numRef>
          </c:val>
          <c:smooth val="0"/>
        </c:ser>
        <c:ser>
          <c:idx val="5"/>
          <c:order val="4"/>
          <c:tx>
            <c:strRef>
              <c:f>'Programme Board Report (7)'!$C$10</c:f>
              <c:strCache>
                <c:ptCount val="1"/>
                <c:pt idx="0">
                  <c:v>Number of Applications Closed</c:v>
                </c:pt>
              </c:strCache>
            </c:strRef>
          </c:tx>
          <c:spPr>
            <a:ln w="22225" cap="sq">
              <a:prstDash val="sysDash"/>
            </a:ln>
          </c:spPr>
          <c:marker>
            <c:symbol val="none"/>
          </c:marker>
          <c:dLbls>
            <c:delete val="1"/>
          </c:dLbls>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(7)'!$D$10:$Y$10</c:f>
              <c:numCache>
                <c:formatCode>General</c:formatCode>
                <c:ptCount val="10"/>
                <c:pt idx="0">
                  <c:v>86</c:v>
                </c:pt>
                <c:pt idx="1">
                  <c:v>146</c:v>
                </c:pt>
                <c:pt idx="2">
                  <c:v>270</c:v>
                </c:pt>
                <c:pt idx="3">
                  <c:v>299</c:v>
                </c:pt>
                <c:pt idx="4">
                  <c:v>418</c:v>
                </c:pt>
                <c:pt idx="5">
                  <c:v>464</c:v>
                </c:pt>
                <c:pt idx="6">
                  <c:v>469</c:v>
                </c:pt>
                <c:pt idx="7">
                  <c:v>515</c:v>
                </c:pt>
                <c:pt idx="8">
                  <c:v>417</c:v>
                </c:pt>
                <c:pt idx="9">
                  <c:v>536</c:v>
                </c:pt>
              </c:numCache>
            </c:numRef>
          </c:val>
          <c:smooth val="0"/>
        </c:ser>
        <c:ser>
          <c:idx val="0"/>
          <c:order val="5"/>
          <c:tx>
            <c:strRef>
              <c:f>'Programme Board Report (7)'!$C$11</c:f>
              <c:strCache>
                <c:ptCount val="1"/>
                <c:pt idx="0">
                  <c:v>Expected caseload business as usual</c:v>
                </c:pt>
              </c:strCache>
            </c:strRef>
          </c:tx>
          <c:spPr>
            <a:ln w="165100">
              <a:solidFill>
                <a:schemeClr val="bg1">
                  <a:lumMod val="65000"/>
                  <a:alpha val="48000"/>
                </a:schemeClr>
              </a:solidFill>
            </a:ln>
          </c:spPr>
          <c:marker>
            <c:symbol val="none"/>
          </c:marker>
          <c:dLbls>
            <c:delete val="1"/>
          </c:dLbls>
          <c:cat>
            <c:numRef>
              <c:f>'Programme Board Report (7)'!$D$4:$Y$4</c:f>
              <c:numCache>
                <c:formatCode>mmm\-yy</c:formatCode>
                <c:ptCount val="10"/>
                <c:pt idx="0">
                  <c:v>42461</c:v>
                </c:pt>
                <c:pt idx="1">
                  <c:v>42491</c:v>
                </c:pt>
                <c:pt idx="2">
                  <c:v>42522</c:v>
                </c:pt>
                <c:pt idx="3">
                  <c:v>42552</c:v>
                </c:pt>
                <c:pt idx="4">
                  <c:v>42583</c:v>
                </c:pt>
                <c:pt idx="5">
                  <c:v>42614</c:v>
                </c:pt>
                <c:pt idx="6">
                  <c:v>42644</c:v>
                </c:pt>
                <c:pt idx="7">
                  <c:v>42675</c:v>
                </c:pt>
                <c:pt idx="8">
                  <c:v>42705</c:v>
                </c:pt>
                <c:pt idx="9">
                  <c:v>42736</c:v>
                </c:pt>
              </c:numCache>
            </c:numRef>
          </c:cat>
          <c:val>
            <c:numRef>
              <c:f>'Programme Board Report (7)'!$P$11:$Y$11</c:f>
              <c:numCache>
                <c:formatCode>General</c:formatCode>
                <c:ptCount val="10"/>
                <c:pt idx="7">
                  <c:v>1000</c:v>
                </c:pt>
                <c:pt idx="8">
                  <c:v>1000</c:v>
                </c:pt>
                <c:pt idx="9">
                  <c:v>1000</c:v>
                </c:pt>
              </c:numCache>
            </c:numRef>
          </c:val>
          <c:smooth val="0"/>
        </c:ser>
        <c:dLbls>
          <c:showLegendKey val="0"/>
          <c:showVal val="1"/>
          <c:showCatName val="0"/>
          <c:showSerName val="0"/>
          <c:showPercent val="0"/>
          <c:showBubbleSize val="0"/>
        </c:dLbls>
        <c:marker val="1"/>
        <c:smooth val="0"/>
        <c:axId val="99270016"/>
        <c:axId val="99284096"/>
      </c:lineChart>
      <c:dateAx>
        <c:axId val="99270016"/>
        <c:scaling>
          <c:orientation val="minMax"/>
        </c:scaling>
        <c:delete val="0"/>
        <c:axPos val="b"/>
        <c:numFmt formatCode="mmm\-yy" sourceLinked="1"/>
        <c:majorTickMark val="none"/>
        <c:minorTickMark val="none"/>
        <c:tickLblPos val="nextTo"/>
        <c:crossAx val="99284096"/>
        <c:crosses val="autoZero"/>
        <c:auto val="1"/>
        <c:lblOffset val="100"/>
        <c:baseTimeUnit val="months"/>
      </c:dateAx>
      <c:valAx>
        <c:axId val="99284096"/>
        <c:scaling>
          <c:orientation val="minMax"/>
        </c:scaling>
        <c:delete val="0"/>
        <c:axPos val="l"/>
        <c:majorGridlines/>
        <c:numFmt formatCode="General" sourceLinked="1"/>
        <c:majorTickMark val="out"/>
        <c:minorTickMark val="none"/>
        <c:tickLblPos val="nextTo"/>
        <c:crossAx val="99270016"/>
        <c:crosses val="autoZero"/>
        <c:crossBetween val="between"/>
      </c:valAx>
    </c:plotArea>
    <c:legend>
      <c:legendPos val="t"/>
      <c:layout>
        <c:manualLayout>
          <c:xMode val="edge"/>
          <c:yMode val="edge"/>
          <c:x val="3.6009867596941789E-2"/>
          <c:y val="9.20377398868307E-2"/>
          <c:w val="0.94135683589001928"/>
          <c:h val="0.1531348149826595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Open Studies</a:t>
            </a:r>
          </a:p>
        </c:rich>
      </c:tx>
      <c:layout>
        <c:manualLayout>
          <c:xMode val="edge"/>
          <c:yMode val="edge"/>
          <c:x val="0.31355126063787486"/>
          <c:y val="3.4519956850053934E-2"/>
        </c:manualLayout>
      </c:layout>
      <c:overlay val="0"/>
    </c:title>
    <c:autoTitleDeleted val="0"/>
    <c:plotArea>
      <c:layout>
        <c:manualLayout>
          <c:layoutTarget val="inner"/>
          <c:xMode val="edge"/>
          <c:yMode val="edge"/>
          <c:x val="0.32918227074650813"/>
          <c:y val="0.21682939632545931"/>
          <c:w val="0.2284656430725712"/>
          <c:h val="0.67040387139107616"/>
        </c:manualLayout>
      </c:layout>
      <c:doughnutChart>
        <c:varyColors val="1"/>
        <c:ser>
          <c:idx val="0"/>
          <c:order val="0"/>
          <c:dLbls>
            <c:txPr>
              <a:bodyPr/>
              <a:lstStyle/>
              <a:p>
                <a:pPr>
                  <a:defRPr sz="1400">
                    <a:solidFill>
                      <a:schemeClr val="bg1"/>
                    </a:solidFill>
                  </a:defRPr>
                </a:pPr>
                <a:endParaRPr lang="en-US"/>
              </a:p>
            </c:txPr>
            <c:showLegendKey val="0"/>
            <c:showVal val="1"/>
            <c:showCatName val="0"/>
            <c:showSerName val="0"/>
            <c:showPercent val="0"/>
            <c:showBubbleSize val="0"/>
            <c:showLeaderLines val="1"/>
          </c:dLbls>
          <c:cat>
            <c:strRef>
              <c:f>OPEN!$A$5:$A$7</c:f>
              <c:strCache>
                <c:ptCount val="3"/>
                <c:pt idx="0">
                  <c:v>REC FO</c:v>
                </c:pt>
                <c:pt idx="1">
                  <c:v>REC in progress</c:v>
                </c:pt>
                <c:pt idx="2">
                  <c:v>Non REC</c:v>
                </c:pt>
              </c:strCache>
            </c:strRef>
          </c:cat>
          <c:val>
            <c:numRef>
              <c:f>OPEN!$B$5:$B$7</c:f>
              <c:numCache>
                <c:formatCode>General</c:formatCode>
                <c:ptCount val="3"/>
                <c:pt idx="0">
                  <c:v>401</c:v>
                </c:pt>
                <c:pt idx="1">
                  <c:v>639</c:v>
                </c:pt>
                <c:pt idx="2">
                  <c:v>103</c:v>
                </c:pt>
              </c:numCache>
            </c:numRef>
          </c:val>
        </c:ser>
        <c:dLbls>
          <c:showLegendKey val="0"/>
          <c:showVal val="0"/>
          <c:showCatName val="1"/>
          <c:showSerName val="0"/>
          <c:showPercent val="0"/>
          <c:showBubbleSize val="0"/>
          <c:showLeaderLines val="1"/>
        </c:dLbls>
        <c:firstSliceAng val="30"/>
        <c:holeSize val="50"/>
      </c:doughnutChart>
    </c:plotArea>
    <c:legend>
      <c:legendPos val="r"/>
      <c:layout>
        <c:manualLayout>
          <c:xMode val="edge"/>
          <c:yMode val="edge"/>
          <c:x val="0.66525284339457569"/>
          <c:y val="3.1232406628783047E-2"/>
          <c:w val="0.16948398196636905"/>
          <c:h val="0.23408302117575108"/>
        </c:manualLayout>
      </c:layout>
      <c:overlay val="0"/>
      <c:txPr>
        <a:bodyPr/>
        <a:lstStyle/>
        <a:p>
          <a:pPr rtl="0">
            <a:defRPr/>
          </a:pPr>
          <a:endParaRPr lang="en-US"/>
        </a:p>
      </c:txPr>
    </c:legend>
    <c:plotVisOnly val="1"/>
    <c:dispBlanksAs val="gap"/>
    <c:showDLblsOverMax val="0"/>
  </c:chart>
  <c:spPr>
    <a:ln>
      <a:solidFill>
        <a:schemeClr val="accent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open applications</a:t>
            </a:r>
          </a:p>
        </c:rich>
      </c:tx>
      <c:overlay val="0"/>
    </c:title>
    <c:autoTitleDeleted val="0"/>
    <c:plotArea>
      <c:layout>
        <c:manualLayout>
          <c:layoutTarget val="inner"/>
          <c:xMode val="edge"/>
          <c:yMode val="edge"/>
          <c:x val="9.8725439693870043E-2"/>
          <c:y val="0.12997407319403773"/>
          <c:w val="0.72107210897703211"/>
          <c:h val="0.72023474277511557"/>
        </c:manualLayout>
      </c:layout>
      <c:barChart>
        <c:barDir val="col"/>
        <c:grouping val="clustered"/>
        <c:varyColors val="0"/>
        <c:ser>
          <c:idx val="0"/>
          <c:order val="0"/>
          <c:tx>
            <c:strRef>
              <c:f>Sheet1!$B$1</c:f>
              <c:strCache>
                <c:ptCount val="1"/>
                <c:pt idx="0">
                  <c:v>December</c:v>
                </c:pt>
              </c:strCache>
            </c:strRef>
          </c:tx>
          <c:invertIfNegative val="0"/>
          <c:cat>
            <c:strRef>
              <c:f>Sheet1!$A$2:$A$10</c:f>
              <c:strCache>
                <c:ptCount val="9"/>
                <c:pt idx="0">
                  <c:v>0-40</c:v>
                </c:pt>
                <c:pt idx="1">
                  <c:v>41-80</c:v>
                </c:pt>
                <c:pt idx="2">
                  <c:v>81-120</c:v>
                </c:pt>
                <c:pt idx="3">
                  <c:v>121-160</c:v>
                </c:pt>
                <c:pt idx="4">
                  <c:v>161-200</c:v>
                </c:pt>
                <c:pt idx="5">
                  <c:v>201-240</c:v>
                </c:pt>
                <c:pt idx="6">
                  <c:v>241-280</c:v>
                </c:pt>
                <c:pt idx="7">
                  <c:v>281-320</c:v>
                </c:pt>
                <c:pt idx="8">
                  <c:v>&gt;320</c:v>
                </c:pt>
              </c:strCache>
            </c:strRef>
          </c:cat>
          <c:val>
            <c:numRef>
              <c:f>Sheet1!$B$2:$B$10</c:f>
              <c:numCache>
                <c:formatCode>General</c:formatCode>
                <c:ptCount val="9"/>
                <c:pt idx="0">
                  <c:v>365</c:v>
                </c:pt>
                <c:pt idx="1">
                  <c:v>306</c:v>
                </c:pt>
                <c:pt idx="2">
                  <c:v>169</c:v>
                </c:pt>
                <c:pt idx="3">
                  <c:v>91</c:v>
                </c:pt>
                <c:pt idx="4">
                  <c:v>68</c:v>
                </c:pt>
                <c:pt idx="5">
                  <c:v>41</c:v>
                </c:pt>
                <c:pt idx="6">
                  <c:v>25</c:v>
                </c:pt>
                <c:pt idx="7">
                  <c:v>2</c:v>
                </c:pt>
              </c:numCache>
            </c:numRef>
          </c:val>
        </c:ser>
        <c:ser>
          <c:idx val="1"/>
          <c:order val="1"/>
          <c:tx>
            <c:strRef>
              <c:f>Sheet1!$C$1</c:f>
              <c:strCache>
                <c:ptCount val="1"/>
                <c:pt idx="0">
                  <c:v>January</c:v>
                </c:pt>
              </c:strCache>
            </c:strRef>
          </c:tx>
          <c:invertIfNegative val="0"/>
          <c:cat>
            <c:strRef>
              <c:f>Sheet1!$A$2:$A$10</c:f>
              <c:strCache>
                <c:ptCount val="9"/>
                <c:pt idx="0">
                  <c:v>0-40</c:v>
                </c:pt>
                <c:pt idx="1">
                  <c:v>41-80</c:v>
                </c:pt>
                <c:pt idx="2">
                  <c:v>81-120</c:v>
                </c:pt>
                <c:pt idx="3">
                  <c:v>121-160</c:v>
                </c:pt>
                <c:pt idx="4">
                  <c:v>161-200</c:v>
                </c:pt>
                <c:pt idx="5">
                  <c:v>201-240</c:v>
                </c:pt>
                <c:pt idx="6">
                  <c:v>241-280</c:v>
                </c:pt>
                <c:pt idx="7">
                  <c:v>281-320</c:v>
                </c:pt>
                <c:pt idx="8">
                  <c:v>&gt;320</c:v>
                </c:pt>
              </c:strCache>
            </c:strRef>
          </c:cat>
          <c:val>
            <c:numRef>
              <c:f>Sheet1!$C$2:$C$10</c:f>
              <c:numCache>
                <c:formatCode>General</c:formatCode>
                <c:ptCount val="9"/>
                <c:pt idx="0">
                  <c:v>422</c:v>
                </c:pt>
                <c:pt idx="1">
                  <c:v>315</c:v>
                </c:pt>
                <c:pt idx="2">
                  <c:v>121</c:v>
                </c:pt>
                <c:pt idx="3">
                  <c:v>77</c:v>
                </c:pt>
                <c:pt idx="4">
                  <c:v>40</c:v>
                </c:pt>
                <c:pt idx="5">
                  <c:v>36</c:v>
                </c:pt>
                <c:pt idx="6">
                  <c:v>22</c:v>
                </c:pt>
                <c:pt idx="7">
                  <c:v>15</c:v>
                </c:pt>
                <c:pt idx="8">
                  <c:v>3</c:v>
                </c:pt>
              </c:numCache>
            </c:numRef>
          </c:val>
        </c:ser>
        <c:dLbls>
          <c:showLegendKey val="0"/>
          <c:showVal val="0"/>
          <c:showCatName val="0"/>
          <c:showSerName val="0"/>
          <c:showPercent val="0"/>
          <c:showBubbleSize val="0"/>
        </c:dLbls>
        <c:gapWidth val="150"/>
        <c:axId val="165999744"/>
        <c:axId val="166001664"/>
      </c:barChart>
      <c:catAx>
        <c:axId val="165999744"/>
        <c:scaling>
          <c:orientation val="minMax"/>
        </c:scaling>
        <c:delete val="0"/>
        <c:axPos val="b"/>
        <c:title>
          <c:tx>
            <c:rich>
              <a:bodyPr/>
              <a:lstStyle/>
              <a:p>
                <a:pPr>
                  <a:defRPr/>
                </a:pPr>
                <a:r>
                  <a:rPr lang="en-US"/>
                  <a:t>Number of days from valid application submission</a:t>
                </a:r>
              </a:p>
            </c:rich>
          </c:tx>
          <c:overlay val="0"/>
        </c:title>
        <c:majorTickMark val="out"/>
        <c:minorTickMark val="none"/>
        <c:tickLblPos val="nextTo"/>
        <c:txPr>
          <a:bodyPr/>
          <a:lstStyle/>
          <a:p>
            <a:pPr>
              <a:defRPr sz="900"/>
            </a:pPr>
            <a:endParaRPr lang="en-US"/>
          </a:p>
        </c:txPr>
        <c:crossAx val="166001664"/>
        <c:crosses val="autoZero"/>
        <c:auto val="1"/>
        <c:lblAlgn val="ctr"/>
        <c:lblOffset val="100"/>
        <c:noMultiLvlLbl val="0"/>
      </c:catAx>
      <c:valAx>
        <c:axId val="166001664"/>
        <c:scaling>
          <c:orientation val="minMax"/>
        </c:scaling>
        <c:delete val="0"/>
        <c:axPos val="l"/>
        <c:majorGridlines/>
        <c:title>
          <c:tx>
            <c:rich>
              <a:bodyPr rot="-5400000" vert="horz"/>
              <a:lstStyle/>
              <a:p>
                <a:pPr>
                  <a:defRPr/>
                </a:pPr>
                <a:r>
                  <a:rPr lang="en-US"/>
                  <a:t>Number of open applications</a:t>
                </a:r>
              </a:p>
            </c:rich>
          </c:tx>
          <c:overlay val="0"/>
        </c:title>
        <c:numFmt formatCode="General" sourceLinked="1"/>
        <c:majorTickMark val="out"/>
        <c:minorTickMark val="none"/>
        <c:tickLblPos val="nextTo"/>
        <c:crossAx val="165999744"/>
        <c:crosses val="autoZero"/>
        <c:crossBetween val="between"/>
      </c:valAx>
    </c:plotArea>
    <c:legend>
      <c:legendPos val="r"/>
      <c:layout>
        <c:manualLayout>
          <c:xMode val="edge"/>
          <c:yMode val="edge"/>
          <c:x val="0.84383267512121729"/>
          <c:y val="0.46610091969066869"/>
          <c:w val="0.14227847687263392"/>
          <c:h val="0.1590033283373090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Pre-HRA Applications</a:t>
            </a:r>
          </a:p>
        </c:rich>
      </c:tx>
      <c:overlay val="0"/>
    </c:title>
    <c:autoTitleDeleted val="0"/>
    <c:plotArea>
      <c:layout/>
      <c:lineChart>
        <c:grouping val="standard"/>
        <c:varyColors val="0"/>
        <c:ser>
          <c:idx val="1"/>
          <c:order val="0"/>
          <c:tx>
            <c:strRef>
              <c:f>'Programme board'!$A$5</c:f>
              <c:strCache>
                <c:ptCount val="1"/>
                <c:pt idx="0">
                  <c:v>Number Applications received</c:v>
                </c:pt>
              </c:strCache>
            </c:strRef>
          </c:tx>
          <c:spPr>
            <a:ln w="22225">
              <a:solidFill>
                <a:srgbClr val="0070C0"/>
              </a:solidFill>
            </a:ln>
          </c:spPr>
          <c:marker>
            <c:symbol val="none"/>
          </c:marker>
          <c:cat>
            <c:strRef>
              <c:f>'Programme board'!$B$2:$K$3</c:f>
              <c:strCache>
                <c:ptCount val="10"/>
                <c:pt idx="0">
                  <c:v>Apr-16</c:v>
                </c:pt>
                <c:pt idx="1">
                  <c:v>May-16</c:v>
                </c:pt>
                <c:pt idx="2">
                  <c:v>Jun-16</c:v>
                </c:pt>
                <c:pt idx="3">
                  <c:v>Jul-16</c:v>
                </c:pt>
                <c:pt idx="4">
                  <c:v>Aug-16</c:v>
                </c:pt>
                <c:pt idx="5">
                  <c:v>Sep-16</c:v>
                </c:pt>
                <c:pt idx="6">
                  <c:v>Oct-16</c:v>
                </c:pt>
                <c:pt idx="7">
                  <c:v>Nov-16</c:v>
                </c:pt>
                <c:pt idx="8">
                  <c:v>Dec-16</c:v>
                </c:pt>
                <c:pt idx="9">
                  <c:v>Jan-17</c:v>
                </c:pt>
              </c:strCache>
            </c:strRef>
          </c:cat>
          <c:val>
            <c:numRef>
              <c:f>'Programme board'!$B$5:$K$5</c:f>
              <c:numCache>
                <c:formatCode>General</c:formatCode>
                <c:ptCount val="10"/>
                <c:pt idx="0">
                  <c:v>520</c:v>
                </c:pt>
                <c:pt idx="1">
                  <c:v>369</c:v>
                </c:pt>
                <c:pt idx="2">
                  <c:v>296</c:v>
                </c:pt>
                <c:pt idx="3">
                  <c:v>154</c:v>
                </c:pt>
                <c:pt idx="4">
                  <c:v>136</c:v>
                </c:pt>
                <c:pt idx="5">
                  <c:v>93</c:v>
                </c:pt>
                <c:pt idx="6">
                  <c:v>100</c:v>
                </c:pt>
                <c:pt idx="7">
                  <c:v>94</c:v>
                </c:pt>
                <c:pt idx="8">
                  <c:v>45</c:v>
                </c:pt>
                <c:pt idx="9">
                  <c:v>60</c:v>
                </c:pt>
              </c:numCache>
            </c:numRef>
          </c:val>
          <c:smooth val="0"/>
        </c:ser>
        <c:ser>
          <c:idx val="2"/>
          <c:order val="1"/>
          <c:tx>
            <c:strRef>
              <c:f>'Programme board'!$A$6</c:f>
              <c:strCache>
                <c:ptCount val="1"/>
                <c:pt idx="0">
                  <c:v>Number applications approved</c:v>
                </c:pt>
              </c:strCache>
            </c:strRef>
          </c:tx>
          <c:spPr>
            <a:ln w="25400">
              <a:solidFill>
                <a:srgbClr val="00B050"/>
              </a:solidFill>
            </a:ln>
          </c:spPr>
          <c:marker>
            <c:symbol val="none"/>
          </c:marker>
          <c:cat>
            <c:strRef>
              <c:f>'Programme board'!$B$2:$K$3</c:f>
              <c:strCache>
                <c:ptCount val="10"/>
                <c:pt idx="0">
                  <c:v>Apr-16</c:v>
                </c:pt>
                <c:pt idx="1">
                  <c:v>May-16</c:v>
                </c:pt>
                <c:pt idx="2">
                  <c:v>Jun-16</c:v>
                </c:pt>
                <c:pt idx="3">
                  <c:v>Jul-16</c:v>
                </c:pt>
                <c:pt idx="4">
                  <c:v>Aug-16</c:v>
                </c:pt>
                <c:pt idx="5">
                  <c:v>Sep-16</c:v>
                </c:pt>
                <c:pt idx="6">
                  <c:v>Oct-16</c:v>
                </c:pt>
                <c:pt idx="7">
                  <c:v>Nov-16</c:v>
                </c:pt>
                <c:pt idx="8">
                  <c:v>Dec-16</c:v>
                </c:pt>
                <c:pt idx="9">
                  <c:v>Jan-17</c:v>
                </c:pt>
              </c:strCache>
            </c:strRef>
          </c:cat>
          <c:val>
            <c:numRef>
              <c:f>'Programme board'!$B$6:$K$6</c:f>
              <c:numCache>
                <c:formatCode>General</c:formatCode>
                <c:ptCount val="10"/>
                <c:pt idx="0">
                  <c:v>61</c:v>
                </c:pt>
                <c:pt idx="1">
                  <c:v>117</c:v>
                </c:pt>
                <c:pt idx="2">
                  <c:v>585</c:v>
                </c:pt>
                <c:pt idx="3">
                  <c:v>265</c:v>
                </c:pt>
                <c:pt idx="4">
                  <c:v>369</c:v>
                </c:pt>
                <c:pt idx="5">
                  <c:v>93</c:v>
                </c:pt>
                <c:pt idx="6">
                  <c:v>106</c:v>
                </c:pt>
                <c:pt idx="7">
                  <c:v>95</c:v>
                </c:pt>
                <c:pt idx="8">
                  <c:v>79</c:v>
                </c:pt>
                <c:pt idx="9">
                  <c:v>63</c:v>
                </c:pt>
              </c:numCache>
            </c:numRef>
          </c:val>
          <c:smooth val="0"/>
        </c:ser>
        <c:ser>
          <c:idx val="3"/>
          <c:order val="2"/>
          <c:tx>
            <c:strRef>
              <c:f>'Programme board'!$A$7</c:f>
              <c:strCache>
                <c:ptCount val="1"/>
                <c:pt idx="0">
                  <c:v>Number open at end of month (cumulative)</c:v>
                </c:pt>
              </c:strCache>
            </c:strRef>
          </c:tx>
          <c:spPr>
            <a:ln w="25400">
              <a:solidFill>
                <a:srgbClr val="FF0000"/>
              </a:solidFill>
            </a:ln>
          </c:spPr>
          <c:marker>
            <c:symbol val="none"/>
          </c:marker>
          <c:cat>
            <c:strRef>
              <c:f>'Programme board'!$B$2:$K$3</c:f>
              <c:strCache>
                <c:ptCount val="10"/>
                <c:pt idx="0">
                  <c:v>Apr-16</c:v>
                </c:pt>
                <c:pt idx="1">
                  <c:v>May-16</c:v>
                </c:pt>
                <c:pt idx="2">
                  <c:v>Jun-16</c:v>
                </c:pt>
                <c:pt idx="3">
                  <c:v>Jul-16</c:v>
                </c:pt>
                <c:pt idx="4">
                  <c:v>Aug-16</c:v>
                </c:pt>
                <c:pt idx="5">
                  <c:v>Sep-16</c:v>
                </c:pt>
                <c:pt idx="6">
                  <c:v>Oct-16</c:v>
                </c:pt>
                <c:pt idx="7">
                  <c:v>Nov-16</c:v>
                </c:pt>
                <c:pt idx="8">
                  <c:v>Dec-16</c:v>
                </c:pt>
                <c:pt idx="9">
                  <c:v>Jan-17</c:v>
                </c:pt>
              </c:strCache>
            </c:strRef>
          </c:cat>
          <c:val>
            <c:numRef>
              <c:f>'Programme board'!$B$7:$K$7</c:f>
              <c:numCache>
                <c:formatCode>General</c:formatCode>
                <c:ptCount val="10"/>
                <c:pt idx="0">
                  <c:v>459</c:v>
                </c:pt>
                <c:pt idx="1">
                  <c:v>711</c:v>
                </c:pt>
                <c:pt idx="2">
                  <c:v>422</c:v>
                </c:pt>
                <c:pt idx="3">
                  <c:v>311</c:v>
                </c:pt>
                <c:pt idx="4">
                  <c:v>78</c:v>
                </c:pt>
                <c:pt idx="5">
                  <c:v>78</c:v>
                </c:pt>
                <c:pt idx="6">
                  <c:v>72</c:v>
                </c:pt>
                <c:pt idx="7">
                  <c:v>71</c:v>
                </c:pt>
                <c:pt idx="8">
                  <c:v>37</c:v>
                </c:pt>
                <c:pt idx="9">
                  <c:v>34</c:v>
                </c:pt>
              </c:numCache>
            </c:numRef>
          </c:val>
          <c:smooth val="0"/>
        </c:ser>
        <c:dLbls>
          <c:showLegendKey val="0"/>
          <c:showVal val="0"/>
          <c:showCatName val="0"/>
          <c:showSerName val="0"/>
          <c:showPercent val="0"/>
          <c:showBubbleSize val="0"/>
        </c:dLbls>
        <c:marker val="1"/>
        <c:smooth val="0"/>
        <c:axId val="166582144"/>
        <c:axId val="166583680"/>
      </c:lineChart>
      <c:catAx>
        <c:axId val="166582144"/>
        <c:scaling>
          <c:orientation val="minMax"/>
        </c:scaling>
        <c:delete val="0"/>
        <c:axPos val="b"/>
        <c:majorTickMark val="none"/>
        <c:minorTickMark val="none"/>
        <c:tickLblPos val="nextTo"/>
        <c:crossAx val="166583680"/>
        <c:crosses val="autoZero"/>
        <c:auto val="1"/>
        <c:lblAlgn val="ctr"/>
        <c:lblOffset val="100"/>
        <c:tickLblSkip val="1"/>
        <c:tickMarkSkip val="3"/>
        <c:noMultiLvlLbl val="0"/>
      </c:catAx>
      <c:valAx>
        <c:axId val="166583680"/>
        <c:scaling>
          <c:orientation val="minMax"/>
        </c:scaling>
        <c:delete val="0"/>
        <c:axPos val="l"/>
        <c:majorGridlines/>
        <c:numFmt formatCode="General" sourceLinked="1"/>
        <c:majorTickMark val="none"/>
        <c:minorTickMark val="none"/>
        <c:tickLblPos val="nextTo"/>
        <c:crossAx val="166582144"/>
        <c:crosses val="autoZero"/>
        <c:crossBetween val="between"/>
        <c:majorUnit val="150"/>
      </c:valAx>
      <c:spPr>
        <a:noFill/>
      </c:spPr>
    </c:plotArea>
    <c:legend>
      <c:legendPos val="t"/>
      <c:layout>
        <c:manualLayout>
          <c:xMode val="edge"/>
          <c:yMode val="edge"/>
          <c:x val="6.3866222556864347E-2"/>
          <c:y val="0.11908766990718339"/>
          <c:w val="0.89171633124465599"/>
          <c:h val="0.1477311984046687"/>
        </c:manualLayout>
      </c:layou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0.57516</cdr:x>
      <cdr:y>0.33607</cdr:y>
    </cdr:from>
    <cdr:to>
      <cdr:x>0.65468</cdr:x>
      <cdr:y>0.71585</cdr:y>
    </cdr:to>
    <cdr:sp macro="" textlink="">
      <cdr:nvSpPr>
        <cdr:cNvPr id="3" name="Isosceles Triangle 2"/>
        <cdr:cNvSpPr/>
      </cdr:nvSpPr>
      <cdr:spPr>
        <a:xfrm xmlns:a="http://schemas.openxmlformats.org/drawingml/2006/main" rot="16200000">
          <a:off x="4714876" y="1485900"/>
          <a:ext cx="1323975" cy="695325"/>
        </a:xfrm>
        <a:prstGeom xmlns:a="http://schemas.openxmlformats.org/drawingml/2006/main" prst="triangle">
          <a:avLst/>
        </a:prstGeom>
        <a:gradFill xmlns:a="http://schemas.openxmlformats.org/drawingml/2006/main" flip="none" rotWithShape="1">
          <a:gsLst>
            <a:gs pos="0">
              <a:schemeClr val="accent1"/>
            </a:gs>
            <a:gs pos="50000">
              <a:schemeClr val="accent1">
                <a:tint val="44500"/>
                <a:satMod val="160000"/>
              </a:schemeClr>
            </a:gs>
            <a:gs pos="100000">
              <a:schemeClr val="accent1">
                <a:tint val="23500"/>
                <a:satMod val="16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ln>
              <a:noFill/>
            </a:ln>
          </a:endParaRPr>
        </a:p>
      </cdr:txBody>
    </cdr:sp>
  </cdr:relSizeAnchor>
  <cdr:relSizeAnchor xmlns:cdr="http://schemas.openxmlformats.org/drawingml/2006/chartDrawing">
    <cdr:from>
      <cdr:x>0.67275</cdr:x>
      <cdr:y>0.3238</cdr:y>
    </cdr:from>
    <cdr:to>
      <cdr:x>0.96251</cdr:x>
      <cdr:y>0.94966</cdr:y>
    </cdr:to>
    <cdr:sp macro="" textlink="">
      <cdr:nvSpPr>
        <cdr:cNvPr id="2" name="Text Box 1"/>
        <cdr:cNvSpPr txBox="1"/>
      </cdr:nvSpPr>
      <cdr:spPr>
        <a:xfrm xmlns:a="http://schemas.openxmlformats.org/drawingml/2006/main">
          <a:off x="3874651" y="919098"/>
          <a:ext cx="1668899" cy="1776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REC favourable opinion</a:t>
          </a:r>
          <a:r>
            <a:rPr lang="en-GB" sz="1000" baseline="0"/>
            <a:t> including all conditions met:</a:t>
          </a:r>
        </a:p>
        <a:p xmlns:a="http://schemas.openxmlformats.org/drawingml/2006/main">
          <a:r>
            <a:rPr lang="en-GB" sz="1000" baseline="0"/>
            <a:t>1. awaiting other regulatory approvals</a:t>
          </a:r>
        </a:p>
        <a:p xmlns:a="http://schemas.openxmlformats.org/drawingml/2006/main">
          <a:r>
            <a:rPr lang="en-GB" sz="1000" baseline="0"/>
            <a:t>2. awaiting response from applicant to queries</a:t>
          </a:r>
        </a:p>
        <a:p xmlns:a="http://schemas.openxmlformats.org/drawingml/2006/main">
          <a:r>
            <a:rPr lang="en-GB" sz="1000" baseline="0"/>
            <a:t>3. action needed from assessor</a:t>
          </a:r>
          <a:endParaRPr lang="en-GB" sz="1000"/>
        </a:p>
      </cdr:txBody>
    </cdr:sp>
  </cdr:relSizeAnchor>
  <cdr:relSizeAnchor xmlns:cdr="http://schemas.openxmlformats.org/drawingml/2006/chartDrawing">
    <cdr:from>
      <cdr:x>0.2215</cdr:x>
      <cdr:y>0.33698</cdr:y>
    </cdr:from>
    <cdr:to>
      <cdr:x>0.30102</cdr:x>
      <cdr:y>0.71676</cdr:y>
    </cdr:to>
    <cdr:sp macro="" textlink="">
      <cdr:nvSpPr>
        <cdr:cNvPr id="4" name="Isosceles Triangle 3"/>
        <cdr:cNvSpPr/>
      </cdr:nvSpPr>
      <cdr:spPr>
        <a:xfrm xmlns:a="http://schemas.openxmlformats.org/drawingml/2006/main" rot="5400000">
          <a:off x="1622426" y="1489075"/>
          <a:ext cx="1323975" cy="695325"/>
        </a:xfrm>
        <a:prstGeom xmlns:a="http://schemas.openxmlformats.org/drawingml/2006/main" prst="triangle">
          <a:avLst/>
        </a:prstGeom>
        <a:gradFill xmlns:a="http://schemas.openxmlformats.org/drawingml/2006/main" flip="none" rotWithShape="1">
          <a:gsLst>
            <a:gs pos="0">
              <a:schemeClr val="accent2"/>
            </a:gs>
            <a:gs pos="50000">
              <a:schemeClr val="accent2">
                <a:lumMod val="60000"/>
                <a:lumOff val="40000"/>
              </a:schemeClr>
            </a:gs>
            <a:gs pos="100000">
              <a:schemeClr val="accent2">
                <a:lumMod val="20000"/>
                <a:lumOff val="8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cdr:x>
      <cdr:y>0.27516</cdr:y>
    </cdr:from>
    <cdr:to>
      <cdr:x>0.21334</cdr:x>
      <cdr:y>0.88926</cdr:y>
    </cdr:to>
    <cdr:sp macro="" textlink="">
      <cdr:nvSpPr>
        <cdr:cNvPr id="5" name="Text Box 4"/>
        <cdr:cNvSpPr txBox="1"/>
      </cdr:nvSpPr>
      <cdr:spPr>
        <a:xfrm xmlns:a="http://schemas.openxmlformats.org/drawingml/2006/main">
          <a:off x="0" y="781027"/>
          <a:ext cx="1228725" cy="1743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REC review in progress:</a:t>
          </a:r>
        </a:p>
        <a:p xmlns:a="http://schemas.openxmlformats.org/drawingml/2006/main">
          <a:r>
            <a:rPr lang="en-GB" sz="1000"/>
            <a:t>1. not</a:t>
          </a:r>
          <a:r>
            <a:rPr lang="en-GB" sz="1000" baseline="0"/>
            <a:t> 'valid' </a:t>
          </a:r>
        </a:p>
        <a:p xmlns:a="http://schemas.openxmlformats.org/drawingml/2006/main">
          <a:r>
            <a:rPr lang="en-GB" sz="1000" baseline="0"/>
            <a:t>2. REC review in progress</a:t>
          </a:r>
        </a:p>
        <a:p xmlns:a="http://schemas.openxmlformats.org/drawingml/2006/main">
          <a:r>
            <a:rPr lang="en-GB" sz="1000" baseline="0"/>
            <a:t>3. REC provisional or additional conditions issued</a:t>
          </a:r>
          <a:endParaRPr lang="en-GB" sz="1000"/>
        </a:p>
      </cdr:txBody>
    </cdr:sp>
  </cdr:relSizeAnchor>
  <cdr:relSizeAnchor xmlns:cdr="http://schemas.openxmlformats.org/drawingml/2006/chartDrawing">
    <cdr:from>
      <cdr:x>0.49752</cdr:x>
      <cdr:y>0.19118</cdr:y>
    </cdr:from>
    <cdr:to>
      <cdr:x>0.56859</cdr:x>
      <cdr:y>0.29412</cdr:y>
    </cdr:to>
    <cdr:sp macro="" textlink="">
      <cdr:nvSpPr>
        <cdr:cNvPr id="6" name="Line Callout 1 5"/>
        <cdr:cNvSpPr/>
      </cdr:nvSpPr>
      <cdr:spPr>
        <a:xfrm xmlns:a="http://schemas.openxmlformats.org/drawingml/2006/main">
          <a:off x="2867024" y="495300"/>
          <a:ext cx="409575" cy="266700"/>
        </a:xfrm>
        <a:prstGeom xmlns:a="http://schemas.openxmlformats.org/drawingml/2006/main" prst="borderCallout1">
          <a:avLst>
            <a:gd name="adj1" fmla="val 43750"/>
            <a:gd name="adj2" fmla="val -1356"/>
            <a:gd name="adj3" fmla="val 112500"/>
            <a:gd name="adj4" fmla="val -38333"/>
          </a:avLst>
        </a:prstGeom>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1000"/>
            <a:t>122</a:t>
          </a:r>
        </a:p>
      </cdr:txBody>
    </cdr:sp>
  </cdr:relSizeAnchor>
  <cdr:relSizeAnchor xmlns:cdr="http://schemas.openxmlformats.org/drawingml/2006/chartDrawing">
    <cdr:from>
      <cdr:x>0.55702</cdr:x>
      <cdr:y>0.76103</cdr:y>
    </cdr:from>
    <cdr:to>
      <cdr:x>0.6314</cdr:x>
      <cdr:y>0.84559</cdr:y>
    </cdr:to>
    <cdr:sp macro="" textlink="">
      <cdr:nvSpPr>
        <cdr:cNvPr id="7" name="Line Callout 1 6"/>
        <cdr:cNvSpPr/>
      </cdr:nvSpPr>
      <cdr:spPr>
        <a:xfrm xmlns:a="http://schemas.openxmlformats.org/drawingml/2006/main">
          <a:off x="3209924" y="1971675"/>
          <a:ext cx="428625" cy="219075"/>
        </a:xfrm>
        <a:prstGeom xmlns:a="http://schemas.openxmlformats.org/drawingml/2006/main" prst="borderCallout1">
          <a:avLst>
            <a:gd name="adj1" fmla="val 1359"/>
            <a:gd name="adj2" fmla="val -1666"/>
            <a:gd name="adj3" fmla="val -63691"/>
            <a:gd name="adj4" fmla="val -44215"/>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1000"/>
            <a:t>382</a:t>
          </a:r>
        </a:p>
      </cdr:txBody>
    </cdr:sp>
  </cdr:relSizeAnchor>
  <cdr:relSizeAnchor xmlns:cdr="http://schemas.openxmlformats.org/drawingml/2006/chartDrawing">
    <cdr:from>
      <cdr:x>0.26446</cdr:x>
      <cdr:y>0.76838</cdr:y>
    </cdr:from>
    <cdr:to>
      <cdr:x>0.33554</cdr:x>
      <cdr:y>0.87132</cdr:y>
    </cdr:to>
    <cdr:sp macro="" textlink="">
      <cdr:nvSpPr>
        <cdr:cNvPr id="8" name="Line Callout 1 7"/>
        <cdr:cNvSpPr/>
      </cdr:nvSpPr>
      <cdr:spPr>
        <a:xfrm xmlns:a="http://schemas.openxmlformats.org/drawingml/2006/main">
          <a:off x="1524000" y="1990725"/>
          <a:ext cx="409575" cy="266700"/>
        </a:xfrm>
        <a:prstGeom xmlns:a="http://schemas.openxmlformats.org/drawingml/2006/main" prst="borderCallout1">
          <a:avLst>
            <a:gd name="adj1" fmla="val -9250"/>
            <a:gd name="adj2" fmla="val 55303"/>
            <a:gd name="adj3" fmla="val -101214"/>
            <a:gd name="adj4" fmla="val 109870"/>
          </a:avLst>
        </a:prstGeom>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1000"/>
            <a:t>794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6A91-6311-4F7E-9F13-E5A7AC16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Cannaby, Chris</dc:creator>
  <cp:lastModifiedBy>Steve Tebbutt</cp:lastModifiedBy>
  <cp:revision>3</cp:revision>
  <dcterms:created xsi:type="dcterms:W3CDTF">2017-02-15T16:39:00Z</dcterms:created>
  <dcterms:modified xsi:type="dcterms:W3CDTF">2017-02-15T16:54:00Z</dcterms:modified>
</cp:coreProperties>
</file>