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547" w14:textId="37DDA479" w:rsidR="00304B94" w:rsidRPr="00CF1CA1" w:rsidRDefault="00304B94" w:rsidP="00304B94">
      <w:pPr>
        <w:tabs>
          <w:tab w:val="left" w:pos="1931"/>
          <w:tab w:val="center" w:pos="4513"/>
        </w:tabs>
        <w:spacing w:after="0" w:line="360" w:lineRule="auto"/>
        <w:jc w:val="both"/>
        <w:rPr>
          <w:rFonts w:eastAsia="Times New Roman" w:cs="Arial"/>
          <w:b/>
          <w:color w:val="FF0000"/>
          <w:highlight w:val="yellow"/>
        </w:rPr>
      </w:pPr>
      <w:bookmarkStart w:id="0" w:name="_gjdgxs" w:colFirst="0" w:colLast="0"/>
      <w:bookmarkEnd w:id="0"/>
      <w:r w:rsidRPr="00D271AF">
        <w:rPr>
          <w:rFonts w:eastAsia="Times New Roman" w:cs="Arial"/>
          <w:bCs/>
          <w:color w:val="auto"/>
        </w:rPr>
        <w:t>VERSION October 2023 (Draft 0.</w:t>
      </w:r>
      <w:r w:rsidR="000A78B3">
        <w:rPr>
          <w:rFonts w:eastAsia="Times New Roman" w:cs="Arial"/>
          <w:bCs/>
          <w:color w:val="auto"/>
        </w:rPr>
        <w:t>5</w:t>
      </w:r>
      <w:r w:rsidRPr="00D271AF">
        <w:rPr>
          <w:rFonts w:eastAsia="Times New Roman" w:cs="Arial"/>
          <w:bCs/>
          <w:color w:val="auto"/>
        </w:rPr>
        <w:t>_</w:t>
      </w:r>
      <w:r w:rsidR="000A78B3">
        <w:rPr>
          <w:rFonts w:eastAsia="Times New Roman" w:cs="Arial"/>
          <w:bCs/>
          <w:color w:val="auto"/>
        </w:rPr>
        <w:t>27</w:t>
      </w:r>
      <w:r w:rsidRPr="00D271AF">
        <w:rPr>
          <w:rFonts w:eastAsia="Times New Roman" w:cs="Arial"/>
          <w:bCs/>
          <w:color w:val="auto"/>
        </w:rPr>
        <w:t>Jun23)</w:t>
      </w:r>
    </w:p>
    <w:p w14:paraId="1D6A79DF" w14:textId="1FB4449F" w:rsidR="00304B94" w:rsidRPr="00656477" w:rsidRDefault="005C3157" w:rsidP="002B018B">
      <w:pPr>
        <w:tabs>
          <w:tab w:val="left" w:pos="1931"/>
          <w:tab w:val="center" w:pos="4513"/>
        </w:tabs>
        <w:spacing w:after="0" w:line="360" w:lineRule="auto"/>
        <w:jc w:val="center"/>
        <w:rPr>
          <w:rFonts w:eastAsia="Times New Roman" w:cs="Arial"/>
          <w:b/>
          <w:color w:val="auto"/>
          <w:highlight w:val="yellow"/>
        </w:rPr>
      </w:pPr>
      <w:r w:rsidRPr="00656477">
        <w:rPr>
          <w:rFonts w:eastAsia="Times New Roman" w:cs="Arial"/>
          <w:b/>
          <w:color w:val="auto"/>
          <w:highlight w:val="yellow"/>
        </w:rPr>
        <w:t>[</w:t>
      </w:r>
      <w:r w:rsidR="002B018B" w:rsidRPr="00656477">
        <w:rPr>
          <w:rFonts w:eastAsia="Times New Roman" w:cs="Arial"/>
          <w:b/>
          <w:color w:val="auto"/>
          <w:highlight w:val="yellow"/>
        </w:rPr>
        <w:t>Interactive Costing Tool (</w:t>
      </w:r>
      <w:proofErr w:type="spellStart"/>
      <w:r w:rsidR="002B018B" w:rsidRPr="00656477">
        <w:rPr>
          <w:rFonts w:eastAsia="Times New Roman" w:cs="Arial"/>
          <w:b/>
          <w:color w:val="auto"/>
          <w:highlight w:val="yellow"/>
        </w:rPr>
        <w:t>iCT</w:t>
      </w:r>
      <w:proofErr w:type="spellEnd"/>
      <w:r w:rsidR="002B018B" w:rsidRPr="00656477">
        <w:rPr>
          <w:rFonts w:eastAsia="Times New Roman" w:cs="Arial"/>
          <w:b/>
          <w:color w:val="auto"/>
          <w:highlight w:val="yellow"/>
        </w:rPr>
        <w:t xml:space="preserve">) </w:t>
      </w:r>
      <w:r w:rsidR="00304B94" w:rsidRPr="00656477">
        <w:rPr>
          <w:rFonts w:eastAsia="Times New Roman" w:cs="Arial"/>
          <w:b/>
          <w:color w:val="auto"/>
          <w:highlight w:val="yellow"/>
        </w:rPr>
        <w:t xml:space="preserve">Finance </w:t>
      </w:r>
      <w:r w:rsidR="00CF7016" w:rsidRPr="00656477">
        <w:rPr>
          <w:rFonts w:eastAsia="Times New Roman" w:cs="Arial"/>
          <w:b/>
          <w:color w:val="auto"/>
          <w:highlight w:val="yellow"/>
        </w:rPr>
        <w:t>Schedule</w:t>
      </w:r>
      <w:r w:rsidR="002B018B" w:rsidRPr="00656477">
        <w:rPr>
          <w:rFonts w:eastAsia="Times New Roman" w:cs="Arial"/>
          <w:b/>
          <w:color w:val="auto"/>
          <w:highlight w:val="yellow"/>
        </w:rPr>
        <w:t xml:space="preserve"> </w:t>
      </w:r>
      <w:r w:rsidR="00304B94" w:rsidRPr="00656477">
        <w:rPr>
          <w:rFonts w:eastAsia="Times New Roman" w:cs="Arial"/>
          <w:b/>
          <w:color w:val="auto"/>
          <w:highlight w:val="yellow"/>
        </w:rPr>
        <w:t>Instructions</w:t>
      </w:r>
    </w:p>
    <w:p w14:paraId="18D223F9" w14:textId="1858526B" w:rsidR="00304B94" w:rsidRPr="00656477" w:rsidRDefault="00304B94" w:rsidP="00304B94">
      <w:pPr>
        <w:tabs>
          <w:tab w:val="left" w:pos="1931"/>
          <w:tab w:val="center" w:pos="4513"/>
        </w:tabs>
        <w:spacing w:after="0" w:line="360" w:lineRule="auto"/>
        <w:jc w:val="both"/>
        <w:rPr>
          <w:rFonts w:eastAsia="Times New Roman" w:cs="Arial"/>
          <w:color w:val="auto"/>
          <w:highlight w:val="yellow"/>
        </w:rPr>
      </w:pPr>
      <w:r w:rsidRPr="00656477">
        <w:rPr>
          <w:rFonts w:eastAsia="Times New Roman" w:cs="Arial"/>
          <w:i/>
          <w:color w:val="auto"/>
          <w:highlight w:val="yellow"/>
        </w:rPr>
        <w:t xml:space="preserve">Please delete instruction text prior to inserting Finance </w:t>
      </w:r>
      <w:r w:rsidR="00356670" w:rsidRPr="00656477">
        <w:rPr>
          <w:rFonts w:eastAsia="Times New Roman" w:cs="Arial"/>
          <w:i/>
          <w:color w:val="auto"/>
          <w:highlight w:val="yellow"/>
        </w:rPr>
        <w:t>Schedule</w:t>
      </w:r>
      <w:r w:rsidRPr="00656477">
        <w:rPr>
          <w:rFonts w:eastAsia="Times New Roman" w:cs="Arial"/>
          <w:i/>
          <w:color w:val="auto"/>
          <w:highlight w:val="yellow"/>
        </w:rPr>
        <w:t xml:space="preserve"> into</w:t>
      </w:r>
      <w:r w:rsidR="00356670" w:rsidRPr="00656477">
        <w:rPr>
          <w:rFonts w:eastAsia="Times New Roman" w:cs="Arial"/>
          <w:i/>
          <w:color w:val="auto"/>
          <w:highlight w:val="yellow"/>
        </w:rPr>
        <w:t xml:space="preserve"> Finance Appendix of</w:t>
      </w:r>
      <w:r w:rsidRPr="00656477">
        <w:rPr>
          <w:rFonts w:eastAsia="Times New Roman" w:cs="Arial"/>
          <w:i/>
          <w:color w:val="auto"/>
          <w:highlight w:val="yellow"/>
        </w:rPr>
        <w:t xml:space="preserve"> master Agreement</w:t>
      </w:r>
      <w:r w:rsidRPr="00656477">
        <w:rPr>
          <w:rFonts w:eastAsia="Times New Roman" w:cs="Arial"/>
          <w:color w:val="auto"/>
          <w:highlight w:val="yellow"/>
        </w:rPr>
        <w:t>]:</w:t>
      </w:r>
    </w:p>
    <w:p w14:paraId="2AEF22F7" w14:textId="5193929A" w:rsidR="00304B94" w:rsidRPr="00CF1CA1" w:rsidRDefault="00304B94" w:rsidP="00304B94">
      <w:pPr>
        <w:numPr>
          <w:ilvl w:val="0"/>
          <w:numId w:val="3"/>
        </w:numPr>
        <w:tabs>
          <w:tab w:val="clear" w:pos="567"/>
          <w:tab w:val="clear" w:pos="1418"/>
          <w:tab w:val="clear" w:pos="1843"/>
        </w:tabs>
        <w:spacing w:after="0"/>
        <w:rPr>
          <w:rFonts w:eastAsia="Times New Roman"/>
          <w:i/>
          <w:color w:val="FF0000"/>
          <w:highlight w:val="yellow"/>
        </w:rPr>
      </w:pPr>
      <w:r w:rsidRPr="00656477">
        <w:rPr>
          <w:rFonts w:eastAsia="Times New Roman" w:cs="Arial"/>
          <w:i/>
          <w:color w:val="auto"/>
          <w:highlight w:val="yellow"/>
        </w:rPr>
        <w:t xml:space="preserve">This </w:t>
      </w:r>
      <w:r w:rsidR="003C12F6" w:rsidRPr="00656477">
        <w:rPr>
          <w:rFonts w:eastAsia="Times New Roman" w:cs="Arial"/>
          <w:i/>
          <w:color w:val="auto"/>
          <w:highlight w:val="yellow"/>
        </w:rPr>
        <w:t>F</w:t>
      </w:r>
      <w:r w:rsidRPr="00656477">
        <w:rPr>
          <w:rFonts w:eastAsia="Times New Roman" w:cs="Arial"/>
          <w:i/>
          <w:color w:val="auto"/>
          <w:highlight w:val="yellow"/>
        </w:rPr>
        <w:t xml:space="preserve">inance </w:t>
      </w:r>
      <w:r w:rsidR="003C12F6" w:rsidRPr="00656477">
        <w:rPr>
          <w:rFonts w:eastAsia="Times New Roman" w:cs="Arial"/>
          <w:i/>
          <w:color w:val="auto"/>
          <w:highlight w:val="yellow"/>
        </w:rPr>
        <w:t>Schedule</w:t>
      </w:r>
      <w:r w:rsidRPr="00656477">
        <w:rPr>
          <w:rFonts w:eastAsia="Times New Roman" w:cs="Arial"/>
          <w:i/>
          <w:color w:val="auto"/>
          <w:highlight w:val="yellow"/>
        </w:rPr>
        <w:t xml:space="preserve"> is to be inserted into the </w:t>
      </w:r>
      <w:r w:rsidR="003C12F6" w:rsidRPr="00656477">
        <w:rPr>
          <w:rFonts w:eastAsia="Times New Roman" w:cs="Arial"/>
          <w:i/>
          <w:color w:val="auto"/>
          <w:highlight w:val="yellow"/>
        </w:rPr>
        <w:t xml:space="preserve">Finance Appendix of the </w:t>
      </w:r>
      <w:r w:rsidR="00444C20" w:rsidRPr="00656477">
        <w:rPr>
          <w:rFonts w:eastAsia="Times New Roman" w:cs="Arial"/>
          <w:i/>
          <w:color w:val="auto"/>
          <w:highlight w:val="yellow"/>
        </w:rPr>
        <w:t xml:space="preserve">relevant UK master commercial </w:t>
      </w:r>
      <w:r w:rsidR="00B73136" w:rsidRPr="00656477">
        <w:rPr>
          <w:rFonts w:eastAsia="Times New Roman" w:cs="Arial"/>
          <w:i/>
          <w:color w:val="auto"/>
          <w:highlight w:val="yellow"/>
        </w:rPr>
        <w:t>a</w:t>
      </w:r>
      <w:r w:rsidR="00444C20" w:rsidRPr="00656477">
        <w:rPr>
          <w:rFonts w:eastAsia="Times New Roman" w:cs="Arial"/>
          <w:i/>
          <w:color w:val="auto"/>
          <w:highlight w:val="yellow"/>
        </w:rPr>
        <w:t>greement</w:t>
      </w:r>
      <w:r w:rsidRPr="00656477">
        <w:rPr>
          <w:rFonts w:eastAsia="Times New Roman" w:cs="Arial"/>
          <w:i/>
          <w:color w:val="auto"/>
          <w:highlight w:val="yellow"/>
        </w:rPr>
        <w:t xml:space="preserve">.  The UK master agreement templates can be accessed </w:t>
      </w:r>
      <w:r w:rsidR="000A78B3">
        <w:rPr>
          <w:rFonts w:eastAsia="Times New Roman" w:cs="Arial"/>
          <w:i/>
          <w:color w:val="auto"/>
          <w:highlight w:val="yellow"/>
        </w:rPr>
        <w:t xml:space="preserve">in </w:t>
      </w:r>
      <w:hyperlink r:id="rId7" w:anchor="Contracts-Agreements" w:history="1">
        <w:r w:rsidR="000A78B3" w:rsidRPr="000A78B3">
          <w:rPr>
            <w:rStyle w:val="Hyperlink"/>
            <w:rFonts w:eastAsia="Times New Roman" w:cs="Arial"/>
            <w:i/>
            <w:highlight w:val="yellow"/>
          </w:rPr>
          <w:t>IRAS Help</w:t>
        </w:r>
      </w:hyperlink>
      <w:r w:rsidR="000A78B3">
        <w:rPr>
          <w:rFonts w:eastAsia="Times New Roman" w:cs="Arial"/>
          <w:i/>
          <w:color w:val="auto"/>
          <w:highlight w:val="yellow"/>
        </w:rPr>
        <w:t>.</w:t>
      </w:r>
      <w:r w:rsidRPr="00656477">
        <w:rPr>
          <w:rFonts w:eastAsia="Times New Roman" w:cs="Arial"/>
          <w:i/>
          <w:color w:val="auto"/>
          <w:highlight w:val="yellow"/>
        </w:rPr>
        <w:t xml:space="preserve"> </w:t>
      </w:r>
    </w:p>
    <w:p w14:paraId="020697EF" w14:textId="6FE5A1D1" w:rsidR="00304B94" w:rsidRPr="00656477" w:rsidRDefault="00304B94" w:rsidP="00304B94">
      <w:pPr>
        <w:numPr>
          <w:ilvl w:val="0"/>
          <w:numId w:val="3"/>
        </w:numPr>
        <w:tabs>
          <w:tab w:val="clear" w:pos="567"/>
          <w:tab w:val="clear" w:pos="1418"/>
          <w:tab w:val="clear" w:pos="1843"/>
        </w:tabs>
        <w:spacing w:after="0" w:line="276" w:lineRule="auto"/>
        <w:rPr>
          <w:rFonts w:eastAsia="Times New Roman"/>
          <w:i/>
          <w:color w:val="auto"/>
          <w:highlight w:val="yellow"/>
        </w:rPr>
      </w:pPr>
      <w:r w:rsidRPr="00656477">
        <w:rPr>
          <w:rFonts w:eastAsia="Times New Roman" w:cs="Arial"/>
          <w:i/>
          <w:color w:val="auto"/>
          <w:highlight w:val="yellow"/>
        </w:rPr>
        <w:t xml:space="preserve">The </w:t>
      </w:r>
      <w:r w:rsidR="00417056" w:rsidRPr="00656477">
        <w:rPr>
          <w:rFonts w:eastAsia="Times New Roman" w:cs="Arial"/>
          <w:i/>
          <w:color w:val="auto"/>
          <w:highlight w:val="yellow"/>
        </w:rPr>
        <w:t>Finance Schedule</w:t>
      </w:r>
      <w:r w:rsidRPr="00656477">
        <w:rPr>
          <w:rFonts w:eastAsia="Times New Roman" w:cs="Arial"/>
          <w:i/>
          <w:color w:val="auto"/>
          <w:highlight w:val="yellow"/>
        </w:rPr>
        <w:t xml:space="preserve"> is intended for use with all UK commercial master agreements for use in the NHS across the UK, including in Health and Social Care (HSC) in Northern Ireland.</w:t>
      </w:r>
    </w:p>
    <w:p w14:paraId="49F2A16F" w14:textId="40FCCF68" w:rsidR="00304B94" w:rsidRPr="00656477" w:rsidRDefault="00304B94" w:rsidP="00304B94">
      <w:pPr>
        <w:numPr>
          <w:ilvl w:val="0"/>
          <w:numId w:val="3"/>
        </w:numPr>
        <w:tabs>
          <w:tab w:val="clear" w:pos="567"/>
          <w:tab w:val="clear" w:pos="1418"/>
          <w:tab w:val="clear" w:pos="1843"/>
        </w:tabs>
        <w:spacing w:after="0" w:line="276" w:lineRule="auto"/>
        <w:rPr>
          <w:rFonts w:eastAsia="Times New Roman"/>
          <w:i/>
          <w:color w:val="auto"/>
          <w:highlight w:val="yellow"/>
        </w:rPr>
      </w:pPr>
      <w:r w:rsidRPr="00656477">
        <w:rPr>
          <w:rFonts w:eastAsia="Times New Roman" w:cs="Arial"/>
          <w:i/>
          <w:color w:val="auto"/>
          <w:highlight w:val="yellow"/>
        </w:rPr>
        <w:t xml:space="preserve">The </w:t>
      </w:r>
      <w:r w:rsidR="00417056" w:rsidRPr="00656477">
        <w:rPr>
          <w:rFonts w:eastAsia="Times New Roman" w:cs="Arial"/>
          <w:i/>
          <w:color w:val="auto"/>
          <w:highlight w:val="yellow"/>
        </w:rPr>
        <w:t>Finance Schedule</w:t>
      </w:r>
      <w:r w:rsidRPr="00656477">
        <w:rPr>
          <w:rFonts w:eastAsia="Times New Roman" w:cs="Arial"/>
          <w:i/>
          <w:color w:val="auto"/>
          <w:highlight w:val="yellow"/>
        </w:rPr>
        <w:t xml:space="preserve"> is generated by the interactive Costing Tool (</w:t>
      </w:r>
      <w:proofErr w:type="spellStart"/>
      <w:r w:rsidRPr="00656477">
        <w:rPr>
          <w:rFonts w:eastAsia="Times New Roman" w:cs="Arial"/>
          <w:i/>
          <w:color w:val="auto"/>
          <w:highlight w:val="yellow"/>
        </w:rPr>
        <w:t>iCT</w:t>
      </w:r>
      <w:proofErr w:type="spellEnd"/>
      <w:r w:rsidRPr="00656477">
        <w:rPr>
          <w:rFonts w:eastAsia="Times New Roman" w:cs="Arial"/>
          <w:i/>
          <w:color w:val="auto"/>
          <w:highlight w:val="yellow"/>
        </w:rPr>
        <w:t xml:space="preserve">), following completion of the </w:t>
      </w:r>
      <w:proofErr w:type="spellStart"/>
      <w:r w:rsidR="006E541C" w:rsidRPr="00656477">
        <w:rPr>
          <w:rFonts w:eastAsia="Times New Roman" w:cs="Arial"/>
          <w:i/>
          <w:color w:val="auto"/>
          <w:highlight w:val="yellow"/>
        </w:rPr>
        <w:t>iCT</w:t>
      </w:r>
      <w:proofErr w:type="spellEnd"/>
      <w:r w:rsidR="006E541C" w:rsidRPr="00656477">
        <w:rPr>
          <w:rFonts w:eastAsia="Times New Roman" w:cs="Arial"/>
          <w:i/>
          <w:color w:val="auto"/>
          <w:highlight w:val="yellow"/>
        </w:rPr>
        <w:t xml:space="preserve"> study resource review</w:t>
      </w:r>
      <w:r w:rsidR="00607703" w:rsidRPr="00656477">
        <w:rPr>
          <w:rFonts w:eastAsia="Times New Roman" w:cs="Arial"/>
          <w:i/>
          <w:color w:val="auto"/>
          <w:highlight w:val="yellow"/>
        </w:rPr>
        <w:t xml:space="preserve">, </w:t>
      </w:r>
      <w:r w:rsidRPr="00656477">
        <w:rPr>
          <w:rFonts w:eastAsia="Times New Roman" w:cs="Arial"/>
          <w:i/>
          <w:color w:val="auto"/>
          <w:highlight w:val="yellow"/>
        </w:rPr>
        <w:t xml:space="preserve">release of </w:t>
      </w:r>
      <w:proofErr w:type="spellStart"/>
      <w:r w:rsidRPr="00656477">
        <w:rPr>
          <w:rFonts w:eastAsia="Times New Roman" w:cs="Arial"/>
          <w:i/>
          <w:color w:val="auto"/>
          <w:highlight w:val="yellow"/>
        </w:rPr>
        <w:t>iCT</w:t>
      </w:r>
      <w:proofErr w:type="spellEnd"/>
      <w:r w:rsidRPr="00656477">
        <w:rPr>
          <w:rFonts w:eastAsia="Times New Roman" w:cs="Arial"/>
          <w:i/>
          <w:color w:val="auto"/>
          <w:highlight w:val="yellow"/>
        </w:rPr>
        <w:t xml:space="preserve"> to </w:t>
      </w:r>
      <w:r w:rsidR="006E541C" w:rsidRPr="00656477">
        <w:rPr>
          <w:rFonts w:eastAsia="Times New Roman" w:cs="Arial"/>
          <w:i/>
          <w:color w:val="auto"/>
          <w:highlight w:val="yellow"/>
        </w:rPr>
        <w:t>the Sponsor</w:t>
      </w:r>
      <w:r w:rsidR="00607703" w:rsidRPr="00656477">
        <w:rPr>
          <w:rFonts w:eastAsia="Times New Roman" w:cs="Arial"/>
          <w:i/>
          <w:color w:val="auto"/>
          <w:highlight w:val="yellow"/>
        </w:rPr>
        <w:t xml:space="preserve"> and creation by the Sponsor of organisation level </w:t>
      </w:r>
      <w:proofErr w:type="spellStart"/>
      <w:r w:rsidR="00607703" w:rsidRPr="00656477">
        <w:rPr>
          <w:rFonts w:eastAsia="Times New Roman" w:cs="Arial"/>
          <w:i/>
          <w:color w:val="auto"/>
          <w:highlight w:val="yellow"/>
        </w:rPr>
        <w:t>iCTs</w:t>
      </w:r>
      <w:proofErr w:type="spellEnd"/>
      <w:r w:rsidRPr="00656477">
        <w:rPr>
          <w:rFonts w:eastAsia="Times New Roman" w:cs="Arial"/>
          <w:i/>
          <w:color w:val="auto"/>
          <w:highlight w:val="yellow"/>
        </w:rPr>
        <w:t>.</w:t>
      </w:r>
    </w:p>
    <w:p w14:paraId="3130CFA6" w14:textId="04ECD059" w:rsidR="009F208C" w:rsidRPr="00614C6A" w:rsidRDefault="004F7A8C" w:rsidP="00304B94">
      <w:pPr>
        <w:numPr>
          <w:ilvl w:val="0"/>
          <w:numId w:val="3"/>
        </w:numPr>
        <w:tabs>
          <w:tab w:val="clear" w:pos="567"/>
          <w:tab w:val="clear" w:pos="1418"/>
          <w:tab w:val="clear" w:pos="1843"/>
        </w:tabs>
        <w:spacing w:after="0" w:line="276" w:lineRule="auto"/>
        <w:rPr>
          <w:rFonts w:eastAsia="Times New Roman"/>
          <w:i/>
          <w:color w:val="auto"/>
          <w:highlight w:val="yellow"/>
        </w:rPr>
      </w:pPr>
      <w:r w:rsidRPr="00656477">
        <w:rPr>
          <w:rFonts w:eastAsia="Times New Roman"/>
          <w:i/>
          <w:color w:val="auto"/>
          <w:highlight w:val="yellow"/>
        </w:rPr>
        <w:t>For studies that fall within scope of the National Con</w:t>
      </w:r>
      <w:r w:rsidR="00C92172">
        <w:rPr>
          <w:rFonts w:eastAsia="Times New Roman"/>
          <w:i/>
          <w:color w:val="auto"/>
          <w:highlight w:val="yellow"/>
        </w:rPr>
        <w:t>t</w:t>
      </w:r>
      <w:r w:rsidRPr="00656477">
        <w:rPr>
          <w:rFonts w:eastAsia="Times New Roman"/>
          <w:i/>
          <w:color w:val="auto"/>
          <w:highlight w:val="yellow"/>
        </w:rPr>
        <w:t>ra</w:t>
      </w:r>
      <w:r w:rsidR="00BD2949" w:rsidRPr="00656477">
        <w:rPr>
          <w:rFonts w:eastAsia="Times New Roman"/>
          <w:i/>
          <w:color w:val="auto"/>
          <w:highlight w:val="yellow"/>
        </w:rPr>
        <w:t xml:space="preserve">ct Value Review (NCVR) programme, modification of the </w:t>
      </w:r>
      <w:proofErr w:type="spellStart"/>
      <w:r w:rsidR="00BD2949" w:rsidRPr="00656477">
        <w:rPr>
          <w:rFonts w:eastAsia="Times New Roman"/>
          <w:i/>
          <w:color w:val="auto"/>
          <w:highlight w:val="yellow"/>
        </w:rPr>
        <w:t>iCT</w:t>
      </w:r>
      <w:proofErr w:type="spellEnd"/>
      <w:r w:rsidR="00BD2949" w:rsidRPr="00656477">
        <w:rPr>
          <w:rFonts w:eastAsia="Times New Roman"/>
          <w:i/>
          <w:color w:val="auto"/>
          <w:highlight w:val="yellow"/>
        </w:rPr>
        <w:t xml:space="preserve"> generated Fina</w:t>
      </w:r>
      <w:r w:rsidR="00BD2949" w:rsidRPr="00614C6A">
        <w:rPr>
          <w:rFonts w:eastAsia="Times New Roman"/>
          <w:i/>
          <w:color w:val="auto"/>
          <w:highlight w:val="yellow"/>
        </w:rPr>
        <w:t xml:space="preserve">nce Schedule is prohibited.  </w:t>
      </w:r>
      <w:r w:rsidR="000D1DB5" w:rsidRPr="00614C6A">
        <w:rPr>
          <w:rFonts w:eastAsia="Times New Roman"/>
          <w:i/>
          <w:color w:val="auto"/>
          <w:highlight w:val="yellow"/>
        </w:rPr>
        <w:t>Unmodified use is recommended in all cases.</w:t>
      </w:r>
    </w:p>
    <w:p w14:paraId="578DEA17" w14:textId="0F817922" w:rsidR="00304B94" w:rsidRPr="00CF1CA1" w:rsidRDefault="00304B94" w:rsidP="00584982">
      <w:pPr>
        <w:numPr>
          <w:ilvl w:val="0"/>
          <w:numId w:val="3"/>
        </w:numPr>
        <w:tabs>
          <w:tab w:val="clear" w:pos="567"/>
          <w:tab w:val="clear" w:pos="1418"/>
          <w:tab w:val="clear" w:pos="1843"/>
        </w:tabs>
        <w:spacing w:after="0" w:line="276" w:lineRule="auto"/>
        <w:rPr>
          <w:rFonts w:eastAsia="Times New Roman"/>
          <w:i/>
          <w:color w:val="FF0000"/>
          <w:highlight w:val="yellow"/>
        </w:rPr>
      </w:pPr>
      <w:r w:rsidRPr="00614C6A">
        <w:rPr>
          <w:rFonts w:eastAsia="Times New Roman" w:cs="Arial"/>
          <w:i/>
          <w:color w:val="auto"/>
          <w:highlight w:val="yellow"/>
        </w:rPr>
        <w:t xml:space="preserve">Any suggestions for improvements can be shared through </w:t>
      </w:r>
      <w:r w:rsidRPr="00656477">
        <w:rPr>
          <w:rFonts w:eastAsia="Times New Roman" w:cs="Arial"/>
          <w:i/>
          <w:color w:val="auto"/>
          <w:highlight w:val="yellow"/>
        </w:rPr>
        <w:t xml:space="preserve">the online feedback form underneath the </w:t>
      </w:r>
      <w:r w:rsidR="00584982">
        <w:rPr>
          <w:rFonts w:eastAsia="Times New Roman" w:cs="Arial"/>
          <w:i/>
          <w:color w:val="auto"/>
          <w:highlight w:val="yellow"/>
        </w:rPr>
        <w:t>functionality updates</w:t>
      </w:r>
      <w:r w:rsidRPr="00656477">
        <w:rPr>
          <w:rFonts w:eastAsia="Times New Roman" w:cs="Arial"/>
          <w:i/>
          <w:color w:val="auto"/>
          <w:highlight w:val="yellow"/>
        </w:rPr>
        <w:t xml:space="preserve"> section of </w:t>
      </w:r>
      <w:r w:rsidRPr="000A78B3">
        <w:rPr>
          <w:rFonts w:eastAsia="Times New Roman" w:cs="Arial"/>
          <w:i/>
          <w:color w:val="auto"/>
          <w:highlight w:val="yellow"/>
        </w:rPr>
        <w:t xml:space="preserve">our </w:t>
      </w:r>
      <w:hyperlink r:id="rId8" w:history="1">
        <w:r w:rsidR="00584982" w:rsidRPr="000A78B3">
          <w:rPr>
            <w:rStyle w:val="Hyperlink"/>
            <w:rFonts w:eastAsia="Times New Roman" w:cs="Arial"/>
            <w:i/>
            <w:highlight w:val="yellow"/>
          </w:rPr>
          <w:t>interactive Costing Tool (</w:t>
        </w:r>
        <w:proofErr w:type="spellStart"/>
        <w:r w:rsidR="00584982" w:rsidRPr="000A78B3">
          <w:rPr>
            <w:rStyle w:val="Hyperlink"/>
            <w:rFonts w:eastAsia="Times New Roman" w:cs="Arial"/>
            <w:i/>
            <w:highlight w:val="yellow"/>
          </w:rPr>
          <w:t>iCT</w:t>
        </w:r>
        <w:proofErr w:type="spellEnd"/>
        <w:r w:rsidR="00584982" w:rsidRPr="000A78B3">
          <w:rPr>
            <w:rStyle w:val="Hyperlink"/>
            <w:rFonts w:eastAsia="Times New Roman" w:cs="Arial"/>
            <w:i/>
            <w:highlight w:val="yellow"/>
          </w:rPr>
          <w:t>): Getting started</w:t>
        </w:r>
        <w:r w:rsidRPr="000A78B3">
          <w:rPr>
            <w:rStyle w:val="Hyperlink"/>
            <w:rFonts w:eastAsia="Times New Roman" w:cs="Arial"/>
            <w:i/>
            <w:highlight w:val="yellow"/>
          </w:rPr>
          <w:t xml:space="preserve"> webpage</w:t>
        </w:r>
      </w:hyperlink>
      <w:r w:rsidR="00584982">
        <w:rPr>
          <w:rFonts w:eastAsia="Times New Roman" w:cs="Arial"/>
          <w:i/>
          <w:color w:val="auto"/>
          <w:highlight w:val="yellow"/>
        </w:rPr>
        <w:t>:</w:t>
      </w:r>
      <w:r w:rsidRPr="00656477">
        <w:rPr>
          <w:rFonts w:eastAsia="Times New Roman" w:cs="Arial"/>
          <w:i/>
          <w:color w:val="auto"/>
          <w:highlight w:val="yellow"/>
        </w:rPr>
        <w:t xml:space="preserve"> </w:t>
      </w:r>
    </w:p>
    <w:p w14:paraId="7A5A5263" w14:textId="77777777" w:rsidR="00304B94" w:rsidRPr="00970867" w:rsidRDefault="00304B94" w:rsidP="00304B94">
      <w:pPr>
        <w:spacing w:after="0"/>
        <w:rPr>
          <w:rFonts w:eastAsia="Arial" w:cs="Arial"/>
          <w:b/>
          <w:color w:val="FF0000"/>
        </w:rPr>
      </w:pPr>
    </w:p>
    <w:p w14:paraId="2DE12A50" w14:textId="77777777" w:rsidR="002D5C48" w:rsidRPr="0010309D" w:rsidRDefault="002D5C48" w:rsidP="002D5C4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rPr>
          <w:b/>
          <w:color w:val="000000"/>
        </w:rPr>
      </w:pPr>
      <w:r>
        <w:rPr>
          <w:rFonts w:eastAsia="Arial" w:cs="Arial"/>
          <w:b/>
          <w:color w:val="000000"/>
        </w:rPr>
        <w:t xml:space="preserve">Set-up, Management and Close-Down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432"/>
      </w:tblGrid>
      <w:tr w:rsidR="002D5C48" w14:paraId="6C2FDAD4" w14:textId="77777777" w:rsidTr="00DD0E48">
        <w:tc>
          <w:tcPr>
            <w:tcW w:w="4584" w:type="dxa"/>
          </w:tcPr>
          <w:p w14:paraId="3221075F" w14:textId="77777777" w:rsidR="002D5C48" w:rsidRDefault="002D5C48" w:rsidP="00DD0E48">
            <w:r>
              <w:rPr>
                <w:b/>
              </w:rPr>
              <w:t>Task Breakdown</w:t>
            </w:r>
          </w:p>
        </w:tc>
        <w:tc>
          <w:tcPr>
            <w:tcW w:w="4432" w:type="dxa"/>
          </w:tcPr>
          <w:p w14:paraId="382485DA" w14:textId="77777777" w:rsidR="002D5C48" w:rsidRDefault="002D5C48" w:rsidP="00DD0E48">
            <w:pPr>
              <w:jc w:val="right"/>
            </w:pPr>
            <w:r>
              <w:rPr>
                <w:b/>
              </w:rPr>
              <w:t>Total Value (inclusive of all overheads and Trial Site Multipliers)</w:t>
            </w:r>
          </w:p>
        </w:tc>
      </w:tr>
      <w:tr w:rsidR="002D5C48" w14:paraId="7AD83E7E" w14:textId="77777777" w:rsidTr="00DD0E48">
        <w:tc>
          <w:tcPr>
            <w:tcW w:w="4584" w:type="dxa"/>
          </w:tcPr>
          <w:p w14:paraId="02EAE0AB" w14:textId="77777777" w:rsidR="002D5C48" w:rsidRDefault="002D5C48" w:rsidP="00DD0E48">
            <w:r>
              <w:t>R&amp;D fee</w:t>
            </w:r>
          </w:p>
        </w:tc>
        <w:tc>
          <w:tcPr>
            <w:tcW w:w="4432" w:type="dxa"/>
          </w:tcPr>
          <w:p w14:paraId="07B9B819" w14:textId="77777777" w:rsidR="002D5C48" w:rsidRDefault="002D5C48" w:rsidP="00DD0E48">
            <w:pPr>
              <w:jc w:val="right"/>
            </w:pPr>
            <w:r>
              <w:t>£2921</w:t>
            </w:r>
          </w:p>
        </w:tc>
      </w:tr>
      <w:tr w:rsidR="002D5C48" w14:paraId="7C31D2BB" w14:textId="77777777" w:rsidTr="00DD0E48">
        <w:tc>
          <w:tcPr>
            <w:tcW w:w="4584" w:type="dxa"/>
          </w:tcPr>
          <w:p w14:paraId="54E26D6F" w14:textId="77777777" w:rsidR="002D5C48" w:rsidRDefault="002D5C48" w:rsidP="00DD0E48">
            <w:r>
              <w:t>Medical Records Dept Set Up Fee</w:t>
            </w:r>
          </w:p>
        </w:tc>
        <w:tc>
          <w:tcPr>
            <w:tcW w:w="4432" w:type="dxa"/>
          </w:tcPr>
          <w:p w14:paraId="0D8D2E31" w14:textId="77777777" w:rsidR="002D5C48" w:rsidRDefault="002D5C48" w:rsidP="00DD0E48">
            <w:pPr>
              <w:jc w:val="right"/>
            </w:pPr>
            <w:r>
              <w:t>£310</w:t>
            </w:r>
          </w:p>
        </w:tc>
      </w:tr>
      <w:tr w:rsidR="002D5C48" w14:paraId="4422591A" w14:textId="77777777" w:rsidTr="00DD0E48">
        <w:tc>
          <w:tcPr>
            <w:tcW w:w="4584" w:type="dxa"/>
          </w:tcPr>
          <w:p w14:paraId="1E6E5456" w14:textId="77777777" w:rsidR="002D5C48" w:rsidRDefault="002D5C48" w:rsidP="00DD0E48">
            <w:r>
              <w:t>Pathology Dept Set Up Fee</w:t>
            </w:r>
          </w:p>
        </w:tc>
        <w:tc>
          <w:tcPr>
            <w:tcW w:w="4432" w:type="dxa"/>
          </w:tcPr>
          <w:p w14:paraId="09A61939" w14:textId="77777777" w:rsidR="002D5C48" w:rsidRDefault="002D5C48" w:rsidP="00DD0E48">
            <w:pPr>
              <w:jc w:val="right"/>
            </w:pPr>
            <w:r>
              <w:t>£310</w:t>
            </w:r>
          </w:p>
        </w:tc>
      </w:tr>
      <w:tr w:rsidR="002D5C48" w14:paraId="441F5389" w14:textId="77777777" w:rsidTr="00DD0E48">
        <w:tc>
          <w:tcPr>
            <w:tcW w:w="4584" w:type="dxa"/>
          </w:tcPr>
          <w:p w14:paraId="74C11987" w14:textId="77777777" w:rsidR="002D5C48" w:rsidRDefault="002D5C48" w:rsidP="00DD0E48">
            <w:r>
              <w:t>Archiving fee (per box)</w:t>
            </w:r>
          </w:p>
        </w:tc>
        <w:tc>
          <w:tcPr>
            <w:tcW w:w="4432" w:type="dxa"/>
          </w:tcPr>
          <w:p w14:paraId="2EFD3D24" w14:textId="77777777" w:rsidR="002D5C48" w:rsidRDefault="002D5C48" w:rsidP="00DD0E48">
            <w:pPr>
              <w:jc w:val="right"/>
            </w:pPr>
            <w:r>
              <w:t>£619</w:t>
            </w:r>
          </w:p>
        </w:tc>
      </w:tr>
      <w:tr w:rsidR="002D5C48" w14:paraId="5D95A40A" w14:textId="77777777" w:rsidTr="00DD0E48">
        <w:tc>
          <w:tcPr>
            <w:tcW w:w="4584" w:type="dxa"/>
          </w:tcPr>
          <w:p w14:paraId="00D49739" w14:textId="77777777" w:rsidR="002D5C48" w:rsidRDefault="002D5C48" w:rsidP="00DD0E48">
            <w:r>
              <w:t>Clinical Research Facility set-up fee (only chargeable when specialist CRF is required for trial conduct or Sponsor has chosen to use facilities for potential study benefits)</w:t>
            </w:r>
          </w:p>
        </w:tc>
        <w:tc>
          <w:tcPr>
            <w:tcW w:w="4432" w:type="dxa"/>
          </w:tcPr>
          <w:p w14:paraId="76BA211F" w14:textId="77777777" w:rsidR="002D5C48" w:rsidRDefault="002D5C48" w:rsidP="00DD0E48">
            <w:pPr>
              <w:jc w:val="right"/>
            </w:pPr>
            <w:r>
              <w:t>£3505</w:t>
            </w:r>
          </w:p>
        </w:tc>
      </w:tr>
      <w:tr w:rsidR="002D5C48" w14:paraId="28B9A759" w14:textId="77777777" w:rsidTr="00DD0E48">
        <w:tc>
          <w:tcPr>
            <w:tcW w:w="4584" w:type="dxa"/>
          </w:tcPr>
          <w:p w14:paraId="50C2E9BA" w14:textId="77777777" w:rsidR="002D5C48" w:rsidRDefault="002D5C48" w:rsidP="00DD0E48">
            <w:r>
              <w:t>Category A or B amendment fee (chargeable per amendment)</w:t>
            </w:r>
          </w:p>
        </w:tc>
        <w:tc>
          <w:tcPr>
            <w:tcW w:w="4432" w:type="dxa"/>
          </w:tcPr>
          <w:p w14:paraId="608D5318" w14:textId="77777777" w:rsidR="002D5C48" w:rsidRDefault="002D5C48" w:rsidP="00DD0E48">
            <w:pPr>
              <w:jc w:val="right"/>
            </w:pPr>
            <w:r>
              <w:t>£353</w:t>
            </w:r>
          </w:p>
        </w:tc>
      </w:tr>
      <w:tr w:rsidR="002D5C48" w14:paraId="457B98C7" w14:textId="77777777" w:rsidTr="00DD0E48">
        <w:tc>
          <w:tcPr>
            <w:tcW w:w="4584" w:type="dxa"/>
          </w:tcPr>
          <w:p w14:paraId="7555BCD2" w14:textId="77777777" w:rsidR="002D5C48" w:rsidRDefault="002D5C48" w:rsidP="00DD0E48">
            <w:r>
              <w:t xml:space="preserve">SIV Fixed Cost for 2 Medics @ 3 Hrs Each </w:t>
            </w:r>
          </w:p>
        </w:tc>
        <w:tc>
          <w:tcPr>
            <w:tcW w:w="4432" w:type="dxa"/>
          </w:tcPr>
          <w:p w14:paraId="7539CD08" w14:textId="77777777" w:rsidR="002D5C48" w:rsidRDefault="002D5C48" w:rsidP="00DD0E48">
            <w:pPr>
              <w:jc w:val="right"/>
            </w:pPr>
            <w:r>
              <w:t>£1290</w:t>
            </w:r>
          </w:p>
        </w:tc>
      </w:tr>
      <w:tr w:rsidR="002D5C48" w14:paraId="167F0DBA" w14:textId="77777777" w:rsidTr="00DD0E48">
        <w:tc>
          <w:tcPr>
            <w:tcW w:w="4584" w:type="dxa"/>
          </w:tcPr>
          <w:p w14:paraId="31A0E149" w14:textId="77777777" w:rsidR="002D5C48" w:rsidRDefault="002D5C48" w:rsidP="00DD0E48">
            <w:r>
              <w:lastRenderedPageBreak/>
              <w:t xml:space="preserve">SIV for 6 Nurses @ 3hrs Each + 2 Nurses @ 5 Hrs Each to cover for coordination time </w:t>
            </w:r>
          </w:p>
        </w:tc>
        <w:tc>
          <w:tcPr>
            <w:tcW w:w="4432" w:type="dxa"/>
          </w:tcPr>
          <w:p w14:paraId="03EF82F1" w14:textId="77777777" w:rsidR="002D5C48" w:rsidRDefault="002D5C48" w:rsidP="00DD0E48">
            <w:pPr>
              <w:jc w:val="right"/>
            </w:pPr>
            <w:r>
              <w:t>£2552</w:t>
            </w:r>
          </w:p>
        </w:tc>
      </w:tr>
      <w:tr w:rsidR="002D5C48" w14:paraId="68C63209" w14:textId="77777777" w:rsidTr="00DD0E48">
        <w:tc>
          <w:tcPr>
            <w:tcW w:w="4584" w:type="dxa"/>
          </w:tcPr>
          <w:p w14:paraId="233E5890" w14:textId="77777777" w:rsidR="002D5C48" w:rsidRDefault="002D5C48" w:rsidP="00DD0E48">
            <w:r>
              <w:t>Monitoring Fee (per hour per non-medical staff member)</w:t>
            </w:r>
          </w:p>
        </w:tc>
        <w:tc>
          <w:tcPr>
            <w:tcW w:w="4432" w:type="dxa"/>
          </w:tcPr>
          <w:p w14:paraId="29D8446F" w14:textId="77777777" w:rsidR="002D5C48" w:rsidRDefault="002D5C48" w:rsidP="00DD0E48">
            <w:pPr>
              <w:jc w:val="right"/>
            </w:pPr>
            <w:r>
              <w:t>£91</w:t>
            </w:r>
          </w:p>
        </w:tc>
      </w:tr>
      <w:tr w:rsidR="002D5C48" w14:paraId="34BED17E" w14:textId="77777777" w:rsidTr="00DD0E48">
        <w:tc>
          <w:tcPr>
            <w:tcW w:w="4584" w:type="dxa"/>
          </w:tcPr>
          <w:p w14:paraId="167A69B3" w14:textId="77777777" w:rsidR="002D5C48" w:rsidRDefault="002D5C48" w:rsidP="00DD0E48">
            <w:r>
              <w:t>Maximum patient travel costs per visit</w:t>
            </w:r>
          </w:p>
        </w:tc>
        <w:tc>
          <w:tcPr>
            <w:tcW w:w="4432" w:type="dxa"/>
          </w:tcPr>
          <w:p w14:paraId="7135B71D" w14:textId="77777777" w:rsidR="002D5C48" w:rsidRDefault="002D5C48" w:rsidP="00DD0E48">
            <w:pPr>
              <w:jc w:val="right"/>
            </w:pPr>
            <w:r>
              <w:t>£117</w:t>
            </w:r>
          </w:p>
        </w:tc>
      </w:tr>
      <w:tr w:rsidR="002D5C48" w14:paraId="5F6F0A19" w14:textId="77777777" w:rsidTr="00DD0E48">
        <w:tc>
          <w:tcPr>
            <w:tcW w:w="4584" w:type="dxa"/>
          </w:tcPr>
          <w:p w14:paraId="17778F4A" w14:textId="77777777" w:rsidR="002D5C48" w:rsidRDefault="002D5C48" w:rsidP="00DD0E48">
            <w:r>
              <w:t>Refreshments for Patients (applicable for visits lasting over 3 hours)</w:t>
            </w:r>
          </w:p>
        </w:tc>
        <w:tc>
          <w:tcPr>
            <w:tcW w:w="4432" w:type="dxa"/>
          </w:tcPr>
          <w:p w14:paraId="60C0CC6B" w14:textId="77777777" w:rsidR="002D5C48" w:rsidRDefault="002D5C48" w:rsidP="00DD0E48">
            <w:pPr>
              <w:jc w:val="right"/>
            </w:pPr>
            <w:r>
              <w:t>£12</w:t>
            </w:r>
          </w:p>
        </w:tc>
      </w:tr>
      <w:tr w:rsidR="002D5C48" w14:paraId="57A803F9" w14:textId="77777777" w:rsidTr="00DD0E48">
        <w:tc>
          <w:tcPr>
            <w:tcW w:w="4584" w:type="dxa"/>
          </w:tcPr>
          <w:p w14:paraId="41E34A22" w14:textId="77777777" w:rsidR="002D5C48" w:rsidRDefault="002D5C48" w:rsidP="00DD0E48">
            <w:r>
              <w:t>Refreshments for Carers (applicable for visits lasting over 3 hours)</w:t>
            </w:r>
          </w:p>
        </w:tc>
        <w:tc>
          <w:tcPr>
            <w:tcW w:w="4432" w:type="dxa"/>
          </w:tcPr>
          <w:p w14:paraId="479FC727" w14:textId="77777777" w:rsidR="002D5C48" w:rsidRDefault="002D5C48" w:rsidP="00DD0E48">
            <w:pPr>
              <w:jc w:val="right"/>
            </w:pPr>
            <w:r>
              <w:t>£12</w:t>
            </w:r>
          </w:p>
        </w:tc>
      </w:tr>
      <w:tr w:rsidR="002D5C48" w14:paraId="1D7DDF80" w14:textId="77777777" w:rsidTr="00DD0E48">
        <w:tc>
          <w:tcPr>
            <w:tcW w:w="4584" w:type="dxa"/>
          </w:tcPr>
          <w:p w14:paraId="63AD5B5F" w14:textId="77777777" w:rsidR="002D5C48" w:rsidRDefault="002D5C48" w:rsidP="00DD0E48">
            <w:r>
              <w:t>IMP Management Fee per year per site (Annualised charge - pro rata as needed)</w:t>
            </w:r>
          </w:p>
        </w:tc>
        <w:tc>
          <w:tcPr>
            <w:tcW w:w="4432" w:type="dxa"/>
          </w:tcPr>
          <w:p w14:paraId="0C972547" w14:textId="77777777" w:rsidR="002D5C48" w:rsidRDefault="002D5C48" w:rsidP="00DD0E48">
            <w:pPr>
              <w:jc w:val="right"/>
            </w:pPr>
            <w:r>
              <w:t>£679</w:t>
            </w:r>
          </w:p>
        </w:tc>
      </w:tr>
      <w:tr w:rsidR="002D5C48" w14:paraId="79602BCE" w14:textId="77777777" w:rsidTr="00DD0E48">
        <w:tc>
          <w:tcPr>
            <w:tcW w:w="4584" w:type="dxa"/>
          </w:tcPr>
          <w:p w14:paraId="00F3E8A7" w14:textId="77777777" w:rsidR="002D5C48" w:rsidRDefault="002D5C48" w:rsidP="00DD0E48">
            <w:r>
              <w:t>A: Dispensary based dispensing only with no aseptic dispensing</w:t>
            </w:r>
          </w:p>
        </w:tc>
        <w:tc>
          <w:tcPr>
            <w:tcW w:w="4432" w:type="dxa"/>
          </w:tcPr>
          <w:p w14:paraId="2830F628" w14:textId="77777777" w:rsidR="002D5C48" w:rsidRDefault="002D5C48" w:rsidP="00DD0E48">
            <w:pPr>
              <w:jc w:val="right"/>
            </w:pPr>
            <w:r>
              <w:t>£2000</w:t>
            </w:r>
          </w:p>
        </w:tc>
      </w:tr>
      <w:tr w:rsidR="002D5C48" w14:paraId="720A24F6" w14:textId="77777777" w:rsidTr="00DD0E48">
        <w:tc>
          <w:tcPr>
            <w:tcW w:w="4584" w:type="dxa"/>
          </w:tcPr>
          <w:p w14:paraId="797D69EB" w14:textId="77777777" w:rsidR="002D5C48" w:rsidRDefault="002D5C48" w:rsidP="00DD0E48">
            <w:r>
              <w:t xml:space="preserve">Pharmacy Storage or disposal of all unused/expired medicines originally supplied by Sponsor. Chargeable if not collected within 1 month of the first request and to be paid per month quarterly in </w:t>
            </w:r>
            <w:proofErr w:type="spellStart"/>
            <w:r>
              <w:t>arrea</w:t>
            </w:r>
            <w:proofErr w:type="spellEnd"/>
          </w:p>
        </w:tc>
        <w:tc>
          <w:tcPr>
            <w:tcW w:w="4432" w:type="dxa"/>
          </w:tcPr>
          <w:p w14:paraId="5B554A24" w14:textId="77777777" w:rsidR="002D5C48" w:rsidRDefault="002D5C48" w:rsidP="00DD0E48">
            <w:pPr>
              <w:jc w:val="right"/>
            </w:pPr>
            <w:r>
              <w:t>£62</w:t>
            </w:r>
          </w:p>
        </w:tc>
      </w:tr>
      <w:tr w:rsidR="002D5C48" w14:paraId="51E16323" w14:textId="77777777" w:rsidTr="00DD0E48">
        <w:tc>
          <w:tcPr>
            <w:tcW w:w="4584" w:type="dxa"/>
          </w:tcPr>
          <w:p w14:paraId="0A38E210" w14:textId="77777777" w:rsidR="002D5C48" w:rsidRDefault="002D5C48" w:rsidP="00DD0E48">
            <w:r>
              <w:t>Receiving Shipment</w:t>
            </w:r>
          </w:p>
        </w:tc>
        <w:tc>
          <w:tcPr>
            <w:tcW w:w="4432" w:type="dxa"/>
          </w:tcPr>
          <w:p w14:paraId="43453A7B" w14:textId="77777777" w:rsidR="002D5C48" w:rsidRDefault="002D5C48" w:rsidP="00DD0E48">
            <w:pPr>
              <w:jc w:val="right"/>
            </w:pPr>
            <w:r>
              <w:t>£62</w:t>
            </w:r>
          </w:p>
        </w:tc>
      </w:tr>
      <w:tr w:rsidR="002D5C48" w14:paraId="5E06B789" w14:textId="77777777" w:rsidTr="00DD0E48">
        <w:tc>
          <w:tcPr>
            <w:tcW w:w="4584" w:type="dxa"/>
          </w:tcPr>
          <w:p w14:paraId="4EA5297A" w14:textId="77777777" w:rsidR="002D5C48" w:rsidRDefault="002D5C48" w:rsidP="00DD0E48">
            <w:r>
              <w:t xml:space="preserve">Waste disposal management </w:t>
            </w:r>
            <w:proofErr w:type="spellStart"/>
            <w:r>
              <w:t>inc</w:t>
            </w:r>
            <w:proofErr w:type="spellEnd"/>
            <w:r>
              <w:t xml:space="preserve"> paperwork, logs etc</w:t>
            </w:r>
          </w:p>
        </w:tc>
        <w:tc>
          <w:tcPr>
            <w:tcW w:w="4432" w:type="dxa"/>
          </w:tcPr>
          <w:p w14:paraId="31351F83" w14:textId="77777777" w:rsidR="002D5C48" w:rsidRDefault="002D5C48" w:rsidP="00DD0E48">
            <w:pPr>
              <w:jc w:val="right"/>
            </w:pPr>
            <w:r>
              <w:t>£50</w:t>
            </w:r>
          </w:p>
        </w:tc>
      </w:tr>
      <w:tr w:rsidR="002D5C48" w14:paraId="5E521118" w14:textId="77777777" w:rsidTr="00DD0E48">
        <w:tc>
          <w:tcPr>
            <w:tcW w:w="4584" w:type="dxa"/>
          </w:tcPr>
          <w:p w14:paraId="42BBDF88" w14:textId="77777777" w:rsidR="002D5C48" w:rsidRDefault="002D5C48" w:rsidP="00DD0E48">
            <w:r>
              <w:t>Waste disposal as hazardous waste per container or IMP destruction (per site charge as required)</w:t>
            </w:r>
          </w:p>
        </w:tc>
        <w:tc>
          <w:tcPr>
            <w:tcW w:w="4432" w:type="dxa"/>
          </w:tcPr>
          <w:p w14:paraId="3C7B394D" w14:textId="77777777" w:rsidR="002D5C48" w:rsidRDefault="002D5C48" w:rsidP="00DD0E48">
            <w:pPr>
              <w:jc w:val="right"/>
            </w:pPr>
            <w:r>
              <w:t>£30</w:t>
            </w:r>
          </w:p>
        </w:tc>
      </w:tr>
      <w:tr w:rsidR="002D5C48" w14:paraId="30E5F2C7" w14:textId="77777777" w:rsidTr="00DD0E48">
        <w:tc>
          <w:tcPr>
            <w:tcW w:w="4584" w:type="dxa"/>
          </w:tcPr>
          <w:p w14:paraId="0D66A28F" w14:textId="77777777" w:rsidR="002D5C48" w:rsidRDefault="002D5C48" w:rsidP="00DD0E48">
            <w:r>
              <w:t>IVRS/ study specific training as required by sponsor. Chargeable on an hourly rate.</w:t>
            </w:r>
          </w:p>
        </w:tc>
        <w:tc>
          <w:tcPr>
            <w:tcW w:w="4432" w:type="dxa"/>
          </w:tcPr>
          <w:p w14:paraId="3576FD73" w14:textId="77777777" w:rsidR="002D5C48" w:rsidRDefault="002D5C48" w:rsidP="00DD0E48">
            <w:pPr>
              <w:jc w:val="right"/>
            </w:pPr>
            <w:r>
              <w:t>£91</w:t>
            </w:r>
          </w:p>
        </w:tc>
      </w:tr>
      <w:tr w:rsidR="002D5C48" w14:paraId="34B724A7" w14:textId="77777777" w:rsidTr="00DD0E48">
        <w:tc>
          <w:tcPr>
            <w:tcW w:w="4584" w:type="dxa"/>
          </w:tcPr>
          <w:p w14:paraId="009F9982" w14:textId="77777777" w:rsidR="002D5C48" w:rsidRDefault="002D5C48" w:rsidP="00DD0E48">
            <w:r>
              <w:t>Ad Campaign fee – one off Fee</w:t>
            </w:r>
          </w:p>
        </w:tc>
        <w:tc>
          <w:tcPr>
            <w:tcW w:w="4432" w:type="dxa"/>
          </w:tcPr>
          <w:p w14:paraId="05D0C235" w14:textId="77777777" w:rsidR="002D5C48" w:rsidRDefault="002D5C48" w:rsidP="00DD0E48">
            <w:pPr>
              <w:jc w:val="right"/>
            </w:pPr>
            <w:r>
              <w:t>£2,500</w:t>
            </w:r>
          </w:p>
        </w:tc>
      </w:tr>
    </w:tbl>
    <w:p w14:paraId="7105DEE2" w14:textId="77777777" w:rsidR="002D5C48" w:rsidRPr="0010309D" w:rsidRDefault="002D5C48" w:rsidP="002D5C48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792"/>
        <w:rPr>
          <w:b/>
          <w:color w:val="000000"/>
        </w:rPr>
      </w:pPr>
    </w:p>
    <w:p w14:paraId="09447835" w14:textId="77777777" w:rsidR="002D5C48" w:rsidRPr="00084EBE" w:rsidRDefault="002D5C48" w:rsidP="002D5C4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rPr>
          <w:b/>
          <w:color w:val="000000"/>
        </w:rPr>
      </w:pPr>
      <w:r w:rsidRPr="0010309D">
        <w:rPr>
          <w:rFonts w:eastAsia="Arial" w:cs="Arial"/>
          <w:b/>
          <w:color w:val="000000"/>
        </w:rPr>
        <w:t xml:space="preserve">Clinical </w:t>
      </w:r>
      <w:r w:rsidRPr="0010309D">
        <w:rPr>
          <w:rFonts w:eastAsia="Arial" w:cs="Arial"/>
          <w:b/>
        </w:rPr>
        <w:t>Trial Participant Visit Fees</w:t>
      </w:r>
    </w:p>
    <w:p w14:paraId="22C43AEF" w14:textId="77777777" w:rsidR="002D5C48" w:rsidRDefault="002D5C48" w:rsidP="002D5C48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792"/>
        <w:rPr>
          <w:b/>
        </w:rPr>
      </w:pPr>
      <w:r>
        <w:rPr>
          <w:b/>
        </w:rPr>
        <w:t>Vaccination Phase 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2D5C48" w14:paraId="566DFE63" w14:textId="77777777" w:rsidTr="00DD0E48">
        <w:tc>
          <w:tcPr>
            <w:tcW w:w="4520" w:type="dxa"/>
          </w:tcPr>
          <w:p w14:paraId="5D15A6B5" w14:textId="77777777" w:rsidR="002D5C48" w:rsidRDefault="002D5C48" w:rsidP="00DD0E48">
            <w:r>
              <w:rPr>
                <w:b/>
              </w:rPr>
              <w:t>Visit</w:t>
            </w:r>
          </w:p>
        </w:tc>
        <w:tc>
          <w:tcPr>
            <w:tcW w:w="4496" w:type="dxa"/>
          </w:tcPr>
          <w:p w14:paraId="22A95D53" w14:textId="77777777" w:rsidR="002D5C48" w:rsidRDefault="002D5C48" w:rsidP="00DD0E48">
            <w:pPr>
              <w:jc w:val="right"/>
            </w:pPr>
            <w:r>
              <w:rPr>
                <w:b/>
              </w:rPr>
              <w:t>Payment</w:t>
            </w:r>
          </w:p>
        </w:tc>
      </w:tr>
      <w:tr w:rsidR="002D5C48" w14:paraId="0989E2CE" w14:textId="77777777" w:rsidTr="00DD0E48">
        <w:tc>
          <w:tcPr>
            <w:tcW w:w="4520" w:type="dxa"/>
          </w:tcPr>
          <w:p w14:paraId="54C4EF82" w14:textId="77777777" w:rsidR="002D5C48" w:rsidRDefault="002D5C48" w:rsidP="00DD0E48">
            <w:r>
              <w:lastRenderedPageBreak/>
              <w:t>Screening</w:t>
            </w:r>
          </w:p>
        </w:tc>
        <w:tc>
          <w:tcPr>
            <w:tcW w:w="4496" w:type="dxa"/>
          </w:tcPr>
          <w:p w14:paraId="22253C60" w14:textId="77777777" w:rsidR="002D5C48" w:rsidRDefault="002D5C48" w:rsidP="00DD0E48">
            <w:pPr>
              <w:jc w:val="right"/>
            </w:pPr>
            <w:r>
              <w:t>£1409</w:t>
            </w:r>
          </w:p>
        </w:tc>
      </w:tr>
      <w:tr w:rsidR="002D5C48" w14:paraId="1AACD894" w14:textId="77777777" w:rsidTr="00DD0E48">
        <w:tc>
          <w:tcPr>
            <w:tcW w:w="4520" w:type="dxa"/>
          </w:tcPr>
          <w:p w14:paraId="09CEA798" w14:textId="77777777" w:rsidR="002D5C48" w:rsidRDefault="002D5C48" w:rsidP="00DD0E48">
            <w:r>
              <w:t>D1 Baseline</w:t>
            </w:r>
          </w:p>
        </w:tc>
        <w:tc>
          <w:tcPr>
            <w:tcW w:w="4496" w:type="dxa"/>
          </w:tcPr>
          <w:p w14:paraId="580032E1" w14:textId="77777777" w:rsidR="002D5C48" w:rsidRDefault="002D5C48" w:rsidP="00DD0E48">
            <w:pPr>
              <w:jc w:val="right"/>
            </w:pPr>
            <w:r>
              <w:t>£1067</w:t>
            </w:r>
          </w:p>
        </w:tc>
      </w:tr>
      <w:tr w:rsidR="002D5C48" w14:paraId="5571C3F6" w14:textId="77777777" w:rsidTr="00DD0E48">
        <w:tc>
          <w:tcPr>
            <w:tcW w:w="4520" w:type="dxa"/>
          </w:tcPr>
          <w:p w14:paraId="73FD5C63" w14:textId="77777777" w:rsidR="002D5C48" w:rsidRDefault="002D5C48" w:rsidP="00DD0E48">
            <w:r>
              <w:t>Day 8</w:t>
            </w:r>
          </w:p>
        </w:tc>
        <w:tc>
          <w:tcPr>
            <w:tcW w:w="4496" w:type="dxa"/>
          </w:tcPr>
          <w:p w14:paraId="59CE2BC3" w14:textId="77777777" w:rsidR="002D5C48" w:rsidRDefault="002D5C48" w:rsidP="00DD0E48">
            <w:pPr>
              <w:jc w:val="right"/>
            </w:pPr>
            <w:r>
              <w:t>£326</w:t>
            </w:r>
          </w:p>
        </w:tc>
      </w:tr>
      <w:tr w:rsidR="002D5C48" w14:paraId="135C157A" w14:textId="77777777" w:rsidTr="00DD0E48">
        <w:tc>
          <w:tcPr>
            <w:tcW w:w="4520" w:type="dxa"/>
          </w:tcPr>
          <w:p w14:paraId="08779255" w14:textId="77777777" w:rsidR="002D5C48" w:rsidRDefault="002D5C48" w:rsidP="00DD0E48">
            <w:r>
              <w:t>Day 29</w:t>
            </w:r>
          </w:p>
        </w:tc>
        <w:tc>
          <w:tcPr>
            <w:tcW w:w="4496" w:type="dxa"/>
          </w:tcPr>
          <w:p w14:paraId="6E3571CF" w14:textId="77777777" w:rsidR="002D5C48" w:rsidRDefault="002D5C48" w:rsidP="00DD0E48">
            <w:pPr>
              <w:jc w:val="right"/>
            </w:pPr>
            <w:r>
              <w:t>£293</w:t>
            </w:r>
          </w:p>
        </w:tc>
      </w:tr>
      <w:tr w:rsidR="002D5C48" w14:paraId="2B77E7ED" w14:textId="77777777" w:rsidTr="00DD0E48">
        <w:tc>
          <w:tcPr>
            <w:tcW w:w="4520" w:type="dxa"/>
          </w:tcPr>
          <w:p w14:paraId="4EB0A5C9" w14:textId="77777777" w:rsidR="002D5C48" w:rsidRDefault="002D5C48" w:rsidP="00DD0E48">
            <w:r>
              <w:t>Day 57</w:t>
            </w:r>
          </w:p>
        </w:tc>
        <w:tc>
          <w:tcPr>
            <w:tcW w:w="4496" w:type="dxa"/>
          </w:tcPr>
          <w:p w14:paraId="69D50043" w14:textId="77777777" w:rsidR="002D5C48" w:rsidRDefault="002D5C48" w:rsidP="00DD0E48">
            <w:pPr>
              <w:jc w:val="right"/>
            </w:pPr>
            <w:r>
              <w:t>£816</w:t>
            </w:r>
          </w:p>
        </w:tc>
      </w:tr>
      <w:tr w:rsidR="002D5C48" w14:paraId="389A4AA3" w14:textId="77777777" w:rsidTr="00DD0E48">
        <w:tc>
          <w:tcPr>
            <w:tcW w:w="4520" w:type="dxa"/>
          </w:tcPr>
          <w:p w14:paraId="320943EB" w14:textId="77777777" w:rsidR="002D5C48" w:rsidRDefault="002D5C48" w:rsidP="00DD0E48">
            <w:r>
              <w:t>Day 64</w:t>
            </w:r>
          </w:p>
        </w:tc>
        <w:tc>
          <w:tcPr>
            <w:tcW w:w="4496" w:type="dxa"/>
          </w:tcPr>
          <w:p w14:paraId="287F5987" w14:textId="77777777" w:rsidR="002D5C48" w:rsidRDefault="002D5C48" w:rsidP="00DD0E48">
            <w:pPr>
              <w:jc w:val="right"/>
            </w:pPr>
            <w:r>
              <w:t>£326</w:t>
            </w:r>
          </w:p>
        </w:tc>
      </w:tr>
      <w:tr w:rsidR="002D5C48" w14:paraId="11E13877" w14:textId="77777777" w:rsidTr="00DD0E48">
        <w:tc>
          <w:tcPr>
            <w:tcW w:w="4520" w:type="dxa"/>
          </w:tcPr>
          <w:p w14:paraId="122E2AB5" w14:textId="77777777" w:rsidR="002D5C48" w:rsidRDefault="002D5C48" w:rsidP="00DD0E48">
            <w:r>
              <w:t>Day 85</w:t>
            </w:r>
          </w:p>
        </w:tc>
        <w:tc>
          <w:tcPr>
            <w:tcW w:w="4496" w:type="dxa"/>
          </w:tcPr>
          <w:p w14:paraId="10290CEA" w14:textId="77777777" w:rsidR="002D5C48" w:rsidRDefault="002D5C48" w:rsidP="00DD0E48">
            <w:pPr>
              <w:jc w:val="right"/>
            </w:pPr>
            <w:r>
              <w:t>£679</w:t>
            </w:r>
          </w:p>
        </w:tc>
      </w:tr>
      <w:tr w:rsidR="002D5C48" w14:paraId="468BFEE8" w14:textId="77777777" w:rsidTr="00DD0E48">
        <w:tc>
          <w:tcPr>
            <w:tcW w:w="4520" w:type="dxa"/>
          </w:tcPr>
          <w:p w14:paraId="083FDD57" w14:textId="77777777" w:rsidR="002D5C48" w:rsidRDefault="002D5C48" w:rsidP="00DD0E48">
            <w:r>
              <w:t>Day 113</w:t>
            </w:r>
          </w:p>
        </w:tc>
        <w:tc>
          <w:tcPr>
            <w:tcW w:w="4496" w:type="dxa"/>
          </w:tcPr>
          <w:p w14:paraId="151AF740" w14:textId="77777777" w:rsidR="002D5C48" w:rsidRDefault="002D5C48" w:rsidP="00DD0E48">
            <w:pPr>
              <w:jc w:val="right"/>
            </w:pPr>
            <w:r>
              <w:t>£293</w:t>
            </w:r>
          </w:p>
        </w:tc>
      </w:tr>
      <w:tr w:rsidR="002D5C48" w14:paraId="5F9025C8" w14:textId="77777777" w:rsidTr="00DD0E48">
        <w:tc>
          <w:tcPr>
            <w:tcW w:w="4520" w:type="dxa"/>
          </w:tcPr>
          <w:p w14:paraId="03BEEE04" w14:textId="77777777" w:rsidR="002D5C48" w:rsidRDefault="002D5C48" w:rsidP="00DD0E48">
            <w:r>
              <w:t>Day 141</w:t>
            </w:r>
          </w:p>
        </w:tc>
        <w:tc>
          <w:tcPr>
            <w:tcW w:w="4496" w:type="dxa"/>
          </w:tcPr>
          <w:p w14:paraId="4EBDB9DD" w14:textId="77777777" w:rsidR="002D5C48" w:rsidRDefault="002D5C48" w:rsidP="00DD0E48">
            <w:pPr>
              <w:jc w:val="right"/>
            </w:pPr>
            <w:r>
              <w:t>£293</w:t>
            </w:r>
          </w:p>
        </w:tc>
      </w:tr>
      <w:tr w:rsidR="002D5C48" w14:paraId="4568695B" w14:textId="77777777" w:rsidTr="00DD0E48">
        <w:tc>
          <w:tcPr>
            <w:tcW w:w="4520" w:type="dxa"/>
          </w:tcPr>
          <w:p w14:paraId="380642F9" w14:textId="77777777" w:rsidR="002D5C48" w:rsidRDefault="002D5C48" w:rsidP="00DD0E48">
            <w:r>
              <w:t>Day 169</w:t>
            </w:r>
          </w:p>
        </w:tc>
        <w:tc>
          <w:tcPr>
            <w:tcW w:w="4496" w:type="dxa"/>
          </w:tcPr>
          <w:p w14:paraId="634411B6" w14:textId="77777777" w:rsidR="002D5C48" w:rsidRDefault="002D5C48" w:rsidP="00DD0E48">
            <w:pPr>
              <w:jc w:val="right"/>
            </w:pPr>
            <w:r>
              <w:t>£816</w:t>
            </w:r>
          </w:p>
        </w:tc>
      </w:tr>
      <w:tr w:rsidR="002D5C48" w14:paraId="793FE13B" w14:textId="77777777" w:rsidTr="00DD0E48">
        <w:tc>
          <w:tcPr>
            <w:tcW w:w="4520" w:type="dxa"/>
          </w:tcPr>
          <w:p w14:paraId="519E93A9" w14:textId="77777777" w:rsidR="002D5C48" w:rsidRDefault="002D5C48" w:rsidP="00DD0E48">
            <w:r>
              <w:t>Day 176</w:t>
            </w:r>
          </w:p>
        </w:tc>
        <w:tc>
          <w:tcPr>
            <w:tcW w:w="4496" w:type="dxa"/>
          </w:tcPr>
          <w:p w14:paraId="4B939ECC" w14:textId="77777777" w:rsidR="002D5C48" w:rsidRDefault="002D5C48" w:rsidP="00DD0E48">
            <w:pPr>
              <w:jc w:val="right"/>
            </w:pPr>
            <w:r>
              <w:t>£326</w:t>
            </w:r>
          </w:p>
        </w:tc>
      </w:tr>
      <w:tr w:rsidR="002D5C48" w14:paraId="2090D674" w14:textId="77777777" w:rsidTr="00DD0E48">
        <w:tc>
          <w:tcPr>
            <w:tcW w:w="4520" w:type="dxa"/>
          </w:tcPr>
          <w:p w14:paraId="22B08E92" w14:textId="77777777" w:rsidR="002D5C48" w:rsidRDefault="002D5C48" w:rsidP="00DD0E48">
            <w:r>
              <w:t>Day 197</w:t>
            </w:r>
          </w:p>
        </w:tc>
        <w:tc>
          <w:tcPr>
            <w:tcW w:w="4496" w:type="dxa"/>
          </w:tcPr>
          <w:p w14:paraId="6A5A2D82" w14:textId="77777777" w:rsidR="002D5C48" w:rsidRDefault="002D5C48" w:rsidP="00DD0E48">
            <w:pPr>
              <w:jc w:val="right"/>
            </w:pPr>
            <w:r>
              <w:t>£651</w:t>
            </w:r>
          </w:p>
        </w:tc>
      </w:tr>
      <w:tr w:rsidR="002D5C48" w14:paraId="36ADC739" w14:textId="77777777" w:rsidTr="00DD0E48">
        <w:tc>
          <w:tcPr>
            <w:tcW w:w="4520" w:type="dxa"/>
          </w:tcPr>
          <w:p w14:paraId="6F7FEE23" w14:textId="77777777" w:rsidR="002D5C48" w:rsidRDefault="002D5C48" w:rsidP="00DD0E48">
            <w:r>
              <w:rPr>
                <w:b/>
              </w:rPr>
              <w:t>Total</w:t>
            </w:r>
          </w:p>
        </w:tc>
        <w:tc>
          <w:tcPr>
            <w:tcW w:w="4496" w:type="dxa"/>
          </w:tcPr>
          <w:p w14:paraId="19DFB84B" w14:textId="77777777" w:rsidR="002D5C48" w:rsidRDefault="002D5C48" w:rsidP="00DD0E48">
            <w:pPr>
              <w:jc w:val="right"/>
            </w:pPr>
            <w:r>
              <w:rPr>
                <w:b/>
              </w:rPr>
              <w:t>£7295</w:t>
            </w:r>
          </w:p>
        </w:tc>
      </w:tr>
    </w:tbl>
    <w:p w14:paraId="43C0B577" w14:textId="77777777" w:rsidR="002D5C48" w:rsidRDefault="002D5C48" w:rsidP="002D5C48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792"/>
        <w:rPr>
          <w:b/>
        </w:rPr>
      </w:pPr>
      <w:r>
        <w:rPr>
          <w:b/>
        </w:rPr>
        <w:t>Vaccination Phase Arm (additional itemised and scheduled activity above per Clinical Trial Participant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2D5C48" w14:paraId="7706C95A" w14:textId="77777777" w:rsidTr="00DD0E48">
        <w:tc>
          <w:tcPr>
            <w:tcW w:w="2067" w:type="dxa"/>
          </w:tcPr>
          <w:p w14:paraId="52FE7550" w14:textId="77777777" w:rsidR="002D5C48" w:rsidRDefault="002D5C48" w:rsidP="00DD0E48">
            <w:r>
              <w:rPr>
                <w:b/>
              </w:rPr>
              <w:t>Visit</w:t>
            </w:r>
          </w:p>
        </w:tc>
        <w:tc>
          <w:tcPr>
            <w:tcW w:w="6949" w:type="dxa"/>
          </w:tcPr>
          <w:p w14:paraId="06E76B29" w14:textId="77777777" w:rsidR="002D5C48" w:rsidRDefault="002D5C48" w:rsidP="00DD0E48">
            <w:pPr>
              <w:jc w:val="right"/>
            </w:pPr>
            <w:r>
              <w:rPr>
                <w:b/>
              </w:rPr>
              <w:t>A</w:t>
            </w:r>
          </w:p>
        </w:tc>
      </w:tr>
      <w:tr w:rsidR="002D5C48" w14:paraId="176EF8DD" w14:textId="77777777" w:rsidTr="00DD0E48">
        <w:tc>
          <w:tcPr>
            <w:tcW w:w="2067" w:type="dxa"/>
          </w:tcPr>
          <w:p w14:paraId="5A676A25" w14:textId="77777777" w:rsidR="002D5C48" w:rsidRDefault="002D5C48" w:rsidP="00DD0E48">
            <w:r>
              <w:t>Screening</w:t>
            </w:r>
          </w:p>
        </w:tc>
        <w:tc>
          <w:tcPr>
            <w:tcW w:w="6949" w:type="dxa"/>
          </w:tcPr>
          <w:p w14:paraId="4C5FEF5F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2988F455" w14:textId="77777777" w:rsidTr="00DD0E48">
        <w:tc>
          <w:tcPr>
            <w:tcW w:w="2067" w:type="dxa"/>
          </w:tcPr>
          <w:p w14:paraId="174DF899" w14:textId="77777777" w:rsidR="002D5C48" w:rsidRDefault="002D5C48" w:rsidP="00DD0E48">
            <w:r>
              <w:t>D1 Baseline</w:t>
            </w:r>
          </w:p>
        </w:tc>
        <w:tc>
          <w:tcPr>
            <w:tcW w:w="6949" w:type="dxa"/>
          </w:tcPr>
          <w:p w14:paraId="2546D5E8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0CCA5203" w14:textId="77777777" w:rsidTr="00DD0E48">
        <w:tc>
          <w:tcPr>
            <w:tcW w:w="2067" w:type="dxa"/>
          </w:tcPr>
          <w:p w14:paraId="06122C8F" w14:textId="77777777" w:rsidR="002D5C48" w:rsidRDefault="002D5C48" w:rsidP="00DD0E48">
            <w:r>
              <w:t>Day 8</w:t>
            </w:r>
          </w:p>
        </w:tc>
        <w:tc>
          <w:tcPr>
            <w:tcW w:w="6949" w:type="dxa"/>
          </w:tcPr>
          <w:p w14:paraId="02442EF6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05E2852" w14:textId="77777777" w:rsidTr="00DD0E48">
        <w:tc>
          <w:tcPr>
            <w:tcW w:w="2067" w:type="dxa"/>
          </w:tcPr>
          <w:p w14:paraId="48B8EAE0" w14:textId="77777777" w:rsidR="002D5C48" w:rsidRDefault="002D5C48" w:rsidP="00DD0E48">
            <w:r>
              <w:t>Day 29</w:t>
            </w:r>
          </w:p>
        </w:tc>
        <w:tc>
          <w:tcPr>
            <w:tcW w:w="6949" w:type="dxa"/>
          </w:tcPr>
          <w:p w14:paraId="79175D2B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7740D7A3" w14:textId="77777777" w:rsidTr="00DD0E48">
        <w:tc>
          <w:tcPr>
            <w:tcW w:w="2067" w:type="dxa"/>
          </w:tcPr>
          <w:p w14:paraId="073D8245" w14:textId="77777777" w:rsidR="002D5C48" w:rsidRDefault="002D5C48" w:rsidP="00DD0E48">
            <w:r>
              <w:t>Day 57</w:t>
            </w:r>
          </w:p>
        </w:tc>
        <w:tc>
          <w:tcPr>
            <w:tcW w:w="6949" w:type="dxa"/>
          </w:tcPr>
          <w:p w14:paraId="5DBB588C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476BD0B3" w14:textId="77777777" w:rsidTr="00DD0E48">
        <w:tc>
          <w:tcPr>
            <w:tcW w:w="2067" w:type="dxa"/>
          </w:tcPr>
          <w:p w14:paraId="0D9D6DD2" w14:textId="77777777" w:rsidR="002D5C48" w:rsidRDefault="002D5C48" w:rsidP="00DD0E48">
            <w:r>
              <w:t>Day 64</w:t>
            </w:r>
          </w:p>
        </w:tc>
        <w:tc>
          <w:tcPr>
            <w:tcW w:w="6949" w:type="dxa"/>
          </w:tcPr>
          <w:p w14:paraId="6B8AD074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02D9E010" w14:textId="77777777" w:rsidTr="00DD0E48">
        <w:tc>
          <w:tcPr>
            <w:tcW w:w="2067" w:type="dxa"/>
          </w:tcPr>
          <w:p w14:paraId="0E3245DC" w14:textId="77777777" w:rsidR="002D5C48" w:rsidRDefault="002D5C48" w:rsidP="00DD0E48">
            <w:r>
              <w:t>Day 85</w:t>
            </w:r>
          </w:p>
        </w:tc>
        <w:tc>
          <w:tcPr>
            <w:tcW w:w="6949" w:type="dxa"/>
          </w:tcPr>
          <w:p w14:paraId="39AED2CD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1364CA4F" w14:textId="77777777" w:rsidTr="00DD0E48">
        <w:tc>
          <w:tcPr>
            <w:tcW w:w="2067" w:type="dxa"/>
          </w:tcPr>
          <w:p w14:paraId="7B757444" w14:textId="77777777" w:rsidR="002D5C48" w:rsidRDefault="002D5C48" w:rsidP="00DD0E48">
            <w:r>
              <w:t>Day 113</w:t>
            </w:r>
          </w:p>
        </w:tc>
        <w:tc>
          <w:tcPr>
            <w:tcW w:w="6949" w:type="dxa"/>
          </w:tcPr>
          <w:p w14:paraId="63FA4638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2A3C4208" w14:textId="77777777" w:rsidTr="00DD0E48">
        <w:tc>
          <w:tcPr>
            <w:tcW w:w="2067" w:type="dxa"/>
          </w:tcPr>
          <w:p w14:paraId="1CB1E4C2" w14:textId="77777777" w:rsidR="002D5C48" w:rsidRDefault="002D5C48" w:rsidP="00DD0E48">
            <w:r>
              <w:t>Day 141</w:t>
            </w:r>
          </w:p>
        </w:tc>
        <w:tc>
          <w:tcPr>
            <w:tcW w:w="6949" w:type="dxa"/>
          </w:tcPr>
          <w:p w14:paraId="6FA1B8D2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681B9AB5" w14:textId="77777777" w:rsidTr="00DD0E48">
        <w:tc>
          <w:tcPr>
            <w:tcW w:w="2067" w:type="dxa"/>
          </w:tcPr>
          <w:p w14:paraId="64BDFC8E" w14:textId="77777777" w:rsidR="002D5C48" w:rsidRDefault="002D5C48" w:rsidP="00DD0E48">
            <w:r>
              <w:t>Day 169</w:t>
            </w:r>
          </w:p>
        </w:tc>
        <w:tc>
          <w:tcPr>
            <w:tcW w:w="6949" w:type="dxa"/>
          </w:tcPr>
          <w:p w14:paraId="678EB0A5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4CBAEC8D" w14:textId="77777777" w:rsidTr="00DD0E48">
        <w:tc>
          <w:tcPr>
            <w:tcW w:w="2067" w:type="dxa"/>
          </w:tcPr>
          <w:p w14:paraId="060AF9C2" w14:textId="77777777" w:rsidR="002D5C48" w:rsidRDefault="002D5C48" w:rsidP="00DD0E48">
            <w:r>
              <w:t>Day 176</w:t>
            </w:r>
          </w:p>
        </w:tc>
        <w:tc>
          <w:tcPr>
            <w:tcW w:w="6949" w:type="dxa"/>
          </w:tcPr>
          <w:p w14:paraId="6E1C3F72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03D7E9D3" w14:textId="77777777" w:rsidTr="00DD0E48">
        <w:tc>
          <w:tcPr>
            <w:tcW w:w="2067" w:type="dxa"/>
          </w:tcPr>
          <w:p w14:paraId="3A11CC0B" w14:textId="77777777" w:rsidR="002D5C48" w:rsidRDefault="002D5C48" w:rsidP="00DD0E48">
            <w:r>
              <w:lastRenderedPageBreak/>
              <w:t>Day 197</w:t>
            </w:r>
          </w:p>
        </w:tc>
        <w:tc>
          <w:tcPr>
            <w:tcW w:w="6949" w:type="dxa"/>
          </w:tcPr>
          <w:p w14:paraId="57CD8E46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</w:tbl>
    <w:p w14:paraId="0D3207B1" w14:textId="77777777" w:rsidR="002D5C48" w:rsidRDefault="002D5C48" w:rsidP="002D5C48">
      <w:pPr>
        <w:spacing w:before="200"/>
      </w:pPr>
      <w:r>
        <w:t>A = Urine pregnancy test; by visual colour comparison methods</w:t>
      </w:r>
    </w:p>
    <w:p w14:paraId="535DC214" w14:textId="77777777" w:rsidR="002D5C48" w:rsidRDefault="002D5C48" w:rsidP="002D5C48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792"/>
        <w:rPr>
          <w:b/>
        </w:rPr>
      </w:pPr>
      <w:r>
        <w:rPr>
          <w:b/>
        </w:rPr>
        <w:t>Follow up Phase 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6"/>
        <w:gridCol w:w="4570"/>
      </w:tblGrid>
      <w:tr w:rsidR="002D5C48" w14:paraId="46074430" w14:textId="77777777" w:rsidTr="00DD0E48">
        <w:tc>
          <w:tcPr>
            <w:tcW w:w="4446" w:type="dxa"/>
          </w:tcPr>
          <w:p w14:paraId="4EEB5C9F" w14:textId="77777777" w:rsidR="002D5C48" w:rsidRDefault="002D5C48" w:rsidP="00DD0E48">
            <w:r>
              <w:rPr>
                <w:b/>
              </w:rPr>
              <w:t>Visit</w:t>
            </w:r>
          </w:p>
        </w:tc>
        <w:tc>
          <w:tcPr>
            <w:tcW w:w="4570" w:type="dxa"/>
          </w:tcPr>
          <w:p w14:paraId="364D140F" w14:textId="77777777" w:rsidR="002D5C48" w:rsidRDefault="002D5C48" w:rsidP="00DD0E48">
            <w:pPr>
              <w:jc w:val="right"/>
            </w:pPr>
            <w:r>
              <w:rPr>
                <w:b/>
              </w:rPr>
              <w:t>Payment</w:t>
            </w:r>
          </w:p>
        </w:tc>
      </w:tr>
      <w:tr w:rsidR="002D5C48" w14:paraId="0054EA1F" w14:textId="77777777" w:rsidTr="00DD0E48">
        <w:tc>
          <w:tcPr>
            <w:tcW w:w="4446" w:type="dxa"/>
          </w:tcPr>
          <w:p w14:paraId="1FCFBCE2" w14:textId="77777777" w:rsidR="002D5C48" w:rsidRDefault="002D5C48" w:rsidP="00DD0E48">
            <w:r>
              <w:t>Day 226</w:t>
            </w:r>
          </w:p>
        </w:tc>
        <w:tc>
          <w:tcPr>
            <w:tcW w:w="4570" w:type="dxa"/>
          </w:tcPr>
          <w:p w14:paraId="7F8DDC9A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4BE84901" w14:textId="77777777" w:rsidTr="00DD0E48">
        <w:tc>
          <w:tcPr>
            <w:tcW w:w="4446" w:type="dxa"/>
          </w:tcPr>
          <w:p w14:paraId="54A66993" w14:textId="77777777" w:rsidR="002D5C48" w:rsidRDefault="002D5C48" w:rsidP="00DD0E48">
            <w:r>
              <w:t>Day 256</w:t>
            </w:r>
          </w:p>
        </w:tc>
        <w:tc>
          <w:tcPr>
            <w:tcW w:w="4570" w:type="dxa"/>
          </w:tcPr>
          <w:p w14:paraId="0F2CFCBB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07CAA863" w14:textId="77777777" w:rsidTr="00DD0E48">
        <w:tc>
          <w:tcPr>
            <w:tcW w:w="4446" w:type="dxa"/>
          </w:tcPr>
          <w:p w14:paraId="2945989C" w14:textId="77777777" w:rsidR="002D5C48" w:rsidRDefault="002D5C48" w:rsidP="00DD0E48">
            <w:r>
              <w:t>Day 286</w:t>
            </w:r>
          </w:p>
        </w:tc>
        <w:tc>
          <w:tcPr>
            <w:tcW w:w="4570" w:type="dxa"/>
          </w:tcPr>
          <w:p w14:paraId="6DFC6C11" w14:textId="77777777" w:rsidR="002D5C48" w:rsidRDefault="002D5C48" w:rsidP="00DD0E48">
            <w:pPr>
              <w:jc w:val="right"/>
            </w:pPr>
            <w:r>
              <w:t>£594</w:t>
            </w:r>
          </w:p>
        </w:tc>
      </w:tr>
      <w:tr w:rsidR="002D5C48" w14:paraId="1D5826EA" w14:textId="77777777" w:rsidTr="00DD0E48">
        <w:tc>
          <w:tcPr>
            <w:tcW w:w="4446" w:type="dxa"/>
          </w:tcPr>
          <w:p w14:paraId="04AA9A23" w14:textId="77777777" w:rsidR="002D5C48" w:rsidRDefault="002D5C48" w:rsidP="00DD0E48">
            <w:r>
              <w:t>Day 316</w:t>
            </w:r>
          </w:p>
        </w:tc>
        <w:tc>
          <w:tcPr>
            <w:tcW w:w="4570" w:type="dxa"/>
          </w:tcPr>
          <w:p w14:paraId="1FE7DEB9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4C37E7C4" w14:textId="77777777" w:rsidTr="00DD0E48">
        <w:tc>
          <w:tcPr>
            <w:tcW w:w="4446" w:type="dxa"/>
          </w:tcPr>
          <w:p w14:paraId="59D9B254" w14:textId="77777777" w:rsidR="002D5C48" w:rsidRDefault="002D5C48" w:rsidP="00DD0E48">
            <w:r>
              <w:t>Day 346</w:t>
            </w:r>
          </w:p>
        </w:tc>
        <w:tc>
          <w:tcPr>
            <w:tcW w:w="4570" w:type="dxa"/>
          </w:tcPr>
          <w:p w14:paraId="0F9B19C2" w14:textId="77777777" w:rsidR="002D5C48" w:rsidRDefault="002D5C48" w:rsidP="00DD0E48">
            <w:pPr>
              <w:jc w:val="right"/>
            </w:pPr>
            <w:r>
              <w:t>£661</w:t>
            </w:r>
          </w:p>
        </w:tc>
      </w:tr>
      <w:tr w:rsidR="002D5C48" w14:paraId="1168B50B" w14:textId="77777777" w:rsidTr="00DD0E48">
        <w:tc>
          <w:tcPr>
            <w:tcW w:w="4446" w:type="dxa"/>
          </w:tcPr>
          <w:p w14:paraId="17C31E33" w14:textId="77777777" w:rsidR="002D5C48" w:rsidRDefault="002D5C48" w:rsidP="00DD0E48">
            <w:r>
              <w:t>Day 376</w:t>
            </w:r>
          </w:p>
        </w:tc>
        <w:tc>
          <w:tcPr>
            <w:tcW w:w="4570" w:type="dxa"/>
          </w:tcPr>
          <w:p w14:paraId="336A55C2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66CE048F" w14:textId="77777777" w:rsidTr="00DD0E48">
        <w:tc>
          <w:tcPr>
            <w:tcW w:w="4446" w:type="dxa"/>
          </w:tcPr>
          <w:p w14:paraId="78F617FF" w14:textId="77777777" w:rsidR="002D5C48" w:rsidRDefault="002D5C48" w:rsidP="00DD0E48">
            <w:r>
              <w:t>Day 406</w:t>
            </w:r>
          </w:p>
        </w:tc>
        <w:tc>
          <w:tcPr>
            <w:tcW w:w="4570" w:type="dxa"/>
          </w:tcPr>
          <w:p w14:paraId="140389E6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79FF0350" w14:textId="77777777" w:rsidTr="00DD0E48">
        <w:tc>
          <w:tcPr>
            <w:tcW w:w="4446" w:type="dxa"/>
          </w:tcPr>
          <w:p w14:paraId="0891D126" w14:textId="77777777" w:rsidR="002D5C48" w:rsidRDefault="002D5C48" w:rsidP="00DD0E48">
            <w:r>
              <w:t>Day 436</w:t>
            </w:r>
          </w:p>
        </w:tc>
        <w:tc>
          <w:tcPr>
            <w:tcW w:w="4570" w:type="dxa"/>
          </w:tcPr>
          <w:p w14:paraId="5D114132" w14:textId="77777777" w:rsidR="002D5C48" w:rsidRDefault="002D5C48" w:rsidP="00DD0E48">
            <w:pPr>
              <w:jc w:val="right"/>
            </w:pPr>
            <w:r>
              <w:t>£594</w:t>
            </w:r>
          </w:p>
        </w:tc>
      </w:tr>
      <w:tr w:rsidR="002D5C48" w14:paraId="59568338" w14:textId="77777777" w:rsidTr="00DD0E48">
        <w:tc>
          <w:tcPr>
            <w:tcW w:w="4446" w:type="dxa"/>
          </w:tcPr>
          <w:p w14:paraId="472F0055" w14:textId="77777777" w:rsidR="002D5C48" w:rsidRDefault="002D5C48" w:rsidP="00DD0E48">
            <w:r>
              <w:t>Day 466</w:t>
            </w:r>
          </w:p>
        </w:tc>
        <w:tc>
          <w:tcPr>
            <w:tcW w:w="4570" w:type="dxa"/>
          </w:tcPr>
          <w:p w14:paraId="712CA8D9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2D6AFA37" w14:textId="77777777" w:rsidTr="00DD0E48">
        <w:tc>
          <w:tcPr>
            <w:tcW w:w="4446" w:type="dxa"/>
          </w:tcPr>
          <w:p w14:paraId="66F4D4E2" w14:textId="77777777" w:rsidR="002D5C48" w:rsidRDefault="002D5C48" w:rsidP="00DD0E48">
            <w:r>
              <w:t>Day 496</w:t>
            </w:r>
          </w:p>
        </w:tc>
        <w:tc>
          <w:tcPr>
            <w:tcW w:w="4570" w:type="dxa"/>
          </w:tcPr>
          <w:p w14:paraId="5997BE43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2DECC9F8" w14:textId="77777777" w:rsidTr="00DD0E48">
        <w:tc>
          <w:tcPr>
            <w:tcW w:w="4446" w:type="dxa"/>
          </w:tcPr>
          <w:p w14:paraId="7C0DDCB4" w14:textId="77777777" w:rsidR="002D5C48" w:rsidRDefault="002D5C48" w:rsidP="00DD0E48">
            <w:r>
              <w:t>Day 526</w:t>
            </w:r>
          </w:p>
        </w:tc>
        <w:tc>
          <w:tcPr>
            <w:tcW w:w="4570" w:type="dxa"/>
          </w:tcPr>
          <w:p w14:paraId="3AD8E598" w14:textId="77777777" w:rsidR="002D5C48" w:rsidRDefault="002D5C48" w:rsidP="00DD0E48">
            <w:pPr>
              <w:jc w:val="right"/>
            </w:pPr>
            <w:r>
              <w:t>£661</w:t>
            </w:r>
          </w:p>
        </w:tc>
      </w:tr>
      <w:tr w:rsidR="002D5C48" w14:paraId="32143812" w14:textId="77777777" w:rsidTr="00DD0E48">
        <w:tc>
          <w:tcPr>
            <w:tcW w:w="4446" w:type="dxa"/>
          </w:tcPr>
          <w:p w14:paraId="700CE916" w14:textId="77777777" w:rsidR="002D5C48" w:rsidRDefault="002D5C48" w:rsidP="00DD0E48">
            <w:r>
              <w:t>Day 556</w:t>
            </w:r>
          </w:p>
        </w:tc>
        <w:tc>
          <w:tcPr>
            <w:tcW w:w="4570" w:type="dxa"/>
          </w:tcPr>
          <w:p w14:paraId="3A56E176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3EF5FB3B" w14:textId="77777777" w:rsidTr="00DD0E48">
        <w:tc>
          <w:tcPr>
            <w:tcW w:w="4446" w:type="dxa"/>
          </w:tcPr>
          <w:p w14:paraId="4CB7D9F6" w14:textId="77777777" w:rsidR="002D5C48" w:rsidRDefault="002D5C48" w:rsidP="00DD0E48">
            <w:r>
              <w:t>Day 586</w:t>
            </w:r>
          </w:p>
        </w:tc>
        <w:tc>
          <w:tcPr>
            <w:tcW w:w="4570" w:type="dxa"/>
          </w:tcPr>
          <w:p w14:paraId="4431A0E3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7AB94ACF" w14:textId="77777777" w:rsidTr="00DD0E48">
        <w:tc>
          <w:tcPr>
            <w:tcW w:w="4446" w:type="dxa"/>
          </w:tcPr>
          <w:p w14:paraId="7DB3ED4F" w14:textId="77777777" w:rsidR="002D5C48" w:rsidRDefault="002D5C48" w:rsidP="00DD0E48">
            <w:r>
              <w:t>Day 616</w:t>
            </w:r>
          </w:p>
        </w:tc>
        <w:tc>
          <w:tcPr>
            <w:tcW w:w="4570" w:type="dxa"/>
          </w:tcPr>
          <w:p w14:paraId="7AA3D898" w14:textId="77777777" w:rsidR="002D5C48" w:rsidRDefault="002D5C48" w:rsidP="00DD0E48">
            <w:pPr>
              <w:jc w:val="right"/>
            </w:pPr>
            <w:r>
              <w:t>£594</w:t>
            </w:r>
          </w:p>
        </w:tc>
      </w:tr>
      <w:tr w:rsidR="002D5C48" w14:paraId="2EF4C14B" w14:textId="77777777" w:rsidTr="00DD0E48">
        <w:tc>
          <w:tcPr>
            <w:tcW w:w="4446" w:type="dxa"/>
          </w:tcPr>
          <w:p w14:paraId="3177D053" w14:textId="77777777" w:rsidR="002D5C48" w:rsidRDefault="002D5C48" w:rsidP="00DD0E48">
            <w:r>
              <w:t>Day 646</w:t>
            </w:r>
          </w:p>
        </w:tc>
        <w:tc>
          <w:tcPr>
            <w:tcW w:w="4570" w:type="dxa"/>
          </w:tcPr>
          <w:p w14:paraId="5C7FD3FF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11E72B8C" w14:textId="77777777" w:rsidTr="00DD0E48">
        <w:tc>
          <w:tcPr>
            <w:tcW w:w="4446" w:type="dxa"/>
          </w:tcPr>
          <w:p w14:paraId="7EA8240C" w14:textId="77777777" w:rsidR="002D5C48" w:rsidRDefault="002D5C48" w:rsidP="00DD0E48">
            <w:r>
              <w:t>Day 676</w:t>
            </w:r>
          </w:p>
        </w:tc>
        <w:tc>
          <w:tcPr>
            <w:tcW w:w="4570" w:type="dxa"/>
          </w:tcPr>
          <w:p w14:paraId="137BDD58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1CCC6779" w14:textId="77777777" w:rsidTr="00DD0E48">
        <w:tc>
          <w:tcPr>
            <w:tcW w:w="4446" w:type="dxa"/>
          </w:tcPr>
          <w:p w14:paraId="6C7E64A3" w14:textId="77777777" w:rsidR="002D5C48" w:rsidRDefault="002D5C48" w:rsidP="00DD0E48">
            <w:r>
              <w:t>Day 706</w:t>
            </w:r>
          </w:p>
        </w:tc>
        <w:tc>
          <w:tcPr>
            <w:tcW w:w="4570" w:type="dxa"/>
          </w:tcPr>
          <w:p w14:paraId="47E7A5B2" w14:textId="77777777" w:rsidR="002D5C48" w:rsidRDefault="002D5C48" w:rsidP="00DD0E48">
            <w:pPr>
              <w:jc w:val="right"/>
            </w:pPr>
            <w:r>
              <w:t>£661</w:t>
            </w:r>
          </w:p>
        </w:tc>
      </w:tr>
      <w:tr w:rsidR="002D5C48" w14:paraId="6D104DBA" w14:textId="77777777" w:rsidTr="00DD0E48">
        <w:tc>
          <w:tcPr>
            <w:tcW w:w="4446" w:type="dxa"/>
          </w:tcPr>
          <w:p w14:paraId="68AA3D35" w14:textId="77777777" w:rsidR="002D5C48" w:rsidRDefault="002D5C48" w:rsidP="00DD0E48">
            <w:r>
              <w:t>Day 736</w:t>
            </w:r>
          </w:p>
        </w:tc>
        <w:tc>
          <w:tcPr>
            <w:tcW w:w="4570" w:type="dxa"/>
          </w:tcPr>
          <w:p w14:paraId="65FB198E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1B92C2AA" w14:textId="77777777" w:rsidTr="00DD0E48">
        <w:tc>
          <w:tcPr>
            <w:tcW w:w="4446" w:type="dxa"/>
          </w:tcPr>
          <w:p w14:paraId="2582BD0D" w14:textId="77777777" w:rsidR="002D5C48" w:rsidRDefault="002D5C48" w:rsidP="00DD0E48">
            <w:r>
              <w:t>Day 766</w:t>
            </w:r>
          </w:p>
        </w:tc>
        <w:tc>
          <w:tcPr>
            <w:tcW w:w="4570" w:type="dxa"/>
          </w:tcPr>
          <w:p w14:paraId="239B6587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2E18304C" w14:textId="77777777" w:rsidTr="00DD0E48">
        <w:tc>
          <w:tcPr>
            <w:tcW w:w="4446" w:type="dxa"/>
          </w:tcPr>
          <w:p w14:paraId="6842A655" w14:textId="77777777" w:rsidR="002D5C48" w:rsidRDefault="002D5C48" w:rsidP="00DD0E48">
            <w:r>
              <w:t>Day 796</w:t>
            </w:r>
          </w:p>
        </w:tc>
        <w:tc>
          <w:tcPr>
            <w:tcW w:w="4570" w:type="dxa"/>
          </w:tcPr>
          <w:p w14:paraId="5FF3FC05" w14:textId="77777777" w:rsidR="002D5C48" w:rsidRDefault="002D5C48" w:rsidP="00DD0E48">
            <w:pPr>
              <w:jc w:val="right"/>
            </w:pPr>
            <w:r>
              <w:t>£594</w:t>
            </w:r>
          </w:p>
        </w:tc>
      </w:tr>
      <w:tr w:rsidR="002D5C48" w14:paraId="57DDB4BF" w14:textId="77777777" w:rsidTr="00DD0E48">
        <w:tc>
          <w:tcPr>
            <w:tcW w:w="4446" w:type="dxa"/>
          </w:tcPr>
          <w:p w14:paraId="71019D56" w14:textId="77777777" w:rsidR="002D5C48" w:rsidRDefault="002D5C48" w:rsidP="00DD0E48">
            <w:r>
              <w:t>Day 826</w:t>
            </w:r>
          </w:p>
        </w:tc>
        <w:tc>
          <w:tcPr>
            <w:tcW w:w="4570" w:type="dxa"/>
          </w:tcPr>
          <w:p w14:paraId="65FDE241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03DE1BDE" w14:textId="77777777" w:rsidTr="00DD0E48">
        <w:tc>
          <w:tcPr>
            <w:tcW w:w="4446" w:type="dxa"/>
          </w:tcPr>
          <w:p w14:paraId="6F6BFB1F" w14:textId="77777777" w:rsidR="002D5C48" w:rsidRDefault="002D5C48" w:rsidP="00DD0E48">
            <w:r>
              <w:t>Day 856</w:t>
            </w:r>
          </w:p>
        </w:tc>
        <w:tc>
          <w:tcPr>
            <w:tcW w:w="4570" w:type="dxa"/>
          </w:tcPr>
          <w:p w14:paraId="1C8DB825" w14:textId="77777777" w:rsidR="002D5C48" w:rsidRDefault="002D5C48" w:rsidP="00DD0E48">
            <w:pPr>
              <w:jc w:val="right"/>
            </w:pPr>
            <w:r>
              <w:t>£303</w:t>
            </w:r>
          </w:p>
        </w:tc>
      </w:tr>
      <w:tr w:rsidR="002D5C48" w14:paraId="2CC8F3A6" w14:textId="77777777" w:rsidTr="00DD0E48">
        <w:tc>
          <w:tcPr>
            <w:tcW w:w="4446" w:type="dxa"/>
          </w:tcPr>
          <w:p w14:paraId="7ADFBE81" w14:textId="77777777" w:rsidR="002D5C48" w:rsidRDefault="002D5C48" w:rsidP="00DD0E48">
            <w:r>
              <w:lastRenderedPageBreak/>
              <w:t>Day 886</w:t>
            </w:r>
          </w:p>
        </w:tc>
        <w:tc>
          <w:tcPr>
            <w:tcW w:w="4570" w:type="dxa"/>
          </w:tcPr>
          <w:p w14:paraId="749C572B" w14:textId="77777777" w:rsidR="002D5C48" w:rsidRDefault="002D5C48" w:rsidP="00DD0E48">
            <w:pPr>
              <w:jc w:val="right"/>
            </w:pPr>
            <w:r>
              <w:t>£661</w:t>
            </w:r>
          </w:p>
        </w:tc>
      </w:tr>
      <w:tr w:rsidR="002D5C48" w14:paraId="5825797B" w14:textId="77777777" w:rsidTr="00DD0E48">
        <w:tc>
          <w:tcPr>
            <w:tcW w:w="4446" w:type="dxa"/>
          </w:tcPr>
          <w:p w14:paraId="3437F7DB" w14:textId="77777777" w:rsidR="002D5C48" w:rsidRDefault="002D5C48" w:rsidP="00DD0E48">
            <w:r>
              <w:rPr>
                <w:b/>
              </w:rPr>
              <w:t>Total</w:t>
            </w:r>
          </w:p>
        </w:tc>
        <w:tc>
          <w:tcPr>
            <w:tcW w:w="4570" w:type="dxa"/>
          </w:tcPr>
          <w:p w14:paraId="622C4A26" w14:textId="77777777" w:rsidR="002D5C48" w:rsidRDefault="002D5C48" w:rsidP="00DD0E48">
            <w:pPr>
              <w:jc w:val="right"/>
            </w:pPr>
            <w:r>
              <w:rPr>
                <w:b/>
              </w:rPr>
              <w:t>£9565</w:t>
            </w:r>
          </w:p>
        </w:tc>
      </w:tr>
    </w:tbl>
    <w:p w14:paraId="30B2502E" w14:textId="77777777" w:rsidR="002D5C48" w:rsidRDefault="002D5C48" w:rsidP="002D5C48">
      <w:pPr>
        <w:pStyle w:val="ListParagraph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792"/>
        <w:rPr>
          <w:b/>
        </w:rPr>
      </w:pPr>
      <w:r>
        <w:rPr>
          <w:b/>
        </w:rPr>
        <w:t>Follow up Phase Arm (additional itemised and scheduled activity above per Clinical Trial Participant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2D5C48" w14:paraId="3C6521B5" w14:textId="77777777" w:rsidTr="00DD0E48">
        <w:tc>
          <w:tcPr>
            <w:tcW w:w="1927" w:type="dxa"/>
          </w:tcPr>
          <w:p w14:paraId="43BACF26" w14:textId="77777777" w:rsidR="002D5C48" w:rsidRDefault="002D5C48" w:rsidP="00DD0E48">
            <w:r>
              <w:rPr>
                <w:b/>
              </w:rPr>
              <w:t>Visit</w:t>
            </w:r>
          </w:p>
        </w:tc>
        <w:tc>
          <w:tcPr>
            <w:tcW w:w="7089" w:type="dxa"/>
          </w:tcPr>
          <w:p w14:paraId="70A9C7DB" w14:textId="77777777" w:rsidR="002D5C48" w:rsidRDefault="002D5C48" w:rsidP="00DD0E48">
            <w:pPr>
              <w:jc w:val="right"/>
            </w:pPr>
            <w:r>
              <w:rPr>
                <w:b/>
              </w:rPr>
              <w:t>A</w:t>
            </w:r>
          </w:p>
        </w:tc>
      </w:tr>
      <w:tr w:rsidR="002D5C48" w14:paraId="234B3AAF" w14:textId="77777777" w:rsidTr="00DD0E48">
        <w:tc>
          <w:tcPr>
            <w:tcW w:w="1927" w:type="dxa"/>
          </w:tcPr>
          <w:p w14:paraId="0ECAEE0E" w14:textId="77777777" w:rsidR="002D5C48" w:rsidRDefault="002D5C48" w:rsidP="00DD0E48">
            <w:r>
              <w:t>Day 226</w:t>
            </w:r>
          </w:p>
        </w:tc>
        <w:tc>
          <w:tcPr>
            <w:tcW w:w="7089" w:type="dxa"/>
          </w:tcPr>
          <w:p w14:paraId="1A1B45A3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2201464" w14:textId="77777777" w:rsidTr="00DD0E48">
        <w:tc>
          <w:tcPr>
            <w:tcW w:w="1927" w:type="dxa"/>
          </w:tcPr>
          <w:p w14:paraId="18171575" w14:textId="77777777" w:rsidR="002D5C48" w:rsidRDefault="002D5C48" w:rsidP="00DD0E48">
            <w:r>
              <w:t>Day 256</w:t>
            </w:r>
          </w:p>
        </w:tc>
        <w:tc>
          <w:tcPr>
            <w:tcW w:w="7089" w:type="dxa"/>
          </w:tcPr>
          <w:p w14:paraId="489EE0BA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4539C537" w14:textId="77777777" w:rsidTr="00DD0E48">
        <w:tc>
          <w:tcPr>
            <w:tcW w:w="1927" w:type="dxa"/>
          </w:tcPr>
          <w:p w14:paraId="73BB0B7A" w14:textId="77777777" w:rsidR="002D5C48" w:rsidRDefault="002D5C48" w:rsidP="00DD0E48">
            <w:r>
              <w:t>Day 286</w:t>
            </w:r>
          </w:p>
        </w:tc>
        <w:tc>
          <w:tcPr>
            <w:tcW w:w="7089" w:type="dxa"/>
          </w:tcPr>
          <w:p w14:paraId="69B44EA3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3552298F" w14:textId="77777777" w:rsidTr="00DD0E48">
        <w:tc>
          <w:tcPr>
            <w:tcW w:w="1927" w:type="dxa"/>
          </w:tcPr>
          <w:p w14:paraId="544FAE70" w14:textId="77777777" w:rsidR="002D5C48" w:rsidRDefault="002D5C48" w:rsidP="00DD0E48">
            <w:r>
              <w:t>Day 316</w:t>
            </w:r>
          </w:p>
        </w:tc>
        <w:tc>
          <w:tcPr>
            <w:tcW w:w="7089" w:type="dxa"/>
          </w:tcPr>
          <w:p w14:paraId="0FE3E844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31C71167" w14:textId="77777777" w:rsidTr="00DD0E48">
        <w:tc>
          <w:tcPr>
            <w:tcW w:w="1927" w:type="dxa"/>
          </w:tcPr>
          <w:p w14:paraId="2C1116E9" w14:textId="77777777" w:rsidR="002D5C48" w:rsidRDefault="002D5C48" w:rsidP="00DD0E48">
            <w:r>
              <w:t>Day 346</w:t>
            </w:r>
          </w:p>
        </w:tc>
        <w:tc>
          <w:tcPr>
            <w:tcW w:w="7089" w:type="dxa"/>
          </w:tcPr>
          <w:p w14:paraId="26A8B8D2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6CCE7354" w14:textId="77777777" w:rsidTr="00DD0E48">
        <w:tc>
          <w:tcPr>
            <w:tcW w:w="1927" w:type="dxa"/>
          </w:tcPr>
          <w:p w14:paraId="3CF37057" w14:textId="77777777" w:rsidR="002D5C48" w:rsidRDefault="002D5C48" w:rsidP="00DD0E48">
            <w:r>
              <w:t>Day 376</w:t>
            </w:r>
          </w:p>
        </w:tc>
        <w:tc>
          <w:tcPr>
            <w:tcW w:w="7089" w:type="dxa"/>
          </w:tcPr>
          <w:p w14:paraId="62297DDD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60E9225E" w14:textId="77777777" w:rsidTr="00DD0E48">
        <w:tc>
          <w:tcPr>
            <w:tcW w:w="1927" w:type="dxa"/>
          </w:tcPr>
          <w:p w14:paraId="472B5ADF" w14:textId="77777777" w:rsidR="002D5C48" w:rsidRDefault="002D5C48" w:rsidP="00DD0E48">
            <w:r>
              <w:t>Day 406</w:t>
            </w:r>
          </w:p>
        </w:tc>
        <w:tc>
          <w:tcPr>
            <w:tcW w:w="7089" w:type="dxa"/>
          </w:tcPr>
          <w:p w14:paraId="6549F281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4BD7C16C" w14:textId="77777777" w:rsidTr="00DD0E48">
        <w:tc>
          <w:tcPr>
            <w:tcW w:w="1927" w:type="dxa"/>
          </w:tcPr>
          <w:p w14:paraId="6AD85261" w14:textId="77777777" w:rsidR="002D5C48" w:rsidRDefault="002D5C48" w:rsidP="00DD0E48">
            <w:r>
              <w:t>Day 436</w:t>
            </w:r>
          </w:p>
        </w:tc>
        <w:tc>
          <w:tcPr>
            <w:tcW w:w="7089" w:type="dxa"/>
          </w:tcPr>
          <w:p w14:paraId="07DD321A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583A2627" w14:textId="77777777" w:rsidTr="00DD0E48">
        <w:tc>
          <w:tcPr>
            <w:tcW w:w="1927" w:type="dxa"/>
          </w:tcPr>
          <w:p w14:paraId="2F242BFE" w14:textId="77777777" w:rsidR="002D5C48" w:rsidRDefault="002D5C48" w:rsidP="00DD0E48">
            <w:r>
              <w:t>Day 466</w:t>
            </w:r>
          </w:p>
        </w:tc>
        <w:tc>
          <w:tcPr>
            <w:tcW w:w="7089" w:type="dxa"/>
          </w:tcPr>
          <w:p w14:paraId="19B88E5C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941CE35" w14:textId="77777777" w:rsidTr="00DD0E48">
        <w:tc>
          <w:tcPr>
            <w:tcW w:w="1927" w:type="dxa"/>
          </w:tcPr>
          <w:p w14:paraId="49D691FD" w14:textId="77777777" w:rsidR="002D5C48" w:rsidRDefault="002D5C48" w:rsidP="00DD0E48">
            <w:r>
              <w:t>Day 496</w:t>
            </w:r>
          </w:p>
        </w:tc>
        <w:tc>
          <w:tcPr>
            <w:tcW w:w="7089" w:type="dxa"/>
          </w:tcPr>
          <w:p w14:paraId="47AB7F5C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222CA867" w14:textId="77777777" w:rsidTr="00DD0E48">
        <w:tc>
          <w:tcPr>
            <w:tcW w:w="1927" w:type="dxa"/>
          </w:tcPr>
          <w:p w14:paraId="0C907C4E" w14:textId="77777777" w:rsidR="002D5C48" w:rsidRDefault="002D5C48" w:rsidP="00DD0E48">
            <w:r>
              <w:t>Day 526</w:t>
            </w:r>
          </w:p>
        </w:tc>
        <w:tc>
          <w:tcPr>
            <w:tcW w:w="7089" w:type="dxa"/>
          </w:tcPr>
          <w:p w14:paraId="1DFD86E4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6FBC6529" w14:textId="77777777" w:rsidTr="00DD0E48">
        <w:tc>
          <w:tcPr>
            <w:tcW w:w="1927" w:type="dxa"/>
          </w:tcPr>
          <w:p w14:paraId="26454D83" w14:textId="77777777" w:rsidR="002D5C48" w:rsidRDefault="002D5C48" w:rsidP="00DD0E48">
            <w:r>
              <w:t>Day 556</w:t>
            </w:r>
          </w:p>
        </w:tc>
        <w:tc>
          <w:tcPr>
            <w:tcW w:w="7089" w:type="dxa"/>
          </w:tcPr>
          <w:p w14:paraId="4BBB691D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0C1D5587" w14:textId="77777777" w:rsidTr="00DD0E48">
        <w:tc>
          <w:tcPr>
            <w:tcW w:w="1927" w:type="dxa"/>
          </w:tcPr>
          <w:p w14:paraId="2981B7C1" w14:textId="77777777" w:rsidR="002D5C48" w:rsidRDefault="002D5C48" w:rsidP="00DD0E48">
            <w:r>
              <w:t>Day 586</w:t>
            </w:r>
          </w:p>
        </w:tc>
        <w:tc>
          <w:tcPr>
            <w:tcW w:w="7089" w:type="dxa"/>
          </w:tcPr>
          <w:p w14:paraId="70732347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61CE2F8F" w14:textId="77777777" w:rsidTr="00DD0E48">
        <w:tc>
          <w:tcPr>
            <w:tcW w:w="1927" w:type="dxa"/>
          </w:tcPr>
          <w:p w14:paraId="5C66E3E6" w14:textId="77777777" w:rsidR="002D5C48" w:rsidRDefault="002D5C48" w:rsidP="00DD0E48">
            <w:r>
              <w:t>Day 616</w:t>
            </w:r>
          </w:p>
        </w:tc>
        <w:tc>
          <w:tcPr>
            <w:tcW w:w="7089" w:type="dxa"/>
          </w:tcPr>
          <w:p w14:paraId="7241CFCF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15433F94" w14:textId="77777777" w:rsidTr="00DD0E48">
        <w:tc>
          <w:tcPr>
            <w:tcW w:w="1927" w:type="dxa"/>
          </w:tcPr>
          <w:p w14:paraId="3E03686D" w14:textId="77777777" w:rsidR="002D5C48" w:rsidRDefault="002D5C48" w:rsidP="00DD0E48">
            <w:r>
              <w:t>Day 646</w:t>
            </w:r>
          </w:p>
        </w:tc>
        <w:tc>
          <w:tcPr>
            <w:tcW w:w="7089" w:type="dxa"/>
          </w:tcPr>
          <w:p w14:paraId="23C9F185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3522EAFC" w14:textId="77777777" w:rsidTr="00DD0E48">
        <w:tc>
          <w:tcPr>
            <w:tcW w:w="1927" w:type="dxa"/>
          </w:tcPr>
          <w:p w14:paraId="4FEAD673" w14:textId="77777777" w:rsidR="002D5C48" w:rsidRDefault="002D5C48" w:rsidP="00DD0E48">
            <w:r>
              <w:t>Day 676</w:t>
            </w:r>
          </w:p>
        </w:tc>
        <w:tc>
          <w:tcPr>
            <w:tcW w:w="7089" w:type="dxa"/>
          </w:tcPr>
          <w:p w14:paraId="7F31D0C4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B06ACAC" w14:textId="77777777" w:rsidTr="00DD0E48">
        <w:tc>
          <w:tcPr>
            <w:tcW w:w="1927" w:type="dxa"/>
          </w:tcPr>
          <w:p w14:paraId="179DA216" w14:textId="77777777" w:rsidR="002D5C48" w:rsidRDefault="002D5C48" w:rsidP="00DD0E48">
            <w:r>
              <w:t>Day 706</w:t>
            </w:r>
          </w:p>
        </w:tc>
        <w:tc>
          <w:tcPr>
            <w:tcW w:w="7089" w:type="dxa"/>
          </w:tcPr>
          <w:p w14:paraId="155FE5FC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2200A04A" w14:textId="77777777" w:rsidTr="00DD0E48">
        <w:tc>
          <w:tcPr>
            <w:tcW w:w="1927" w:type="dxa"/>
          </w:tcPr>
          <w:p w14:paraId="6A1AF7D5" w14:textId="77777777" w:rsidR="002D5C48" w:rsidRDefault="002D5C48" w:rsidP="00DD0E48">
            <w:r>
              <w:t>Day 736</w:t>
            </w:r>
          </w:p>
        </w:tc>
        <w:tc>
          <w:tcPr>
            <w:tcW w:w="7089" w:type="dxa"/>
          </w:tcPr>
          <w:p w14:paraId="27A28CCF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A22DA69" w14:textId="77777777" w:rsidTr="00DD0E48">
        <w:tc>
          <w:tcPr>
            <w:tcW w:w="1927" w:type="dxa"/>
          </w:tcPr>
          <w:p w14:paraId="0D120E7A" w14:textId="77777777" w:rsidR="002D5C48" w:rsidRDefault="002D5C48" w:rsidP="00DD0E48">
            <w:r>
              <w:t>Day 766</w:t>
            </w:r>
          </w:p>
        </w:tc>
        <w:tc>
          <w:tcPr>
            <w:tcW w:w="7089" w:type="dxa"/>
          </w:tcPr>
          <w:p w14:paraId="08C21EC3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161F7515" w14:textId="77777777" w:rsidTr="00DD0E48">
        <w:tc>
          <w:tcPr>
            <w:tcW w:w="1927" w:type="dxa"/>
          </w:tcPr>
          <w:p w14:paraId="4621B121" w14:textId="77777777" w:rsidR="002D5C48" w:rsidRDefault="002D5C48" w:rsidP="00DD0E48">
            <w:r>
              <w:t>Day 796</w:t>
            </w:r>
          </w:p>
        </w:tc>
        <w:tc>
          <w:tcPr>
            <w:tcW w:w="7089" w:type="dxa"/>
          </w:tcPr>
          <w:p w14:paraId="159527AB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  <w:tr w:rsidR="002D5C48" w14:paraId="40F172D6" w14:textId="77777777" w:rsidTr="00DD0E48">
        <w:tc>
          <w:tcPr>
            <w:tcW w:w="1927" w:type="dxa"/>
          </w:tcPr>
          <w:p w14:paraId="4FDB75AD" w14:textId="77777777" w:rsidR="002D5C48" w:rsidRDefault="002D5C48" w:rsidP="00DD0E48">
            <w:r>
              <w:t>Day 826</w:t>
            </w:r>
          </w:p>
        </w:tc>
        <w:tc>
          <w:tcPr>
            <w:tcW w:w="7089" w:type="dxa"/>
          </w:tcPr>
          <w:p w14:paraId="313E5FE4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0DF46193" w14:textId="77777777" w:rsidTr="00DD0E48">
        <w:tc>
          <w:tcPr>
            <w:tcW w:w="1927" w:type="dxa"/>
          </w:tcPr>
          <w:p w14:paraId="09CF60C0" w14:textId="77777777" w:rsidR="002D5C48" w:rsidRDefault="002D5C48" w:rsidP="00DD0E48">
            <w:r>
              <w:t>Day 856</w:t>
            </w:r>
          </w:p>
        </w:tc>
        <w:tc>
          <w:tcPr>
            <w:tcW w:w="7089" w:type="dxa"/>
          </w:tcPr>
          <w:p w14:paraId="73BF5387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357F60F0" w14:textId="77777777" w:rsidTr="00DD0E48">
        <w:tc>
          <w:tcPr>
            <w:tcW w:w="1927" w:type="dxa"/>
          </w:tcPr>
          <w:p w14:paraId="734FFDDF" w14:textId="77777777" w:rsidR="002D5C48" w:rsidRDefault="002D5C48" w:rsidP="00DD0E48">
            <w:r>
              <w:lastRenderedPageBreak/>
              <w:t>Day 886</w:t>
            </w:r>
          </w:p>
        </w:tc>
        <w:tc>
          <w:tcPr>
            <w:tcW w:w="7089" w:type="dxa"/>
          </w:tcPr>
          <w:p w14:paraId="5ECB3A10" w14:textId="77777777" w:rsidR="002D5C48" w:rsidRDefault="002D5C48" w:rsidP="00DD0E48">
            <w:pPr>
              <w:jc w:val="right"/>
            </w:pPr>
            <w:r>
              <w:t>£14</w:t>
            </w:r>
          </w:p>
        </w:tc>
      </w:tr>
    </w:tbl>
    <w:p w14:paraId="72B6AAF4" w14:textId="77777777" w:rsidR="002D5C48" w:rsidRDefault="002D5C48" w:rsidP="002D5C48">
      <w:pPr>
        <w:spacing w:before="200"/>
      </w:pPr>
      <w:r>
        <w:t>A = Urine pregnancy test; by visual colour comparison methods</w:t>
      </w:r>
    </w:p>
    <w:p w14:paraId="64C955B0" w14:textId="77777777" w:rsidR="002D5C48" w:rsidRDefault="002D5C48" w:rsidP="002D5C48">
      <w:p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357" w:hanging="357"/>
        <w:rPr>
          <w:b/>
        </w:rPr>
      </w:pPr>
      <w:r>
        <w:rPr>
          <w:b/>
        </w:rPr>
        <w:t>Infant Outcome Arm</w:t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2D5C48" w14:paraId="6A76EB6A" w14:textId="77777777" w:rsidTr="00DD0E48">
        <w:tc>
          <w:tcPr>
            <w:tcW w:w="5950" w:type="dxa"/>
          </w:tcPr>
          <w:p w14:paraId="1AE9354E" w14:textId="77777777" w:rsidR="002D5C48" w:rsidRDefault="002D5C48" w:rsidP="00DD0E48">
            <w:r>
              <w:rPr>
                <w:b/>
              </w:rPr>
              <w:t>Visit</w:t>
            </w:r>
          </w:p>
        </w:tc>
        <w:tc>
          <w:tcPr>
            <w:tcW w:w="5950" w:type="dxa"/>
          </w:tcPr>
          <w:p w14:paraId="7FAEA82E" w14:textId="77777777" w:rsidR="002D5C48" w:rsidRDefault="002D5C48" w:rsidP="00DD0E48">
            <w:pPr>
              <w:jc w:val="right"/>
            </w:pPr>
            <w:r>
              <w:rPr>
                <w:b/>
              </w:rPr>
              <w:t>Payment</w:t>
            </w:r>
          </w:p>
        </w:tc>
      </w:tr>
      <w:tr w:rsidR="002D5C48" w14:paraId="3CC4D228" w14:textId="77777777" w:rsidTr="00DD0E48">
        <w:tc>
          <w:tcPr>
            <w:tcW w:w="5950" w:type="dxa"/>
          </w:tcPr>
          <w:p w14:paraId="6F322157" w14:textId="77777777" w:rsidR="002D5C48" w:rsidRDefault="002D5C48" w:rsidP="00DD0E48">
            <w:r>
              <w:t>Screening</w:t>
            </w:r>
          </w:p>
        </w:tc>
        <w:tc>
          <w:tcPr>
            <w:tcW w:w="5950" w:type="dxa"/>
          </w:tcPr>
          <w:p w14:paraId="7135ECA8" w14:textId="77777777" w:rsidR="002D5C48" w:rsidRDefault="002D5C48" w:rsidP="00DD0E48">
            <w:pPr>
              <w:jc w:val="right"/>
            </w:pPr>
            <w:r>
              <w:t>£401</w:t>
            </w:r>
          </w:p>
        </w:tc>
      </w:tr>
      <w:tr w:rsidR="002D5C48" w14:paraId="5F269536" w14:textId="77777777" w:rsidTr="00DD0E48">
        <w:tc>
          <w:tcPr>
            <w:tcW w:w="5950" w:type="dxa"/>
          </w:tcPr>
          <w:p w14:paraId="65BF1C60" w14:textId="77777777" w:rsidR="002D5C48" w:rsidRDefault="002D5C48" w:rsidP="00DD0E48">
            <w:r>
              <w:t>72 Hours</w:t>
            </w:r>
          </w:p>
        </w:tc>
        <w:tc>
          <w:tcPr>
            <w:tcW w:w="5950" w:type="dxa"/>
          </w:tcPr>
          <w:p w14:paraId="6FB07287" w14:textId="77777777" w:rsidR="002D5C48" w:rsidRDefault="002D5C48" w:rsidP="00DD0E48">
            <w:pPr>
              <w:jc w:val="right"/>
            </w:pPr>
            <w:r>
              <w:t>£122</w:t>
            </w:r>
          </w:p>
        </w:tc>
      </w:tr>
      <w:tr w:rsidR="002D5C48" w14:paraId="36700C55" w14:textId="77777777" w:rsidTr="00DD0E48">
        <w:tc>
          <w:tcPr>
            <w:tcW w:w="5950" w:type="dxa"/>
          </w:tcPr>
          <w:p w14:paraId="66370F4F" w14:textId="77777777" w:rsidR="002D5C48" w:rsidRDefault="002D5C48" w:rsidP="00DD0E48">
            <w:r>
              <w:t>Up to 3 Weeks</w:t>
            </w:r>
          </w:p>
        </w:tc>
        <w:tc>
          <w:tcPr>
            <w:tcW w:w="5950" w:type="dxa"/>
          </w:tcPr>
          <w:p w14:paraId="6953299B" w14:textId="77777777" w:rsidR="002D5C48" w:rsidRDefault="002D5C48" w:rsidP="00DD0E48">
            <w:pPr>
              <w:jc w:val="right"/>
            </w:pPr>
            <w:r>
              <w:t>£0</w:t>
            </w:r>
          </w:p>
        </w:tc>
      </w:tr>
      <w:tr w:rsidR="002D5C48" w14:paraId="4FA4FD40" w14:textId="77777777" w:rsidTr="00DD0E48">
        <w:tc>
          <w:tcPr>
            <w:tcW w:w="5950" w:type="dxa"/>
          </w:tcPr>
          <w:p w14:paraId="0395D760" w14:textId="77777777" w:rsidR="002D5C48" w:rsidRDefault="002D5C48" w:rsidP="00DD0E48">
            <w:r>
              <w:t>Up to 6 weeks</w:t>
            </w:r>
          </w:p>
        </w:tc>
        <w:tc>
          <w:tcPr>
            <w:tcW w:w="5950" w:type="dxa"/>
          </w:tcPr>
          <w:p w14:paraId="26741DB9" w14:textId="77777777" w:rsidR="002D5C48" w:rsidRDefault="002D5C48" w:rsidP="00DD0E48">
            <w:pPr>
              <w:jc w:val="right"/>
            </w:pPr>
            <w:r>
              <w:t>£157</w:t>
            </w:r>
          </w:p>
        </w:tc>
      </w:tr>
      <w:tr w:rsidR="002D5C48" w14:paraId="44AF647F" w14:textId="77777777" w:rsidTr="00DD0E48">
        <w:tc>
          <w:tcPr>
            <w:tcW w:w="5950" w:type="dxa"/>
          </w:tcPr>
          <w:p w14:paraId="07945F30" w14:textId="77777777" w:rsidR="002D5C48" w:rsidRDefault="002D5C48" w:rsidP="00DD0E48">
            <w:r>
              <w:rPr>
                <w:b/>
              </w:rPr>
              <w:t>Total</w:t>
            </w:r>
          </w:p>
        </w:tc>
        <w:tc>
          <w:tcPr>
            <w:tcW w:w="5950" w:type="dxa"/>
          </w:tcPr>
          <w:p w14:paraId="62146D3B" w14:textId="77777777" w:rsidR="002D5C48" w:rsidRDefault="002D5C48" w:rsidP="00DD0E48">
            <w:pPr>
              <w:jc w:val="right"/>
            </w:pPr>
            <w:r>
              <w:rPr>
                <w:b/>
              </w:rPr>
              <w:t>£680</w:t>
            </w:r>
          </w:p>
        </w:tc>
      </w:tr>
    </w:tbl>
    <w:p w14:paraId="17AF43D7" w14:textId="77777777" w:rsidR="002D5C48" w:rsidRPr="00084EBE" w:rsidRDefault="002D5C48" w:rsidP="002D5C48">
      <w:p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ind w:left="357" w:hanging="357"/>
        <w:rPr>
          <w:b/>
          <w:color w:val="000000"/>
        </w:rPr>
      </w:pPr>
    </w:p>
    <w:p w14:paraId="39CA5191" w14:textId="77777777" w:rsidR="002D5C48" w:rsidRPr="002415E4" w:rsidRDefault="002D5C48" w:rsidP="002D5C4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567"/>
          <w:tab w:val="clear" w:pos="1418"/>
          <w:tab w:val="clear" w:pos="1843"/>
        </w:tabs>
        <w:rPr>
          <w:b/>
          <w:color w:val="000000"/>
        </w:rPr>
      </w:pPr>
      <w:r w:rsidRPr="002415E4">
        <w:rPr>
          <w:rFonts w:eastAsia="Arial" w:cs="Arial"/>
          <w:b/>
          <w:color w:val="000000"/>
        </w:rPr>
        <w:t>All Other Fees</w:t>
      </w:r>
    </w:p>
    <w:p w14:paraId="21A805F0" w14:textId="77777777" w:rsidR="002D5C48" w:rsidRDefault="002D5C48" w:rsidP="002D5C48">
      <w:pPr>
        <w:spacing w:before="360" w:after="120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Additional itemised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347"/>
      </w:tblGrid>
      <w:tr w:rsidR="002D5C48" w14:paraId="7206DF24" w14:textId="77777777" w:rsidTr="00DD0E48">
        <w:tc>
          <w:tcPr>
            <w:tcW w:w="4669" w:type="dxa"/>
          </w:tcPr>
          <w:p w14:paraId="45F88EFF" w14:textId="77777777" w:rsidR="002D5C48" w:rsidRDefault="002D5C48" w:rsidP="00DD0E48">
            <w:r>
              <w:rPr>
                <w:b/>
              </w:rPr>
              <w:t>Additional Itemised Costs</w:t>
            </w:r>
          </w:p>
        </w:tc>
        <w:tc>
          <w:tcPr>
            <w:tcW w:w="4347" w:type="dxa"/>
          </w:tcPr>
          <w:p w14:paraId="6B929910" w14:textId="77777777" w:rsidR="002D5C48" w:rsidRDefault="002D5C48" w:rsidP="00DD0E48">
            <w:pPr>
              <w:jc w:val="right"/>
            </w:pPr>
            <w:r>
              <w:rPr>
                <w:b/>
              </w:rPr>
              <w:t>Cost per event</w:t>
            </w:r>
          </w:p>
        </w:tc>
      </w:tr>
      <w:tr w:rsidR="002D5C48" w14:paraId="3C1C0103" w14:textId="77777777" w:rsidTr="00DD0E48">
        <w:tc>
          <w:tcPr>
            <w:tcW w:w="4669" w:type="dxa"/>
          </w:tcPr>
          <w:p w14:paraId="0CAB4A50" w14:textId="77777777" w:rsidR="002D5C48" w:rsidRDefault="002D5C48" w:rsidP="00DD0E48">
            <w:r>
              <w:t xml:space="preserve">Vital Signs measurements (Temp, BP, </w:t>
            </w:r>
            <w:proofErr w:type="gramStart"/>
            <w:r>
              <w:t>Pulse</w:t>
            </w:r>
            <w:proofErr w:type="gramEnd"/>
            <w:r>
              <w:t xml:space="preserve"> and respiration)</w:t>
            </w:r>
          </w:p>
        </w:tc>
        <w:tc>
          <w:tcPr>
            <w:tcW w:w="4347" w:type="dxa"/>
          </w:tcPr>
          <w:p w14:paraId="224E97A3" w14:textId="77777777" w:rsidR="002D5C48" w:rsidRDefault="002D5C48" w:rsidP="00DD0E48">
            <w:pPr>
              <w:jc w:val="right"/>
            </w:pPr>
            <w:r>
              <w:t>£52</w:t>
            </w:r>
          </w:p>
        </w:tc>
      </w:tr>
      <w:tr w:rsidR="002D5C48" w14:paraId="0868AC75" w14:textId="77777777" w:rsidTr="00DD0E48">
        <w:tc>
          <w:tcPr>
            <w:tcW w:w="4669" w:type="dxa"/>
          </w:tcPr>
          <w:p w14:paraId="195F9DCB" w14:textId="77777777" w:rsidR="002D5C48" w:rsidRDefault="002D5C48" w:rsidP="00DD0E48">
            <w:r>
              <w:t>Review/reporting of patient AEs/SAEs</w:t>
            </w:r>
          </w:p>
        </w:tc>
        <w:tc>
          <w:tcPr>
            <w:tcW w:w="4347" w:type="dxa"/>
          </w:tcPr>
          <w:p w14:paraId="04353616" w14:textId="77777777" w:rsidR="002D5C48" w:rsidRDefault="002D5C48" w:rsidP="00DD0E48">
            <w:pPr>
              <w:jc w:val="right"/>
            </w:pPr>
            <w:r>
              <w:t>£103</w:t>
            </w:r>
          </w:p>
        </w:tc>
      </w:tr>
      <w:tr w:rsidR="002D5C48" w14:paraId="38C4B77F" w14:textId="77777777" w:rsidTr="00DD0E48">
        <w:tc>
          <w:tcPr>
            <w:tcW w:w="4669" w:type="dxa"/>
          </w:tcPr>
          <w:p w14:paraId="32ACBC67" w14:textId="77777777" w:rsidR="002D5C48" w:rsidRDefault="002D5C48" w:rsidP="00DD0E48">
            <w:r>
              <w:t>Follow up safety calls</w:t>
            </w:r>
          </w:p>
        </w:tc>
        <w:tc>
          <w:tcPr>
            <w:tcW w:w="4347" w:type="dxa"/>
          </w:tcPr>
          <w:p w14:paraId="27C4823A" w14:textId="77777777" w:rsidR="002D5C48" w:rsidRDefault="002D5C48" w:rsidP="00DD0E48">
            <w:pPr>
              <w:jc w:val="right"/>
            </w:pPr>
            <w:r>
              <w:t>£33</w:t>
            </w:r>
          </w:p>
        </w:tc>
      </w:tr>
      <w:tr w:rsidR="002D5C48" w14:paraId="158A0802" w14:textId="77777777" w:rsidTr="00DD0E48">
        <w:tc>
          <w:tcPr>
            <w:tcW w:w="4669" w:type="dxa"/>
          </w:tcPr>
          <w:p w14:paraId="6DC06777" w14:textId="77777777" w:rsidR="002D5C48" w:rsidRDefault="002D5C48" w:rsidP="00DD0E48">
            <w:r>
              <w:t>Telemedicine Visit (In place of clinic visit, includes PI/SC)</w:t>
            </w:r>
          </w:p>
        </w:tc>
        <w:tc>
          <w:tcPr>
            <w:tcW w:w="4347" w:type="dxa"/>
          </w:tcPr>
          <w:p w14:paraId="094E2264" w14:textId="77777777" w:rsidR="002D5C48" w:rsidRDefault="002D5C48" w:rsidP="00DD0E48">
            <w:pPr>
              <w:jc w:val="right"/>
            </w:pPr>
            <w:r>
              <w:t>£49</w:t>
            </w:r>
          </w:p>
        </w:tc>
      </w:tr>
      <w:tr w:rsidR="002D5C48" w14:paraId="072AD7D6" w14:textId="77777777" w:rsidTr="00DD0E48">
        <w:tc>
          <w:tcPr>
            <w:tcW w:w="4669" w:type="dxa"/>
          </w:tcPr>
          <w:p w14:paraId="6B61F89C" w14:textId="77777777" w:rsidR="002D5C48" w:rsidRDefault="002D5C48" w:rsidP="00DD0E48">
            <w:r>
              <w:t xml:space="preserve">CMV </w:t>
            </w:r>
            <w:proofErr w:type="gramStart"/>
            <w:r>
              <w:t>Illness  Assessment</w:t>
            </w:r>
            <w:proofErr w:type="gramEnd"/>
          </w:p>
        </w:tc>
        <w:tc>
          <w:tcPr>
            <w:tcW w:w="4347" w:type="dxa"/>
          </w:tcPr>
          <w:p w14:paraId="288B683E" w14:textId="77777777" w:rsidR="002D5C48" w:rsidRDefault="002D5C48" w:rsidP="00DD0E48">
            <w:pPr>
              <w:jc w:val="right"/>
            </w:pPr>
            <w:r>
              <w:t>£103</w:t>
            </w:r>
          </w:p>
        </w:tc>
      </w:tr>
      <w:tr w:rsidR="002D5C48" w14:paraId="27A5A9DC" w14:textId="77777777" w:rsidTr="00DD0E48">
        <w:tc>
          <w:tcPr>
            <w:tcW w:w="4669" w:type="dxa"/>
          </w:tcPr>
          <w:p w14:paraId="11A6E0E5" w14:textId="77777777" w:rsidR="002D5C48" w:rsidRDefault="002D5C48" w:rsidP="00DD0E48">
            <w:proofErr w:type="gramStart"/>
            <w:r>
              <w:t>Seroconversion  Visit</w:t>
            </w:r>
            <w:proofErr w:type="gramEnd"/>
          </w:p>
        </w:tc>
        <w:tc>
          <w:tcPr>
            <w:tcW w:w="4347" w:type="dxa"/>
          </w:tcPr>
          <w:p w14:paraId="4A0E74DA" w14:textId="77777777" w:rsidR="002D5C48" w:rsidRDefault="002D5C48" w:rsidP="00DD0E48">
            <w:pPr>
              <w:jc w:val="right"/>
            </w:pPr>
            <w:r>
              <w:t>£103</w:t>
            </w:r>
          </w:p>
        </w:tc>
      </w:tr>
      <w:tr w:rsidR="002D5C48" w14:paraId="6B2B0301" w14:textId="77777777" w:rsidTr="00DD0E48">
        <w:tc>
          <w:tcPr>
            <w:tcW w:w="4669" w:type="dxa"/>
          </w:tcPr>
          <w:p w14:paraId="19722E85" w14:textId="77777777" w:rsidR="002D5C48" w:rsidRDefault="002D5C48" w:rsidP="00DD0E48">
            <w:r>
              <w:t>Blood sample - collection processing</w:t>
            </w:r>
          </w:p>
        </w:tc>
        <w:tc>
          <w:tcPr>
            <w:tcW w:w="4347" w:type="dxa"/>
          </w:tcPr>
          <w:p w14:paraId="4C6F76BD" w14:textId="77777777" w:rsidR="002D5C48" w:rsidRDefault="002D5C48" w:rsidP="00DD0E48">
            <w:pPr>
              <w:jc w:val="right"/>
            </w:pPr>
            <w:r>
              <w:t>£49</w:t>
            </w:r>
          </w:p>
        </w:tc>
      </w:tr>
      <w:tr w:rsidR="002D5C48" w14:paraId="6BEEDBA3" w14:textId="77777777" w:rsidTr="00DD0E48">
        <w:tc>
          <w:tcPr>
            <w:tcW w:w="4669" w:type="dxa"/>
          </w:tcPr>
          <w:p w14:paraId="6C1F2F1A" w14:textId="77777777" w:rsidR="002D5C48" w:rsidRDefault="002D5C48" w:rsidP="00DD0E48">
            <w:r>
              <w:t>Urinalysis - Urine processing (dipstick or sample preparation)</w:t>
            </w:r>
          </w:p>
        </w:tc>
        <w:tc>
          <w:tcPr>
            <w:tcW w:w="4347" w:type="dxa"/>
          </w:tcPr>
          <w:p w14:paraId="035EEE76" w14:textId="77777777" w:rsidR="002D5C48" w:rsidRDefault="002D5C48" w:rsidP="00DD0E48">
            <w:pPr>
              <w:jc w:val="right"/>
            </w:pPr>
            <w:r>
              <w:t>£8</w:t>
            </w:r>
          </w:p>
        </w:tc>
      </w:tr>
      <w:tr w:rsidR="002D5C48" w14:paraId="0C87BDFC" w14:textId="77777777" w:rsidTr="00DD0E48">
        <w:tc>
          <w:tcPr>
            <w:tcW w:w="4669" w:type="dxa"/>
          </w:tcPr>
          <w:p w14:paraId="456CF3F3" w14:textId="77777777" w:rsidR="002D5C48" w:rsidRDefault="002D5C48" w:rsidP="00DD0E48">
            <w:r>
              <w:t>SAE Follow-Up</w:t>
            </w:r>
          </w:p>
        </w:tc>
        <w:tc>
          <w:tcPr>
            <w:tcW w:w="4347" w:type="dxa"/>
          </w:tcPr>
          <w:p w14:paraId="7FD7954E" w14:textId="77777777" w:rsidR="002D5C48" w:rsidRDefault="002D5C48" w:rsidP="00DD0E48">
            <w:pPr>
              <w:jc w:val="right"/>
            </w:pPr>
            <w:r>
              <w:t>£24</w:t>
            </w:r>
          </w:p>
        </w:tc>
      </w:tr>
      <w:tr w:rsidR="002D5C48" w14:paraId="5D053227" w14:textId="77777777" w:rsidTr="00DD0E48">
        <w:tc>
          <w:tcPr>
            <w:tcW w:w="4669" w:type="dxa"/>
          </w:tcPr>
          <w:p w14:paraId="4E902EB5" w14:textId="77777777" w:rsidR="002D5C48" w:rsidRDefault="002D5C48" w:rsidP="00DD0E48">
            <w:r>
              <w:t xml:space="preserve">Review of Quality of Life </w:t>
            </w:r>
            <w:proofErr w:type="gramStart"/>
            <w:r>
              <w:t>Questionnaires  (</w:t>
            </w:r>
            <w:proofErr w:type="gramEnd"/>
            <w:r>
              <w:t>EQ-5D-5L/HRPQ)</w:t>
            </w:r>
          </w:p>
        </w:tc>
        <w:tc>
          <w:tcPr>
            <w:tcW w:w="4347" w:type="dxa"/>
          </w:tcPr>
          <w:p w14:paraId="0C5CBE82" w14:textId="77777777" w:rsidR="002D5C48" w:rsidRDefault="002D5C48" w:rsidP="00DD0E48">
            <w:pPr>
              <w:jc w:val="right"/>
            </w:pPr>
            <w:r>
              <w:t>£49</w:t>
            </w:r>
          </w:p>
        </w:tc>
      </w:tr>
    </w:tbl>
    <w:p w14:paraId="556782B6" w14:textId="77777777" w:rsidR="003E1F2B" w:rsidRDefault="003E1F2B" w:rsidP="00206F83"/>
    <w:sectPr w:rsidR="003E1F2B" w:rsidSect="004D1C68">
      <w:foot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6A39" w14:textId="77777777" w:rsidR="00EE6C08" w:rsidRDefault="00EE6C08">
      <w:pPr>
        <w:spacing w:after="0"/>
      </w:pPr>
      <w:r>
        <w:separator/>
      </w:r>
    </w:p>
  </w:endnote>
  <w:endnote w:type="continuationSeparator" w:id="0">
    <w:p w14:paraId="33491F83" w14:textId="77777777" w:rsidR="00EE6C08" w:rsidRDefault="00EE6C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C1EB" w14:textId="77777777" w:rsidR="00E5417A" w:rsidRPr="00F901D8" w:rsidRDefault="00D47AB5" w:rsidP="00F9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CB4" w14:textId="77777777" w:rsidR="00EE6C08" w:rsidRDefault="00EE6C08">
      <w:pPr>
        <w:spacing w:after="0"/>
      </w:pPr>
      <w:r>
        <w:separator/>
      </w:r>
    </w:p>
  </w:footnote>
  <w:footnote w:type="continuationSeparator" w:id="0">
    <w:p w14:paraId="0077BE40" w14:textId="77777777" w:rsidR="00EE6C08" w:rsidRDefault="00EE6C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7103"/>
    <w:multiLevelType w:val="hybridMultilevel"/>
    <w:tmpl w:val="F13E9FE0"/>
    <w:lvl w:ilvl="0" w:tplc="0562E4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85B6B"/>
    <w:multiLevelType w:val="multilevel"/>
    <w:tmpl w:val="2BAA7E3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0A338F"/>
    <w:multiLevelType w:val="multilevel"/>
    <w:tmpl w:val="D1FC5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212262">
    <w:abstractNumId w:val="0"/>
  </w:num>
  <w:num w:numId="2" w16cid:durableId="1627662617">
    <w:abstractNumId w:val="1"/>
  </w:num>
  <w:num w:numId="3" w16cid:durableId="119480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48"/>
    <w:rsid w:val="00035E83"/>
    <w:rsid w:val="000A78B3"/>
    <w:rsid w:val="000D1DB5"/>
    <w:rsid w:val="00206F83"/>
    <w:rsid w:val="002B018B"/>
    <w:rsid w:val="002D5C48"/>
    <w:rsid w:val="00304B94"/>
    <w:rsid w:val="00356670"/>
    <w:rsid w:val="003C12F6"/>
    <w:rsid w:val="003E1F2B"/>
    <w:rsid w:val="00417056"/>
    <w:rsid w:val="00444C20"/>
    <w:rsid w:val="004F7A8C"/>
    <w:rsid w:val="00584982"/>
    <w:rsid w:val="005C3157"/>
    <w:rsid w:val="00607703"/>
    <w:rsid w:val="00614C6A"/>
    <w:rsid w:val="00656477"/>
    <w:rsid w:val="006E541C"/>
    <w:rsid w:val="009F208C"/>
    <w:rsid w:val="00B73136"/>
    <w:rsid w:val="00BB33A3"/>
    <w:rsid w:val="00BD2949"/>
    <w:rsid w:val="00C133B1"/>
    <w:rsid w:val="00C92172"/>
    <w:rsid w:val="00CF7016"/>
    <w:rsid w:val="00D271AF"/>
    <w:rsid w:val="00D47AB5"/>
    <w:rsid w:val="00EE6C08"/>
    <w:rsid w:val="00F33AFA"/>
    <w:rsid w:val="00F42DF3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C0A6"/>
  <w15:chartTrackingRefBased/>
  <w15:docId w15:val="{3B094311-83D5-4E1B-B7EF-94BEEC9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48"/>
    <w:pPr>
      <w:tabs>
        <w:tab w:val="left" w:pos="567"/>
        <w:tab w:val="left" w:pos="1418"/>
        <w:tab w:val="left" w:pos="1843"/>
      </w:tabs>
      <w:spacing w:after="240" w:line="240" w:lineRule="auto"/>
    </w:pPr>
    <w:rPr>
      <w:rFonts w:ascii="Arial" w:hAnsi="Arial"/>
      <w:color w:val="000000" w:themeColor="tex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5C48"/>
    <w:pPr>
      <w:numPr>
        <w:numId w:val="1"/>
      </w:numPr>
      <w:spacing w:after="120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5C48"/>
    <w:rPr>
      <w:rFonts w:ascii="Arial" w:hAnsi="Arial"/>
      <w:color w:val="000000" w:themeColor="text1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2D5C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5C48"/>
    <w:pPr>
      <w:tabs>
        <w:tab w:val="clear" w:pos="567"/>
        <w:tab w:val="clear" w:pos="1418"/>
        <w:tab w:val="clear" w:pos="1843"/>
        <w:tab w:val="center" w:pos="4513"/>
        <w:tab w:val="right" w:pos="9026"/>
      </w:tabs>
      <w:spacing w:after="0"/>
    </w:pPr>
    <w:rPr>
      <w:rFonts w:ascii="Calibri" w:eastAsia="Calibri" w:hAnsi="Calibri" w:cs="Calibri"/>
      <w:color w:val="auto"/>
      <w:sz w:val="22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D5C48"/>
    <w:rPr>
      <w:rFonts w:ascii="Calibri" w:eastAsia="Calibri" w:hAnsi="Calibri" w:cs="Calibri"/>
      <w:kern w:val="0"/>
      <w:lang w:val="en-AU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04B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82"/>
    <w:rPr>
      <w:rFonts w:ascii="Segoe UI" w:hAnsi="Segoe UI" w:cs="Segoe UI"/>
      <w:color w:val="000000" w:themeColor="text1"/>
      <w:kern w:val="0"/>
      <w:sz w:val="18"/>
      <w:szCs w:val="1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82"/>
    <w:rPr>
      <w:rFonts w:ascii="Arial" w:hAnsi="Arial"/>
      <w:color w:val="000000" w:themeColor="text1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82"/>
    <w:rPr>
      <w:rFonts w:ascii="Arial" w:hAnsi="Arial"/>
      <w:b/>
      <w:bCs/>
      <w:color w:val="000000" w:themeColor="text1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A78B3"/>
    <w:pPr>
      <w:spacing w:after="0" w:line="240" w:lineRule="auto"/>
    </w:pPr>
    <w:rPr>
      <w:rFonts w:ascii="Arial" w:hAnsi="Arial"/>
      <w:color w:val="000000" w:themeColor="text1"/>
      <w:kern w:val="0"/>
      <w:sz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A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documents/interactive-costing-tool-ict-getting-started/12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researchproject.org.uk/help/hlptemplatesf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Nicholson</dc:creator>
  <cp:keywords/>
  <dc:description/>
  <cp:lastModifiedBy>Ben Solly</cp:lastModifiedBy>
  <cp:revision>2</cp:revision>
  <dcterms:created xsi:type="dcterms:W3CDTF">2023-07-03T11:36:00Z</dcterms:created>
  <dcterms:modified xsi:type="dcterms:W3CDTF">2023-07-03T11:36:00Z</dcterms:modified>
</cp:coreProperties>
</file>