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821" w:rsidRPr="00FF7CBA" w:rsidRDefault="00745FAD" w:rsidP="00E34821">
      <w:pPr>
        <w:pStyle w:val="NoSpacing"/>
        <w:jc w:val="right"/>
        <w:rPr>
          <w:rFonts w:ascii="Arial" w:hAnsi="Arial" w:cs="Arial"/>
          <w:b/>
          <w:lang w:val="en-GB"/>
        </w:rPr>
      </w:pPr>
      <w:bookmarkStart w:id="0" w:name="_GoBack"/>
      <w:bookmarkEnd w:id="0"/>
      <w:r>
        <w:rPr>
          <w:rFonts w:ascii="Arial" w:hAnsi="Arial" w:cs="Arial"/>
          <w:b/>
          <w:lang w:val="en-GB"/>
        </w:rPr>
        <w:tab/>
      </w:r>
      <w:r w:rsidR="00E34821">
        <w:rPr>
          <w:rFonts w:ascii="Arial" w:hAnsi="Arial" w:cs="Arial"/>
          <w:b/>
          <w:noProof/>
          <w:lang w:val="en-GB" w:eastAsia="en-GB"/>
        </w:rPr>
        <w:drawing>
          <wp:inline distT="0" distB="0" distL="0" distR="0" wp14:anchorId="75875CB6" wp14:editId="64FC9A44">
            <wp:extent cx="2447925" cy="479826"/>
            <wp:effectExtent l="19050" t="0" r="9525" b="0"/>
            <wp:docPr id="1" name="Picture 1" descr="Health Research Authority Nat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lth Research Authority NatCOL"/>
                    <pic:cNvPicPr>
                      <a:picLocks noChangeAspect="1" noChangeArrowheads="1"/>
                    </pic:cNvPicPr>
                  </pic:nvPicPr>
                  <pic:blipFill>
                    <a:blip r:embed="rId9" cstate="print"/>
                    <a:srcRect/>
                    <a:stretch>
                      <a:fillRect/>
                    </a:stretch>
                  </pic:blipFill>
                  <pic:spPr bwMode="auto">
                    <a:xfrm>
                      <a:off x="0" y="0"/>
                      <a:ext cx="2447925" cy="479826"/>
                    </a:xfrm>
                    <a:prstGeom prst="rect">
                      <a:avLst/>
                    </a:prstGeom>
                    <a:noFill/>
                    <a:ln w="9525">
                      <a:noFill/>
                      <a:miter lim="800000"/>
                      <a:headEnd/>
                      <a:tailEnd/>
                    </a:ln>
                  </pic:spPr>
                </pic:pic>
              </a:graphicData>
            </a:graphic>
          </wp:inline>
        </w:drawing>
      </w:r>
    </w:p>
    <w:p w:rsidR="00DF3EE3" w:rsidRDefault="00DF3EE3" w:rsidP="00DF3EE3">
      <w:pPr>
        <w:jc w:val="right"/>
        <w:rPr>
          <w:rFonts w:ascii="Arial" w:hAnsi="Arial" w:cs="Arial"/>
          <w:b/>
          <w:sz w:val="22"/>
          <w:szCs w:val="22"/>
          <w:lang w:eastAsia="en-US"/>
        </w:rPr>
      </w:pPr>
    </w:p>
    <w:p w:rsidR="00613941" w:rsidRPr="00DF3EE3" w:rsidRDefault="00613941" w:rsidP="00DF3EE3">
      <w:pPr>
        <w:jc w:val="right"/>
        <w:rPr>
          <w:rFonts w:ascii="Arial" w:hAnsi="Arial" w:cs="Arial"/>
          <w:b/>
          <w:sz w:val="22"/>
          <w:szCs w:val="22"/>
          <w:lang w:eastAsia="en-US"/>
        </w:rPr>
      </w:pPr>
    </w:p>
    <w:tbl>
      <w:tblPr>
        <w:tblStyle w:val="TableGrid1"/>
        <w:tblpPr w:leftFromText="180" w:rightFromText="180" w:vertAnchor="text" w:horzAnchor="page" w:tblpX="6538" w:tblpY="-66"/>
        <w:tblW w:w="0" w:type="auto"/>
        <w:tblBorders>
          <w:top w:val="single" w:sz="18" w:space="0" w:color="auto"/>
          <w:left w:val="single" w:sz="18" w:space="0" w:color="auto"/>
          <w:bottom w:val="single" w:sz="18" w:space="0" w:color="auto"/>
          <w:right w:val="single" w:sz="18" w:space="0" w:color="auto"/>
          <w:insideH w:val="single" w:sz="6" w:space="0" w:color="auto"/>
          <w:insideV w:val="none" w:sz="0" w:space="0" w:color="auto"/>
        </w:tblBorders>
        <w:tblLook w:val="04A0" w:firstRow="1" w:lastRow="0" w:firstColumn="1" w:lastColumn="0" w:noHBand="0" w:noVBand="1"/>
      </w:tblPr>
      <w:tblGrid>
        <w:gridCol w:w="3420"/>
        <w:gridCol w:w="1260"/>
      </w:tblGrid>
      <w:tr w:rsidR="00DF3EE3" w:rsidRPr="00DF3EE3" w:rsidTr="00AD76CF">
        <w:trPr>
          <w:trHeight w:val="386"/>
        </w:trPr>
        <w:tc>
          <w:tcPr>
            <w:tcW w:w="3420" w:type="dxa"/>
          </w:tcPr>
          <w:p w:rsidR="00DF3EE3" w:rsidRPr="00DF3EE3" w:rsidRDefault="00DF3EE3" w:rsidP="00DF3EE3">
            <w:pPr>
              <w:jc w:val="right"/>
              <w:rPr>
                <w:rFonts w:asciiTheme="minorHAnsi" w:hAnsiTheme="minorHAnsi" w:cstheme="minorHAnsi"/>
                <w:b/>
                <w:sz w:val="44"/>
                <w:szCs w:val="44"/>
                <w:lang w:eastAsia="en-US"/>
              </w:rPr>
            </w:pPr>
            <w:r w:rsidRPr="00DF3EE3">
              <w:rPr>
                <w:rFonts w:asciiTheme="minorHAnsi" w:hAnsiTheme="minorHAnsi" w:cstheme="minorHAnsi"/>
                <w:b/>
                <w:sz w:val="44"/>
                <w:szCs w:val="44"/>
                <w:lang w:eastAsia="en-US"/>
              </w:rPr>
              <w:t>Agenda item:</w:t>
            </w:r>
          </w:p>
        </w:tc>
        <w:tc>
          <w:tcPr>
            <w:tcW w:w="1260" w:type="dxa"/>
          </w:tcPr>
          <w:p w:rsidR="00DF3EE3" w:rsidRPr="00DF3EE3" w:rsidRDefault="00E32D8C" w:rsidP="00DF3EE3">
            <w:pPr>
              <w:jc w:val="center"/>
              <w:rPr>
                <w:rFonts w:asciiTheme="minorHAnsi" w:hAnsiTheme="minorHAnsi" w:cstheme="minorHAnsi"/>
                <w:b/>
                <w:sz w:val="44"/>
                <w:szCs w:val="44"/>
                <w:lang w:eastAsia="en-US"/>
              </w:rPr>
            </w:pPr>
            <w:r>
              <w:rPr>
                <w:rFonts w:asciiTheme="minorHAnsi" w:hAnsiTheme="minorHAnsi" w:cstheme="minorHAnsi"/>
                <w:b/>
                <w:sz w:val="44"/>
                <w:szCs w:val="44"/>
                <w:lang w:eastAsia="en-US"/>
              </w:rPr>
              <w:t>12</w:t>
            </w:r>
          </w:p>
        </w:tc>
      </w:tr>
      <w:tr w:rsidR="00DF3EE3" w:rsidRPr="00DF3EE3" w:rsidTr="00DF3EE3">
        <w:tc>
          <w:tcPr>
            <w:tcW w:w="3420" w:type="dxa"/>
          </w:tcPr>
          <w:p w:rsidR="00DF3EE3" w:rsidRPr="00DF3EE3" w:rsidRDefault="00DF3EE3" w:rsidP="00DF3EE3">
            <w:pPr>
              <w:jc w:val="right"/>
              <w:rPr>
                <w:rFonts w:asciiTheme="minorHAnsi" w:hAnsiTheme="minorHAnsi" w:cstheme="minorHAnsi"/>
                <w:b/>
                <w:sz w:val="44"/>
                <w:szCs w:val="44"/>
                <w:lang w:eastAsia="en-US"/>
              </w:rPr>
            </w:pPr>
            <w:r w:rsidRPr="00DF3EE3">
              <w:rPr>
                <w:rFonts w:asciiTheme="minorHAnsi" w:hAnsiTheme="minorHAnsi" w:cstheme="minorHAnsi"/>
                <w:b/>
                <w:sz w:val="44"/>
                <w:szCs w:val="44"/>
                <w:lang w:eastAsia="en-US"/>
              </w:rPr>
              <w:t>Attachment:</w:t>
            </w:r>
          </w:p>
        </w:tc>
        <w:tc>
          <w:tcPr>
            <w:tcW w:w="1260" w:type="dxa"/>
          </w:tcPr>
          <w:p w:rsidR="00DF3EE3" w:rsidRPr="005E4465" w:rsidRDefault="00E32D8C" w:rsidP="00DF3EE3">
            <w:pPr>
              <w:jc w:val="center"/>
              <w:rPr>
                <w:rFonts w:asciiTheme="minorHAnsi" w:hAnsiTheme="minorHAnsi" w:cstheme="minorHAnsi"/>
                <w:b/>
                <w:sz w:val="44"/>
                <w:szCs w:val="44"/>
                <w:lang w:eastAsia="en-US"/>
              </w:rPr>
            </w:pPr>
            <w:r>
              <w:rPr>
                <w:rFonts w:asciiTheme="minorHAnsi" w:hAnsiTheme="minorHAnsi" w:cstheme="minorHAnsi"/>
                <w:b/>
                <w:sz w:val="44"/>
                <w:szCs w:val="44"/>
                <w:lang w:eastAsia="en-US"/>
              </w:rPr>
              <w:t>E</w:t>
            </w:r>
          </w:p>
        </w:tc>
      </w:tr>
    </w:tbl>
    <w:p w:rsidR="00DF3EE3" w:rsidRPr="00DF3EE3" w:rsidRDefault="00DF3EE3" w:rsidP="00DF3EE3">
      <w:pPr>
        <w:spacing w:line="276" w:lineRule="auto"/>
        <w:jc w:val="center"/>
        <w:rPr>
          <w:rFonts w:asciiTheme="minorHAnsi" w:eastAsiaTheme="minorHAnsi" w:hAnsiTheme="minorHAnsi" w:cstheme="minorHAnsi"/>
          <w:b/>
          <w:lang w:eastAsia="en-US"/>
        </w:rPr>
      </w:pPr>
    </w:p>
    <w:p w:rsidR="00DF3EE3" w:rsidRPr="00DF3EE3" w:rsidRDefault="00DF3EE3" w:rsidP="00DF3EE3">
      <w:pPr>
        <w:spacing w:line="276" w:lineRule="auto"/>
        <w:jc w:val="center"/>
        <w:rPr>
          <w:rFonts w:asciiTheme="minorHAnsi" w:eastAsiaTheme="minorHAnsi" w:hAnsiTheme="minorHAnsi" w:cstheme="minorHAnsi"/>
          <w:b/>
          <w:sz w:val="40"/>
          <w:szCs w:val="40"/>
          <w:lang w:eastAsia="en-US"/>
        </w:rPr>
      </w:pPr>
    </w:p>
    <w:p w:rsidR="00DF3EE3" w:rsidRPr="00DF3EE3" w:rsidRDefault="00DF3EE3" w:rsidP="00DF3EE3">
      <w:pPr>
        <w:jc w:val="center"/>
        <w:rPr>
          <w:rFonts w:asciiTheme="minorHAnsi" w:eastAsiaTheme="minorHAnsi" w:hAnsiTheme="minorHAnsi" w:cstheme="minorHAnsi"/>
          <w:b/>
          <w:lang w:eastAsia="en-US"/>
        </w:rPr>
      </w:pPr>
    </w:p>
    <w:p w:rsidR="00DF3EE3" w:rsidRPr="00DF3EE3" w:rsidRDefault="00DF3EE3" w:rsidP="00DF3EE3">
      <w:pPr>
        <w:jc w:val="center"/>
        <w:rPr>
          <w:rFonts w:asciiTheme="minorHAnsi" w:eastAsiaTheme="minorHAnsi" w:hAnsiTheme="minorHAnsi" w:cstheme="minorHAnsi"/>
          <w:b/>
          <w:sz w:val="44"/>
          <w:szCs w:val="44"/>
          <w:lang w:eastAsia="en-US"/>
        </w:rPr>
      </w:pPr>
      <w:r w:rsidRPr="00DF3EE3">
        <w:rPr>
          <w:rFonts w:asciiTheme="minorHAnsi" w:eastAsiaTheme="minorHAnsi" w:hAnsiTheme="minorHAnsi" w:cstheme="minorHAnsi"/>
          <w:b/>
          <w:sz w:val="44"/>
          <w:szCs w:val="44"/>
          <w:lang w:eastAsia="en-US"/>
        </w:rPr>
        <w:t xml:space="preserve">HRA </w:t>
      </w:r>
      <w:r w:rsidR="00D427CB">
        <w:rPr>
          <w:rFonts w:asciiTheme="minorHAnsi" w:eastAsiaTheme="minorHAnsi" w:hAnsiTheme="minorHAnsi" w:cstheme="minorHAnsi"/>
          <w:b/>
          <w:sz w:val="44"/>
          <w:szCs w:val="44"/>
          <w:lang w:eastAsia="en-US"/>
        </w:rPr>
        <w:t>BOARD</w:t>
      </w:r>
      <w:r w:rsidRPr="00DF3EE3">
        <w:rPr>
          <w:rFonts w:asciiTheme="minorHAnsi" w:eastAsiaTheme="minorHAnsi" w:hAnsiTheme="minorHAnsi" w:cstheme="minorHAnsi"/>
          <w:b/>
          <w:sz w:val="44"/>
          <w:szCs w:val="44"/>
          <w:lang w:eastAsia="en-US"/>
        </w:rPr>
        <w:t xml:space="preserve"> COVER SHEET</w:t>
      </w:r>
    </w:p>
    <w:p w:rsidR="00DF3EE3" w:rsidRPr="00DF3EE3" w:rsidRDefault="00DF3EE3" w:rsidP="00DF3EE3">
      <w:pPr>
        <w:spacing w:line="276" w:lineRule="auto"/>
        <w:jc w:val="center"/>
        <w:rPr>
          <w:rFonts w:asciiTheme="minorHAnsi" w:eastAsiaTheme="minorHAnsi" w:hAnsiTheme="minorHAnsi" w:cstheme="minorHAnsi"/>
          <w:b/>
          <w:lang w:eastAsia="en-US"/>
        </w:rPr>
      </w:pPr>
    </w:p>
    <w:tbl>
      <w:tblPr>
        <w:tblStyle w:val="TableGrid1"/>
        <w:tblW w:w="0" w:type="auto"/>
        <w:tblLook w:val="04A0" w:firstRow="1" w:lastRow="0" w:firstColumn="1" w:lastColumn="0" w:noHBand="0" w:noVBand="1"/>
      </w:tblPr>
      <w:tblGrid>
        <w:gridCol w:w="2628"/>
        <w:gridCol w:w="6320"/>
      </w:tblGrid>
      <w:tr w:rsidR="00DF3EE3" w:rsidRPr="00DF3EE3" w:rsidTr="00A5757C">
        <w:trPr>
          <w:trHeight w:val="491"/>
        </w:trPr>
        <w:tc>
          <w:tcPr>
            <w:tcW w:w="2628" w:type="dxa"/>
          </w:tcPr>
          <w:p w:rsidR="00DF3EE3" w:rsidRPr="00DF3EE3" w:rsidRDefault="00DF3EE3" w:rsidP="00DF3EE3">
            <w:pPr>
              <w:spacing w:after="200" w:line="276" w:lineRule="auto"/>
              <w:rPr>
                <w:rFonts w:asciiTheme="minorHAnsi" w:eastAsiaTheme="minorHAnsi" w:hAnsiTheme="minorHAnsi" w:cstheme="minorHAnsi"/>
                <w:b/>
                <w:lang w:eastAsia="en-US"/>
              </w:rPr>
            </w:pPr>
            <w:r w:rsidRPr="00DF3EE3">
              <w:rPr>
                <w:rFonts w:asciiTheme="minorHAnsi" w:eastAsiaTheme="minorHAnsi" w:hAnsiTheme="minorHAnsi" w:cstheme="minorHAnsi"/>
                <w:b/>
                <w:lang w:eastAsia="en-US"/>
              </w:rPr>
              <w:t>Date of Meeting:</w:t>
            </w:r>
          </w:p>
        </w:tc>
        <w:tc>
          <w:tcPr>
            <w:tcW w:w="6320" w:type="dxa"/>
            <w:shd w:val="clear" w:color="auto" w:fill="auto"/>
          </w:tcPr>
          <w:p w:rsidR="006C6D07" w:rsidRPr="00A5757C" w:rsidRDefault="0064012C" w:rsidP="00826FF2">
            <w:pPr>
              <w:spacing w:after="200" w:line="276" w:lineRule="auto"/>
              <w:rPr>
                <w:rFonts w:asciiTheme="minorHAnsi" w:eastAsiaTheme="minorHAnsi" w:hAnsiTheme="minorHAnsi" w:cstheme="minorHAnsi"/>
                <w:lang w:eastAsia="en-US"/>
              </w:rPr>
            </w:pPr>
            <w:r w:rsidRPr="0064012C">
              <w:rPr>
                <w:rFonts w:asciiTheme="minorHAnsi" w:eastAsiaTheme="minorHAnsi" w:hAnsiTheme="minorHAnsi" w:cstheme="minorHAnsi"/>
                <w:lang w:eastAsia="en-US"/>
              </w:rPr>
              <w:t>25</w:t>
            </w:r>
            <w:r w:rsidRPr="0064012C">
              <w:rPr>
                <w:rFonts w:asciiTheme="minorHAnsi" w:eastAsiaTheme="minorHAnsi" w:hAnsiTheme="minorHAnsi" w:cstheme="minorHAnsi"/>
                <w:vertAlign w:val="superscript"/>
                <w:lang w:eastAsia="en-US"/>
              </w:rPr>
              <w:t>th</w:t>
            </w:r>
            <w:r w:rsidRPr="0064012C">
              <w:rPr>
                <w:rFonts w:asciiTheme="minorHAnsi" w:eastAsiaTheme="minorHAnsi" w:hAnsiTheme="minorHAnsi" w:cstheme="minorHAnsi"/>
                <w:lang w:eastAsia="en-US"/>
              </w:rPr>
              <w:t xml:space="preserve"> January 2017</w:t>
            </w:r>
            <w:r w:rsidR="00826FF2" w:rsidRPr="0064012C">
              <w:rPr>
                <w:rFonts w:asciiTheme="minorHAnsi" w:eastAsiaTheme="minorHAnsi" w:hAnsiTheme="minorHAnsi" w:cstheme="minorHAnsi"/>
                <w:lang w:eastAsia="en-US"/>
              </w:rPr>
              <w:t xml:space="preserve"> – </w:t>
            </w:r>
            <w:r w:rsidR="006C6D07" w:rsidRPr="0064012C">
              <w:rPr>
                <w:rFonts w:asciiTheme="minorHAnsi" w:eastAsiaTheme="minorHAnsi" w:hAnsiTheme="minorHAnsi" w:cstheme="minorHAnsi"/>
                <w:lang w:eastAsia="en-US"/>
              </w:rPr>
              <w:t>report to Board</w:t>
            </w:r>
          </w:p>
        </w:tc>
      </w:tr>
    </w:tbl>
    <w:p w:rsidR="00DF3EE3" w:rsidRPr="00DF3EE3" w:rsidRDefault="00DF3EE3" w:rsidP="00DF3EE3">
      <w:pPr>
        <w:spacing w:line="276" w:lineRule="auto"/>
        <w:jc w:val="center"/>
        <w:rPr>
          <w:rFonts w:asciiTheme="minorHAnsi" w:eastAsiaTheme="minorHAnsi" w:hAnsiTheme="minorHAnsi" w:cstheme="minorHAnsi"/>
          <w:b/>
          <w:lang w:eastAsia="en-US"/>
        </w:rPr>
      </w:pPr>
    </w:p>
    <w:tbl>
      <w:tblPr>
        <w:tblStyle w:val="TableGrid1"/>
        <w:tblW w:w="0" w:type="auto"/>
        <w:tblLook w:val="04A0" w:firstRow="1" w:lastRow="0" w:firstColumn="1" w:lastColumn="0" w:noHBand="0" w:noVBand="1"/>
      </w:tblPr>
      <w:tblGrid>
        <w:gridCol w:w="2628"/>
        <w:gridCol w:w="6320"/>
      </w:tblGrid>
      <w:tr w:rsidR="00DF3EE3" w:rsidRPr="00DF3EE3" w:rsidTr="00DF3EE3">
        <w:tc>
          <w:tcPr>
            <w:tcW w:w="2628" w:type="dxa"/>
          </w:tcPr>
          <w:p w:rsidR="00DF3EE3" w:rsidRPr="00DF3EE3" w:rsidRDefault="00DF3EE3" w:rsidP="00DF3EE3">
            <w:pPr>
              <w:spacing w:after="200" w:line="276" w:lineRule="auto"/>
              <w:rPr>
                <w:rFonts w:asciiTheme="minorHAnsi" w:eastAsiaTheme="minorHAnsi" w:hAnsiTheme="minorHAnsi" w:cstheme="minorHAnsi"/>
                <w:b/>
                <w:lang w:eastAsia="en-US"/>
              </w:rPr>
            </w:pPr>
            <w:r w:rsidRPr="00DF3EE3">
              <w:rPr>
                <w:rFonts w:asciiTheme="minorHAnsi" w:eastAsiaTheme="minorHAnsi" w:hAnsiTheme="minorHAnsi" w:cstheme="minorHAnsi"/>
                <w:b/>
                <w:lang w:eastAsia="en-US"/>
              </w:rPr>
              <w:t>Title of Paper</w:t>
            </w:r>
            <w:r>
              <w:rPr>
                <w:rFonts w:asciiTheme="minorHAnsi" w:eastAsiaTheme="minorHAnsi" w:hAnsiTheme="minorHAnsi" w:cstheme="minorHAnsi"/>
                <w:b/>
                <w:lang w:eastAsia="en-US"/>
              </w:rPr>
              <w:t>:</w:t>
            </w:r>
          </w:p>
        </w:tc>
        <w:tc>
          <w:tcPr>
            <w:tcW w:w="6320" w:type="dxa"/>
          </w:tcPr>
          <w:p w:rsidR="00613941" w:rsidRPr="007B0F30" w:rsidRDefault="00DF3EE3" w:rsidP="00BC7822">
            <w:pPr>
              <w:spacing w:after="200" w:line="276" w:lineRule="auto"/>
              <w:rPr>
                <w:rFonts w:asciiTheme="minorHAnsi" w:hAnsiTheme="minorHAnsi" w:cstheme="minorHAnsi"/>
              </w:rPr>
            </w:pPr>
            <w:r w:rsidRPr="00DF3EE3">
              <w:rPr>
                <w:rFonts w:asciiTheme="minorHAnsi" w:hAnsiTheme="minorHAnsi" w:cstheme="minorHAnsi"/>
              </w:rPr>
              <w:t xml:space="preserve">Financial </w:t>
            </w:r>
            <w:r w:rsidR="00AD76CF">
              <w:rPr>
                <w:rFonts w:asciiTheme="minorHAnsi" w:hAnsiTheme="minorHAnsi" w:cstheme="minorHAnsi"/>
              </w:rPr>
              <w:t xml:space="preserve">report </w:t>
            </w:r>
            <w:r w:rsidR="008D3436">
              <w:rPr>
                <w:rFonts w:asciiTheme="minorHAnsi" w:hAnsiTheme="minorHAnsi" w:cstheme="minorHAnsi"/>
              </w:rPr>
              <w:t xml:space="preserve"> - </w:t>
            </w:r>
            <w:r w:rsidR="00032034">
              <w:rPr>
                <w:rFonts w:asciiTheme="minorHAnsi" w:hAnsiTheme="minorHAnsi" w:cstheme="minorHAnsi"/>
              </w:rPr>
              <w:t>November</w:t>
            </w:r>
            <w:r w:rsidR="00B603BD">
              <w:rPr>
                <w:rFonts w:asciiTheme="minorHAnsi" w:hAnsiTheme="minorHAnsi" w:cstheme="minorHAnsi"/>
              </w:rPr>
              <w:t xml:space="preserve"> </w:t>
            </w:r>
            <w:r w:rsidR="00D428E3">
              <w:rPr>
                <w:rFonts w:asciiTheme="minorHAnsi" w:hAnsiTheme="minorHAnsi" w:cstheme="minorHAnsi"/>
              </w:rPr>
              <w:t>2016</w:t>
            </w:r>
          </w:p>
        </w:tc>
      </w:tr>
      <w:tr w:rsidR="00DF3EE3" w:rsidRPr="00DF3EE3" w:rsidTr="00DF3EE3">
        <w:tc>
          <w:tcPr>
            <w:tcW w:w="2628" w:type="dxa"/>
          </w:tcPr>
          <w:p w:rsidR="00DF3EE3" w:rsidRPr="00DF3EE3" w:rsidRDefault="00DF3EE3" w:rsidP="00DF3EE3">
            <w:pPr>
              <w:spacing w:after="200" w:line="276" w:lineRule="auto"/>
              <w:rPr>
                <w:rFonts w:asciiTheme="minorHAnsi" w:eastAsiaTheme="minorHAnsi" w:hAnsiTheme="minorHAnsi" w:cstheme="minorHAnsi"/>
                <w:b/>
                <w:lang w:eastAsia="en-US"/>
              </w:rPr>
            </w:pPr>
            <w:r w:rsidRPr="00DF3EE3">
              <w:rPr>
                <w:rFonts w:asciiTheme="minorHAnsi" w:eastAsiaTheme="minorHAnsi" w:hAnsiTheme="minorHAnsi" w:cstheme="minorHAnsi"/>
                <w:b/>
                <w:lang w:eastAsia="en-US"/>
              </w:rPr>
              <w:t>Purpose of Paper:</w:t>
            </w:r>
          </w:p>
        </w:tc>
        <w:tc>
          <w:tcPr>
            <w:tcW w:w="6320" w:type="dxa"/>
          </w:tcPr>
          <w:p w:rsidR="0025092F" w:rsidRPr="00DF3EE3" w:rsidRDefault="009F5C1B" w:rsidP="00B07207">
            <w:pPr>
              <w:spacing w:after="200" w:line="276" w:lineRule="auto"/>
              <w:rPr>
                <w:rFonts w:asciiTheme="minorHAnsi" w:eastAsiaTheme="minorHAnsi" w:hAnsiTheme="minorHAnsi" w:cstheme="minorHAnsi"/>
                <w:lang w:eastAsia="en-US"/>
              </w:rPr>
            </w:pPr>
            <w:r>
              <w:rPr>
                <w:rFonts w:asciiTheme="minorHAnsi" w:eastAsiaTheme="minorHAnsi" w:hAnsiTheme="minorHAnsi" w:cstheme="minorHAnsi"/>
                <w:lang w:eastAsia="en-US"/>
              </w:rPr>
              <w:t>To seek approval of</w:t>
            </w:r>
            <w:r w:rsidR="00DF3EE3">
              <w:rPr>
                <w:rFonts w:asciiTheme="minorHAnsi" w:eastAsiaTheme="minorHAnsi" w:hAnsiTheme="minorHAnsi" w:cstheme="minorHAnsi"/>
                <w:lang w:eastAsia="en-US"/>
              </w:rPr>
              <w:t xml:space="preserve"> </w:t>
            </w:r>
            <w:r w:rsidR="00B07207">
              <w:rPr>
                <w:rFonts w:asciiTheme="minorHAnsi" w:eastAsiaTheme="minorHAnsi" w:hAnsiTheme="minorHAnsi" w:cstheme="minorHAnsi"/>
                <w:lang w:eastAsia="en-US"/>
              </w:rPr>
              <w:t>our</w:t>
            </w:r>
            <w:r w:rsidR="00DF3EE3">
              <w:rPr>
                <w:rFonts w:asciiTheme="minorHAnsi" w:eastAsiaTheme="minorHAnsi" w:hAnsiTheme="minorHAnsi" w:cstheme="minorHAnsi"/>
                <w:lang w:eastAsia="en-US"/>
              </w:rPr>
              <w:t xml:space="preserve"> financial </w:t>
            </w:r>
            <w:r w:rsidR="00B07207">
              <w:rPr>
                <w:rFonts w:asciiTheme="minorHAnsi" w:eastAsiaTheme="minorHAnsi" w:hAnsiTheme="minorHAnsi" w:cstheme="minorHAnsi"/>
                <w:lang w:eastAsia="en-US"/>
              </w:rPr>
              <w:t>performance</w:t>
            </w:r>
            <w:r w:rsidR="00DF3EE3">
              <w:rPr>
                <w:rFonts w:asciiTheme="minorHAnsi" w:eastAsiaTheme="minorHAnsi" w:hAnsiTheme="minorHAnsi" w:cstheme="minorHAnsi"/>
                <w:lang w:eastAsia="en-US"/>
              </w:rPr>
              <w:t xml:space="preserve"> </w:t>
            </w:r>
            <w:r w:rsidR="00B07207">
              <w:rPr>
                <w:rFonts w:asciiTheme="minorHAnsi" w:eastAsiaTheme="minorHAnsi" w:hAnsiTheme="minorHAnsi" w:cstheme="minorHAnsi"/>
                <w:lang w:eastAsia="en-US"/>
              </w:rPr>
              <w:t xml:space="preserve">as at the 30 November 2016 and provide an update on our forecast financial performance for 2017/18 including steps taken to address HGIAS financial management improvement recommendations. </w:t>
            </w:r>
          </w:p>
        </w:tc>
      </w:tr>
      <w:tr w:rsidR="00DF3EE3" w:rsidRPr="00DF3EE3" w:rsidTr="00DF3EE3">
        <w:tc>
          <w:tcPr>
            <w:tcW w:w="2628" w:type="dxa"/>
          </w:tcPr>
          <w:p w:rsidR="00DF3EE3" w:rsidRPr="00DF3EE3" w:rsidRDefault="00DF3EE3" w:rsidP="00DF3EE3">
            <w:pPr>
              <w:spacing w:after="200" w:line="276" w:lineRule="auto"/>
              <w:rPr>
                <w:rFonts w:asciiTheme="minorHAnsi" w:eastAsiaTheme="minorHAnsi" w:hAnsiTheme="minorHAnsi" w:cstheme="minorHAnsi"/>
                <w:b/>
                <w:lang w:eastAsia="en-US"/>
              </w:rPr>
            </w:pPr>
            <w:r w:rsidRPr="00DF3EE3">
              <w:rPr>
                <w:rFonts w:asciiTheme="minorHAnsi" w:eastAsiaTheme="minorHAnsi" w:hAnsiTheme="minorHAnsi" w:cstheme="minorHAnsi"/>
                <w:b/>
                <w:lang w:eastAsia="en-US"/>
              </w:rPr>
              <w:t>Reason for Submission:</w:t>
            </w:r>
          </w:p>
        </w:tc>
        <w:tc>
          <w:tcPr>
            <w:tcW w:w="6320" w:type="dxa"/>
          </w:tcPr>
          <w:p w:rsidR="00B07207" w:rsidRDefault="00165D47" w:rsidP="00861399">
            <w:pPr>
              <w:spacing w:after="200" w:line="276" w:lineRule="auto"/>
              <w:rPr>
                <w:rFonts w:asciiTheme="minorHAnsi" w:eastAsiaTheme="minorHAnsi" w:hAnsiTheme="minorHAnsi" w:cstheme="minorHAnsi"/>
                <w:lang w:eastAsia="en-US"/>
              </w:rPr>
            </w:pPr>
            <w:r>
              <w:rPr>
                <w:rFonts w:asciiTheme="minorHAnsi" w:eastAsiaTheme="minorHAnsi" w:hAnsiTheme="minorHAnsi" w:cstheme="minorHAnsi"/>
                <w:lang w:eastAsia="en-US"/>
              </w:rPr>
              <w:t xml:space="preserve">To </w:t>
            </w:r>
            <w:r w:rsidR="004A176F">
              <w:rPr>
                <w:rFonts w:asciiTheme="minorHAnsi" w:eastAsiaTheme="minorHAnsi" w:hAnsiTheme="minorHAnsi" w:cstheme="minorHAnsi"/>
                <w:lang w:eastAsia="en-US"/>
              </w:rPr>
              <w:t xml:space="preserve">update the </w:t>
            </w:r>
            <w:r w:rsidR="00B07207">
              <w:rPr>
                <w:rFonts w:asciiTheme="minorHAnsi" w:eastAsiaTheme="minorHAnsi" w:hAnsiTheme="minorHAnsi" w:cstheme="minorHAnsi"/>
                <w:lang w:eastAsia="en-US"/>
              </w:rPr>
              <w:t>Board</w:t>
            </w:r>
            <w:r w:rsidR="00AD76CF">
              <w:rPr>
                <w:rFonts w:asciiTheme="minorHAnsi" w:eastAsiaTheme="minorHAnsi" w:hAnsiTheme="minorHAnsi" w:cstheme="minorHAnsi"/>
                <w:lang w:eastAsia="en-US"/>
              </w:rPr>
              <w:t xml:space="preserve"> </w:t>
            </w:r>
            <w:r w:rsidR="004A176F">
              <w:rPr>
                <w:rFonts w:asciiTheme="minorHAnsi" w:eastAsiaTheme="minorHAnsi" w:hAnsiTheme="minorHAnsi" w:cstheme="minorHAnsi"/>
                <w:lang w:eastAsia="en-US"/>
              </w:rPr>
              <w:t>on</w:t>
            </w:r>
            <w:r w:rsidR="00B07207">
              <w:rPr>
                <w:rFonts w:asciiTheme="minorHAnsi" w:eastAsiaTheme="minorHAnsi" w:hAnsiTheme="minorHAnsi" w:cstheme="minorHAnsi"/>
                <w:lang w:eastAsia="en-US"/>
              </w:rPr>
              <w:t>:</w:t>
            </w:r>
          </w:p>
          <w:p w:rsidR="00B07207" w:rsidRDefault="00DF3EE3" w:rsidP="00B07207">
            <w:pPr>
              <w:pStyle w:val="ListParagraph"/>
              <w:numPr>
                <w:ilvl w:val="0"/>
                <w:numId w:val="31"/>
              </w:numPr>
              <w:spacing w:after="200" w:line="276" w:lineRule="auto"/>
              <w:rPr>
                <w:rFonts w:asciiTheme="minorHAnsi" w:eastAsiaTheme="minorHAnsi" w:hAnsiTheme="minorHAnsi" w:cstheme="minorHAnsi"/>
                <w:lang w:eastAsia="en-US"/>
              </w:rPr>
            </w:pPr>
            <w:r w:rsidRPr="00B07207">
              <w:rPr>
                <w:rFonts w:asciiTheme="minorHAnsi" w:eastAsiaTheme="minorHAnsi" w:hAnsiTheme="minorHAnsi" w:cstheme="minorHAnsi"/>
                <w:lang w:eastAsia="en-US"/>
              </w:rPr>
              <w:t xml:space="preserve">the </w:t>
            </w:r>
            <w:r w:rsidR="00615A53" w:rsidRPr="00B07207">
              <w:rPr>
                <w:rFonts w:asciiTheme="minorHAnsi" w:eastAsiaTheme="minorHAnsi" w:hAnsiTheme="minorHAnsi" w:cstheme="minorHAnsi"/>
                <w:lang w:eastAsia="en-US"/>
              </w:rPr>
              <w:t xml:space="preserve">financial </w:t>
            </w:r>
            <w:r w:rsidR="00B07207">
              <w:rPr>
                <w:rFonts w:asciiTheme="minorHAnsi" w:eastAsiaTheme="minorHAnsi" w:hAnsiTheme="minorHAnsi" w:cstheme="minorHAnsi"/>
                <w:lang w:eastAsia="en-US"/>
              </w:rPr>
              <w:t>performance</w:t>
            </w:r>
            <w:r w:rsidR="00615A53" w:rsidRPr="00B07207">
              <w:rPr>
                <w:rFonts w:asciiTheme="minorHAnsi" w:eastAsiaTheme="minorHAnsi" w:hAnsiTheme="minorHAnsi" w:cstheme="minorHAnsi"/>
                <w:lang w:eastAsia="en-US"/>
              </w:rPr>
              <w:t xml:space="preserve"> </w:t>
            </w:r>
            <w:r w:rsidR="00BE168E" w:rsidRPr="00B07207">
              <w:rPr>
                <w:rFonts w:asciiTheme="minorHAnsi" w:eastAsiaTheme="minorHAnsi" w:hAnsiTheme="minorHAnsi" w:cstheme="minorHAnsi"/>
                <w:lang w:eastAsia="en-US"/>
              </w:rPr>
              <w:t xml:space="preserve">of the HRA as </w:t>
            </w:r>
            <w:r w:rsidR="009413A8" w:rsidRPr="00B07207">
              <w:rPr>
                <w:rFonts w:asciiTheme="minorHAnsi" w:eastAsiaTheme="minorHAnsi" w:hAnsiTheme="minorHAnsi" w:cstheme="minorHAnsi"/>
                <w:lang w:eastAsia="en-US"/>
              </w:rPr>
              <w:t xml:space="preserve">at </w:t>
            </w:r>
            <w:r w:rsidR="004A176F">
              <w:rPr>
                <w:rFonts w:asciiTheme="minorHAnsi" w:eastAsiaTheme="minorHAnsi" w:hAnsiTheme="minorHAnsi" w:cstheme="minorHAnsi"/>
                <w:lang w:eastAsia="en-US"/>
              </w:rPr>
              <w:t>30/11/2016</w:t>
            </w:r>
          </w:p>
          <w:p w:rsidR="00BB2B8A" w:rsidRDefault="00B07207" w:rsidP="00B07207">
            <w:pPr>
              <w:pStyle w:val="ListParagraph"/>
              <w:numPr>
                <w:ilvl w:val="0"/>
                <w:numId w:val="31"/>
              </w:numPr>
              <w:spacing w:after="200" w:line="276" w:lineRule="auto"/>
              <w:rPr>
                <w:rFonts w:asciiTheme="minorHAnsi" w:eastAsiaTheme="minorHAnsi" w:hAnsiTheme="minorHAnsi" w:cstheme="minorHAnsi"/>
                <w:lang w:eastAsia="en-US"/>
              </w:rPr>
            </w:pPr>
            <w:r>
              <w:rPr>
                <w:rFonts w:asciiTheme="minorHAnsi" w:eastAsiaTheme="minorHAnsi" w:hAnsiTheme="minorHAnsi" w:cstheme="minorHAnsi"/>
                <w:lang w:eastAsia="en-US"/>
              </w:rPr>
              <w:t>our forecast financial performance for 201</w:t>
            </w:r>
            <w:r w:rsidR="00643F97">
              <w:rPr>
                <w:rFonts w:asciiTheme="minorHAnsi" w:eastAsiaTheme="minorHAnsi" w:hAnsiTheme="minorHAnsi" w:cstheme="minorHAnsi"/>
                <w:lang w:eastAsia="en-US"/>
              </w:rPr>
              <w:t>6</w:t>
            </w:r>
            <w:r>
              <w:rPr>
                <w:rFonts w:asciiTheme="minorHAnsi" w:eastAsiaTheme="minorHAnsi" w:hAnsiTheme="minorHAnsi" w:cstheme="minorHAnsi"/>
                <w:lang w:eastAsia="en-US"/>
              </w:rPr>
              <w:t>/1</w:t>
            </w:r>
            <w:r w:rsidR="00643F97">
              <w:rPr>
                <w:rFonts w:asciiTheme="minorHAnsi" w:eastAsiaTheme="minorHAnsi" w:hAnsiTheme="minorHAnsi" w:cstheme="minorHAnsi"/>
                <w:lang w:eastAsia="en-US"/>
              </w:rPr>
              <w:t>7</w:t>
            </w:r>
          </w:p>
          <w:p w:rsidR="00B07207" w:rsidRPr="00B07207" w:rsidRDefault="00B07207" w:rsidP="00B07207">
            <w:pPr>
              <w:pStyle w:val="ListParagraph"/>
              <w:numPr>
                <w:ilvl w:val="0"/>
                <w:numId w:val="31"/>
              </w:numPr>
              <w:spacing w:after="200" w:line="276" w:lineRule="auto"/>
              <w:rPr>
                <w:rFonts w:asciiTheme="minorHAnsi" w:eastAsiaTheme="minorHAnsi" w:hAnsiTheme="minorHAnsi" w:cstheme="minorHAnsi"/>
                <w:lang w:eastAsia="en-US"/>
              </w:rPr>
            </w:pPr>
            <w:r>
              <w:rPr>
                <w:rFonts w:asciiTheme="minorHAnsi" w:eastAsiaTheme="minorHAnsi" w:hAnsiTheme="minorHAnsi" w:cstheme="minorHAnsi"/>
                <w:lang w:eastAsia="en-US"/>
              </w:rPr>
              <w:t>improvements to the financial management environment implemented following the HGIAS report</w:t>
            </w:r>
          </w:p>
        </w:tc>
      </w:tr>
      <w:tr w:rsidR="00EB22E9" w:rsidRPr="00AD22E4" w:rsidTr="00DF3EE3">
        <w:tc>
          <w:tcPr>
            <w:tcW w:w="2628" w:type="dxa"/>
          </w:tcPr>
          <w:p w:rsidR="00EB22E9" w:rsidRPr="00DF3EE3" w:rsidRDefault="00EB22E9" w:rsidP="00DF3EE3">
            <w:pPr>
              <w:spacing w:after="200" w:line="276" w:lineRule="auto"/>
              <w:rPr>
                <w:rFonts w:asciiTheme="minorHAnsi" w:eastAsiaTheme="minorHAnsi" w:hAnsiTheme="minorHAnsi" w:cstheme="minorHAnsi"/>
                <w:b/>
                <w:lang w:eastAsia="en-US"/>
              </w:rPr>
            </w:pPr>
            <w:r>
              <w:rPr>
                <w:rFonts w:asciiTheme="minorHAnsi" w:eastAsiaTheme="minorHAnsi" w:hAnsiTheme="minorHAnsi" w:cstheme="minorHAnsi"/>
                <w:b/>
                <w:lang w:eastAsia="en-US"/>
              </w:rPr>
              <w:t>Lead Reviewer:</w:t>
            </w:r>
          </w:p>
        </w:tc>
        <w:tc>
          <w:tcPr>
            <w:tcW w:w="6320" w:type="dxa"/>
          </w:tcPr>
          <w:p w:rsidR="00EB22E9" w:rsidRDefault="00EB22E9" w:rsidP="006E30B3">
            <w:pPr>
              <w:spacing w:after="200" w:line="276" w:lineRule="auto"/>
              <w:rPr>
                <w:rFonts w:asciiTheme="minorHAnsi" w:eastAsiaTheme="minorHAnsi" w:hAnsiTheme="minorHAnsi" w:cstheme="minorHAnsi"/>
                <w:lang w:eastAsia="en-US"/>
              </w:rPr>
            </w:pPr>
            <w:r>
              <w:rPr>
                <w:rFonts w:asciiTheme="minorHAnsi" w:eastAsiaTheme="minorHAnsi" w:hAnsiTheme="minorHAnsi" w:cstheme="minorHAnsi"/>
                <w:lang w:eastAsia="en-US"/>
              </w:rPr>
              <w:t xml:space="preserve">Tom Smith, Director of </w:t>
            </w:r>
            <w:r w:rsidR="009413A8">
              <w:rPr>
                <w:rFonts w:asciiTheme="minorHAnsi" w:eastAsiaTheme="minorHAnsi" w:hAnsiTheme="minorHAnsi" w:cstheme="minorHAnsi"/>
                <w:lang w:eastAsia="en-US"/>
              </w:rPr>
              <w:t>Guidance and Learning</w:t>
            </w:r>
            <w:r w:rsidR="00BC7822">
              <w:rPr>
                <w:rFonts w:asciiTheme="minorHAnsi" w:eastAsiaTheme="minorHAnsi" w:hAnsiTheme="minorHAnsi" w:cstheme="minorHAnsi"/>
                <w:lang w:eastAsia="en-US"/>
              </w:rPr>
              <w:t xml:space="preserve"> </w:t>
            </w:r>
            <w:r w:rsidR="00D428E3">
              <w:rPr>
                <w:rFonts w:asciiTheme="minorHAnsi" w:eastAsiaTheme="minorHAnsi" w:hAnsiTheme="minorHAnsi" w:cstheme="minorHAnsi"/>
                <w:lang w:eastAsia="en-US"/>
              </w:rPr>
              <w:t xml:space="preserve">- </w:t>
            </w:r>
            <w:r w:rsidR="0064012C">
              <w:rPr>
                <w:rFonts w:asciiTheme="minorHAnsi" w:eastAsiaTheme="minorHAnsi" w:hAnsiTheme="minorHAnsi" w:cstheme="minorHAnsi"/>
                <w:lang w:eastAsia="en-US"/>
              </w:rPr>
              <w:t>4</w:t>
            </w:r>
            <w:r w:rsidR="0064012C" w:rsidRPr="0064012C">
              <w:rPr>
                <w:rFonts w:asciiTheme="minorHAnsi" w:eastAsiaTheme="minorHAnsi" w:hAnsiTheme="minorHAnsi" w:cstheme="minorHAnsi"/>
                <w:vertAlign w:val="superscript"/>
                <w:lang w:eastAsia="en-US"/>
              </w:rPr>
              <w:t>th</w:t>
            </w:r>
            <w:r w:rsidR="0064012C">
              <w:rPr>
                <w:rFonts w:asciiTheme="minorHAnsi" w:eastAsiaTheme="minorHAnsi" w:hAnsiTheme="minorHAnsi" w:cstheme="minorHAnsi"/>
                <w:lang w:eastAsia="en-US"/>
              </w:rPr>
              <w:t xml:space="preserve"> January</w:t>
            </w:r>
            <w:r w:rsidR="006E30B3">
              <w:rPr>
                <w:rFonts w:asciiTheme="minorHAnsi" w:eastAsiaTheme="minorHAnsi" w:hAnsiTheme="minorHAnsi" w:cstheme="minorHAnsi"/>
                <w:lang w:eastAsia="en-US"/>
              </w:rPr>
              <w:t xml:space="preserve"> </w:t>
            </w:r>
            <w:r w:rsidR="0064012C">
              <w:rPr>
                <w:rFonts w:asciiTheme="minorHAnsi" w:eastAsiaTheme="minorHAnsi" w:hAnsiTheme="minorHAnsi" w:cstheme="minorHAnsi"/>
                <w:lang w:eastAsia="en-US"/>
              </w:rPr>
              <w:t>2017.</w:t>
            </w:r>
          </w:p>
        </w:tc>
      </w:tr>
      <w:tr w:rsidR="00DF3EE3" w:rsidRPr="00AD22E4" w:rsidTr="00DF3EE3">
        <w:tc>
          <w:tcPr>
            <w:tcW w:w="2628" w:type="dxa"/>
          </w:tcPr>
          <w:p w:rsidR="00DF3EE3" w:rsidRPr="00DF3EE3" w:rsidRDefault="00DF3EE3" w:rsidP="00DF3EE3">
            <w:pPr>
              <w:spacing w:after="200" w:line="276" w:lineRule="auto"/>
              <w:rPr>
                <w:rFonts w:asciiTheme="minorHAnsi" w:eastAsiaTheme="minorHAnsi" w:hAnsiTheme="minorHAnsi" w:cstheme="minorHAnsi"/>
                <w:b/>
                <w:lang w:eastAsia="en-US"/>
              </w:rPr>
            </w:pPr>
            <w:r w:rsidRPr="00DF3EE3">
              <w:rPr>
                <w:rFonts w:asciiTheme="minorHAnsi" w:eastAsiaTheme="minorHAnsi" w:hAnsiTheme="minorHAnsi" w:cstheme="minorHAnsi"/>
                <w:b/>
                <w:lang w:eastAsia="en-US"/>
              </w:rPr>
              <w:t>Details:</w:t>
            </w:r>
          </w:p>
        </w:tc>
        <w:tc>
          <w:tcPr>
            <w:tcW w:w="6320" w:type="dxa"/>
          </w:tcPr>
          <w:p w:rsidR="00706F89" w:rsidRPr="0066437D" w:rsidRDefault="00706F89" w:rsidP="00DF3EE3">
            <w:pPr>
              <w:spacing w:after="200" w:line="276" w:lineRule="auto"/>
              <w:rPr>
                <w:rFonts w:asciiTheme="minorHAnsi" w:eastAsiaTheme="minorHAnsi" w:hAnsiTheme="minorHAnsi" w:cstheme="minorHAnsi"/>
                <w:lang w:eastAsia="en-US"/>
              </w:rPr>
            </w:pPr>
            <w:r w:rsidRPr="0066437D">
              <w:rPr>
                <w:rFonts w:asciiTheme="minorHAnsi" w:eastAsiaTheme="minorHAnsi" w:hAnsiTheme="minorHAnsi" w:cstheme="minorHAnsi"/>
                <w:lang w:eastAsia="en-US"/>
              </w:rPr>
              <w:t>Main points to note:</w:t>
            </w:r>
          </w:p>
          <w:p w:rsidR="00181165" w:rsidRDefault="00181165" w:rsidP="00826FF2">
            <w:pPr>
              <w:pStyle w:val="ListParagraph"/>
              <w:numPr>
                <w:ilvl w:val="0"/>
                <w:numId w:val="24"/>
              </w:numPr>
              <w:spacing w:after="200" w:line="276" w:lineRule="auto"/>
              <w:rPr>
                <w:rFonts w:asciiTheme="minorHAnsi" w:eastAsiaTheme="minorHAnsi" w:hAnsiTheme="minorHAnsi" w:cstheme="minorHAnsi"/>
                <w:lang w:eastAsia="en-US"/>
              </w:rPr>
            </w:pPr>
            <w:r>
              <w:rPr>
                <w:rFonts w:asciiTheme="minorHAnsi" w:eastAsiaTheme="minorHAnsi" w:hAnsiTheme="minorHAnsi" w:cstheme="minorHAnsi"/>
                <w:lang w:eastAsia="en-US"/>
              </w:rPr>
              <w:t xml:space="preserve">Current financial performance matches closely our anticipated position at this time, with a small overspend position £24k (less than 1%) reported on revenue expenditure at 30/11/2016 and small underspend position £26k (1%) reported on capital expenditure </w:t>
            </w:r>
          </w:p>
          <w:p w:rsidR="00181165" w:rsidRDefault="00181165" w:rsidP="00826FF2">
            <w:pPr>
              <w:pStyle w:val="ListParagraph"/>
              <w:numPr>
                <w:ilvl w:val="0"/>
                <w:numId w:val="24"/>
              </w:numPr>
              <w:spacing w:after="200" w:line="276" w:lineRule="auto"/>
              <w:rPr>
                <w:rFonts w:asciiTheme="minorHAnsi" w:eastAsiaTheme="minorHAnsi" w:hAnsiTheme="minorHAnsi" w:cstheme="minorHAnsi"/>
                <w:lang w:eastAsia="en-US"/>
              </w:rPr>
            </w:pPr>
            <w:r>
              <w:rPr>
                <w:rFonts w:asciiTheme="minorHAnsi" w:eastAsiaTheme="minorHAnsi" w:hAnsiTheme="minorHAnsi" w:cstheme="minorHAnsi"/>
                <w:lang w:eastAsia="en-US"/>
              </w:rPr>
              <w:t>Our forecast revenue expenditure position has moved from breakeven to a</w:t>
            </w:r>
            <w:r w:rsidR="000B483A">
              <w:rPr>
                <w:rFonts w:asciiTheme="minorHAnsi" w:eastAsiaTheme="minorHAnsi" w:hAnsiTheme="minorHAnsi" w:cstheme="minorHAnsi"/>
                <w:lang w:eastAsia="en-US"/>
              </w:rPr>
              <w:t xml:space="preserve"> potential</w:t>
            </w:r>
            <w:r>
              <w:rPr>
                <w:rFonts w:asciiTheme="minorHAnsi" w:eastAsiaTheme="minorHAnsi" w:hAnsiTheme="minorHAnsi" w:cstheme="minorHAnsi"/>
                <w:lang w:eastAsia="en-US"/>
              </w:rPr>
              <w:t xml:space="preserve"> underspend in the region of £100k to £200k (0.7% - 1.4%)</w:t>
            </w:r>
          </w:p>
          <w:p w:rsidR="000B483A" w:rsidRDefault="000B483A" w:rsidP="00826FF2">
            <w:pPr>
              <w:pStyle w:val="ListParagraph"/>
              <w:numPr>
                <w:ilvl w:val="0"/>
                <w:numId w:val="24"/>
              </w:numPr>
              <w:spacing w:after="200" w:line="276" w:lineRule="auto"/>
              <w:rPr>
                <w:rFonts w:asciiTheme="minorHAnsi" w:eastAsiaTheme="minorHAnsi" w:hAnsiTheme="minorHAnsi" w:cstheme="minorHAnsi"/>
                <w:lang w:eastAsia="en-US"/>
              </w:rPr>
            </w:pPr>
            <w:r>
              <w:rPr>
                <w:rFonts w:asciiTheme="minorHAnsi" w:eastAsiaTheme="minorHAnsi" w:hAnsiTheme="minorHAnsi" w:cstheme="minorHAnsi"/>
                <w:lang w:eastAsia="en-US"/>
              </w:rPr>
              <w:t>A</w:t>
            </w:r>
            <w:r w:rsidR="00181165">
              <w:rPr>
                <w:rFonts w:asciiTheme="minorHAnsi" w:eastAsiaTheme="minorHAnsi" w:hAnsiTheme="minorHAnsi" w:cstheme="minorHAnsi"/>
                <w:lang w:eastAsia="en-US"/>
              </w:rPr>
              <w:t xml:space="preserve"> number of projects</w:t>
            </w:r>
            <w:r>
              <w:rPr>
                <w:rFonts w:asciiTheme="minorHAnsi" w:eastAsiaTheme="minorHAnsi" w:hAnsiTheme="minorHAnsi" w:cstheme="minorHAnsi"/>
                <w:lang w:eastAsia="en-US"/>
              </w:rPr>
              <w:t>,</w:t>
            </w:r>
            <w:r w:rsidR="00181165">
              <w:rPr>
                <w:rFonts w:asciiTheme="minorHAnsi" w:eastAsiaTheme="minorHAnsi" w:hAnsiTheme="minorHAnsi" w:cstheme="minorHAnsi"/>
                <w:lang w:eastAsia="en-US"/>
              </w:rPr>
              <w:t xml:space="preserve"> planned for the latter half </w:t>
            </w:r>
            <w:r>
              <w:rPr>
                <w:rFonts w:asciiTheme="minorHAnsi" w:eastAsiaTheme="minorHAnsi" w:hAnsiTheme="minorHAnsi" w:cstheme="minorHAnsi"/>
                <w:lang w:eastAsia="en-US"/>
              </w:rPr>
              <w:t xml:space="preserve">of the year, have been delayed and / or </w:t>
            </w:r>
            <w:r w:rsidR="00E32D8C">
              <w:rPr>
                <w:rFonts w:asciiTheme="minorHAnsi" w:eastAsiaTheme="minorHAnsi" w:hAnsiTheme="minorHAnsi" w:cstheme="minorHAnsi"/>
                <w:lang w:eastAsia="en-US"/>
              </w:rPr>
              <w:t>superseded</w:t>
            </w:r>
            <w:r>
              <w:rPr>
                <w:rFonts w:asciiTheme="minorHAnsi" w:eastAsiaTheme="minorHAnsi" w:hAnsiTheme="minorHAnsi" w:cstheme="minorHAnsi"/>
                <w:lang w:eastAsia="en-US"/>
              </w:rPr>
              <w:t xml:space="preserve"> by the service improvement programme</w:t>
            </w:r>
            <w:r w:rsidR="00181165">
              <w:rPr>
                <w:rFonts w:asciiTheme="minorHAnsi" w:eastAsiaTheme="minorHAnsi" w:hAnsiTheme="minorHAnsi" w:cstheme="minorHAnsi"/>
                <w:lang w:eastAsia="en-US"/>
              </w:rPr>
              <w:t xml:space="preserve"> impacting on our capacity to </w:t>
            </w:r>
            <w:r>
              <w:rPr>
                <w:rFonts w:asciiTheme="minorHAnsi" w:eastAsiaTheme="minorHAnsi" w:hAnsiTheme="minorHAnsi" w:cstheme="minorHAnsi"/>
                <w:lang w:eastAsia="en-US"/>
              </w:rPr>
              <w:t xml:space="preserve">deliver. </w:t>
            </w:r>
          </w:p>
          <w:p w:rsidR="00181165" w:rsidRDefault="000B483A" w:rsidP="00826FF2">
            <w:pPr>
              <w:pStyle w:val="ListParagraph"/>
              <w:numPr>
                <w:ilvl w:val="0"/>
                <w:numId w:val="24"/>
              </w:numPr>
              <w:spacing w:after="200" w:line="276" w:lineRule="auto"/>
              <w:rPr>
                <w:rFonts w:asciiTheme="minorHAnsi" w:eastAsiaTheme="minorHAnsi" w:hAnsiTheme="minorHAnsi" w:cstheme="minorHAnsi"/>
                <w:lang w:eastAsia="en-US"/>
              </w:rPr>
            </w:pPr>
            <w:r>
              <w:rPr>
                <w:rFonts w:asciiTheme="minorHAnsi" w:eastAsiaTheme="minorHAnsi" w:hAnsiTheme="minorHAnsi" w:cstheme="minorHAnsi"/>
                <w:lang w:eastAsia="en-US"/>
              </w:rPr>
              <w:lastRenderedPageBreak/>
              <w:t xml:space="preserve">The position, highlighted through improved financial management processes (forecast meetings with budget managers, budget manager training and close scrutiny of the reserves position by SEMT) is now </w:t>
            </w:r>
            <w:r w:rsidR="00FF2551">
              <w:rPr>
                <w:rFonts w:asciiTheme="minorHAnsi" w:eastAsiaTheme="minorHAnsi" w:hAnsiTheme="minorHAnsi" w:cstheme="minorHAnsi"/>
                <w:lang w:eastAsia="en-US"/>
              </w:rPr>
              <w:t>being</w:t>
            </w:r>
            <w:r>
              <w:rPr>
                <w:rFonts w:asciiTheme="minorHAnsi" w:eastAsiaTheme="minorHAnsi" w:hAnsiTheme="minorHAnsi" w:cstheme="minorHAnsi"/>
                <w:lang w:eastAsia="en-US"/>
              </w:rPr>
              <w:t xml:space="preserve"> reviewed in depth. </w:t>
            </w:r>
          </w:p>
          <w:p w:rsidR="000B483A" w:rsidRDefault="000B483A" w:rsidP="00826FF2">
            <w:pPr>
              <w:pStyle w:val="ListParagraph"/>
              <w:numPr>
                <w:ilvl w:val="0"/>
                <w:numId w:val="24"/>
              </w:numPr>
              <w:spacing w:after="200" w:line="276" w:lineRule="auto"/>
              <w:rPr>
                <w:rFonts w:asciiTheme="minorHAnsi" w:eastAsiaTheme="minorHAnsi" w:hAnsiTheme="minorHAnsi" w:cstheme="minorHAnsi"/>
                <w:lang w:eastAsia="en-US"/>
              </w:rPr>
            </w:pPr>
            <w:r>
              <w:rPr>
                <w:rFonts w:asciiTheme="minorHAnsi" w:eastAsiaTheme="minorHAnsi" w:hAnsiTheme="minorHAnsi" w:cstheme="minorHAnsi"/>
                <w:lang w:eastAsia="en-US"/>
              </w:rPr>
              <w:t>Work is also underway to identify projects that help us deliver our strategic goals and can be implemented quickly to address this potential underspend</w:t>
            </w:r>
            <w:r w:rsidR="00FF2551">
              <w:rPr>
                <w:rFonts w:asciiTheme="minorHAnsi" w:eastAsiaTheme="minorHAnsi" w:hAnsiTheme="minorHAnsi" w:cstheme="minorHAnsi"/>
                <w:lang w:eastAsia="en-US"/>
              </w:rPr>
              <w:t xml:space="preserve"> given known pressure on resources for 2017/18</w:t>
            </w:r>
            <w:r>
              <w:rPr>
                <w:rFonts w:asciiTheme="minorHAnsi" w:eastAsiaTheme="minorHAnsi" w:hAnsiTheme="minorHAnsi" w:cstheme="minorHAnsi"/>
                <w:lang w:eastAsia="en-US"/>
              </w:rPr>
              <w:t xml:space="preserve">. </w:t>
            </w:r>
          </w:p>
          <w:p w:rsidR="00181165" w:rsidRDefault="00181165" w:rsidP="00826FF2">
            <w:pPr>
              <w:pStyle w:val="ListParagraph"/>
              <w:numPr>
                <w:ilvl w:val="0"/>
                <w:numId w:val="24"/>
              </w:numPr>
              <w:spacing w:after="200" w:line="276" w:lineRule="auto"/>
              <w:rPr>
                <w:rFonts w:asciiTheme="minorHAnsi" w:eastAsiaTheme="minorHAnsi" w:hAnsiTheme="minorHAnsi" w:cstheme="minorHAnsi"/>
                <w:lang w:eastAsia="en-US"/>
              </w:rPr>
            </w:pPr>
            <w:r>
              <w:rPr>
                <w:rFonts w:asciiTheme="minorHAnsi" w:eastAsiaTheme="minorHAnsi" w:hAnsiTheme="minorHAnsi" w:cstheme="minorHAnsi"/>
                <w:lang w:eastAsia="en-US"/>
              </w:rPr>
              <w:t xml:space="preserve">Our forecast capital expenditure position remains </w:t>
            </w:r>
            <w:proofErr w:type="gramStart"/>
            <w:r>
              <w:rPr>
                <w:rFonts w:asciiTheme="minorHAnsi" w:eastAsiaTheme="minorHAnsi" w:hAnsiTheme="minorHAnsi" w:cstheme="minorHAnsi"/>
                <w:lang w:eastAsia="en-US"/>
              </w:rPr>
              <w:t>an underspend</w:t>
            </w:r>
            <w:proofErr w:type="gramEnd"/>
            <w:r>
              <w:rPr>
                <w:rFonts w:asciiTheme="minorHAnsi" w:eastAsiaTheme="minorHAnsi" w:hAnsiTheme="minorHAnsi" w:cstheme="minorHAnsi"/>
                <w:lang w:eastAsia="en-US"/>
              </w:rPr>
              <w:t xml:space="preserve"> of £14</w:t>
            </w:r>
            <w:r w:rsidR="00643F97">
              <w:rPr>
                <w:rFonts w:asciiTheme="minorHAnsi" w:eastAsiaTheme="minorHAnsi" w:hAnsiTheme="minorHAnsi" w:cstheme="minorHAnsi"/>
                <w:lang w:eastAsia="en-US"/>
              </w:rPr>
              <w:t>1</w:t>
            </w:r>
            <w:r>
              <w:rPr>
                <w:rFonts w:asciiTheme="minorHAnsi" w:eastAsiaTheme="minorHAnsi" w:hAnsiTheme="minorHAnsi" w:cstheme="minorHAnsi"/>
                <w:lang w:eastAsia="en-US"/>
              </w:rPr>
              <w:t xml:space="preserve">k due </w:t>
            </w:r>
            <w:r w:rsidR="006C7396">
              <w:rPr>
                <w:rFonts w:asciiTheme="minorHAnsi" w:eastAsiaTheme="minorHAnsi" w:hAnsiTheme="minorHAnsi" w:cstheme="minorHAnsi"/>
                <w:lang w:eastAsia="en-US"/>
              </w:rPr>
              <w:t>predominantly</w:t>
            </w:r>
            <w:r w:rsidR="000B483A">
              <w:rPr>
                <w:rFonts w:asciiTheme="minorHAnsi" w:eastAsiaTheme="minorHAnsi" w:hAnsiTheme="minorHAnsi" w:cstheme="minorHAnsi"/>
                <w:lang w:eastAsia="en-US"/>
              </w:rPr>
              <w:t xml:space="preserve"> </w:t>
            </w:r>
            <w:r>
              <w:rPr>
                <w:rFonts w:asciiTheme="minorHAnsi" w:eastAsiaTheme="minorHAnsi" w:hAnsiTheme="minorHAnsi" w:cstheme="minorHAnsi"/>
                <w:lang w:eastAsia="en-US"/>
              </w:rPr>
              <w:t xml:space="preserve">to </w:t>
            </w:r>
            <w:r w:rsidR="000B483A">
              <w:rPr>
                <w:rFonts w:asciiTheme="minorHAnsi" w:eastAsiaTheme="minorHAnsi" w:hAnsiTheme="minorHAnsi" w:cstheme="minorHAnsi"/>
                <w:lang w:eastAsia="en-US"/>
              </w:rPr>
              <w:t xml:space="preserve">our </w:t>
            </w:r>
            <w:r>
              <w:rPr>
                <w:rFonts w:asciiTheme="minorHAnsi" w:eastAsiaTheme="minorHAnsi" w:hAnsiTheme="minorHAnsi" w:cstheme="minorHAnsi"/>
                <w:lang w:eastAsia="en-US"/>
              </w:rPr>
              <w:t xml:space="preserve">successful </w:t>
            </w:r>
            <w:r w:rsidR="000B483A">
              <w:rPr>
                <w:rFonts w:asciiTheme="minorHAnsi" w:eastAsiaTheme="minorHAnsi" w:hAnsiTheme="minorHAnsi" w:cstheme="minorHAnsi"/>
                <w:lang w:eastAsia="en-US"/>
              </w:rPr>
              <w:t>re</w:t>
            </w:r>
            <w:r>
              <w:rPr>
                <w:rFonts w:asciiTheme="minorHAnsi" w:eastAsiaTheme="minorHAnsi" w:hAnsiTheme="minorHAnsi" w:cstheme="minorHAnsi"/>
                <w:lang w:eastAsia="en-US"/>
              </w:rPr>
              <w:t>negotiation of</w:t>
            </w:r>
            <w:r w:rsidRPr="004405C3">
              <w:rPr>
                <w:rFonts w:asciiTheme="minorHAnsi" w:eastAsiaTheme="minorHAnsi" w:hAnsiTheme="minorHAnsi" w:cstheme="minorHAnsi"/>
                <w:lang w:eastAsia="en-US"/>
              </w:rPr>
              <w:t xml:space="preserve"> the contract price with </w:t>
            </w:r>
            <w:r w:rsidR="000B483A">
              <w:rPr>
                <w:rFonts w:asciiTheme="minorHAnsi" w:eastAsiaTheme="minorHAnsi" w:hAnsiTheme="minorHAnsi" w:cstheme="minorHAnsi"/>
                <w:lang w:eastAsia="en-US"/>
              </w:rPr>
              <w:t>our</w:t>
            </w:r>
            <w:r w:rsidRPr="004405C3">
              <w:rPr>
                <w:rFonts w:asciiTheme="minorHAnsi" w:eastAsiaTheme="minorHAnsi" w:hAnsiTheme="minorHAnsi" w:cstheme="minorHAnsi"/>
                <w:lang w:eastAsia="en-US"/>
              </w:rPr>
              <w:t xml:space="preserve"> systems developers</w:t>
            </w:r>
            <w:r w:rsidR="00FF2551">
              <w:rPr>
                <w:rFonts w:asciiTheme="minorHAnsi" w:eastAsiaTheme="minorHAnsi" w:hAnsiTheme="minorHAnsi" w:cstheme="minorHAnsi"/>
                <w:lang w:eastAsia="en-US"/>
              </w:rPr>
              <w:t>.</w:t>
            </w:r>
          </w:p>
          <w:p w:rsidR="00826FF2" w:rsidRPr="0064012C" w:rsidRDefault="00181165" w:rsidP="00826FF2">
            <w:pPr>
              <w:pStyle w:val="ListParagraph"/>
              <w:numPr>
                <w:ilvl w:val="0"/>
                <w:numId w:val="24"/>
              </w:numPr>
              <w:spacing w:after="200" w:line="276" w:lineRule="auto"/>
              <w:rPr>
                <w:rFonts w:asciiTheme="minorHAnsi" w:eastAsiaTheme="minorHAnsi" w:hAnsiTheme="minorHAnsi" w:cstheme="minorHAnsi"/>
                <w:lang w:eastAsia="en-US"/>
              </w:rPr>
            </w:pPr>
            <w:r>
              <w:rPr>
                <w:rFonts w:asciiTheme="minorHAnsi" w:eastAsiaTheme="minorHAnsi" w:hAnsiTheme="minorHAnsi" w:cstheme="minorHAnsi"/>
                <w:lang w:eastAsia="en-US"/>
              </w:rPr>
              <w:t>The HRA continued to meet its regulatory requirements in paying invoices</w:t>
            </w:r>
            <w:r w:rsidR="00826FF2" w:rsidRPr="0064012C">
              <w:rPr>
                <w:rFonts w:asciiTheme="minorHAnsi" w:eastAsiaTheme="minorHAnsi" w:hAnsiTheme="minorHAnsi" w:cstheme="minorHAnsi"/>
                <w:lang w:eastAsia="en-US"/>
              </w:rPr>
              <w:t xml:space="preserve"> </w:t>
            </w:r>
            <w:r w:rsidR="00FF2551">
              <w:rPr>
                <w:rFonts w:asciiTheme="minorHAnsi" w:eastAsiaTheme="minorHAnsi" w:hAnsiTheme="minorHAnsi" w:cstheme="minorHAnsi"/>
                <w:lang w:eastAsia="en-US"/>
              </w:rPr>
              <w:t xml:space="preserve">exceeding statutory requirements. </w:t>
            </w:r>
          </w:p>
          <w:p w:rsidR="002C0638" w:rsidRPr="000B483A" w:rsidRDefault="002C0638" w:rsidP="000B483A">
            <w:pPr>
              <w:spacing w:after="200" w:line="276" w:lineRule="auto"/>
              <w:rPr>
                <w:rFonts w:asciiTheme="minorHAnsi" w:eastAsiaTheme="minorHAnsi" w:hAnsiTheme="minorHAnsi" w:cstheme="minorHAnsi"/>
                <w:lang w:eastAsia="en-US"/>
              </w:rPr>
            </w:pPr>
          </w:p>
        </w:tc>
      </w:tr>
      <w:tr w:rsidR="00DF3EE3" w:rsidRPr="00DF3EE3" w:rsidTr="00AF00BB">
        <w:trPr>
          <w:trHeight w:val="757"/>
        </w:trPr>
        <w:tc>
          <w:tcPr>
            <w:tcW w:w="2628" w:type="dxa"/>
          </w:tcPr>
          <w:p w:rsidR="00DF3EE3" w:rsidRPr="00DF3EE3" w:rsidRDefault="00DF3EE3" w:rsidP="00DF3EE3">
            <w:pPr>
              <w:spacing w:after="200" w:line="276" w:lineRule="auto"/>
              <w:rPr>
                <w:rFonts w:asciiTheme="minorHAnsi" w:eastAsiaTheme="minorHAnsi" w:hAnsiTheme="minorHAnsi" w:cstheme="minorHAnsi"/>
                <w:b/>
                <w:lang w:eastAsia="en-US"/>
              </w:rPr>
            </w:pPr>
            <w:r w:rsidRPr="00DF3EE3">
              <w:rPr>
                <w:rFonts w:asciiTheme="minorHAnsi" w:eastAsiaTheme="minorHAnsi" w:hAnsiTheme="minorHAnsi" w:cstheme="minorHAnsi"/>
                <w:b/>
                <w:lang w:eastAsia="en-US"/>
              </w:rPr>
              <w:lastRenderedPageBreak/>
              <w:t>Suitable for wider circulation?</w:t>
            </w:r>
          </w:p>
        </w:tc>
        <w:tc>
          <w:tcPr>
            <w:tcW w:w="6320" w:type="dxa"/>
          </w:tcPr>
          <w:p w:rsidR="00AF00BB" w:rsidRPr="00DF3EE3" w:rsidRDefault="00210D21" w:rsidP="00254D93">
            <w:pPr>
              <w:spacing w:after="200" w:line="276" w:lineRule="auto"/>
              <w:rPr>
                <w:rFonts w:asciiTheme="minorHAnsi" w:eastAsiaTheme="minorHAnsi" w:hAnsiTheme="minorHAnsi" w:cstheme="minorHAnsi"/>
                <w:b/>
                <w:lang w:eastAsia="en-US"/>
              </w:rPr>
            </w:pPr>
            <w:r>
              <w:rPr>
                <w:rFonts w:asciiTheme="minorHAnsi" w:eastAsiaTheme="minorHAnsi" w:hAnsiTheme="minorHAnsi" w:cstheme="minorHAnsi"/>
                <w:b/>
                <w:lang w:eastAsia="en-US"/>
              </w:rPr>
              <w:t>Yes,  following Board</w:t>
            </w:r>
          </w:p>
        </w:tc>
      </w:tr>
      <w:tr w:rsidR="00EB22E9" w:rsidRPr="00DF3EE3" w:rsidTr="00AF00BB">
        <w:trPr>
          <w:trHeight w:val="287"/>
        </w:trPr>
        <w:tc>
          <w:tcPr>
            <w:tcW w:w="2628" w:type="dxa"/>
          </w:tcPr>
          <w:p w:rsidR="00EB22E9" w:rsidRPr="00DF3EE3" w:rsidRDefault="00EB22E9" w:rsidP="00DF3EE3">
            <w:pPr>
              <w:spacing w:after="200" w:line="276" w:lineRule="auto"/>
              <w:rPr>
                <w:rFonts w:asciiTheme="minorHAnsi" w:eastAsiaTheme="minorHAnsi" w:hAnsiTheme="minorHAnsi" w:cstheme="minorHAnsi"/>
                <w:b/>
                <w:lang w:eastAsia="en-US"/>
              </w:rPr>
            </w:pPr>
            <w:r>
              <w:rPr>
                <w:rFonts w:asciiTheme="minorHAnsi" w:eastAsiaTheme="minorHAnsi" w:hAnsiTheme="minorHAnsi" w:cstheme="minorHAnsi"/>
                <w:b/>
                <w:lang w:eastAsia="en-US"/>
              </w:rPr>
              <w:t>Time required for item:</w:t>
            </w:r>
          </w:p>
        </w:tc>
        <w:tc>
          <w:tcPr>
            <w:tcW w:w="6320" w:type="dxa"/>
          </w:tcPr>
          <w:p w:rsidR="00EB22E9" w:rsidRDefault="00EB22E9" w:rsidP="00933A84">
            <w:pPr>
              <w:spacing w:after="200" w:line="276" w:lineRule="auto"/>
              <w:rPr>
                <w:rFonts w:asciiTheme="minorHAnsi" w:eastAsiaTheme="minorHAnsi" w:hAnsiTheme="minorHAnsi" w:cstheme="minorHAnsi"/>
                <w:b/>
                <w:lang w:eastAsia="en-US"/>
              </w:rPr>
            </w:pPr>
            <w:r>
              <w:rPr>
                <w:rFonts w:asciiTheme="minorHAnsi" w:eastAsiaTheme="minorHAnsi" w:hAnsiTheme="minorHAnsi" w:cstheme="minorHAnsi"/>
                <w:b/>
                <w:lang w:eastAsia="en-US"/>
              </w:rPr>
              <w:t>1</w:t>
            </w:r>
            <w:r w:rsidR="00933A84">
              <w:rPr>
                <w:rFonts w:asciiTheme="minorHAnsi" w:eastAsiaTheme="minorHAnsi" w:hAnsiTheme="minorHAnsi" w:cstheme="minorHAnsi"/>
                <w:b/>
                <w:lang w:eastAsia="en-US"/>
              </w:rPr>
              <w:t>0</w:t>
            </w:r>
            <w:r>
              <w:rPr>
                <w:rFonts w:asciiTheme="minorHAnsi" w:eastAsiaTheme="minorHAnsi" w:hAnsiTheme="minorHAnsi" w:cstheme="minorHAnsi"/>
                <w:b/>
                <w:lang w:eastAsia="en-US"/>
              </w:rPr>
              <w:t xml:space="preserve"> minutes</w:t>
            </w:r>
          </w:p>
        </w:tc>
      </w:tr>
    </w:tbl>
    <w:p w:rsidR="00DF3EE3" w:rsidRPr="00DF3EE3" w:rsidRDefault="00DF3EE3" w:rsidP="00DF3EE3">
      <w:pPr>
        <w:spacing w:line="276" w:lineRule="auto"/>
        <w:rPr>
          <w:rFonts w:asciiTheme="minorHAnsi" w:eastAsiaTheme="minorHAnsi" w:hAnsiTheme="minorHAnsi" w:cstheme="minorHAnsi"/>
          <w:b/>
          <w:lang w:eastAsia="en-US"/>
        </w:rPr>
      </w:pPr>
    </w:p>
    <w:tbl>
      <w:tblPr>
        <w:tblStyle w:val="TableGrid1"/>
        <w:tblW w:w="0" w:type="auto"/>
        <w:shd w:val="clear" w:color="auto" w:fill="D9D9D9" w:themeFill="background1" w:themeFillShade="D9"/>
        <w:tblLook w:val="04A0" w:firstRow="1" w:lastRow="0" w:firstColumn="1" w:lastColumn="0" w:noHBand="0" w:noVBand="1"/>
      </w:tblPr>
      <w:tblGrid>
        <w:gridCol w:w="2628"/>
        <w:gridCol w:w="1350"/>
        <w:gridCol w:w="3690"/>
        <w:gridCol w:w="1280"/>
      </w:tblGrid>
      <w:tr w:rsidR="00DF3EE3" w:rsidRPr="00DF3EE3" w:rsidTr="00DF3EE3">
        <w:tc>
          <w:tcPr>
            <w:tcW w:w="2628" w:type="dxa"/>
            <w:vMerge w:val="restart"/>
            <w:shd w:val="clear" w:color="auto" w:fill="D9D9D9" w:themeFill="background1" w:themeFillShade="D9"/>
          </w:tcPr>
          <w:p w:rsidR="00DF3EE3" w:rsidRPr="00DF3EE3" w:rsidRDefault="00DF3EE3" w:rsidP="00DF3EE3">
            <w:pPr>
              <w:spacing w:after="200" w:line="276" w:lineRule="auto"/>
              <w:rPr>
                <w:rFonts w:asciiTheme="minorHAnsi" w:eastAsiaTheme="minorHAnsi" w:hAnsiTheme="minorHAnsi" w:cstheme="minorHAnsi"/>
                <w:b/>
                <w:lang w:eastAsia="en-US"/>
              </w:rPr>
            </w:pPr>
            <w:r w:rsidRPr="00DF3EE3">
              <w:rPr>
                <w:rFonts w:asciiTheme="minorHAnsi" w:eastAsiaTheme="minorHAnsi" w:hAnsiTheme="minorHAnsi" w:cstheme="minorHAnsi"/>
                <w:b/>
                <w:lang w:eastAsia="en-US"/>
              </w:rPr>
              <w:t>Recommendation / Proposed Actions:</w:t>
            </w:r>
          </w:p>
          <w:p w:rsidR="00DF3EE3" w:rsidRPr="00DF3EE3" w:rsidRDefault="00DF3EE3" w:rsidP="00DF3EE3">
            <w:pPr>
              <w:spacing w:after="200" w:line="276" w:lineRule="auto"/>
              <w:rPr>
                <w:rFonts w:asciiTheme="minorHAnsi" w:eastAsiaTheme="minorHAnsi" w:hAnsiTheme="minorHAnsi" w:cstheme="minorHAnsi"/>
                <w:b/>
                <w:lang w:eastAsia="en-US"/>
              </w:rPr>
            </w:pPr>
          </w:p>
        </w:tc>
        <w:tc>
          <w:tcPr>
            <w:tcW w:w="5040" w:type="dxa"/>
            <w:gridSpan w:val="2"/>
            <w:shd w:val="clear" w:color="auto" w:fill="D9D9D9" w:themeFill="background1" w:themeFillShade="D9"/>
          </w:tcPr>
          <w:p w:rsidR="00DF3EE3" w:rsidRPr="00DF3EE3" w:rsidRDefault="00DF3EE3" w:rsidP="00DF3EE3">
            <w:pPr>
              <w:spacing w:after="200" w:line="276" w:lineRule="auto"/>
              <w:rPr>
                <w:rFonts w:asciiTheme="minorHAnsi" w:eastAsiaTheme="minorHAnsi" w:hAnsiTheme="minorHAnsi" w:cstheme="minorHAnsi"/>
                <w:b/>
                <w:lang w:eastAsia="en-US"/>
              </w:rPr>
            </w:pPr>
            <w:r w:rsidRPr="00DF3EE3">
              <w:rPr>
                <w:rFonts w:asciiTheme="minorHAnsi" w:eastAsiaTheme="minorHAnsi" w:hAnsiTheme="minorHAnsi" w:cstheme="minorHAnsi"/>
                <w:b/>
                <w:lang w:eastAsia="en-US"/>
              </w:rPr>
              <w:t>To Approve</w:t>
            </w:r>
          </w:p>
        </w:tc>
        <w:tc>
          <w:tcPr>
            <w:tcW w:w="1280" w:type="dxa"/>
            <w:shd w:val="clear" w:color="auto" w:fill="auto"/>
          </w:tcPr>
          <w:p w:rsidR="00DF3EE3" w:rsidRPr="00DF3EE3" w:rsidRDefault="00E44973" w:rsidP="00DF3EE3">
            <w:pPr>
              <w:spacing w:after="200" w:line="276" w:lineRule="auto"/>
              <w:rPr>
                <w:rFonts w:asciiTheme="minorHAnsi" w:eastAsiaTheme="minorHAnsi" w:hAnsiTheme="minorHAnsi" w:cstheme="minorHAnsi"/>
                <w:b/>
                <w:lang w:eastAsia="en-US"/>
              </w:rPr>
            </w:pPr>
            <w:r>
              <w:rPr>
                <w:rFonts w:asciiTheme="minorHAnsi" w:eastAsiaTheme="minorHAnsi" w:hAnsiTheme="minorHAnsi" w:cstheme="minorHAnsi"/>
                <w:b/>
                <w:lang w:eastAsia="en-US"/>
              </w:rPr>
              <w:t>Yes</w:t>
            </w:r>
          </w:p>
        </w:tc>
      </w:tr>
      <w:tr w:rsidR="00DF3EE3" w:rsidRPr="00DF3EE3" w:rsidTr="00DF3EE3">
        <w:tc>
          <w:tcPr>
            <w:tcW w:w="2628" w:type="dxa"/>
            <w:vMerge/>
            <w:shd w:val="clear" w:color="auto" w:fill="D9D9D9" w:themeFill="background1" w:themeFillShade="D9"/>
          </w:tcPr>
          <w:p w:rsidR="00DF3EE3" w:rsidRPr="00DF3EE3" w:rsidRDefault="00DF3EE3" w:rsidP="00DF3EE3">
            <w:pPr>
              <w:spacing w:after="200" w:line="276" w:lineRule="auto"/>
              <w:rPr>
                <w:rFonts w:asciiTheme="minorHAnsi" w:eastAsiaTheme="minorHAnsi" w:hAnsiTheme="minorHAnsi" w:cstheme="minorHAnsi"/>
                <w:b/>
                <w:lang w:eastAsia="en-US"/>
              </w:rPr>
            </w:pPr>
          </w:p>
        </w:tc>
        <w:tc>
          <w:tcPr>
            <w:tcW w:w="5040" w:type="dxa"/>
            <w:gridSpan w:val="2"/>
            <w:shd w:val="clear" w:color="auto" w:fill="D9D9D9" w:themeFill="background1" w:themeFillShade="D9"/>
          </w:tcPr>
          <w:p w:rsidR="00DF3EE3" w:rsidRPr="00DF3EE3" w:rsidRDefault="00DF3EE3" w:rsidP="00DF3EE3">
            <w:pPr>
              <w:spacing w:after="200" w:line="276" w:lineRule="auto"/>
              <w:rPr>
                <w:rFonts w:asciiTheme="minorHAnsi" w:eastAsiaTheme="minorHAnsi" w:hAnsiTheme="minorHAnsi" w:cstheme="minorHAnsi"/>
                <w:b/>
                <w:lang w:eastAsia="en-US"/>
              </w:rPr>
            </w:pPr>
            <w:r w:rsidRPr="00DF3EE3">
              <w:rPr>
                <w:rFonts w:asciiTheme="minorHAnsi" w:eastAsiaTheme="minorHAnsi" w:hAnsiTheme="minorHAnsi" w:cstheme="minorHAnsi"/>
                <w:b/>
                <w:lang w:eastAsia="en-US"/>
              </w:rPr>
              <w:t>To Note</w:t>
            </w:r>
          </w:p>
        </w:tc>
        <w:tc>
          <w:tcPr>
            <w:tcW w:w="1280" w:type="dxa"/>
            <w:shd w:val="clear" w:color="auto" w:fill="auto"/>
          </w:tcPr>
          <w:p w:rsidR="00DF3EE3" w:rsidRPr="00DF3EE3" w:rsidRDefault="00DF3EE3" w:rsidP="00DF3EE3">
            <w:pPr>
              <w:spacing w:after="200" w:line="276" w:lineRule="auto"/>
              <w:rPr>
                <w:rFonts w:asciiTheme="minorHAnsi" w:eastAsiaTheme="minorHAnsi" w:hAnsiTheme="minorHAnsi" w:cstheme="minorHAnsi"/>
                <w:b/>
                <w:lang w:eastAsia="en-US"/>
              </w:rPr>
            </w:pPr>
          </w:p>
        </w:tc>
      </w:tr>
      <w:tr w:rsidR="00EB22E9" w:rsidRPr="00DF3EE3" w:rsidTr="00DF3EE3">
        <w:tc>
          <w:tcPr>
            <w:tcW w:w="2628" w:type="dxa"/>
            <w:vMerge/>
            <w:shd w:val="clear" w:color="auto" w:fill="D9D9D9" w:themeFill="background1" w:themeFillShade="D9"/>
          </w:tcPr>
          <w:p w:rsidR="00EB22E9" w:rsidRPr="00DF3EE3" w:rsidRDefault="00EB22E9" w:rsidP="00DF3EE3">
            <w:pPr>
              <w:spacing w:after="200" w:line="276" w:lineRule="auto"/>
              <w:rPr>
                <w:rFonts w:asciiTheme="minorHAnsi" w:eastAsiaTheme="minorHAnsi" w:hAnsiTheme="minorHAnsi" w:cstheme="minorHAnsi"/>
                <w:b/>
                <w:lang w:eastAsia="en-US"/>
              </w:rPr>
            </w:pPr>
          </w:p>
        </w:tc>
        <w:tc>
          <w:tcPr>
            <w:tcW w:w="5040" w:type="dxa"/>
            <w:gridSpan w:val="2"/>
            <w:shd w:val="clear" w:color="auto" w:fill="D9D9D9" w:themeFill="background1" w:themeFillShade="D9"/>
          </w:tcPr>
          <w:p w:rsidR="00EB22E9" w:rsidRPr="00DF3EE3" w:rsidRDefault="00EB22E9" w:rsidP="00DF3EE3">
            <w:pPr>
              <w:spacing w:after="200" w:line="276" w:lineRule="auto"/>
              <w:rPr>
                <w:rFonts w:asciiTheme="minorHAnsi" w:eastAsiaTheme="minorHAnsi" w:hAnsiTheme="minorHAnsi" w:cstheme="minorHAnsi"/>
                <w:b/>
                <w:lang w:eastAsia="en-US"/>
              </w:rPr>
            </w:pPr>
            <w:r>
              <w:rPr>
                <w:rFonts w:asciiTheme="minorHAnsi" w:eastAsiaTheme="minorHAnsi" w:hAnsiTheme="minorHAnsi" w:cstheme="minorHAnsi"/>
                <w:b/>
                <w:lang w:eastAsia="en-US"/>
              </w:rPr>
              <w:t>For discussion</w:t>
            </w:r>
          </w:p>
        </w:tc>
        <w:tc>
          <w:tcPr>
            <w:tcW w:w="1280" w:type="dxa"/>
            <w:shd w:val="clear" w:color="auto" w:fill="auto"/>
          </w:tcPr>
          <w:p w:rsidR="00EB22E9" w:rsidRPr="00DF3EE3" w:rsidRDefault="00EB22E9" w:rsidP="00DF3EE3">
            <w:pPr>
              <w:spacing w:after="200" w:line="276" w:lineRule="auto"/>
              <w:rPr>
                <w:rFonts w:asciiTheme="minorHAnsi" w:eastAsiaTheme="minorHAnsi" w:hAnsiTheme="minorHAnsi" w:cstheme="minorHAnsi"/>
                <w:b/>
                <w:lang w:eastAsia="en-US"/>
              </w:rPr>
            </w:pPr>
          </w:p>
        </w:tc>
      </w:tr>
      <w:tr w:rsidR="00DF3EE3" w:rsidRPr="00DF3EE3" w:rsidTr="00DF3EE3">
        <w:tc>
          <w:tcPr>
            <w:tcW w:w="2628" w:type="dxa"/>
            <w:vMerge/>
            <w:shd w:val="clear" w:color="auto" w:fill="D9D9D9" w:themeFill="background1" w:themeFillShade="D9"/>
          </w:tcPr>
          <w:p w:rsidR="00DF3EE3" w:rsidRPr="00DF3EE3" w:rsidRDefault="00DF3EE3" w:rsidP="00DF3EE3">
            <w:pPr>
              <w:spacing w:after="200" w:line="276" w:lineRule="auto"/>
              <w:rPr>
                <w:rFonts w:asciiTheme="minorHAnsi" w:eastAsiaTheme="minorHAnsi" w:hAnsiTheme="minorHAnsi" w:cstheme="minorHAnsi"/>
                <w:b/>
                <w:lang w:eastAsia="en-US"/>
              </w:rPr>
            </w:pPr>
          </w:p>
        </w:tc>
        <w:tc>
          <w:tcPr>
            <w:tcW w:w="1350" w:type="dxa"/>
            <w:shd w:val="clear" w:color="auto" w:fill="D9D9D9" w:themeFill="background1" w:themeFillShade="D9"/>
          </w:tcPr>
          <w:p w:rsidR="00DF3EE3" w:rsidRPr="00DF3EE3" w:rsidRDefault="00DF3EE3" w:rsidP="00DF3EE3">
            <w:pPr>
              <w:spacing w:after="200" w:line="276" w:lineRule="auto"/>
              <w:rPr>
                <w:rFonts w:asciiTheme="minorHAnsi" w:eastAsiaTheme="minorHAnsi" w:hAnsiTheme="minorHAnsi" w:cstheme="minorHAnsi"/>
                <w:b/>
                <w:lang w:eastAsia="en-US"/>
              </w:rPr>
            </w:pPr>
            <w:r w:rsidRPr="00DF3EE3">
              <w:rPr>
                <w:rFonts w:asciiTheme="minorHAnsi" w:eastAsiaTheme="minorHAnsi" w:hAnsiTheme="minorHAnsi" w:cstheme="minorHAnsi"/>
                <w:b/>
                <w:lang w:eastAsia="en-US"/>
              </w:rPr>
              <w:t>Comments</w:t>
            </w:r>
          </w:p>
        </w:tc>
        <w:tc>
          <w:tcPr>
            <w:tcW w:w="4970" w:type="dxa"/>
            <w:gridSpan w:val="2"/>
            <w:shd w:val="clear" w:color="auto" w:fill="auto"/>
          </w:tcPr>
          <w:p w:rsidR="00DF3EE3" w:rsidRPr="00DF3EE3" w:rsidRDefault="00DF3EE3" w:rsidP="00DF3EE3">
            <w:pPr>
              <w:spacing w:after="200" w:line="276" w:lineRule="auto"/>
              <w:rPr>
                <w:rFonts w:asciiTheme="minorHAnsi" w:eastAsiaTheme="minorHAnsi" w:hAnsiTheme="minorHAnsi" w:cstheme="minorHAnsi"/>
                <w:b/>
                <w:lang w:eastAsia="en-US"/>
              </w:rPr>
            </w:pPr>
          </w:p>
        </w:tc>
      </w:tr>
    </w:tbl>
    <w:p w:rsidR="008506B4" w:rsidRPr="00DF3EE3" w:rsidRDefault="008506B4" w:rsidP="00DF3EE3">
      <w:pPr>
        <w:tabs>
          <w:tab w:val="left" w:pos="1980"/>
        </w:tabs>
        <w:rPr>
          <w:rFonts w:asciiTheme="minorHAnsi" w:eastAsiaTheme="minorHAnsi" w:hAnsiTheme="minorHAnsi" w:cstheme="minorHAnsi"/>
          <w:b/>
          <w:lang w:eastAsia="en-US"/>
        </w:rPr>
      </w:pPr>
    </w:p>
    <w:p w:rsidR="00DF3EE3" w:rsidRPr="00DF3EE3" w:rsidRDefault="00DF3EE3" w:rsidP="00DF3EE3">
      <w:pPr>
        <w:tabs>
          <w:tab w:val="left" w:pos="1980"/>
        </w:tabs>
        <w:rPr>
          <w:rFonts w:asciiTheme="minorHAnsi" w:eastAsiaTheme="minorHAnsi" w:hAnsiTheme="minorHAnsi" w:cstheme="minorHAnsi"/>
          <w:b/>
          <w:lang w:eastAsia="en-US"/>
        </w:rPr>
      </w:pPr>
    </w:p>
    <w:tbl>
      <w:tblPr>
        <w:tblStyle w:val="TableGrid1"/>
        <w:tblW w:w="0" w:type="auto"/>
        <w:tblLook w:val="04A0" w:firstRow="1" w:lastRow="0" w:firstColumn="1" w:lastColumn="0" w:noHBand="0" w:noVBand="1"/>
      </w:tblPr>
      <w:tblGrid>
        <w:gridCol w:w="2628"/>
        <w:gridCol w:w="6320"/>
      </w:tblGrid>
      <w:tr w:rsidR="00DF3EE3" w:rsidRPr="00DF3EE3" w:rsidTr="00DF3EE3">
        <w:tc>
          <w:tcPr>
            <w:tcW w:w="2628" w:type="dxa"/>
          </w:tcPr>
          <w:p w:rsidR="00DF3EE3" w:rsidRPr="00DF3EE3" w:rsidRDefault="00DF3EE3" w:rsidP="00DF3EE3">
            <w:pPr>
              <w:spacing w:after="200" w:line="276" w:lineRule="auto"/>
              <w:rPr>
                <w:rFonts w:asciiTheme="minorHAnsi" w:eastAsiaTheme="minorHAnsi" w:hAnsiTheme="minorHAnsi" w:cstheme="minorHAnsi"/>
                <w:b/>
                <w:lang w:eastAsia="en-US"/>
              </w:rPr>
            </w:pPr>
            <w:r w:rsidRPr="00DF3EE3">
              <w:rPr>
                <w:rFonts w:asciiTheme="minorHAnsi" w:eastAsiaTheme="minorHAnsi" w:hAnsiTheme="minorHAnsi" w:cstheme="minorHAnsi"/>
                <w:b/>
                <w:lang w:eastAsia="en-US"/>
              </w:rPr>
              <w:t>Name:</w:t>
            </w:r>
          </w:p>
        </w:tc>
        <w:tc>
          <w:tcPr>
            <w:tcW w:w="6320" w:type="dxa"/>
          </w:tcPr>
          <w:p w:rsidR="00DF3EE3" w:rsidRPr="00DF3EE3" w:rsidRDefault="00564FF5" w:rsidP="00DF3EE3">
            <w:pPr>
              <w:spacing w:after="200" w:line="276" w:lineRule="auto"/>
              <w:rPr>
                <w:rFonts w:asciiTheme="minorHAnsi" w:eastAsiaTheme="minorHAnsi" w:hAnsiTheme="minorHAnsi" w:cstheme="minorHAnsi"/>
                <w:lang w:eastAsia="en-US"/>
              </w:rPr>
            </w:pPr>
            <w:r>
              <w:rPr>
                <w:rFonts w:asciiTheme="minorHAnsi" w:eastAsiaTheme="minorHAnsi" w:hAnsiTheme="minorHAnsi" w:cstheme="minorHAnsi"/>
                <w:lang w:eastAsia="en-US"/>
              </w:rPr>
              <w:t>Sylvia Hazard</w:t>
            </w:r>
            <w:r w:rsidR="004159BE">
              <w:rPr>
                <w:rFonts w:asciiTheme="minorHAnsi" w:eastAsiaTheme="minorHAnsi" w:hAnsiTheme="minorHAnsi" w:cstheme="minorHAnsi"/>
                <w:lang w:eastAsia="en-US"/>
              </w:rPr>
              <w:t xml:space="preserve"> and Karen Williams</w:t>
            </w:r>
          </w:p>
        </w:tc>
      </w:tr>
      <w:tr w:rsidR="00DF3EE3" w:rsidRPr="00DF3EE3" w:rsidTr="00DF3EE3">
        <w:tc>
          <w:tcPr>
            <w:tcW w:w="2628" w:type="dxa"/>
          </w:tcPr>
          <w:p w:rsidR="00DF3EE3" w:rsidRPr="00DF3EE3" w:rsidRDefault="00DF3EE3" w:rsidP="00DF3EE3">
            <w:pPr>
              <w:spacing w:after="200" w:line="276" w:lineRule="auto"/>
              <w:rPr>
                <w:rFonts w:asciiTheme="minorHAnsi" w:eastAsiaTheme="minorHAnsi" w:hAnsiTheme="minorHAnsi" w:cstheme="minorHAnsi"/>
                <w:b/>
                <w:lang w:eastAsia="en-US"/>
              </w:rPr>
            </w:pPr>
            <w:r w:rsidRPr="00DF3EE3">
              <w:rPr>
                <w:rFonts w:asciiTheme="minorHAnsi" w:eastAsiaTheme="minorHAnsi" w:hAnsiTheme="minorHAnsi" w:cstheme="minorHAnsi"/>
                <w:b/>
                <w:lang w:eastAsia="en-US"/>
              </w:rPr>
              <w:t>Job Title:</w:t>
            </w:r>
          </w:p>
        </w:tc>
        <w:tc>
          <w:tcPr>
            <w:tcW w:w="6320" w:type="dxa"/>
          </w:tcPr>
          <w:p w:rsidR="00DF3EE3" w:rsidRPr="00DF3EE3" w:rsidRDefault="00826FF2" w:rsidP="003E0E56">
            <w:pPr>
              <w:spacing w:after="200" w:line="276" w:lineRule="auto"/>
              <w:rPr>
                <w:rFonts w:asciiTheme="minorHAnsi" w:eastAsiaTheme="minorHAnsi" w:hAnsiTheme="minorHAnsi" w:cstheme="minorHAnsi"/>
                <w:lang w:eastAsia="en-US"/>
              </w:rPr>
            </w:pPr>
            <w:r>
              <w:rPr>
                <w:rFonts w:asciiTheme="minorHAnsi" w:eastAsiaTheme="minorHAnsi" w:hAnsiTheme="minorHAnsi" w:cstheme="minorHAnsi"/>
                <w:lang w:eastAsia="en-US"/>
              </w:rPr>
              <w:t>Acting Director of Finance and Procurement</w:t>
            </w:r>
          </w:p>
        </w:tc>
      </w:tr>
      <w:tr w:rsidR="00DF3EE3" w:rsidRPr="00DF3EE3" w:rsidTr="00DB6762">
        <w:tc>
          <w:tcPr>
            <w:tcW w:w="2628" w:type="dxa"/>
          </w:tcPr>
          <w:p w:rsidR="00DF3EE3" w:rsidRPr="00BD1346" w:rsidRDefault="00DF3EE3" w:rsidP="00DF3EE3">
            <w:pPr>
              <w:spacing w:after="200" w:line="276" w:lineRule="auto"/>
              <w:rPr>
                <w:rFonts w:asciiTheme="minorHAnsi" w:eastAsiaTheme="minorHAnsi" w:hAnsiTheme="minorHAnsi" w:cstheme="minorHAnsi"/>
                <w:b/>
                <w:lang w:eastAsia="en-US"/>
              </w:rPr>
            </w:pPr>
            <w:r w:rsidRPr="00BD1346">
              <w:rPr>
                <w:rFonts w:asciiTheme="minorHAnsi" w:eastAsiaTheme="minorHAnsi" w:hAnsiTheme="minorHAnsi" w:cstheme="minorHAnsi"/>
                <w:b/>
                <w:lang w:eastAsia="en-US"/>
              </w:rPr>
              <w:t>Date:</w:t>
            </w:r>
          </w:p>
        </w:tc>
        <w:tc>
          <w:tcPr>
            <w:tcW w:w="6320" w:type="dxa"/>
            <w:shd w:val="clear" w:color="auto" w:fill="auto"/>
          </w:tcPr>
          <w:p w:rsidR="00DF3EE3" w:rsidRPr="00BD1346" w:rsidRDefault="00BD1346" w:rsidP="00810820">
            <w:pPr>
              <w:spacing w:after="200" w:line="276" w:lineRule="auto"/>
              <w:rPr>
                <w:rFonts w:asciiTheme="minorHAnsi" w:eastAsiaTheme="minorHAnsi" w:hAnsiTheme="minorHAnsi" w:cstheme="minorHAnsi"/>
                <w:lang w:eastAsia="en-US"/>
              </w:rPr>
            </w:pPr>
            <w:r w:rsidRPr="00BD1346">
              <w:rPr>
                <w:rFonts w:asciiTheme="minorHAnsi" w:eastAsiaTheme="minorHAnsi" w:hAnsiTheme="minorHAnsi" w:cstheme="minorHAnsi"/>
                <w:lang w:eastAsia="en-US"/>
              </w:rPr>
              <w:t xml:space="preserve">18 December </w:t>
            </w:r>
            <w:r w:rsidR="00DB6762" w:rsidRPr="00BD1346">
              <w:rPr>
                <w:rFonts w:asciiTheme="minorHAnsi" w:eastAsiaTheme="minorHAnsi" w:hAnsiTheme="minorHAnsi" w:cstheme="minorHAnsi"/>
                <w:lang w:eastAsia="en-US"/>
              </w:rPr>
              <w:t>2016</w:t>
            </w:r>
            <w:r w:rsidR="004159BE">
              <w:rPr>
                <w:rFonts w:asciiTheme="minorHAnsi" w:eastAsiaTheme="minorHAnsi" w:hAnsiTheme="minorHAnsi" w:cstheme="minorHAnsi"/>
                <w:lang w:eastAsia="en-US"/>
              </w:rPr>
              <w:t xml:space="preserve"> (amended 13 January </w:t>
            </w:r>
            <w:r w:rsidR="00810820">
              <w:rPr>
                <w:rFonts w:asciiTheme="minorHAnsi" w:eastAsiaTheme="minorHAnsi" w:hAnsiTheme="minorHAnsi" w:cstheme="minorHAnsi"/>
                <w:lang w:eastAsia="en-US"/>
              </w:rPr>
              <w:t>2017</w:t>
            </w:r>
            <w:r w:rsidR="004159BE">
              <w:rPr>
                <w:rFonts w:asciiTheme="minorHAnsi" w:eastAsiaTheme="minorHAnsi" w:hAnsiTheme="minorHAnsi" w:cstheme="minorHAnsi"/>
                <w:lang w:eastAsia="en-US"/>
              </w:rPr>
              <w:t>)</w:t>
            </w:r>
          </w:p>
        </w:tc>
      </w:tr>
    </w:tbl>
    <w:p w:rsidR="00150CE4" w:rsidRDefault="00150CE4" w:rsidP="00AD76CF">
      <w:pPr>
        <w:rPr>
          <w:rFonts w:ascii="Arial" w:hAnsi="Arial" w:cs="Arial"/>
          <w:b/>
          <w:sz w:val="22"/>
          <w:szCs w:val="22"/>
        </w:rPr>
      </w:pPr>
    </w:p>
    <w:p w:rsidR="00DD6AFF" w:rsidRDefault="00DD6AFF" w:rsidP="00AD76CF">
      <w:pPr>
        <w:rPr>
          <w:rFonts w:ascii="Arial" w:hAnsi="Arial" w:cs="Arial"/>
          <w:b/>
          <w:sz w:val="22"/>
          <w:szCs w:val="22"/>
        </w:rPr>
      </w:pPr>
    </w:p>
    <w:p w:rsidR="00DD6AFF" w:rsidRDefault="00DD6AFF" w:rsidP="00AD76CF">
      <w:pPr>
        <w:rPr>
          <w:rFonts w:ascii="Arial" w:hAnsi="Arial" w:cs="Arial"/>
          <w:b/>
          <w:sz w:val="22"/>
          <w:szCs w:val="22"/>
        </w:rPr>
      </w:pPr>
    </w:p>
    <w:p w:rsidR="00DD6AFF" w:rsidRDefault="00DD6AFF" w:rsidP="00AD76CF">
      <w:pPr>
        <w:rPr>
          <w:rFonts w:ascii="Arial" w:hAnsi="Arial" w:cs="Arial"/>
          <w:b/>
          <w:sz w:val="22"/>
          <w:szCs w:val="22"/>
        </w:rPr>
      </w:pPr>
    </w:p>
    <w:p w:rsidR="00DD6AFF" w:rsidRDefault="00DD6AFF" w:rsidP="00AD76CF">
      <w:pPr>
        <w:rPr>
          <w:rFonts w:ascii="Arial" w:hAnsi="Arial" w:cs="Arial"/>
          <w:b/>
          <w:sz w:val="22"/>
          <w:szCs w:val="22"/>
        </w:rPr>
      </w:pPr>
    </w:p>
    <w:p w:rsidR="00DD6AFF" w:rsidRDefault="00DD6AFF" w:rsidP="00AD76CF">
      <w:pPr>
        <w:rPr>
          <w:rFonts w:ascii="Arial" w:hAnsi="Arial" w:cs="Arial"/>
          <w:b/>
          <w:sz w:val="22"/>
          <w:szCs w:val="22"/>
        </w:rPr>
      </w:pPr>
    </w:p>
    <w:p w:rsidR="00DD6AFF" w:rsidRDefault="00DD6AFF" w:rsidP="00AD76CF">
      <w:pPr>
        <w:rPr>
          <w:rFonts w:ascii="Arial" w:hAnsi="Arial" w:cs="Arial"/>
          <w:b/>
          <w:sz w:val="22"/>
          <w:szCs w:val="22"/>
        </w:rPr>
      </w:pPr>
    </w:p>
    <w:p w:rsidR="003E0E56" w:rsidRDefault="003E0E56" w:rsidP="00AD76CF">
      <w:pPr>
        <w:rPr>
          <w:rFonts w:ascii="Arial" w:hAnsi="Arial" w:cs="Arial"/>
          <w:b/>
          <w:sz w:val="22"/>
          <w:szCs w:val="22"/>
        </w:rPr>
      </w:pPr>
    </w:p>
    <w:p w:rsidR="003E0E56" w:rsidRDefault="003E0E56" w:rsidP="00AD76CF">
      <w:pPr>
        <w:rPr>
          <w:rFonts w:ascii="Arial" w:hAnsi="Arial" w:cs="Arial"/>
          <w:b/>
          <w:sz w:val="22"/>
          <w:szCs w:val="22"/>
        </w:rPr>
      </w:pPr>
    </w:p>
    <w:p w:rsidR="003E0E56" w:rsidRDefault="003E0E56" w:rsidP="00AD76CF">
      <w:pPr>
        <w:rPr>
          <w:rFonts w:ascii="Arial" w:hAnsi="Arial" w:cs="Arial"/>
          <w:b/>
          <w:sz w:val="22"/>
          <w:szCs w:val="22"/>
        </w:rPr>
      </w:pPr>
    </w:p>
    <w:p w:rsidR="00DD6AFF" w:rsidRDefault="00DD6AFF" w:rsidP="00AD76CF">
      <w:pPr>
        <w:rPr>
          <w:rFonts w:ascii="Arial" w:hAnsi="Arial" w:cs="Arial"/>
          <w:b/>
          <w:sz w:val="22"/>
          <w:szCs w:val="22"/>
        </w:rPr>
      </w:pPr>
    </w:p>
    <w:p w:rsidR="006C7396" w:rsidRPr="0044673F" w:rsidRDefault="006C7396" w:rsidP="006C7396">
      <w:pPr>
        <w:rPr>
          <w:rFonts w:ascii="Arial" w:hAnsi="Arial" w:cs="Arial"/>
          <w:b/>
          <w:sz w:val="22"/>
          <w:szCs w:val="22"/>
        </w:rPr>
      </w:pPr>
      <w:r w:rsidRPr="0044673F">
        <w:rPr>
          <w:rFonts w:ascii="Arial" w:hAnsi="Arial" w:cs="Arial"/>
          <w:b/>
          <w:sz w:val="22"/>
          <w:szCs w:val="22"/>
        </w:rPr>
        <w:lastRenderedPageBreak/>
        <w:t>Finance Report - Financial Year 2016/17</w:t>
      </w:r>
    </w:p>
    <w:p w:rsidR="006C7396" w:rsidRDefault="006C7396" w:rsidP="006C7396">
      <w:pPr>
        <w:rPr>
          <w:rFonts w:ascii="Arial" w:hAnsi="Arial" w:cs="Arial"/>
          <w:b/>
          <w:sz w:val="22"/>
          <w:szCs w:val="22"/>
        </w:rPr>
      </w:pPr>
      <w:r w:rsidRPr="0044673F">
        <w:rPr>
          <w:rFonts w:ascii="Arial" w:hAnsi="Arial" w:cs="Arial"/>
          <w:b/>
          <w:sz w:val="22"/>
          <w:szCs w:val="22"/>
        </w:rPr>
        <w:t xml:space="preserve">Health Research Authority as at </w:t>
      </w:r>
      <w:r>
        <w:rPr>
          <w:rFonts w:ascii="Arial" w:hAnsi="Arial" w:cs="Arial"/>
          <w:b/>
          <w:sz w:val="22"/>
          <w:szCs w:val="22"/>
        </w:rPr>
        <w:t>30 November</w:t>
      </w:r>
      <w:r w:rsidRPr="0044673F">
        <w:rPr>
          <w:rFonts w:ascii="Arial" w:hAnsi="Arial" w:cs="Arial"/>
          <w:b/>
          <w:sz w:val="22"/>
          <w:szCs w:val="22"/>
        </w:rPr>
        <w:t xml:space="preserve"> 2016</w:t>
      </w:r>
    </w:p>
    <w:p w:rsidR="006C7396" w:rsidRDefault="006C7396" w:rsidP="00092A9E">
      <w:pPr>
        <w:rPr>
          <w:rFonts w:ascii="Arial" w:hAnsi="Arial" w:cs="Arial"/>
          <w:b/>
          <w:sz w:val="22"/>
          <w:szCs w:val="22"/>
        </w:rPr>
      </w:pPr>
    </w:p>
    <w:p w:rsidR="00092A9E" w:rsidRDefault="00092A9E" w:rsidP="00092A9E">
      <w:pPr>
        <w:rPr>
          <w:rFonts w:ascii="Arial" w:hAnsi="Arial" w:cs="Arial"/>
          <w:b/>
          <w:sz w:val="22"/>
          <w:szCs w:val="22"/>
        </w:rPr>
      </w:pPr>
      <w:r>
        <w:rPr>
          <w:rFonts w:ascii="Arial" w:hAnsi="Arial" w:cs="Arial"/>
          <w:b/>
          <w:sz w:val="22"/>
          <w:szCs w:val="22"/>
        </w:rPr>
        <w:t xml:space="preserve">Executive Summary </w:t>
      </w:r>
      <w:r w:rsidR="007055AB">
        <w:rPr>
          <w:rFonts w:ascii="Arial" w:hAnsi="Arial" w:cs="Arial"/>
          <w:b/>
          <w:sz w:val="22"/>
          <w:szCs w:val="22"/>
        </w:rPr>
        <w:t>–</w:t>
      </w:r>
      <w:r>
        <w:rPr>
          <w:rFonts w:ascii="Arial" w:hAnsi="Arial" w:cs="Arial"/>
          <w:b/>
          <w:sz w:val="22"/>
          <w:szCs w:val="22"/>
        </w:rPr>
        <w:t xml:space="preserve"> Headlines</w:t>
      </w:r>
    </w:p>
    <w:p w:rsidR="007055AB" w:rsidRDefault="007055AB" w:rsidP="00092A9E">
      <w:pPr>
        <w:rPr>
          <w:rFonts w:ascii="Arial" w:hAnsi="Arial" w:cs="Arial"/>
          <w:b/>
          <w:sz w:val="22"/>
          <w:szCs w:val="22"/>
        </w:rPr>
      </w:pPr>
    </w:p>
    <w:p w:rsidR="006C7396" w:rsidRPr="006C7396" w:rsidRDefault="006C7396" w:rsidP="006C7396">
      <w:pPr>
        <w:pStyle w:val="ListParagraph"/>
        <w:numPr>
          <w:ilvl w:val="0"/>
          <w:numId w:val="2"/>
        </w:numPr>
        <w:spacing w:after="200" w:line="276" w:lineRule="auto"/>
        <w:rPr>
          <w:rFonts w:ascii="Arial" w:eastAsiaTheme="minorHAnsi" w:hAnsi="Arial" w:cs="Arial"/>
          <w:sz w:val="22"/>
          <w:szCs w:val="22"/>
          <w:lang w:eastAsia="en-US"/>
        </w:rPr>
      </w:pPr>
      <w:r w:rsidRPr="006C7396">
        <w:rPr>
          <w:rFonts w:ascii="Arial" w:eastAsiaTheme="minorHAnsi" w:hAnsi="Arial" w:cs="Arial"/>
          <w:sz w:val="22"/>
          <w:szCs w:val="22"/>
          <w:lang w:eastAsia="en-US"/>
        </w:rPr>
        <w:t>The HRA revenue expenditure budget for 2016/17 is agreed at £13,080k and capital expenditure budget at £910k.</w:t>
      </w:r>
    </w:p>
    <w:p w:rsidR="006C7396" w:rsidRPr="006C7396" w:rsidRDefault="006C7396" w:rsidP="006C7396">
      <w:pPr>
        <w:pStyle w:val="ListParagraph"/>
        <w:spacing w:after="200" w:line="276" w:lineRule="auto"/>
        <w:rPr>
          <w:rFonts w:ascii="Arial" w:eastAsiaTheme="minorHAnsi" w:hAnsi="Arial" w:cs="Arial"/>
          <w:sz w:val="22"/>
          <w:szCs w:val="22"/>
          <w:lang w:eastAsia="en-US"/>
        </w:rPr>
      </w:pPr>
    </w:p>
    <w:p w:rsidR="006C7396" w:rsidRPr="006C7396" w:rsidRDefault="006C7396" w:rsidP="006C7396">
      <w:pPr>
        <w:pStyle w:val="ListParagraph"/>
        <w:numPr>
          <w:ilvl w:val="0"/>
          <w:numId w:val="2"/>
        </w:numPr>
        <w:spacing w:after="200" w:line="276" w:lineRule="auto"/>
        <w:rPr>
          <w:rFonts w:ascii="Arial" w:eastAsiaTheme="minorHAnsi" w:hAnsi="Arial" w:cs="Arial"/>
          <w:sz w:val="22"/>
          <w:szCs w:val="22"/>
          <w:lang w:eastAsia="en-US"/>
        </w:rPr>
      </w:pPr>
      <w:r w:rsidRPr="006C7396">
        <w:rPr>
          <w:rFonts w:ascii="Arial" w:eastAsiaTheme="minorHAnsi" w:hAnsi="Arial" w:cs="Arial"/>
          <w:sz w:val="22"/>
          <w:szCs w:val="22"/>
          <w:lang w:eastAsia="en-US"/>
        </w:rPr>
        <w:t xml:space="preserve">Current financial performance (to 30/11/2016) matches closely our anticipated position at this time, with a small overspend position £24k (less than 1%) reported on revenue expenditure and small underspend position £26k (1%) reported on capital expenditure </w:t>
      </w:r>
    </w:p>
    <w:p w:rsidR="006C7396" w:rsidRPr="006C7396" w:rsidRDefault="006C7396" w:rsidP="006C7396">
      <w:pPr>
        <w:pStyle w:val="ListParagraph"/>
        <w:spacing w:after="200" w:line="276" w:lineRule="auto"/>
        <w:rPr>
          <w:rFonts w:ascii="Arial" w:eastAsiaTheme="minorHAnsi" w:hAnsi="Arial" w:cs="Arial"/>
          <w:sz w:val="22"/>
          <w:szCs w:val="22"/>
          <w:lang w:eastAsia="en-US"/>
        </w:rPr>
      </w:pPr>
    </w:p>
    <w:p w:rsidR="006C7396" w:rsidRPr="006C7396" w:rsidRDefault="006C7396" w:rsidP="006C7396">
      <w:pPr>
        <w:pStyle w:val="ListParagraph"/>
        <w:numPr>
          <w:ilvl w:val="0"/>
          <w:numId w:val="2"/>
        </w:numPr>
        <w:spacing w:after="200" w:line="276" w:lineRule="auto"/>
        <w:rPr>
          <w:rFonts w:ascii="Arial" w:eastAsiaTheme="minorHAnsi" w:hAnsi="Arial" w:cs="Arial"/>
          <w:sz w:val="22"/>
          <w:szCs w:val="22"/>
          <w:lang w:eastAsia="en-US"/>
        </w:rPr>
      </w:pPr>
      <w:r w:rsidRPr="006C7396">
        <w:rPr>
          <w:rFonts w:ascii="Arial" w:eastAsiaTheme="minorHAnsi" w:hAnsi="Arial" w:cs="Arial"/>
          <w:sz w:val="22"/>
          <w:szCs w:val="22"/>
          <w:lang w:eastAsia="en-US"/>
        </w:rPr>
        <w:t>Our forecast revenue expenditure position has moved from breakeven to a potential underspend in the region of £100k to £200k (0.7% - 1.4%)</w:t>
      </w:r>
    </w:p>
    <w:p w:rsidR="006C7396" w:rsidRPr="006C7396" w:rsidRDefault="006C7396" w:rsidP="006C7396">
      <w:pPr>
        <w:pStyle w:val="ListParagraph"/>
        <w:rPr>
          <w:rFonts w:ascii="Arial" w:eastAsiaTheme="minorHAnsi" w:hAnsi="Arial" w:cs="Arial"/>
          <w:sz w:val="22"/>
          <w:szCs w:val="22"/>
          <w:lang w:eastAsia="en-US"/>
        </w:rPr>
      </w:pPr>
    </w:p>
    <w:p w:rsidR="006C7396" w:rsidRPr="006C7396" w:rsidRDefault="006C7396" w:rsidP="006C7396">
      <w:pPr>
        <w:pStyle w:val="ListParagraph"/>
        <w:numPr>
          <w:ilvl w:val="0"/>
          <w:numId w:val="2"/>
        </w:numPr>
        <w:spacing w:after="200" w:line="276" w:lineRule="auto"/>
        <w:rPr>
          <w:rFonts w:ascii="Arial" w:eastAsiaTheme="minorHAnsi" w:hAnsi="Arial" w:cs="Arial"/>
          <w:sz w:val="22"/>
          <w:szCs w:val="22"/>
          <w:lang w:eastAsia="en-US"/>
        </w:rPr>
      </w:pPr>
      <w:r w:rsidRPr="006C7396">
        <w:rPr>
          <w:rFonts w:ascii="Arial" w:eastAsiaTheme="minorHAnsi" w:hAnsi="Arial" w:cs="Arial"/>
          <w:sz w:val="22"/>
          <w:szCs w:val="22"/>
          <w:lang w:eastAsia="en-US"/>
        </w:rPr>
        <w:t>More work is being performed on this forecast variance to better quantify the scale of the shortfall and what actions can be put in place to address it</w:t>
      </w:r>
      <w:r w:rsidR="00B62D6B">
        <w:rPr>
          <w:rFonts w:ascii="Arial" w:eastAsiaTheme="minorHAnsi" w:hAnsi="Arial" w:cs="Arial"/>
          <w:sz w:val="22"/>
          <w:szCs w:val="22"/>
          <w:lang w:eastAsia="en-US"/>
        </w:rPr>
        <w:t>. We also know that our strategic and service improvement ambition for 2017/18 far exceeds our anticipated budget allocation</w:t>
      </w:r>
      <w:r w:rsidR="008F5D54">
        <w:rPr>
          <w:rFonts w:ascii="Arial" w:eastAsiaTheme="minorHAnsi" w:hAnsi="Arial" w:cs="Arial"/>
          <w:sz w:val="22"/>
          <w:szCs w:val="22"/>
          <w:lang w:eastAsia="en-US"/>
        </w:rPr>
        <w:t xml:space="preserve"> </w:t>
      </w:r>
      <w:r w:rsidR="00B62D6B">
        <w:rPr>
          <w:rFonts w:ascii="Arial" w:eastAsiaTheme="minorHAnsi" w:hAnsi="Arial" w:cs="Arial"/>
          <w:sz w:val="22"/>
          <w:szCs w:val="22"/>
          <w:lang w:eastAsia="en-US"/>
        </w:rPr>
        <w:t xml:space="preserve">/ envelope. </w:t>
      </w:r>
      <w:r w:rsidR="00FF2551">
        <w:rPr>
          <w:rFonts w:ascii="Arial" w:eastAsiaTheme="minorHAnsi" w:hAnsi="Arial" w:cs="Arial"/>
          <w:sz w:val="22"/>
          <w:szCs w:val="22"/>
          <w:lang w:eastAsia="en-US"/>
        </w:rPr>
        <w:t>We are working to identify which projects could be accelerated into 2017/18 to help address the know</w:t>
      </w:r>
      <w:r w:rsidR="008F5D54">
        <w:rPr>
          <w:rFonts w:ascii="Arial" w:eastAsiaTheme="minorHAnsi" w:hAnsi="Arial" w:cs="Arial"/>
          <w:sz w:val="22"/>
          <w:szCs w:val="22"/>
          <w:lang w:eastAsia="en-US"/>
        </w:rPr>
        <w:t>n</w:t>
      </w:r>
      <w:r w:rsidR="00FF2551">
        <w:rPr>
          <w:rFonts w:ascii="Arial" w:eastAsiaTheme="minorHAnsi" w:hAnsi="Arial" w:cs="Arial"/>
          <w:sz w:val="22"/>
          <w:szCs w:val="22"/>
          <w:lang w:eastAsia="en-US"/>
        </w:rPr>
        <w:t xml:space="preserve"> pressure on resources for 2017/18. </w:t>
      </w:r>
      <w:r w:rsidR="00B62D6B">
        <w:rPr>
          <w:rFonts w:ascii="Arial" w:eastAsiaTheme="minorHAnsi" w:hAnsi="Arial" w:cs="Arial"/>
          <w:sz w:val="22"/>
          <w:szCs w:val="22"/>
          <w:lang w:eastAsia="en-US"/>
        </w:rPr>
        <w:t xml:space="preserve"> </w:t>
      </w:r>
    </w:p>
    <w:p w:rsidR="006C7396" w:rsidRPr="006C7396" w:rsidRDefault="006C7396" w:rsidP="006C7396">
      <w:pPr>
        <w:pStyle w:val="ListParagraph"/>
        <w:rPr>
          <w:rFonts w:ascii="Arial" w:eastAsiaTheme="minorHAnsi" w:hAnsi="Arial" w:cs="Arial"/>
          <w:sz w:val="22"/>
          <w:szCs w:val="22"/>
          <w:lang w:eastAsia="en-US"/>
        </w:rPr>
      </w:pPr>
    </w:p>
    <w:p w:rsidR="006C7396" w:rsidRPr="006C7396" w:rsidRDefault="006C7396" w:rsidP="006C7396">
      <w:pPr>
        <w:pStyle w:val="ListParagraph"/>
        <w:numPr>
          <w:ilvl w:val="0"/>
          <w:numId w:val="24"/>
        </w:numPr>
        <w:spacing w:after="200" w:line="276" w:lineRule="auto"/>
        <w:rPr>
          <w:rFonts w:ascii="Arial" w:eastAsiaTheme="minorHAnsi" w:hAnsi="Arial" w:cs="Arial"/>
          <w:sz w:val="22"/>
          <w:szCs w:val="22"/>
          <w:lang w:eastAsia="en-US"/>
        </w:rPr>
      </w:pPr>
      <w:r w:rsidRPr="006C7396">
        <w:rPr>
          <w:rFonts w:ascii="Arial" w:eastAsiaTheme="minorHAnsi" w:hAnsi="Arial" w:cs="Arial"/>
          <w:sz w:val="22"/>
          <w:szCs w:val="22"/>
          <w:lang w:eastAsia="en-US"/>
        </w:rPr>
        <w:t>Our forecast capital expenditure position remains an underspend of £140k due predominantly to our successful renegotiation of the contract price with our systems developers</w:t>
      </w:r>
    </w:p>
    <w:p w:rsidR="006C7396" w:rsidRPr="006C7396" w:rsidRDefault="006C7396" w:rsidP="006C7396">
      <w:pPr>
        <w:pStyle w:val="ListParagraph"/>
        <w:spacing w:after="200" w:line="276" w:lineRule="auto"/>
        <w:rPr>
          <w:rFonts w:ascii="Arial" w:eastAsiaTheme="minorHAnsi" w:hAnsi="Arial" w:cs="Arial"/>
          <w:sz w:val="22"/>
          <w:szCs w:val="22"/>
          <w:lang w:eastAsia="en-US"/>
        </w:rPr>
      </w:pPr>
    </w:p>
    <w:p w:rsidR="006C7396" w:rsidRPr="006C7396" w:rsidRDefault="006C7396" w:rsidP="006C7396">
      <w:pPr>
        <w:pStyle w:val="ListParagraph"/>
        <w:numPr>
          <w:ilvl w:val="0"/>
          <w:numId w:val="24"/>
        </w:numPr>
        <w:spacing w:after="200" w:line="276" w:lineRule="auto"/>
        <w:rPr>
          <w:rFonts w:ascii="Arial" w:eastAsiaTheme="minorHAnsi" w:hAnsi="Arial" w:cs="Arial"/>
          <w:sz w:val="22"/>
          <w:szCs w:val="22"/>
          <w:lang w:eastAsia="en-US"/>
        </w:rPr>
      </w:pPr>
      <w:r w:rsidRPr="006C7396">
        <w:rPr>
          <w:rFonts w:ascii="Arial" w:eastAsiaTheme="minorHAnsi" w:hAnsi="Arial" w:cs="Arial"/>
          <w:sz w:val="22"/>
          <w:szCs w:val="22"/>
          <w:lang w:eastAsia="en-US"/>
        </w:rPr>
        <w:t xml:space="preserve">The HRA continued to meet its regulatory requirements in paying invoices </w:t>
      </w:r>
    </w:p>
    <w:p w:rsidR="007055AB" w:rsidRPr="0064012C" w:rsidRDefault="007055AB" w:rsidP="006C7396">
      <w:pPr>
        <w:ind w:left="720"/>
        <w:contextualSpacing/>
        <w:rPr>
          <w:rFonts w:ascii="Arial" w:hAnsi="Arial" w:cs="Arial"/>
          <w:sz w:val="22"/>
          <w:szCs w:val="22"/>
        </w:rPr>
      </w:pPr>
    </w:p>
    <w:p w:rsidR="004703C6" w:rsidRDefault="00B62D6B" w:rsidP="00B62D6B">
      <w:pPr>
        <w:jc w:val="both"/>
        <w:rPr>
          <w:rFonts w:ascii="Arial" w:hAnsi="Arial" w:cs="Arial"/>
          <w:b/>
          <w:sz w:val="22"/>
          <w:szCs w:val="22"/>
        </w:rPr>
      </w:pPr>
      <w:r>
        <w:rPr>
          <w:rFonts w:ascii="Arial" w:hAnsi="Arial" w:cs="Arial"/>
          <w:b/>
          <w:sz w:val="22"/>
          <w:szCs w:val="22"/>
        </w:rPr>
        <w:t xml:space="preserve">Financial performance to </w:t>
      </w:r>
      <w:r w:rsidR="00810820">
        <w:rPr>
          <w:rFonts w:ascii="Arial" w:hAnsi="Arial" w:cs="Arial"/>
          <w:b/>
          <w:sz w:val="22"/>
          <w:szCs w:val="22"/>
        </w:rPr>
        <w:t xml:space="preserve">30 </w:t>
      </w:r>
      <w:r>
        <w:rPr>
          <w:rFonts w:ascii="Arial" w:hAnsi="Arial" w:cs="Arial"/>
          <w:b/>
          <w:sz w:val="22"/>
          <w:szCs w:val="22"/>
        </w:rPr>
        <w:t>November 2016</w:t>
      </w:r>
      <w:r w:rsidR="00AD76CF" w:rsidRPr="00AD76CF">
        <w:rPr>
          <w:rFonts w:ascii="Arial" w:hAnsi="Arial" w:cs="Arial"/>
          <w:b/>
          <w:sz w:val="22"/>
          <w:szCs w:val="22"/>
        </w:rPr>
        <w:t xml:space="preserve"> </w:t>
      </w:r>
      <w:r w:rsidR="00195D4C">
        <w:rPr>
          <w:rFonts w:ascii="Arial" w:hAnsi="Arial" w:cs="Arial"/>
          <w:b/>
          <w:sz w:val="22"/>
          <w:szCs w:val="22"/>
        </w:rPr>
        <w:t>and forecast for 2016/17</w:t>
      </w:r>
    </w:p>
    <w:p w:rsidR="00195D4C" w:rsidRDefault="00195D4C" w:rsidP="00B62D6B">
      <w:pPr>
        <w:jc w:val="both"/>
        <w:rPr>
          <w:rFonts w:ascii="Arial" w:hAnsi="Arial" w:cs="Arial"/>
          <w:sz w:val="22"/>
          <w:szCs w:val="22"/>
        </w:rPr>
      </w:pPr>
    </w:p>
    <w:p w:rsidR="00195D4C" w:rsidRPr="00195D4C" w:rsidRDefault="00195D4C" w:rsidP="00B62D6B">
      <w:pPr>
        <w:jc w:val="both"/>
        <w:rPr>
          <w:rFonts w:ascii="Arial" w:hAnsi="Arial" w:cs="Arial"/>
          <w:b/>
          <w:sz w:val="22"/>
          <w:szCs w:val="22"/>
        </w:rPr>
      </w:pPr>
      <w:r>
        <w:rPr>
          <w:rFonts w:ascii="Arial" w:hAnsi="Arial" w:cs="Arial"/>
          <w:b/>
          <w:sz w:val="22"/>
          <w:szCs w:val="22"/>
        </w:rPr>
        <w:t>Revenue expenditure</w:t>
      </w:r>
    </w:p>
    <w:tbl>
      <w:tblPr>
        <w:tblpPr w:leftFromText="180" w:rightFromText="180" w:vertAnchor="text" w:horzAnchor="page" w:tblpXSpec="center" w:tblpY="397"/>
        <w:tblW w:w="9854" w:type="dxa"/>
        <w:jc w:val="center"/>
        <w:tblLook w:val="04A0" w:firstRow="1" w:lastRow="0" w:firstColumn="1" w:lastColumn="0" w:noHBand="0" w:noVBand="1"/>
      </w:tblPr>
      <w:tblGrid>
        <w:gridCol w:w="3294"/>
        <w:gridCol w:w="905"/>
        <w:gridCol w:w="828"/>
        <w:gridCol w:w="1050"/>
        <w:gridCol w:w="939"/>
        <w:gridCol w:w="883"/>
        <w:gridCol w:w="905"/>
        <w:gridCol w:w="1050"/>
      </w:tblGrid>
      <w:tr w:rsidR="00B62D6B" w:rsidRPr="00106232" w:rsidTr="00B62D6B">
        <w:trPr>
          <w:trHeight w:val="268"/>
          <w:jc w:val="center"/>
        </w:trPr>
        <w:tc>
          <w:tcPr>
            <w:tcW w:w="3294" w:type="dxa"/>
            <w:tcBorders>
              <w:top w:val="single" w:sz="4" w:space="0" w:color="666666"/>
              <w:left w:val="nil"/>
              <w:bottom w:val="single" w:sz="4" w:space="0" w:color="666666"/>
              <w:right w:val="single" w:sz="4" w:space="0" w:color="666666"/>
            </w:tcBorders>
            <w:shd w:val="clear" w:color="000000" w:fill="56008C"/>
            <w:vAlign w:val="center"/>
            <w:hideMark/>
          </w:tcPr>
          <w:p w:rsidR="00B62D6B" w:rsidRPr="00106232" w:rsidRDefault="00B62D6B" w:rsidP="00B62D6B">
            <w:pPr>
              <w:jc w:val="center"/>
              <w:rPr>
                <w:rFonts w:ascii="Arial" w:hAnsi="Arial" w:cs="Arial"/>
                <w:b/>
                <w:bCs/>
                <w:color w:val="FFFFFF"/>
                <w:sz w:val="20"/>
                <w:szCs w:val="20"/>
              </w:rPr>
            </w:pPr>
            <w:r w:rsidRPr="00106232">
              <w:rPr>
                <w:rFonts w:ascii="Arial" w:hAnsi="Arial" w:cs="Arial"/>
                <w:b/>
                <w:bCs/>
                <w:color w:val="FFFFFF"/>
                <w:sz w:val="20"/>
                <w:szCs w:val="20"/>
              </w:rPr>
              <w:t>Department</w:t>
            </w:r>
          </w:p>
        </w:tc>
        <w:tc>
          <w:tcPr>
            <w:tcW w:w="2783" w:type="dxa"/>
            <w:gridSpan w:val="3"/>
            <w:tcBorders>
              <w:top w:val="single" w:sz="8" w:space="0" w:color="FFFFFF"/>
              <w:left w:val="single" w:sz="8" w:space="0" w:color="FFFFFF"/>
              <w:bottom w:val="nil"/>
              <w:right w:val="single" w:sz="8" w:space="0" w:color="FFFFFF"/>
            </w:tcBorders>
            <w:shd w:val="clear" w:color="000000" w:fill="E28C05"/>
            <w:vAlign w:val="center"/>
            <w:hideMark/>
          </w:tcPr>
          <w:p w:rsidR="00B62D6B" w:rsidRPr="00106232" w:rsidRDefault="00B62D6B" w:rsidP="00B62D6B">
            <w:pPr>
              <w:jc w:val="center"/>
              <w:rPr>
                <w:rFonts w:ascii="Arial" w:hAnsi="Arial" w:cs="Arial"/>
                <w:b/>
                <w:bCs/>
                <w:color w:val="56008C"/>
                <w:sz w:val="20"/>
                <w:szCs w:val="20"/>
              </w:rPr>
            </w:pPr>
            <w:r w:rsidRPr="00106232">
              <w:rPr>
                <w:rFonts w:ascii="Arial" w:hAnsi="Arial" w:cs="Arial"/>
                <w:b/>
                <w:bCs/>
                <w:color w:val="56008C"/>
                <w:sz w:val="20"/>
                <w:szCs w:val="20"/>
              </w:rPr>
              <w:t>Year to date (£'000)</w:t>
            </w:r>
          </w:p>
        </w:tc>
        <w:tc>
          <w:tcPr>
            <w:tcW w:w="3777" w:type="dxa"/>
            <w:gridSpan w:val="4"/>
            <w:tcBorders>
              <w:top w:val="single" w:sz="8" w:space="0" w:color="FFFFFF"/>
              <w:left w:val="nil"/>
              <w:bottom w:val="nil"/>
              <w:right w:val="single" w:sz="8" w:space="0" w:color="FFFFFF"/>
            </w:tcBorders>
            <w:shd w:val="clear" w:color="000000" w:fill="56008C"/>
            <w:vAlign w:val="center"/>
            <w:hideMark/>
          </w:tcPr>
          <w:p w:rsidR="00B62D6B" w:rsidRPr="00106232" w:rsidRDefault="00B62D6B" w:rsidP="00B62D6B">
            <w:pPr>
              <w:jc w:val="center"/>
              <w:rPr>
                <w:rFonts w:ascii="Arial" w:hAnsi="Arial" w:cs="Arial"/>
                <w:b/>
                <w:bCs/>
                <w:color w:val="FFFFFF"/>
                <w:sz w:val="20"/>
                <w:szCs w:val="20"/>
              </w:rPr>
            </w:pPr>
            <w:r w:rsidRPr="00106232">
              <w:rPr>
                <w:rFonts w:ascii="Arial" w:hAnsi="Arial" w:cs="Arial"/>
                <w:b/>
                <w:bCs/>
                <w:color w:val="FFFFFF"/>
                <w:sz w:val="20"/>
                <w:szCs w:val="20"/>
              </w:rPr>
              <w:t>Full year (£'000)</w:t>
            </w:r>
          </w:p>
        </w:tc>
      </w:tr>
      <w:tr w:rsidR="00B62D6B" w:rsidRPr="00106232" w:rsidTr="00B62D6B">
        <w:trPr>
          <w:trHeight w:val="467"/>
          <w:jc w:val="center"/>
        </w:trPr>
        <w:tc>
          <w:tcPr>
            <w:tcW w:w="3294" w:type="dxa"/>
            <w:tcBorders>
              <w:top w:val="nil"/>
              <w:left w:val="nil"/>
              <w:bottom w:val="single" w:sz="8" w:space="0" w:color="CCCCCC"/>
              <w:right w:val="single" w:sz="8" w:space="0" w:color="CCCCCC"/>
            </w:tcBorders>
            <w:shd w:val="clear" w:color="000000" w:fill="56008C"/>
            <w:vAlign w:val="center"/>
            <w:hideMark/>
          </w:tcPr>
          <w:p w:rsidR="00B62D6B" w:rsidRPr="00106232" w:rsidRDefault="00B62D6B" w:rsidP="00B62D6B">
            <w:pPr>
              <w:jc w:val="center"/>
              <w:rPr>
                <w:rFonts w:ascii="Arial" w:hAnsi="Arial" w:cs="Arial"/>
                <w:b/>
                <w:bCs/>
                <w:color w:val="FFFFFF"/>
                <w:sz w:val="20"/>
                <w:szCs w:val="20"/>
              </w:rPr>
            </w:pPr>
            <w:r w:rsidRPr="00106232">
              <w:rPr>
                <w:rFonts w:ascii="Arial" w:hAnsi="Arial" w:cs="Arial"/>
                <w:b/>
                <w:bCs/>
                <w:color w:val="FFFFFF"/>
                <w:sz w:val="20"/>
                <w:szCs w:val="20"/>
              </w:rPr>
              <w:t>Income</w:t>
            </w:r>
          </w:p>
        </w:tc>
        <w:tc>
          <w:tcPr>
            <w:tcW w:w="905" w:type="dxa"/>
            <w:tcBorders>
              <w:top w:val="nil"/>
              <w:left w:val="nil"/>
              <w:bottom w:val="nil"/>
              <w:right w:val="single" w:sz="8" w:space="0" w:color="55ACD3"/>
            </w:tcBorders>
            <w:shd w:val="clear" w:color="000000" w:fill="E28C05"/>
            <w:vAlign w:val="center"/>
            <w:hideMark/>
          </w:tcPr>
          <w:p w:rsidR="00B62D6B" w:rsidRPr="00106232" w:rsidRDefault="00B62D6B" w:rsidP="00B62D6B">
            <w:pPr>
              <w:rPr>
                <w:rFonts w:ascii="Arial" w:hAnsi="Arial" w:cs="Arial"/>
                <w:b/>
                <w:bCs/>
                <w:color w:val="56008C"/>
                <w:sz w:val="20"/>
                <w:szCs w:val="20"/>
              </w:rPr>
            </w:pPr>
            <w:r w:rsidRPr="00106232">
              <w:rPr>
                <w:rFonts w:ascii="Arial" w:hAnsi="Arial" w:cs="Arial"/>
                <w:b/>
                <w:bCs/>
                <w:color w:val="56008C"/>
                <w:sz w:val="20"/>
                <w:szCs w:val="20"/>
              </w:rPr>
              <w:t>Budget</w:t>
            </w:r>
          </w:p>
        </w:tc>
        <w:tc>
          <w:tcPr>
            <w:tcW w:w="828" w:type="dxa"/>
            <w:tcBorders>
              <w:top w:val="nil"/>
              <w:left w:val="nil"/>
              <w:bottom w:val="nil"/>
              <w:right w:val="single" w:sz="8" w:space="0" w:color="55ACD3"/>
            </w:tcBorders>
            <w:shd w:val="clear" w:color="000000" w:fill="E28C05"/>
            <w:vAlign w:val="center"/>
            <w:hideMark/>
          </w:tcPr>
          <w:p w:rsidR="00B62D6B" w:rsidRPr="00106232" w:rsidRDefault="00B62D6B" w:rsidP="00B62D6B">
            <w:pPr>
              <w:rPr>
                <w:rFonts w:ascii="Arial" w:hAnsi="Arial" w:cs="Arial"/>
                <w:b/>
                <w:bCs/>
                <w:color w:val="56008C"/>
                <w:sz w:val="20"/>
                <w:szCs w:val="20"/>
              </w:rPr>
            </w:pPr>
            <w:r w:rsidRPr="00106232">
              <w:rPr>
                <w:rFonts w:ascii="Arial" w:hAnsi="Arial" w:cs="Arial"/>
                <w:b/>
                <w:bCs/>
                <w:color w:val="56008C"/>
                <w:sz w:val="20"/>
                <w:szCs w:val="20"/>
              </w:rPr>
              <w:t>Actual</w:t>
            </w:r>
          </w:p>
        </w:tc>
        <w:tc>
          <w:tcPr>
            <w:tcW w:w="1050" w:type="dxa"/>
            <w:tcBorders>
              <w:top w:val="nil"/>
              <w:left w:val="nil"/>
              <w:bottom w:val="nil"/>
              <w:right w:val="nil"/>
            </w:tcBorders>
            <w:shd w:val="clear" w:color="000000" w:fill="E28C05"/>
            <w:vAlign w:val="center"/>
            <w:hideMark/>
          </w:tcPr>
          <w:p w:rsidR="00B62D6B" w:rsidRPr="00106232" w:rsidRDefault="00B62D6B" w:rsidP="00B62D6B">
            <w:pPr>
              <w:rPr>
                <w:rFonts w:ascii="Arial" w:hAnsi="Arial" w:cs="Arial"/>
                <w:b/>
                <w:bCs/>
                <w:color w:val="56008C"/>
                <w:sz w:val="20"/>
                <w:szCs w:val="20"/>
              </w:rPr>
            </w:pPr>
            <w:r w:rsidRPr="00106232">
              <w:rPr>
                <w:rFonts w:ascii="Arial" w:hAnsi="Arial" w:cs="Arial"/>
                <w:b/>
                <w:bCs/>
                <w:color w:val="56008C"/>
                <w:sz w:val="20"/>
                <w:szCs w:val="20"/>
              </w:rPr>
              <w:t>Variance</w:t>
            </w:r>
          </w:p>
        </w:tc>
        <w:tc>
          <w:tcPr>
            <w:tcW w:w="939" w:type="dxa"/>
            <w:tcBorders>
              <w:top w:val="nil"/>
              <w:left w:val="nil"/>
              <w:bottom w:val="nil"/>
              <w:right w:val="single" w:sz="8" w:space="0" w:color="55ACD3"/>
            </w:tcBorders>
            <w:shd w:val="clear" w:color="000000" w:fill="56008C"/>
            <w:vAlign w:val="center"/>
            <w:hideMark/>
          </w:tcPr>
          <w:p w:rsidR="00B62D6B" w:rsidRPr="00106232" w:rsidRDefault="00B62D6B" w:rsidP="00B62D6B">
            <w:pPr>
              <w:jc w:val="center"/>
              <w:rPr>
                <w:rFonts w:ascii="Arial" w:hAnsi="Arial" w:cs="Arial"/>
                <w:b/>
                <w:bCs/>
                <w:color w:val="FFFFFF"/>
                <w:sz w:val="20"/>
                <w:szCs w:val="20"/>
              </w:rPr>
            </w:pPr>
            <w:r w:rsidRPr="00106232">
              <w:rPr>
                <w:rFonts w:ascii="Arial" w:hAnsi="Arial" w:cs="Arial"/>
                <w:b/>
                <w:bCs/>
                <w:color w:val="FFFFFF"/>
                <w:sz w:val="20"/>
                <w:szCs w:val="20"/>
              </w:rPr>
              <w:t>2015/16 actual</w:t>
            </w:r>
          </w:p>
        </w:tc>
        <w:tc>
          <w:tcPr>
            <w:tcW w:w="883" w:type="dxa"/>
            <w:tcBorders>
              <w:top w:val="nil"/>
              <w:left w:val="nil"/>
              <w:bottom w:val="nil"/>
              <w:right w:val="single" w:sz="8" w:space="0" w:color="55ACD3"/>
            </w:tcBorders>
            <w:shd w:val="clear" w:color="000000" w:fill="56008C"/>
            <w:vAlign w:val="center"/>
            <w:hideMark/>
          </w:tcPr>
          <w:p w:rsidR="00B62D6B" w:rsidRPr="00106232" w:rsidRDefault="00B62D6B" w:rsidP="00B62D6B">
            <w:pPr>
              <w:rPr>
                <w:rFonts w:ascii="Arial" w:hAnsi="Arial" w:cs="Arial"/>
                <w:b/>
                <w:bCs/>
                <w:color w:val="FFFFFF"/>
                <w:sz w:val="20"/>
                <w:szCs w:val="20"/>
              </w:rPr>
            </w:pPr>
            <w:r w:rsidRPr="00106232">
              <w:rPr>
                <w:rFonts w:ascii="Arial" w:hAnsi="Arial" w:cs="Arial"/>
                <w:b/>
                <w:bCs/>
                <w:color w:val="FFFFFF"/>
                <w:sz w:val="20"/>
                <w:szCs w:val="20"/>
              </w:rPr>
              <w:t xml:space="preserve"> Initial budget</w:t>
            </w:r>
          </w:p>
        </w:tc>
        <w:tc>
          <w:tcPr>
            <w:tcW w:w="905" w:type="dxa"/>
            <w:tcBorders>
              <w:top w:val="nil"/>
              <w:left w:val="nil"/>
              <w:bottom w:val="nil"/>
              <w:right w:val="single" w:sz="8" w:space="0" w:color="55ACD3"/>
            </w:tcBorders>
            <w:shd w:val="clear" w:color="000000" w:fill="56008C"/>
            <w:vAlign w:val="center"/>
            <w:hideMark/>
          </w:tcPr>
          <w:p w:rsidR="00B62D6B" w:rsidRPr="00106232" w:rsidRDefault="00B62D6B" w:rsidP="00B62D6B">
            <w:pPr>
              <w:rPr>
                <w:rFonts w:ascii="Arial" w:hAnsi="Arial" w:cs="Arial"/>
                <w:b/>
                <w:bCs/>
                <w:color w:val="FFFFFF"/>
                <w:sz w:val="20"/>
                <w:szCs w:val="20"/>
              </w:rPr>
            </w:pPr>
            <w:r w:rsidRPr="00106232">
              <w:rPr>
                <w:rFonts w:ascii="Arial" w:hAnsi="Arial" w:cs="Arial"/>
                <w:b/>
                <w:bCs/>
                <w:color w:val="FFFFFF"/>
                <w:sz w:val="20"/>
                <w:szCs w:val="20"/>
              </w:rPr>
              <w:t>Latest Budget</w:t>
            </w:r>
          </w:p>
        </w:tc>
        <w:tc>
          <w:tcPr>
            <w:tcW w:w="1050" w:type="dxa"/>
            <w:tcBorders>
              <w:top w:val="nil"/>
              <w:left w:val="nil"/>
              <w:bottom w:val="nil"/>
              <w:right w:val="nil"/>
            </w:tcBorders>
            <w:shd w:val="clear" w:color="000000" w:fill="56008C"/>
            <w:vAlign w:val="center"/>
            <w:hideMark/>
          </w:tcPr>
          <w:p w:rsidR="00B62D6B" w:rsidRPr="00106232" w:rsidRDefault="00B62D6B" w:rsidP="00B62D6B">
            <w:pPr>
              <w:rPr>
                <w:rFonts w:ascii="Arial" w:hAnsi="Arial" w:cs="Arial"/>
                <w:b/>
                <w:bCs/>
                <w:color w:val="FFFFFF"/>
                <w:sz w:val="20"/>
                <w:szCs w:val="20"/>
              </w:rPr>
            </w:pPr>
            <w:r w:rsidRPr="00106232">
              <w:rPr>
                <w:rFonts w:ascii="Arial" w:hAnsi="Arial" w:cs="Arial"/>
                <w:b/>
                <w:bCs/>
                <w:color w:val="FFFFFF"/>
                <w:sz w:val="20"/>
                <w:szCs w:val="20"/>
              </w:rPr>
              <w:t>Forecast</w:t>
            </w:r>
          </w:p>
        </w:tc>
      </w:tr>
      <w:tr w:rsidR="00B62D6B" w:rsidRPr="00106232" w:rsidTr="00B62D6B">
        <w:trPr>
          <w:trHeight w:val="280"/>
          <w:jc w:val="center"/>
        </w:trPr>
        <w:tc>
          <w:tcPr>
            <w:tcW w:w="3294" w:type="dxa"/>
            <w:tcBorders>
              <w:top w:val="nil"/>
              <w:left w:val="single" w:sz="8" w:space="0" w:color="FFFFFF"/>
              <w:bottom w:val="single" w:sz="8" w:space="0" w:color="FFFFFF"/>
              <w:right w:val="single" w:sz="8" w:space="0" w:color="FFFFFF"/>
            </w:tcBorders>
            <w:shd w:val="clear" w:color="auto" w:fill="auto"/>
            <w:vAlign w:val="bottom"/>
            <w:hideMark/>
          </w:tcPr>
          <w:p w:rsidR="00B62D6B" w:rsidRPr="00106232" w:rsidRDefault="00B62D6B" w:rsidP="00B62D6B">
            <w:pPr>
              <w:rPr>
                <w:rFonts w:ascii="Arial" w:hAnsi="Arial" w:cs="Arial"/>
                <w:color w:val="000000"/>
                <w:sz w:val="18"/>
                <w:szCs w:val="18"/>
              </w:rPr>
            </w:pPr>
            <w:r w:rsidRPr="00106232">
              <w:rPr>
                <w:rFonts w:ascii="Arial" w:hAnsi="Arial" w:cs="Arial"/>
                <w:color w:val="000000"/>
                <w:sz w:val="18"/>
                <w:szCs w:val="18"/>
              </w:rPr>
              <w:t>HRA income</w:t>
            </w:r>
          </w:p>
        </w:tc>
        <w:tc>
          <w:tcPr>
            <w:tcW w:w="905" w:type="dxa"/>
            <w:tcBorders>
              <w:top w:val="nil"/>
              <w:left w:val="nil"/>
              <w:bottom w:val="nil"/>
              <w:right w:val="nil"/>
            </w:tcBorders>
            <w:shd w:val="clear" w:color="auto" w:fill="auto"/>
            <w:noWrap/>
            <w:vAlign w:val="bottom"/>
            <w:hideMark/>
          </w:tcPr>
          <w:p w:rsidR="00B62D6B" w:rsidRPr="00106232" w:rsidRDefault="00B62D6B" w:rsidP="00B62D6B">
            <w:pPr>
              <w:jc w:val="right"/>
              <w:rPr>
                <w:rFonts w:ascii="Calibri" w:hAnsi="Calibri" w:cs="Calibri"/>
                <w:color w:val="000000"/>
                <w:sz w:val="22"/>
                <w:szCs w:val="22"/>
              </w:rPr>
            </w:pPr>
            <w:r w:rsidRPr="00106232">
              <w:rPr>
                <w:rFonts w:ascii="Calibri" w:hAnsi="Calibri" w:cs="Calibri"/>
                <w:color w:val="000000"/>
                <w:sz w:val="22"/>
                <w:szCs w:val="22"/>
              </w:rPr>
              <w:t>88</w:t>
            </w:r>
          </w:p>
        </w:tc>
        <w:tc>
          <w:tcPr>
            <w:tcW w:w="828" w:type="dxa"/>
            <w:tcBorders>
              <w:top w:val="nil"/>
              <w:left w:val="nil"/>
              <w:bottom w:val="nil"/>
              <w:right w:val="nil"/>
            </w:tcBorders>
            <w:shd w:val="clear" w:color="auto" w:fill="auto"/>
            <w:noWrap/>
            <w:vAlign w:val="bottom"/>
            <w:hideMark/>
          </w:tcPr>
          <w:p w:rsidR="00B62D6B" w:rsidRPr="00106232" w:rsidRDefault="00B62D6B" w:rsidP="00B62D6B">
            <w:pPr>
              <w:jc w:val="right"/>
              <w:rPr>
                <w:rFonts w:ascii="Calibri" w:hAnsi="Calibri" w:cs="Calibri"/>
                <w:color w:val="000000"/>
                <w:sz w:val="22"/>
                <w:szCs w:val="22"/>
              </w:rPr>
            </w:pPr>
            <w:r w:rsidRPr="00106232">
              <w:rPr>
                <w:rFonts w:ascii="Calibri" w:hAnsi="Calibri" w:cs="Calibri"/>
                <w:color w:val="000000"/>
                <w:sz w:val="22"/>
                <w:szCs w:val="22"/>
              </w:rPr>
              <w:t>88</w:t>
            </w:r>
          </w:p>
        </w:tc>
        <w:tc>
          <w:tcPr>
            <w:tcW w:w="1050" w:type="dxa"/>
            <w:tcBorders>
              <w:top w:val="nil"/>
              <w:left w:val="nil"/>
              <w:bottom w:val="nil"/>
              <w:right w:val="nil"/>
            </w:tcBorders>
            <w:shd w:val="clear" w:color="auto" w:fill="auto"/>
            <w:noWrap/>
            <w:vAlign w:val="bottom"/>
            <w:hideMark/>
          </w:tcPr>
          <w:p w:rsidR="00B62D6B" w:rsidRPr="00106232" w:rsidRDefault="00B62D6B" w:rsidP="00B62D6B">
            <w:pPr>
              <w:jc w:val="right"/>
              <w:rPr>
                <w:rFonts w:ascii="Calibri" w:hAnsi="Calibri" w:cs="Calibri"/>
                <w:color w:val="000000"/>
                <w:sz w:val="22"/>
                <w:szCs w:val="22"/>
              </w:rPr>
            </w:pPr>
            <w:r w:rsidRPr="00106232">
              <w:rPr>
                <w:rFonts w:ascii="Calibri" w:hAnsi="Calibri" w:cs="Calibri"/>
                <w:color w:val="000000"/>
                <w:sz w:val="22"/>
                <w:szCs w:val="22"/>
              </w:rPr>
              <w:t>0</w:t>
            </w:r>
          </w:p>
        </w:tc>
        <w:tc>
          <w:tcPr>
            <w:tcW w:w="939" w:type="dxa"/>
            <w:tcBorders>
              <w:top w:val="nil"/>
              <w:left w:val="nil"/>
              <w:bottom w:val="nil"/>
              <w:right w:val="nil"/>
            </w:tcBorders>
            <w:shd w:val="clear" w:color="auto" w:fill="auto"/>
            <w:noWrap/>
            <w:vAlign w:val="bottom"/>
            <w:hideMark/>
          </w:tcPr>
          <w:p w:rsidR="00B62D6B" w:rsidRPr="00106232" w:rsidRDefault="00B62D6B" w:rsidP="00B62D6B">
            <w:pPr>
              <w:jc w:val="right"/>
              <w:rPr>
                <w:rFonts w:ascii="Calibri" w:hAnsi="Calibri" w:cs="Calibri"/>
                <w:color w:val="000000"/>
                <w:sz w:val="22"/>
                <w:szCs w:val="22"/>
              </w:rPr>
            </w:pPr>
            <w:r w:rsidRPr="00106232">
              <w:rPr>
                <w:rFonts w:ascii="Calibri" w:hAnsi="Calibri" w:cs="Calibri"/>
                <w:color w:val="000000"/>
                <w:sz w:val="22"/>
                <w:szCs w:val="22"/>
              </w:rPr>
              <w:t>198</w:t>
            </w:r>
          </w:p>
        </w:tc>
        <w:tc>
          <w:tcPr>
            <w:tcW w:w="883" w:type="dxa"/>
            <w:tcBorders>
              <w:top w:val="nil"/>
              <w:left w:val="nil"/>
              <w:bottom w:val="nil"/>
              <w:right w:val="nil"/>
            </w:tcBorders>
            <w:shd w:val="clear" w:color="auto" w:fill="auto"/>
            <w:noWrap/>
            <w:vAlign w:val="bottom"/>
            <w:hideMark/>
          </w:tcPr>
          <w:p w:rsidR="00B62D6B" w:rsidRPr="00106232" w:rsidRDefault="00B62D6B" w:rsidP="00B62D6B">
            <w:pPr>
              <w:jc w:val="right"/>
              <w:rPr>
                <w:rFonts w:ascii="Calibri" w:hAnsi="Calibri" w:cs="Calibri"/>
                <w:color w:val="000000"/>
                <w:sz w:val="22"/>
                <w:szCs w:val="22"/>
              </w:rPr>
            </w:pPr>
            <w:r w:rsidRPr="00106232">
              <w:rPr>
                <w:rFonts w:ascii="Calibri" w:hAnsi="Calibri" w:cs="Calibri"/>
                <w:color w:val="000000"/>
                <w:sz w:val="22"/>
                <w:szCs w:val="22"/>
              </w:rPr>
              <w:t>200</w:t>
            </w:r>
          </w:p>
        </w:tc>
        <w:tc>
          <w:tcPr>
            <w:tcW w:w="905" w:type="dxa"/>
            <w:tcBorders>
              <w:top w:val="nil"/>
              <w:left w:val="nil"/>
              <w:bottom w:val="nil"/>
              <w:right w:val="nil"/>
            </w:tcBorders>
            <w:shd w:val="clear" w:color="auto" w:fill="auto"/>
            <w:noWrap/>
            <w:vAlign w:val="bottom"/>
            <w:hideMark/>
          </w:tcPr>
          <w:p w:rsidR="00B62D6B" w:rsidRPr="00106232" w:rsidRDefault="00B62D6B" w:rsidP="00B62D6B">
            <w:pPr>
              <w:jc w:val="right"/>
              <w:rPr>
                <w:rFonts w:ascii="Calibri" w:hAnsi="Calibri" w:cs="Calibri"/>
                <w:color w:val="000000"/>
                <w:sz w:val="22"/>
                <w:szCs w:val="22"/>
              </w:rPr>
            </w:pPr>
            <w:r w:rsidRPr="00106232">
              <w:rPr>
                <w:rFonts w:ascii="Calibri" w:hAnsi="Calibri" w:cs="Calibri"/>
                <w:color w:val="000000"/>
                <w:sz w:val="22"/>
                <w:szCs w:val="22"/>
              </w:rPr>
              <w:t>176</w:t>
            </w:r>
          </w:p>
        </w:tc>
        <w:tc>
          <w:tcPr>
            <w:tcW w:w="1050" w:type="dxa"/>
            <w:tcBorders>
              <w:top w:val="nil"/>
              <w:left w:val="nil"/>
              <w:bottom w:val="nil"/>
              <w:right w:val="nil"/>
            </w:tcBorders>
            <w:shd w:val="clear" w:color="auto" w:fill="auto"/>
            <w:noWrap/>
            <w:vAlign w:val="bottom"/>
            <w:hideMark/>
          </w:tcPr>
          <w:p w:rsidR="00B62D6B" w:rsidRPr="00106232" w:rsidRDefault="00B62D6B" w:rsidP="00B62D6B">
            <w:pPr>
              <w:jc w:val="right"/>
              <w:rPr>
                <w:rFonts w:ascii="Calibri" w:hAnsi="Calibri" w:cs="Calibri"/>
                <w:color w:val="000000"/>
                <w:sz w:val="22"/>
                <w:szCs w:val="22"/>
              </w:rPr>
            </w:pPr>
            <w:r w:rsidRPr="00106232">
              <w:rPr>
                <w:rFonts w:ascii="Calibri" w:hAnsi="Calibri" w:cs="Calibri"/>
                <w:color w:val="000000"/>
                <w:sz w:val="22"/>
                <w:szCs w:val="22"/>
              </w:rPr>
              <w:t>176</w:t>
            </w:r>
          </w:p>
        </w:tc>
      </w:tr>
      <w:tr w:rsidR="00B62D6B" w:rsidRPr="00106232" w:rsidTr="00B62D6B">
        <w:trPr>
          <w:trHeight w:val="280"/>
          <w:jc w:val="center"/>
        </w:trPr>
        <w:tc>
          <w:tcPr>
            <w:tcW w:w="3294" w:type="dxa"/>
            <w:tcBorders>
              <w:top w:val="nil"/>
              <w:left w:val="single" w:sz="8" w:space="0" w:color="FFFFFF"/>
              <w:bottom w:val="single" w:sz="8" w:space="0" w:color="FFFFFF"/>
              <w:right w:val="single" w:sz="8" w:space="0" w:color="FFFFFF"/>
            </w:tcBorders>
            <w:shd w:val="clear" w:color="auto" w:fill="auto"/>
            <w:vAlign w:val="bottom"/>
            <w:hideMark/>
          </w:tcPr>
          <w:p w:rsidR="00B62D6B" w:rsidRPr="00106232" w:rsidRDefault="00B62D6B" w:rsidP="00B62D6B">
            <w:pPr>
              <w:rPr>
                <w:rFonts w:ascii="Arial" w:hAnsi="Arial" w:cs="Arial"/>
                <w:color w:val="000000"/>
                <w:sz w:val="18"/>
                <w:szCs w:val="18"/>
              </w:rPr>
            </w:pPr>
            <w:r w:rsidRPr="00106232">
              <w:rPr>
                <w:rFonts w:ascii="Arial" w:hAnsi="Arial" w:cs="Arial"/>
                <w:color w:val="000000"/>
                <w:sz w:val="18"/>
                <w:szCs w:val="18"/>
              </w:rPr>
              <w:t>Grant in Aid confirmed</w:t>
            </w:r>
          </w:p>
        </w:tc>
        <w:tc>
          <w:tcPr>
            <w:tcW w:w="905" w:type="dxa"/>
            <w:tcBorders>
              <w:top w:val="nil"/>
              <w:left w:val="nil"/>
              <w:bottom w:val="nil"/>
              <w:right w:val="nil"/>
            </w:tcBorders>
            <w:shd w:val="clear" w:color="auto" w:fill="auto"/>
            <w:noWrap/>
            <w:vAlign w:val="bottom"/>
            <w:hideMark/>
          </w:tcPr>
          <w:p w:rsidR="00B62D6B" w:rsidRPr="00106232" w:rsidRDefault="00B62D6B" w:rsidP="00B62D6B">
            <w:pPr>
              <w:jc w:val="right"/>
              <w:rPr>
                <w:rFonts w:ascii="Calibri" w:hAnsi="Calibri" w:cs="Calibri"/>
                <w:color w:val="000000"/>
                <w:sz w:val="22"/>
                <w:szCs w:val="22"/>
              </w:rPr>
            </w:pPr>
            <w:r w:rsidRPr="00106232">
              <w:rPr>
                <w:rFonts w:ascii="Calibri" w:hAnsi="Calibri" w:cs="Calibri"/>
                <w:color w:val="000000"/>
                <w:sz w:val="22"/>
                <w:szCs w:val="22"/>
              </w:rPr>
              <w:t>7,862</w:t>
            </w:r>
          </w:p>
        </w:tc>
        <w:tc>
          <w:tcPr>
            <w:tcW w:w="828" w:type="dxa"/>
            <w:tcBorders>
              <w:top w:val="nil"/>
              <w:left w:val="nil"/>
              <w:bottom w:val="nil"/>
              <w:right w:val="nil"/>
            </w:tcBorders>
            <w:shd w:val="clear" w:color="auto" w:fill="auto"/>
            <w:noWrap/>
            <w:vAlign w:val="bottom"/>
            <w:hideMark/>
          </w:tcPr>
          <w:p w:rsidR="00B62D6B" w:rsidRPr="00106232" w:rsidRDefault="00B62D6B" w:rsidP="00B62D6B">
            <w:pPr>
              <w:jc w:val="right"/>
              <w:rPr>
                <w:rFonts w:ascii="Calibri" w:hAnsi="Calibri" w:cs="Calibri"/>
                <w:color w:val="000000"/>
                <w:sz w:val="22"/>
                <w:szCs w:val="22"/>
              </w:rPr>
            </w:pPr>
            <w:r w:rsidRPr="00106232">
              <w:rPr>
                <w:rFonts w:ascii="Calibri" w:hAnsi="Calibri" w:cs="Calibri"/>
                <w:color w:val="000000"/>
                <w:sz w:val="22"/>
                <w:szCs w:val="22"/>
              </w:rPr>
              <w:t>7,886</w:t>
            </w:r>
          </w:p>
        </w:tc>
        <w:tc>
          <w:tcPr>
            <w:tcW w:w="1050" w:type="dxa"/>
            <w:tcBorders>
              <w:top w:val="nil"/>
              <w:left w:val="nil"/>
              <w:bottom w:val="nil"/>
              <w:right w:val="nil"/>
            </w:tcBorders>
            <w:shd w:val="clear" w:color="auto" w:fill="auto"/>
            <w:noWrap/>
            <w:vAlign w:val="bottom"/>
            <w:hideMark/>
          </w:tcPr>
          <w:p w:rsidR="00B62D6B" w:rsidRPr="00106232" w:rsidRDefault="00B62D6B" w:rsidP="00B62D6B">
            <w:pPr>
              <w:jc w:val="right"/>
              <w:rPr>
                <w:rFonts w:ascii="Calibri" w:hAnsi="Calibri" w:cs="Calibri"/>
                <w:color w:val="000000"/>
                <w:sz w:val="22"/>
                <w:szCs w:val="22"/>
              </w:rPr>
            </w:pPr>
            <w:r w:rsidRPr="00106232">
              <w:rPr>
                <w:rFonts w:ascii="Calibri" w:hAnsi="Calibri" w:cs="Calibri"/>
                <w:color w:val="000000"/>
                <w:sz w:val="22"/>
                <w:szCs w:val="22"/>
              </w:rPr>
              <w:t>24</w:t>
            </w:r>
          </w:p>
        </w:tc>
        <w:tc>
          <w:tcPr>
            <w:tcW w:w="939" w:type="dxa"/>
            <w:tcBorders>
              <w:top w:val="nil"/>
              <w:left w:val="nil"/>
              <w:bottom w:val="nil"/>
              <w:right w:val="nil"/>
            </w:tcBorders>
            <w:shd w:val="clear" w:color="auto" w:fill="auto"/>
            <w:noWrap/>
            <w:vAlign w:val="bottom"/>
            <w:hideMark/>
          </w:tcPr>
          <w:p w:rsidR="00B62D6B" w:rsidRPr="00106232" w:rsidRDefault="00B62D6B" w:rsidP="00B62D6B">
            <w:pPr>
              <w:jc w:val="right"/>
              <w:rPr>
                <w:rFonts w:ascii="Calibri" w:hAnsi="Calibri" w:cs="Calibri"/>
                <w:color w:val="000000"/>
                <w:sz w:val="22"/>
                <w:szCs w:val="22"/>
              </w:rPr>
            </w:pPr>
            <w:r w:rsidRPr="00106232">
              <w:rPr>
                <w:rFonts w:ascii="Calibri" w:hAnsi="Calibri" w:cs="Calibri"/>
                <w:color w:val="000000"/>
                <w:sz w:val="22"/>
                <w:szCs w:val="22"/>
              </w:rPr>
              <w:t>12,509</w:t>
            </w:r>
          </w:p>
        </w:tc>
        <w:tc>
          <w:tcPr>
            <w:tcW w:w="883" w:type="dxa"/>
            <w:tcBorders>
              <w:top w:val="nil"/>
              <w:left w:val="nil"/>
              <w:bottom w:val="nil"/>
              <w:right w:val="nil"/>
            </w:tcBorders>
            <w:shd w:val="clear" w:color="auto" w:fill="auto"/>
            <w:noWrap/>
            <w:vAlign w:val="bottom"/>
            <w:hideMark/>
          </w:tcPr>
          <w:p w:rsidR="00B62D6B" w:rsidRPr="00106232" w:rsidRDefault="00B62D6B" w:rsidP="00B62D6B">
            <w:pPr>
              <w:jc w:val="right"/>
              <w:rPr>
                <w:rFonts w:ascii="Calibri" w:hAnsi="Calibri" w:cs="Calibri"/>
                <w:color w:val="000000"/>
                <w:sz w:val="22"/>
                <w:szCs w:val="22"/>
              </w:rPr>
            </w:pPr>
            <w:r w:rsidRPr="00106232">
              <w:rPr>
                <w:rFonts w:ascii="Calibri" w:hAnsi="Calibri" w:cs="Calibri"/>
                <w:color w:val="000000"/>
                <w:sz w:val="22"/>
                <w:szCs w:val="22"/>
              </w:rPr>
              <w:t>12,630</w:t>
            </w:r>
          </w:p>
        </w:tc>
        <w:tc>
          <w:tcPr>
            <w:tcW w:w="905" w:type="dxa"/>
            <w:tcBorders>
              <w:top w:val="nil"/>
              <w:left w:val="nil"/>
              <w:bottom w:val="nil"/>
              <w:right w:val="nil"/>
            </w:tcBorders>
            <w:shd w:val="clear" w:color="auto" w:fill="auto"/>
            <w:noWrap/>
            <w:vAlign w:val="bottom"/>
            <w:hideMark/>
          </w:tcPr>
          <w:p w:rsidR="00B62D6B" w:rsidRPr="00106232" w:rsidRDefault="00B62D6B" w:rsidP="00B62D6B">
            <w:pPr>
              <w:jc w:val="right"/>
              <w:rPr>
                <w:rFonts w:ascii="Calibri" w:hAnsi="Calibri" w:cs="Calibri"/>
                <w:color w:val="000000"/>
                <w:sz w:val="22"/>
                <w:szCs w:val="22"/>
              </w:rPr>
            </w:pPr>
            <w:r w:rsidRPr="00106232">
              <w:rPr>
                <w:rFonts w:ascii="Calibri" w:hAnsi="Calibri" w:cs="Calibri"/>
                <w:color w:val="000000"/>
                <w:sz w:val="22"/>
                <w:szCs w:val="22"/>
              </w:rPr>
              <w:t>12,630</w:t>
            </w:r>
          </w:p>
        </w:tc>
        <w:tc>
          <w:tcPr>
            <w:tcW w:w="1050" w:type="dxa"/>
            <w:tcBorders>
              <w:top w:val="nil"/>
              <w:left w:val="nil"/>
              <w:bottom w:val="nil"/>
              <w:right w:val="nil"/>
            </w:tcBorders>
            <w:shd w:val="clear" w:color="auto" w:fill="auto"/>
            <w:noWrap/>
            <w:vAlign w:val="bottom"/>
            <w:hideMark/>
          </w:tcPr>
          <w:p w:rsidR="00B62D6B" w:rsidRPr="00106232" w:rsidRDefault="00B62D6B" w:rsidP="00B62D6B">
            <w:pPr>
              <w:jc w:val="right"/>
              <w:rPr>
                <w:rFonts w:ascii="Calibri" w:hAnsi="Calibri" w:cs="Calibri"/>
                <w:color w:val="000000"/>
                <w:sz w:val="22"/>
                <w:szCs w:val="22"/>
              </w:rPr>
            </w:pPr>
            <w:r w:rsidRPr="00106232">
              <w:rPr>
                <w:rFonts w:ascii="Calibri" w:hAnsi="Calibri" w:cs="Calibri"/>
                <w:color w:val="000000"/>
                <w:sz w:val="22"/>
                <w:szCs w:val="22"/>
              </w:rPr>
              <w:t>12,630</w:t>
            </w:r>
          </w:p>
        </w:tc>
      </w:tr>
      <w:tr w:rsidR="00B62D6B" w:rsidRPr="00106232" w:rsidTr="00B62D6B">
        <w:trPr>
          <w:trHeight w:val="268"/>
          <w:jc w:val="center"/>
        </w:trPr>
        <w:tc>
          <w:tcPr>
            <w:tcW w:w="3294" w:type="dxa"/>
            <w:tcBorders>
              <w:top w:val="nil"/>
              <w:left w:val="single" w:sz="8" w:space="0" w:color="FFFFFF"/>
              <w:bottom w:val="nil"/>
              <w:right w:val="single" w:sz="8" w:space="0" w:color="FFFFFF"/>
            </w:tcBorders>
            <w:shd w:val="clear" w:color="auto" w:fill="auto"/>
            <w:vAlign w:val="bottom"/>
            <w:hideMark/>
          </w:tcPr>
          <w:p w:rsidR="00B62D6B" w:rsidRPr="00106232" w:rsidRDefault="00B62D6B" w:rsidP="00B62D6B">
            <w:pPr>
              <w:rPr>
                <w:rFonts w:ascii="Arial" w:hAnsi="Arial" w:cs="Arial"/>
                <w:color w:val="000000"/>
                <w:sz w:val="18"/>
                <w:szCs w:val="18"/>
              </w:rPr>
            </w:pPr>
            <w:r w:rsidRPr="00106232">
              <w:rPr>
                <w:rFonts w:ascii="Arial" w:hAnsi="Arial" w:cs="Arial"/>
                <w:color w:val="000000"/>
                <w:sz w:val="18"/>
                <w:szCs w:val="18"/>
              </w:rPr>
              <w:t>Non cash revenue resource limit</w:t>
            </w:r>
          </w:p>
        </w:tc>
        <w:tc>
          <w:tcPr>
            <w:tcW w:w="905" w:type="dxa"/>
            <w:tcBorders>
              <w:top w:val="nil"/>
              <w:left w:val="nil"/>
              <w:bottom w:val="nil"/>
              <w:right w:val="nil"/>
            </w:tcBorders>
            <w:shd w:val="clear" w:color="auto" w:fill="auto"/>
            <w:noWrap/>
            <w:vAlign w:val="bottom"/>
            <w:hideMark/>
          </w:tcPr>
          <w:p w:rsidR="00B62D6B" w:rsidRPr="00106232" w:rsidRDefault="00B62D6B" w:rsidP="00B62D6B">
            <w:pPr>
              <w:jc w:val="right"/>
              <w:rPr>
                <w:rFonts w:ascii="Calibri" w:hAnsi="Calibri" w:cs="Calibri"/>
                <w:color w:val="000000"/>
                <w:sz w:val="22"/>
                <w:szCs w:val="22"/>
              </w:rPr>
            </w:pPr>
            <w:r w:rsidRPr="00106232">
              <w:rPr>
                <w:rFonts w:ascii="Calibri" w:hAnsi="Calibri" w:cs="Calibri"/>
                <w:color w:val="000000"/>
                <w:sz w:val="22"/>
                <w:szCs w:val="22"/>
              </w:rPr>
              <w:t>186</w:t>
            </w:r>
          </w:p>
        </w:tc>
        <w:tc>
          <w:tcPr>
            <w:tcW w:w="828" w:type="dxa"/>
            <w:tcBorders>
              <w:top w:val="nil"/>
              <w:left w:val="nil"/>
              <w:bottom w:val="nil"/>
              <w:right w:val="nil"/>
            </w:tcBorders>
            <w:shd w:val="clear" w:color="auto" w:fill="auto"/>
            <w:noWrap/>
            <w:vAlign w:val="bottom"/>
            <w:hideMark/>
          </w:tcPr>
          <w:p w:rsidR="00B62D6B" w:rsidRPr="00106232" w:rsidRDefault="00B62D6B" w:rsidP="00B62D6B">
            <w:pPr>
              <w:jc w:val="right"/>
              <w:rPr>
                <w:rFonts w:ascii="Calibri" w:hAnsi="Calibri" w:cs="Calibri"/>
                <w:color w:val="000000"/>
                <w:sz w:val="22"/>
                <w:szCs w:val="22"/>
              </w:rPr>
            </w:pPr>
            <w:r w:rsidRPr="00106232">
              <w:rPr>
                <w:rFonts w:ascii="Calibri" w:hAnsi="Calibri" w:cs="Calibri"/>
                <w:color w:val="000000"/>
                <w:sz w:val="22"/>
                <w:szCs w:val="22"/>
              </w:rPr>
              <w:t>186</w:t>
            </w:r>
          </w:p>
        </w:tc>
        <w:tc>
          <w:tcPr>
            <w:tcW w:w="1050" w:type="dxa"/>
            <w:tcBorders>
              <w:top w:val="nil"/>
              <w:left w:val="nil"/>
              <w:bottom w:val="nil"/>
              <w:right w:val="nil"/>
            </w:tcBorders>
            <w:shd w:val="clear" w:color="auto" w:fill="auto"/>
            <w:noWrap/>
            <w:vAlign w:val="bottom"/>
            <w:hideMark/>
          </w:tcPr>
          <w:p w:rsidR="00B62D6B" w:rsidRPr="00106232" w:rsidRDefault="00B62D6B" w:rsidP="00B62D6B">
            <w:pPr>
              <w:jc w:val="right"/>
              <w:rPr>
                <w:rFonts w:ascii="Calibri" w:hAnsi="Calibri" w:cs="Calibri"/>
                <w:color w:val="000000"/>
                <w:sz w:val="22"/>
                <w:szCs w:val="22"/>
              </w:rPr>
            </w:pPr>
            <w:r w:rsidRPr="00106232">
              <w:rPr>
                <w:rFonts w:ascii="Calibri" w:hAnsi="Calibri" w:cs="Calibri"/>
                <w:color w:val="000000"/>
                <w:sz w:val="22"/>
                <w:szCs w:val="22"/>
              </w:rPr>
              <w:t>0</w:t>
            </w:r>
          </w:p>
        </w:tc>
        <w:tc>
          <w:tcPr>
            <w:tcW w:w="939" w:type="dxa"/>
            <w:tcBorders>
              <w:top w:val="nil"/>
              <w:left w:val="nil"/>
              <w:bottom w:val="nil"/>
              <w:right w:val="nil"/>
            </w:tcBorders>
            <w:shd w:val="clear" w:color="auto" w:fill="auto"/>
            <w:noWrap/>
            <w:vAlign w:val="bottom"/>
            <w:hideMark/>
          </w:tcPr>
          <w:p w:rsidR="00B62D6B" w:rsidRPr="00106232" w:rsidRDefault="00B62D6B" w:rsidP="00B62D6B">
            <w:pPr>
              <w:jc w:val="right"/>
              <w:rPr>
                <w:rFonts w:ascii="Calibri" w:hAnsi="Calibri" w:cs="Calibri"/>
                <w:color w:val="000000"/>
                <w:sz w:val="22"/>
                <w:szCs w:val="22"/>
              </w:rPr>
            </w:pPr>
            <w:r w:rsidRPr="00106232">
              <w:rPr>
                <w:rFonts w:ascii="Calibri" w:hAnsi="Calibri" w:cs="Calibri"/>
                <w:color w:val="000000"/>
                <w:sz w:val="22"/>
                <w:szCs w:val="22"/>
              </w:rPr>
              <w:t>253</w:t>
            </w:r>
          </w:p>
        </w:tc>
        <w:tc>
          <w:tcPr>
            <w:tcW w:w="883" w:type="dxa"/>
            <w:tcBorders>
              <w:top w:val="nil"/>
              <w:left w:val="nil"/>
              <w:bottom w:val="nil"/>
              <w:right w:val="nil"/>
            </w:tcBorders>
            <w:shd w:val="clear" w:color="auto" w:fill="auto"/>
            <w:noWrap/>
            <w:vAlign w:val="bottom"/>
            <w:hideMark/>
          </w:tcPr>
          <w:p w:rsidR="00B62D6B" w:rsidRPr="00106232" w:rsidRDefault="00B62D6B" w:rsidP="00B62D6B">
            <w:pPr>
              <w:jc w:val="right"/>
              <w:rPr>
                <w:rFonts w:ascii="Calibri" w:hAnsi="Calibri" w:cs="Calibri"/>
                <w:color w:val="000000"/>
                <w:sz w:val="22"/>
                <w:szCs w:val="22"/>
              </w:rPr>
            </w:pPr>
            <w:r w:rsidRPr="00106232">
              <w:rPr>
                <w:rFonts w:ascii="Calibri" w:hAnsi="Calibri" w:cs="Calibri"/>
                <w:color w:val="000000"/>
                <w:sz w:val="22"/>
                <w:szCs w:val="22"/>
              </w:rPr>
              <w:t>450</w:t>
            </w:r>
          </w:p>
        </w:tc>
        <w:tc>
          <w:tcPr>
            <w:tcW w:w="905" w:type="dxa"/>
            <w:tcBorders>
              <w:top w:val="nil"/>
              <w:left w:val="nil"/>
              <w:bottom w:val="nil"/>
              <w:right w:val="nil"/>
            </w:tcBorders>
            <w:shd w:val="clear" w:color="auto" w:fill="auto"/>
            <w:noWrap/>
            <w:vAlign w:val="bottom"/>
            <w:hideMark/>
          </w:tcPr>
          <w:p w:rsidR="00B62D6B" w:rsidRPr="00106232" w:rsidRDefault="00B62D6B" w:rsidP="00B62D6B">
            <w:pPr>
              <w:jc w:val="right"/>
              <w:rPr>
                <w:rFonts w:ascii="Calibri" w:hAnsi="Calibri" w:cs="Calibri"/>
                <w:color w:val="000000"/>
                <w:sz w:val="22"/>
                <w:szCs w:val="22"/>
              </w:rPr>
            </w:pPr>
            <w:r w:rsidRPr="00106232">
              <w:rPr>
                <w:rFonts w:ascii="Calibri" w:hAnsi="Calibri" w:cs="Calibri"/>
                <w:color w:val="000000"/>
                <w:sz w:val="22"/>
                <w:szCs w:val="22"/>
              </w:rPr>
              <w:t>450</w:t>
            </w:r>
          </w:p>
        </w:tc>
        <w:tc>
          <w:tcPr>
            <w:tcW w:w="1050" w:type="dxa"/>
            <w:tcBorders>
              <w:top w:val="nil"/>
              <w:left w:val="nil"/>
              <w:bottom w:val="nil"/>
              <w:right w:val="nil"/>
            </w:tcBorders>
            <w:shd w:val="clear" w:color="auto" w:fill="auto"/>
            <w:noWrap/>
            <w:vAlign w:val="bottom"/>
            <w:hideMark/>
          </w:tcPr>
          <w:p w:rsidR="00B62D6B" w:rsidRPr="00106232" w:rsidRDefault="00B62D6B" w:rsidP="00B62D6B">
            <w:pPr>
              <w:jc w:val="right"/>
              <w:rPr>
                <w:rFonts w:ascii="Calibri" w:hAnsi="Calibri" w:cs="Calibri"/>
                <w:color w:val="000000"/>
                <w:sz w:val="22"/>
                <w:szCs w:val="22"/>
              </w:rPr>
            </w:pPr>
            <w:r w:rsidRPr="00106232">
              <w:rPr>
                <w:rFonts w:ascii="Calibri" w:hAnsi="Calibri" w:cs="Calibri"/>
                <w:color w:val="000000"/>
                <w:sz w:val="22"/>
                <w:szCs w:val="22"/>
              </w:rPr>
              <w:t>450</w:t>
            </w:r>
          </w:p>
        </w:tc>
      </w:tr>
      <w:tr w:rsidR="00B62D6B" w:rsidRPr="00106232" w:rsidTr="00B62D6B">
        <w:trPr>
          <w:trHeight w:val="268"/>
          <w:jc w:val="center"/>
        </w:trPr>
        <w:tc>
          <w:tcPr>
            <w:tcW w:w="3294" w:type="dxa"/>
            <w:tcBorders>
              <w:top w:val="nil"/>
              <w:left w:val="nil"/>
              <w:bottom w:val="nil"/>
              <w:right w:val="single" w:sz="8" w:space="0" w:color="FFFFFF"/>
            </w:tcBorders>
            <w:shd w:val="clear" w:color="000000" w:fill="C0C0C0"/>
            <w:vAlign w:val="bottom"/>
            <w:hideMark/>
          </w:tcPr>
          <w:p w:rsidR="00B62D6B" w:rsidRPr="00106232" w:rsidRDefault="00B62D6B" w:rsidP="00B62D6B">
            <w:pPr>
              <w:rPr>
                <w:rFonts w:ascii="Arial" w:hAnsi="Arial" w:cs="Arial"/>
                <w:b/>
                <w:bCs/>
                <w:color w:val="000000"/>
                <w:sz w:val="18"/>
                <w:szCs w:val="18"/>
              </w:rPr>
            </w:pPr>
            <w:r w:rsidRPr="00106232">
              <w:rPr>
                <w:rFonts w:ascii="Arial" w:hAnsi="Arial" w:cs="Arial"/>
                <w:b/>
                <w:bCs/>
                <w:color w:val="000000"/>
                <w:sz w:val="18"/>
                <w:szCs w:val="18"/>
              </w:rPr>
              <w:t xml:space="preserve"> Total Income</w:t>
            </w:r>
          </w:p>
        </w:tc>
        <w:tc>
          <w:tcPr>
            <w:tcW w:w="905" w:type="dxa"/>
            <w:tcBorders>
              <w:top w:val="nil"/>
              <w:left w:val="nil"/>
              <w:bottom w:val="nil"/>
              <w:right w:val="single" w:sz="8" w:space="0" w:color="FFFFFF"/>
            </w:tcBorders>
            <w:shd w:val="clear" w:color="000000" w:fill="C0C0C0"/>
            <w:vAlign w:val="bottom"/>
            <w:hideMark/>
          </w:tcPr>
          <w:p w:rsidR="00B62D6B" w:rsidRPr="00106232" w:rsidRDefault="00B62D6B" w:rsidP="00B62D6B">
            <w:pPr>
              <w:jc w:val="right"/>
              <w:rPr>
                <w:rFonts w:ascii="Arial" w:hAnsi="Arial" w:cs="Arial"/>
                <w:b/>
                <w:bCs/>
                <w:color w:val="000000"/>
                <w:sz w:val="18"/>
                <w:szCs w:val="18"/>
              </w:rPr>
            </w:pPr>
            <w:r w:rsidRPr="00106232">
              <w:rPr>
                <w:rFonts w:ascii="Arial" w:hAnsi="Arial" w:cs="Arial"/>
                <w:b/>
                <w:bCs/>
                <w:color w:val="000000"/>
                <w:sz w:val="18"/>
                <w:szCs w:val="18"/>
              </w:rPr>
              <w:t>8,136</w:t>
            </w:r>
          </w:p>
        </w:tc>
        <w:tc>
          <w:tcPr>
            <w:tcW w:w="828" w:type="dxa"/>
            <w:tcBorders>
              <w:top w:val="nil"/>
              <w:left w:val="nil"/>
              <w:bottom w:val="nil"/>
              <w:right w:val="single" w:sz="8" w:space="0" w:color="FFFFFF"/>
            </w:tcBorders>
            <w:shd w:val="clear" w:color="000000" w:fill="C0C0C0"/>
            <w:vAlign w:val="bottom"/>
            <w:hideMark/>
          </w:tcPr>
          <w:p w:rsidR="00B62D6B" w:rsidRPr="00106232" w:rsidRDefault="00B62D6B" w:rsidP="00B62D6B">
            <w:pPr>
              <w:jc w:val="right"/>
              <w:rPr>
                <w:rFonts w:ascii="Arial" w:hAnsi="Arial" w:cs="Arial"/>
                <w:b/>
                <w:bCs/>
                <w:color w:val="000000"/>
                <w:sz w:val="18"/>
                <w:szCs w:val="18"/>
              </w:rPr>
            </w:pPr>
            <w:r w:rsidRPr="00106232">
              <w:rPr>
                <w:rFonts w:ascii="Arial" w:hAnsi="Arial" w:cs="Arial"/>
                <w:b/>
                <w:bCs/>
                <w:color w:val="000000"/>
                <w:sz w:val="18"/>
                <w:szCs w:val="18"/>
              </w:rPr>
              <w:t>8,160</w:t>
            </w:r>
          </w:p>
        </w:tc>
        <w:tc>
          <w:tcPr>
            <w:tcW w:w="1050" w:type="dxa"/>
            <w:tcBorders>
              <w:top w:val="nil"/>
              <w:left w:val="nil"/>
              <w:bottom w:val="nil"/>
              <w:right w:val="single" w:sz="8" w:space="0" w:color="FFFFFF"/>
            </w:tcBorders>
            <w:shd w:val="clear" w:color="000000" w:fill="C0C0C0"/>
            <w:vAlign w:val="bottom"/>
            <w:hideMark/>
          </w:tcPr>
          <w:p w:rsidR="00B62D6B" w:rsidRPr="00106232" w:rsidRDefault="00B62D6B" w:rsidP="00B62D6B">
            <w:pPr>
              <w:jc w:val="right"/>
              <w:rPr>
                <w:rFonts w:ascii="Arial" w:hAnsi="Arial" w:cs="Arial"/>
                <w:b/>
                <w:bCs/>
                <w:color w:val="000000"/>
                <w:sz w:val="18"/>
                <w:szCs w:val="18"/>
              </w:rPr>
            </w:pPr>
            <w:r w:rsidRPr="00106232">
              <w:rPr>
                <w:rFonts w:ascii="Arial" w:hAnsi="Arial" w:cs="Arial"/>
                <w:b/>
                <w:bCs/>
                <w:color w:val="000000"/>
                <w:sz w:val="18"/>
                <w:szCs w:val="18"/>
              </w:rPr>
              <w:t>24</w:t>
            </w:r>
          </w:p>
        </w:tc>
        <w:tc>
          <w:tcPr>
            <w:tcW w:w="939" w:type="dxa"/>
            <w:tcBorders>
              <w:top w:val="nil"/>
              <w:left w:val="nil"/>
              <w:bottom w:val="nil"/>
              <w:right w:val="single" w:sz="8" w:space="0" w:color="FFFFFF"/>
            </w:tcBorders>
            <w:shd w:val="clear" w:color="000000" w:fill="C0C0C0"/>
            <w:vAlign w:val="bottom"/>
            <w:hideMark/>
          </w:tcPr>
          <w:p w:rsidR="00B62D6B" w:rsidRPr="00106232" w:rsidRDefault="00B62D6B" w:rsidP="00B62D6B">
            <w:pPr>
              <w:jc w:val="right"/>
              <w:rPr>
                <w:rFonts w:ascii="Arial" w:hAnsi="Arial" w:cs="Arial"/>
                <w:b/>
                <w:bCs/>
                <w:color w:val="000000"/>
                <w:sz w:val="18"/>
                <w:szCs w:val="18"/>
              </w:rPr>
            </w:pPr>
            <w:r w:rsidRPr="00106232">
              <w:rPr>
                <w:rFonts w:ascii="Arial" w:hAnsi="Arial" w:cs="Arial"/>
                <w:b/>
                <w:bCs/>
                <w:color w:val="000000"/>
                <w:sz w:val="18"/>
                <w:szCs w:val="18"/>
              </w:rPr>
              <w:t>12,960</w:t>
            </w:r>
          </w:p>
        </w:tc>
        <w:tc>
          <w:tcPr>
            <w:tcW w:w="883" w:type="dxa"/>
            <w:tcBorders>
              <w:top w:val="nil"/>
              <w:left w:val="nil"/>
              <w:bottom w:val="nil"/>
              <w:right w:val="single" w:sz="8" w:space="0" w:color="FFFFFF"/>
            </w:tcBorders>
            <w:shd w:val="clear" w:color="000000" w:fill="C0C0C0"/>
            <w:vAlign w:val="bottom"/>
            <w:hideMark/>
          </w:tcPr>
          <w:p w:rsidR="00B62D6B" w:rsidRPr="00106232" w:rsidRDefault="00B62D6B" w:rsidP="00B62D6B">
            <w:pPr>
              <w:jc w:val="right"/>
              <w:rPr>
                <w:rFonts w:ascii="Arial" w:hAnsi="Arial" w:cs="Arial"/>
                <w:b/>
                <w:bCs/>
                <w:color w:val="000000"/>
                <w:sz w:val="18"/>
                <w:szCs w:val="18"/>
              </w:rPr>
            </w:pPr>
            <w:r w:rsidRPr="00106232">
              <w:rPr>
                <w:rFonts w:ascii="Arial" w:hAnsi="Arial" w:cs="Arial"/>
                <w:b/>
                <w:bCs/>
                <w:color w:val="000000"/>
                <w:sz w:val="18"/>
                <w:szCs w:val="18"/>
              </w:rPr>
              <w:t>13,280</w:t>
            </w:r>
          </w:p>
        </w:tc>
        <w:tc>
          <w:tcPr>
            <w:tcW w:w="905" w:type="dxa"/>
            <w:tcBorders>
              <w:top w:val="nil"/>
              <w:left w:val="nil"/>
              <w:bottom w:val="nil"/>
              <w:right w:val="single" w:sz="8" w:space="0" w:color="FFFFFF"/>
            </w:tcBorders>
            <w:shd w:val="clear" w:color="000000" w:fill="C0C0C0"/>
            <w:vAlign w:val="bottom"/>
            <w:hideMark/>
          </w:tcPr>
          <w:p w:rsidR="00B62D6B" w:rsidRPr="00106232" w:rsidRDefault="00B62D6B" w:rsidP="00B62D6B">
            <w:pPr>
              <w:jc w:val="right"/>
              <w:rPr>
                <w:rFonts w:ascii="Arial" w:hAnsi="Arial" w:cs="Arial"/>
                <w:b/>
                <w:bCs/>
                <w:color w:val="000000"/>
                <w:sz w:val="18"/>
                <w:szCs w:val="18"/>
              </w:rPr>
            </w:pPr>
            <w:r w:rsidRPr="00106232">
              <w:rPr>
                <w:rFonts w:ascii="Arial" w:hAnsi="Arial" w:cs="Arial"/>
                <w:b/>
                <w:bCs/>
                <w:color w:val="000000"/>
                <w:sz w:val="18"/>
                <w:szCs w:val="18"/>
              </w:rPr>
              <w:t>13,256</w:t>
            </w:r>
          </w:p>
        </w:tc>
        <w:tc>
          <w:tcPr>
            <w:tcW w:w="1050" w:type="dxa"/>
            <w:tcBorders>
              <w:top w:val="nil"/>
              <w:left w:val="nil"/>
              <w:bottom w:val="nil"/>
              <w:right w:val="single" w:sz="8" w:space="0" w:color="FFFFFF"/>
            </w:tcBorders>
            <w:shd w:val="clear" w:color="000000" w:fill="C0C0C0"/>
            <w:vAlign w:val="bottom"/>
            <w:hideMark/>
          </w:tcPr>
          <w:p w:rsidR="00B62D6B" w:rsidRPr="00106232" w:rsidRDefault="00B62D6B" w:rsidP="00B62D6B">
            <w:pPr>
              <w:jc w:val="right"/>
              <w:rPr>
                <w:rFonts w:ascii="Arial" w:hAnsi="Arial" w:cs="Arial"/>
                <w:b/>
                <w:bCs/>
                <w:color w:val="000000"/>
                <w:sz w:val="18"/>
                <w:szCs w:val="18"/>
              </w:rPr>
            </w:pPr>
            <w:r w:rsidRPr="00106232">
              <w:rPr>
                <w:rFonts w:ascii="Arial" w:hAnsi="Arial" w:cs="Arial"/>
                <w:b/>
                <w:bCs/>
                <w:color w:val="000000"/>
                <w:sz w:val="18"/>
                <w:szCs w:val="18"/>
              </w:rPr>
              <w:t>13,256</w:t>
            </w:r>
          </w:p>
        </w:tc>
      </w:tr>
      <w:tr w:rsidR="00B62D6B" w:rsidRPr="00106232" w:rsidTr="00B62D6B">
        <w:trPr>
          <w:trHeight w:val="268"/>
          <w:jc w:val="center"/>
        </w:trPr>
        <w:tc>
          <w:tcPr>
            <w:tcW w:w="3294" w:type="dxa"/>
            <w:tcBorders>
              <w:top w:val="nil"/>
              <w:left w:val="nil"/>
              <w:bottom w:val="nil"/>
              <w:right w:val="nil"/>
            </w:tcBorders>
            <w:shd w:val="clear" w:color="auto" w:fill="auto"/>
            <w:vAlign w:val="bottom"/>
            <w:hideMark/>
          </w:tcPr>
          <w:p w:rsidR="00B62D6B" w:rsidRPr="00106232" w:rsidRDefault="00B62D6B" w:rsidP="00B62D6B">
            <w:pPr>
              <w:rPr>
                <w:rFonts w:ascii="Arial" w:hAnsi="Arial" w:cs="Arial"/>
                <w:b/>
                <w:bCs/>
                <w:color w:val="000000"/>
                <w:sz w:val="18"/>
                <w:szCs w:val="18"/>
              </w:rPr>
            </w:pPr>
          </w:p>
        </w:tc>
        <w:tc>
          <w:tcPr>
            <w:tcW w:w="905" w:type="dxa"/>
            <w:tcBorders>
              <w:top w:val="nil"/>
              <w:left w:val="nil"/>
              <w:bottom w:val="nil"/>
              <w:right w:val="nil"/>
            </w:tcBorders>
            <w:shd w:val="clear" w:color="auto" w:fill="auto"/>
            <w:vAlign w:val="bottom"/>
            <w:hideMark/>
          </w:tcPr>
          <w:p w:rsidR="00B62D6B" w:rsidRPr="00106232" w:rsidRDefault="00B62D6B" w:rsidP="00B62D6B">
            <w:pPr>
              <w:jc w:val="right"/>
              <w:rPr>
                <w:rFonts w:ascii="Arial" w:hAnsi="Arial" w:cs="Arial"/>
                <w:b/>
                <w:bCs/>
                <w:color w:val="000000"/>
                <w:sz w:val="18"/>
                <w:szCs w:val="18"/>
              </w:rPr>
            </w:pPr>
          </w:p>
        </w:tc>
        <w:tc>
          <w:tcPr>
            <w:tcW w:w="828" w:type="dxa"/>
            <w:tcBorders>
              <w:top w:val="nil"/>
              <w:left w:val="nil"/>
              <w:bottom w:val="nil"/>
              <w:right w:val="nil"/>
            </w:tcBorders>
            <w:shd w:val="clear" w:color="auto" w:fill="auto"/>
            <w:vAlign w:val="bottom"/>
            <w:hideMark/>
          </w:tcPr>
          <w:p w:rsidR="00B62D6B" w:rsidRPr="00106232" w:rsidRDefault="00B62D6B" w:rsidP="00B62D6B">
            <w:pPr>
              <w:rPr>
                <w:rFonts w:ascii="Arial" w:hAnsi="Arial" w:cs="Arial"/>
                <w:b/>
                <w:bCs/>
                <w:color w:val="000000"/>
                <w:sz w:val="18"/>
                <w:szCs w:val="18"/>
              </w:rPr>
            </w:pPr>
          </w:p>
        </w:tc>
        <w:tc>
          <w:tcPr>
            <w:tcW w:w="1050" w:type="dxa"/>
            <w:tcBorders>
              <w:top w:val="nil"/>
              <w:left w:val="nil"/>
              <w:bottom w:val="nil"/>
              <w:right w:val="nil"/>
            </w:tcBorders>
            <w:shd w:val="clear" w:color="auto" w:fill="auto"/>
            <w:vAlign w:val="bottom"/>
            <w:hideMark/>
          </w:tcPr>
          <w:p w:rsidR="00B62D6B" w:rsidRPr="00106232" w:rsidRDefault="00B62D6B" w:rsidP="00B62D6B">
            <w:pPr>
              <w:rPr>
                <w:rFonts w:ascii="Arial" w:hAnsi="Arial" w:cs="Arial"/>
                <w:b/>
                <w:bCs/>
                <w:color w:val="000000"/>
                <w:sz w:val="18"/>
                <w:szCs w:val="18"/>
              </w:rPr>
            </w:pPr>
          </w:p>
        </w:tc>
        <w:tc>
          <w:tcPr>
            <w:tcW w:w="939" w:type="dxa"/>
            <w:tcBorders>
              <w:top w:val="nil"/>
              <w:left w:val="nil"/>
              <w:bottom w:val="nil"/>
              <w:right w:val="nil"/>
            </w:tcBorders>
            <w:shd w:val="clear" w:color="auto" w:fill="auto"/>
            <w:vAlign w:val="bottom"/>
            <w:hideMark/>
          </w:tcPr>
          <w:p w:rsidR="00B62D6B" w:rsidRPr="00106232" w:rsidRDefault="00B62D6B" w:rsidP="00B62D6B">
            <w:pPr>
              <w:jc w:val="right"/>
              <w:rPr>
                <w:rFonts w:ascii="Arial" w:hAnsi="Arial" w:cs="Arial"/>
                <w:b/>
                <w:bCs/>
                <w:color w:val="000000"/>
                <w:sz w:val="18"/>
                <w:szCs w:val="18"/>
              </w:rPr>
            </w:pPr>
          </w:p>
        </w:tc>
        <w:tc>
          <w:tcPr>
            <w:tcW w:w="883" w:type="dxa"/>
            <w:tcBorders>
              <w:top w:val="nil"/>
              <w:left w:val="nil"/>
              <w:bottom w:val="nil"/>
              <w:right w:val="nil"/>
            </w:tcBorders>
            <w:shd w:val="clear" w:color="auto" w:fill="auto"/>
            <w:vAlign w:val="bottom"/>
            <w:hideMark/>
          </w:tcPr>
          <w:p w:rsidR="00B62D6B" w:rsidRPr="00106232" w:rsidRDefault="00B62D6B" w:rsidP="00B62D6B">
            <w:pPr>
              <w:rPr>
                <w:rFonts w:ascii="Arial" w:hAnsi="Arial" w:cs="Arial"/>
                <w:b/>
                <w:bCs/>
                <w:color w:val="000000"/>
                <w:sz w:val="18"/>
                <w:szCs w:val="18"/>
              </w:rPr>
            </w:pPr>
          </w:p>
        </w:tc>
        <w:tc>
          <w:tcPr>
            <w:tcW w:w="905" w:type="dxa"/>
            <w:tcBorders>
              <w:top w:val="nil"/>
              <w:left w:val="nil"/>
              <w:bottom w:val="nil"/>
              <w:right w:val="nil"/>
            </w:tcBorders>
            <w:shd w:val="clear" w:color="auto" w:fill="auto"/>
            <w:vAlign w:val="bottom"/>
            <w:hideMark/>
          </w:tcPr>
          <w:p w:rsidR="00B62D6B" w:rsidRPr="00106232" w:rsidRDefault="00B62D6B" w:rsidP="00B62D6B">
            <w:pPr>
              <w:rPr>
                <w:rFonts w:ascii="Arial" w:hAnsi="Arial" w:cs="Arial"/>
                <w:b/>
                <w:bCs/>
                <w:color w:val="000000"/>
                <w:sz w:val="18"/>
                <w:szCs w:val="18"/>
              </w:rPr>
            </w:pPr>
          </w:p>
        </w:tc>
        <w:tc>
          <w:tcPr>
            <w:tcW w:w="1050" w:type="dxa"/>
            <w:tcBorders>
              <w:top w:val="nil"/>
              <w:left w:val="nil"/>
              <w:bottom w:val="nil"/>
              <w:right w:val="nil"/>
            </w:tcBorders>
            <w:shd w:val="clear" w:color="auto" w:fill="auto"/>
            <w:vAlign w:val="bottom"/>
            <w:hideMark/>
          </w:tcPr>
          <w:p w:rsidR="00B62D6B" w:rsidRPr="00106232" w:rsidRDefault="00B62D6B" w:rsidP="00B62D6B">
            <w:pPr>
              <w:rPr>
                <w:rFonts w:ascii="Arial" w:hAnsi="Arial" w:cs="Arial"/>
                <w:b/>
                <w:bCs/>
                <w:color w:val="000000"/>
                <w:sz w:val="18"/>
                <w:szCs w:val="18"/>
              </w:rPr>
            </w:pPr>
          </w:p>
        </w:tc>
      </w:tr>
      <w:tr w:rsidR="00B62D6B" w:rsidRPr="00106232" w:rsidTr="00B62D6B">
        <w:trPr>
          <w:trHeight w:val="467"/>
          <w:jc w:val="center"/>
        </w:trPr>
        <w:tc>
          <w:tcPr>
            <w:tcW w:w="3294" w:type="dxa"/>
            <w:tcBorders>
              <w:top w:val="nil"/>
              <w:left w:val="nil"/>
              <w:bottom w:val="single" w:sz="8" w:space="0" w:color="CCCCCC"/>
              <w:right w:val="single" w:sz="8" w:space="0" w:color="CCCCCC"/>
            </w:tcBorders>
            <w:shd w:val="clear" w:color="000000" w:fill="56008C"/>
            <w:vAlign w:val="center"/>
            <w:hideMark/>
          </w:tcPr>
          <w:p w:rsidR="00B62D6B" w:rsidRPr="00106232" w:rsidRDefault="00B62D6B" w:rsidP="00B62D6B">
            <w:pPr>
              <w:jc w:val="center"/>
              <w:rPr>
                <w:rFonts w:ascii="Arial" w:hAnsi="Arial" w:cs="Arial"/>
                <w:b/>
                <w:bCs/>
                <w:color w:val="FFFFFF"/>
                <w:sz w:val="20"/>
                <w:szCs w:val="20"/>
              </w:rPr>
            </w:pPr>
            <w:r w:rsidRPr="00106232">
              <w:rPr>
                <w:rFonts w:ascii="Arial" w:hAnsi="Arial" w:cs="Arial"/>
                <w:b/>
                <w:bCs/>
                <w:color w:val="FFFFFF"/>
                <w:sz w:val="20"/>
                <w:szCs w:val="20"/>
              </w:rPr>
              <w:t>Expenditure</w:t>
            </w:r>
          </w:p>
        </w:tc>
        <w:tc>
          <w:tcPr>
            <w:tcW w:w="905" w:type="dxa"/>
            <w:tcBorders>
              <w:top w:val="nil"/>
              <w:left w:val="nil"/>
              <w:bottom w:val="nil"/>
              <w:right w:val="single" w:sz="8" w:space="0" w:color="55ACD3"/>
            </w:tcBorders>
            <w:shd w:val="clear" w:color="000000" w:fill="E28C05"/>
            <w:vAlign w:val="center"/>
            <w:hideMark/>
          </w:tcPr>
          <w:p w:rsidR="00B62D6B" w:rsidRPr="00106232" w:rsidRDefault="00B62D6B" w:rsidP="00B62D6B">
            <w:pPr>
              <w:rPr>
                <w:rFonts w:ascii="Arial" w:hAnsi="Arial" w:cs="Arial"/>
                <w:b/>
                <w:bCs/>
                <w:color w:val="56008C"/>
                <w:sz w:val="20"/>
                <w:szCs w:val="20"/>
              </w:rPr>
            </w:pPr>
            <w:r w:rsidRPr="00106232">
              <w:rPr>
                <w:rFonts w:ascii="Arial" w:hAnsi="Arial" w:cs="Arial"/>
                <w:b/>
                <w:bCs/>
                <w:color w:val="56008C"/>
                <w:sz w:val="20"/>
                <w:szCs w:val="20"/>
              </w:rPr>
              <w:t>Budget</w:t>
            </w:r>
          </w:p>
        </w:tc>
        <w:tc>
          <w:tcPr>
            <w:tcW w:w="828" w:type="dxa"/>
            <w:tcBorders>
              <w:top w:val="nil"/>
              <w:left w:val="nil"/>
              <w:bottom w:val="nil"/>
              <w:right w:val="single" w:sz="8" w:space="0" w:color="55ACD3"/>
            </w:tcBorders>
            <w:shd w:val="clear" w:color="000000" w:fill="E28C05"/>
            <w:vAlign w:val="center"/>
            <w:hideMark/>
          </w:tcPr>
          <w:p w:rsidR="00B62D6B" w:rsidRPr="00106232" w:rsidRDefault="00B62D6B" w:rsidP="00B62D6B">
            <w:pPr>
              <w:rPr>
                <w:rFonts w:ascii="Arial" w:hAnsi="Arial" w:cs="Arial"/>
                <w:b/>
                <w:bCs/>
                <w:color w:val="56008C"/>
                <w:sz w:val="20"/>
                <w:szCs w:val="20"/>
              </w:rPr>
            </w:pPr>
            <w:r w:rsidRPr="00106232">
              <w:rPr>
                <w:rFonts w:ascii="Arial" w:hAnsi="Arial" w:cs="Arial"/>
                <w:b/>
                <w:bCs/>
                <w:color w:val="56008C"/>
                <w:sz w:val="20"/>
                <w:szCs w:val="20"/>
              </w:rPr>
              <w:t>Actual</w:t>
            </w:r>
          </w:p>
        </w:tc>
        <w:tc>
          <w:tcPr>
            <w:tcW w:w="1050" w:type="dxa"/>
            <w:tcBorders>
              <w:top w:val="nil"/>
              <w:left w:val="nil"/>
              <w:bottom w:val="nil"/>
              <w:right w:val="nil"/>
            </w:tcBorders>
            <w:shd w:val="clear" w:color="000000" w:fill="E28C05"/>
            <w:vAlign w:val="center"/>
            <w:hideMark/>
          </w:tcPr>
          <w:p w:rsidR="00B62D6B" w:rsidRPr="00106232" w:rsidRDefault="00B62D6B" w:rsidP="00B62D6B">
            <w:pPr>
              <w:rPr>
                <w:rFonts w:ascii="Arial" w:hAnsi="Arial" w:cs="Arial"/>
                <w:b/>
                <w:bCs/>
                <w:color w:val="56008C"/>
                <w:sz w:val="20"/>
                <w:szCs w:val="20"/>
              </w:rPr>
            </w:pPr>
            <w:r w:rsidRPr="00106232">
              <w:rPr>
                <w:rFonts w:ascii="Arial" w:hAnsi="Arial" w:cs="Arial"/>
                <w:b/>
                <w:bCs/>
                <w:color w:val="56008C"/>
                <w:sz w:val="20"/>
                <w:szCs w:val="20"/>
              </w:rPr>
              <w:t>Variance</w:t>
            </w:r>
          </w:p>
        </w:tc>
        <w:tc>
          <w:tcPr>
            <w:tcW w:w="939" w:type="dxa"/>
            <w:tcBorders>
              <w:top w:val="nil"/>
              <w:left w:val="nil"/>
              <w:bottom w:val="nil"/>
              <w:right w:val="single" w:sz="8" w:space="0" w:color="55ACD3"/>
            </w:tcBorders>
            <w:shd w:val="clear" w:color="000000" w:fill="56008C"/>
            <w:vAlign w:val="center"/>
            <w:hideMark/>
          </w:tcPr>
          <w:p w:rsidR="00B62D6B" w:rsidRPr="00106232" w:rsidRDefault="00B62D6B" w:rsidP="00B62D6B">
            <w:pPr>
              <w:jc w:val="center"/>
              <w:rPr>
                <w:rFonts w:ascii="Arial" w:hAnsi="Arial" w:cs="Arial"/>
                <w:b/>
                <w:bCs/>
                <w:color w:val="FFFFFF"/>
                <w:sz w:val="20"/>
                <w:szCs w:val="20"/>
              </w:rPr>
            </w:pPr>
            <w:r w:rsidRPr="00106232">
              <w:rPr>
                <w:rFonts w:ascii="Arial" w:hAnsi="Arial" w:cs="Arial"/>
                <w:b/>
                <w:bCs/>
                <w:color w:val="FFFFFF"/>
                <w:sz w:val="20"/>
                <w:szCs w:val="20"/>
              </w:rPr>
              <w:t>2015/16 actual</w:t>
            </w:r>
          </w:p>
        </w:tc>
        <w:tc>
          <w:tcPr>
            <w:tcW w:w="883" w:type="dxa"/>
            <w:tcBorders>
              <w:top w:val="nil"/>
              <w:left w:val="nil"/>
              <w:bottom w:val="nil"/>
              <w:right w:val="single" w:sz="8" w:space="0" w:color="55ACD3"/>
            </w:tcBorders>
            <w:shd w:val="clear" w:color="000000" w:fill="56008C"/>
            <w:vAlign w:val="center"/>
            <w:hideMark/>
          </w:tcPr>
          <w:p w:rsidR="00B62D6B" w:rsidRPr="00106232" w:rsidRDefault="00B62D6B" w:rsidP="00B62D6B">
            <w:pPr>
              <w:rPr>
                <w:rFonts w:ascii="Arial" w:hAnsi="Arial" w:cs="Arial"/>
                <w:b/>
                <w:bCs/>
                <w:color w:val="FFFFFF"/>
                <w:sz w:val="20"/>
                <w:szCs w:val="20"/>
              </w:rPr>
            </w:pPr>
            <w:r w:rsidRPr="00106232">
              <w:rPr>
                <w:rFonts w:ascii="Arial" w:hAnsi="Arial" w:cs="Arial"/>
                <w:b/>
                <w:bCs/>
                <w:color w:val="FFFFFF"/>
                <w:sz w:val="20"/>
                <w:szCs w:val="20"/>
              </w:rPr>
              <w:t>Initial budget</w:t>
            </w:r>
          </w:p>
        </w:tc>
        <w:tc>
          <w:tcPr>
            <w:tcW w:w="905" w:type="dxa"/>
            <w:tcBorders>
              <w:top w:val="nil"/>
              <w:left w:val="nil"/>
              <w:bottom w:val="nil"/>
              <w:right w:val="single" w:sz="8" w:space="0" w:color="55ACD3"/>
            </w:tcBorders>
            <w:shd w:val="clear" w:color="000000" w:fill="56008C"/>
            <w:vAlign w:val="center"/>
            <w:hideMark/>
          </w:tcPr>
          <w:p w:rsidR="00B62D6B" w:rsidRPr="00106232" w:rsidRDefault="00B62D6B" w:rsidP="00B62D6B">
            <w:pPr>
              <w:rPr>
                <w:rFonts w:ascii="Arial" w:hAnsi="Arial" w:cs="Arial"/>
                <w:b/>
                <w:bCs/>
                <w:color w:val="FFFFFF"/>
                <w:sz w:val="20"/>
                <w:szCs w:val="20"/>
              </w:rPr>
            </w:pPr>
            <w:r w:rsidRPr="00106232">
              <w:rPr>
                <w:rFonts w:ascii="Arial" w:hAnsi="Arial" w:cs="Arial"/>
                <w:b/>
                <w:bCs/>
                <w:color w:val="FFFFFF"/>
                <w:sz w:val="20"/>
                <w:szCs w:val="20"/>
              </w:rPr>
              <w:t>Latest Budget</w:t>
            </w:r>
          </w:p>
        </w:tc>
        <w:tc>
          <w:tcPr>
            <w:tcW w:w="1050" w:type="dxa"/>
            <w:tcBorders>
              <w:top w:val="nil"/>
              <w:left w:val="nil"/>
              <w:bottom w:val="nil"/>
              <w:right w:val="nil"/>
            </w:tcBorders>
            <w:shd w:val="clear" w:color="000000" w:fill="56008C"/>
            <w:vAlign w:val="center"/>
            <w:hideMark/>
          </w:tcPr>
          <w:p w:rsidR="00B62D6B" w:rsidRPr="00106232" w:rsidRDefault="00B62D6B" w:rsidP="00B62D6B">
            <w:pPr>
              <w:rPr>
                <w:rFonts w:ascii="Arial" w:hAnsi="Arial" w:cs="Arial"/>
                <w:b/>
                <w:bCs/>
                <w:color w:val="FFFFFF"/>
                <w:sz w:val="20"/>
                <w:szCs w:val="20"/>
              </w:rPr>
            </w:pPr>
            <w:r w:rsidRPr="00106232">
              <w:rPr>
                <w:rFonts w:ascii="Arial" w:hAnsi="Arial" w:cs="Arial"/>
                <w:b/>
                <w:bCs/>
                <w:color w:val="FFFFFF"/>
                <w:sz w:val="20"/>
                <w:szCs w:val="20"/>
              </w:rPr>
              <w:t>Forecast</w:t>
            </w:r>
          </w:p>
        </w:tc>
      </w:tr>
      <w:tr w:rsidR="00B62D6B" w:rsidRPr="00106232" w:rsidTr="00B62D6B">
        <w:trPr>
          <w:trHeight w:val="280"/>
          <w:jc w:val="center"/>
        </w:trPr>
        <w:tc>
          <w:tcPr>
            <w:tcW w:w="3294" w:type="dxa"/>
            <w:tcBorders>
              <w:top w:val="nil"/>
              <w:left w:val="single" w:sz="8" w:space="0" w:color="FFFFFF"/>
              <w:bottom w:val="single" w:sz="8" w:space="0" w:color="FFFFFF"/>
              <w:right w:val="single" w:sz="8" w:space="0" w:color="FFFFFF"/>
            </w:tcBorders>
            <w:shd w:val="clear" w:color="auto" w:fill="auto"/>
            <w:vAlign w:val="bottom"/>
            <w:hideMark/>
          </w:tcPr>
          <w:p w:rsidR="00B62D6B" w:rsidRPr="00106232" w:rsidRDefault="00B62D6B" w:rsidP="00B62D6B">
            <w:pPr>
              <w:rPr>
                <w:rFonts w:ascii="Arial" w:hAnsi="Arial" w:cs="Arial"/>
                <w:color w:val="000000"/>
                <w:sz w:val="18"/>
                <w:szCs w:val="18"/>
              </w:rPr>
            </w:pPr>
            <w:r w:rsidRPr="00106232">
              <w:rPr>
                <w:rFonts w:ascii="Arial" w:hAnsi="Arial" w:cs="Arial"/>
                <w:color w:val="000000"/>
                <w:sz w:val="18"/>
                <w:szCs w:val="18"/>
              </w:rPr>
              <w:t>Operations</w:t>
            </w:r>
          </w:p>
        </w:tc>
        <w:tc>
          <w:tcPr>
            <w:tcW w:w="905" w:type="dxa"/>
            <w:tcBorders>
              <w:top w:val="nil"/>
              <w:left w:val="nil"/>
              <w:bottom w:val="nil"/>
              <w:right w:val="nil"/>
            </w:tcBorders>
            <w:shd w:val="clear" w:color="auto" w:fill="auto"/>
            <w:noWrap/>
            <w:vAlign w:val="bottom"/>
            <w:hideMark/>
          </w:tcPr>
          <w:p w:rsidR="00B62D6B" w:rsidRPr="00106232" w:rsidRDefault="00B62D6B" w:rsidP="00B62D6B">
            <w:pPr>
              <w:jc w:val="right"/>
              <w:rPr>
                <w:rFonts w:ascii="Calibri" w:hAnsi="Calibri" w:cs="Calibri"/>
                <w:color w:val="000000"/>
                <w:sz w:val="22"/>
                <w:szCs w:val="22"/>
              </w:rPr>
            </w:pPr>
            <w:r w:rsidRPr="00106232">
              <w:rPr>
                <w:rFonts w:ascii="Calibri" w:hAnsi="Calibri" w:cs="Calibri"/>
                <w:color w:val="000000"/>
                <w:sz w:val="22"/>
                <w:szCs w:val="22"/>
              </w:rPr>
              <w:t>2,676</w:t>
            </w:r>
          </w:p>
        </w:tc>
        <w:tc>
          <w:tcPr>
            <w:tcW w:w="828" w:type="dxa"/>
            <w:tcBorders>
              <w:top w:val="nil"/>
              <w:left w:val="nil"/>
              <w:bottom w:val="nil"/>
              <w:right w:val="nil"/>
            </w:tcBorders>
            <w:shd w:val="clear" w:color="auto" w:fill="auto"/>
            <w:noWrap/>
            <w:vAlign w:val="bottom"/>
            <w:hideMark/>
          </w:tcPr>
          <w:p w:rsidR="00B62D6B" w:rsidRPr="00106232" w:rsidRDefault="00B62D6B" w:rsidP="00B62D6B">
            <w:pPr>
              <w:jc w:val="right"/>
              <w:rPr>
                <w:rFonts w:ascii="Calibri" w:hAnsi="Calibri" w:cs="Calibri"/>
                <w:color w:val="000000"/>
                <w:sz w:val="22"/>
                <w:szCs w:val="22"/>
              </w:rPr>
            </w:pPr>
            <w:r w:rsidRPr="00106232">
              <w:rPr>
                <w:rFonts w:ascii="Calibri" w:hAnsi="Calibri" w:cs="Calibri"/>
                <w:color w:val="000000"/>
                <w:sz w:val="22"/>
                <w:szCs w:val="22"/>
              </w:rPr>
              <w:t>2,693</w:t>
            </w:r>
          </w:p>
        </w:tc>
        <w:tc>
          <w:tcPr>
            <w:tcW w:w="1050" w:type="dxa"/>
            <w:tcBorders>
              <w:top w:val="nil"/>
              <w:left w:val="nil"/>
              <w:bottom w:val="nil"/>
              <w:right w:val="nil"/>
            </w:tcBorders>
            <w:shd w:val="clear" w:color="auto" w:fill="auto"/>
            <w:noWrap/>
            <w:vAlign w:val="bottom"/>
            <w:hideMark/>
          </w:tcPr>
          <w:p w:rsidR="00B62D6B" w:rsidRPr="00106232" w:rsidRDefault="00B62D6B" w:rsidP="00B62D6B">
            <w:pPr>
              <w:jc w:val="right"/>
              <w:rPr>
                <w:rFonts w:ascii="Calibri" w:hAnsi="Calibri" w:cs="Calibri"/>
                <w:color w:val="000000"/>
                <w:sz w:val="22"/>
                <w:szCs w:val="22"/>
              </w:rPr>
            </w:pPr>
            <w:r w:rsidRPr="00106232">
              <w:rPr>
                <w:rFonts w:ascii="Calibri" w:hAnsi="Calibri" w:cs="Calibri"/>
                <w:color w:val="000000"/>
                <w:sz w:val="22"/>
                <w:szCs w:val="22"/>
              </w:rPr>
              <w:t>17</w:t>
            </w:r>
          </w:p>
        </w:tc>
        <w:tc>
          <w:tcPr>
            <w:tcW w:w="939" w:type="dxa"/>
            <w:tcBorders>
              <w:top w:val="nil"/>
              <w:left w:val="nil"/>
              <w:bottom w:val="nil"/>
              <w:right w:val="nil"/>
            </w:tcBorders>
            <w:shd w:val="clear" w:color="auto" w:fill="auto"/>
            <w:noWrap/>
            <w:vAlign w:val="bottom"/>
            <w:hideMark/>
          </w:tcPr>
          <w:p w:rsidR="00B62D6B" w:rsidRPr="00106232" w:rsidRDefault="00B62D6B" w:rsidP="00B62D6B">
            <w:pPr>
              <w:jc w:val="right"/>
              <w:rPr>
                <w:rFonts w:ascii="Calibri" w:hAnsi="Calibri" w:cs="Calibri"/>
                <w:color w:val="000000"/>
                <w:sz w:val="22"/>
                <w:szCs w:val="22"/>
              </w:rPr>
            </w:pPr>
            <w:r w:rsidRPr="00106232">
              <w:rPr>
                <w:rFonts w:ascii="Calibri" w:hAnsi="Calibri" w:cs="Calibri"/>
                <w:color w:val="000000"/>
                <w:sz w:val="22"/>
                <w:szCs w:val="22"/>
              </w:rPr>
              <w:t>4,573</w:t>
            </w:r>
          </w:p>
        </w:tc>
        <w:tc>
          <w:tcPr>
            <w:tcW w:w="883" w:type="dxa"/>
            <w:tcBorders>
              <w:top w:val="nil"/>
              <w:left w:val="nil"/>
              <w:bottom w:val="nil"/>
              <w:right w:val="nil"/>
            </w:tcBorders>
            <w:shd w:val="clear" w:color="auto" w:fill="auto"/>
            <w:noWrap/>
            <w:vAlign w:val="bottom"/>
            <w:hideMark/>
          </w:tcPr>
          <w:p w:rsidR="00B62D6B" w:rsidRPr="00106232" w:rsidRDefault="00B62D6B" w:rsidP="00B62D6B">
            <w:pPr>
              <w:jc w:val="right"/>
              <w:rPr>
                <w:rFonts w:ascii="Calibri" w:hAnsi="Calibri" w:cs="Calibri"/>
                <w:color w:val="000000"/>
                <w:sz w:val="22"/>
                <w:szCs w:val="22"/>
              </w:rPr>
            </w:pPr>
            <w:r w:rsidRPr="00106232">
              <w:rPr>
                <w:rFonts w:ascii="Calibri" w:hAnsi="Calibri" w:cs="Calibri"/>
                <w:color w:val="000000"/>
                <w:sz w:val="22"/>
                <w:szCs w:val="22"/>
              </w:rPr>
              <w:t>4,021</w:t>
            </w:r>
          </w:p>
        </w:tc>
        <w:tc>
          <w:tcPr>
            <w:tcW w:w="905" w:type="dxa"/>
            <w:tcBorders>
              <w:top w:val="nil"/>
              <w:left w:val="nil"/>
              <w:bottom w:val="nil"/>
              <w:right w:val="nil"/>
            </w:tcBorders>
            <w:shd w:val="clear" w:color="auto" w:fill="auto"/>
            <w:noWrap/>
            <w:vAlign w:val="bottom"/>
            <w:hideMark/>
          </w:tcPr>
          <w:p w:rsidR="00B62D6B" w:rsidRPr="00106232" w:rsidRDefault="00B62D6B" w:rsidP="00B62D6B">
            <w:pPr>
              <w:jc w:val="right"/>
              <w:rPr>
                <w:rFonts w:ascii="Calibri" w:hAnsi="Calibri" w:cs="Calibri"/>
                <w:color w:val="000000"/>
                <w:sz w:val="22"/>
                <w:szCs w:val="22"/>
              </w:rPr>
            </w:pPr>
            <w:r w:rsidRPr="00106232">
              <w:rPr>
                <w:rFonts w:ascii="Calibri" w:hAnsi="Calibri" w:cs="Calibri"/>
                <w:color w:val="000000"/>
                <w:sz w:val="22"/>
                <w:szCs w:val="22"/>
              </w:rPr>
              <w:t>4,021</w:t>
            </w:r>
          </w:p>
        </w:tc>
        <w:tc>
          <w:tcPr>
            <w:tcW w:w="1050" w:type="dxa"/>
            <w:tcBorders>
              <w:top w:val="nil"/>
              <w:left w:val="nil"/>
              <w:bottom w:val="nil"/>
              <w:right w:val="nil"/>
            </w:tcBorders>
            <w:shd w:val="clear" w:color="auto" w:fill="auto"/>
            <w:noWrap/>
            <w:vAlign w:val="bottom"/>
            <w:hideMark/>
          </w:tcPr>
          <w:p w:rsidR="00B62D6B" w:rsidRPr="00106232" w:rsidRDefault="00B62D6B" w:rsidP="00B62D6B">
            <w:pPr>
              <w:jc w:val="right"/>
              <w:rPr>
                <w:rFonts w:ascii="Calibri" w:hAnsi="Calibri" w:cs="Calibri"/>
                <w:color w:val="000000"/>
                <w:sz w:val="22"/>
                <w:szCs w:val="22"/>
              </w:rPr>
            </w:pPr>
            <w:r w:rsidRPr="00106232">
              <w:rPr>
                <w:rFonts w:ascii="Calibri" w:hAnsi="Calibri" w:cs="Calibri"/>
                <w:color w:val="000000"/>
                <w:sz w:val="22"/>
                <w:szCs w:val="22"/>
              </w:rPr>
              <w:t>4,063</w:t>
            </w:r>
          </w:p>
        </w:tc>
      </w:tr>
      <w:tr w:rsidR="00B62D6B" w:rsidRPr="00106232" w:rsidTr="00B62D6B">
        <w:trPr>
          <w:trHeight w:val="280"/>
          <w:jc w:val="center"/>
        </w:trPr>
        <w:tc>
          <w:tcPr>
            <w:tcW w:w="3294" w:type="dxa"/>
            <w:tcBorders>
              <w:top w:val="nil"/>
              <w:left w:val="single" w:sz="8" w:space="0" w:color="FFFFFF"/>
              <w:bottom w:val="single" w:sz="8" w:space="0" w:color="FFFFFF"/>
              <w:right w:val="single" w:sz="8" w:space="0" w:color="FFFFFF"/>
            </w:tcBorders>
            <w:shd w:val="clear" w:color="auto" w:fill="auto"/>
            <w:vAlign w:val="bottom"/>
            <w:hideMark/>
          </w:tcPr>
          <w:p w:rsidR="00B62D6B" w:rsidRPr="00106232" w:rsidRDefault="00B62D6B" w:rsidP="00B62D6B">
            <w:pPr>
              <w:rPr>
                <w:rFonts w:ascii="Arial" w:hAnsi="Arial" w:cs="Arial"/>
                <w:color w:val="000000"/>
                <w:sz w:val="18"/>
                <w:szCs w:val="18"/>
              </w:rPr>
            </w:pPr>
            <w:r w:rsidRPr="00106232">
              <w:rPr>
                <w:rFonts w:ascii="Arial" w:hAnsi="Arial" w:cs="Arial"/>
                <w:color w:val="000000"/>
                <w:sz w:val="18"/>
                <w:szCs w:val="18"/>
              </w:rPr>
              <w:t xml:space="preserve">Chief Executive </w:t>
            </w:r>
            <w:proofErr w:type="spellStart"/>
            <w:r w:rsidRPr="00106232">
              <w:rPr>
                <w:rFonts w:ascii="Arial" w:hAnsi="Arial" w:cs="Arial"/>
                <w:color w:val="000000"/>
                <w:sz w:val="18"/>
                <w:szCs w:val="18"/>
              </w:rPr>
              <w:t>inc.</w:t>
            </w:r>
            <w:proofErr w:type="spellEnd"/>
            <w:r w:rsidRPr="00106232">
              <w:rPr>
                <w:rFonts w:ascii="Arial" w:hAnsi="Arial" w:cs="Arial"/>
                <w:color w:val="000000"/>
                <w:sz w:val="18"/>
                <w:szCs w:val="18"/>
              </w:rPr>
              <w:t xml:space="preserve"> Corp Sec</w:t>
            </w:r>
          </w:p>
        </w:tc>
        <w:tc>
          <w:tcPr>
            <w:tcW w:w="905" w:type="dxa"/>
            <w:tcBorders>
              <w:top w:val="nil"/>
              <w:left w:val="nil"/>
              <w:bottom w:val="nil"/>
              <w:right w:val="nil"/>
            </w:tcBorders>
            <w:shd w:val="clear" w:color="auto" w:fill="auto"/>
            <w:noWrap/>
            <w:vAlign w:val="bottom"/>
            <w:hideMark/>
          </w:tcPr>
          <w:p w:rsidR="00B62D6B" w:rsidRPr="00106232" w:rsidRDefault="00B62D6B" w:rsidP="00B62D6B">
            <w:pPr>
              <w:jc w:val="right"/>
              <w:rPr>
                <w:rFonts w:ascii="Calibri" w:hAnsi="Calibri" w:cs="Calibri"/>
                <w:color w:val="000000"/>
                <w:sz w:val="22"/>
                <w:szCs w:val="22"/>
              </w:rPr>
            </w:pPr>
            <w:r w:rsidRPr="00106232">
              <w:rPr>
                <w:rFonts w:ascii="Calibri" w:hAnsi="Calibri" w:cs="Calibri"/>
                <w:color w:val="000000"/>
                <w:sz w:val="22"/>
                <w:szCs w:val="22"/>
              </w:rPr>
              <w:t>1,161</w:t>
            </w:r>
          </w:p>
        </w:tc>
        <w:tc>
          <w:tcPr>
            <w:tcW w:w="828" w:type="dxa"/>
            <w:tcBorders>
              <w:top w:val="nil"/>
              <w:left w:val="nil"/>
              <w:bottom w:val="nil"/>
              <w:right w:val="nil"/>
            </w:tcBorders>
            <w:shd w:val="clear" w:color="auto" w:fill="auto"/>
            <w:noWrap/>
            <w:vAlign w:val="bottom"/>
            <w:hideMark/>
          </w:tcPr>
          <w:p w:rsidR="00B62D6B" w:rsidRPr="00106232" w:rsidRDefault="00B62D6B" w:rsidP="00B62D6B">
            <w:pPr>
              <w:jc w:val="right"/>
              <w:rPr>
                <w:rFonts w:ascii="Calibri" w:hAnsi="Calibri" w:cs="Calibri"/>
                <w:color w:val="000000"/>
                <w:sz w:val="22"/>
                <w:szCs w:val="22"/>
              </w:rPr>
            </w:pPr>
            <w:r w:rsidRPr="00106232">
              <w:rPr>
                <w:rFonts w:ascii="Calibri" w:hAnsi="Calibri" w:cs="Calibri"/>
                <w:color w:val="000000"/>
                <w:sz w:val="22"/>
                <w:szCs w:val="22"/>
              </w:rPr>
              <w:t>1,178</w:t>
            </w:r>
          </w:p>
        </w:tc>
        <w:tc>
          <w:tcPr>
            <w:tcW w:w="1050" w:type="dxa"/>
            <w:tcBorders>
              <w:top w:val="nil"/>
              <w:left w:val="nil"/>
              <w:bottom w:val="nil"/>
              <w:right w:val="nil"/>
            </w:tcBorders>
            <w:shd w:val="clear" w:color="auto" w:fill="auto"/>
            <w:noWrap/>
            <w:vAlign w:val="bottom"/>
            <w:hideMark/>
          </w:tcPr>
          <w:p w:rsidR="00B62D6B" w:rsidRPr="00106232" w:rsidRDefault="00B62D6B" w:rsidP="00B62D6B">
            <w:pPr>
              <w:jc w:val="right"/>
              <w:rPr>
                <w:rFonts w:ascii="Calibri" w:hAnsi="Calibri" w:cs="Calibri"/>
                <w:color w:val="000000"/>
                <w:sz w:val="22"/>
                <w:szCs w:val="22"/>
              </w:rPr>
            </w:pPr>
            <w:r w:rsidRPr="00106232">
              <w:rPr>
                <w:rFonts w:ascii="Calibri" w:hAnsi="Calibri" w:cs="Calibri"/>
                <w:color w:val="000000"/>
                <w:sz w:val="22"/>
                <w:szCs w:val="22"/>
              </w:rPr>
              <w:t>17</w:t>
            </w:r>
          </w:p>
        </w:tc>
        <w:tc>
          <w:tcPr>
            <w:tcW w:w="939" w:type="dxa"/>
            <w:tcBorders>
              <w:top w:val="nil"/>
              <w:left w:val="nil"/>
              <w:bottom w:val="nil"/>
              <w:right w:val="nil"/>
            </w:tcBorders>
            <w:shd w:val="clear" w:color="auto" w:fill="auto"/>
            <w:noWrap/>
            <w:vAlign w:val="bottom"/>
            <w:hideMark/>
          </w:tcPr>
          <w:p w:rsidR="00B62D6B" w:rsidRPr="00106232" w:rsidRDefault="00B62D6B" w:rsidP="00B62D6B">
            <w:pPr>
              <w:jc w:val="right"/>
              <w:rPr>
                <w:rFonts w:ascii="Calibri" w:hAnsi="Calibri" w:cs="Calibri"/>
                <w:color w:val="000000"/>
                <w:sz w:val="22"/>
                <w:szCs w:val="22"/>
              </w:rPr>
            </w:pPr>
            <w:r w:rsidRPr="00106232">
              <w:rPr>
                <w:rFonts w:ascii="Calibri" w:hAnsi="Calibri" w:cs="Calibri"/>
                <w:color w:val="000000"/>
                <w:sz w:val="22"/>
                <w:szCs w:val="22"/>
              </w:rPr>
              <w:t>1,821</w:t>
            </w:r>
          </w:p>
        </w:tc>
        <w:tc>
          <w:tcPr>
            <w:tcW w:w="883" w:type="dxa"/>
            <w:tcBorders>
              <w:top w:val="nil"/>
              <w:left w:val="nil"/>
              <w:bottom w:val="nil"/>
              <w:right w:val="nil"/>
            </w:tcBorders>
            <w:shd w:val="clear" w:color="auto" w:fill="auto"/>
            <w:noWrap/>
            <w:vAlign w:val="bottom"/>
            <w:hideMark/>
          </w:tcPr>
          <w:p w:rsidR="00B62D6B" w:rsidRPr="00106232" w:rsidRDefault="00B62D6B" w:rsidP="00B62D6B">
            <w:pPr>
              <w:jc w:val="right"/>
              <w:rPr>
                <w:rFonts w:ascii="Calibri" w:hAnsi="Calibri" w:cs="Calibri"/>
                <w:color w:val="000000"/>
                <w:sz w:val="22"/>
                <w:szCs w:val="22"/>
              </w:rPr>
            </w:pPr>
            <w:r w:rsidRPr="00106232">
              <w:rPr>
                <w:rFonts w:ascii="Calibri" w:hAnsi="Calibri" w:cs="Calibri"/>
                <w:color w:val="000000"/>
                <w:sz w:val="22"/>
                <w:szCs w:val="22"/>
              </w:rPr>
              <w:t>1,986</w:t>
            </w:r>
          </w:p>
        </w:tc>
        <w:tc>
          <w:tcPr>
            <w:tcW w:w="905" w:type="dxa"/>
            <w:tcBorders>
              <w:top w:val="nil"/>
              <w:left w:val="nil"/>
              <w:bottom w:val="nil"/>
              <w:right w:val="nil"/>
            </w:tcBorders>
            <w:shd w:val="clear" w:color="auto" w:fill="auto"/>
            <w:noWrap/>
            <w:vAlign w:val="bottom"/>
            <w:hideMark/>
          </w:tcPr>
          <w:p w:rsidR="00B62D6B" w:rsidRPr="00106232" w:rsidRDefault="00B62D6B" w:rsidP="00B62D6B">
            <w:pPr>
              <w:jc w:val="right"/>
              <w:rPr>
                <w:rFonts w:ascii="Calibri" w:hAnsi="Calibri" w:cs="Calibri"/>
                <w:color w:val="000000"/>
                <w:sz w:val="22"/>
                <w:szCs w:val="22"/>
              </w:rPr>
            </w:pPr>
            <w:r w:rsidRPr="00106232">
              <w:rPr>
                <w:rFonts w:ascii="Calibri" w:hAnsi="Calibri" w:cs="Calibri"/>
                <w:color w:val="000000"/>
                <w:sz w:val="22"/>
                <w:szCs w:val="22"/>
              </w:rPr>
              <w:t>1,977</w:t>
            </w:r>
          </w:p>
        </w:tc>
        <w:tc>
          <w:tcPr>
            <w:tcW w:w="1050" w:type="dxa"/>
            <w:tcBorders>
              <w:top w:val="nil"/>
              <w:left w:val="nil"/>
              <w:bottom w:val="nil"/>
              <w:right w:val="nil"/>
            </w:tcBorders>
            <w:shd w:val="clear" w:color="auto" w:fill="auto"/>
            <w:noWrap/>
            <w:vAlign w:val="bottom"/>
            <w:hideMark/>
          </w:tcPr>
          <w:p w:rsidR="00B62D6B" w:rsidRPr="00106232" w:rsidRDefault="00B62D6B" w:rsidP="00B62D6B">
            <w:pPr>
              <w:jc w:val="right"/>
              <w:rPr>
                <w:rFonts w:ascii="Calibri" w:hAnsi="Calibri" w:cs="Calibri"/>
                <w:color w:val="000000"/>
                <w:sz w:val="22"/>
                <w:szCs w:val="22"/>
              </w:rPr>
            </w:pPr>
            <w:r w:rsidRPr="00106232">
              <w:rPr>
                <w:rFonts w:ascii="Calibri" w:hAnsi="Calibri" w:cs="Calibri"/>
                <w:color w:val="000000"/>
                <w:sz w:val="22"/>
                <w:szCs w:val="22"/>
              </w:rPr>
              <w:t>1,997</w:t>
            </w:r>
          </w:p>
        </w:tc>
      </w:tr>
      <w:tr w:rsidR="00B62D6B" w:rsidRPr="00106232" w:rsidTr="00B62D6B">
        <w:trPr>
          <w:trHeight w:val="280"/>
          <w:jc w:val="center"/>
        </w:trPr>
        <w:tc>
          <w:tcPr>
            <w:tcW w:w="3294" w:type="dxa"/>
            <w:tcBorders>
              <w:top w:val="nil"/>
              <w:left w:val="single" w:sz="8" w:space="0" w:color="FFFFFF"/>
              <w:bottom w:val="single" w:sz="8" w:space="0" w:color="FFFFFF"/>
              <w:right w:val="single" w:sz="8" w:space="0" w:color="FFFFFF"/>
            </w:tcBorders>
            <w:shd w:val="clear" w:color="auto" w:fill="auto"/>
            <w:vAlign w:val="bottom"/>
            <w:hideMark/>
          </w:tcPr>
          <w:p w:rsidR="00B62D6B" w:rsidRPr="00106232" w:rsidRDefault="00B62D6B" w:rsidP="00B62D6B">
            <w:pPr>
              <w:rPr>
                <w:rFonts w:ascii="Arial" w:hAnsi="Arial" w:cs="Arial"/>
                <w:color w:val="000000"/>
                <w:sz w:val="18"/>
                <w:szCs w:val="18"/>
              </w:rPr>
            </w:pPr>
            <w:r w:rsidRPr="00106232">
              <w:rPr>
                <w:rFonts w:ascii="Arial" w:hAnsi="Arial" w:cs="Arial"/>
                <w:color w:val="000000"/>
                <w:sz w:val="18"/>
                <w:szCs w:val="18"/>
              </w:rPr>
              <w:t>Corporate Services</w:t>
            </w:r>
          </w:p>
        </w:tc>
        <w:tc>
          <w:tcPr>
            <w:tcW w:w="905" w:type="dxa"/>
            <w:tcBorders>
              <w:top w:val="nil"/>
              <w:left w:val="nil"/>
              <w:bottom w:val="nil"/>
              <w:right w:val="nil"/>
            </w:tcBorders>
            <w:shd w:val="clear" w:color="auto" w:fill="auto"/>
            <w:noWrap/>
            <w:vAlign w:val="bottom"/>
            <w:hideMark/>
          </w:tcPr>
          <w:p w:rsidR="00B62D6B" w:rsidRPr="00106232" w:rsidRDefault="00B62D6B" w:rsidP="00B62D6B">
            <w:pPr>
              <w:jc w:val="right"/>
              <w:rPr>
                <w:rFonts w:ascii="Calibri" w:hAnsi="Calibri" w:cs="Calibri"/>
                <w:color w:val="000000"/>
                <w:sz w:val="22"/>
                <w:szCs w:val="22"/>
              </w:rPr>
            </w:pPr>
            <w:r w:rsidRPr="00106232">
              <w:rPr>
                <w:rFonts w:ascii="Calibri" w:hAnsi="Calibri" w:cs="Calibri"/>
                <w:color w:val="000000"/>
                <w:sz w:val="22"/>
                <w:szCs w:val="22"/>
              </w:rPr>
              <w:t>1,817</w:t>
            </w:r>
          </w:p>
        </w:tc>
        <w:tc>
          <w:tcPr>
            <w:tcW w:w="828" w:type="dxa"/>
            <w:tcBorders>
              <w:top w:val="nil"/>
              <w:left w:val="nil"/>
              <w:bottom w:val="nil"/>
              <w:right w:val="nil"/>
            </w:tcBorders>
            <w:shd w:val="clear" w:color="auto" w:fill="auto"/>
            <w:noWrap/>
            <w:vAlign w:val="bottom"/>
            <w:hideMark/>
          </w:tcPr>
          <w:p w:rsidR="00B62D6B" w:rsidRPr="00106232" w:rsidRDefault="00B62D6B" w:rsidP="00B62D6B">
            <w:pPr>
              <w:jc w:val="right"/>
              <w:rPr>
                <w:rFonts w:ascii="Calibri" w:hAnsi="Calibri" w:cs="Calibri"/>
                <w:color w:val="000000"/>
                <w:sz w:val="22"/>
                <w:szCs w:val="22"/>
              </w:rPr>
            </w:pPr>
            <w:r w:rsidRPr="00106232">
              <w:rPr>
                <w:rFonts w:ascii="Calibri" w:hAnsi="Calibri" w:cs="Calibri"/>
                <w:color w:val="000000"/>
                <w:sz w:val="22"/>
                <w:szCs w:val="22"/>
              </w:rPr>
              <w:t>1,829</w:t>
            </w:r>
          </w:p>
        </w:tc>
        <w:tc>
          <w:tcPr>
            <w:tcW w:w="1050" w:type="dxa"/>
            <w:tcBorders>
              <w:top w:val="nil"/>
              <w:left w:val="nil"/>
              <w:bottom w:val="nil"/>
              <w:right w:val="nil"/>
            </w:tcBorders>
            <w:shd w:val="clear" w:color="auto" w:fill="auto"/>
            <w:noWrap/>
            <w:vAlign w:val="bottom"/>
            <w:hideMark/>
          </w:tcPr>
          <w:p w:rsidR="00B62D6B" w:rsidRPr="00106232" w:rsidRDefault="00B62D6B" w:rsidP="00B62D6B">
            <w:pPr>
              <w:jc w:val="right"/>
              <w:rPr>
                <w:rFonts w:ascii="Calibri" w:hAnsi="Calibri" w:cs="Calibri"/>
                <w:color w:val="000000"/>
                <w:sz w:val="22"/>
                <w:szCs w:val="22"/>
              </w:rPr>
            </w:pPr>
            <w:r w:rsidRPr="00106232">
              <w:rPr>
                <w:rFonts w:ascii="Calibri" w:hAnsi="Calibri" w:cs="Calibri"/>
                <w:color w:val="000000"/>
                <w:sz w:val="22"/>
                <w:szCs w:val="22"/>
              </w:rPr>
              <w:t>12</w:t>
            </w:r>
          </w:p>
        </w:tc>
        <w:tc>
          <w:tcPr>
            <w:tcW w:w="939" w:type="dxa"/>
            <w:tcBorders>
              <w:top w:val="nil"/>
              <w:left w:val="nil"/>
              <w:bottom w:val="nil"/>
              <w:right w:val="nil"/>
            </w:tcBorders>
            <w:shd w:val="clear" w:color="auto" w:fill="auto"/>
            <w:noWrap/>
            <w:vAlign w:val="bottom"/>
            <w:hideMark/>
          </w:tcPr>
          <w:p w:rsidR="00B62D6B" w:rsidRPr="00106232" w:rsidRDefault="00B62D6B" w:rsidP="00B62D6B">
            <w:pPr>
              <w:jc w:val="right"/>
              <w:rPr>
                <w:rFonts w:ascii="Calibri" w:hAnsi="Calibri" w:cs="Calibri"/>
                <w:color w:val="000000"/>
                <w:sz w:val="22"/>
                <w:szCs w:val="22"/>
              </w:rPr>
            </w:pPr>
            <w:r w:rsidRPr="00106232">
              <w:rPr>
                <w:rFonts w:ascii="Calibri" w:hAnsi="Calibri" w:cs="Calibri"/>
                <w:color w:val="000000"/>
                <w:sz w:val="22"/>
                <w:szCs w:val="22"/>
              </w:rPr>
              <w:t>1,828</w:t>
            </w:r>
          </w:p>
        </w:tc>
        <w:tc>
          <w:tcPr>
            <w:tcW w:w="883" w:type="dxa"/>
            <w:tcBorders>
              <w:top w:val="nil"/>
              <w:left w:val="nil"/>
              <w:bottom w:val="nil"/>
              <w:right w:val="nil"/>
            </w:tcBorders>
            <w:shd w:val="clear" w:color="auto" w:fill="auto"/>
            <w:noWrap/>
            <w:vAlign w:val="bottom"/>
            <w:hideMark/>
          </w:tcPr>
          <w:p w:rsidR="00B62D6B" w:rsidRPr="00106232" w:rsidRDefault="00B62D6B" w:rsidP="00B62D6B">
            <w:pPr>
              <w:jc w:val="right"/>
              <w:rPr>
                <w:rFonts w:ascii="Calibri" w:hAnsi="Calibri" w:cs="Calibri"/>
                <w:color w:val="000000"/>
                <w:sz w:val="22"/>
                <w:szCs w:val="22"/>
              </w:rPr>
            </w:pPr>
            <w:r w:rsidRPr="00106232">
              <w:rPr>
                <w:rFonts w:ascii="Calibri" w:hAnsi="Calibri" w:cs="Calibri"/>
                <w:color w:val="000000"/>
                <w:sz w:val="22"/>
                <w:szCs w:val="22"/>
              </w:rPr>
              <w:t>1,812</w:t>
            </w:r>
          </w:p>
        </w:tc>
        <w:tc>
          <w:tcPr>
            <w:tcW w:w="905" w:type="dxa"/>
            <w:tcBorders>
              <w:top w:val="nil"/>
              <w:left w:val="nil"/>
              <w:bottom w:val="nil"/>
              <w:right w:val="nil"/>
            </w:tcBorders>
            <w:shd w:val="clear" w:color="auto" w:fill="auto"/>
            <w:noWrap/>
            <w:vAlign w:val="bottom"/>
            <w:hideMark/>
          </w:tcPr>
          <w:p w:rsidR="00B62D6B" w:rsidRPr="00106232" w:rsidRDefault="00B62D6B" w:rsidP="00B62D6B">
            <w:pPr>
              <w:jc w:val="right"/>
              <w:rPr>
                <w:rFonts w:ascii="Calibri" w:hAnsi="Calibri" w:cs="Calibri"/>
                <w:color w:val="000000"/>
                <w:sz w:val="22"/>
                <w:szCs w:val="22"/>
              </w:rPr>
            </w:pPr>
            <w:r w:rsidRPr="00106232">
              <w:rPr>
                <w:rFonts w:ascii="Calibri" w:hAnsi="Calibri" w:cs="Calibri"/>
                <w:color w:val="000000"/>
                <w:sz w:val="22"/>
                <w:szCs w:val="22"/>
              </w:rPr>
              <w:t>2,808</w:t>
            </w:r>
          </w:p>
        </w:tc>
        <w:tc>
          <w:tcPr>
            <w:tcW w:w="1050" w:type="dxa"/>
            <w:tcBorders>
              <w:top w:val="nil"/>
              <w:left w:val="nil"/>
              <w:bottom w:val="nil"/>
              <w:right w:val="nil"/>
            </w:tcBorders>
            <w:shd w:val="clear" w:color="auto" w:fill="auto"/>
            <w:noWrap/>
            <w:vAlign w:val="bottom"/>
            <w:hideMark/>
          </w:tcPr>
          <w:p w:rsidR="00B62D6B" w:rsidRPr="00106232" w:rsidRDefault="00B62D6B" w:rsidP="00B62D6B">
            <w:pPr>
              <w:jc w:val="right"/>
              <w:rPr>
                <w:rFonts w:ascii="Calibri" w:hAnsi="Calibri" w:cs="Calibri"/>
                <w:color w:val="000000"/>
                <w:sz w:val="22"/>
                <w:szCs w:val="22"/>
              </w:rPr>
            </w:pPr>
            <w:r w:rsidRPr="00106232">
              <w:rPr>
                <w:rFonts w:ascii="Calibri" w:hAnsi="Calibri" w:cs="Calibri"/>
                <w:color w:val="000000"/>
                <w:sz w:val="22"/>
                <w:szCs w:val="22"/>
              </w:rPr>
              <w:t>2,748</w:t>
            </w:r>
          </w:p>
        </w:tc>
      </w:tr>
      <w:tr w:rsidR="00B62D6B" w:rsidRPr="00106232" w:rsidTr="00B62D6B">
        <w:trPr>
          <w:trHeight w:val="280"/>
          <w:jc w:val="center"/>
        </w:trPr>
        <w:tc>
          <w:tcPr>
            <w:tcW w:w="3294" w:type="dxa"/>
            <w:tcBorders>
              <w:top w:val="nil"/>
              <w:left w:val="single" w:sz="8" w:space="0" w:color="FFFFFF"/>
              <w:bottom w:val="single" w:sz="8" w:space="0" w:color="FFFFFF"/>
              <w:right w:val="single" w:sz="8" w:space="0" w:color="FFFFFF"/>
            </w:tcBorders>
            <w:shd w:val="clear" w:color="auto" w:fill="auto"/>
            <w:vAlign w:val="bottom"/>
            <w:hideMark/>
          </w:tcPr>
          <w:p w:rsidR="00B62D6B" w:rsidRPr="00106232" w:rsidRDefault="00B62D6B" w:rsidP="00B62D6B">
            <w:pPr>
              <w:rPr>
                <w:rFonts w:ascii="Arial" w:hAnsi="Arial" w:cs="Arial"/>
                <w:color w:val="000000"/>
                <w:sz w:val="18"/>
                <w:szCs w:val="18"/>
              </w:rPr>
            </w:pPr>
            <w:r w:rsidRPr="00106232">
              <w:rPr>
                <w:rFonts w:ascii="Arial" w:hAnsi="Arial" w:cs="Arial"/>
                <w:color w:val="000000"/>
                <w:sz w:val="18"/>
                <w:szCs w:val="18"/>
              </w:rPr>
              <w:t>Finance, Procurement and Estates</w:t>
            </w:r>
          </w:p>
        </w:tc>
        <w:tc>
          <w:tcPr>
            <w:tcW w:w="905" w:type="dxa"/>
            <w:tcBorders>
              <w:top w:val="nil"/>
              <w:left w:val="nil"/>
              <w:bottom w:val="nil"/>
              <w:right w:val="nil"/>
            </w:tcBorders>
            <w:shd w:val="clear" w:color="auto" w:fill="auto"/>
            <w:noWrap/>
            <w:vAlign w:val="bottom"/>
            <w:hideMark/>
          </w:tcPr>
          <w:p w:rsidR="00B62D6B" w:rsidRPr="00106232" w:rsidRDefault="00B62D6B" w:rsidP="00B62D6B">
            <w:pPr>
              <w:jc w:val="right"/>
              <w:rPr>
                <w:rFonts w:ascii="Calibri" w:hAnsi="Calibri" w:cs="Calibri"/>
                <w:color w:val="000000"/>
                <w:sz w:val="22"/>
                <w:szCs w:val="22"/>
              </w:rPr>
            </w:pPr>
            <w:r w:rsidRPr="00106232">
              <w:rPr>
                <w:rFonts w:ascii="Calibri" w:hAnsi="Calibri" w:cs="Calibri"/>
                <w:color w:val="000000"/>
                <w:sz w:val="22"/>
                <w:szCs w:val="22"/>
              </w:rPr>
              <w:t>450</w:t>
            </w:r>
          </w:p>
        </w:tc>
        <w:tc>
          <w:tcPr>
            <w:tcW w:w="828" w:type="dxa"/>
            <w:tcBorders>
              <w:top w:val="nil"/>
              <w:left w:val="nil"/>
              <w:bottom w:val="nil"/>
              <w:right w:val="nil"/>
            </w:tcBorders>
            <w:shd w:val="clear" w:color="auto" w:fill="auto"/>
            <w:noWrap/>
            <w:vAlign w:val="bottom"/>
            <w:hideMark/>
          </w:tcPr>
          <w:p w:rsidR="00B62D6B" w:rsidRPr="00106232" w:rsidRDefault="00B62D6B" w:rsidP="00B62D6B">
            <w:pPr>
              <w:jc w:val="right"/>
              <w:rPr>
                <w:rFonts w:ascii="Calibri" w:hAnsi="Calibri" w:cs="Calibri"/>
                <w:color w:val="000000"/>
                <w:sz w:val="22"/>
                <w:szCs w:val="22"/>
              </w:rPr>
            </w:pPr>
            <w:r w:rsidRPr="00106232">
              <w:rPr>
                <w:rFonts w:ascii="Calibri" w:hAnsi="Calibri" w:cs="Calibri"/>
                <w:color w:val="000000"/>
                <w:sz w:val="22"/>
                <w:szCs w:val="22"/>
              </w:rPr>
              <w:t>439</w:t>
            </w:r>
          </w:p>
        </w:tc>
        <w:tc>
          <w:tcPr>
            <w:tcW w:w="1050" w:type="dxa"/>
            <w:tcBorders>
              <w:top w:val="nil"/>
              <w:left w:val="nil"/>
              <w:bottom w:val="nil"/>
              <w:right w:val="nil"/>
            </w:tcBorders>
            <w:shd w:val="clear" w:color="auto" w:fill="auto"/>
            <w:noWrap/>
            <w:vAlign w:val="bottom"/>
            <w:hideMark/>
          </w:tcPr>
          <w:p w:rsidR="00B62D6B" w:rsidRPr="00106232" w:rsidRDefault="00B62D6B" w:rsidP="00B62D6B">
            <w:pPr>
              <w:jc w:val="right"/>
              <w:rPr>
                <w:rFonts w:ascii="Calibri" w:hAnsi="Calibri" w:cs="Calibri"/>
                <w:color w:val="000000"/>
                <w:sz w:val="22"/>
                <w:szCs w:val="22"/>
              </w:rPr>
            </w:pPr>
            <w:r w:rsidRPr="00106232">
              <w:rPr>
                <w:rFonts w:ascii="Calibri" w:hAnsi="Calibri" w:cs="Calibri"/>
                <w:color w:val="000000"/>
                <w:sz w:val="22"/>
                <w:szCs w:val="22"/>
              </w:rPr>
              <w:t>-11</w:t>
            </w:r>
          </w:p>
        </w:tc>
        <w:tc>
          <w:tcPr>
            <w:tcW w:w="939" w:type="dxa"/>
            <w:tcBorders>
              <w:top w:val="nil"/>
              <w:left w:val="nil"/>
              <w:bottom w:val="nil"/>
              <w:right w:val="nil"/>
            </w:tcBorders>
            <w:shd w:val="clear" w:color="auto" w:fill="auto"/>
            <w:noWrap/>
            <w:vAlign w:val="bottom"/>
            <w:hideMark/>
          </w:tcPr>
          <w:p w:rsidR="00B62D6B" w:rsidRPr="00106232" w:rsidRDefault="00B62D6B" w:rsidP="00B62D6B">
            <w:pPr>
              <w:jc w:val="right"/>
              <w:rPr>
                <w:rFonts w:ascii="Calibri" w:hAnsi="Calibri" w:cs="Calibri"/>
                <w:color w:val="000000"/>
                <w:sz w:val="22"/>
                <w:szCs w:val="22"/>
              </w:rPr>
            </w:pPr>
            <w:r w:rsidRPr="00106232">
              <w:rPr>
                <w:rFonts w:ascii="Calibri" w:hAnsi="Calibri" w:cs="Calibri"/>
                <w:color w:val="000000"/>
                <w:sz w:val="22"/>
                <w:szCs w:val="22"/>
              </w:rPr>
              <w:t>1,256</w:t>
            </w:r>
          </w:p>
        </w:tc>
        <w:tc>
          <w:tcPr>
            <w:tcW w:w="883" w:type="dxa"/>
            <w:tcBorders>
              <w:top w:val="nil"/>
              <w:left w:val="nil"/>
              <w:bottom w:val="nil"/>
              <w:right w:val="nil"/>
            </w:tcBorders>
            <w:shd w:val="clear" w:color="auto" w:fill="auto"/>
            <w:noWrap/>
            <w:vAlign w:val="bottom"/>
            <w:hideMark/>
          </w:tcPr>
          <w:p w:rsidR="00B62D6B" w:rsidRPr="00106232" w:rsidRDefault="00B62D6B" w:rsidP="00B62D6B">
            <w:pPr>
              <w:jc w:val="right"/>
              <w:rPr>
                <w:rFonts w:ascii="Calibri" w:hAnsi="Calibri" w:cs="Calibri"/>
                <w:color w:val="000000"/>
                <w:sz w:val="22"/>
                <w:szCs w:val="22"/>
              </w:rPr>
            </w:pPr>
            <w:r w:rsidRPr="00106232">
              <w:rPr>
                <w:rFonts w:ascii="Calibri" w:hAnsi="Calibri" w:cs="Calibri"/>
                <w:color w:val="000000"/>
                <w:sz w:val="22"/>
                <w:szCs w:val="22"/>
              </w:rPr>
              <w:t>1,315</w:t>
            </w:r>
          </w:p>
        </w:tc>
        <w:tc>
          <w:tcPr>
            <w:tcW w:w="905" w:type="dxa"/>
            <w:tcBorders>
              <w:top w:val="nil"/>
              <w:left w:val="nil"/>
              <w:bottom w:val="nil"/>
              <w:right w:val="nil"/>
            </w:tcBorders>
            <w:shd w:val="clear" w:color="auto" w:fill="auto"/>
            <w:noWrap/>
            <w:vAlign w:val="bottom"/>
            <w:hideMark/>
          </w:tcPr>
          <w:p w:rsidR="00B62D6B" w:rsidRPr="00106232" w:rsidRDefault="00B62D6B" w:rsidP="00B62D6B">
            <w:pPr>
              <w:jc w:val="right"/>
              <w:rPr>
                <w:rFonts w:ascii="Calibri" w:hAnsi="Calibri" w:cs="Calibri"/>
                <w:color w:val="000000"/>
                <w:sz w:val="22"/>
                <w:szCs w:val="22"/>
              </w:rPr>
            </w:pPr>
            <w:r w:rsidRPr="00106232">
              <w:rPr>
                <w:rFonts w:ascii="Calibri" w:hAnsi="Calibri" w:cs="Calibri"/>
                <w:color w:val="000000"/>
                <w:sz w:val="22"/>
                <w:szCs w:val="22"/>
              </w:rPr>
              <w:t>1,253</w:t>
            </w:r>
          </w:p>
        </w:tc>
        <w:tc>
          <w:tcPr>
            <w:tcW w:w="1050" w:type="dxa"/>
            <w:tcBorders>
              <w:top w:val="nil"/>
              <w:left w:val="nil"/>
              <w:bottom w:val="nil"/>
              <w:right w:val="nil"/>
            </w:tcBorders>
            <w:shd w:val="clear" w:color="auto" w:fill="auto"/>
            <w:noWrap/>
            <w:vAlign w:val="bottom"/>
            <w:hideMark/>
          </w:tcPr>
          <w:p w:rsidR="00B62D6B" w:rsidRPr="00106232" w:rsidRDefault="00FB0C18" w:rsidP="00B62D6B">
            <w:pPr>
              <w:jc w:val="right"/>
              <w:rPr>
                <w:rFonts w:ascii="Calibri" w:hAnsi="Calibri" w:cs="Calibri"/>
                <w:color w:val="000000"/>
                <w:sz w:val="22"/>
                <w:szCs w:val="22"/>
              </w:rPr>
            </w:pPr>
            <w:r>
              <w:rPr>
                <w:rFonts w:ascii="Calibri" w:hAnsi="Calibri" w:cs="Calibri"/>
                <w:color w:val="000000"/>
                <w:sz w:val="22"/>
                <w:szCs w:val="22"/>
              </w:rPr>
              <w:t>1,101</w:t>
            </w:r>
          </w:p>
        </w:tc>
      </w:tr>
      <w:tr w:rsidR="00B62D6B" w:rsidRPr="00106232" w:rsidTr="00B62D6B">
        <w:trPr>
          <w:trHeight w:val="455"/>
          <w:jc w:val="center"/>
        </w:trPr>
        <w:tc>
          <w:tcPr>
            <w:tcW w:w="3294" w:type="dxa"/>
            <w:tcBorders>
              <w:top w:val="nil"/>
              <w:left w:val="single" w:sz="8" w:space="0" w:color="FFFFFF"/>
              <w:bottom w:val="single" w:sz="8" w:space="0" w:color="FFFFFF"/>
              <w:right w:val="single" w:sz="8" w:space="0" w:color="FFFFFF"/>
            </w:tcBorders>
            <w:shd w:val="clear" w:color="auto" w:fill="auto"/>
            <w:vAlign w:val="bottom"/>
            <w:hideMark/>
          </w:tcPr>
          <w:p w:rsidR="00B62D6B" w:rsidRPr="00106232" w:rsidRDefault="00B62D6B" w:rsidP="00B62D6B">
            <w:pPr>
              <w:rPr>
                <w:rFonts w:ascii="Arial" w:hAnsi="Arial" w:cs="Arial"/>
                <w:color w:val="000000"/>
                <w:sz w:val="18"/>
                <w:szCs w:val="18"/>
              </w:rPr>
            </w:pPr>
            <w:r w:rsidRPr="00106232">
              <w:rPr>
                <w:rFonts w:ascii="Arial" w:hAnsi="Arial" w:cs="Arial"/>
                <w:color w:val="000000"/>
                <w:sz w:val="18"/>
                <w:szCs w:val="18"/>
              </w:rPr>
              <w:t>Research Systems, Standards and HRA Approval Prog</w:t>
            </w:r>
            <w:r>
              <w:rPr>
                <w:rFonts w:ascii="Arial" w:hAnsi="Arial" w:cs="Arial"/>
                <w:color w:val="000000"/>
                <w:sz w:val="18"/>
                <w:szCs w:val="18"/>
              </w:rPr>
              <w:t>ramme</w:t>
            </w:r>
          </w:p>
        </w:tc>
        <w:tc>
          <w:tcPr>
            <w:tcW w:w="905" w:type="dxa"/>
            <w:tcBorders>
              <w:top w:val="nil"/>
              <w:left w:val="nil"/>
              <w:bottom w:val="nil"/>
              <w:right w:val="nil"/>
            </w:tcBorders>
            <w:shd w:val="clear" w:color="auto" w:fill="auto"/>
            <w:noWrap/>
            <w:vAlign w:val="bottom"/>
            <w:hideMark/>
          </w:tcPr>
          <w:p w:rsidR="00B62D6B" w:rsidRPr="00106232" w:rsidRDefault="00B62D6B" w:rsidP="00B62D6B">
            <w:pPr>
              <w:jc w:val="right"/>
              <w:rPr>
                <w:rFonts w:ascii="Calibri" w:hAnsi="Calibri" w:cs="Calibri"/>
                <w:color w:val="000000"/>
                <w:sz w:val="22"/>
                <w:szCs w:val="22"/>
              </w:rPr>
            </w:pPr>
            <w:r w:rsidRPr="00106232">
              <w:rPr>
                <w:rFonts w:ascii="Calibri" w:hAnsi="Calibri" w:cs="Calibri"/>
                <w:color w:val="000000"/>
                <w:sz w:val="22"/>
                <w:szCs w:val="22"/>
              </w:rPr>
              <w:t>2,032</w:t>
            </w:r>
          </w:p>
        </w:tc>
        <w:tc>
          <w:tcPr>
            <w:tcW w:w="828" w:type="dxa"/>
            <w:tcBorders>
              <w:top w:val="nil"/>
              <w:left w:val="nil"/>
              <w:bottom w:val="nil"/>
              <w:right w:val="nil"/>
            </w:tcBorders>
            <w:shd w:val="clear" w:color="auto" w:fill="auto"/>
            <w:noWrap/>
            <w:vAlign w:val="bottom"/>
            <w:hideMark/>
          </w:tcPr>
          <w:p w:rsidR="00B62D6B" w:rsidRPr="00106232" w:rsidRDefault="00B62D6B" w:rsidP="00B62D6B">
            <w:pPr>
              <w:jc w:val="right"/>
              <w:rPr>
                <w:rFonts w:ascii="Calibri" w:hAnsi="Calibri" w:cs="Calibri"/>
                <w:color w:val="000000"/>
                <w:sz w:val="22"/>
                <w:szCs w:val="22"/>
              </w:rPr>
            </w:pPr>
            <w:r w:rsidRPr="00106232">
              <w:rPr>
                <w:rFonts w:ascii="Calibri" w:hAnsi="Calibri" w:cs="Calibri"/>
                <w:color w:val="000000"/>
                <w:sz w:val="22"/>
                <w:szCs w:val="22"/>
              </w:rPr>
              <w:t>2,021</w:t>
            </w:r>
          </w:p>
        </w:tc>
        <w:tc>
          <w:tcPr>
            <w:tcW w:w="1050" w:type="dxa"/>
            <w:tcBorders>
              <w:top w:val="nil"/>
              <w:left w:val="nil"/>
              <w:bottom w:val="nil"/>
              <w:right w:val="nil"/>
            </w:tcBorders>
            <w:shd w:val="clear" w:color="auto" w:fill="auto"/>
            <w:noWrap/>
            <w:vAlign w:val="bottom"/>
            <w:hideMark/>
          </w:tcPr>
          <w:p w:rsidR="00B62D6B" w:rsidRPr="00106232" w:rsidRDefault="00B62D6B" w:rsidP="00B62D6B">
            <w:pPr>
              <w:jc w:val="right"/>
              <w:rPr>
                <w:rFonts w:ascii="Calibri" w:hAnsi="Calibri" w:cs="Calibri"/>
                <w:color w:val="000000"/>
                <w:sz w:val="22"/>
                <w:szCs w:val="22"/>
              </w:rPr>
            </w:pPr>
            <w:r w:rsidRPr="00106232">
              <w:rPr>
                <w:rFonts w:ascii="Calibri" w:hAnsi="Calibri" w:cs="Calibri"/>
                <w:color w:val="000000"/>
                <w:sz w:val="22"/>
                <w:szCs w:val="22"/>
              </w:rPr>
              <w:t>-11</w:t>
            </w:r>
          </w:p>
        </w:tc>
        <w:tc>
          <w:tcPr>
            <w:tcW w:w="939" w:type="dxa"/>
            <w:tcBorders>
              <w:top w:val="nil"/>
              <w:left w:val="nil"/>
              <w:bottom w:val="nil"/>
              <w:right w:val="nil"/>
            </w:tcBorders>
            <w:shd w:val="clear" w:color="auto" w:fill="auto"/>
            <w:noWrap/>
            <w:vAlign w:val="bottom"/>
            <w:hideMark/>
          </w:tcPr>
          <w:p w:rsidR="00B62D6B" w:rsidRPr="00106232" w:rsidRDefault="00B62D6B" w:rsidP="00B62D6B">
            <w:pPr>
              <w:jc w:val="right"/>
              <w:rPr>
                <w:rFonts w:ascii="Calibri" w:hAnsi="Calibri" w:cs="Calibri"/>
                <w:color w:val="000000"/>
                <w:sz w:val="22"/>
                <w:szCs w:val="22"/>
              </w:rPr>
            </w:pPr>
            <w:r w:rsidRPr="00106232">
              <w:rPr>
                <w:rFonts w:ascii="Calibri" w:hAnsi="Calibri" w:cs="Calibri"/>
                <w:color w:val="000000"/>
                <w:sz w:val="22"/>
                <w:szCs w:val="22"/>
              </w:rPr>
              <w:t>3,482</w:t>
            </w:r>
          </w:p>
        </w:tc>
        <w:tc>
          <w:tcPr>
            <w:tcW w:w="883" w:type="dxa"/>
            <w:tcBorders>
              <w:top w:val="nil"/>
              <w:left w:val="nil"/>
              <w:bottom w:val="nil"/>
              <w:right w:val="nil"/>
            </w:tcBorders>
            <w:shd w:val="clear" w:color="auto" w:fill="auto"/>
            <w:noWrap/>
            <w:vAlign w:val="bottom"/>
            <w:hideMark/>
          </w:tcPr>
          <w:p w:rsidR="00B62D6B" w:rsidRPr="00106232" w:rsidRDefault="00B62D6B" w:rsidP="00B62D6B">
            <w:pPr>
              <w:jc w:val="right"/>
              <w:rPr>
                <w:rFonts w:ascii="Calibri" w:hAnsi="Calibri" w:cs="Calibri"/>
                <w:color w:val="000000"/>
                <w:sz w:val="22"/>
                <w:szCs w:val="22"/>
              </w:rPr>
            </w:pPr>
            <w:r w:rsidRPr="00106232">
              <w:rPr>
                <w:rFonts w:ascii="Calibri" w:hAnsi="Calibri" w:cs="Calibri"/>
                <w:color w:val="000000"/>
                <w:sz w:val="22"/>
                <w:szCs w:val="22"/>
              </w:rPr>
              <w:t>4,146</w:t>
            </w:r>
          </w:p>
        </w:tc>
        <w:tc>
          <w:tcPr>
            <w:tcW w:w="905" w:type="dxa"/>
            <w:tcBorders>
              <w:top w:val="nil"/>
              <w:left w:val="nil"/>
              <w:bottom w:val="nil"/>
              <w:right w:val="nil"/>
            </w:tcBorders>
            <w:shd w:val="clear" w:color="auto" w:fill="auto"/>
            <w:noWrap/>
            <w:vAlign w:val="bottom"/>
            <w:hideMark/>
          </w:tcPr>
          <w:p w:rsidR="00B62D6B" w:rsidRPr="00106232" w:rsidRDefault="00B62D6B" w:rsidP="00B62D6B">
            <w:pPr>
              <w:jc w:val="right"/>
              <w:rPr>
                <w:rFonts w:ascii="Calibri" w:hAnsi="Calibri" w:cs="Calibri"/>
                <w:color w:val="000000"/>
                <w:sz w:val="22"/>
                <w:szCs w:val="22"/>
              </w:rPr>
            </w:pPr>
            <w:r w:rsidRPr="00106232">
              <w:rPr>
                <w:rFonts w:ascii="Calibri" w:hAnsi="Calibri" w:cs="Calibri"/>
                <w:color w:val="000000"/>
                <w:sz w:val="22"/>
                <w:szCs w:val="22"/>
              </w:rPr>
              <w:t>3,197</w:t>
            </w:r>
          </w:p>
        </w:tc>
        <w:tc>
          <w:tcPr>
            <w:tcW w:w="1050" w:type="dxa"/>
            <w:tcBorders>
              <w:top w:val="nil"/>
              <w:left w:val="nil"/>
              <w:bottom w:val="nil"/>
              <w:right w:val="nil"/>
            </w:tcBorders>
            <w:shd w:val="clear" w:color="auto" w:fill="auto"/>
            <w:noWrap/>
            <w:vAlign w:val="bottom"/>
            <w:hideMark/>
          </w:tcPr>
          <w:p w:rsidR="00B62D6B" w:rsidRPr="00106232" w:rsidRDefault="00B62D6B" w:rsidP="00B62D6B">
            <w:pPr>
              <w:jc w:val="right"/>
              <w:rPr>
                <w:rFonts w:ascii="Calibri" w:hAnsi="Calibri" w:cs="Calibri"/>
                <w:color w:val="000000"/>
                <w:sz w:val="22"/>
                <w:szCs w:val="22"/>
              </w:rPr>
            </w:pPr>
            <w:r w:rsidRPr="00106232">
              <w:rPr>
                <w:rFonts w:ascii="Calibri" w:hAnsi="Calibri" w:cs="Calibri"/>
                <w:color w:val="000000"/>
                <w:sz w:val="22"/>
                <w:szCs w:val="22"/>
              </w:rPr>
              <w:t>3,197</w:t>
            </w:r>
          </w:p>
        </w:tc>
      </w:tr>
      <w:tr w:rsidR="00B62D6B" w:rsidRPr="00106232" w:rsidTr="00B62D6B">
        <w:trPr>
          <w:trHeight w:val="268"/>
          <w:jc w:val="center"/>
        </w:trPr>
        <w:tc>
          <w:tcPr>
            <w:tcW w:w="3294" w:type="dxa"/>
            <w:tcBorders>
              <w:top w:val="nil"/>
              <w:left w:val="nil"/>
              <w:bottom w:val="nil"/>
              <w:right w:val="single" w:sz="8" w:space="0" w:color="FFFFFF"/>
            </w:tcBorders>
            <w:shd w:val="clear" w:color="000000" w:fill="C0C0C0"/>
            <w:vAlign w:val="bottom"/>
            <w:hideMark/>
          </w:tcPr>
          <w:p w:rsidR="00B62D6B" w:rsidRPr="00106232" w:rsidRDefault="00B62D6B" w:rsidP="00B62D6B">
            <w:pPr>
              <w:rPr>
                <w:rFonts w:ascii="Arial" w:hAnsi="Arial" w:cs="Arial"/>
                <w:b/>
                <w:bCs/>
                <w:color w:val="000000"/>
                <w:sz w:val="18"/>
                <w:szCs w:val="18"/>
              </w:rPr>
            </w:pPr>
            <w:r w:rsidRPr="00106232">
              <w:rPr>
                <w:rFonts w:ascii="Arial" w:hAnsi="Arial" w:cs="Arial"/>
                <w:b/>
                <w:bCs/>
                <w:color w:val="000000"/>
                <w:sz w:val="18"/>
                <w:szCs w:val="18"/>
              </w:rPr>
              <w:t xml:space="preserve"> Total Expenditure</w:t>
            </w:r>
          </w:p>
        </w:tc>
        <w:tc>
          <w:tcPr>
            <w:tcW w:w="905" w:type="dxa"/>
            <w:tcBorders>
              <w:top w:val="nil"/>
              <w:left w:val="nil"/>
              <w:bottom w:val="nil"/>
              <w:right w:val="single" w:sz="8" w:space="0" w:color="FFFFFF"/>
            </w:tcBorders>
            <w:shd w:val="clear" w:color="000000" w:fill="C0C0C0"/>
            <w:vAlign w:val="bottom"/>
            <w:hideMark/>
          </w:tcPr>
          <w:p w:rsidR="00B62D6B" w:rsidRPr="00106232" w:rsidRDefault="00B62D6B" w:rsidP="00B62D6B">
            <w:pPr>
              <w:jc w:val="right"/>
              <w:rPr>
                <w:rFonts w:ascii="Arial" w:hAnsi="Arial" w:cs="Arial"/>
                <w:b/>
                <w:bCs/>
                <w:color w:val="000000"/>
                <w:sz w:val="18"/>
                <w:szCs w:val="18"/>
              </w:rPr>
            </w:pPr>
            <w:r w:rsidRPr="00106232">
              <w:rPr>
                <w:rFonts w:ascii="Arial" w:hAnsi="Arial" w:cs="Arial"/>
                <w:b/>
                <w:bCs/>
                <w:color w:val="000000"/>
                <w:sz w:val="18"/>
                <w:szCs w:val="18"/>
              </w:rPr>
              <w:t>8,136</w:t>
            </w:r>
          </w:p>
        </w:tc>
        <w:tc>
          <w:tcPr>
            <w:tcW w:w="828" w:type="dxa"/>
            <w:tcBorders>
              <w:top w:val="nil"/>
              <w:left w:val="nil"/>
              <w:bottom w:val="nil"/>
              <w:right w:val="single" w:sz="8" w:space="0" w:color="FFFFFF"/>
            </w:tcBorders>
            <w:shd w:val="clear" w:color="000000" w:fill="C0C0C0"/>
            <w:vAlign w:val="bottom"/>
            <w:hideMark/>
          </w:tcPr>
          <w:p w:rsidR="00B62D6B" w:rsidRPr="00106232" w:rsidRDefault="00B62D6B" w:rsidP="00B62D6B">
            <w:pPr>
              <w:jc w:val="right"/>
              <w:rPr>
                <w:rFonts w:ascii="Arial" w:hAnsi="Arial" w:cs="Arial"/>
                <w:b/>
                <w:bCs/>
                <w:color w:val="000000"/>
                <w:sz w:val="18"/>
                <w:szCs w:val="18"/>
              </w:rPr>
            </w:pPr>
            <w:r w:rsidRPr="00106232">
              <w:rPr>
                <w:rFonts w:ascii="Arial" w:hAnsi="Arial" w:cs="Arial"/>
                <w:b/>
                <w:bCs/>
                <w:color w:val="000000"/>
                <w:sz w:val="18"/>
                <w:szCs w:val="18"/>
              </w:rPr>
              <w:t>8,160</w:t>
            </w:r>
          </w:p>
        </w:tc>
        <w:tc>
          <w:tcPr>
            <w:tcW w:w="1050" w:type="dxa"/>
            <w:tcBorders>
              <w:top w:val="nil"/>
              <w:left w:val="nil"/>
              <w:bottom w:val="nil"/>
              <w:right w:val="single" w:sz="8" w:space="0" w:color="FFFFFF"/>
            </w:tcBorders>
            <w:shd w:val="clear" w:color="000000" w:fill="C0C0C0"/>
            <w:vAlign w:val="bottom"/>
            <w:hideMark/>
          </w:tcPr>
          <w:p w:rsidR="00B62D6B" w:rsidRPr="00106232" w:rsidRDefault="00B62D6B" w:rsidP="00B62D6B">
            <w:pPr>
              <w:jc w:val="right"/>
              <w:rPr>
                <w:rFonts w:ascii="Arial" w:hAnsi="Arial" w:cs="Arial"/>
                <w:b/>
                <w:bCs/>
                <w:color w:val="000000"/>
                <w:sz w:val="18"/>
                <w:szCs w:val="18"/>
              </w:rPr>
            </w:pPr>
            <w:r w:rsidRPr="00106232">
              <w:rPr>
                <w:rFonts w:ascii="Arial" w:hAnsi="Arial" w:cs="Arial"/>
                <w:b/>
                <w:bCs/>
                <w:color w:val="000000"/>
                <w:sz w:val="18"/>
                <w:szCs w:val="18"/>
              </w:rPr>
              <w:t>24</w:t>
            </w:r>
          </w:p>
        </w:tc>
        <w:tc>
          <w:tcPr>
            <w:tcW w:w="939" w:type="dxa"/>
            <w:tcBorders>
              <w:top w:val="nil"/>
              <w:left w:val="nil"/>
              <w:bottom w:val="nil"/>
              <w:right w:val="single" w:sz="8" w:space="0" w:color="FFFFFF"/>
            </w:tcBorders>
            <w:shd w:val="clear" w:color="000000" w:fill="C0C0C0"/>
            <w:vAlign w:val="bottom"/>
            <w:hideMark/>
          </w:tcPr>
          <w:p w:rsidR="00B62D6B" w:rsidRPr="00106232" w:rsidRDefault="00B62D6B" w:rsidP="00B62D6B">
            <w:pPr>
              <w:jc w:val="right"/>
              <w:rPr>
                <w:rFonts w:ascii="Arial" w:hAnsi="Arial" w:cs="Arial"/>
                <w:b/>
                <w:bCs/>
                <w:color w:val="000000"/>
                <w:sz w:val="18"/>
                <w:szCs w:val="18"/>
              </w:rPr>
            </w:pPr>
            <w:r w:rsidRPr="00106232">
              <w:rPr>
                <w:rFonts w:ascii="Arial" w:hAnsi="Arial" w:cs="Arial"/>
                <w:b/>
                <w:bCs/>
                <w:color w:val="000000"/>
                <w:sz w:val="18"/>
                <w:szCs w:val="18"/>
              </w:rPr>
              <w:t>12,960</w:t>
            </w:r>
          </w:p>
        </w:tc>
        <w:tc>
          <w:tcPr>
            <w:tcW w:w="883" w:type="dxa"/>
            <w:tcBorders>
              <w:top w:val="nil"/>
              <w:left w:val="nil"/>
              <w:bottom w:val="nil"/>
              <w:right w:val="single" w:sz="8" w:space="0" w:color="FFFFFF"/>
            </w:tcBorders>
            <w:shd w:val="clear" w:color="000000" w:fill="C0C0C0"/>
            <w:vAlign w:val="bottom"/>
            <w:hideMark/>
          </w:tcPr>
          <w:p w:rsidR="00B62D6B" w:rsidRPr="00106232" w:rsidRDefault="00B62D6B" w:rsidP="00B62D6B">
            <w:pPr>
              <w:jc w:val="right"/>
              <w:rPr>
                <w:rFonts w:ascii="Arial" w:hAnsi="Arial" w:cs="Arial"/>
                <w:b/>
                <w:bCs/>
                <w:color w:val="000000"/>
                <w:sz w:val="18"/>
                <w:szCs w:val="18"/>
              </w:rPr>
            </w:pPr>
            <w:r w:rsidRPr="00106232">
              <w:rPr>
                <w:rFonts w:ascii="Arial" w:hAnsi="Arial" w:cs="Arial"/>
                <w:b/>
                <w:bCs/>
                <w:color w:val="000000"/>
                <w:sz w:val="18"/>
                <w:szCs w:val="18"/>
              </w:rPr>
              <w:t>13,280</w:t>
            </w:r>
          </w:p>
        </w:tc>
        <w:tc>
          <w:tcPr>
            <w:tcW w:w="905" w:type="dxa"/>
            <w:tcBorders>
              <w:top w:val="nil"/>
              <w:left w:val="nil"/>
              <w:bottom w:val="nil"/>
              <w:right w:val="single" w:sz="8" w:space="0" w:color="FFFFFF"/>
            </w:tcBorders>
            <w:shd w:val="clear" w:color="000000" w:fill="C0C0C0"/>
            <w:vAlign w:val="bottom"/>
            <w:hideMark/>
          </w:tcPr>
          <w:p w:rsidR="00B62D6B" w:rsidRPr="00106232" w:rsidRDefault="00B62D6B" w:rsidP="00B62D6B">
            <w:pPr>
              <w:jc w:val="right"/>
              <w:rPr>
                <w:rFonts w:ascii="Arial" w:hAnsi="Arial" w:cs="Arial"/>
                <w:b/>
                <w:bCs/>
                <w:color w:val="000000"/>
                <w:sz w:val="18"/>
                <w:szCs w:val="18"/>
              </w:rPr>
            </w:pPr>
            <w:r w:rsidRPr="00106232">
              <w:rPr>
                <w:rFonts w:ascii="Arial" w:hAnsi="Arial" w:cs="Arial"/>
                <w:b/>
                <w:bCs/>
                <w:color w:val="000000"/>
                <w:sz w:val="18"/>
                <w:szCs w:val="18"/>
              </w:rPr>
              <w:t>13,256</w:t>
            </w:r>
          </w:p>
        </w:tc>
        <w:tc>
          <w:tcPr>
            <w:tcW w:w="1050" w:type="dxa"/>
            <w:tcBorders>
              <w:top w:val="nil"/>
              <w:left w:val="nil"/>
              <w:bottom w:val="nil"/>
              <w:right w:val="single" w:sz="8" w:space="0" w:color="FFFFFF"/>
            </w:tcBorders>
            <w:shd w:val="clear" w:color="000000" w:fill="C0C0C0"/>
            <w:vAlign w:val="bottom"/>
            <w:hideMark/>
          </w:tcPr>
          <w:p w:rsidR="00B62D6B" w:rsidRPr="00106232" w:rsidRDefault="00FB0C18" w:rsidP="00B62D6B">
            <w:pPr>
              <w:jc w:val="right"/>
              <w:rPr>
                <w:rFonts w:ascii="Arial" w:hAnsi="Arial" w:cs="Arial"/>
                <w:b/>
                <w:bCs/>
                <w:color w:val="000000"/>
                <w:sz w:val="18"/>
                <w:szCs w:val="18"/>
              </w:rPr>
            </w:pPr>
            <w:r>
              <w:rPr>
                <w:rFonts w:ascii="Arial" w:hAnsi="Arial" w:cs="Arial"/>
                <w:b/>
                <w:bCs/>
                <w:color w:val="000000"/>
                <w:sz w:val="18"/>
                <w:szCs w:val="18"/>
              </w:rPr>
              <w:t>13,106</w:t>
            </w:r>
          </w:p>
        </w:tc>
      </w:tr>
      <w:tr w:rsidR="00B62D6B" w:rsidRPr="00106232" w:rsidTr="00B62D6B">
        <w:trPr>
          <w:trHeight w:val="268"/>
          <w:jc w:val="center"/>
        </w:trPr>
        <w:tc>
          <w:tcPr>
            <w:tcW w:w="3294" w:type="dxa"/>
            <w:tcBorders>
              <w:top w:val="nil"/>
              <w:left w:val="nil"/>
              <w:bottom w:val="nil"/>
              <w:right w:val="nil"/>
            </w:tcBorders>
            <w:shd w:val="clear" w:color="auto" w:fill="auto"/>
            <w:noWrap/>
            <w:vAlign w:val="bottom"/>
            <w:hideMark/>
          </w:tcPr>
          <w:p w:rsidR="00B62D6B" w:rsidRPr="00106232" w:rsidRDefault="00B62D6B" w:rsidP="00B62D6B">
            <w:pPr>
              <w:rPr>
                <w:rFonts w:ascii="Calibri" w:hAnsi="Calibri" w:cs="Calibri"/>
                <w:color w:val="000000"/>
                <w:sz w:val="22"/>
                <w:szCs w:val="22"/>
              </w:rPr>
            </w:pPr>
          </w:p>
        </w:tc>
        <w:tc>
          <w:tcPr>
            <w:tcW w:w="905" w:type="dxa"/>
            <w:tcBorders>
              <w:top w:val="nil"/>
              <w:left w:val="nil"/>
              <w:bottom w:val="nil"/>
              <w:right w:val="nil"/>
            </w:tcBorders>
            <w:shd w:val="clear" w:color="auto" w:fill="auto"/>
            <w:noWrap/>
            <w:vAlign w:val="bottom"/>
            <w:hideMark/>
          </w:tcPr>
          <w:p w:rsidR="00B62D6B" w:rsidRPr="00106232" w:rsidRDefault="00B62D6B" w:rsidP="00B62D6B">
            <w:pPr>
              <w:rPr>
                <w:rFonts w:ascii="Calibri" w:hAnsi="Calibri" w:cs="Calibri"/>
                <w:color w:val="000000"/>
                <w:sz w:val="22"/>
                <w:szCs w:val="22"/>
              </w:rPr>
            </w:pPr>
          </w:p>
        </w:tc>
        <w:tc>
          <w:tcPr>
            <w:tcW w:w="828" w:type="dxa"/>
            <w:tcBorders>
              <w:top w:val="nil"/>
              <w:left w:val="nil"/>
              <w:bottom w:val="nil"/>
              <w:right w:val="nil"/>
            </w:tcBorders>
            <w:shd w:val="clear" w:color="auto" w:fill="auto"/>
            <w:noWrap/>
            <w:vAlign w:val="bottom"/>
            <w:hideMark/>
          </w:tcPr>
          <w:p w:rsidR="00B62D6B" w:rsidRPr="00106232" w:rsidRDefault="00B62D6B" w:rsidP="00B62D6B">
            <w:pPr>
              <w:rPr>
                <w:rFonts w:ascii="Calibri" w:hAnsi="Calibri" w:cs="Calibri"/>
                <w:color w:val="000000"/>
                <w:sz w:val="22"/>
                <w:szCs w:val="22"/>
              </w:rPr>
            </w:pPr>
          </w:p>
        </w:tc>
        <w:tc>
          <w:tcPr>
            <w:tcW w:w="1050" w:type="dxa"/>
            <w:tcBorders>
              <w:top w:val="nil"/>
              <w:left w:val="nil"/>
              <w:bottom w:val="nil"/>
              <w:right w:val="nil"/>
            </w:tcBorders>
            <w:shd w:val="clear" w:color="auto" w:fill="auto"/>
            <w:noWrap/>
            <w:vAlign w:val="bottom"/>
            <w:hideMark/>
          </w:tcPr>
          <w:p w:rsidR="00B62D6B" w:rsidRPr="00106232" w:rsidRDefault="00B62D6B" w:rsidP="00B62D6B">
            <w:pPr>
              <w:rPr>
                <w:rFonts w:ascii="Calibri" w:hAnsi="Calibri" w:cs="Calibri"/>
                <w:color w:val="000000"/>
                <w:sz w:val="22"/>
                <w:szCs w:val="22"/>
              </w:rPr>
            </w:pPr>
          </w:p>
        </w:tc>
        <w:tc>
          <w:tcPr>
            <w:tcW w:w="939" w:type="dxa"/>
            <w:tcBorders>
              <w:top w:val="nil"/>
              <w:left w:val="nil"/>
              <w:bottom w:val="nil"/>
              <w:right w:val="nil"/>
            </w:tcBorders>
            <w:shd w:val="clear" w:color="auto" w:fill="auto"/>
            <w:noWrap/>
            <w:vAlign w:val="bottom"/>
            <w:hideMark/>
          </w:tcPr>
          <w:p w:rsidR="00B62D6B" w:rsidRPr="00106232" w:rsidRDefault="00B62D6B" w:rsidP="00B62D6B">
            <w:pPr>
              <w:rPr>
                <w:rFonts w:ascii="Calibri" w:hAnsi="Calibri" w:cs="Calibri"/>
                <w:color w:val="000000"/>
                <w:sz w:val="22"/>
                <w:szCs w:val="22"/>
              </w:rPr>
            </w:pPr>
          </w:p>
        </w:tc>
        <w:tc>
          <w:tcPr>
            <w:tcW w:w="883" w:type="dxa"/>
            <w:tcBorders>
              <w:top w:val="nil"/>
              <w:left w:val="nil"/>
              <w:bottom w:val="nil"/>
              <w:right w:val="nil"/>
            </w:tcBorders>
            <w:shd w:val="clear" w:color="auto" w:fill="auto"/>
            <w:noWrap/>
            <w:vAlign w:val="bottom"/>
            <w:hideMark/>
          </w:tcPr>
          <w:p w:rsidR="00B62D6B" w:rsidRPr="00106232" w:rsidRDefault="00B62D6B" w:rsidP="00B62D6B">
            <w:pPr>
              <w:rPr>
                <w:rFonts w:ascii="Calibri" w:hAnsi="Calibri" w:cs="Calibri"/>
                <w:color w:val="000000"/>
                <w:sz w:val="22"/>
                <w:szCs w:val="22"/>
              </w:rPr>
            </w:pPr>
          </w:p>
        </w:tc>
        <w:tc>
          <w:tcPr>
            <w:tcW w:w="905" w:type="dxa"/>
            <w:tcBorders>
              <w:top w:val="nil"/>
              <w:left w:val="nil"/>
              <w:bottom w:val="nil"/>
              <w:right w:val="nil"/>
            </w:tcBorders>
            <w:shd w:val="clear" w:color="auto" w:fill="auto"/>
            <w:noWrap/>
            <w:vAlign w:val="bottom"/>
            <w:hideMark/>
          </w:tcPr>
          <w:p w:rsidR="00B62D6B" w:rsidRPr="00106232" w:rsidRDefault="00B62D6B" w:rsidP="00B62D6B">
            <w:pPr>
              <w:rPr>
                <w:rFonts w:ascii="Calibri" w:hAnsi="Calibri" w:cs="Calibri"/>
                <w:color w:val="000000"/>
                <w:sz w:val="22"/>
                <w:szCs w:val="22"/>
              </w:rPr>
            </w:pPr>
          </w:p>
        </w:tc>
        <w:tc>
          <w:tcPr>
            <w:tcW w:w="1050" w:type="dxa"/>
            <w:tcBorders>
              <w:top w:val="nil"/>
              <w:left w:val="nil"/>
              <w:bottom w:val="nil"/>
              <w:right w:val="nil"/>
            </w:tcBorders>
            <w:shd w:val="clear" w:color="auto" w:fill="auto"/>
            <w:noWrap/>
            <w:vAlign w:val="bottom"/>
            <w:hideMark/>
          </w:tcPr>
          <w:p w:rsidR="00B62D6B" w:rsidRPr="00106232" w:rsidRDefault="00B62D6B" w:rsidP="00B62D6B">
            <w:pPr>
              <w:rPr>
                <w:rFonts w:ascii="Calibri" w:hAnsi="Calibri" w:cs="Calibri"/>
                <w:color w:val="000000"/>
                <w:sz w:val="22"/>
                <w:szCs w:val="22"/>
              </w:rPr>
            </w:pPr>
          </w:p>
        </w:tc>
      </w:tr>
      <w:tr w:rsidR="00B62D6B" w:rsidRPr="00106232" w:rsidTr="00B62D6B">
        <w:trPr>
          <w:trHeight w:val="268"/>
          <w:jc w:val="center"/>
        </w:trPr>
        <w:tc>
          <w:tcPr>
            <w:tcW w:w="3294" w:type="dxa"/>
            <w:tcBorders>
              <w:top w:val="nil"/>
              <w:left w:val="nil"/>
              <w:bottom w:val="nil"/>
              <w:right w:val="single" w:sz="8" w:space="0" w:color="FFFFFF"/>
            </w:tcBorders>
            <w:shd w:val="clear" w:color="000000" w:fill="C0C0C0"/>
            <w:vAlign w:val="bottom"/>
            <w:hideMark/>
          </w:tcPr>
          <w:p w:rsidR="00B62D6B" w:rsidRPr="00106232" w:rsidRDefault="00B62D6B" w:rsidP="00B62D6B">
            <w:pPr>
              <w:rPr>
                <w:rFonts w:ascii="Arial" w:hAnsi="Arial" w:cs="Arial"/>
                <w:b/>
                <w:bCs/>
                <w:color w:val="000000"/>
                <w:sz w:val="18"/>
                <w:szCs w:val="18"/>
              </w:rPr>
            </w:pPr>
            <w:r w:rsidRPr="00106232">
              <w:rPr>
                <w:rFonts w:ascii="Arial" w:hAnsi="Arial" w:cs="Arial"/>
                <w:b/>
                <w:bCs/>
                <w:color w:val="000000"/>
                <w:sz w:val="18"/>
                <w:szCs w:val="18"/>
              </w:rPr>
              <w:t>Surplus /Deficit</w:t>
            </w:r>
          </w:p>
        </w:tc>
        <w:tc>
          <w:tcPr>
            <w:tcW w:w="905" w:type="dxa"/>
            <w:tcBorders>
              <w:top w:val="nil"/>
              <w:left w:val="nil"/>
              <w:bottom w:val="nil"/>
              <w:right w:val="single" w:sz="8" w:space="0" w:color="FFFFFF"/>
            </w:tcBorders>
            <w:shd w:val="clear" w:color="000000" w:fill="C0C0C0"/>
            <w:vAlign w:val="bottom"/>
            <w:hideMark/>
          </w:tcPr>
          <w:p w:rsidR="00B62D6B" w:rsidRPr="00106232" w:rsidRDefault="00B62D6B" w:rsidP="00B62D6B">
            <w:pPr>
              <w:jc w:val="right"/>
              <w:rPr>
                <w:rFonts w:ascii="Arial" w:hAnsi="Arial" w:cs="Arial"/>
                <w:b/>
                <w:bCs/>
                <w:color w:val="000000"/>
                <w:sz w:val="18"/>
                <w:szCs w:val="18"/>
              </w:rPr>
            </w:pPr>
            <w:r w:rsidRPr="00106232">
              <w:rPr>
                <w:rFonts w:ascii="Arial" w:hAnsi="Arial" w:cs="Arial"/>
                <w:b/>
                <w:bCs/>
                <w:color w:val="000000"/>
                <w:sz w:val="18"/>
                <w:szCs w:val="18"/>
              </w:rPr>
              <w:t>0</w:t>
            </w:r>
          </w:p>
        </w:tc>
        <w:tc>
          <w:tcPr>
            <w:tcW w:w="828" w:type="dxa"/>
            <w:tcBorders>
              <w:top w:val="nil"/>
              <w:left w:val="nil"/>
              <w:bottom w:val="nil"/>
              <w:right w:val="single" w:sz="8" w:space="0" w:color="FFFFFF"/>
            </w:tcBorders>
            <w:shd w:val="clear" w:color="000000" w:fill="C0C0C0"/>
            <w:vAlign w:val="bottom"/>
            <w:hideMark/>
          </w:tcPr>
          <w:p w:rsidR="00B62D6B" w:rsidRPr="00106232" w:rsidRDefault="00B62D6B" w:rsidP="00B62D6B">
            <w:pPr>
              <w:jc w:val="right"/>
              <w:rPr>
                <w:rFonts w:ascii="Arial" w:hAnsi="Arial" w:cs="Arial"/>
                <w:b/>
                <w:bCs/>
                <w:color w:val="000000"/>
                <w:sz w:val="18"/>
                <w:szCs w:val="18"/>
              </w:rPr>
            </w:pPr>
            <w:r w:rsidRPr="00106232">
              <w:rPr>
                <w:rFonts w:ascii="Arial" w:hAnsi="Arial" w:cs="Arial"/>
                <w:b/>
                <w:bCs/>
                <w:color w:val="000000"/>
                <w:sz w:val="18"/>
                <w:szCs w:val="18"/>
              </w:rPr>
              <w:t>0</w:t>
            </w:r>
          </w:p>
        </w:tc>
        <w:tc>
          <w:tcPr>
            <w:tcW w:w="1050" w:type="dxa"/>
            <w:tcBorders>
              <w:top w:val="nil"/>
              <w:left w:val="nil"/>
              <w:bottom w:val="nil"/>
              <w:right w:val="single" w:sz="8" w:space="0" w:color="FFFFFF"/>
            </w:tcBorders>
            <w:shd w:val="clear" w:color="000000" w:fill="C0C0C0"/>
            <w:vAlign w:val="bottom"/>
            <w:hideMark/>
          </w:tcPr>
          <w:p w:rsidR="00B62D6B" w:rsidRPr="00106232" w:rsidRDefault="00B62D6B" w:rsidP="00B62D6B">
            <w:pPr>
              <w:jc w:val="right"/>
              <w:rPr>
                <w:rFonts w:ascii="Arial" w:hAnsi="Arial" w:cs="Arial"/>
                <w:b/>
                <w:bCs/>
                <w:color w:val="000000"/>
                <w:sz w:val="18"/>
                <w:szCs w:val="18"/>
              </w:rPr>
            </w:pPr>
            <w:r w:rsidRPr="00106232">
              <w:rPr>
                <w:rFonts w:ascii="Arial" w:hAnsi="Arial" w:cs="Arial"/>
                <w:b/>
                <w:bCs/>
                <w:color w:val="000000"/>
                <w:sz w:val="18"/>
                <w:szCs w:val="18"/>
              </w:rPr>
              <w:t>0</w:t>
            </w:r>
          </w:p>
        </w:tc>
        <w:tc>
          <w:tcPr>
            <w:tcW w:w="939" w:type="dxa"/>
            <w:tcBorders>
              <w:top w:val="nil"/>
              <w:left w:val="nil"/>
              <w:bottom w:val="nil"/>
              <w:right w:val="single" w:sz="8" w:space="0" w:color="FFFFFF"/>
            </w:tcBorders>
            <w:shd w:val="clear" w:color="000000" w:fill="C0C0C0"/>
            <w:vAlign w:val="bottom"/>
            <w:hideMark/>
          </w:tcPr>
          <w:p w:rsidR="00B62D6B" w:rsidRPr="00106232" w:rsidRDefault="00B62D6B" w:rsidP="00B62D6B">
            <w:pPr>
              <w:jc w:val="right"/>
              <w:rPr>
                <w:rFonts w:ascii="Arial" w:hAnsi="Arial" w:cs="Arial"/>
                <w:b/>
                <w:bCs/>
                <w:color w:val="000000"/>
                <w:sz w:val="18"/>
                <w:szCs w:val="18"/>
              </w:rPr>
            </w:pPr>
            <w:r w:rsidRPr="00106232">
              <w:rPr>
                <w:rFonts w:ascii="Arial" w:hAnsi="Arial" w:cs="Arial"/>
                <w:b/>
                <w:bCs/>
                <w:color w:val="000000"/>
                <w:sz w:val="18"/>
                <w:szCs w:val="18"/>
              </w:rPr>
              <w:t>0</w:t>
            </w:r>
          </w:p>
        </w:tc>
        <w:tc>
          <w:tcPr>
            <w:tcW w:w="883" w:type="dxa"/>
            <w:tcBorders>
              <w:top w:val="nil"/>
              <w:left w:val="nil"/>
              <w:bottom w:val="nil"/>
              <w:right w:val="single" w:sz="8" w:space="0" w:color="FFFFFF"/>
            </w:tcBorders>
            <w:shd w:val="clear" w:color="000000" w:fill="C0C0C0"/>
            <w:vAlign w:val="bottom"/>
            <w:hideMark/>
          </w:tcPr>
          <w:p w:rsidR="00B62D6B" w:rsidRPr="00106232" w:rsidRDefault="00B62D6B" w:rsidP="00B62D6B">
            <w:pPr>
              <w:jc w:val="right"/>
              <w:rPr>
                <w:rFonts w:ascii="Arial" w:hAnsi="Arial" w:cs="Arial"/>
                <w:b/>
                <w:bCs/>
                <w:color w:val="000000"/>
                <w:sz w:val="18"/>
                <w:szCs w:val="18"/>
              </w:rPr>
            </w:pPr>
            <w:r w:rsidRPr="00106232">
              <w:rPr>
                <w:rFonts w:ascii="Arial" w:hAnsi="Arial" w:cs="Arial"/>
                <w:b/>
                <w:bCs/>
                <w:color w:val="000000"/>
                <w:sz w:val="18"/>
                <w:szCs w:val="18"/>
              </w:rPr>
              <w:t>0</w:t>
            </w:r>
          </w:p>
        </w:tc>
        <w:tc>
          <w:tcPr>
            <w:tcW w:w="905" w:type="dxa"/>
            <w:tcBorders>
              <w:top w:val="nil"/>
              <w:left w:val="nil"/>
              <w:bottom w:val="nil"/>
              <w:right w:val="single" w:sz="8" w:space="0" w:color="FFFFFF"/>
            </w:tcBorders>
            <w:shd w:val="clear" w:color="000000" w:fill="C0C0C0"/>
            <w:vAlign w:val="bottom"/>
            <w:hideMark/>
          </w:tcPr>
          <w:p w:rsidR="00B62D6B" w:rsidRPr="00106232" w:rsidRDefault="00B62D6B" w:rsidP="00B62D6B">
            <w:pPr>
              <w:jc w:val="right"/>
              <w:rPr>
                <w:rFonts w:ascii="Arial" w:hAnsi="Arial" w:cs="Arial"/>
                <w:b/>
                <w:bCs/>
                <w:color w:val="000000"/>
                <w:sz w:val="18"/>
                <w:szCs w:val="18"/>
              </w:rPr>
            </w:pPr>
            <w:r w:rsidRPr="00106232">
              <w:rPr>
                <w:rFonts w:ascii="Arial" w:hAnsi="Arial" w:cs="Arial"/>
                <w:b/>
                <w:bCs/>
                <w:color w:val="000000"/>
                <w:sz w:val="18"/>
                <w:szCs w:val="18"/>
              </w:rPr>
              <w:t>0</w:t>
            </w:r>
          </w:p>
        </w:tc>
        <w:tc>
          <w:tcPr>
            <w:tcW w:w="1050" w:type="dxa"/>
            <w:tcBorders>
              <w:top w:val="nil"/>
              <w:left w:val="nil"/>
              <w:bottom w:val="nil"/>
              <w:right w:val="single" w:sz="8" w:space="0" w:color="FFFFFF"/>
            </w:tcBorders>
            <w:shd w:val="clear" w:color="000000" w:fill="C0C0C0"/>
            <w:vAlign w:val="bottom"/>
            <w:hideMark/>
          </w:tcPr>
          <w:p w:rsidR="00B62D6B" w:rsidRPr="00106232" w:rsidRDefault="00FB0C18" w:rsidP="00B62D6B">
            <w:pPr>
              <w:jc w:val="right"/>
              <w:rPr>
                <w:rFonts w:ascii="Arial" w:hAnsi="Arial" w:cs="Arial"/>
                <w:b/>
                <w:bCs/>
                <w:color w:val="000000"/>
                <w:sz w:val="18"/>
                <w:szCs w:val="18"/>
              </w:rPr>
            </w:pPr>
            <w:r>
              <w:rPr>
                <w:rFonts w:ascii="Arial" w:hAnsi="Arial" w:cs="Arial"/>
                <w:b/>
                <w:bCs/>
                <w:color w:val="000000"/>
                <w:sz w:val="18"/>
                <w:szCs w:val="18"/>
              </w:rPr>
              <w:t>-150</w:t>
            </w:r>
          </w:p>
        </w:tc>
      </w:tr>
    </w:tbl>
    <w:p w:rsidR="00F60486" w:rsidRDefault="00F60486" w:rsidP="007C5117">
      <w:pPr>
        <w:spacing w:after="200" w:line="276" w:lineRule="auto"/>
        <w:rPr>
          <w:rFonts w:ascii="Arial" w:hAnsi="Arial" w:cs="Arial"/>
          <w:b/>
          <w:sz w:val="22"/>
          <w:szCs w:val="22"/>
        </w:rPr>
      </w:pPr>
    </w:p>
    <w:p w:rsidR="00A50B6F" w:rsidRPr="00F60486" w:rsidRDefault="00F60486" w:rsidP="007C5117">
      <w:pPr>
        <w:spacing w:after="200" w:line="276" w:lineRule="auto"/>
        <w:rPr>
          <w:rFonts w:ascii="Arial" w:hAnsi="Arial" w:cs="Arial"/>
          <w:sz w:val="22"/>
          <w:szCs w:val="22"/>
        </w:rPr>
      </w:pPr>
      <w:r w:rsidRPr="00F60486">
        <w:rPr>
          <w:rFonts w:ascii="Arial" w:hAnsi="Arial" w:cs="Arial"/>
          <w:sz w:val="22"/>
          <w:szCs w:val="22"/>
        </w:rPr>
        <w:t xml:space="preserve">Revenue expenditure to the end of November was £8.16m within 1% of the budgeted </w:t>
      </w:r>
      <w:r w:rsidR="00A50B6F" w:rsidRPr="00F60486">
        <w:rPr>
          <w:rFonts w:ascii="Arial" w:hAnsi="Arial" w:cs="Arial"/>
          <w:sz w:val="22"/>
          <w:szCs w:val="22"/>
        </w:rPr>
        <w:t>outturn.</w:t>
      </w:r>
    </w:p>
    <w:p w:rsidR="00F60486" w:rsidRPr="00F60486" w:rsidRDefault="00F60486" w:rsidP="007C5117">
      <w:pPr>
        <w:spacing w:after="200" w:line="276" w:lineRule="auto"/>
        <w:rPr>
          <w:rFonts w:ascii="Arial" w:hAnsi="Arial" w:cs="Arial"/>
          <w:sz w:val="22"/>
          <w:szCs w:val="22"/>
        </w:rPr>
      </w:pPr>
      <w:r w:rsidRPr="00F60486">
        <w:rPr>
          <w:rFonts w:ascii="Arial" w:hAnsi="Arial" w:cs="Arial"/>
          <w:sz w:val="22"/>
          <w:szCs w:val="22"/>
        </w:rPr>
        <w:t>Improvements to financial management have been implemented (monthly forecasting, budget manager training, reserves scrutiny by SEMT</w:t>
      </w:r>
      <w:r w:rsidR="00FF2551">
        <w:rPr>
          <w:rFonts w:ascii="Arial" w:hAnsi="Arial" w:cs="Arial"/>
          <w:sz w:val="22"/>
          <w:szCs w:val="22"/>
        </w:rPr>
        <w:t xml:space="preserve">) </w:t>
      </w:r>
    </w:p>
    <w:p w:rsidR="00A50B6F" w:rsidRDefault="00F60486" w:rsidP="007C5117">
      <w:pPr>
        <w:spacing w:after="200" w:line="276" w:lineRule="auto"/>
        <w:rPr>
          <w:rFonts w:ascii="Arial" w:hAnsi="Arial" w:cs="Arial"/>
          <w:sz w:val="22"/>
          <w:szCs w:val="22"/>
        </w:rPr>
      </w:pPr>
      <w:r w:rsidRPr="00F60486">
        <w:rPr>
          <w:rFonts w:ascii="Arial" w:hAnsi="Arial" w:cs="Arial"/>
          <w:sz w:val="22"/>
          <w:szCs w:val="22"/>
        </w:rPr>
        <w:t xml:space="preserve">These interventions have challenged </w:t>
      </w:r>
      <w:r>
        <w:rPr>
          <w:rFonts w:ascii="Arial" w:hAnsi="Arial" w:cs="Arial"/>
          <w:sz w:val="22"/>
          <w:szCs w:val="22"/>
        </w:rPr>
        <w:t>our initial forecasts</w:t>
      </w:r>
      <w:r w:rsidRPr="00F60486">
        <w:rPr>
          <w:rFonts w:ascii="Arial" w:hAnsi="Arial" w:cs="Arial"/>
          <w:sz w:val="22"/>
          <w:szCs w:val="22"/>
        </w:rPr>
        <w:t xml:space="preserve"> on reserves projects and have indicated that there is a potential underspend on project activity </w:t>
      </w:r>
      <w:r>
        <w:rPr>
          <w:rFonts w:ascii="Arial" w:hAnsi="Arial" w:cs="Arial"/>
          <w:sz w:val="22"/>
          <w:szCs w:val="22"/>
        </w:rPr>
        <w:t xml:space="preserve">£100k - £200k.  At this stage more work is needed to quantify the scale of the underspend and what actions we can take to ensure that strategic and operationally important projects are delivered where other projects are being delayed / </w:t>
      </w:r>
      <w:proofErr w:type="spellStart"/>
      <w:r>
        <w:rPr>
          <w:rFonts w:ascii="Arial" w:hAnsi="Arial" w:cs="Arial"/>
          <w:sz w:val="22"/>
          <w:szCs w:val="22"/>
        </w:rPr>
        <w:t>superceded</w:t>
      </w:r>
      <w:proofErr w:type="spellEnd"/>
      <w:r>
        <w:rPr>
          <w:rFonts w:ascii="Arial" w:hAnsi="Arial" w:cs="Arial"/>
          <w:sz w:val="22"/>
          <w:szCs w:val="22"/>
        </w:rPr>
        <w:t xml:space="preserve"> by new projects (for example, </w:t>
      </w:r>
      <w:r w:rsidR="00C71DF6">
        <w:rPr>
          <w:rFonts w:ascii="Arial" w:hAnsi="Arial" w:cs="Arial"/>
          <w:sz w:val="22"/>
          <w:szCs w:val="22"/>
        </w:rPr>
        <w:t xml:space="preserve">potential upfront investment needed to implement the </w:t>
      </w:r>
      <w:r>
        <w:rPr>
          <w:rFonts w:ascii="Arial" w:hAnsi="Arial" w:cs="Arial"/>
          <w:sz w:val="22"/>
          <w:szCs w:val="22"/>
        </w:rPr>
        <w:t>service improvement programme).</w:t>
      </w:r>
    </w:p>
    <w:p w:rsidR="00F60486" w:rsidRDefault="00F60486" w:rsidP="007C5117">
      <w:pPr>
        <w:spacing w:after="200" w:line="276" w:lineRule="auto"/>
        <w:rPr>
          <w:rFonts w:ascii="Arial" w:hAnsi="Arial" w:cs="Arial"/>
          <w:sz w:val="22"/>
          <w:szCs w:val="22"/>
        </w:rPr>
      </w:pPr>
      <w:r>
        <w:rPr>
          <w:rFonts w:ascii="Arial" w:hAnsi="Arial" w:cs="Arial"/>
          <w:sz w:val="22"/>
          <w:szCs w:val="22"/>
        </w:rPr>
        <w:t xml:space="preserve">There is also concern that our emerging plans for 2017/18 will require a significantly greater level of budget allocation than </w:t>
      </w:r>
      <w:r w:rsidR="00C71DF6">
        <w:rPr>
          <w:rFonts w:ascii="Arial" w:hAnsi="Arial" w:cs="Arial"/>
          <w:sz w:val="22"/>
          <w:szCs w:val="22"/>
        </w:rPr>
        <w:t>will</w:t>
      </w:r>
      <w:r>
        <w:rPr>
          <w:rFonts w:ascii="Arial" w:hAnsi="Arial" w:cs="Arial"/>
          <w:sz w:val="22"/>
          <w:szCs w:val="22"/>
        </w:rPr>
        <w:t xml:space="preserve"> be available. Work is therefore underway to strategically prioritise our future plans and also consider whether there is a case to request this potential underspend for 2016/17 is ring-fenced for 2017/18 to deliver the service improvement programme and other strategic projects. </w:t>
      </w:r>
      <w:r w:rsidR="00643F97">
        <w:rPr>
          <w:rFonts w:ascii="Arial" w:hAnsi="Arial" w:cs="Arial"/>
          <w:sz w:val="22"/>
          <w:szCs w:val="22"/>
        </w:rPr>
        <w:t xml:space="preserve">This is the first time we have considered such a request which would need DH approval and is far from guaranteed given DH budget constraints this year. </w:t>
      </w:r>
    </w:p>
    <w:p w:rsidR="00FF2551" w:rsidRPr="00471EAB" w:rsidRDefault="00FF2551" w:rsidP="007C5117">
      <w:pPr>
        <w:spacing w:after="200" w:line="276" w:lineRule="auto"/>
        <w:rPr>
          <w:rFonts w:ascii="Arial" w:hAnsi="Arial" w:cs="Arial"/>
          <w:b/>
          <w:sz w:val="22"/>
          <w:szCs w:val="22"/>
        </w:rPr>
      </w:pPr>
      <w:r w:rsidRPr="00471EAB">
        <w:rPr>
          <w:rFonts w:ascii="Arial" w:hAnsi="Arial" w:cs="Arial"/>
          <w:b/>
          <w:sz w:val="22"/>
          <w:szCs w:val="22"/>
        </w:rPr>
        <w:t>Significant variances to note:</w:t>
      </w:r>
    </w:p>
    <w:p w:rsidR="00FF2551" w:rsidRDefault="00FF2551" w:rsidP="007C5117">
      <w:pPr>
        <w:spacing w:after="200" w:line="276" w:lineRule="auto"/>
        <w:rPr>
          <w:rFonts w:ascii="Arial" w:hAnsi="Arial" w:cs="Arial"/>
          <w:sz w:val="22"/>
          <w:szCs w:val="22"/>
        </w:rPr>
      </w:pPr>
      <w:r w:rsidRPr="00471EAB">
        <w:rPr>
          <w:rFonts w:ascii="Arial" w:hAnsi="Arial" w:cs="Arial"/>
          <w:b/>
          <w:sz w:val="22"/>
          <w:szCs w:val="22"/>
        </w:rPr>
        <w:t>Underspend on pay costs of £</w:t>
      </w:r>
      <w:r w:rsidR="00471EAB" w:rsidRPr="00471EAB">
        <w:rPr>
          <w:rFonts w:ascii="Arial" w:hAnsi="Arial" w:cs="Arial"/>
          <w:b/>
          <w:sz w:val="22"/>
          <w:szCs w:val="22"/>
        </w:rPr>
        <w:t>60k, 1.2% of budgeted costs</w:t>
      </w:r>
      <w:r w:rsidR="00471EAB">
        <w:rPr>
          <w:rFonts w:ascii="Arial" w:hAnsi="Arial" w:cs="Arial"/>
          <w:sz w:val="22"/>
          <w:szCs w:val="22"/>
        </w:rPr>
        <w:t xml:space="preserve"> </w:t>
      </w:r>
      <w:r w:rsidR="00471EAB">
        <w:rPr>
          <w:rFonts w:ascii="Arial" w:hAnsi="Arial" w:cs="Arial"/>
          <w:b/>
          <w:sz w:val="22"/>
          <w:szCs w:val="22"/>
        </w:rPr>
        <w:t>as at 30 November 2016</w:t>
      </w:r>
      <w:r w:rsidR="00471EAB">
        <w:rPr>
          <w:rFonts w:ascii="Arial" w:hAnsi="Arial" w:cs="Arial"/>
          <w:sz w:val="22"/>
          <w:szCs w:val="22"/>
        </w:rPr>
        <w:t xml:space="preserve"> </w:t>
      </w:r>
    </w:p>
    <w:p w:rsidR="00471EAB" w:rsidRDefault="00471EAB" w:rsidP="007C5117">
      <w:pPr>
        <w:spacing w:after="200" w:line="276" w:lineRule="auto"/>
        <w:rPr>
          <w:rFonts w:ascii="Arial" w:hAnsi="Arial" w:cs="Arial"/>
          <w:sz w:val="22"/>
          <w:szCs w:val="22"/>
        </w:rPr>
      </w:pPr>
      <w:r>
        <w:rPr>
          <w:rFonts w:ascii="Arial" w:hAnsi="Arial" w:cs="Arial"/>
          <w:sz w:val="22"/>
          <w:szCs w:val="22"/>
        </w:rPr>
        <w:t>Capacity issues have been addressed through the recruitment of 5 additional assessors to HRA approval</w:t>
      </w:r>
      <w:r w:rsidR="00107767">
        <w:rPr>
          <w:rFonts w:ascii="Arial" w:hAnsi="Arial" w:cs="Arial"/>
          <w:sz w:val="22"/>
          <w:szCs w:val="22"/>
        </w:rPr>
        <w:t xml:space="preserve">. </w:t>
      </w:r>
      <w:r>
        <w:rPr>
          <w:rFonts w:ascii="Arial" w:hAnsi="Arial" w:cs="Arial"/>
          <w:sz w:val="22"/>
          <w:szCs w:val="22"/>
        </w:rPr>
        <w:t xml:space="preserve">Additional temporary staff have also been agreed to address capacity issues in operations </w:t>
      </w:r>
      <w:r w:rsidR="00EB4F32">
        <w:rPr>
          <w:rFonts w:ascii="Arial" w:hAnsi="Arial" w:cs="Arial"/>
          <w:sz w:val="22"/>
          <w:szCs w:val="22"/>
        </w:rPr>
        <w:t>£44k (2.3%) underspend with</w:t>
      </w:r>
      <w:r>
        <w:rPr>
          <w:rFonts w:ascii="Arial" w:hAnsi="Arial" w:cs="Arial"/>
          <w:sz w:val="22"/>
          <w:szCs w:val="22"/>
        </w:rPr>
        <w:t xml:space="preserve"> permanent recruitment to these posts being considered as part of the service improvement programme. </w:t>
      </w:r>
    </w:p>
    <w:p w:rsidR="00EB4F32" w:rsidRDefault="00EB4F32" w:rsidP="007C5117">
      <w:pPr>
        <w:spacing w:after="200" w:line="276" w:lineRule="auto"/>
        <w:rPr>
          <w:rFonts w:ascii="Arial" w:hAnsi="Arial" w:cs="Arial"/>
          <w:b/>
          <w:sz w:val="22"/>
          <w:szCs w:val="22"/>
        </w:rPr>
      </w:pPr>
      <w:r w:rsidRPr="00EB4F32">
        <w:rPr>
          <w:rFonts w:ascii="Arial" w:hAnsi="Arial" w:cs="Arial"/>
          <w:b/>
          <w:sz w:val="22"/>
          <w:szCs w:val="22"/>
        </w:rPr>
        <w:t>Overspend on non-pay costs of £84k, 3.6% of budgeted costs as a</w:t>
      </w:r>
      <w:r w:rsidR="00B6318B">
        <w:rPr>
          <w:rFonts w:ascii="Arial" w:hAnsi="Arial" w:cs="Arial"/>
          <w:b/>
          <w:sz w:val="22"/>
          <w:szCs w:val="22"/>
        </w:rPr>
        <w:t>t</w:t>
      </w:r>
      <w:r w:rsidRPr="00EB4F32">
        <w:rPr>
          <w:rFonts w:ascii="Arial" w:hAnsi="Arial" w:cs="Arial"/>
          <w:b/>
          <w:sz w:val="22"/>
          <w:szCs w:val="22"/>
        </w:rPr>
        <w:t xml:space="preserve"> 30 November 2016</w:t>
      </w:r>
      <w:r w:rsidR="00B6318B">
        <w:rPr>
          <w:rFonts w:ascii="Arial" w:hAnsi="Arial" w:cs="Arial"/>
          <w:b/>
          <w:sz w:val="22"/>
          <w:szCs w:val="22"/>
        </w:rPr>
        <w:t xml:space="preserve">, predicted to turn to a £100k-£200k potential underspend by 31 March 2017. </w:t>
      </w:r>
    </w:p>
    <w:p w:rsidR="00107767" w:rsidRPr="00107767" w:rsidRDefault="00107767" w:rsidP="007C5117">
      <w:pPr>
        <w:spacing w:after="200" w:line="276" w:lineRule="auto"/>
        <w:rPr>
          <w:rFonts w:ascii="Arial" w:hAnsi="Arial" w:cs="Arial"/>
          <w:sz w:val="22"/>
          <w:szCs w:val="22"/>
        </w:rPr>
      </w:pPr>
      <w:r w:rsidRPr="00107767">
        <w:rPr>
          <w:rFonts w:ascii="Arial" w:hAnsi="Arial" w:cs="Arial"/>
          <w:sz w:val="22"/>
          <w:szCs w:val="22"/>
        </w:rPr>
        <w:t>Detailed work to quantify the potential underspend and create an action plan to address this is in progress and the Board will be updated at their meeting in Janu</w:t>
      </w:r>
      <w:r>
        <w:rPr>
          <w:rFonts w:ascii="Arial" w:hAnsi="Arial" w:cs="Arial"/>
          <w:sz w:val="22"/>
          <w:szCs w:val="22"/>
        </w:rPr>
        <w:t>a</w:t>
      </w:r>
      <w:r w:rsidRPr="00107767">
        <w:rPr>
          <w:rFonts w:ascii="Arial" w:hAnsi="Arial" w:cs="Arial"/>
          <w:sz w:val="22"/>
          <w:szCs w:val="22"/>
        </w:rPr>
        <w:t xml:space="preserve">ry. </w:t>
      </w:r>
    </w:p>
    <w:p w:rsidR="00B62D6B" w:rsidRPr="00195D4C" w:rsidRDefault="00195D4C" w:rsidP="007C5117">
      <w:pPr>
        <w:spacing w:after="200" w:line="276" w:lineRule="auto"/>
        <w:rPr>
          <w:rFonts w:ascii="Arial" w:hAnsi="Arial" w:cs="Arial"/>
          <w:b/>
          <w:sz w:val="22"/>
          <w:szCs w:val="22"/>
        </w:rPr>
      </w:pPr>
      <w:r>
        <w:rPr>
          <w:rFonts w:ascii="Arial" w:hAnsi="Arial" w:cs="Arial"/>
          <w:b/>
          <w:sz w:val="22"/>
          <w:szCs w:val="22"/>
        </w:rPr>
        <w:t>Capital expenditure</w:t>
      </w:r>
    </w:p>
    <w:tbl>
      <w:tblPr>
        <w:tblW w:w="9140" w:type="dxa"/>
        <w:tblInd w:w="98" w:type="dxa"/>
        <w:tblLook w:val="04A0" w:firstRow="1" w:lastRow="0" w:firstColumn="1" w:lastColumn="0" w:noHBand="0" w:noVBand="1"/>
      </w:tblPr>
      <w:tblGrid>
        <w:gridCol w:w="3779"/>
        <w:gridCol w:w="947"/>
        <w:gridCol w:w="947"/>
        <w:gridCol w:w="1066"/>
        <w:gridCol w:w="1028"/>
        <w:gridCol w:w="1373"/>
      </w:tblGrid>
      <w:tr w:rsidR="009E0DB1" w:rsidRPr="006102C2" w:rsidTr="009E0DB1">
        <w:trPr>
          <w:trHeight w:val="765"/>
        </w:trPr>
        <w:tc>
          <w:tcPr>
            <w:tcW w:w="3779" w:type="dxa"/>
            <w:vMerge w:val="restart"/>
            <w:tcBorders>
              <w:top w:val="single" w:sz="8" w:space="0" w:color="FFFFFF"/>
              <w:left w:val="single" w:sz="8" w:space="0" w:color="FFFFFF"/>
              <w:bottom w:val="single" w:sz="8" w:space="0" w:color="FFFFFF"/>
              <w:right w:val="single" w:sz="8" w:space="0" w:color="FFFFFF"/>
            </w:tcBorders>
            <w:shd w:val="clear" w:color="000000" w:fill="56008C"/>
            <w:vAlign w:val="center"/>
            <w:hideMark/>
          </w:tcPr>
          <w:p w:rsidR="009E0DB1" w:rsidRPr="006102C2" w:rsidRDefault="009E0DB1" w:rsidP="009E0DB1">
            <w:pPr>
              <w:rPr>
                <w:rFonts w:ascii="Arial" w:hAnsi="Arial" w:cs="Arial"/>
                <w:b/>
                <w:bCs/>
                <w:color w:val="FFFFFF"/>
                <w:sz w:val="20"/>
                <w:szCs w:val="20"/>
              </w:rPr>
            </w:pPr>
            <w:r w:rsidRPr="006102C2">
              <w:rPr>
                <w:rFonts w:ascii="Arial" w:hAnsi="Arial" w:cs="Arial"/>
                <w:b/>
                <w:bCs/>
                <w:color w:val="FFFFFF"/>
                <w:sz w:val="20"/>
                <w:szCs w:val="20"/>
              </w:rPr>
              <w:t>Plan initiative</w:t>
            </w:r>
          </w:p>
        </w:tc>
        <w:tc>
          <w:tcPr>
            <w:tcW w:w="947" w:type="dxa"/>
            <w:tcBorders>
              <w:top w:val="single" w:sz="8" w:space="0" w:color="FFFFFF"/>
              <w:left w:val="nil"/>
              <w:bottom w:val="nil"/>
              <w:right w:val="single" w:sz="8" w:space="0" w:color="FFFFFF"/>
            </w:tcBorders>
            <w:shd w:val="clear" w:color="000000" w:fill="56008C"/>
            <w:vAlign w:val="center"/>
            <w:hideMark/>
          </w:tcPr>
          <w:p w:rsidR="009E0DB1" w:rsidRPr="006102C2" w:rsidRDefault="009E0DB1" w:rsidP="009E0DB1">
            <w:pPr>
              <w:jc w:val="center"/>
              <w:rPr>
                <w:rFonts w:ascii="Arial" w:hAnsi="Arial" w:cs="Arial"/>
                <w:b/>
                <w:bCs/>
                <w:color w:val="FFFFFF"/>
                <w:sz w:val="20"/>
                <w:szCs w:val="20"/>
              </w:rPr>
            </w:pPr>
            <w:r w:rsidRPr="006102C2">
              <w:rPr>
                <w:rFonts w:ascii="Arial" w:hAnsi="Arial" w:cs="Arial"/>
                <w:b/>
                <w:bCs/>
                <w:color w:val="FFFFFF"/>
                <w:sz w:val="20"/>
                <w:szCs w:val="20"/>
              </w:rPr>
              <w:t>2016/17 plan</w:t>
            </w:r>
          </w:p>
        </w:tc>
        <w:tc>
          <w:tcPr>
            <w:tcW w:w="947" w:type="dxa"/>
            <w:tcBorders>
              <w:top w:val="single" w:sz="8" w:space="0" w:color="FFFFFF"/>
              <w:left w:val="nil"/>
              <w:bottom w:val="nil"/>
              <w:right w:val="nil"/>
            </w:tcBorders>
            <w:shd w:val="clear" w:color="000000" w:fill="56008C"/>
            <w:vAlign w:val="center"/>
            <w:hideMark/>
          </w:tcPr>
          <w:p w:rsidR="009E0DB1" w:rsidRPr="006102C2" w:rsidRDefault="009E0DB1" w:rsidP="009E0DB1">
            <w:pPr>
              <w:jc w:val="center"/>
              <w:rPr>
                <w:rFonts w:ascii="Arial" w:hAnsi="Arial" w:cs="Arial"/>
                <w:b/>
                <w:bCs/>
                <w:color w:val="FFFFFF"/>
                <w:sz w:val="20"/>
                <w:szCs w:val="20"/>
              </w:rPr>
            </w:pPr>
            <w:r w:rsidRPr="006102C2">
              <w:rPr>
                <w:rFonts w:ascii="Arial" w:hAnsi="Arial" w:cs="Arial"/>
                <w:b/>
                <w:bCs/>
                <w:color w:val="FFFFFF"/>
                <w:sz w:val="20"/>
                <w:szCs w:val="20"/>
              </w:rPr>
              <w:t>2016/17 budget to date</w:t>
            </w:r>
          </w:p>
        </w:tc>
        <w:tc>
          <w:tcPr>
            <w:tcW w:w="1066" w:type="dxa"/>
            <w:tcBorders>
              <w:top w:val="single" w:sz="8" w:space="0" w:color="FFFFFF"/>
              <w:left w:val="nil"/>
              <w:bottom w:val="nil"/>
              <w:right w:val="single" w:sz="8" w:space="0" w:color="FFFFFF"/>
            </w:tcBorders>
            <w:shd w:val="clear" w:color="000000" w:fill="56008C"/>
            <w:vAlign w:val="center"/>
            <w:hideMark/>
          </w:tcPr>
          <w:p w:rsidR="009E0DB1" w:rsidRPr="006102C2" w:rsidRDefault="009E0DB1" w:rsidP="009E0DB1">
            <w:pPr>
              <w:jc w:val="center"/>
              <w:rPr>
                <w:rFonts w:ascii="Arial" w:hAnsi="Arial" w:cs="Arial"/>
                <w:b/>
                <w:bCs/>
                <w:color w:val="FFFFFF"/>
                <w:sz w:val="20"/>
                <w:szCs w:val="20"/>
              </w:rPr>
            </w:pPr>
            <w:r w:rsidRPr="006102C2">
              <w:rPr>
                <w:rFonts w:ascii="Arial" w:hAnsi="Arial" w:cs="Arial"/>
                <w:b/>
                <w:bCs/>
                <w:color w:val="FFFFFF"/>
                <w:sz w:val="20"/>
                <w:szCs w:val="20"/>
              </w:rPr>
              <w:t>2016/17 actual</w:t>
            </w:r>
          </w:p>
        </w:tc>
        <w:tc>
          <w:tcPr>
            <w:tcW w:w="1028" w:type="dxa"/>
            <w:tcBorders>
              <w:top w:val="single" w:sz="8" w:space="0" w:color="FFFFFF"/>
              <w:left w:val="nil"/>
              <w:bottom w:val="nil"/>
              <w:right w:val="single" w:sz="8" w:space="0" w:color="FFFFFF"/>
            </w:tcBorders>
            <w:shd w:val="clear" w:color="000000" w:fill="56008C"/>
            <w:vAlign w:val="center"/>
            <w:hideMark/>
          </w:tcPr>
          <w:p w:rsidR="009E0DB1" w:rsidRPr="006102C2" w:rsidRDefault="009E0DB1" w:rsidP="009E0DB1">
            <w:pPr>
              <w:jc w:val="center"/>
              <w:rPr>
                <w:rFonts w:ascii="Arial" w:hAnsi="Arial" w:cs="Arial"/>
                <w:b/>
                <w:bCs/>
                <w:color w:val="FFFFFF"/>
                <w:sz w:val="20"/>
                <w:szCs w:val="20"/>
              </w:rPr>
            </w:pPr>
            <w:r w:rsidRPr="006102C2">
              <w:rPr>
                <w:rFonts w:ascii="Arial" w:hAnsi="Arial" w:cs="Arial"/>
                <w:b/>
                <w:bCs/>
                <w:color w:val="FFFFFF"/>
                <w:sz w:val="20"/>
                <w:szCs w:val="20"/>
              </w:rPr>
              <w:t xml:space="preserve">2016/17 variance </w:t>
            </w:r>
          </w:p>
        </w:tc>
        <w:tc>
          <w:tcPr>
            <w:tcW w:w="1373" w:type="dxa"/>
            <w:tcBorders>
              <w:top w:val="single" w:sz="8" w:space="0" w:color="FFFFFF"/>
              <w:left w:val="nil"/>
              <w:bottom w:val="nil"/>
              <w:right w:val="single" w:sz="8" w:space="0" w:color="FFFFFF"/>
            </w:tcBorders>
            <w:shd w:val="clear" w:color="000000" w:fill="56008C"/>
            <w:vAlign w:val="center"/>
            <w:hideMark/>
          </w:tcPr>
          <w:p w:rsidR="009E0DB1" w:rsidRPr="006102C2" w:rsidRDefault="009E0DB1" w:rsidP="009E0DB1">
            <w:pPr>
              <w:jc w:val="center"/>
              <w:rPr>
                <w:rFonts w:ascii="Arial" w:hAnsi="Arial" w:cs="Arial"/>
                <w:b/>
                <w:bCs/>
                <w:color w:val="FFFFFF"/>
                <w:sz w:val="20"/>
                <w:szCs w:val="20"/>
              </w:rPr>
            </w:pPr>
            <w:r w:rsidRPr="006102C2">
              <w:rPr>
                <w:rFonts w:ascii="Arial" w:hAnsi="Arial" w:cs="Arial"/>
                <w:b/>
                <w:bCs/>
                <w:color w:val="FFFFFF"/>
                <w:sz w:val="20"/>
                <w:szCs w:val="20"/>
              </w:rPr>
              <w:t>2016/17Year end Forecast</w:t>
            </w:r>
          </w:p>
        </w:tc>
      </w:tr>
      <w:tr w:rsidR="009E0DB1" w:rsidRPr="006102C2" w:rsidTr="009E0DB1">
        <w:trPr>
          <w:trHeight w:val="315"/>
        </w:trPr>
        <w:tc>
          <w:tcPr>
            <w:tcW w:w="3779" w:type="dxa"/>
            <w:vMerge/>
            <w:tcBorders>
              <w:top w:val="single" w:sz="8" w:space="0" w:color="FFFFFF"/>
              <w:left w:val="single" w:sz="8" w:space="0" w:color="FFFFFF"/>
              <w:bottom w:val="single" w:sz="8" w:space="0" w:color="FFFFFF"/>
              <w:right w:val="single" w:sz="8" w:space="0" w:color="FFFFFF"/>
            </w:tcBorders>
            <w:vAlign w:val="center"/>
            <w:hideMark/>
          </w:tcPr>
          <w:p w:rsidR="009E0DB1" w:rsidRPr="006102C2" w:rsidRDefault="009E0DB1" w:rsidP="009E0DB1">
            <w:pPr>
              <w:rPr>
                <w:rFonts w:ascii="Arial" w:hAnsi="Arial" w:cs="Arial"/>
                <w:b/>
                <w:bCs/>
                <w:color w:val="FFFFFF"/>
                <w:sz w:val="20"/>
                <w:szCs w:val="20"/>
              </w:rPr>
            </w:pPr>
          </w:p>
        </w:tc>
        <w:tc>
          <w:tcPr>
            <w:tcW w:w="947" w:type="dxa"/>
            <w:tcBorders>
              <w:top w:val="nil"/>
              <w:left w:val="nil"/>
              <w:bottom w:val="nil"/>
              <w:right w:val="single" w:sz="8" w:space="0" w:color="FFFFFF"/>
            </w:tcBorders>
            <w:shd w:val="clear" w:color="000000" w:fill="56008C"/>
            <w:vAlign w:val="center"/>
            <w:hideMark/>
          </w:tcPr>
          <w:p w:rsidR="009E0DB1" w:rsidRPr="006102C2" w:rsidRDefault="009E0DB1" w:rsidP="009E0DB1">
            <w:pPr>
              <w:jc w:val="center"/>
              <w:rPr>
                <w:rFonts w:ascii="Arial" w:hAnsi="Arial" w:cs="Arial"/>
                <w:b/>
                <w:bCs/>
                <w:color w:val="FFFFFF"/>
                <w:sz w:val="20"/>
                <w:szCs w:val="20"/>
              </w:rPr>
            </w:pPr>
            <w:r w:rsidRPr="006102C2">
              <w:rPr>
                <w:rFonts w:ascii="Arial" w:hAnsi="Arial" w:cs="Arial"/>
                <w:b/>
                <w:bCs/>
                <w:color w:val="FFFFFF"/>
                <w:sz w:val="20"/>
                <w:szCs w:val="20"/>
              </w:rPr>
              <w:t>£ '000</w:t>
            </w:r>
          </w:p>
        </w:tc>
        <w:tc>
          <w:tcPr>
            <w:tcW w:w="947" w:type="dxa"/>
            <w:tcBorders>
              <w:top w:val="nil"/>
              <w:left w:val="nil"/>
              <w:bottom w:val="nil"/>
              <w:right w:val="nil"/>
            </w:tcBorders>
            <w:shd w:val="clear" w:color="000000" w:fill="56008C"/>
            <w:vAlign w:val="center"/>
            <w:hideMark/>
          </w:tcPr>
          <w:p w:rsidR="009E0DB1" w:rsidRPr="006102C2" w:rsidRDefault="009E0DB1" w:rsidP="009E0DB1">
            <w:pPr>
              <w:jc w:val="center"/>
              <w:rPr>
                <w:rFonts w:ascii="Arial" w:hAnsi="Arial" w:cs="Arial"/>
                <w:b/>
                <w:bCs/>
                <w:color w:val="FFFFFF"/>
                <w:sz w:val="20"/>
                <w:szCs w:val="20"/>
              </w:rPr>
            </w:pPr>
            <w:r w:rsidRPr="006102C2">
              <w:rPr>
                <w:rFonts w:ascii="Arial" w:hAnsi="Arial" w:cs="Arial"/>
                <w:b/>
                <w:bCs/>
                <w:color w:val="FFFFFF"/>
                <w:sz w:val="20"/>
                <w:szCs w:val="20"/>
              </w:rPr>
              <w:t>£ '000</w:t>
            </w:r>
          </w:p>
        </w:tc>
        <w:tc>
          <w:tcPr>
            <w:tcW w:w="1066" w:type="dxa"/>
            <w:tcBorders>
              <w:top w:val="nil"/>
              <w:left w:val="nil"/>
              <w:bottom w:val="nil"/>
              <w:right w:val="single" w:sz="8" w:space="0" w:color="FFFFFF"/>
            </w:tcBorders>
            <w:shd w:val="clear" w:color="000000" w:fill="56008C"/>
            <w:vAlign w:val="center"/>
            <w:hideMark/>
          </w:tcPr>
          <w:p w:rsidR="009E0DB1" w:rsidRPr="006102C2" w:rsidRDefault="009E0DB1" w:rsidP="009E0DB1">
            <w:pPr>
              <w:jc w:val="center"/>
              <w:rPr>
                <w:rFonts w:ascii="Arial" w:hAnsi="Arial" w:cs="Arial"/>
                <w:b/>
                <w:bCs/>
                <w:color w:val="FFFFFF"/>
                <w:sz w:val="20"/>
                <w:szCs w:val="20"/>
              </w:rPr>
            </w:pPr>
            <w:r w:rsidRPr="006102C2">
              <w:rPr>
                <w:rFonts w:ascii="Arial" w:hAnsi="Arial" w:cs="Arial"/>
                <w:b/>
                <w:bCs/>
                <w:color w:val="FFFFFF"/>
                <w:sz w:val="20"/>
                <w:szCs w:val="20"/>
              </w:rPr>
              <w:t>£ '000</w:t>
            </w:r>
          </w:p>
        </w:tc>
        <w:tc>
          <w:tcPr>
            <w:tcW w:w="1028" w:type="dxa"/>
            <w:tcBorders>
              <w:top w:val="nil"/>
              <w:left w:val="nil"/>
              <w:bottom w:val="nil"/>
              <w:right w:val="single" w:sz="8" w:space="0" w:color="FFFFFF"/>
            </w:tcBorders>
            <w:shd w:val="clear" w:color="000000" w:fill="56008C"/>
            <w:vAlign w:val="center"/>
            <w:hideMark/>
          </w:tcPr>
          <w:p w:rsidR="009E0DB1" w:rsidRPr="006102C2" w:rsidRDefault="009E0DB1" w:rsidP="009E0DB1">
            <w:pPr>
              <w:jc w:val="center"/>
              <w:rPr>
                <w:rFonts w:ascii="Arial" w:hAnsi="Arial" w:cs="Arial"/>
                <w:b/>
                <w:bCs/>
                <w:color w:val="FFFFFF"/>
                <w:sz w:val="20"/>
                <w:szCs w:val="20"/>
              </w:rPr>
            </w:pPr>
            <w:r w:rsidRPr="006102C2">
              <w:rPr>
                <w:rFonts w:ascii="Arial" w:hAnsi="Arial" w:cs="Arial"/>
                <w:b/>
                <w:bCs/>
                <w:color w:val="FFFFFF"/>
                <w:sz w:val="20"/>
                <w:szCs w:val="20"/>
              </w:rPr>
              <w:t>£ '000</w:t>
            </w:r>
          </w:p>
        </w:tc>
        <w:tc>
          <w:tcPr>
            <w:tcW w:w="1373" w:type="dxa"/>
            <w:tcBorders>
              <w:top w:val="nil"/>
              <w:left w:val="nil"/>
              <w:bottom w:val="nil"/>
              <w:right w:val="single" w:sz="8" w:space="0" w:color="FFFFFF"/>
            </w:tcBorders>
            <w:shd w:val="clear" w:color="000000" w:fill="56008C"/>
            <w:vAlign w:val="center"/>
            <w:hideMark/>
          </w:tcPr>
          <w:p w:rsidR="009E0DB1" w:rsidRPr="006102C2" w:rsidRDefault="009E0DB1" w:rsidP="009E0DB1">
            <w:pPr>
              <w:jc w:val="center"/>
              <w:rPr>
                <w:rFonts w:ascii="Arial" w:hAnsi="Arial" w:cs="Arial"/>
                <w:b/>
                <w:bCs/>
                <w:color w:val="FFFFFF"/>
                <w:sz w:val="20"/>
                <w:szCs w:val="20"/>
              </w:rPr>
            </w:pPr>
            <w:r w:rsidRPr="006102C2">
              <w:rPr>
                <w:rFonts w:ascii="Arial" w:hAnsi="Arial" w:cs="Arial"/>
                <w:b/>
                <w:bCs/>
                <w:color w:val="FFFFFF"/>
                <w:sz w:val="20"/>
                <w:szCs w:val="20"/>
              </w:rPr>
              <w:t>£ '000</w:t>
            </w:r>
          </w:p>
        </w:tc>
      </w:tr>
      <w:tr w:rsidR="006E30B3" w:rsidRPr="006102C2" w:rsidTr="009E0DB1">
        <w:trPr>
          <w:trHeight w:val="315"/>
        </w:trPr>
        <w:tc>
          <w:tcPr>
            <w:tcW w:w="3779" w:type="dxa"/>
            <w:tcBorders>
              <w:top w:val="nil"/>
              <w:left w:val="single" w:sz="8" w:space="0" w:color="FFFFFF"/>
              <w:bottom w:val="single" w:sz="8" w:space="0" w:color="FFFFFF"/>
              <w:right w:val="single" w:sz="8" w:space="0" w:color="FFFFFF"/>
            </w:tcBorders>
            <w:shd w:val="clear" w:color="000000" w:fill="E28C05"/>
            <w:vAlign w:val="center"/>
            <w:hideMark/>
          </w:tcPr>
          <w:p w:rsidR="006E30B3" w:rsidRPr="006102C2" w:rsidRDefault="006E30B3" w:rsidP="009E0DB1">
            <w:pPr>
              <w:rPr>
                <w:rFonts w:ascii="Arial" w:hAnsi="Arial" w:cs="Arial"/>
                <w:color w:val="000000"/>
                <w:sz w:val="18"/>
                <w:szCs w:val="18"/>
              </w:rPr>
            </w:pPr>
            <w:r w:rsidRPr="006102C2">
              <w:rPr>
                <w:rFonts w:ascii="Arial" w:hAnsi="Arial" w:cs="Arial"/>
                <w:color w:val="000000"/>
                <w:sz w:val="18"/>
                <w:szCs w:val="18"/>
              </w:rPr>
              <w:t>HARP Developments</w:t>
            </w:r>
          </w:p>
        </w:tc>
        <w:tc>
          <w:tcPr>
            <w:tcW w:w="947" w:type="dxa"/>
            <w:tcBorders>
              <w:top w:val="nil"/>
              <w:left w:val="nil"/>
              <w:bottom w:val="single" w:sz="8" w:space="0" w:color="FFFFFF"/>
              <w:right w:val="single" w:sz="8" w:space="0" w:color="FFFFFF"/>
            </w:tcBorders>
            <w:shd w:val="clear" w:color="000000" w:fill="E28C05"/>
            <w:vAlign w:val="center"/>
            <w:hideMark/>
          </w:tcPr>
          <w:p w:rsidR="006E30B3" w:rsidRDefault="006E30B3" w:rsidP="009E0DB1">
            <w:pPr>
              <w:jc w:val="center"/>
              <w:rPr>
                <w:rFonts w:ascii="Arial" w:hAnsi="Arial" w:cs="Arial"/>
                <w:color w:val="000000"/>
                <w:sz w:val="18"/>
                <w:szCs w:val="18"/>
              </w:rPr>
            </w:pPr>
            <w:r>
              <w:rPr>
                <w:rFonts w:ascii="Arial" w:hAnsi="Arial" w:cs="Arial"/>
                <w:color w:val="000000"/>
                <w:sz w:val="18"/>
                <w:szCs w:val="18"/>
              </w:rPr>
              <w:t>215</w:t>
            </w:r>
          </w:p>
        </w:tc>
        <w:tc>
          <w:tcPr>
            <w:tcW w:w="947" w:type="dxa"/>
            <w:tcBorders>
              <w:top w:val="nil"/>
              <w:left w:val="nil"/>
              <w:bottom w:val="single" w:sz="8" w:space="0" w:color="FFFFFF"/>
              <w:right w:val="single" w:sz="8" w:space="0" w:color="FFFFFF"/>
            </w:tcBorders>
            <w:shd w:val="clear" w:color="000000" w:fill="E28C05"/>
            <w:vAlign w:val="center"/>
            <w:hideMark/>
          </w:tcPr>
          <w:p w:rsidR="006E30B3" w:rsidRDefault="006E30B3">
            <w:pPr>
              <w:jc w:val="center"/>
              <w:rPr>
                <w:rFonts w:ascii="Arial" w:hAnsi="Arial" w:cs="Arial"/>
                <w:color w:val="000000"/>
                <w:sz w:val="18"/>
                <w:szCs w:val="18"/>
              </w:rPr>
            </w:pPr>
            <w:r>
              <w:rPr>
                <w:rFonts w:ascii="Arial" w:hAnsi="Arial" w:cs="Arial"/>
                <w:color w:val="000000"/>
                <w:sz w:val="18"/>
                <w:szCs w:val="18"/>
              </w:rPr>
              <w:t>143</w:t>
            </w:r>
          </w:p>
        </w:tc>
        <w:tc>
          <w:tcPr>
            <w:tcW w:w="1066" w:type="dxa"/>
            <w:tcBorders>
              <w:top w:val="nil"/>
              <w:left w:val="nil"/>
              <w:bottom w:val="single" w:sz="8" w:space="0" w:color="FFFFFF"/>
              <w:right w:val="single" w:sz="8" w:space="0" w:color="FFFFFF"/>
            </w:tcBorders>
            <w:shd w:val="clear" w:color="000000" w:fill="E28C05"/>
            <w:vAlign w:val="center"/>
            <w:hideMark/>
          </w:tcPr>
          <w:p w:rsidR="006E30B3" w:rsidRDefault="006E30B3">
            <w:pPr>
              <w:jc w:val="center"/>
              <w:rPr>
                <w:rFonts w:ascii="Arial" w:hAnsi="Arial" w:cs="Arial"/>
                <w:color w:val="000000"/>
                <w:sz w:val="18"/>
                <w:szCs w:val="18"/>
              </w:rPr>
            </w:pPr>
            <w:r>
              <w:rPr>
                <w:rFonts w:ascii="Arial" w:hAnsi="Arial" w:cs="Arial"/>
                <w:color w:val="000000"/>
                <w:sz w:val="18"/>
                <w:szCs w:val="18"/>
              </w:rPr>
              <w:t>140</w:t>
            </w:r>
          </w:p>
        </w:tc>
        <w:tc>
          <w:tcPr>
            <w:tcW w:w="1028" w:type="dxa"/>
            <w:tcBorders>
              <w:top w:val="nil"/>
              <w:left w:val="nil"/>
              <w:bottom w:val="single" w:sz="8" w:space="0" w:color="FFFFFF"/>
              <w:right w:val="single" w:sz="8" w:space="0" w:color="FFFFFF"/>
            </w:tcBorders>
            <w:shd w:val="clear" w:color="000000" w:fill="E28C05"/>
            <w:vAlign w:val="center"/>
            <w:hideMark/>
          </w:tcPr>
          <w:p w:rsidR="006E30B3" w:rsidRDefault="006E30B3">
            <w:pPr>
              <w:jc w:val="center"/>
              <w:rPr>
                <w:rFonts w:ascii="Arial" w:hAnsi="Arial" w:cs="Arial"/>
                <w:color w:val="000000"/>
                <w:sz w:val="18"/>
                <w:szCs w:val="18"/>
              </w:rPr>
            </w:pPr>
            <w:r>
              <w:rPr>
                <w:rFonts w:ascii="Arial" w:hAnsi="Arial" w:cs="Arial"/>
                <w:color w:val="000000"/>
                <w:sz w:val="18"/>
                <w:szCs w:val="18"/>
              </w:rPr>
              <w:t>-3</w:t>
            </w:r>
          </w:p>
        </w:tc>
        <w:tc>
          <w:tcPr>
            <w:tcW w:w="1373" w:type="dxa"/>
            <w:tcBorders>
              <w:top w:val="nil"/>
              <w:left w:val="nil"/>
              <w:bottom w:val="single" w:sz="8" w:space="0" w:color="FFFFFF"/>
              <w:right w:val="single" w:sz="8" w:space="0" w:color="FFFFFF"/>
            </w:tcBorders>
            <w:shd w:val="clear" w:color="000000" w:fill="E28C05"/>
            <w:vAlign w:val="center"/>
            <w:hideMark/>
          </w:tcPr>
          <w:p w:rsidR="006E30B3" w:rsidRDefault="006E30B3">
            <w:pPr>
              <w:jc w:val="center"/>
              <w:rPr>
                <w:rFonts w:ascii="Arial" w:hAnsi="Arial" w:cs="Arial"/>
                <w:color w:val="000000"/>
                <w:sz w:val="18"/>
                <w:szCs w:val="18"/>
              </w:rPr>
            </w:pPr>
            <w:r>
              <w:rPr>
                <w:rFonts w:ascii="Arial" w:hAnsi="Arial" w:cs="Arial"/>
                <w:color w:val="000000"/>
                <w:sz w:val="18"/>
                <w:szCs w:val="18"/>
              </w:rPr>
              <w:t>212</w:t>
            </w:r>
          </w:p>
        </w:tc>
      </w:tr>
      <w:tr w:rsidR="006E30B3" w:rsidRPr="006102C2" w:rsidTr="009E0DB1">
        <w:trPr>
          <w:trHeight w:val="315"/>
        </w:trPr>
        <w:tc>
          <w:tcPr>
            <w:tcW w:w="3779" w:type="dxa"/>
            <w:tcBorders>
              <w:top w:val="nil"/>
              <w:left w:val="single" w:sz="8" w:space="0" w:color="FFFFFF"/>
              <w:bottom w:val="single" w:sz="8" w:space="0" w:color="FFFFFF"/>
              <w:right w:val="single" w:sz="8" w:space="0" w:color="FFFFFF"/>
            </w:tcBorders>
            <w:shd w:val="clear" w:color="000000" w:fill="E28C05"/>
            <w:vAlign w:val="center"/>
            <w:hideMark/>
          </w:tcPr>
          <w:p w:rsidR="006E30B3" w:rsidRPr="006102C2" w:rsidRDefault="006E30B3" w:rsidP="009E0DB1">
            <w:pPr>
              <w:rPr>
                <w:rFonts w:ascii="Arial" w:hAnsi="Arial" w:cs="Arial"/>
                <w:color w:val="000000"/>
                <w:sz w:val="18"/>
                <w:szCs w:val="18"/>
              </w:rPr>
            </w:pPr>
            <w:r w:rsidRPr="006102C2">
              <w:rPr>
                <w:rFonts w:ascii="Arial" w:hAnsi="Arial" w:cs="Arial"/>
                <w:color w:val="000000"/>
                <w:sz w:val="18"/>
                <w:szCs w:val="18"/>
              </w:rPr>
              <w:t>IRAS Developments</w:t>
            </w:r>
          </w:p>
        </w:tc>
        <w:tc>
          <w:tcPr>
            <w:tcW w:w="947" w:type="dxa"/>
            <w:tcBorders>
              <w:top w:val="nil"/>
              <w:left w:val="nil"/>
              <w:bottom w:val="single" w:sz="8" w:space="0" w:color="FFFFFF"/>
              <w:right w:val="single" w:sz="8" w:space="0" w:color="FFFFFF"/>
            </w:tcBorders>
            <w:shd w:val="clear" w:color="000000" w:fill="E28C05"/>
            <w:vAlign w:val="center"/>
            <w:hideMark/>
          </w:tcPr>
          <w:p w:rsidR="006E30B3" w:rsidRDefault="006E30B3" w:rsidP="009E0DB1">
            <w:pPr>
              <w:jc w:val="center"/>
              <w:rPr>
                <w:rFonts w:ascii="Arial" w:hAnsi="Arial" w:cs="Arial"/>
                <w:color w:val="000000"/>
                <w:sz w:val="18"/>
                <w:szCs w:val="18"/>
              </w:rPr>
            </w:pPr>
            <w:r>
              <w:rPr>
                <w:rFonts w:ascii="Arial" w:hAnsi="Arial" w:cs="Arial"/>
                <w:color w:val="000000"/>
                <w:sz w:val="18"/>
                <w:szCs w:val="18"/>
              </w:rPr>
              <w:t>362</w:t>
            </w:r>
          </w:p>
        </w:tc>
        <w:tc>
          <w:tcPr>
            <w:tcW w:w="947" w:type="dxa"/>
            <w:tcBorders>
              <w:top w:val="nil"/>
              <w:left w:val="nil"/>
              <w:bottom w:val="single" w:sz="8" w:space="0" w:color="FFFFFF"/>
              <w:right w:val="single" w:sz="8" w:space="0" w:color="FFFFFF"/>
            </w:tcBorders>
            <w:shd w:val="clear" w:color="000000" w:fill="E28C05"/>
            <w:vAlign w:val="center"/>
            <w:hideMark/>
          </w:tcPr>
          <w:p w:rsidR="006E30B3" w:rsidRDefault="006E30B3">
            <w:pPr>
              <w:jc w:val="center"/>
              <w:rPr>
                <w:rFonts w:ascii="Arial" w:hAnsi="Arial" w:cs="Arial"/>
                <w:color w:val="000000"/>
                <w:sz w:val="18"/>
                <w:szCs w:val="18"/>
              </w:rPr>
            </w:pPr>
            <w:r>
              <w:rPr>
                <w:rFonts w:ascii="Arial" w:hAnsi="Arial" w:cs="Arial"/>
                <w:color w:val="000000"/>
                <w:sz w:val="18"/>
                <w:szCs w:val="18"/>
              </w:rPr>
              <w:t>241</w:t>
            </w:r>
          </w:p>
        </w:tc>
        <w:tc>
          <w:tcPr>
            <w:tcW w:w="1066" w:type="dxa"/>
            <w:tcBorders>
              <w:top w:val="nil"/>
              <w:left w:val="nil"/>
              <w:bottom w:val="single" w:sz="8" w:space="0" w:color="FFFFFF"/>
              <w:right w:val="single" w:sz="8" w:space="0" w:color="FFFFFF"/>
            </w:tcBorders>
            <w:shd w:val="clear" w:color="000000" w:fill="E28C05"/>
            <w:vAlign w:val="center"/>
            <w:hideMark/>
          </w:tcPr>
          <w:p w:rsidR="006E30B3" w:rsidRDefault="006E30B3">
            <w:pPr>
              <w:jc w:val="center"/>
              <w:rPr>
                <w:rFonts w:ascii="Arial" w:hAnsi="Arial" w:cs="Arial"/>
                <w:color w:val="000000"/>
                <w:sz w:val="18"/>
                <w:szCs w:val="18"/>
              </w:rPr>
            </w:pPr>
            <w:r>
              <w:rPr>
                <w:rFonts w:ascii="Arial" w:hAnsi="Arial" w:cs="Arial"/>
                <w:color w:val="000000"/>
                <w:sz w:val="18"/>
                <w:szCs w:val="18"/>
              </w:rPr>
              <w:t>254</w:t>
            </w:r>
          </w:p>
        </w:tc>
        <w:tc>
          <w:tcPr>
            <w:tcW w:w="1028" w:type="dxa"/>
            <w:tcBorders>
              <w:top w:val="nil"/>
              <w:left w:val="nil"/>
              <w:bottom w:val="single" w:sz="8" w:space="0" w:color="FFFFFF"/>
              <w:right w:val="single" w:sz="8" w:space="0" w:color="FFFFFF"/>
            </w:tcBorders>
            <w:shd w:val="clear" w:color="000000" w:fill="E28C05"/>
            <w:vAlign w:val="center"/>
            <w:hideMark/>
          </w:tcPr>
          <w:p w:rsidR="006E30B3" w:rsidRDefault="006E30B3">
            <w:pPr>
              <w:jc w:val="center"/>
              <w:rPr>
                <w:rFonts w:ascii="Arial" w:hAnsi="Arial" w:cs="Arial"/>
                <w:color w:val="000000"/>
                <w:sz w:val="18"/>
                <w:szCs w:val="18"/>
              </w:rPr>
            </w:pPr>
            <w:r>
              <w:rPr>
                <w:rFonts w:ascii="Arial" w:hAnsi="Arial" w:cs="Arial"/>
                <w:color w:val="000000"/>
                <w:sz w:val="18"/>
                <w:szCs w:val="18"/>
              </w:rPr>
              <w:t>13</w:t>
            </w:r>
          </w:p>
        </w:tc>
        <w:tc>
          <w:tcPr>
            <w:tcW w:w="1373" w:type="dxa"/>
            <w:tcBorders>
              <w:top w:val="nil"/>
              <w:left w:val="nil"/>
              <w:bottom w:val="single" w:sz="8" w:space="0" w:color="FFFFFF"/>
              <w:right w:val="single" w:sz="8" w:space="0" w:color="FFFFFF"/>
            </w:tcBorders>
            <w:shd w:val="clear" w:color="000000" w:fill="E28C05"/>
            <w:vAlign w:val="center"/>
            <w:hideMark/>
          </w:tcPr>
          <w:p w:rsidR="006E30B3" w:rsidRDefault="006E30B3">
            <w:pPr>
              <w:jc w:val="center"/>
              <w:rPr>
                <w:rFonts w:ascii="Arial" w:hAnsi="Arial" w:cs="Arial"/>
                <w:color w:val="000000"/>
                <w:sz w:val="18"/>
                <w:szCs w:val="18"/>
              </w:rPr>
            </w:pPr>
            <w:r>
              <w:rPr>
                <w:rFonts w:ascii="Arial" w:hAnsi="Arial" w:cs="Arial"/>
                <w:color w:val="000000"/>
                <w:sz w:val="18"/>
                <w:szCs w:val="18"/>
              </w:rPr>
              <w:t>376</w:t>
            </w:r>
          </w:p>
        </w:tc>
      </w:tr>
      <w:tr w:rsidR="006E30B3" w:rsidRPr="006102C2" w:rsidTr="009E0DB1">
        <w:trPr>
          <w:trHeight w:val="315"/>
        </w:trPr>
        <w:tc>
          <w:tcPr>
            <w:tcW w:w="3779" w:type="dxa"/>
            <w:tcBorders>
              <w:top w:val="nil"/>
              <w:left w:val="single" w:sz="8" w:space="0" w:color="FFFFFF"/>
              <w:bottom w:val="single" w:sz="8" w:space="0" w:color="FFFFFF"/>
              <w:right w:val="single" w:sz="8" w:space="0" w:color="FFFFFF"/>
            </w:tcBorders>
            <w:shd w:val="clear" w:color="000000" w:fill="E28C05"/>
            <w:vAlign w:val="center"/>
            <w:hideMark/>
          </w:tcPr>
          <w:p w:rsidR="006E30B3" w:rsidRPr="006102C2" w:rsidRDefault="006E30B3" w:rsidP="009E0DB1">
            <w:pPr>
              <w:rPr>
                <w:rFonts w:ascii="Arial" w:hAnsi="Arial" w:cs="Arial"/>
                <w:color w:val="000000"/>
                <w:sz w:val="18"/>
                <w:szCs w:val="18"/>
              </w:rPr>
            </w:pPr>
            <w:r w:rsidRPr="006102C2">
              <w:rPr>
                <w:rFonts w:ascii="Arial" w:hAnsi="Arial" w:cs="Arial"/>
                <w:color w:val="000000"/>
                <w:sz w:val="18"/>
                <w:szCs w:val="18"/>
              </w:rPr>
              <w:t>IS Team – capitalised salaries</w:t>
            </w:r>
          </w:p>
        </w:tc>
        <w:tc>
          <w:tcPr>
            <w:tcW w:w="947" w:type="dxa"/>
            <w:tcBorders>
              <w:top w:val="nil"/>
              <w:left w:val="nil"/>
              <w:bottom w:val="single" w:sz="8" w:space="0" w:color="FFFFFF"/>
              <w:right w:val="single" w:sz="8" w:space="0" w:color="FFFFFF"/>
            </w:tcBorders>
            <w:shd w:val="clear" w:color="000000" w:fill="E28C05"/>
            <w:vAlign w:val="center"/>
            <w:hideMark/>
          </w:tcPr>
          <w:p w:rsidR="006E30B3" w:rsidRDefault="006E30B3" w:rsidP="009E0DB1">
            <w:pPr>
              <w:jc w:val="center"/>
              <w:rPr>
                <w:rFonts w:ascii="Arial" w:hAnsi="Arial" w:cs="Arial"/>
                <w:color w:val="000000"/>
                <w:sz w:val="18"/>
                <w:szCs w:val="18"/>
              </w:rPr>
            </w:pPr>
            <w:r>
              <w:rPr>
                <w:rFonts w:ascii="Arial" w:hAnsi="Arial" w:cs="Arial"/>
                <w:color w:val="000000"/>
                <w:sz w:val="18"/>
                <w:szCs w:val="18"/>
              </w:rPr>
              <w:t>155</w:t>
            </w:r>
          </w:p>
        </w:tc>
        <w:tc>
          <w:tcPr>
            <w:tcW w:w="947" w:type="dxa"/>
            <w:tcBorders>
              <w:top w:val="nil"/>
              <w:left w:val="nil"/>
              <w:bottom w:val="single" w:sz="8" w:space="0" w:color="FFFFFF"/>
              <w:right w:val="single" w:sz="8" w:space="0" w:color="FFFFFF"/>
            </w:tcBorders>
            <w:shd w:val="clear" w:color="000000" w:fill="E28C05"/>
            <w:vAlign w:val="center"/>
            <w:hideMark/>
          </w:tcPr>
          <w:p w:rsidR="006E30B3" w:rsidRDefault="006E30B3">
            <w:pPr>
              <w:jc w:val="center"/>
              <w:rPr>
                <w:rFonts w:ascii="Arial" w:hAnsi="Arial" w:cs="Arial"/>
                <w:color w:val="000000"/>
                <w:sz w:val="18"/>
                <w:szCs w:val="18"/>
              </w:rPr>
            </w:pPr>
            <w:r>
              <w:rPr>
                <w:rFonts w:ascii="Arial" w:hAnsi="Arial" w:cs="Arial"/>
                <w:color w:val="000000"/>
                <w:sz w:val="18"/>
                <w:szCs w:val="18"/>
              </w:rPr>
              <w:t>126</w:t>
            </w:r>
          </w:p>
        </w:tc>
        <w:tc>
          <w:tcPr>
            <w:tcW w:w="1066" w:type="dxa"/>
            <w:tcBorders>
              <w:top w:val="nil"/>
              <w:left w:val="nil"/>
              <w:bottom w:val="single" w:sz="8" w:space="0" w:color="FFFFFF"/>
              <w:right w:val="single" w:sz="8" w:space="0" w:color="FFFFFF"/>
            </w:tcBorders>
            <w:shd w:val="clear" w:color="000000" w:fill="E28C05"/>
            <w:vAlign w:val="center"/>
            <w:hideMark/>
          </w:tcPr>
          <w:p w:rsidR="006E30B3" w:rsidRDefault="006E30B3">
            <w:pPr>
              <w:jc w:val="center"/>
              <w:rPr>
                <w:rFonts w:ascii="Arial" w:hAnsi="Arial" w:cs="Arial"/>
                <w:color w:val="000000"/>
                <w:sz w:val="18"/>
                <w:szCs w:val="18"/>
              </w:rPr>
            </w:pPr>
            <w:r>
              <w:rPr>
                <w:rFonts w:ascii="Arial" w:hAnsi="Arial" w:cs="Arial"/>
                <w:color w:val="000000"/>
                <w:sz w:val="18"/>
                <w:szCs w:val="18"/>
              </w:rPr>
              <w:t>90</w:t>
            </w:r>
          </w:p>
        </w:tc>
        <w:tc>
          <w:tcPr>
            <w:tcW w:w="1028" w:type="dxa"/>
            <w:tcBorders>
              <w:top w:val="nil"/>
              <w:left w:val="nil"/>
              <w:bottom w:val="single" w:sz="8" w:space="0" w:color="FFFFFF"/>
              <w:right w:val="single" w:sz="8" w:space="0" w:color="FFFFFF"/>
            </w:tcBorders>
            <w:shd w:val="clear" w:color="000000" w:fill="E28C05"/>
            <w:vAlign w:val="center"/>
            <w:hideMark/>
          </w:tcPr>
          <w:p w:rsidR="006E30B3" w:rsidRDefault="006E30B3">
            <w:pPr>
              <w:jc w:val="center"/>
              <w:rPr>
                <w:rFonts w:ascii="Arial" w:hAnsi="Arial" w:cs="Arial"/>
                <w:color w:val="000000"/>
                <w:sz w:val="18"/>
                <w:szCs w:val="18"/>
              </w:rPr>
            </w:pPr>
            <w:r>
              <w:rPr>
                <w:rFonts w:ascii="Arial" w:hAnsi="Arial" w:cs="Arial"/>
                <w:color w:val="000000"/>
                <w:sz w:val="18"/>
                <w:szCs w:val="18"/>
              </w:rPr>
              <w:t>-36</w:t>
            </w:r>
          </w:p>
        </w:tc>
        <w:tc>
          <w:tcPr>
            <w:tcW w:w="1373" w:type="dxa"/>
            <w:tcBorders>
              <w:top w:val="nil"/>
              <w:left w:val="nil"/>
              <w:bottom w:val="single" w:sz="8" w:space="0" w:color="FFFFFF"/>
              <w:right w:val="single" w:sz="8" w:space="0" w:color="FFFFFF"/>
            </w:tcBorders>
            <w:shd w:val="clear" w:color="000000" w:fill="E28C05"/>
            <w:vAlign w:val="center"/>
            <w:hideMark/>
          </w:tcPr>
          <w:p w:rsidR="006E30B3" w:rsidRDefault="006E30B3">
            <w:pPr>
              <w:jc w:val="center"/>
              <w:rPr>
                <w:rFonts w:ascii="Arial" w:hAnsi="Arial" w:cs="Arial"/>
                <w:color w:val="000000"/>
                <w:sz w:val="18"/>
                <w:szCs w:val="18"/>
              </w:rPr>
            </w:pPr>
            <w:r>
              <w:rPr>
                <w:rFonts w:ascii="Arial" w:hAnsi="Arial" w:cs="Arial"/>
                <w:color w:val="000000"/>
                <w:sz w:val="18"/>
                <w:szCs w:val="18"/>
              </w:rPr>
              <w:t>126</w:t>
            </w:r>
          </w:p>
        </w:tc>
      </w:tr>
      <w:tr w:rsidR="009E0DB1" w:rsidRPr="006102C2" w:rsidTr="009E0DB1">
        <w:trPr>
          <w:trHeight w:val="315"/>
        </w:trPr>
        <w:tc>
          <w:tcPr>
            <w:tcW w:w="3779" w:type="dxa"/>
            <w:tcBorders>
              <w:top w:val="nil"/>
              <w:left w:val="single" w:sz="8" w:space="0" w:color="FFFFFF"/>
              <w:bottom w:val="single" w:sz="8" w:space="0" w:color="FFFFFF"/>
              <w:right w:val="single" w:sz="8" w:space="0" w:color="FFFFFF"/>
            </w:tcBorders>
            <w:shd w:val="clear" w:color="000000" w:fill="E28C05"/>
            <w:vAlign w:val="center"/>
            <w:hideMark/>
          </w:tcPr>
          <w:p w:rsidR="009E0DB1" w:rsidRPr="006102C2" w:rsidRDefault="009E0DB1" w:rsidP="009E0DB1">
            <w:pPr>
              <w:rPr>
                <w:rFonts w:ascii="Arial" w:hAnsi="Arial" w:cs="Arial"/>
                <w:color w:val="000000"/>
                <w:sz w:val="18"/>
                <w:szCs w:val="18"/>
              </w:rPr>
            </w:pPr>
            <w:r w:rsidRPr="006102C2">
              <w:rPr>
                <w:rFonts w:ascii="Arial" w:hAnsi="Arial" w:cs="Arial"/>
                <w:color w:val="000000"/>
                <w:sz w:val="18"/>
                <w:szCs w:val="18"/>
              </w:rPr>
              <w:t>Capital reserve</w:t>
            </w:r>
          </w:p>
        </w:tc>
        <w:tc>
          <w:tcPr>
            <w:tcW w:w="947" w:type="dxa"/>
            <w:tcBorders>
              <w:top w:val="nil"/>
              <w:left w:val="nil"/>
              <w:bottom w:val="single" w:sz="8" w:space="0" w:color="FFFFFF"/>
              <w:right w:val="single" w:sz="8" w:space="0" w:color="FFFFFF"/>
            </w:tcBorders>
            <w:shd w:val="clear" w:color="000000" w:fill="E28C05"/>
            <w:vAlign w:val="center"/>
            <w:hideMark/>
          </w:tcPr>
          <w:p w:rsidR="009E0DB1" w:rsidRPr="006102C2" w:rsidRDefault="009E0DB1" w:rsidP="009E0DB1">
            <w:pPr>
              <w:jc w:val="center"/>
              <w:rPr>
                <w:rFonts w:ascii="Arial" w:hAnsi="Arial" w:cs="Arial"/>
                <w:color w:val="000000"/>
                <w:sz w:val="18"/>
                <w:szCs w:val="18"/>
              </w:rPr>
            </w:pPr>
            <w:r w:rsidRPr="006102C2">
              <w:rPr>
                <w:rFonts w:ascii="Arial" w:hAnsi="Arial" w:cs="Arial"/>
                <w:color w:val="000000"/>
                <w:sz w:val="18"/>
                <w:szCs w:val="18"/>
              </w:rPr>
              <w:t>178</w:t>
            </w:r>
          </w:p>
        </w:tc>
        <w:tc>
          <w:tcPr>
            <w:tcW w:w="947" w:type="dxa"/>
            <w:tcBorders>
              <w:top w:val="nil"/>
              <w:left w:val="nil"/>
              <w:bottom w:val="single" w:sz="8" w:space="0" w:color="FFFFFF"/>
              <w:right w:val="single" w:sz="8" w:space="0" w:color="FFFFFF"/>
            </w:tcBorders>
            <w:shd w:val="clear" w:color="000000" w:fill="E28C05"/>
            <w:vAlign w:val="center"/>
            <w:hideMark/>
          </w:tcPr>
          <w:p w:rsidR="009E0DB1" w:rsidRPr="006102C2" w:rsidRDefault="009E0DB1" w:rsidP="009E0DB1">
            <w:pPr>
              <w:jc w:val="center"/>
              <w:rPr>
                <w:rFonts w:ascii="Arial" w:hAnsi="Arial" w:cs="Arial"/>
                <w:color w:val="000000"/>
                <w:sz w:val="18"/>
                <w:szCs w:val="18"/>
              </w:rPr>
            </w:pPr>
            <w:r w:rsidRPr="006102C2">
              <w:rPr>
                <w:rFonts w:ascii="Arial" w:hAnsi="Arial" w:cs="Arial"/>
                <w:color w:val="000000"/>
                <w:sz w:val="18"/>
                <w:szCs w:val="18"/>
              </w:rPr>
              <w:t> </w:t>
            </w:r>
            <w:r>
              <w:rPr>
                <w:rFonts w:ascii="Arial" w:hAnsi="Arial" w:cs="Arial"/>
                <w:color w:val="000000"/>
                <w:sz w:val="18"/>
                <w:szCs w:val="18"/>
              </w:rPr>
              <w:t>0</w:t>
            </w:r>
          </w:p>
        </w:tc>
        <w:tc>
          <w:tcPr>
            <w:tcW w:w="1066" w:type="dxa"/>
            <w:tcBorders>
              <w:top w:val="nil"/>
              <w:left w:val="nil"/>
              <w:bottom w:val="single" w:sz="8" w:space="0" w:color="FFFFFF"/>
              <w:right w:val="single" w:sz="8" w:space="0" w:color="FFFFFF"/>
            </w:tcBorders>
            <w:shd w:val="clear" w:color="000000" w:fill="E28C05"/>
            <w:vAlign w:val="center"/>
            <w:hideMark/>
          </w:tcPr>
          <w:p w:rsidR="009E0DB1" w:rsidRPr="006102C2" w:rsidRDefault="009E0DB1" w:rsidP="009E0DB1">
            <w:pPr>
              <w:jc w:val="center"/>
              <w:rPr>
                <w:rFonts w:ascii="Arial" w:hAnsi="Arial" w:cs="Arial"/>
                <w:color w:val="000000"/>
                <w:sz w:val="18"/>
                <w:szCs w:val="18"/>
              </w:rPr>
            </w:pPr>
            <w:r w:rsidRPr="006102C2">
              <w:rPr>
                <w:rFonts w:ascii="Arial" w:hAnsi="Arial" w:cs="Arial"/>
                <w:color w:val="000000"/>
                <w:sz w:val="18"/>
                <w:szCs w:val="18"/>
              </w:rPr>
              <w:t>0</w:t>
            </w:r>
          </w:p>
        </w:tc>
        <w:tc>
          <w:tcPr>
            <w:tcW w:w="1028" w:type="dxa"/>
            <w:tcBorders>
              <w:top w:val="nil"/>
              <w:left w:val="nil"/>
              <w:bottom w:val="single" w:sz="8" w:space="0" w:color="FFFFFF"/>
              <w:right w:val="single" w:sz="8" w:space="0" w:color="FFFFFF"/>
            </w:tcBorders>
            <w:shd w:val="clear" w:color="000000" w:fill="E28C05"/>
            <w:vAlign w:val="center"/>
            <w:hideMark/>
          </w:tcPr>
          <w:p w:rsidR="009E0DB1" w:rsidRPr="006102C2" w:rsidRDefault="009E0DB1" w:rsidP="009E0DB1">
            <w:pPr>
              <w:jc w:val="center"/>
              <w:rPr>
                <w:rFonts w:ascii="Arial" w:hAnsi="Arial" w:cs="Arial"/>
                <w:color w:val="000000"/>
                <w:sz w:val="18"/>
                <w:szCs w:val="18"/>
              </w:rPr>
            </w:pPr>
            <w:r w:rsidRPr="006102C2">
              <w:rPr>
                <w:rFonts w:ascii="Arial" w:hAnsi="Arial" w:cs="Arial"/>
                <w:color w:val="000000"/>
                <w:sz w:val="18"/>
                <w:szCs w:val="18"/>
              </w:rPr>
              <w:t>0</w:t>
            </w:r>
          </w:p>
        </w:tc>
        <w:tc>
          <w:tcPr>
            <w:tcW w:w="1373" w:type="dxa"/>
            <w:tcBorders>
              <w:top w:val="nil"/>
              <w:left w:val="nil"/>
              <w:bottom w:val="single" w:sz="8" w:space="0" w:color="FFFFFF"/>
              <w:right w:val="single" w:sz="8" w:space="0" w:color="FFFFFF"/>
            </w:tcBorders>
            <w:shd w:val="clear" w:color="000000" w:fill="E28C05"/>
            <w:vAlign w:val="center"/>
            <w:hideMark/>
          </w:tcPr>
          <w:p w:rsidR="009E0DB1" w:rsidRPr="006102C2" w:rsidRDefault="009E0DB1" w:rsidP="009E0DB1">
            <w:pPr>
              <w:jc w:val="center"/>
              <w:rPr>
                <w:rFonts w:ascii="Arial" w:hAnsi="Arial" w:cs="Arial"/>
                <w:color w:val="000000"/>
                <w:sz w:val="18"/>
                <w:szCs w:val="18"/>
              </w:rPr>
            </w:pPr>
            <w:r w:rsidRPr="006102C2">
              <w:rPr>
                <w:rFonts w:ascii="Arial" w:hAnsi="Arial" w:cs="Arial"/>
                <w:color w:val="000000"/>
                <w:sz w:val="18"/>
                <w:szCs w:val="18"/>
              </w:rPr>
              <w:t>55</w:t>
            </w:r>
          </w:p>
        </w:tc>
      </w:tr>
      <w:tr w:rsidR="006E30B3" w:rsidRPr="006102C2" w:rsidTr="009E0DB1">
        <w:trPr>
          <w:trHeight w:val="480"/>
        </w:trPr>
        <w:tc>
          <w:tcPr>
            <w:tcW w:w="3779" w:type="dxa"/>
            <w:tcBorders>
              <w:top w:val="nil"/>
              <w:left w:val="single" w:sz="8" w:space="0" w:color="FFFFFF"/>
              <w:bottom w:val="nil"/>
              <w:right w:val="single" w:sz="8" w:space="0" w:color="FFFFFF"/>
            </w:tcBorders>
            <w:shd w:val="clear" w:color="000000" w:fill="56008C"/>
            <w:vAlign w:val="center"/>
            <w:hideMark/>
          </w:tcPr>
          <w:p w:rsidR="006E30B3" w:rsidRPr="006102C2" w:rsidRDefault="006E30B3" w:rsidP="009E0DB1">
            <w:pPr>
              <w:rPr>
                <w:rFonts w:ascii="Arial" w:hAnsi="Arial" w:cs="Arial"/>
                <w:b/>
                <w:bCs/>
                <w:color w:val="FFFFFF"/>
                <w:sz w:val="18"/>
                <w:szCs w:val="18"/>
              </w:rPr>
            </w:pPr>
            <w:r w:rsidRPr="006102C2">
              <w:rPr>
                <w:rFonts w:ascii="Arial" w:hAnsi="Arial" w:cs="Arial"/>
                <w:b/>
                <w:bCs/>
                <w:color w:val="FFFFFF"/>
                <w:sz w:val="18"/>
                <w:szCs w:val="18"/>
              </w:rPr>
              <w:t>TOTAL AGREED FOLLOWING SPENDING REVIEW</w:t>
            </w:r>
          </w:p>
        </w:tc>
        <w:tc>
          <w:tcPr>
            <w:tcW w:w="947" w:type="dxa"/>
            <w:tcBorders>
              <w:top w:val="nil"/>
              <w:left w:val="single" w:sz="8" w:space="0" w:color="FFFFFF"/>
              <w:bottom w:val="nil"/>
              <w:right w:val="single" w:sz="8" w:space="0" w:color="FFFFFF"/>
            </w:tcBorders>
            <w:shd w:val="clear" w:color="000000" w:fill="56008C"/>
            <w:vAlign w:val="center"/>
            <w:hideMark/>
          </w:tcPr>
          <w:p w:rsidR="006E30B3" w:rsidRPr="006102C2" w:rsidRDefault="006E30B3" w:rsidP="009E0DB1">
            <w:pPr>
              <w:jc w:val="center"/>
              <w:rPr>
                <w:rFonts w:ascii="Arial" w:hAnsi="Arial" w:cs="Arial"/>
                <w:b/>
                <w:bCs/>
                <w:color w:val="FFFFFF"/>
                <w:sz w:val="18"/>
                <w:szCs w:val="18"/>
              </w:rPr>
            </w:pPr>
            <w:r w:rsidRPr="006102C2">
              <w:rPr>
                <w:rFonts w:ascii="Arial" w:hAnsi="Arial" w:cs="Arial"/>
                <w:b/>
                <w:bCs/>
                <w:color w:val="FFFFFF"/>
                <w:sz w:val="18"/>
                <w:szCs w:val="18"/>
              </w:rPr>
              <w:t>910</w:t>
            </w:r>
          </w:p>
        </w:tc>
        <w:tc>
          <w:tcPr>
            <w:tcW w:w="947" w:type="dxa"/>
            <w:tcBorders>
              <w:top w:val="nil"/>
              <w:left w:val="nil"/>
              <w:bottom w:val="nil"/>
              <w:right w:val="single" w:sz="8" w:space="0" w:color="FFFFFF"/>
            </w:tcBorders>
            <w:shd w:val="clear" w:color="000000" w:fill="56008C"/>
            <w:vAlign w:val="center"/>
            <w:hideMark/>
          </w:tcPr>
          <w:p w:rsidR="006E30B3" w:rsidRDefault="006E30B3">
            <w:pPr>
              <w:jc w:val="center"/>
              <w:rPr>
                <w:rFonts w:ascii="Arial" w:hAnsi="Arial" w:cs="Arial"/>
                <w:b/>
                <w:bCs/>
                <w:color w:val="FFFFFF"/>
                <w:sz w:val="18"/>
                <w:szCs w:val="18"/>
              </w:rPr>
            </w:pPr>
            <w:r>
              <w:rPr>
                <w:rFonts w:ascii="Arial" w:hAnsi="Arial" w:cs="Arial"/>
                <w:b/>
                <w:bCs/>
                <w:color w:val="FFFFFF"/>
                <w:sz w:val="18"/>
                <w:szCs w:val="18"/>
              </w:rPr>
              <w:t>510</w:t>
            </w:r>
          </w:p>
        </w:tc>
        <w:tc>
          <w:tcPr>
            <w:tcW w:w="1066" w:type="dxa"/>
            <w:tcBorders>
              <w:top w:val="nil"/>
              <w:left w:val="nil"/>
              <w:bottom w:val="nil"/>
              <w:right w:val="single" w:sz="8" w:space="0" w:color="FFFFFF"/>
            </w:tcBorders>
            <w:shd w:val="clear" w:color="000000" w:fill="56008C"/>
            <w:vAlign w:val="center"/>
            <w:hideMark/>
          </w:tcPr>
          <w:p w:rsidR="006E30B3" w:rsidRDefault="006E30B3">
            <w:pPr>
              <w:jc w:val="center"/>
              <w:rPr>
                <w:rFonts w:ascii="Arial" w:hAnsi="Arial" w:cs="Arial"/>
                <w:b/>
                <w:bCs/>
                <w:color w:val="FFFFFF"/>
                <w:sz w:val="18"/>
                <w:szCs w:val="18"/>
              </w:rPr>
            </w:pPr>
            <w:r>
              <w:rPr>
                <w:rFonts w:ascii="Arial" w:hAnsi="Arial" w:cs="Arial"/>
                <w:b/>
                <w:bCs/>
                <w:color w:val="FFFFFF"/>
                <w:sz w:val="18"/>
                <w:szCs w:val="18"/>
              </w:rPr>
              <w:t>484</w:t>
            </w:r>
          </w:p>
        </w:tc>
        <w:tc>
          <w:tcPr>
            <w:tcW w:w="1028" w:type="dxa"/>
            <w:tcBorders>
              <w:top w:val="nil"/>
              <w:left w:val="nil"/>
              <w:bottom w:val="nil"/>
              <w:right w:val="single" w:sz="8" w:space="0" w:color="FFFFFF"/>
            </w:tcBorders>
            <w:shd w:val="clear" w:color="000000" w:fill="56008C"/>
            <w:vAlign w:val="center"/>
            <w:hideMark/>
          </w:tcPr>
          <w:p w:rsidR="006E30B3" w:rsidRDefault="006E30B3">
            <w:pPr>
              <w:jc w:val="center"/>
              <w:rPr>
                <w:rFonts w:ascii="Arial" w:hAnsi="Arial" w:cs="Arial"/>
                <w:b/>
                <w:bCs/>
                <w:color w:val="FFFFFF"/>
                <w:sz w:val="18"/>
                <w:szCs w:val="18"/>
              </w:rPr>
            </w:pPr>
            <w:r>
              <w:rPr>
                <w:rFonts w:ascii="Arial" w:hAnsi="Arial" w:cs="Arial"/>
                <w:b/>
                <w:bCs/>
                <w:color w:val="FFFFFF"/>
                <w:sz w:val="18"/>
                <w:szCs w:val="18"/>
              </w:rPr>
              <w:t>-26</w:t>
            </w:r>
          </w:p>
        </w:tc>
        <w:tc>
          <w:tcPr>
            <w:tcW w:w="1373" w:type="dxa"/>
            <w:tcBorders>
              <w:top w:val="nil"/>
              <w:left w:val="nil"/>
              <w:bottom w:val="nil"/>
              <w:right w:val="single" w:sz="8" w:space="0" w:color="FFFFFF"/>
            </w:tcBorders>
            <w:shd w:val="clear" w:color="000000" w:fill="56008C"/>
            <w:vAlign w:val="center"/>
            <w:hideMark/>
          </w:tcPr>
          <w:p w:rsidR="006E30B3" w:rsidRPr="006102C2" w:rsidRDefault="006E30B3" w:rsidP="009E0DB1">
            <w:pPr>
              <w:jc w:val="center"/>
              <w:rPr>
                <w:rFonts w:ascii="Arial" w:hAnsi="Arial" w:cs="Arial"/>
                <w:b/>
                <w:bCs/>
                <w:color w:val="FFFFFF"/>
                <w:sz w:val="18"/>
                <w:szCs w:val="18"/>
              </w:rPr>
            </w:pPr>
            <w:r>
              <w:rPr>
                <w:rFonts w:ascii="Arial" w:hAnsi="Arial" w:cs="Arial"/>
                <w:b/>
                <w:bCs/>
                <w:color w:val="FFFFFF"/>
                <w:sz w:val="18"/>
                <w:szCs w:val="18"/>
              </w:rPr>
              <w:t>769</w:t>
            </w:r>
          </w:p>
        </w:tc>
      </w:tr>
    </w:tbl>
    <w:p w:rsidR="00A310F0" w:rsidRDefault="00A310F0" w:rsidP="007C5117">
      <w:pPr>
        <w:spacing w:after="200" w:line="276" w:lineRule="auto"/>
        <w:rPr>
          <w:rFonts w:ascii="Arial" w:hAnsi="Arial" w:cs="Arial"/>
          <w:b/>
          <w:sz w:val="22"/>
          <w:szCs w:val="22"/>
        </w:rPr>
      </w:pPr>
    </w:p>
    <w:p w:rsidR="006E30B3" w:rsidRDefault="006E30B3" w:rsidP="006E30B3">
      <w:pPr>
        <w:spacing w:after="200" w:line="276" w:lineRule="auto"/>
        <w:rPr>
          <w:rFonts w:ascii="Arial" w:hAnsi="Arial" w:cs="Arial"/>
          <w:sz w:val="22"/>
          <w:szCs w:val="22"/>
        </w:rPr>
      </w:pPr>
      <w:r>
        <w:rPr>
          <w:rFonts w:ascii="Arial" w:hAnsi="Arial" w:cs="Arial"/>
          <w:sz w:val="22"/>
          <w:szCs w:val="22"/>
        </w:rPr>
        <w:t xml:space="preserve">The forecast outturn </w:t>
      </w:r>
      <w:r w:rsidR="00F60486">
        <w:rPr>
          <w:rFonts w:ascii="Arial" w:hAnsi="Arial" w:cs="Arial"/>
          <w:sz w:val="22"/>
          <w:szCs w:val="22"/>
        </w:rPr>
        <w:t xml:space="preserve">full year outturn for capital continues </w:t>
      </w:r>
      <w:r>
        <w:rPr>
          <w:rFonts w:ascii="Arial" w:hAnsi="Arial" w:cs="Arial"/>
          <w:sz w:val="22"/>
          <w:szCs w:val="22"/>
        </w:rPr>
        <w:t>to indicate</w:t>
      </w:r>
      <w:r w:rsidR="007C5117">
        <w:rPr>
          <w:rFonts w:ascii="Arial" w:hAnsi="Arial" w:cs="Arial"/>
          <w:sz w:val="22"/>
          <w:szCs w:val="22"/>
        </w:rPr>
        <w:t xml:space="preserve"> a surplus of £1</w:t>
      </w:r>
      <w:r w:rsidR="009E0DB1">
        <w:rPr>
          <w:rFonts w:ascii="Arial" w:hAnsi="Arial" w:cs="Arial"/>
          <w:sz w:val="22"/>
          <w:szCs w:val="22"/>
        </w:rPr>
        <w:t>41</w:t>
      </w:r>
      <w:r w:rsidR="007C5117">
        <w:rPr>
          <w:rFonts w:ascii="Arial" w:hAnsi="Arial" w:cs="Arial"/>
          <w:sz w:val="22"/>
          <w:szCs w:val="22"/>
        </w:rPr>
        <w:t xml:space="preserve">k, </w:t>
      </w:r>
      <w:r w:rsidR="00F60486">
        <w:rPr>
          <w:rFonts w:ascii="Arial" w:hAnsi="Arial" w:cs="Arial"/>
          <w:sz w:val="22"/>
          <w:szCs w:val="22"/>
        </w:rPr>
        <w:t>due to the successful renegotiation</w:t>
      </w:r>
      <w:r w:rsidR="007C5117">
        <w:rPr>
          <w:rFonts w:ascii="Arial" w:hAnsi="Arial" w:cs="Arial"/>
          <w:sz w:val="22"/>
          <w:szCs w:val="22"/>
        </w:rPr>
        <w:t xml:space="preserve"> of the contract for the development of the HARP and </w:t>
      </w:r>
      <w:proofErr w:type="gramStart"/>
      <w:r w:rsidR="007C5117">
        <w:rPr>
          <w:rFonts w:ascii="Arial" w:hAnsi="Arial" w:cs="Arial"/>
          <w:sz w:val="22"/>
          <w:szCs w:val="22"/>
        </w:rPr>
        <w:t>IRAS</w:t>
      </w:r>
      <w:proofErr w:type="gramEnd"/>
      <w:r w:rsidR="007C5117">
        <w:rPr>
          <w:rFonts w:ascii="Arial" w:hAnsi="Arial" w:cs="Arial"/>
          <w:sz w:val="22"/>
          <w:szCs w:val="22"/>
        </w:rPr>
        <w:t xml:space="preserve"> system</w:t>
      </w:r>
      <w:r w:rsidR="00F60486">
        <w:rPr>
          <w:rFonts w:ascii="Arial" w:hAnsi="Arial" w:cs="Arial"/>
          <w:sz w:val="22"/>
          <w:szCs w:val="22"/>
        </w:rPr>
        <w:t xml:space="preserve"> generating unplanned savings. </w:t>
      </w:r>
      <w:r w:rsidR="00106232">
        <w:rPr>
          <w:rFonts w:ascii="Arial" w:hAnsi="Arial" w:cs="Arial"/>
          <w:sz w:val="22"/>
          <w:szCs w:val="22"/>
        </w:rPr>
        <w:t xml:space="preserve">The forecast </w:t>
      </w:r>
      <w:r w:rsidR="00F60486">
        <w:rPr>
          <w:rFonts w:ascii="Arial" w:hAnsi="Arial" w:cs="Arial"/>
          <w:sz w:val="22"/>
          <w:szCs w:val="22"/>
        </w:rPr>
        <w:t xml:space="preserve">also </w:t>
      </w:r>
      <w:r w:rsidR="00106232">
        <w:rPr>
          <w:rFonts w:ascii="Arial" w:hAnsi="Arial" w:cs="Arial"/>
          <w:sz w:val="22"/>
          <w:szCs w:val="22"/>
        </w:rPr>
        <w:t xml:space="preserve">includes </w:t>
      </w:r>
      <w:r>
        <w:rPr>
          <w:rFonts w:ascii="Arial" w:hAnsi="Arial" w:cs="Arial"/>
          <w:sz w:val="22"/>
          <w:szCs w:val="22"/>
        </w:rPr>
        <w:t>spend against the capital reserve which relates to the purchase of laptops</w:t>
      </w:r>
      <w:r w:rsidR="00F60486">
        <w:rPr>
          <w:rFonts w:ascii="Arial" w:hAnsi="Arial" w:cs="Arial"/>
          <w:sz w:val="22"/>
          <w:szCs w:val="22"/>
        </w:rPr>
        <w:t xml:space="preserve"> £80k, which have been reclassified from </w:t>
      </w:r>
      <w:r w:rsidR="00F60486">
        <w:rPr>
          <w:rFonts w:ascii="Arial" w:hAnsi="Arial" w:cs="Arial"/>
          <w:sz w:val="22"/>
          <w:szCs w:val="22"/>
        </w:rPr>
        <w:lastRenderedPageBreak/>
        <w:t>revenue expenditure this year on advice from our auditors. This has contributed to the potential underspend in revenue expenditure discussed above</w:t>
      </w:r>
      <w:r>
        <w:rPr>
          <w:rFonts w:ascii="Arial" w:hAnsi="Arial" w:cs="Arial"/>
          <w:sz w:val="22"/>
          <w:szCs w:val="22"/>
        </w:rPr>
        <w:t xml:space="preserve">.  </w:t>
      </w:r>
    </w:p>
    <w:p w:rsidR="007C5117" w:rsidRDefault="006B2E3C" w:rsidP="007C5117">
      <w:pPr>
        <w:spacing w:after="200" w:line="276" w:lineRule="auto"/>
        <w:rPr>
          <w:rFonts w:ascii="Arial" w:hAnsi="Arial" w:cs="Arial"/>
          <w:sz w:val="22"/>
          <w:szCs w:val="22"/>
        </w:rPr>
      </w:pPr>
      <w:r>
        <w:rPr>
          <w:rFonts w:ascii="Arial" w:hAnsi="Arial" w:cs="Arial"/>
          <w:sz w:val="22"/>
          <w:szCs w:val="22"/>
        </w:rPr>
        <w:t xml:space="preserve">DH have been informed of a potential surplus on the capital budget, but the HRA have not agreed for this to be returned for use in the wider system </w:t>
      </w:r>
      <w:r w:rsidR="007C5117">
        <w:rPr>
          <w:rFonts w:ascii="Arial" w:hAnsi="Arial" w:cs="Arial"/>
          <w:sz w:val="22"/>
          <w:szCs w:val="22"/>
        </w:rPr>
        <w:t>until the final position is known regarding planned investment linked to the EU portal, which may impact on the final year end position.</w:t>
      </w:r>
    </w:p>
    <w:p w:rsidR="007C5117" w:rsidRDefault="00192D07" w:rsidP="007C5117">
      <w:pPr>
        <w:spacing w:after="200" w:line="276" w:lineRule="auto"/>
        <w:rPr>
          <w:rFonts w:ascii="Arial" w:hAnsi="Arial" w:cs="Arial"/>
          <w:b/>
          <w:sz w:val="22"/>
          <w:szCs w:val="22"/>
        </w:rPr>
      </w:pPr>
      <w:r>
        <w:rPr>
          <w:rFonts w:ascii="Arial" w:hAnsi="Arial" w:cs="Arial"/>
          <w:b/>
          <w:sz w:val="22"/>
          <w:szCs w:val="22"/>
        </w:rPr>
        <w:t>C</w:t>
      </w:r>
      <w:r w:rsidR="007C5117" w:rsidRPr="00DE6E33">
        <w:rPr>
          <w:rFonts w:ascii="Arial" w:hAnsi="Arial" w:cs="Arial"/>
          <w:b/>
          <w:sz w:val="22"/>
          <w:szCs w:val="22"/>
        </w:rPr>
        <w:t>ash</w:t>
      </w:r>
      <w:r>
        <w:rPr>
          <w:rFonts w:ascii="Arial" w:hAnsi="Arial" w:cs="Arial"/>
          <w:b/>
          <w:sz w:val="22"/>
          <w:szCs w:val="22"/>
        </w:rPr>
        <w:t xml:space="preserve"> balances</w:t>
      </w:r>
    </w:p>
    <w:p w:rsidR="0035681C" w:rsidRPr="0035681C" w:rsidRDefault="00A7799B" w:rsidP="0035681C">
      <w:pPr>
        <w:tabs>
          <w:tab w:val="left" w:pos="2172"/>
        </w:tabs>
        <w:contextualSpacing/>
        <w:rPr>
          <w:rFonts w:ascii="Arial" w:hAnsi="Arial" w:cs="Arial"/>
          <w:sz w:val="22"/>
          <w:szCs w:val="22"/>
        </w:rPr>
      </w:pPr>
      <w:r w:rsidRPr="00B90EA0">
        <w:rPr>
          <w:rFonts w:ascii="Arial" w:hAnsi="Arial" w:cs="Arial"/>
          <w:sz w:val="22"/>
          <w:szCs w:val="22"/>
        </w:rPr>
        <w:t>At the end of the reporting period, the cash balance was £</w:t>
      </w:r>
      <w:r>
        <w:rPr>
          <w:rFonts w:ascii="Arial" w:hAnsi="Arial" w:cs="Arial"/>
          <w:sz w:val="22"/>
          <w:szCs w:val="22"/>
        </w:rPr>
        <w:t>2.</w:t>
      </w:r>
      <w:r w:rsidR="006E30B3">
        <w:rPr>
          <w:rFonts w:ascii="Arial" w:hAnsi="Arial" w:cs="Arial"/>
          <w:sz w:val="22"/>
          <w:szCs w:val="22"/>
        </w:rPr>
        <w:t>998</w:t>
      </w:r>
      <w:r w:rsidRPr="00B90EA0">
        <w:rPr>
          <w:rFonts w:ascii="Arial" w:hAnsi="Arial" w:cs="Arial"/>
          <w:sz w:val="22"/>
          <w:szCs w:val="22"/>
        </w:rPr>
        <w:t>m</w:t>
      </w:r>
      <w:r>
        <w:rPr>
          <w:rFonts w:ascii="Arial" w:hAnsi="Arial" w:cs="Arial"/>
          <w:sz w:val="22"/>
          <w:szCs w:val="22"/>
        </w:rPr>
        <w:t xml:space="preserve">.  </w:t>
      </w:r>
      <w:r w:rsidR="007C5117">
        <w:rPr>
          <w:rFonts w:ascii="Arial" w:hAnsi="Arial" w:cs="Arial"/>
          <w:sz w:val="22"/>
          <w:szCs w:val="22"/>
        </w:rPr>
        <w:t>The forecast cash balance at t</w:t>
      </w:r>
      <w:r>
        <w:rPr>
          <w:rFonts w:ascii="Arial" w:hAnsi="Arial" w:cs="Arial"/>
          <w:sz w:val="22"/>
          <w:szCs w:val="22"/>
        </w:rPr>
        <w:t xml:space="preserve">he end </w:t>
      </w:r>
      <w:r w:rsidR="0035681C">
        <w:rPr>
          <w:rFonts w:ascii="Arial" w:hAnsi="Arial" w:cs="Arial"/>
          <w:sz w:val="22"/>
          <w:szCs w:val="22"/>
        </w:rPr>
        <w:t xml:space="preserve">of March 2017 is £3.195m.  </w:t>
      </w:r>
    </w:p>
    <w:p w:rsidR="00192D07" w:rsidRDefault="00192D07" w:rsidP="00951DD0">
      <w:pPr>
        <w:pStyle w:val="ListParagraph"/>
        <w:spacing w:line="276" w:lineRule="auto"/>
        <w:ind w:left="0"/>
        <w:rPr>
          <w:rFonts w:ascii="Arial" w:hAnsi="Arial" w:cs="Arial"/>
          <w:b/>
          <w:sz w:val="22"/>
          <w:szCs w:val="22"/>
        </w:rPr>
      </w:pPr>
    </w:p>
    <w:p w:rsidR="00DD6897" w:rsidRDefault="00192D07" w:rsidP="00951DD0">
      <w:pPr>
        <w:pStyle w:val="ListParagraph"/>
        <w:spacing w:line="276" w:lineRule="auto"/>
        <w:ind w:left="0"/>
        <w:rPr>
          <w:rFonts w:ascii="Arial" w:hAnsi="Arial" w:cs="Arial"/>
          <w:b/>
          <w:sz w:val="22"/>
          <w:szCs w:val="22"/>
        </w:rPr>
      </w:pPr>
      <w:r>
        <w:rPr>
          <w:rFonts w:ascii="Arial" w:hAnsi="Arial" w:cs="Arial"/>
          <w:b/>
          <w:sz w:val="22"/>
          <w:szCs w:val="22"/>
        </w:rPr>
        <w:t>B</w:t>
      </w:r>
      <w:r w:rsidR="00DD6897">
        <w:rPr>
          <w:rFonts w:ascii="Arial" w:hAnsi="Arial" w:cs="Arial"/>
          <w:b/>
          <w:sz w:val="22"/>
          <w:szCs w:val="22"/>
        </w:rPr>
        <w:t>etter payments performance</w:t>
      </w:r>
      <w:r w:rsidR="00996C5F">
        <w:rPr>
          <w:rFonts w:ascii="Arial" w:hAnsi="Arial" w:cs="Arial"/>
          <w:b/>
          <w:sz w:val="22"/>
          <w:szCs w:val="22"/>
        </w:rPr>
        <w:t xml:space="preserve"> </w:t>
      </w:r>
    </w:p>
    <w:p w:rsidR="0035681C" w:rsidRPr="0035681C" w:rsidRDefault="0035681C" w:rsidP="00951DD0">
      <w:pPr>
        <w:pStyle w:val="ListParagraph"/>
        <w:spacing w:line="276" w:lineRule="auto"/>
        <w:ind w:left="0"/>
        <w:rPr>
          <w:rFonts w:ascii="Arial" w:hAnsi="Arial" w:cs="Arial"/>
          <w:sz w:val="22"/>
          <w:szCs w:val="22"/>
        </w:rPr>
      </w:pPr>
      <w:r>
        <w:rPr>
          <w:rFonts w:ascii="Arial" w:hAnsi="Arial" w:cs="Arial"/>
          <w:sz w:val="22"/>
          <w:szCs w:val="22"/>
        </w:rPr>
        <w:t>The HRA has continued to meet the duty to pay 95% of invoices in 30 days, also maintaining the internal stretched target of paying 60% of suppliers in 10 days.</w:t>
      </w:r>
      <w:r w:rsidR="00643F97">
        <w:rPr>
          <w:rFonts w:ascii="Arial" w:hAnsi="Arial" w:cs="Arial"/>
          <w:sz w:val="22"/>
          <w:szCs w:val="22"/>
        </w:rPr>
        <w:t xml:space="preserve"> The table below shows our KPIs against number of invoices and total value of invoices paid. </w:t>
      </w:r>
    </w:p>
    <w:p w:rsidR="0035681C" w:rsidRDefault="0035681C" w:rsidP="00951DD0">
      <w:pPr>
        <w:pStyle w:val="ListParagraph"/>
        <w:spacing w:line="276" w:lineRule="auto"/>
        <w:ind w:left="0"/>
        <w:rPr>
          <w:rFonts w:ascii="Arial" w:hAnsi="Arial" w:cs="Arial"/>
          <w:b/>
          <w:sz w:val="22"/>
          <w:szCs w:val="22"/>
        </w:rPr>
      </w:pPr>
    </w:p>
    <w:tbl>
      <w:tblPr>
        <w:tblW w:w="7538" w:type="dxa"/>
        <w:jc w:val="center"/>
        <w:tblInd w:w="-398" w:type="dxa"/>
        <w:tblLook w:val="04A0" w:firstRow="1" w:lastRow="0" w:firstColumn="1" w:lastColumn="0" w:noHBand="0" w:noVBand="1"/>
      </w:tblPr>
      <w:tblGrid>
        <w:gridCol w:w="2916"/>
        <w:gridCol w:w="982"/>
        <w:gridCol w:w="1160"/>
        <w:gridCol w:w="1320"/>
        <w:gridCol w:w="1160"/>
      </w:tblGrid>
      <w:tr w:rsidR="0035681C" w:rsidRPr="00236B2E" w:rsidTr="00192D07">
        <w:trPr>
          <w:trHeight w:val="537"/>
          <w:jc w:val="center"/>
        </w:trPr>
        <w:tc>
          <w:tcPr>
            <w:tcW w:w="291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5681C" w:rsidRPr="00236B2E" w:rsidRDefault="0035681C" w:rsidP="00655157">
            <w:pPr>
              <w:rPr>
                <w:rFonts w:ascii="Calibri" w:hAnsi="Calibri" w:cs="Calibri"/>
                <w:color w:val="000000"/>
              </w:rPr>
            </w:pPr>
            <w:r w:rsidRPr="00236B2E">
              <w:rPr>
                <w:rFonts w:ascii="Calibri" w:hAnsi="Calibri" w:cs="Calibri"/>
                <w:color w:val="000000"/>
              </w:rPr>
              <w:t> </w:t>
            </w:r>
          </w:p>
        </w:tc>
        <w:tc>
          <w:tcPr>
            <w:tcW w:w="982" w:type="dxa"/>
            <w:tcBorders>
              <w:top w:val="single" w:sz="8" w:space="0" w:color="auto"/>
              <w:left w:val="nil"/>
              <w:bottom w:val="single" w:sz="8" w:space="0" w:color="auto"/>
              <w:right w:val="single" w:sz="8" w:space="0" w:color="auto"/>
            </w:tcBorders>
            <w:shd w:val="clear" w:color="000000" w:fill="56008C"/>
            <w:noWrap/>
            <w:vAlign w:val="center"/>
            <w:hideMark/>
          </w:tcPr>
          <w:p w:rsidR="0035681C" w:rsidRPr="00236B2E" w:rsidRDefault="0035681C" w:rsidP="00655157">
            <w:pPr>
              <w:rPr>
                <w:rFonts w:ascii="Calibri" w:hAnsi="Calibri" w:cs="Calibri"/>
                <w:color w:val="FFFFFF"/>
                <w:sz w:val="22"/>
                <w:szCs w:val="22"/>
              </w:rPr>
            </w:pPr>
            <w:r w:rsidRPr="00236B2E">
              <w:rPr>
                <w:rFonts w:ascii="Calibri" w:hAnsi="Calibri" w:cs="Calibri"/>
                <w:color w:val="FFFFFF"/>
                <w:sz w:val="22"/>
                <w:szCs w:val="22"/>
              </w:rPr>
              <w:t>Number</w:t>
            </w:r>
          </w:p>
        </w:tc>
        <w:tc>
          <w:tcPr>
            <w:tcW w:w="1160" w:type="dxa"/>
            <w:tcBorders>
              <w:top w:val="single" w:sz="8" w:space="0" w:color="auto"/>
              <w:left w:val="nil"/>
              <w:bottom w:val="single" w:sz="8" w:space="0" w:color="auto"/>
              <w:right w:val="single" w:sz="8" w:space="0" w:color="auto"/>
            </w:tcBorders>
            <w:shd w:val="clear" w:color="000000" w:fill="56008C"/>
            <w:noWrap/>
            <w:vAlign w:val="center"/>
            <w:hideMark/>
          </w:tcPr>
          <w:p w:rsidR="0035681C" w:rsidRPr="00236B2E" w:rsidRDefault="0035681C" w:rsidP="00655157">
            <w:pPr>
              <w:jc w:val="center"/>
              <w:rPr>
                <w:rFonts w:ascii="Calibri" w:hAnsi="Calibri" w:cs="Calibri"/>
                <w:color w:val="FFFFFF"/>
                <w:sz w:val="22"/>
                <w:szCs w:val="22"/>
              </w:rPr>
            </w:pPr>
            <w:r w:rsidRPr="00236B2E">
              <w:rPr>
                <w:rFonts w:ascii="Calibri" w:hAnsi="Calibri" w:cs="Calibri"/>
                <w:color w:val="FFFFFF"/>
                <w:sz w:val="22"/>
                <w:szCs w:val="22"/>
              </w:rPr>
              <w:t>%</w:t>
            </w:r>
          </w:p>
        </w:tc>
        <w:tc>
          <w:tcPr>
            <w:tcW w:w="1320" w:type="dxa"/>
            <w:tcBorders>
              <w:top w:val="single" w:sz="8" w:space="0" w:color="auto"/>
              <w:left w:val="nil"/>
              <w:bottom w:val="single" w:sz="8" w:space="0" w:color="auto"/>
              <w:right w:val="single" w:sz="8" w:space="0" w:color="auto"/>
            </w:tcBorders>
            <w:shd w:val="clear" w:color="000000" w:fill="E28C05"/>
            <w:noWrap/>
            <w:vAlign w:val="center"/>
            <w:hideMark/>
          </w:tcPr>
          <w:p w:rsidR="0035681C" w:rsidRPr="00236B2E" w:rsidRDefault="0035681C" w:rsidP="00655157">
            <w:pPr>
              <w:rPr>
                <w:rFonts w:ascii="Calibri" w:hAnsi="Calibri" w:cs="Calibri"/>
                <w:color w:val="FFFFFF"/>
                <w:sz w:val="22"/>
                <w:szCs w:val="22"/>
              </w:rPr>
            </w:pPr>
            <w:r w:rsidRPr="00236B2E">
              <w:rPr>
                <w:rFonts w:ascii="Calibri" w:hAnsi="Calibri" w:cs="Calibri"/>
                <w:color w:val="FFFFFF"/>
                <w:sz w:val="22"/>
                <w:szCs w:val="22"/>
              </w:rPr>
              <w:t>Value (£)</w:t>
            </w:r>
          </w:p>
        </w:tc>
        <w:tc>
          <w:tcPr>
            <w:tcW w:w="1160" w:type="dxa"/>
            <w:tcBorders>
              <w:top w:val="single" w:sz="8" w:space="0" w:color="auto"/>
              <w:left w:val="nil"/>
              <w:bottom w:val="single" w:sz="8" w:space="0" w:color="auto"/>
              <w:right w:val="single" w:sz="8" w:space="0" w:color="auto"/>
            </w:tcBorders>
            <w:shd w:val="clear" w:color="000000" w:fill="E28C05"/>
            <w:noWrap/>
            <w:vAlign w:val="center"/>
            <w:hideMark/>
          </w:tcPr>
          <w:p w:rsidR="0035681C" w:rsidRPr="00236B2E" w:rsidRDefault="0035681C" w:rsidP="00655157">
            <w:pPr>
              <w:jc w:val="center"/>
              <w:rPr>
                <w:rFonts w:ascii="Calibri" w:hAnsi="Calibri" w:cs="Calibri"/>
                <w:color w:val="FFFFFF"/>
                <w:sz w:val="22"/>
                <w:szCs w:val="22"/>
              </w:rPr>
            </w:pPr>
            <w:r w:rsidRPr="00236B2E">
              <w:rPr>
                <w:rFonts w:ascii="Calibri" w:hAnsi="Calibri" w:cs="Calibri"/>
                <w:color w:val="FFFFFF"/>
                <w:sz w:val="22"/>
                <w:szCs w:val="22"/>
              </w:rPr>
              <w:t>%</w:t>
            </w:r>
          </w:p>
        </w:tc>
      </w:tr>
      <w:tr w:rsidR="006E30B3" w:rsidRPr="00236B2E" w:rsidTr="00192D07">
        <w:trPr>
          <w:trHeight w:val="315"/>
          <w:jc w:val="center"/>
        </w:trPr>
        <w:tc>
          <w:tcPr>
            <w:tcW w:w="291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6E30B3" w:rsidRPr="00236B2E" w:rsidRDefault="006E30B3" w:rsidP="00655157">
            <w:pPr>
              <w:rPr>
                <w:rFonts w:ascii="Calibri" w:hAnsi="Calibri" w:cs="Calibri"/>
                <w:b/>
                <w:bCs/>
                <w:color w:val="000000"/>
                <w:sz w:val="22"/>
                <w:szCs w:val="22"/>
              </w:rPr>
            </w:pPr>
            <w:r w:rsidRPr="00236B2E">
              <w:rPr>
                <w:rFonts w:ascii="Calibri" w:hAnsi="Calibri" w:cs="Calibri"/>
                <w:b/>
                <w:bCs/>
                <w:color w:val="000000"/>
                <w:sz w:val="22"/>
                <w:szCs w:val="22"/>
              </w:rPr>
              <w:t>BPPC achieved</w:t>
            </w:r>
          </w:p>
        </w:tc>
        <w:tc>
          <w:tcPr>
            <w:tcW w:w="982" w:type="dxa"/>
            <w:tcBorders>
              <w:top w:val="single" w:sz="8" w:space="0" w:color="auto"/>
              <w:left w:val="nil"/>
              <w:bottom w:val="single" w:sz="8" w:space="0" w:color="auto"/>
              <w:right w:val="single" w:sz="8" w:space="0" w:color="auto"/>
            </w:tcBorders>
            <w:shd w:val="clear" w:color="000000" w:fill="56008C"/>
            <w:noWrap/>
            <w:vAlign w:val="center"/>
            <w:hideMark/>
          </w:tcPr>
          <w:p w:rsidR="006E30B3" w:rsidRDefault="006E30B3" w:rsidP="006E30B3">
            <w:pPr>
              <w:jc w:val="right"/>
              <w:rPr>
                <w:rFonts w:ascii="Calibri" w:hAnsi="Calibri" w:cs="Calibri"/>
                <w:color w:val="FFFFFF"/>
                <w:sz w:val="22"/>
                <w:szCs w:val="22"/>
              </w:rPr>
            </w:pPr>
            <w:r>
              <w:rPr>
                <w:rFonts w:ascii="Calibri" w:hAnsi="Calibri" w:cs="Calibri"/>
                <w:color w:val="FFFFFF"/>
                <w:sz w:val="22"/>
                <w:szCs w:val="22"/>
              </w:rPr>
              <w:t>97%</w:t>
            </w:r>
          </w:p>
        </w:tc>
        <w:tc>
          <w:tcPr>
            <w:tcW w:w="1160" w:type="dxa"/>
            <w:tcBorders>
              <w:top w:val="single" w:sz="8" w:space="0" w:color="auto"/>
              <w:left w:val="nil"/>
              <w:bottom w:val="single" w:sz="8" w:space="0" w:color="auto"/>
              <w:right w:val="single" w:sz="8" w:space="0" w:color="auto"/>
            </w:tcBorders>
            <w:shd w:val="clear" w:color="000000" w:fill="56008C"/>
            <w:noWrap/>
            <w:vAlign w:val="center"/>
            <w:hideMark/>
          </w:tcPr>
          <w:p w:rsidR="006E30B3" w:rsidRDefault="006E30B3" w:rsidP="006E30B3">
            <w:pPr>
              <w:jc w:val="right"/>
              <w:rPr>
                <w:rFonts w:ascii="Calibri" w:hAnsi="Calibri" w:cs="Calibri"/>
                <w:color w:val="FFFFFF"/>
                <w:sz w:val="22"/>
                <w:szCs w:val="22"/>
              </w:rPr>
            </w:pPr>
            <w:r>
              <w:rPr>
                <w:rFonts w:ascii="Calibri" w:hAnsi="Calibri" w:cs="Calibri"/>
                <w:color w:val="FFFFFF"/>
                <w:sz w:val="22"/>
                <w:szCs w:val="22"/>
              </w:rPr>
              <w:t>97%</w:t>
            </w:r>
          </w:p>
        </w:tc>
        <w:tc>
          <w:tcPr>
            <w:tcW w:w="1320" w:type="dxa"/>
            <w:tcBorders>
              <w:top w:val="single" w:sz="8" w:space="0" w:color="auto"/>
              <w:left w:val="nil"/>
              <w:bottom w:val="single" w:sz="8" w:space="0" w:color="auto"/>
              <w:right w:val="single" w:sz="8" w:space="0" w:color="auto"/>
            </w:tcBorders>
            <w:shd w:val="clear" w:color="000000" w:fill="E28C05"/>
            <w:noWrap/>
            <w:vAlign w:val="center"/>
            <w:hideMark/>
          </w:tcPr>
          <w:p w:rsidR="006E30B3" w:rsidRDefault="006E30B3" w:rsidP="006E30B3">
            <w:pPr>
              <w:jc w:val="right"/>
              <w:rPr>
                <w:rFonts w:ascii="Calibri" w:hAnsi="Calibri" w:cs="Calibri"/>
                <w:color w:val="FFFFFF"/>
                <w:sz w:val="22"/>
                <w:szCs w:val="22"/>
              </w:rPr>
            </w:pPr>
            <w:r>
              <w:rPr>
                <w:rFonts w:ascii="Calibri" w:hAnsi="Calibri" w:cs="Calibri"/>
                <w:color w:val="FFFFFF"/>
                <w:sz w:val="22"/>
                <w:szCs w:val="22"/>
              </w:rPr>
              <w:t>99%</w:t>
            </w:r>
          </w:p>
        </w:tc>
        <w:tc>
          <w:tcPr>
            <w:tcW w:w="1160" w:type="dxa"/>
            <w:tcBorders>
              <w:top w:val="single" w:sz="8" w:space="0" w:color="auto"/>
              <w:left w:val="nil"/>
              <w:bottom w:val="single" w:sz="8" w:space="0" w:color="auto"/>
              <w:right w:val="single" w:sz="8" w:space="0" w:color="auto"/>
            </w:tcBorders>
            <w:shd w:val="clear" w:color="000000" w:fill="E28C05"/>
            <w:noWrap/>
            <w:vAlign w:val="center"/>
            <w:hideMark/>
          </w:tcPr>
          <w:p w:rsidR="006E30B3" w:rsidRDefault="006E30B3" w:rsidP="006E30B3">
            <w:pPr>
              <w:jc w:val="right"/>
              <w:rPr>
                <w:rFonts w:ascii="Calibri" w:hAnsi="Calibri" w:cs="Calibri"/>
                <w:color w:val="FFFFFF"/>
                <w:sz w:val="22"/>
                <w:szCs w:val="22"/>
              </w:rPr>
            </w:pPr>
            <w:r>
              <w:rPr>
                <w:rFonts w:ascii="Calibri" w:hAnsi="Calibri" w:cs="Calibri"/>
                <w:color w:val="FFFFFF"/>
                <w:sz w:val="22"/>
                <w:szCs w:val="22"/>
              </w:rPr>
              <w:t>99%</w:t>
            </w:r>
          </w:p>
        </w:tc>
      </w:tr>
      <w:tr w:rsidR="0035681C" w:rsidRPr="00236B2E" w:rsidTr="00192D07">
        <w:trPr>
          <w:trHeight w:val="315"/>
          <w:jc w:val="center"/>
        </w:trPr>
        <w:tc>
          <w:tcPr>
            <w:tcW w:w="291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35681C" w:rsidRPr="00236B2E" w:rsidRDefault="0035681C" w:rsidP="00655157">
            <w:pPr>
              <w:rPr>
                <w:rFonts w:ascii="Calibri" w:hAnsi="Calibri" w:cs="Calibri"/>
                <w:b/>
                <w:bCs/>
                <w:color w:val="000000"/>
                <w:sz w:val="22"/>
                <w:szCs w:val="22"/>
              </w:rPr>
            </w:pPr>
            <w:r w:rsidRPr="00236B2E">
              <w:rPr>
                <w:rFonts w:ascii="Calibri" w:hAnsi="Calibri" w:cs="Calibri"/>
                <w:b/>
                <w:bCs/>
                <w:color w:val="000000"/>
                <w:sz w:val="22"/>
                <w:szCs w:val="22"/>
              </w:rPr>
              <w:t>2015/16 Performance</w:t>
            </w:r>
          </w:p>
        </w:tc>
        <w:tc>
          <w:tcPr>
            <w:tcW w:w="982" w:type="dxa"/>
            <w:tcBorders>
              <w:top w:val="single" w:sz="8" w:space="0" w:color="auto"/>
              <w:left w:val="nil"/>
              <w:bottom w:val="single" w:sz="8" w:space="0" w:color="auto"/>
              <w:right w:val="single" w:sz="8" w:space="0" w:color="auto"/>
            </w:tcBorders>
            <w:shd w:val="clear" w:color="000000" w:fill="56008C"/>
            <w:noWrap/>
            <w:vAlign w:val="center"/>
            <w:hideMark/>
          </w:tcPr>
          <w:p w:rsidR="0035681C" w:rsidRPr="00236B2E" w:rsidRDefault="0035681C" w:rsidP="00655157">
            <w:pPr>
              <w:jc w:val="right"/>
              <w:rPr>
                <w:rFonts w:ascii="Calibri" w:hAnsi="Calibri" w:cs="Calibri"/>
                <w:color w:val="FFFFFF"/>
                <w:sz w:val="22"/>
                <w:szCs w:val="22"/>
              </w:rPr>
            </w:pPr>
            <w:r w:rsidRPr="00236B2E">
              <w:rPr>
                <w:rFonts w:ascii="Calibri" w:hAnsi="Calibri" w:cs="Calibri"/>
                <w:color w:val="FFFFFF"/>
                <w:sz w:val="22"/>
                <w:szCs w:val="22"/>
              </w:rPr>
              <w:t>98%</w:t>
            </w:r>
          </w:p>
        </w:tc>
        <w:tc>
          <w:tcPr>
            <w:tcW w:w="1160" w:type="dxa"/>
            <w:tcBorders>
              <w:top w:val="single" w:sz="8" w:space="0" w:color="auto"/>
              <w:left w:val="nil"/>
              <w:bottom w:val="single" w:sz="8" w:space="0" w:color="auto"/>
              <w:right w:val="single" w:sz="8" w:space="0" w:color="auto"/>
            </w:tcBorders>
            <w:shd w:val="clear" w:color="000000" w:fill="56008C"/>
            <w:noWrap/>
            <w:vAlign w:val="center"/>
            <w:hideMark/>
          </w:tcPr>
          <w:p w:rsidR="0035681C" w:rsidRPr="00236B2E" w:rsidRDefault="0035681C" w:rsidP="00655157">
            <w:pPr>
              <w:jc w:val="right"/>
              <w:rPr>
                <w:rFonts w:ascii="Calibri" w:hAnsi="Calibri" w:cs="Calibri"/>
                <w:color w:val="FFFFFF"/>
                <w:sz w:val="22"/>
                <w:szCs w:val="22"/>
              </w:rPr>
            </w:pPr>
            <w:r w:rsidRPr="00236B2E">
              <w:rPr>
                <w:rFonts w:ascii="Calibri" w:hAnsi="Calibri" w:cs="Calibri"/>
                <w:color w:val="FFFFFF"/>
                <w:sz w:val="22"/>
                <w:szCs w:val="22"/>
              </w:rPr>
              <w:t>98%</w:t>
            </w:r>
          </w:p>
        </w:tc>
        <w:tc>
          <w:tcPr>
            <w:tcW w:w="1320" w:type="dxa"/>
            <w:tcBorders>
              <w:top w:val="single" w:sz="8" w:space="0" w:color="auto"/>
              <w:left w:val="nil"/>
              <w:bottom w:val="single" w:sz="8" w:space="0" w:color="auto"/>
              <w:right w:val="single" w:sz="8" w:space="0" w:color="auto"/>
            </w:tcBorders>
            <w:shd w:val="clear" w:color="000000" w:fill="E28C05"/>
            <w:noWrap/>
            <w:vAlign w:val="center"/>
            <w:hideMark/>
          </w:tcPr>
          <w:p w:rsidR="0035681C" w:rsidRPr="00236B2E" w:rsidRDefault="0035681C" w:rsidP="00655157">
            <w:pPr>
              <w:jc w:val="right"/>
              <w:rPr>
                <w:rFonts w:ascii="Calibri" w:hAnsi="Calibri" w:cs="Calibri"/>
                <w:color w:val="FFFFFF"/>
                <w:sz w:val="22"/>
                <w:szCs w:val="22"/>
              </w:rPr>
            </w:pPr>
            <w:r w:rsidRPr="00236B2E">
              <w:rPr>
                <w:rFonts w:ascii="Calibri" w:hAnsi="Calibri" w:cs="Calibri"/>
                <w:color w:val="FFFFFF"/>
                <w:sz w:val="22"/>
                <w:szCs w:val="22"/>
              </w:rPr>
              <w:t>97%</w:t>
            </w:r>
          </w:p>
        </w:tc>
        <w:tc>
          <w:tcPr>
            <w:tcW w:w="1160" w:type="dxa"/>
            <w:tcBorders>
              <w:top w:val="single" w:sz="8" w:space="0" w:color="auto"/>
              <w:left w:val="nil"/>
              <w:bottom w:val="single" w:sz="8" w:space="0" w:color="auto"/>
              <w:right w:val="single" w:sz="8" w:space="0" w:color="auto"/>
            </w:tcBorders>
            <w:shd w:val="clear" w:color="000000" w:fill="E28C05"/>
            <w:noWrap/>
            <w:vAlign w:val="center"/>
            <w:hideMark/>
          </w:tcPr>
          <w:p w:rsidR="0035681C" w:rsidRPr="00236B2E" w:rsidRDefault="0035681C" w:rsidP="00655157">
            <w:pPr>
              <w:jc w:val="right"/>
              <w:rPr>
                <w:rFonts w:ascii="Calibri" w:hAnsi="Calibri" w:cs="Calibri"/>
                <w:color w:val="FFFFFF"/>
                <w:sz w:val="22"/>
                <w:szCs w:val="22"/>
              </w:rPr>
            </w:pPr>
            <w:r w:rsidRPr="00236B2E">
              <w:rPr>
                <w:rFonts w:ascii="Calibri" w:hAnsi="Calibri" w:cs="Calibri"/>
                <w:color w:val="FFFFFF"/>
                <w:sz w:val="22"/>
                <w:szCs w:val="22"/>
              </w:rPr>
              <w:t>97%</w:t>
            </w:r>
          </w:p>
        </w:tc>
      </w:tr>
    </w:tbl>
    <w:p w:rsidR="004D4BF4" w:rsidRDefault="004D4BF4" w:rsidP="00DD6897">
      <w:pPr>
        <w:rPr>
          <w:rFonts w:ascii="Arial" w:hAnsi="Arial" w:cs="Arial"/>
          <w:sz w:val="22"/>
          <w:szCs w:val="22"/>
        </w:rPr>
      </w:pPr>
    </w:p>
    <w:p w:rsidR="00AE0798" w:rsidRPr="00106232" w:rsidRDefault="00AE0798" w:rsidP="00DD6897">
      <w:pPr>
        <w:rPr>
          <w:rFonts w:ascii="Arial" w:hAnsi="Arial" w:cs="Arial"/>
          <w:b/>
          <w:sz w:val="22"/>
          <w:szCs w:val="22"/>
        </w:rPr>
      </w:pPr>
      <w:r w:rsidRPr="00106232">
        <w:rPr>
          <w:rFonts w:ascii="Arial" w:hAnsi="Arial" w:cs="Arial"/>
          <w:b/>
          <w:sz w:val="22"/>
          <w:szCs w:val="22"/>
        </w:rPr>
        <w:t>Travel costs</w:t>
      </w:r>
    </w:p>
    <w:p w:rsidR="00CB67F3" w:rsidRDefault="00192D07" w:rsidP="00192D07">
      <w:pPr>
        <w:spacing w:after="200" w:line="276" w:lineRule="auto"/>
        <w:rPr>
          <w:noProof/>
        </w:rPr>
      </w:pPr>
      <w:r>
        <w:rPr>
          <w:rFonts w:ascii="Arial" w:hAnsi="Arial" w:cs="Arial"/>
          <w:sz w:val="22"/>
          <w:szCs w:val="22"/>
        </w:rPr>
        <w:t xml:space="preserve">Travel cost reduction is </w:t>
      </w:r>
      <w:proofErr w:type="gramStart"/>
      <w:r>
        <w:rPr>
          <w:rFonts w:ascii="Arial" w:hAnsi="Arial" w:cs="Arial"/>
          <w:sz w:val="22"/>
          <w:szCs w:val="22"/>
        </w:rPr>
        <w:t>key</w:t>
      </w:r>
      <w:proofErr w:type="gramEnd"/>
      <w:r>
        <w:rPr>
          <w:rFonts w:ascii="Arial" w:hAnsi="Arial" w:cs="Arial"/>
          <w:sz w:val="22"/>
          <w:szCs w:val="22"/>
        </w:rPr>
        <w:t xml:space="preserve"> to HRA achieving its savings target and demonstrating benefits realised through investment in smart working. On the basis of costs incurred to date and future plans, travel costs are predicted to meet budget for the year, achieving the planned savings. </w:t>
      </w:r>
    </w:p>
    <w:p w:rsidR="006E30B3" w:rsidRDefault="00106232" w:rsidP="006E30B3">
      <w:pPr>
        <w:spacing w:after="200" w:line="276" w:lineRule="auto"/>
        <w:rPr>
          <w:rFonts w:ascii="Arial" w:hAnsi="Arial" w:cs="Arial"/>
          <w:b/>
          <w:sz w:val="22"/>
          <w:szCs w:val="22"/>
        </w:rPr>
      </w:pPr>
      <w:r w:rsidRPr="00EB52C1">
        <w:rPr>
          <w:noProof/>
        </w:rPr>
        <w:drawing>
          <wp:inline distT="0" distB="0" distL="0" distR="0" wp14:anchorId="26330166" wp14:editId="0DC96EAA">
            <wp:extent cx="4355196" cy="2457450"/>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55196" cy="2457450"/>
                    </a:xfrm>
                    <a:prstGeom prst="rect">
                      <a:avLst/>
                    </a:prstGeom>
                    <a:noFill/>
                    <a:ln>
                      <a:noFill/>
                    </a:ln>
                  </pic:spPr>
                </pic:pic>
              </a:graphicData>
            </a:graphic>
          </wp:inline>
        </w:drawing>
      </w:r>
    </w:p>
    <w:p w:rsidR="0004137A" w:rsidRDefault="0004137A" w:rsidP="0028079F">
      <w:pPr>
        <w:jc w:val="both"/>
        <w:rPr>
          <w:rFonts w:ascii="Arial" w:hAnsi="Arial" w:cs="Arial"/>
          <w:b/>
          <w:sz w:val="22"/>
          <w:szCs w:val="22"/>
        </w:rPr>
      </w:pPr>
    </w:p>
    <w:p w:rsidR="0028079F" w:rsidRPr="00106232" w:rsidRDefault="0028079F" w:rsidP="0028079F">
      <w:pPr>
        <w:jc w:val="both"/>
        <w:rPr>
          <w:rFonts w:ascii="Arial" w:hAnsi="Arial" w:cs="Arial"/>
          <w:b/>
          <w:sz w:val="22"/>
          <w:szCs w:val="22"/>
        </w:rPr>
      </w:pPr>
      <w:r w:rsidRPr="00106232">
        <w:rPr>
          <w:rFonts w:ascii="Arial" w:hAnsi="Arial" w:cs="Arial"/>
          <w:b/>
          <w:sz w:val="22"/>
          <w:szCs w:val="22"/>
        </w:rPr>
        <w:t>Recommendations</w:t>
      </w:r>
    </w:p>
    <w:p w:rsidR="0028079F" w:rsidRPr="00106232" w:rsidRDefault="0028079F" w:rsidP="00B40EA9">
      <w:pPr>
        <w:jc w:val="both"/>
        <w:rPr>
          <w:rFonts w:ascii="Arial" w:hAnsi="Arial" w:cs="Arial"/>
          <w:b/>
          <w:sz w:val="22"/>
          <w:szCs w:val="22"/>
        </w:rPr>
      </w:pPr>
    </w:p>
    <w:p w:rsidR="00192D07" w:rsidRDefault="0044673F" w:rsidP="00192D07">
      <w:pPr>
        <w:overflowPunct w:val="0"/>
        <w:autoSpaceDE w:val="0"/>
        <w:autoSpaceDN w:val="0"/>
        <w:adjustRightInd w:val="0"/>
        <w:textAlignment w:val="baseline"/>
        <w:rPr>
          <w:rFonts w:ascii="Arial" w:hAnsi="Arial" w:cs="Arial"/>
          <w:sz w:val="22"/>
          <w:szCs w:val="22"/>
        </w:rPr>
      </w:pPr>
      <w:r w:rsidRPr="00106232">
        <w:rPr>
          <w:rFonts w:ascii="Arial" w:hAnsi="Arial" w:cs="Arial"/>
          <w:sz w:val="22"/>
          <w:szCs w:val="22"/>
        </w:rPr>
        <w:t>T</w:t>
      </w:r>
      <w:r w:rsidR="00B40EA9" w:rsidRPr="00106232">
        <w:rPr>
          <w:rFonts w:ascii="Arial" w:hAnsi="Arial" w:cs="Arial"/>
          <w:sz w:val="22"/>
          <w:szCs w:val="22"/>
        </w:rPr>
        <w:t xml:space="preserve">he </w:t>
      </w:r>
      <w:r w:rsidR="00D211BF" w:rsidRPr="00106232">
        <w:rPr>
          <w:rFonts w:ascii="Arial" w:hAnsi="Arial" w:cs="Arial"/>
          <w:sz w:val="22"/>
          <w:szCs w:val="22"/>
        </w:rPr>
        <w:t xml:space="preserve">Board </w:t>
      </w:r>
      <w:r w:rsidR="00DF39E7" w:rsidRPr="00106232">
        <w:rPr>
          <w:rFonts w:ascii="Arial" w:hAnsi="Arial" w:cs="Arial"/>
          <w:sz w:val="22"/>
          <w:szCs w:val="22"/>
        </w:rPr>
        <w:t xml:space="preserve">is asked to </w:t>
      </w:r>
      <w:r w:rsidR="00D211BF" w:rsidRPr="00106232">
        <w:rPr>
          <w:rFonts w:ascii="Arial" w:hAnsi="Arial" w:cs="Arial"/>
          <w:sz w:val="22"/>
          <w:szCs w:val="22"/>
        </w:rPr>
        <w:t>note</w:t>
      </w:r>
      <w:r w:rsidR="001C4432" w:rsidRPr="00106232">
        <w:rPr>
          <w:rFonts w:ascii="Arial" w:hAnsi="Arial" w:cs="Arial"/>
          <w:sz w:val="22"/>
          <w:szCs w:val="22"/>
        </w:rPr>
        <w:t xml:space="preserve"> </w:t>
      </w:r>
      <w:r w:rsidR="00B40EA9" w:rsidRPr="00106232">
        <w:rPr>
          <w:rFonts w:ascii="Arial" w:hAnsi="Arial" w:cs="Arial"/>
          <w:sz w:val="22"/>
          <w:szCs w:val="22"/>
        </w:rPr>
        <w:t xml:space="preserve">the </w:t>
      </w:r>
      <w:r w:rsidR="00192D07">
        <w:rPr>
          <w:rFonts w:ascii="Arial" w:hAnsi="Arial" w:cs="Arial"/>
          <w:sz w:val="22"/>
          <w:szCs w:val="22"/>
        </w:rPr>
        <w:t xml:space="preserve">current </w:t>
      </w:r>
      <w:r w:rsidR="00B40EA9" w:rsidRPr="00106232">
        <w:rPr>
          <w:rFonts w:ascii="Arial" w:hAnsi="Arial" w:cs="Arial"/>
          <w:sz w:val="22"/>
          <w:szCs w:val="22"/>
        </w:rPr>
        <w:t>financial position</w:t>
      </w:r>
      <w:r w:rsidR="00192D07">
        <w:rPr>
          <w:rFonts w:ascii="Arial" w:hAnsi="Arial" w:cs="Arial"/>
          <w:sz w:val="22"/>
          <w:szCs w:val="22"/>
        </w:rPr>
        <w:t xml:space="preserve"> and </w:t>
      </w:r>
      <w:proofErr w:type="gramStart"/>
      <w:r w:rsidR="00192D07">
        <w:rPr>
          <w:rFonts w:ascii="Arial" w:hAnsi="Arial" w:cs="Arial"/>
          <w:sz w:val="22"/>
          <w:szCs w:val="22"/>
        </w:rPr>
        <w:t>forecast  and</w:t>
      </w:r>
      <w:proofErr w:type="gramEnd"/>
      <w:r w:rsidR="00192D07">
        <w:rPr>
          <w:rFonts w:ascii="Arial" w:hAnsi="Arial" w:cs="Arial"/>
          <w:sz w:val="22"/>
          <w:szCs w:val="22"/>
        </w:rPr>
        <w:t xml:space="preserve"> are invited to discuss the potential underspend position and HRA plans to address this.</w:t>
      </w:r>
    </w:p>
    <w:p w:rsidR="00192D07" w:rsidRDefault="00192D07" w:rsidP="00192D07">
      <w:pPr>
        <w:overflowPunct w:val="0"/>
        <w:autoSpaceDE w:val="0"/>
        <w:autoSpaceDN w:val="0"/>
        <w:adjustRightInd w:val="0"/>
        <w:textAlignment w:val="baseline"/>
        <w:rPr>
          <w:rFonts w:ascii="Arial" w:hAnsi="Arial" w:cs="Arial"/>
          <w:sz w:val="22"/>
          <w:szCs w:val="22"/>
        </w:rPr>
      </w:pPr>
    </w:p>
    <w:p w:rsidR="00CC740F" w:rsidRDefault="00CC740F" w:rsidP="00B40EA9">
      <w:pPr>
        <w:spacing w:line="276" w:lineRule="auto"/>
        <w:rPr>
          <w:rFonts w:ascii="Arial" w:hAnsi="Arial" w:cs="Arial"/>
          <w:b/>
          <w:sz w:val="22"/>
          <w:szCs w:val="22"/>
        </w:rPr>
      </w:pPr>
    </w:p>
    <w:p w:rsidR="00B40EA9" w:rsidRPr="00B40EA9" w:rsidRDefault="00E73495" w:rsidP="00B40EA9">
      <w:pPr>
        <w:spacing w:line="276" w:lineRule="auto"/>
        <w:rPr>
          <w:rFonts w:ascii="Arial" w:hAnsi="Arial" w:cs="Arial"/>
          <w:b/>
          <w:sz w:val="22"/>
          <w:szCs w:val="22"/>
        </w:rPr>
      </w:pPr>
      <w:r>
        <w:rPr>
          <w:rFonts w:ascii="Arial" w:hAnsi="Arial" w:cs="Arial"/>
          <w:b/>
          <w:sz w:val="22"/>
          <w:szCs w:val="22"/>
        </w:rPr>
        <w:t>Sylvia Hazard</w:t>
      </w:r>
      <w:r w:rsidR="00192D07">
        <w:rPr>
          <w:rFonts w:ascii="Arial" w:hAnsi="Arial" w:cs="Arial"/>
          <w:b/>
          <w:sz w:val="22"/>
          <w:szCs w:val="22"/>
        </w:rPr>
        <w:t xml:space="preserve"> and Karen Williams</w:t>
      </w:r>
    </w:p>
    <w:p w:rsidR="00B40EA9" w:rsidRPr="00B40EA9" w:rsidRDefault="0004137A" w:rsidP="00B40EA9">
      <w:pPr>
        <w:spacing w:line="276" w:lineRule="auto"/>
        <w:rPr>
          <w:rFonts w:ascii="Arial" w:hAnsi="Arial" w:cs="Arial"/>
          <w:b/>
          <w:sz w:val="22"/>
          <w:szCs w:val="22"/>
        </w:rPr>
      </w:pPr>
      <w:r>
        <w:rPr>
          <w:rFonts w:ascii="Arial" w:hAnsi="Arial" w:cs="Arial"/>
          <w:b/>
          <w:sz w:val="22"/>
          <w:szCs w:val="22"/>
        </w:rPr>
        <w:t xml:space="preserve">Acting Director of </w:t>
      </w:r>
      <w:r w:rsidR="00B40EA9" w:rsidRPr="00B40EA9">
        <w:rPr>
          <w:rFonts w:ascii="Arial" w:hAnsi="Arial" w:cs="Arial"/>
          <w:b/>
          <w:sz w:val="22"/>
          <w:szCs w:val="22"/>
        </w:rPr>
        <w:t>Finance</w:t>
      </w:r>
      <w:r w:rsidR="00E73495">
        <w:rPr>
          <w:rFonts w:ascii="Arial" w:hAnsi="Arial" w:cs="Arial"/>
          <w:b/>
          <w:sz w:val="22"/>
          <w:szCs w:val="22"/>
        </w:rPr>
        <w:t xml:space="preserve"> and Procurement</w:t>
      </w:r>
    </w:p>
    <w:p w:rsidR="007055AB" w:rsidRPr="00480953" w:rsidRDefault="00810820" w:rsidP="00480953">
      <w:pPr>
        <w:spacing w:line="276" w:lineRule="auto"/>
        <w:rPr>
          <w:rFonts w:ascii="Arial" w:hAnsi="Arial" w:cs="Arial"/>
          <w:b/>
          <w:sz w:val="22"/>
          <w:szCs w:val="22"/>
        </w:rPr>
        <w:sectPr w:rsidR="007055AB" w:rsidRPr="00480953" w:rsidSect="00195D4C">
          <w:headerReference w:type="default" r:id="rId11"/>
          <w:footerReference w:type="default" r:id="rId12"/>
          <w:pgSz w:w="11906" w:h="16838"/>
          <w:pgMar w:top="992" w:right="1276" w:bottom="568" w:left="1559" w:header="567" w:footer="283" w:gutter="0"/>
          <w:cols w:space="708"/>
          <w:docGrid w:linePitch="360"/>
        </w:sectPr>
      </w:pPr>
      <w:r>
        <w:rPr>
          <w:rFonts w:ascii="Arial" w:hAnsi="Arial" w:cs="Arial"/>
          <w:b/>
          <w:sz w:val="22"/>
          <w:szCs w:val="22"/>
        </w:rPr>
        <w:t>13 January 2017</w:t>
      </w:r>
    </w:p>
    <w:p w:rsidR="00445C3C" w:rsidRPr="00F64C33" w:rsidRDefault="00445C3C" w:rsidP="00445C3C">
      <w:pPr>
        <w:keepNext/>
        <w:keepLines/>
        <w:pBdr>
          <w:top w:val="single" w:sz="8" w:space="3" w:color="FFFFFF"/>
          <w:left w:val="single" w:sz="8" w:space="4" w:color="FFFFFF"/>
          <w:bottom w:val="single" w:sz="8" w:space="3" w:color="FFFFFF"/>
          <w:right w:val="single" w:sz="8" w:space="4" w:color="FFFFFF"/>
        </w:pBdr>
        <w:shd w:val="clear" w:color="auto" w:fill="D9D9D9"/>
        <w:spacing w:before="240" w:after="120" w:line="276" w:lineRule="auto"/>
        <w:outlineLvl w:val="1"/>
        <w:rPr>
          <w:rFonts w:ascii="Arial" w:eastAsia="Calibri" w:hAnsi="Arial"/>
          <w:b/>
          <w:bCs/>
          <w:color w:val="56008C"/>
          <w:szCs w:val="26"/>
          <w:lang w:eastAsia="en-US"/>
        </w:rPr>
      </w:pPr>
      <w:r w:rsidRPr="00D64655">
        <w:rPr>
          <w:rFonts w:ascii="Arial" w:eastAsia="Calibri" w:hAnsi="Arial"/>
          <w:b/>
          <w:bCs/>
          <w:color w:val="56008C"/>
          <w:szCs w:val="26"/>
          <w:highlight w:val="yellow"/>
          <w:lang w:eastAsia="en-US"/>
        </w:rPr>
        <w:lastRenderedPageBreak/>
        <w:t>Health Research Authority – Non Pay Expenditure</w:t>
      </w:r>
      <w:r w:rsidR="004F1024" w:rsidRPr="00D64655">
        <w:rPr>
          <w:rFonts w:ascii="Arial" w:eastAsia="Calibri" w:hAnsi="Arial"/>
          <w:b/>
          <w:bCs/>
          <w:color w:val="56008C"/>
          <w:szCs w:val="26"/>
          <w:highlight w:val="yellow"/>
          <w:lang w:eastAsia="en-US"/>
        </w:rPr>
        <w:t xml:space="preserve"> </w:t>
      </w:r>
      <w:r w:rsidR="007055AB" w:rsidRPr="00D64655">
        <w:rPr>
          <w:rFonts w:ascii="Arial" w:eastAsia="Calibri" w:hAnsi="Arial"/>
          <w:b/>
          <w:bCs/>
          <w:color w:val="56008C"/>
          <w:szCs w:val="26"/>
          <w:highlight w:val="yellow"/>
          <w:lang w:eastAsia="en-US"/>
        </w:rPr>
        <w:t xml:space="preserve">Breakdown </w:t>
      </w:r>
      <w:r w:rsidR="004F1024" w:rsidRPr="00D64655">
        <w:rPr>
          <w:rFonts w:ascii="Arial" w:eastAsia="Calibri" w:hAnsi="Arial"/>
          <w:b/>
          <w:bCs/>
          <w:color w:val="56008C"/>
          <w:szCs w:val="26"/>
          <w:highlight w:val="yellow"/>
          <w:lang w:eastAsia="en-US"/>
        </w:rPr>
        <w:t>Year to</w:t>
      </w:r>
      <w:r w:rsidR="00106232">
        <w:rPr>
          <w:rFonts w:ascii="Arial" w:eastAsia="Calibri" w:hAnsi="Arial"/>
          <w:b/>
          <w:bCs/>
          <w:color w:val="56008C"/>
          <w:szCs w:val="26"/>
          <w:highlight w:val="yellow"/>
          <w:lang w:eastAsia="en-US"/>
        </w:rPr>
        <w:t xml:space="preserve"> end November</w:t>
      </w:r>
      <w:r w:rsidR="0004137A" w:rsidRPr="00D64655">
        <w:rPr>
          <w:rFonts w:ascii="Arial" w:eastAsia="Calibri" w:hAnsi="Arial"/>
          <w:b/>
          <w:bCs/>
          <w:color w:val="56008C"/>
          <w:szCs w:val="26"/>
          <w:highlight w:val="yellow"/>
          <w:lang w:eastAsia="en-US"/>
        </w:rPr>
        <w:t xml:space="preserve"> </w:t>
      </w:r>
      <w:r w:rsidR="00563BB5" w:rsidRPr="00D64655">
        <w:rPr>
          <w:rFonts w:ascii="Arial" w:eastAsia="Calibri" w:hAnsi="Arial"/>
          <w:b/>
          <w:bCs/>
          <w:color w:val="56008C"/>
          <w:szCs w:val="26"/>
          <w:highlight w:val="yellow"/>
          <w:lang w:eastAsia="en-US"/>
        </w:rPr>
        <w:t>2016</w:t>
      </w:r>
      <w:r>
        <w:rPr>
          <w:rFonts w:ascii="Arial" w:eastAsia="Calibri" w:hAnsi="Arial"/>
          <w:b/>
          <w:bCs/>
          <w:color w:val="56008C"/>
          <w:szCs w:val="26"/>
          <w:lang w:eastAsia="en-US"/>
        </w:rPr>
        <w:t xml:space="preserve">   </w:t>
      </w:r>
      <w:r w:rsidR="0031502B">
        <w:rPr>
          <w:rFonts w:ascii="Arial" w:eastAsia="Calibri" w:hAnsi="Arial"/>
          <w:b/>
          <w:bCs/>
          <w:color w:val="56008C"/>
          <w:szCs w:val="26"/>
          <w:lang w:eastAsia="en-US"/>
        </w:rPr>
        <w:t xml:space="preserve">      </w:t>
      </w:r>
      <w:r>
        <w:rPr>
          <w:rFonts w:ascii="Arial" w:eastAsia="Calibri" w:hAnsi="Arial"/>
          <w:b/>
          <w:bCs/>
          <w:color w:val="56008C"/>
          <w:szCs w:val="26"/>
          <w:lang w:eastAsia="en-US"/>
        </w:rPr>
        <w:t xml:space="preserve">         </w:t>
      </w:r>
      <w:r w:rsidRPr="00F64C33">
        <w:rPr>
          <w:rFonts w:ascii="Arial" w:eastAsia="Calibri" w:hAnsi="Arial"/>
          <w:b/>
          <w:bCs/>
          <w:color w:val="56008C"/>
          <w:szCs w:val="26"/>
          <w:lang w:eastAsia="en-US"/>
        </w:rPr>
        <w:t xml:space="preserve">                   </w:t>
      </w:r>
      <w:r w:rsidR="00072739">
        <w:rPr>
          <w:rFonts w:ascii="Arial" w:eastAsia="Calibri" w:hAnsi="Arial"/>
          <w:b/>
          <w:bCs/>
          <w:color w:val="56008C"/>
          <w:szCs w:val="26"/>
          <w:lang w:eastAsia="en-US"/>
        </w:rPr>
        <w:t xml:space="preserve"> </w:t>
      </w:r>
      <w:r w:rsidRPr="00F64C33">
        <w:rPr>
          <w:rFonts w:ascii="Arial" w:eastAsia="Calibri" w:hAnsi="Arial"/>
          <w:b/>
          <w:bCs/>
          <w:color w:val="56008C"/>
          <w:szCs w:val="26"/>
          <w:lang w:eastAsia="en-US"/>
        </w:rPr>
        <w:t xml:space="preserve">            </w:t>
      </w:r>
      <w:r w:rsidR="007055AB">
        <w:rPr>
          <w:rFonts w:ascii="Arial" w:eastAsia="Calibri" w:hAnsi="Arial"/>
          <w:b/>
          <w:bCs/>
          <w:color w:val="56008C"/>
          <w:szCs w:val="26"/>
          <w:lang w:eastAsia="en-US"/>
        </w:rPr>
        <w:t xml:space="preserve">                 </w:t>
      </w:r>
    </w:p>
    <w:tbl>
      <w:tblPr>
        <w:tblStyle w:val="TableGrid"/>
        <w:tblW w:w="29588" w:type="dxa"/>
        <w:tblLayout w:type="fixed"/>
        <w:tblLook w:val="04A0" w:firstRow="1" w:lastRow="0" w:firstColumn="1" w:lastColumn="0" w:noHBand="0" w:noVBand="1"/>
      </w:tblPr>
      <w:tblGrid>
        <w:gridCol w:w="1668"/>
        <w:gridCol w:w="13960"/>
        <w:gridCol w:w="13960"/>
      </w:tblGrid>
      <w:tr w:rsidR="0004137A" w:rsidRPr="00461E1B" w:rsidTr="0004137A">
        <w:tc>
          <w:tcPr>
            <w:tcW w:w="1668" w:type="dxa"/>
            <w:shd w:val="clear" w:color="auto" w:fill="56008C"/>
            <w:vAlign w:val="center"/>
          </w:tcPr>
          <w:p w:rsidR="0004137A" w:rsidRPr="00FC6EBF" w:rsidRDefault="0004137A" w:rsidP="00B27E7E">
            <w:pPr>
              <w:spacing w:after="200" w:line="276" w:lineRule="auto"/>
              <w:jc w:val="center"/>
              <w:rPr>
                <w:rFonts w:ascii="Arial" w:hAnsi="Arial" w:cs="Arial"/>
                <w:b/>
              </w:rPr>
            </w:pPr>
            <w:r w:rsidRPr="002132BF">
              <w:rPr>
                <w:rFonts w:ascii="Arial" w:hAnsi="Arial" w:cs="Arial"/>
                <w:b/>
                <w:color w:val="E28C05"/>
              </w:rPr>
              <w:t>Areas of Non- Pay Expenditure</w:t>
            </w:r>
          </w:p>
        </w:tc>
        <w:tc>
          <w:tcPr>
            <w:tcW w:w="13960" w:type="dxa"/>
          </w:tcPr>
          <w:p w:rsidR="0004137A" w:rsidRDefault="0004137A" w:rsidP="006E30B3">
            <w:pPr>
              <w:tabs>
                <w:tab w:val="left" w:pos="2172"/>
              </w:tabs>
              <w:spacing w:after="200" w:line="276" w:lineRule="auto"/>
              <w:rPr>
                <w:rFonts w:ascii="Arial" w:hAnsi="Arial" w:cs="Arial"/>
                <w:sz w:val="22"/>
                <w:szCs w:val="22"/>
              </w:rPr>
            </w:pPr>
            <w:r w:rsidRPr="00BC0710">
              <w:rPr>
                <w:rFonts w:ascii="Arial" w:hAnsi="Arial" w:cs="Arial"/>
                <w:sz w:val="22"/>
                <w:szCs w:val="22"/>
              </w:rPr>
              <w:t xml:space="preserve"> </w:t>
            </w:r>
          </w:p>
          <w:tbl>
            <w:tblPr>
              <w:tblW w:w="12540" w:type="dxa"/>
              <w:tblLayout w:type="fixed"/>
              <w:tblLook w:val="04A0" w:firstRow="1" w:lastRow="0" w:firstColumn="1" w:lastColumn="0" w:noHBand="0" w:noVBand="1"/>
            </w:tblPr>
            <w:tblGrid>
              <w:gridCol w:w="4860"/>
              <w:gridCol w:w="960"/>
              <w:gridCol w:w="960"/>
              <w:gridCol w:w="960"/>
              <w:gridCol w:w="960"/>
              <w:gridCol w:w="960"/>
              <w:gridCol w:w="960"/>
              <w:gridCol w:w="960"/>
              <w:gridCol w:w="960"/>
            </w:tblGrid>
            <w:tr w:rsidR="00106232" w:rsidRPr="00AD6720" w:rsidTr="00B07207">
              <w:trPr>
                <w:trHeight w:val="300"/>
              </w:trPr>
              <w:tc>
                <w:tcPr>
                  <w:tcW w:w="4860" w:type="dxa"/>
                  <w:tcBorders>
                    <w:top w:val="nil"/>
                    <w:left w:val="nil"/>
                    <w:bottom w:val="nil"/>
                    <w:right w:val="single" w:sz="4" w:space="0" w:color="FFFFFF"/>
                  </w:tcBorders>
                  <w:shd w:val="clear" w:color="000000" w:fill="0070B9"/>
                  <w:hideMark/>
                </w:tcPr>
                <w:p w:rsidR="00106232" w:rsidRPr="00AD6720" w:rsidRDefault="00106232" w:rsidP="00B07207">
                  <w:pPr>
                    <w:rPr>
                      <w:rFonts w:ascii="Calibri" w:hAnsi="Calibri" w:cs="Calibri"/>
                      <w:b/>
                      <w:bCs/>
                      <w:color w:val="FFFFFF"/>
                      <w:sz w:val="16"/>
                      <w:szCs w:val="16"/>
                    </w:rPr>
                  </w:pPr>
                  <w:r w:rsidRPr="00AD6720">
                    <w:rPr>
                      <w:rFonts w:ascii="Calibri" w:hAnsi="Calibri" w:cs="Calibri"/>
                      <w:b/>
                      <w:bCs/>
                      <w:color w:val="FFFFFF"/>
                      <w:sz w:val="16"/>
                      <w:szCs w:val="16"/>
                    </w:rPr>
                    <w:t> </w:t>
                  </w:r>
                </w:p>
              </w:tc>
              <w:tc>
                <w:tcPr>
                  <w:tcW w:w="960" w:type="dxa"/>
                  <w:tcBorders>
                    <w:top w:val="nil"/>
                    <w:left w:val="nil"/>
                    <w:bottom w:val="nil"/>
                    <w:right w:val="single" w:sz="4" w:space="0" w:color="FFFFFF"/>
                  </w:tcBorders>
                  <w:shd w:val="clear" w:color="000000" w:fill="0070B9"/>
                  <w:hideMark/>
                </w:tcPr>
                <w:p w:rsidR="00106232" w:rsidRPr="00AD6720" w:rsidRDefault="00106232" w:rsidP="00B07207">
                  <w:pPr>
                    <w:rPr>
                      <w:rFonts w:ascii="Calibri" w:hAnsi="Calibri" w:cs="Calibri"/>
                      <w:b/>
                      <w:bCs/>
                      <w:color w:val="FFFFFF"/>
                      <w:sz w:val="16"/>
                      <w:szCs w:val="16"/>
                    </w:rPr>
                  </w:pPr>
                  <w:r w:rsidRPr="00AD6720">
                    <w:rPr>
                      <w:rFonts w:ascii="Calibri" w:hAnsi="Calibri" w:cs="Calibri"/>
                      <w:b/>
                      <w:bCs/>
                      <w:color w:val="FFFFFF"/>
                      <w:sz w:val="16"/>
                      <w:szCs w:val="16"/>
                    </w:rPr>
                    <w:t>Annual</w:t>
                  </w:r>
                </w:p>
              </w:tc>
              <w:tc>
                <w:tcPr>
                  <w:tcW w:w="960" w:type="dxa"/>
                  <w:tcBorders>
                    <w:top w:val="nil"/>
                    <w:left w:val="nil"/>
                    <w:bottom w:val="nil"/>
                    <w:right w:val="single" w:sz="4" w:space="0" w:color="FFFFFF"/>
                  </w:tcBorders>
                  <w:shd w:val="clear" w:color="000000" w:fill="0070B9"/>
                  <w:hideMark/>
                </w:tcPr>
                <w:p w:rsidR="00106232" w:rsidRPr="00AD6720" w:rsidRDefault="00106232" w:rsidP="00B07207">
                  <w:pPr>
                    <w:rPr>
                      <w:rFonts w:ascii="Calibri" w:hAnsi="Calibri" w:cs="Calibri"/>
                      <w:b/>
                      <w:bCs/>
                      <w:color w:val="FFFFFF"/>
                      <w:sz w:val="16"/>
                      <w:szCs w:val="16"/>
                    </w:rPr>
                  </w:pPr>
                  <w:r w:rsidRPr="00AD6720">
                    <w:rPr>
                      <w:rFonts w:ascii="Calibri" w:hAnsi="Calibri" w:cs="Calibri"/>
                      <w:b/>
                      <w:bCs/>
                      <w:color w:val="FFFFFF"/>
                      <w:sz w:val="16"/>
                      <w:szCs w:val="16"/>
                    </w:rPr>
                    <w:t>Next year</w:t>
                  </w:r>
                </w:p>
              </w:tc>
              <w:tc>
                <w:tcPr>
                  <w:tcW w:w="2880" w:type="dxa"/>
                  <w:gridSpan w:val="3"/>
                  <w:tcBorders>
                    <w:top w:val="nil"/>
                    <w:left w:val="nil"/>
                    <w:bottom w:val="nil"/>
                    <w:right w:val="single" w:sz="4" w:space="0" w:color="FFFFFF"/>
                  </w:tcBorders>
                  <w:shd w:val="clear" w:color="000000" w:fill="0070B9"/>
                  <w:hideMark/>
                </w:tcPr>
                <w:p w:rsidR="00106232" w:rsidRPr="00AD6720" w:rsidRDefault="00106232" w:rsidP="00B07207">
                  <w:pPr>
                    <w:jc w:val="center"/>
                    <w:rPr>
                      <w:rFonts w:ascii="Calibri" w:hAnsi="Calibri" w:cs="Calibri"/>
                      <w:b/>
                      <w:bCs/>
                      <w:color w:val="FFFFFF"/>
                      <w:sz w:val="16"/>
                      <w:szCs w:val="16"/>
                    </w:rPr>
                  </w:pPr>
                  <w:r w:rsidRPr="00AD6720">
                    <w:rPr>
                      <w:rFonts w:ascii="Calibri" w:hAnsi="Calibri" w:cs="Calibri"/>
                      <w:b/>
                      <w:bCs/>
                      <w:color w:val="FFFFFF"/>
                      <w:sz w:val="16"/>
                      <w:szCs w:val="16"/>
                    </w:rPr>
                    <w:t>In month (£)</w:t>
                  </w:r>
                </w:p>
              </w:tc>
              <w:tc>
                <w:tcPr>
                  <w:tcW w:w="2880" w:type="dxa"/>
                  <w:gridSpan w:val="3"/>
                  <w:tcBorders>
                    <w:top w:val="nil"/>
                    <w:left w:val="nil"/>
                    <w:bottom w:val="nil"/>
                    <w:right w:val="single" w:sz="4" w:space="0" w:color="FFFFFF"/>
                  </w:tcBorders>
                  <w:shd w:val="clear" w:color="000000" w:fill="0070B9"/>
                  <w:hideMark/>
                </w:tcPr>
                <w:p w:rsidR="00106232" w:rsidRPr="00AD6720" w:rsidRDefault="00106232" w:rsidP="00B07207">
                  <w:pPr>
                    <w:jc w:val="center"/>
                    <w:rPr>
                      <w:rFonts w:ascii="Calibri" w:hAnsi="Calibri" w:cs="Calibri"/>
                      <w:b/>
                      <w:bCs/>
                      <w:color w:val="FFFFFF"/>
                      <w:sz w:val="16"/>
                      <w:szCs w:val="16"/>
                    </w:rPr>
                  </w:pPr>
                  <w:r w:rsidRPr="00AD6720">
                    <w:rPr>
                      <w:rFonts w:ascii="Calibri" w:hAnsi="Calibri" w:cs="Calibri"/>
                      <w:b/>
                      <w:bCs/>
                      <w:color w:val="FFFFFF"/>
                      <w:sz w:val="16"/>
                      <w:szCs w:val="16"/>
                    </w:rPr>
                    <w:t>Year to date (£)</w:t>
                  </w:r>
                </w:p>
              </w:tc>
            </w:tr>
            <w:tr w:rsidR="00106232" w:rsidRPr="00AD6720" w:rsidTr="00B07207">
              <w:trPr>
                <w:trHeight w:val="300"/>
              </w:trPr>
              <w:tc>
                <w:tcPr>
                  <w:tcW w:w="4860" w:type="dxa"/>
                  <w:tcBorders>
                    <w:top w:val="nil"/>
                    <w:left w:val="nil"/>
                    <w:bottom w:val="nil"/>
                    <w:right w:val="nil"/>
                  </w:tcBorders>
                  <w:shd w:val="clear" w:color="000000" w:fill="0070B9"/>
                  <w:hideMark/>
                </w:tcPr>
                <w:p w:rsidR="00106232" w:rsidRPr="00AD6720" w:rsidRDefault="00106232" w:rsidP="00B07207">
                  <w:pPr>
                    <w:rPr>
                      <w:rFonts w:ascii="Calibri" w:hAnsi="Calibri" w:cs="Calibri"/>
                      <w:b/>
                      <w:bCs/>
                      <w:color w:val="FFFFFF"/>
                      <w:sz w:val="16"/>
                      <w:szCs w:val="16"/>
                    </w:rPr>
                  </w:pPr>
                  <w:r w:rsidRPr="00AD6720">
                    <w:rPr>
                      <w:rFonts w:ascii="Calibri" w:hAnsi="Calibri" w:cs="Calibri"/>
                      <w:b/>
                      <w:bCs/>
                      <w:color w:val="FFFFFF"/>
                      <w:sz w:val="16"/>
                      <w:szCs w:val="16"/>
                    </w:rPr>
                    <w:t>Subjective</w:t>
                  </w:r>
                </w:p>
              </w:tc>
              <w:tc>
                <w:tcPr>
                  <w:tcW w:w="960" w:type="dxa"/>
                  <w:tcBorders>
                    <w:top w:val="nil"/>
                    <w:left w:val="nil"/>
                    <w:bottom w:val="nil"/>
                    <w:right w:val="single" w:sz="4" w:space="0" w:color="FFFFFF"/>
                  </w:tcBorders>
                  <w:shd w:val="clear" w:color="000000" w:fill="0070B9"/>
                  <w:hideMark/>
                </w:tcPr>
                <w:p w:rsidR="00106232" w:rsidRPr="00AD6720" w:rsidRDefault="00106232" w:rsidP="00B07207">
                  <w:pPr>
                    <w:rPr>
                      <w:rFonts w:ascii="Calibri" w:hAnsi="Calibri" w:cs="Calibri"/>
                      <w:b/>
                      <w:bCs/>
                      <w:color w:val="FFFFFF"/>
                      <w:sz w:val="16"/>
                      <w:szCs w:val="16"/>
                    </w:rPr>
                  </w:pPr>
                  <w:r w:rsidRPr="00AD6720">
                    <w:rPr>
                      <w:rFonts w:ascii="Calibri" w:hAnsi="Calibri" w:cs="Calibri"/>
                      <w:b/>
                      <w:bCs/>
                      <w:color w:val="FFFFFF"/>
                      <w:sz w:val="16"/>
                      <w:szCs w:val="16"/>
                    </w:rPr>
                    <w:t>budget (£)</w:t>
                  </w:r>
                </w:p>
              </w:tc>
              <w:tc>
                <w:tcPr>
                  <w:tcW w:w="960" w:type="dxa"/>
                  <w:tcBorders>
                    <w:top w:val="nil"/>
                    <w:left w:val="nil"/>
                    <w:bottom w:val="nil"/>
                    <w:right w:val="single" w:sz="4" w:space="0" w:color="FFFFFF"/>
                  </w:tcBorders>
                  <w:shd w:val="clear" w:color="000000" w:fill="0070B9"/>
                  <w:hideMark/>
                </w:tcPr>
                <w:p w:rsidR="00106232" w:rsidRPr="00AD6720" w:rsidRDefault="00106232" w:rsidP="00B07207">
                  <w:pPr>
                    <w:rPr>
                      <w:rFonts w:ascii="Calibri" w:hAnsi="Calibri" w:cs="Calibri"/>
                      <w:b/>
                      <w:bCs/>
                      <w:color w:val="FFFFFF"/>
                      <w:sz w:val="16"/>
                      <w:szCs w:val="16"/>
                    </w:rPr>
                  </w:pPr>
                  <w:r w:rsidRPr="00AD6720">
                    <w:rPr>
                      <w:rFonts w:ascii="Calibri" w:hAnsi="Calibri" w:cs="Calibri"/>
                      <w:b/>
                      <w:bCs/>
                      <w:color w:val="FFFFFF"/>
                      <w:sz w:val="16"/>
                      <w:szCs w:val="16"/>
                    </w:rPr>
                    <w:t>plan (£)</w:t>
                  </w:r>
                </w:p>
              </w:tc>
              <w:tc>
                <w:tcPr>
                  <w:tcW w:w="960" w:type="dxa"/>
                  <w:tcBorders>
                    <w:top w:val="nil"/>
                    <w:left w:val="nil"/>
                    <w:bottom w:val="nil"/>
                    <w:right w:val="single" w:sz="4" w:space="0" w:color="FFFFFF"/>
                  </w:tcBorders>
                  <w:shd w:val="clear" w:color="000000" w:fill="0070B9"/>
                  <w:hideMark/>
                </w:tcPr>
                <w:p w:rsidR="00106232" w:rsidRPr="00AD6720" w:rsidRDefault="00106232" w:rsidP="00B07207">
                  <w:pPr>
                    <w:rPr>
                      <w:rFonts w:ascii="Calibri" w:hAnsi="Calibri" w:cs="Calibri"/>
                      <w:b/>
                      <w:bCs/>
                      <w:color w:val="FFFFFF"/>
                      <w:sz w:val="16"/>
                      <w:szCs w:val="16"/>
                    </w:rPr>
                  </w:pPr>
                  <w:r w:rsidRPr="00AD6720">
                    <w:rPr>
                      <w:rFonts w:ascii="Calibri" w:hAnsi="Calibri" w:cs="Calibri"/>
                      <w:b/>
                      <w:bCs/>
                      <w:color w:val="FFFFFF"/>
                      <w:sz w:val="16"/>
                      <w:szCs w:val="16"/>
                    </w:rPr>
                    <w:t>Budget</w:t>
                  </w:r>
                </w:p>
              </w:tc>
              <w:tc>
                <w:tcPr>
                  <w:tcW w:w="960" w:type="dxa"/>
                  <w:tcBorders>
                    <w:top w:val="nil"/>
                    <w:left w:val="nil"/>
                    <w:bottom w:val="nil"/>
                    <w:right w:val="single" w:sz="4" w:space="0" w:color="FFFFFF"/>
                  </w:tcBorders>
                  <w:shd w:val="clear" w:color="000000" w:fill="0070B9"/>
                  <w:hideMark/>
                </w:tcPr>
                <w:p w:rsidR="00106232" w:rsidRPr="00AD6720" w:rsidRDefault="00106232" w:rsidP="00B07207">
                  <w:pPr>
                    <w:rPr>
                      <w:rFonts w:ascii="Calibri" w:hAnsi="Calibri" w:cs="Calibri"/>
                      <w:b/>
                      <w:bCs/>
                      <w:color w:val="FFFFFF"/>
                      <w:sz w:val="16"/>
                      <w:szCs w:val="16"/>
                    </w:rPr>
                  </w:pPr>
                  <w:r w:rsidRPr="00AD6720">
                    <w:rPr>
                      <w:rFonts w:ascii="Calibri" w:hAnsi="Calibri" w:cs="Calibri"/>
                      <w:b/>
                      <w:bCs/>
                      <w:color w:val="FFFFFF"/>
                      <w:sz w:val="16"/>
                      <w:szCs w:val="16"/>
                    </w:rPr>
                    <w:t>Actual</w:t>
                  </w:r>
                </w:p>
              </w:tc>
              <w:tc>
                <w:tcPr>
                  <w:tcW w:w="960" w:type="dxa"/>
                  <w:tcBorders>
                    <w:top w:val="nil"/>
                    <w:left w:val="nil"/>
                    <w:bottom w:val="nil"/>
                    <w:right w:val="single" w:sz="4" w:space="0" w:color="FFFFFF"/>
                  </w:tcBorders>
                  <w:shd w:val="clear" w:color="000000" w:fill="0070B9"/>
                  <w:hideMark/>
                </w:tcPr>
                <w:p w:rsidR="00106232" w:rsidRPr="00AD6720" w:rsidRDefault="00106232" w:rsidP="00B07207">
                  <w:pPr>
                    <w:rPr>
                      <w:rFonts w:ascii="Calibri" w:hAnsi="Calibri" w:cs="Calibri"/>
                      <w:b/>
                      <w:bCs/>
                      <w:color w:val="FFFFFF"/>
                      <w:sz w:val="16"/>
                      <w:szCs w:val="16"/>
                    </w:rPr>
                  </w:pPr>
                  <w:r w:rsidRPr="00AD6720">
                    <w:rPr>
                      <w:rFonts w:ascii="Calibri" w:hAnsi="Calibri" w:cs="Calibri"/>
                      <w:b/>
                      <w:bCs/>
                      <w:color w:val="FFFFFF"/>
                      <w:sz w:val="16"/>
                      <w:szCs w:val="16"/>
                    </w:rPr>
                    <w:t>Variance</w:t>
                  </w:r>
                </w:p>
              </w:tc>
              <w:tc>
                <w:tcPr>
                  <w:tcW w:w="960" w:type="dxa"/>
                  <w:tcBorders>
                    <w:top w:val="nil"/>
                    <w:left w:val="nil"/>
                    <w:bottom w:val="nil"/>
                    <w:right w:val="single" w:sz="4" w:space="0" w:color="FFFFFF"/>
                  </w:tcBorders>
                  <w:shd w:val="clear" w:color="000000" w:fill="0070B9"/>
                  <w:hideMark/>
                </w:tcPr>
                <w:p w:rsidR="00106232" w:rsidRPr="00AD6720" w:rsidRDefault="00106232" w:rsidP="00B07207">
                  <w:pPr>
                    <w:rPr>
                      <w:rFonts w:ascii="Calibri" w:hAnsi="Calibri" w:cs="Calibri"/>
                      <w:b/>
                      <w:bCs/>
                      <w:color w:val="FFFFFF"/>
                      <w:sz w:val="16"/>
                      <w:szCs w:val="16"/>
                    </w:rPr>
                  </w:pPr>
                  <w:r w:rsidRPr="00AD6720">
                    <w:rPr>
                      <w:rFonts w:ascii="Calibri" w:hAnsi="Calibri" w:cs="Calibri"/>
                      <w:b/>
                      <w:bCs/>
                      <w:color w:val="FFFFFF"/>
                      <w:sz w:val="16"/>
                      <w:szCs w:val="16"/>
                    </w:rPr>
                    <w:t>Budget</w:t>
                  </w:r>
                </w:p>
              </w:tc>
              <w:tc>
                <w:tcPr>
                  <w:tcW w:w="960" w:type="dxa"/>
                  <w:tcBorders>
                    <w:top w:val="nil"/>
                    <w:left w:val="nil"/>
                    <w:bottom w:val="nil"/>
                    <w:right w:val="single" w:sz="4" w:space="0" w:color="FFFFFF"/>
                  </w:tcBorders>
                  <w:shd w:val="clear" w:color="000000" w:fill="0070B9"/>
                  <w:hideMark/>
                </w:tcPr>
                <w:p w:rsidR="00106232" w:rsidRPr="00AD6720" w:rsidRDefault="00106232" w:rsidP="00B07207">
                  <w:pPr>
                    <w:rPr>
                      <w:rFonts w:ascii="Calibri" w:hAnsi="Calibri" w:cs="Calibri"/>
                      <w:b/>
                      <w:bCs/>
                      <w:color w:val="FFFFFF"/>
                      <w:sz w:val="16"/>
                      <w:szCs w:val="16"/>
                    </w:rPr>
                  </w:pPr>
                  <w:r w:rsidRPr="00AD6720">
                    <w:rPr>
                      <w:rFonts w:ascii="Calibri" w:hAnsi="Calibri" w:cs="Calibri"/>
                      <w:b/>
                      <w:bCs/>
                      <w:color w:val="FFFFFF"/>
                      <w:sz w:val="16"/>
                      <w:szCs w:val="16"/>
                    </w:rPr>
                    <w:t>Actual</w:t>
                  </w:r>
                </w:p>
              </w:tc>
              <w:tc>
                <w:tcPr>
                  <w:tcW w:w="960" w:type="dxa"/>
                  <w:tcBorders>
                    <w:top w:val="nil"/>
                    <w:left w:val="nil"/>
                    <w:bottom w:val="nil"/>
                    <w:right w:val="single" w:sz="4" w:space="0" w:color="FFFFFF"/>
                  </w:tcBorders>
                  <w:shd w:val="clear" w:color="000000" w:fill="0070B9"/>
                  <w:hideMark/>
                </w:tcPr>
                <w:p w:rsidR="00106232" w:rsidRPr="00AD6720" w:rsidRDefault="00106232" w:rsidP="00B07207">
                  <w:pPr>
                    <w:rPr>
                      <w:rFonts w:ascii="Calibri" w:hAnsi="Calibri" w:cs="Calibri"/>
                      <w:b/>
                      <w:bCs/>
                      <w:color w:val="FFFFFF"/>
                      <w:sz w:val="16"/>
                      <w:szCs w:val="16"/>
                    </w:rPr>
                  </w:pPr>
                  <w:r w:rsidRPr="00AD6720">
                    <w:rPr>
                      <w:rFonts w:ascii="Calibri" w:hAnsi="Calibri" w:cs="Calibri"/>
                      <w:b/>
                      <w:bCs/>
                      <w:color w:val="FFFFFF"/>
                      <w:sz w:val="16"/>
                      <w:szCs w:val="16"/>
                    </w:rPr>
                    <w:t>Variance</w:t>
                  </w:r>
                </w:p>
              </w:tc>
            </w:tr>
            <w:tr w:rsidR="00106232" w:rsidRPr="00AD6720" w:rsidTr="00B07207">
              <w:trPr>
                <w:trHeight w:val="300"/>
              </w:trPr>
              <w:tc>
                <w:tcPr>
                  <w:tcW w:w="4860" w:type="dxa"/>
                  <w:tcBorders>
                    <w:top w:val="nil"/>
                    <w:left w:val="nil"/>
                    <w:bottom w:val="nil"/>
                    <w:right w:val="nil"/>
                  </w:tcBorders>
                  <w:shd w:val="clear" w:color="auto" w:fill="auto"/>
                  <w:noWrap/>
                  <w:vAlign w:val="bottom"/>
                  <w:hideMark/>
                </w:tcPr>
                <w:p w:rsidR="00106232" w:rsidRPr="00AD6720" w:rsidRDefault="00106232" w:rsidP="00B07207">
                  <w:pPr>
                    <w:outlineLvl w:val="0"/>
                    <w:rPr>
                      <w:rFonts w:ascii="Arial Narrow" w:hAnsi="Arial Narrow" w:cs="Calibri"/>
                      <w:b/>
                      <w:bCs/>
                      <w:color w:val="000000"/>
                      <w:sz w:val="16"/>
                      <w:szCs w:val="16"/>
                    </w:rPr>
                  </w:pPr>
                  <w:r w:rsidRPr="00AD6720">
                    <w:rPr>
                      <w:rFonts w:ascii="Arial Narrow" w:hAnsi="Arial Narrow" w:cs="Calibri"/>
                      <w:b/>
                      <w:bCs/>
                      <w:color w:val="000000"/>
                      <w:sz w:val="16"/>
                      <w:szCs w:val="16"/>
                    </w:rPr>
                    <w:t>Meeting Rooms/Catering</w:t>
                  </w:r>
                </w:p>
              </w:tc>
              <w:tc>
                <w:tcPr>
                  <w:tcW w:w="960" w:type="dxa"/>
                  <w:tcBorders>
                    <w:top w:val="nil"/>
                    <w:left w:val="nil"/>
                    <w:bottom w:val="nil"/>
                    <w:right w:val="nil"/>
                  </w:tcBorders>
                  <w:shd w:val="clear" w:color="auto" w:fill="auto"/>
                  <w:hideMark/>
                </w:tcPr>
                <w:p w:rsidR="00106232" w:rsidRPr="00AD6720" w:rsidRDefault="00106232" w:rsidP="00B07207">
                  <w:pPr>
                    <w:jc w:val="right"/>
                    <w:outlineLvl w:val="0"/>
                    <w:rPr>
                      <w:rFonts w:ascii="Calibri" w:hAnsi="Calibri" w:cs="Calibri"/>
                      <w:color w:val="000000"/>
                      <w:sz w:val="16"/>
                      <w:szCs w:val="16"/>
                    </w:rPr>
                  </w:pPr>
                  <w:r w:rsidRPr="00AD6720">
                    <w:rPr>
                      <w:rFonts w:ascii="Calibri" w:hAnsi="Calibri" w:cs="Calibri"/>
                      <w:color w:val="000000"/>
                      <w:sz w:val="16"/>
                      <w:szCs w:val="16"/>
                    </w:rPr>
                    <w:t xml:space="preserve">214,531 </w:t>
                  </w:r>
                </w:p>
              </w:tc>
              <w:tc>
                <w:tcPr>
                  <w:tcW w:w="960" w:type="dxa"/>
                  <w:tcBorders>
                    <w:top w:val="nil"/>
                    <w:left w:val="nil"/>
                    <w:bottom w:val="nil"/>
                    <w:right w:val="nil"/>
                  </w:tcBorders>
                  <w:shd w:val="clear" w:color="auto" w:fill="auto"/>
                  <w:hideMark/>
                </w:tcPr>
                <w:p w:rsidR="00106232" w:rsidRPr="00AD6720" w:rsidRDefault="00106232" w:rsidP="00B07207">
                  <w:pPr>
                    <w:jc w:val="right"/>
                    <w:outlineLvl w:val="0"/>
                    <w:rPr>
                      <w:rFonts w:ascii="Calibri" w:hAnsi="Calibri" w:cs="Calibri"/>
                      <w:color w:val="000000"/>
                      <w:sz w:val="16"/>
                      <w:szCs w:val="16"/>
                    </w:rPr>
                  </w:pPr>
                  <w:r w:rsidRPr="00AD6720">
                    <w:rPr>
                      <w:rFonts w:ascii="Calibri" w:hAnsi="Calibri" w:cs="Calibri"/>
                      <w:color w:val="000000"/>
                      <w:sz w:val="16"/>
                      <w:szCs w:val="16"/>
                    </w:rPr>
                    <w:t xml:space="preserve">219,040 </w:t>
                  </w:r>
                </w:p>
              </w:tc>
              <w:tc>
                <w:tcPr>
                  <w:tcW w:w="960" w:type="dxa"/>
                  <w:tcBorders>
                    <w:top w:val="nil"/>
                    <w:left w:val="nil"/>
                    <w:bottom w:val="nil"/>
                    <w:right w:val="nil"/>
                  </w:tcBorders>
                  <w:shd w:val="clear" w:color="auto" w:fill="auto"/>
                  <w:hideMark/>
                </w:tcPr>
                <w:p w:rsidR="00106232" w:rsidRPr="00AD6720" w:rsidRDefault="00106232" w:rsidP="00B07207">
                  <w:pPr>
                    <w:jc w:val="right"/>
                    <w:outlineLvl w:val="0"/>
                    <w:rPr>
                      <w:rFonts w:ascii="Calibri" w:hAnsi="Calibri" w:cs="Calibri"/>
                      <w:color w:val="000000"/>
                      <w:sz w:val="16"/>
                      <w:szCs w:val="16"/>
                    </w:rPr>
                  </w:pPr>
                  <w:r w:rsidRPr="00AD6720">
                    <w:rPr>
                      <w:rFonts w:ascii="Calibri" w:hAnsi="Calibri" w:cs="Calibri"/>
                      <w:color w:val="000000"/>
                      <w:sz w:val="16"/>
                      <w:szCs w:val="16"/>
                    </w:rPr>
                    <w:t xml:space="preserve">11,886 </w:t>
                  </w:r>
                </w:p>
              </w:tc>
              <w:tc>
                <w:tcPr>
                  <w:tcW w:w="960" w:type="dxa"/>
                  <w:tcBorders>
                    <w:top w:val="nil"/>
                    <w:left w:val="nil"/>
                    <w:bottom w:val="nil"/>
                    <w:right w:val="nil"/>
                  </w:tcBorders>
                  <w:shd w:val="clear" w:color="auto" w:fill="auto"/>
                  <w:hideMark/>
                </w:tcPr>
                <w:p w:rsidR="00106232" w:rsidRPr="00AD6720" w:rsidRDefault="00106232" w:rsidP="00B07207">
                  <w:pPr>
                    <w:jc w:val="right"/>
                    <w:outlineLvl w:val="0"/>
                    <w:rPr>
                      <w:rFonts w:ascii="Calibri" w:hAnsi="Calibri" w:cs="Calibri"/>
                      <w:color w:val="000000"/>
                      <w:sz w:val="16"/>
                      <w:szCs w:val="16"/>
                    </w:rPr>
                  </w:pPr>
                  <w:r w:rsidRPr="00AD6720">
                    <w:rPr>
                      <w:rFonts w:ascii="Calibri" w:hAnsi="Calibri" w:cs="Calibri"/>
                      <w:color w:val="000000"/>
                      <w:sz w:val="16"/>
                      <w:szCs w:val="16"/>
                    </w:rPr>
                    <w:t xml:space="preserve">24,526 </w:t>
                  </w:r>
                </w:p>
              </w:tc>
              <w:tc>
                <w:tcPr>
                  <w:tcW w:w="960" w:type="dxa"/>
                  <w:tcBorders>
                    <w:top w:val="nil"/>
                    <w:left w:val="nil"/>
                    <w:bottom w:val="nil"/>
                    <w:right w:val="nil"/>
                  </w:tcBorders>
                  <w:shd w:val="clear" w:color="auto" w:fill="auto"/>
                  <w:hideMark/>
                </w:tcPr>
                <w:p w:rsidR="00106232" w:rsidRPr="00AD6720" w:rsidRDefault="00106232" w:rsidP="00B07207">
                  <w:pPr>
                    <w:jc w:val="right"/>
                    <w:outlineLvl w:val="0"/>
                    <w:rPr>
                      <w:rFonts w:ascii="Calibri" w:hAnsi="Calibri" w:cs="Calibri"/>
                      <w:color w:val="000000"/>
                      <w:sz w:val="16"/>
                      <w:szCs w:val="16"/>
                    </w:rPr>
                  </w:pPr>
                  <w:r w:rsidRPr="00AD6720">
                    <w:rPr>
                      <w:rFonts w:ascii="Calibri" w:hAnsi="Calibri" w:cs="Calibri"/>
                      <w:color w:val="000000"/>
                      <w:sz w:val="16"/>
                      <w:szCs w:val="16"/>
                    </w:rPr>
                    <w:t xml:space="preserve">12,640 </w:t>
                  </w:r>
                </w:p>
              </w:tc>
              <w:tc>
                <w:tcPr>
                  <w:tcW w:w="960" w:type="dxa"/>
                  <w:tcBorders>
                    <w:top w:val="nil"/>
                    <w:left w:val="nil"/>
                    <w:bottom w:val="nil"/>
                    <w:right w:val="nil"/>
                  </w:tcBorders>
                  <w:shd w:val="clear" w:color="auto" w:fill="auto"/>
                  <w:hideMark/>
                </w:tcPr>
                <w:p w:rsidR="00106232" w:rsidRPr="00AD6720" w:rsidRDefault="00106232" w:rsidP="00B07207">
                  <w:pPr>
                    <w:jc w:val="right"/>
                    <w:outlineLvl w:val="0"/>
                    <w:rPr>
                      <w:rFonts w:ascii="Calibri" w:hAnsi="Calibri" w:cs="Calibri"/>
                      <w:color w:val="000000"/>
                      <w:sz w:val="16"/>
                      <w:szCs w:val="16"/>
                    </w:rPr>
                  </w:pPr>
                  <w:r w:rsidRPr="00AD6720">
                    <w:rPr>
                      <w:rFonts w:ascii="Calibri" w:hAnsi="Calibri" w:cs="Calibri"/>
                      <w:color w:val="000000"/>
                      <w:sz w:val="16"/>
                      <w:szCs w:val="16"/>
                    </w:rPr>
                    <w:t xml:space="preserve">131,907 </w:t>
                  </w:r>
                </w:p>
              </w:tc>
              <w:tc>
                <w:tcPr>
                  <w:tcW w:w="960" w:type="dxa"/>
                  <w:tcBorders>
                    <w:top w:val="nil"/>
                    <w:left w:val="nil"/>
                    <w:bottom w:val="nil"/>
                    <w:right w:val="nil"/>
                  </w:tcBorders>
                  <w:shd w:val="clear" w:color="auto" w:fill="auto"/>
                  <w:hideMark/>
                </w:tcPr>
                <w:p w:rsidR="00106232" w:rsidRPr="00AD6720" w:rsidRDefault="00106232" w:rsidP="00B07207">
                  <w:pPr>
                    <w:jc w:val="right"/>
                    <w:outlineLvl w:val="0"/>
                    <w:rPr>
                      <w:rFonts w:ascii="Calibri" w:hAnsi="Calibri" w:cs="Calibri"/>
                      <w:color w:val="000000"/>
                      <w:sz w:val="16"/>
                      <w:szCs w:val="16"/>
                    </w:rPr>
                  </w:pPr>
                  <w:r w:rsidRPr="00AD6720">
                    <w:rPr>
                      <w:rFonts w:ascii="Calibri" w:hAnsi="Calibri" w:cs="Calibri"/>
                      <w:color w:val="000000"/>
                      <w:sz w:val="16"/>
                      <w:szCs w:val="16"/>
                    </w:rPr>
                    <w:t xml:space="preserve">135,063 </w:t>
                  </w:r>
                </w:p>
              </w:tc>
              <w:tc>
                <w:tcPr>
                  <w:tcW w:w="960" w:type="dxa"/>
                  <w:tcBorders>
                    <w:top w:val="nil"/>
                    <w:left w:val="nil"/>
                    <w:bottom w:val="nil"/>
                    <w:right w:val="nil"/>
                  </w:tcBorders>
                  <w:shd w:val="clear" w:color="auto" w:fill="auto"/>
                  <w:hideMark/>
                </w:tcPr>
                <w:p w:rsidR="00106232" w:rsidRPr="00AD6720" w:rsidRDefault="00106232" w:rsidP="00B07207">
                  <w:pPr>
                    <w:jc w:val="right"/>
                    <w:outlineLvl w:val="0"/>
                    <w:rPr>
                      <w:rFonts w:ascii="Calibri" w:hAnsi="Calibri" w:cs="Calibri"/>
                      <w:color w:val="000000"/>
                      <w:sz w:val="16"/>
                      <w:szCs w:val="16"/>
                    </w:rPr>
                  </w:pPr>
                  <w:r w:rsidRPr="00AD6720">
                    <w:rPr>
                      <w:rFonts w:ascii="Calibri" w:hAnsi="Calibri" w:cs="Calibri"/>
                      <w:color w:val="000000"/>
                      <w:sz w:val="16"/>
                      <w:szCs w:val="16"/>
                    </w:rPr>
                    <w:t xml:space="preserve">3,156 </w:t>
                  </w:r>
                </w:p>
              </w:tc>
            </w:tr>
            <w:tr w:rsidR="00106232" w:rsidRPr="00AD6720" w:rsidTr="00B07207">
              <w:trPr>
                <w:trHeight w:val="300"/>
              </w:trPr>
              <w:tc>
                <w:tcPr>
                  <w:tcW w:w="4860" w:type="dxa"/>
                  <w:tcBorders>
                    <w:top w:val="nil"/>
                    <w:left w:val="nil"/>
                    <w:bottom w:val="nil"/>
                    <w:right w:val="nil"/>
                  </w:tcBorders>
                  <w:shd w:val="clear" w:color="auto" w:fill="auto"/>
                  <w:noWrap/>
                  <w:vAlign w:val="bottom"/>
                  <w:hideMark/>
                </w:tcPr>
                <w:p w:rsidR="00106232" w:rsidRPr="00AD6720" w:rsidRDefault="00106232" w:rsidP="00B07207">
                  <w:pPr>
                    <w:outlineLvl w:val="0"/>
                    <w:rPr>
                      <w:rFonts w:ascii="Arial Narrow" w:hAnsi="Arial Narrow" w:cs="Calibri"/>
                      <w:b/>
                      <w:bCs/>
                      <w:color w:val="000000"/>
                      <w:sz w:val="16"/>
                      <w:szCs w:val="16"/>
                    </w:rPr>
                  </w:pPr>
                  <w:r w:rsidRPr="00AD6720">
                    <w:rPr>
                      <w:rFonts w:ascii="Arial Narrow" w:hAnsi="Arial Narrow" w:cs="Calibri"/>
                      <w:b/>
                      <w:bCs/>
                      <w:color w:val="000000"/>
                      <w:sz w:val="16"/>
                      <w:szCs w:val="16"/>
                    </w:rPr>
                    <w:t>Office equipment/Stationery/Furniture/Consumable</w:t>
                  </w:r>
                </w:p>
              </w:tc>
              <w:tc>
                <w:tcPr>
                  <w:tcW w:w="960" w:type="dxa"/>
                  <w:tcBorders>
                    <w:top w:val="nil"/>
                    <w:left w:val="nil"/>
                    <w:bottom w:val="nil"/>
                    <w:right w:val="nil"/>
                  </w:tcBorders>
                  <w:shd w:val="clear" w:color="auto" w:fill="auto"/>
                  <w:hideMark/>
                </w:tcPr>
                <w:p w:rsidR="00106232" w:rsidRPr="00AD6720" w:rsidRDefault="00106232" w:rsidP="00B07207">
                  <w:pPr>
                    <w:jc w:val="right"/>
                    <w:outlineLvl w:val="0"/>
                    <w:rPr>
                      <w:rFonts w:ascii="Calibri" w:hAnsi="Calibri" w:cs="Calibri"/>
                      <w:color w:val="000000"/>
                      <w:sz w:val="16"/>
                      <w:szCs w:val="16"/>
                    </w:rPr>
                  </w:pPr>
                  <w:r w:rsidRPr="00AD6720">
                    <w:rPr>
                      <w:rFonts w:ascii="Calibri" w:hAnsi="Calibri" w:cs="Calibri"/>
                      <w:color w:val="000000"/>
                      <w:sz w:val="16"/>
                      <w:szCs w:val="16"/>
                    </w:rPr>
                    <w:t xml:space="preserve">67,769 </w:t>
                  </w:r>
                </w:p>
              </w:tc>
              <w:tc>
                <w:tcPr>
                  <w:tcW w:w="960" w:type="dxa"/>
                  <w:tcBorders>
                    <w:top w:val="nil"/>
                    <w:left w:val="nil"/>
                    <w:bottom w:val="nil"/>
                    <w:right w:val="nil"/>
                  </w:tcBorders>
                  <w:shd w:val="clear" w:color="auto" w:fill="auto"/>
                  <w:hideMark/>
                </w:tcPr>
                <w:p w:rsidR="00106232" w:rsidRPr="00AD6720" w:rsidRDefault="00106232" w:rsidP="00B07207">
                  <w:pPr>
                    <w:jc w:val="right"/>
                    <w:outlineLvl w:val="0"/>
                    <w:rPr>
                      <w:rFonts w:ascii="Calibri" w:hAnsi="Calibri" w:cs="Calibri"/>
                      <w:color w:val="000000"/>
                      <w:sz w:val="16"/>
                      <w:szCs w:val="16"/>
                    </w:rPr>
                  </w:pPr>
                  <w:r w:rsidRPr="00AD6720">
                    <w:rPr>
                      <w:rFonts w:ascii="Calibri" w:hAnsi="Calibri" w:cs="Calibri"/>
                      <w:color w:val="000000"/>
                      <w:sz w:val="16"/>
                      <w:szCs w:val="16"/>
                    </w:rPr>
                    <w:t xml:space="preserve">101,794 </w:t>
                  </w:r>
                </w:p>
              </w:tc>
              <w:tc>
                <w:tcPr>
                  <w:tcW w:w="960" w:type="dxa"/>
                  <w:tcBorders>
                    <w:top w:val="nil"/>
                    <w:left w:val="nil"/>
                    <w:bottom w:val="nil"/>
                    <w:right w:val="nil"/>
                  </w:tcBorders>
                  <w:shd w:val="clear" w:color="auto" w:fill="auto"/>
                  <w:hideMark/>
                </w:tcPr>
                <w:p w:rsidR="00106232" w:rsidRPr="00AD6720" w:rsidRDefault="00106232" w:rsidP="00B07207">
                  <w:pPr>
                    <w:jc w:val="right"/>
                    <w:outlineLvl w:val="0"/>
                    <w:rPr>
                      <w:rFonts w:ascii="Calibri" w:hAnsi="Calibri" w:cs="Calibri"/>
                      <w:color w:val="000000"/>
                      <w:sz w:val="16"/>
                      <w:szCs w:val="16"/>
                    </w:rPr>
                  </w:pPr>
                  <w:r w:rsidRPr="00AD6720">
                    <w:rPr>
                      <w:rFonts w:ascii="Calibri" w:hAnsi="Calibri" w:cs="Calibri"/>
                      <w:color w:val="000000"/>
                      <w:sz w:val="16"/>
                      <w:szCs w:val="16"/>
                    </w:rPr>
                    <w:t xml:space="preserve">8,521 </w:t>
                  </w:r>
                </w:p>
              </w:tc>
              <w:tc>
                <w:tcPr>
                  <w:tcW w:w="960" w:type="dxa"/>
                  <w:tcBorders>
                    <w:top w:val="nil"/>
                    <w:left w:val="nil"/>
                    <w:bottom w:val="nil"/>
                    <w:right w:val="nil"/>
                  </w:tcBorders>
                  <w:shd w:val="clear" w:color="auto" w:fill="auto"/>
                  <w:hideMark/>
                </w:tcPr>
                <w:p w:rsidR="00106232" w:rsidRPr="00AD6720" w:rsidRDefault="00106232" w:rsidP="00B07207">
                  <w:pPr>
                    <w:jc w:val="right"/>
                    <w:outlineLvl w:val="0"/>
                    <w:rPr>
                      <w:rFonts w:ascii="Calibri" w:hAnsi="Calibri" w:cs="Calibri"/>
                      <w:color w:val="000000"/>
                      <w:sz w:val="16"/>
                      <w:szCs w:val="16"/>
                    </w:rPr>
                  </w:pPr>
                  <w:r w:rsidRPr="00AD6720">
                    <w:rPr>
                      <w:rFonts w:ascii="Calibri" w:hAnsi="Calibri" w:cs="Calibri"/>
                      <w:color w:val="000000"/>
                      <w:sz w:val="16"/>
                      <w:szCs w:val="16"/>
                    </w:rPr>
                    <w:t xml:space="preserve">1,056 </w:t>
                  </w:r>
                </w:p>
              </w:tc>
              <w:tc>
                <w:tcPr>
                  <w:tcW w:w="960" w:type="dxa"/>
                  <w:tcBorders>
                    <w:top w:val="nil"/>
                    <w:left w:val="nil"/>
                    <w:bottom w:val="nil"/>
                    <w:right w:val="nil"/>
                  </w:tcBorders>
                  <w:shd w:val="clear" w:color="auto" w:fill="auto"/>
                  <w:hideMark/>
                </w:tcPr>
                <w:p w:rsidR="00106232" w:rsidRPr="00AD6720" w:rsidRDefault="00106232" w:rsidP="00B07207">
                  <w:pPr>
                    <w:jc w:val="right"/>
                    <w:outlineLvl w:val="0"/>
                    <w:rPr>
                      <w:rFonts w:ascii="Calibri" w:hAnsi="Calibri" w:cs="Calibri"/>
                      <w:color w:val="000000"/>
                      <w:sz w:val="16"/>
                      <w:szCs w:val="16"/>
                    </w:rPr>
                  </w:pPr>
                  <w:r w:rsidRPr="00AD6720">
                    <w:rPr>
                      <w:rFonts w:ascii="Calibri" w:hAnsi="Calibri" w:cs="Calibri"/>
                      <w:color w:val="000000"/>
                      <w:sz w:val="16"/>
                      <w:szCs w:val="16"/>
                    </w:rPr>
                    <w:t>(7,465)</w:t>
                  </w:r>
                </w:p>
              </w:tc>
              <w:tc>
                <w:tcPr>
                  <w:tcW w:w="960" w:type="dxa"/>
                  <w:tcBorders>
                    <w:top w:val="nil"/>
                    <w:left w:val="nil"/>
                    <w:bottom w:val="nil"/>
                    <w:right w:val="nil"/>
                  </w:tcBorders>
                  <w:shd w:val="clear" w:color="auto" w:fill="auto"/>
                  <w:hideMark/>
                </w:tcPr>
                <w:p w:rsidR="00106232" w:rsidRPr="00AD6720" w:rsidRDefault="00106232" w:rsidP="00B07207">
                  <w:pPr>
                    <w:jc w:val="right"/>
                    <w:outlineLvl w:val="0"/>
                    <w:rPr>
                      <w:rFonts w:ascii="Calibri" w:hAnsi="Calibri" w:cs="Calibri"/>
                      <w:color w:val="000000"/>
                      <w:sz w:val="16"/>
                      <w:szCs w:val="16"/>
                    </w:rPr>
                  </w:pPr>
                  <w:r w:rsidRPr="00AD6720">
                    <w:rPr>
                      <w:rFonts w:ascii="Calibri" w:hAnsi="Calibri" w:cs="Calibri"/>
                      <w:color w:val="000000"/>
                      <w:sz w:val="16"/>
                      <w:szCs w:val="16"/>
                    </w:rPr>
                    <w:t xml:space="preserve">35,207 </w:t>
                  </w:r>
                </w:p>
              </w:tc>
              <w:tc>
                <w:tcPr>
                  <w:tcW w:w="960" w:type="dxa"/>
                  <w:tcBorders>
                    <w:top w:val="nil"/>
                    <w:left w:val="nil"/>
                    <w:bottom w:val="nil"/>
                    <w:right w:val="nil"/>
                  </w:tcBorders>
                  <w:shd w:val="clear" w:color="auto" w:fill="auto"/>
                  <w:hideMark/>
                </w:tcPr>
                <w:p w:rsidR="00106232" w:rsidRPr="00AD6720" w:rsidRDefault="00106232" w:rsidP="00B07207">
                  <w:pPr>
                    <w:jc w:val="right"/>
                    <w:outlineLvl w:val="0"/>
                    <w:rPr>
                      <w:rFonts w:ascii="Calibri" w:hAnsi="Calibri" w:cs="Calibri"/>
                      <w:color w:val="000000"/>
                      <w:sz w:val="16"/>
                      <w:szCs w:val="16"/>
                    </w:rPr>
                  </w:pPr>
                  <w:r w:rsidRPr="00AD6720">
                    <w:rPr>
                      <w:rFonts w:ascii="Calibri" w:hAnsi="Calibri" w:cs="Calibri"/>
                      <w:color w:val="000000"/>
                      <w:sz w:val="16"/>
                      <w:szCs w:val="16"/>
                    </w:rPr>
                    <w:t xml:space="preserve">26,598 </w:t>
                  </w:r>
                </w:p>
              </w:tc>
              <w:tc>
                <w:tcPr>
                  <w:tcW w:w="960" w:type="dxa"/>
                  <w:tcBorders>
                    <w:top w:val="nil"/>
                    <w:left w:val="nil"/>
                    <w:bottom w:val="nil"/>
                    <w:right w:val="nil"/>
                  </w:tcBorders>
                  <w:shd w:val="clear" w:color="auto" w:fill="auto"/>
                  <w:hideMark/>
                </w:tcPr>
                <w:p w:rsidR="00106232" w:rsidRPr="00AD6720" w:rsidRDefault="00106232" w:rsidP="00B07207">
                  <w:pPr>
                    <w:jc w:val="right"/>
                    <w:outlineLvl w:val="0"/>
                    <w:rPr>
                      <w:rFonts w:ascii="Calibri" w:hAnsi="Calibri" w:cs="Calibri"/>
                      <w:color w:val="000000"/>
                      <w:sz w:val="16"/>
                      <w:szCs w:val="16"/>
                    </w:rPr>
                  </w:pPr>
                  <w:r w:rsidRPr="00AD6720">
                    <w:rPr>
                      <w:rFonts w:ascii="Calibri" w:hAnsi="Calibri" w:cs="Calibri"/>
                      <w:color w:val="000000"/>
                      <w:sz w:val="16"/>
                      <w:szCs w:val="16"/>
                    </w:rPr>
                    <w:t>(8,609)</w:t>
                  </w:r>
                </w:p>
              </w:tc>
            </w:tr>
            <w:tr w:rsidR="00106232" w:rsidRPr="00AD6720" w:rsidTr="00B07207">
              <w:trPr>
                <w:trHeight w:val="300"/>
              </w:trPr>
              <w:tc>
                <w:tcPr>
                  <w:tcW w:w="4860" w:type="dxa"/>
                  <w:tcBorders>
                    <w:top w:val="nil"/>
                    <w:left w:val="nil"/>
                    <w:bottom w:val="nil"/>
                    <w:right w:val="nil"/>
                  </w:tcBorders>
                  <w:shd w:val="clear" w:color="auto" w:fill="auto"/>
                  <w:noWrap/>
                  <w:vAlign w:val="bottom"/>
                  <w:hideMark/>
                </w:tcPr>
                <w:p w:rsidR="00106232" w:rsidRPr="00AD6720" w:rsidRDefault="00106232" w:rsidP="00B07207">
                  <w:pPr>
                    <w:outlineLvl w:val="0"/>
                    <w:rPr>
                      <w:rFonts w:ascii="Arial Narrow" w:hAnsi="Arial Narrow" w:cs="Calibri"/>
                      <w:b/>
                      <w:bCs/>
                      <w:color w:val="000000"/>
                      <w:sz w:val="16"/>
                      <w:szCs w:val="16"/>
                    </w:rPr>
                  </w:pPr>
                  <w:r w:rsidRPr="00AD6720">
                    <w:rPr>
                      <w:rFonts w:ascii="Arial Narrow" w:hAnsi="Arial Narrow" w:cs="Calibri"/>
                      <w:b/>
                      <w:bCs/>
                      <w:color w:val="000000"/>
                      <w:sz w:val="16"/>
                      <w:szCs w:val="16"/>
                    </w:rPr>
                    <w:t>Photocopying/Printing/Postage/Storage/Waste</w:t>
                  </w:r>
                </w:p>
              </w:tc>
              <w:tc>
                <w:tcPr>
                  <w:tcW w:w="960" w:type="dxa"/>
                  <w:tcBorders>
                    <w:top w:val="nil"/>
                    <w:left w:val="nil"/>
                    <w:bottom w:val="nil"/>
                    <w:right w:val="nil"/>
                  </w:tcBorders>
                  <w:shd w:val="clear" w:color="auto" w:fill="auto"/>
                  <w:hideMark/>
                </w:tcPr>
                <w:p w:rsidR="00106232" w:rsidRPr="00AD6720" w:rsidRDefault="00106232" w:rsidP="00B07207">
                  <w:pPr>
                    <w:jc w:val="right"/>
                    <w:outlineLvl w:val="0"/>
                    <w:rPr>
                      <w:rFonts w:ascii="Calibri" w:hAnsi="Calibri" w:cs="Calibri"/>
                      <w:color w:val="000000"/>
                      <w:sz w:val="16"/>
                      <w:szCs w:val="16"/>
                    </w:rPr>
                  </w:pPr>
                  <w:r w:rsidRPr="00AD6720">
                    <w:rPr>
                      <w:rFonts w:ascii="Calibri" w:hAnsi="Calibri" w:cs="Calibri"/>
                      <w:color w:val="000000"/>
                      <w:sz w:val="16"/>
                      <w:szCs w:val="16"/>
                    </w:rPr>
                    <w:t xml:space="preserve">159,169 </w:t>
                  </w:r>
                </w:p>
              </w:tc>
              <w:tc>
                <w:tcPr>
                  <w:tcW w:w="960" w:type="dxa"/>
                  <w:tcBorders>
                    <w:top w:val="nil"/>
                    <w:left w:val="nil"/>
                    <w:bottom w:val="nil"/>
                    <w:right w:val="nil"/>
                  </w:tcBorders>
                  <w:shd w:val="clear" w:color="auto" w:fill="auto"/>
                  <w:hideMark/>
                </w:tcPr>
                <w:p w:rsidR="00106232" w:rsidRPr="00AD6720" w:rsidRDefault="00106232" w:rsidP="00B07207">
                  <w:pPr>
                    <w:jc w:val="right"/>
                    <w:outlineLvl w:val="0"/>
                    <w:rPr>
                      <w:rFonts w:ascii="Calibri" w:hAnsi="Calibri" w:cs="Calibri"/>
                      <w:color w:val="000000"/>
                      <w:sz w:val="16"/>
                      <w:szCs w:val="16"/>
                    </w:rPr>
                  </w:pPr>
                  <w:r w:rsidRPr="00AD6720">
                    <w:rPr>
                      <w:rFonts w:ascii="Calibri" w:hAnsi="Calibri" w:cs="Calibri"/>
                      <w:color w:val="000000"/>
                      <w:sz w:val="16"/>
                      <w:szCs w:val="16"/>
                    </w:rPr>
                    <w:t xml:space="preserve">155,410 </w:t>
                  </w:r>
                </w:p>
              </w:tc>
              <w:tc>
                <w:tcPr>
                  <w:tcW w:w="960" w:type="dxa"/>
                  <w:tcBorders>
                    <w:top w:val="nil"/>
                    <w:left w:val="nil"/>
                    <w:bottom w:val="nil"/>
                    <w:right w:val="nil"/>
                  </w:tcBorders>
                  <w:shd w:val="clear" w:color="auto" w:fill="auto"/>
                  <w:hideMark/>
                </w:tcPr>
                <w:p w:rsidR="00106232" w:rsidRPr="00AD6720" w:rsidRDefault="00106232" w:rsidP="00B07207">
                  <w:pPr>
                    <w:jc w:val="right"/>
                    <w:outlineLvl w:val="0"/>
                    <w:rPr>
                      <w:rFonts w:ascii="Calibri" w:hAnsi="Calibri" w:cs="Calibri"/>
                      <w:color w:val="000000"/>
                      <w:sz w:val="16"/>
                      <w:szCs w:val="16"/>
                    </w:rPr>
                  </w:pPr>
                  <w:r w:rsidRPr="00AD6720">
                    <w:rPr>
                      <w:rFonts w:ascii="Calibri" w:hAnsi="Calibri" w:cs="Calibri"/>
                      <w:color w:val="000000"/>
                      <w:sz w:val="16"/>
                      <w:szCs w:val="16"/>
                    </w:rPr>
                    <w:t xml:space="preserve">12,785 </w:t>
                  </w:r>
                </w:p>
              </w:tc>
              <w:tc>
                <w:tcPr>
                  <w:tcW w:w="960" w:type="dxa"/>
                  <w:tcBorders>
                    <w:top w:val="nil"/>
                    <w:left w:val="nil"/>
                    <w:bottom w:val="nil"/>
                    <w:right w:val="nil"/>
                  </w:tcBorders>
                  <w:shd w:val="clear" w:color="auto" w:fill="auto"/>
                  <w:hideMark/>
                </w:tcPr>
                <w:p w:rsidR="00106232" w:rsidRPr="00AD6720" w:rsidRDefault="00106232" w:rsidP="00B07207">
                  <w:pPr>
                    <w:jc w:val="right"/>
                    <w:outlineLvl w:val="0"/>
                    <w:rPr>
                      <w:rFonts w:ascii="Calibri" w:hAnsi="Calibri" w:cs="Calibri"/>
                      <w:color w:val="000000"/>
                      <w:sz w:val="16"/>
                      <w:szCs w:val="16"/>
                    </w:rPr>
                  </w:pPr>
                  <w:r w:rsidRPr="00AD6720">
                    <w:rPr>
                      <w:rFonts w:ascii="Calibri" w:hAnsi="Calibri" w:cs="Calibri"/>
                      <w:color w:val="000000"/>
                      <w:sz w:val="16"/>
                      <w:szCs w:val="16"/>
                    </w:rPr>
                    <w:t xml:space="preserve">15,452 </w:t>
                  </w:r>
                </w:p>
              </w:tc>
              <w:tc>
                <w:tcPr>
                  <w:tcW w:w="960" w:type="dxa"/>
                  <w:tcBorders>
                    <w:top w:val="nil"/>
                    <w:left w:val="nil"/>
                    <w:bottom w:val="nil"/>
                    <w:right w:val="nil"/>
                  </w:tcBorders>
                  <w:shd w:val="clear" w:color="auto" w:fill="auto"/>
                  <w:hideMark/>
                </w:tcPr>
                <w:p w:rsidR="00106232" w:rsidRPr="00AD6720" w:rsidRDefault="00106232" w:rsidP="00B07207">
                  <w:pPr>
                    <w:jc w:val="right"/>
                    <w:outlineLvl w:val="0"/>
                    <w:rPr>
                      <w:rFonts w:ascii="Calibri" w:hAnsi="Calibri" w:cs="Calibri"/>
                      <w:color w:val="000000"/>
                      <w:sz w:val="16"/>
                      <w:szCs w:val="16"/>
                    </w:rPr>
                  </w:pPr>
                  <w:r w:rsidRPr="00AD6720">
                    <w:rPr>
                      <w:rFonts w:ascii="Calibri" w:hAnsi="Calibri" w:cs="Calibri"/>
                      <w:color w:val="000000"/>
                      <w:sz w:val="16"/>
                      <w:szCs w:val="16"/>
                    </w:rPr>
                    <w:t xml:space="preserve">2,667 </w:t>
                  </w:r>
                </w:p>
              </w:tc>
              <w:tc>
                <w:tcPr>
                  <w:tcW w:w="960" w:type="dxa"/>
                  <w:tcBorders>
                    <w:top w:val="nil"/>
                    <w:left w:val="nil"/>
                    <w:bottom w:val="nil"/>
                    <w:right w:val="nil"/>
                  </w:tcBorders>
                  <w:shd w:val="clear" w:color="auto" w:fill="auto"/>
                  <w:hideMark/>
                </w:tcPr>
                <w:p w:rsidR="00106232" w:rsidRPr="00AD6720" w:rsidRDefault="00106232" w:rsidP="00B07207">
                  <w:pPr>
                    <w:jc w:val="right"/>
                    <w:outlineLvl w:val="0"/>
                    <w:rPr>
                      <w:rFonts w:ascii="Calibri" w:hAnsi="Calibri" w:cs="Calibri"/>
                      <w:color w:val="000000"/>
                      <w:sz w:val="16"/>
                      <w:szCs w:val="16"/>
                    </w:rPr>
                  </w:pPr>
                  <w:r w:rsidRPr="00AD6720">
                    <w:rPr>
                      <w:rFonts w:ascii="Calibri" w:hAnsi="Calibri" w:cs="Calibri"/>
                      <w:color w:val="000000"/>
                      <w:sz w:val="16"/>
                      <w:szCs w:val="16"/>
                    </w:rPr>
                    <w:t xml:space="preserve">105,483 </w:t>
                  </w:r>
                </w:p>
              </w:tc>
              <w:tc>
                <w:tcPr>
                  <w:tcW w:w="960" w:type="dxa"/>
                  <w:tcBorders>
                    <w:top w:val="nil"/>
                    <w:left w:val="nil"/>
                    <w:bottom w:val="nil"/>
                    <w:right w:val="nil"/>
                  </w:tcBorders>
                  <w:shd w:val="clear" w:color="auto" w:fill="auto"/>
                  <w:hideMark/>
                </w:tcPr>
                <w:p w:rsidR="00106232" w:rsidRPr="00AD6720" w:rsidRDefault="00106232" w:rsidP="00B07207">
                  <w:pPr>
                    <w:jc w:val="right"/>
                    <w:outlineLvl w:val="0"/>
                    <w:rPr>
                      <w:rFonts w:ascii="Calibri" w:hAnsi="Calibri" w:cs="Calibri"/>
                      <w:color w:val="000000"/>
                      <w:sz w:val="16"/>
                      <w:szCs w:val="16"/>
                    </w:rPr>
                  </w:pPr>
                  <w:r w:rsidRPr="00AD6720">
                    <w:rPr>
                      <w:rFonts w:ascii="Calibri" w:hAnsi="Calibri" w:cs="Calibri"/>
                      <w:color w:val="000000"/>
                      <w:sz w:val="16"/>
                      <w:szCs w:val="16"/>
                    </w:rPr>
                    <w:t xml:space="preserve">113,303 </w:t>
                  </w:r>
                </w:p>
              </w:tc>
              <w:tc>
                <w:tcPr>
                  <w:tcW w:w="960" w:type="dxa"/>
                  <w:tcBorders>
                    <w:top w:val="nil"/>
                    <w:left w:val="nil"/>
                    <w:bottom w:val="nil"/>
                    <w:right w:val="nil"/>
                  </w:tcBorders>
                  <w:shd w:val="clear" w:color="auto" w:fill="auto"/>
                  <w:hideMark/>
                </w:tcPr>
                <w:p w:rsidR="00106232" w:rsidRPr="00AD6720" w:rsidRDefault="00106232" w:rsidP="00B07207">
                  <w:pPr>
                    <w:jc w:val="right"/>
                    <w:outlineLvl w:val="0"/>
                    <w:rPr>
                      <w:rFonts w:ascii="Calibri" w:hAnsi="Calibri" w:cs="Calibri"/>
                      <w:color w:val="000000"/>
                      <w:sz w:val="16"/>
                      <w:szCs w:val="16"/>
                    </w:rPr>
                  </w:pPr>
                  <w:r w:rsidRPr="00AD6720">
                    <w:rPr>
                      <w:rFonts w:ascii="Calibri" w:hAnsi="Calibri" w:cs="Calibri"/>
                      <w:color w:val="000000"/>
                      <w:sz w:val="16"/>
                      <w:szCs w:val="16"/>
                    </w:rPr>
                    <w:t xml:space="preserve">7,820 </w:t>
                  </w:r>
                </w:p>
              </w:tc>
            </w:tr>
            <w:tr w:rsidR="00106232" w:rsidRPr="00AD6720" w:rsidTr="00B07207">
              <w:trPr>
                <w:trHeight w:val="300"/>
              </w:trPr>
              <w:tc>
                <w:tcPr>
                  <w:tcW w:w="4860" w:type="dxa"/>
                  <w:tcBorders>
                    <w:top w:val="nil"/>
                    <w:left w:val="nil"/>
                    <w:bottom w:val="nil"/>
                    <w:right w:val="nil"/>
                  </w:tcBorders>
                  <w:shd w:val="clear" w:color="auto" w:fill="auto"/>
                  <w:noWrap/>
                  <w:vAlign w:val="bottom"/>
                  <w:hideMark/>
                </w:tcPr>
                <w:p w:rsidR="00106232" w:rsidRPr="00AD6720" w:rsidRDefault="00106232" w:rsidP="00B07207">
                  <w:pPr>
                    <w:outlineLvl w:val="0"/>
                    <w:rPr>
                      <w:rFonts w:ascii="Arial Narrow" w:hAnsi="Arial Narrow" w:cs="Calibri"/>
                      <w:b/>
                      <w:bCs/>
                      <w:color w:val="000000"/>
                      <w:sz w:val="16"/>
                      <w:szCs w:val="16"/>
                    </w:rPr>
                  </w:pPr>
                  <w:r w:rsidRPr="00AD6720">
                    <w:rPr>
                      <w:rFonts w:ascii="Arial Narrow" w:hAnsi="Arial Narrow" w:cs="Calibri"/>
                      <w:b/>
                      <w:bCs/>
                      <w:color w:val="000000"/>
                      <w:sz w:val="16"/>
                      <w:szCs w:val="16"/>
                    </w:rPr>
                    <w:t xml:space="preserve">Premises - </w:t>
                  </w:r>
                  <w:proofErr w:type="spellStart"/>
                  <w:r w:rsidRPr="00AD6720">
                    <w:rPr>
                      <w:rFonts w:ascii="Arial Narrow" w:hAnsi="Arial Narrow" w:cs="Calibri"/>
                      <w:b/>
                      <w:bCs/>
                      <w:color w:val="000000"/>
                      <w:sz w:val="16"/>
                      <w:szCs w:val="16"/>
                    </w:rPr>
                    <w:t>inc</w:t>
                  </w:r>
                  <w:proofErr w:type="spellEnd"/>
                  <w:r w:rsidRPr="00AD6720">
                    <w:rPr>
                      <w:rFonts w:ascii="Arial Narrow" w:hAnsi="Arial Narrow" w:cs="Calibri"/>
                      <w:b/>
                      <w:bCs/>
                      <w:color w:val="000000"/>
                      <w:sz w:val="16"/>
                      <w:szCs w:val="16"/>
                    </w:rPr>
                    <w:t xml:space="preserve"> premise removal costs</w:t>
                  </w:r>
                </w:p>
              </w:tc>
              <w:tc>
                <w:tcPr>
                  <w:tcW w:w="960" w:type="dxa"/>
                  <w:tcBorders>
                    <w:top w:val="nil"/>
                    <w:left w:val="nil"/>
                    <w:bottom w:val="nil"/>
                    <w:right w:val="nil"/>
                  </w:tcBorders>
                  <w:shd w:val="clear" w:color="auto" w:fill="auto"/>
                  <w:hideMark/>
                </w:tcPr>
                <w:p w:rsidR="00106232" w:rsidRPr="00AD6720" w:rsidRDefault="00106232" w:rsidP="00B07207">
                  <w:pPr>
                    <w:jc w:val="right"/>
                    <w:outlineLvl w:val="0"/>
                    <w:rPr>
                      <w:rFonts w:ascii="Calibri" w:hAnsi="Calibri" w:cs="Calibri"/>
                      <w:color w:val="000000"/>
                      <w:sz w:val="16"/>
                      <w:szCs w:val="16"/>
                    </w:rPr>
                  </w:pPr>
                  <w:r w:rsidRPr="00AD6720">
                    <w:rPr>
                      <w:rFonts w:ascii="Calibri" w:hAnsi="Calibri" w:cs="Calibri"/>
                      <w:color w:val="000000"/>
                      <w:sz w:val="16"/>
                      <w:szCs w:val="16"/>
                    </w:rPr>
                    <w:t xml:space="preserve">717,327 </w:t>
                  </w:r>
                </w:p>
              </w:tc>
              <w:tc>
                <w:tcPr>
                  <w:tcW w:w="960" w:type="dxa"/>
                  <w:tcBorders>
                    <w:top w:val="nil"/>
                    <w:left w:val="nil"/>
                    <w:bottom w:val="nil"/>
                    <w:right w:val="nil"/>
                  </w:tcBorders>
                  <w:shd w:val="clear" w:color="auto" w:fill="auto"/>
                  <w:hideMark/>
                </w:tcPr>
                <w:p w:rsidR="00106232" w:rsidRPr="00AD6720" w:rsidRDefault="00106232" w:rsidP="00B07207">
                  <w:pPr>
                    <w:jc w:val="right"/>
                    <w:outlineLvl w:val="0"/>
                    <w:rPr>
                      <w:rFonts w:ascii="Calibri" w:hAnsi="Calibri" w:cs="Calibri"/>
                      <w:color w:val="000000"/>
                      <w:sz w:val="16"/>
                      <w:szCs w:val="16"/>
                    </w:rPr>
                  </w:pPr>
                  <w:r w:rsidRPr="00AD6720">
                    <w:rPr>
                      <w:rFonts w:ascii="Calibri" w:hAnsi="Calibri" w:cs="Calibri"/>
                      <w:color w:val="000000"/>
                      <w:sz w:val="16"/>
                      <w:szCs w:val="16"/>
                    </w:rPr>
                    <w:t xml:space="preserve">717,327 </w:t>
                  </w:r>
                </w:p>
              </w:tc>
              <w:tc>
                <w:tcPr>
                  <w:tcW w:w="960" w:type="dxa"/>
                  <w:tcBorders>
                    <w:top w:val="nil"/>
                    <w:left w:val="nil"/>
                    <w:bottom w:val="nil"/>
                    <w:right w:val="nil"/>
                  </w:tcBorders>
                  <w:shd w:val="clear" w:color="auto" w:fill="auto"/>
                  <w:hideMark/>
                </w:tcPr>
                <w:p w:rsidR="00106232" w:rsidRPr="00AD6720" w:rsidRDefault="00106232" w:rsidP="00B07207">
                  <w:pPr>
                    <w:jc w:val="right"/>
                    <w:outlineLvl w:val="0"/>
                    <w:rPr>
                      <w:rFonts w:ascii="Calibri" w:hAnsi="Calibri" w:cs="Calibri"/>
                      <w:color w:val="000000"/>
                      <w:sz w:val="16"/>
                      <w:szCs w:val="16"/>
                    </w:rPr>
                  </w:pPr>
                  <w:r w:rsidRPr="00AD6720">
                    <w:rPr>
                      <w:rFonts w:ascii="Calibri" w:hAnsi="Calibri" w:cs="Calibri"/>
                      <w:color w:val="000000"/>
                      <w:sz w:val="16"/>
                      <w:szCs w:val="16"/>
                    </w:rPr>
                    <w:t xml:space="preserve">59,969 </w:t>
                  </w:r>
                </w:p>
              </w:tc>
              <w:tc>
                <w:tcPr>
                  <w:tcW w:w="960" w:type="dxa"/>
                  <w:tcBorders>
                    <w:top w:val="nil"/>
                    <w:left w:val="nil"/>
                    <w:bottom w:val="nil"/>
                    <w:right w:val="nil"/>
                  </w:tcBorders>
                  <w:shd w:val="clear" w:color="auto" w:fill="auto"/>
                  <w:hideMark/>
                </w:tcPr>
                <w:p w:rsidR="00106232" w:rsidRPr="00AD6720" w:rsidRDefault="00106232" w:rsidP="00B07207">
                  <w:pPr>
                    <w:jc w:val="right"/>
                    <w:outlineLvl w:val="0"/>
                    <w:rPr>
                      <w:rFonts w:ascii="Calibri" w:hAnsi="Calibri" w:cs="Calibri"/>
                      <w:color w:val="000000"/>
                      <w:sz w:val="16"/>
                      <w:szCs w:val="16"/>
                    </w:rPr>
                  </w:pPr>
                  <w:r w:rsidRPr="00AD6720">
                    <w:rPr>
                      <w:rFonts w:ascii="Calibri" w:hAnsi="Calibri" w:cs="Calibri"/>
                      <w:color w:val="000000"/>
                      <w:sz w:val="16"/>
                      <w:szCs w:val="16"/>
                    </w:rPr>
                    <w:t xml:space="preserve">64,334 </w:t>
                  </w:r>
                </w:p>
              </w:tc>
              <w:tc>
                <w:tcPr>
                  <w:tcW w:w="960" w:type="dxa"/>
                  <w:tcBorders>
                    <w:top w:val="nil"/>
                    <w:left w:val="nil"/>
                    <w:bottom w:val="nil"/>
                    <w:right w:val="nil"/>
                  </w:tcBorders>
                  <w:shd w:val="clear" w:color="auto" w:fill="auto"/>
                  <w:hideMark/>
                </w:tcPr>
                <w:p w:rsidR="00106232" w:rsidRPr="00AD6720" w:rsidRDefault="00106232" w:rsidP="00B07207">
                  <w:pPr>
                    <w:jc w:val="right"/>
                    <w:outlineLvl w:val="0"/>
                    <w:rPr>
                      <w:rFonts w:ascii="Calibri" w:hAnsi="Calibri" w:cs="Calibri"/>
                      <w:color w:val="000000"/>
                      <w:sz w:val="16"/>
                      <w:szCs w:val="16"/>
                    </w:rPr>
                  </w:pPr>
                  <w:r w:rsidRPr="00AD6720">
                    <w:rPr>
                      <w:rFonts w:ascii="Calibri" w:hAnsi="Calibri" w:cs="Calibri"/>
                      <w:color w:val="000000"/>
                      <w:sz w:val="16"/>
                      <w:szCs w:val="16"/>
                    </w:rPr>
                    <w:t xml:space="preserve">4,365 </w:t>
                  </w:r>
                </w:p>
              </w:tc>
              <w:tc>
                <w:tcPr>
                  <w:tcW w:w="960" w:type="dxa"/>
                  <w:tcBorders>
                    <w:top w:val="nil"/>
                    <w:left w:val="nil"/>
                    <w:bottom w:val="nil"/>
                    <w:right w:val="nil"/>
                  </w:tcBorders>
                  <w:shd w:val="clear" w:color="auto" w:fill="auto"/>
                  <w:hideMark/>
                </w:tcPr>
                <w:p w:rsidR="00106232" w:rsidRPr="00AD6720" w:rsidRDefault="00106232" w:rsidP="00B07207">
                  <w:pPr>
                    <w:jc w:val="right"/>
                    <w:outlineLvl w:val="0"/>
                    <w:rPr>
                      <w:rFonts w:ascii="Calibri" w:hAnsi="Calibri" w:cs="Calibri"/>
                      <w:color w:val="000000"/>
                      <w:sz w:val="16"/>
                      <w:szCs w:val="16"/>
                    </w:rPr>
                  </w:pPr>
                  <w:r w:rsidRPr="00AD6720">
                    <w:rPr>
                      <w:rFonts w:ascii="Calibri" w:hAnsi="Calibri" w:cs="Calibri"/>
                      <w:color w:val="000000"/>
                      <w:sz w:val="16"/>
                      <w:szCs w:val="16"/>
                    </w:rPr>
                    <w:t xml:space="preserve">476,054 </w:t>
                  </w:r>
                </w:p>
              </w:tc>
              <w:tc>
                <w:tcPr>
                  <w:tcW w:w="960" w:type="dxa"/>
                  <w:tcBorders>
                    <w:top w:val="nil"/>
                    <w:left w:val="nil"/>
                    <w:bottom w:val="nil"/>
                    <w:right w:val="nil"/>
                  </w:tcBorders>
                  <w:shd w:val="clear" w:color="auto" w:fill="auto"/>
                  <w:hideMark/>
                </w:tcPr>
                <w:p w:rsidR="00106232" w:rsidRPr="00AD6720" w:rsidRDefault="00106232" w:rsidP="00B07207">
                  <w:pPr>
                    <w:jc w:val="right"/>
                    <w:outlineLvl w:val="0"/>
                    <w:rPr>
                      <w:rFonts w:ascii="Calibri" w:hAnsi="Calibri" w:cs="Calibri"/>
                      <w:color w:val="000000"/>
                      <w:sz w:val="16"/>
                      <w:szCs w:val="16"/>
                    </w:rPr>
                  </w:pPr>
                  <w:r w:rsidRPr="00AD6720">
                    <w:rPr>
                      <w:rFonts w:ascii="Calibri" w:hAnsi="Calibri" w:cs="Calibri"/>
                      <w:color w:val="000000"/>
                      <w:sz w:val="16"/>
                      <w:szCs w:val="16"/>
                    </w:rPr>
                    <w:t xml:space="preserve">496,068 </w:t>
                  </w:r>
                </w:p>
              </w:tc>
              <w:tc>
                <w:tcPr>
                  <w:tcW w:w="960" w:type="dxa"/>
                  <w:tcBorders>
                    <w:top w:val="nil"/>
                    <w:left w:val="nil"/>
                    <w:bottom w:val="nil"/>
                    <w:right w:val="nil"/>
                  </w:tcBorders>
                  <w:shd w:val="clear" w:color="auto" w:fill="auto"/>
                  <w:hideMark/>
                </w:tcPr>
                <w:p w:rsidR="00106232" w:rsidRPr="00AD6720" w:rsidRDefault="00106232" w:rsidP="00B07207">
                  <w:pPr>
                    <w:jc w:val="right"/>
                    <w:outlineLvl w:val="0"/>
                    <w:rPr>
                      <w:rFonts w:ascii="Calibri" w:hAnsi="Calibri" w:cs="Calibri"/>
                      <w:color w:val="000000"/>
                      <w:sz w:val="16"/>
                      <w:szCs w:val="16"/>
                    </w:rPr>
                  </w:pPr>
                  <w:r w:rsidRPr="00AD6720">
                    <w:rPr>
                      <w:rFonts w:ascii="Calibri" w:hAnsi="Calibri" w:cs="Calibri"/>
                      <w:color w:val="000000"/>
                      <w:sz w:val="16"/>
                      <w:szCs w:val="16"/>
                    </w:rPr>
                    <w:t xml:space="preserve">20,014 </w:t>
                  </w:r>
                </w:p>
              </w:tc>
            </w:tr>
            <w:tr w:rsidR="00106232" w:rsidRPr="00AD6720" w:rsidTr="00B07207">
              <w:trPr>
                <w:trHeight w:val="300"/>
              </w:trPr>
              <w:tc>
                <w:tcPr>
                  <w:tcW w:w="4860" w:type="dxa"/>
                  <w:tcBorders>
                    <w:top w:val="nil"/>
                    <w:left w:val="nil"/>
                    <w:bottom w:val="nil"/>
                    <w:right w:val="nil"/>
                  </w:tcBorders>
                  <w:shd w:val="clear" w:color="auto" w:fill="auto"/>
                  <w:noWrap/>
                  <w:vAlign w:val="bottom"/>
                  <w:hideMark/>
                </w:tcPr>
                <w:p w:rsidR="00106232" w:rsidRPr="00AD6720" w:rsidRDefault="00106232" w:rsidP="00B07207">
                  <w:pPr>
                    <w:outlineLvl w:val="0"/>
                    <w:rPr>
                      <w:rFonts w:ascii="Arial Narrow" w:hAnsi="Arial Narrow" w:cs="Calibri"/>
                      <w:b/>
                      <w:bCs/>
                      <w:color w:val="000000"/>
                      <w:sz w:val="16"/>
                      <w:szCs w:val="16"/>
                    </w:rPr>
                  </w:pPr>
                  <w:r w:rsidRPr="00AD6720">
                    <w:rPr>
                      <w:rFonts w:ascii="Arial Narrow" w:hAnsi="Arial Narrow" w:cs="Calibri"/>
                      <w:b/>
                      <w:bCs/>
                      <w:color w:val="000000"/>
                      <w:sz w:val="16"/>
                      <w:szCs w:val="16"/>
                    </w:rPr>
                    <w:t>Training Expenses - expenses/materials , conferences, workshops</w:t>
                  </w:r>
                </w:p>
              </w:tc>
              <w:tc>
                <w:tcPr>
                  <w:tcW w:w="960" w:type="dxa"/>
                  <w:tcBorders>
                    <w:top w:val="nil"/>
                    <w:left w:val="nil"/>
                    <w:bottom w:val="nil"/>
                    <w:right w:val="nil"/>
                  </w:tcBorders>
                  <w:shd w:val="clear" w:color="auto" w:fill="auto"/>
                  <w:hideMark/>
                </w:tcPr>
                <w:p w:rsidR="00106232" w:rsidRPr="00AD6720" w:rsidRDefault="00106232" w:rsidP="00B07207">
                  <w:pPr>
                    <w:jc w:val="right"/>
                    <w:outlineLvl w:val="0"/>
                    <w:rPr>
                      <w:rFonts w:ascii="Calibri" w:hAnsi="Calibri" w:cs="Calibri"/>
                      <w:color w:val="000000"/>
                      <w:sz w:val="16"/>
                      <w:szCs w:val="16"/>
                    </w:rPr>
                  </w:pPr>
                  <w:r w:rsidRPr="00AD6720">
                    <w:rPr>
                      <w:rFonts w:ascii="Calibri" w:hAnsi="Calibri" w:cs="Calibri"/>
                      <w:color w:val="000000"/>
                      <w:sz w:val="16"/>
                      <w:szCs w:val="16"/>
                    </w:rPr>
                    <w:t xml:space="preserve">82,390 </w:t>
                  </w:r>
                </w:p>
              </w:tc>
              <w:tc>
                <w:tcPr>
                  <w:tcW w:w="960" w:type="dxa"/>
                  <w:tcBorders>
                    <w:top w:val="nil"/>
                    <w:left w:val="nil"/>
                    <w:bottom w:val="nil"/>
                    <w:right w:val="nil"/>
                  </w:tcBorders>
                  <w:shd w:val="clear" w:color="auto" w:fill="auto"/>
                  <w:hideMark/>
                </w:tcPr>
                <w:p w:rsidR="00106232" w:rsidRPr="00AD6720" w:rsidRDefault="00106232" w:rsidP="00B07207">
                  <w:pPr>
                    <w:jc w:val="right"/>
                    <w:outlineLvl w:val="0"/>
                    <w:rPr>
                      <w:rFonts w:ascii="Calibri" w:hAnsi="Calibri" w:cs="Calibri"/>
                      <w:color w:val="000000"/>
                      <w:sz w:val="16"/>
                      <w:szCs w:val="16"/>
                    </w:rPr>
                  </w:pPr>
                  <w:r w:rsidRPr="00AD6720">
                    <w:rPr>
                      <w:rFonts w:ascii="Calibri" w:hAnsi="Calibri" w:cs="Calibri"/>
                      <w:color w:val="000000"/>
                      <w:sz w:val="16"/>
                      <w:szCs w:val="16"/>
                    </w:rPr>
                    <w:t xml:space="preserve">75,390 </w:t>
                  </w:r>
                </w:p>
              </w:tc>
              <w:tc>
                <w:tcPr>
                  <w:tcW w:w="960" w:type="dxa"/>
                  <w:tcBorders>
                    <w:top w:val="nil"/>
                    <w:left w:val="nil"/>
                    <w:bottom w:val="nil"/>
                    <w:right w:val="nil"/>
                  </w:tcBorders>
                  <w:shd w:val="clear" w:color="auto" w:fill="auto"/>
                  <w:hideMark/>
                </w:tcPr>
                <w:p w:rsidR="00106232" w:rsidRPr="00AD6720" w:rsidRDefault="00106232" w:rsidP="00B07207">
                  <w:pPr>
                    <w:jc w:val="right"/>
                    <w:outlineLvl w:val="0"/>
                    <w:rPr>
                      <w:rFonts w:ascii="Calibri" w:hAnsi="Calibri" w:cs="Calibri"/>
                      <w:color w:val="000000"/>
                      <w:sz w:val="16"/>
                      <w:szCs w:val="16"/>
                    </w:rPr>
                  </w:pPr>
                  <w:r w:rsidRPr="00AD6720">
                    <w:rPr>
                      <w:rFonts w:ascii="Calibri" w:hAnsi="Calibri" w:cs="Calibri"/>
                      <w:color w:val="000000"/>
                      <w:sz w:val="16"/>
                      <w:szCs w:val="16"/>
                    </w:rPr>
                    <w:t xml:space="preserve">5,036 </w:t>
                  </w:r>
                </w:p>
              </w:tc>
              <w:tc>
                <w:tcPr>
                  <w:tcW w:w="960" w:type="dxa"/>
                  <w:tcBorders>
                    <w:top w:val="nil"/>
                    <w:left w:val="nil"/>
                    <w:bottom w:val="nil"/>
                    <w:right w:val="nil"/>
                  </w:tcBorders>
                  <w:shd w:val="clear" w:color="auto" w:fill="auto"/>
                  <w:hideMark/>
                </w:tcPr>
                <w:p w:rsidR="00106232" w:rsidRPr="00AD6720" w:rsidRDefault="00106232" w:rsidP="00B07207">
                  <w:pPr>
                    <w:jc w:val="right"/>
                    <w:outlineLvl w:val="0"/>
                    <w:rPr>
                      <w:rFonts w:ascii="Calibri" w:hAnsi="Calibri" w:cs="Calibri"/>
                      <w:color w:val="000000"/>
                      <w:sz w:val="16"/>
                      <w:szCs w:val="16"/>
                    </w:rPr>
                  </w:pPr>
                  <w:r w:rsidRPr="00AD6720">
                    <w:rPr>
                      <w:rFonts w:ascii="Calibri" w:hAnsi="Calibri" w:cs="Calibri"/>
                      <w:color w:val="000000"/>
                      <w:sz w:val="16"/>
                      <w:szCs w:val="16"/>
                    </w:rPr>
                    <w:t xml:space="preserve">3,585 </w:t>
                  </w:r>
                </w:p>
              </w:tc>
              <w:tc>
                <w:tcPr>
                  <w:tcW w:w="960" w:type="dxa"/>
                  <w:tcBorders>
                    <w:top w:val="nil"/>
                    <w:left w:val="nil"/>
                    <w:bottom w:val="nil"/>
                    <w:right w:val="nil"/>
                  </w:tcBorders>
                  <w:shd w:val="clear" w:color="auto" w:fill="auto"/>
                  <w:hideMark/>
                </w:tcPr>
                <w:p w:rsidR="00106232" w:rsidRPr="00AD6720" w:rsidRDefault="00106232" w:rsidP="00B07207">
                  <w:pPr>
                    <w:jc w:val="right"/>
                    <w:outlineLvl w:val="0"/>
                    <w:rPr>
                      <w:rFonts w:ascii="Calibri" w:hAnsi="Calibri" w:cs="Calibri"/>
                      <w:color w:val="000000"/>
                      <w:sz w:val="16"/>
                      <w:szCs w:val="16"/>
                    </w:rPr>
                  </w:pPr>
                  <w:r w:rsidRPr="00AD6720">
                    <w:rPr>
                      <w:rFonts w:ascii="Calibri" w:hAnsi="Calibri" w:cs="Calibri"/>
                      <w:color w:val="000000"/>
                      <w:sz w:val="16"/>
                      <w:szCs w:val="16"/>
                    </w:rPr>
                    <w:t>(1,451)</w:t>
                  </w:r>
                </w:p>
              </w:tc>
              <w:tc>
                <w:tcPr>
                  <w:tcW w:w="960" w:type="dxa"/>
                  <w:tcBorders>
                    <w:top w:val="nil"/>
                    <w:left w:val="nil"/>
                    <w:bottom w:val="nil"/>
                    <w:right w:val="nil"/>
                  </w:tcBorders>
                  <w:shd w:val="clear" w:color="auto" w:fill="auto"/>
                  <w:hideMark/>
                </w:tcPr>
                <w:p w:rsidR="00106232" w:rsidRPr="00AD6720" w:rsidRDefault="00106232" w:rsidP="00B07207">
                  <w:pPr>
                    <w:jc w:val="right"/>
                    <w:outlineLvl w:val="0"/>
                    <w:rPr>
                      <w:rFonts w:ascii="Calibri" w:hAnsi="Calibri" w:cs="Calibri"/>
                      <w:color w:val="000000"/>
                      <w:sz w:val="16"/>
                      <w:szCs w:val="16"/>
                    </w:rPr>
                  </w:pPr>
                  <w:r w:rsidRPr="00AD6720">
                    <w:rPr>
                      <w:rFonts w:ascii="Calibri" w:hAnsi="Calibri" w:cs="Calibri"/>
                      <w:color w:val="000000"/>
                      <w:sz w:val="16"/>
                      <w:szCs w:val="16"/>
                    </w:rPr>
                    <w:t xml:space="preserve">51,652 </w:t>
                  </w:r>
                </w:p>
              </w:tc>
              <w:tc>
                <w:tcPr>
                  <w:tcW w:w="960" w:type="dxa"/>
                  <w:tcBorders>
                    <w:top w:val="nil"/>
                    <w:left w:val="nil"/>
                    <w:bottom w:val="nil"/>
                    <w:right w:val="nil"/>
                  </w:tcBorders>
                  <w:shd w:val="clear" w:color="auto" w:fill="auto"/>
                  <w:hideMark/>
                </w:tcPr>
                <w:p w:rsidR="00106232" w:rsidRPr="00AD6720" w:rsidRDefault="00106232" w:rsidP="00B07207">
                  <w:pPr>
                    <w:jc w:val="right"/>
                    <w:outlineLvl w:val="0"/>
                    <w:rPr>
                      <w:rFonts w:ascii="Calibri" w:hAnsi="Calibri" w:cs="Calibri"/>
                      <w:color w:val="000000"/>
                      <w:sz w:val="16"/>
                      <w:szCs w:val="16"/>
                    </w:rPr>
                  </w:pPr>
                  <w:r w:rsidRPr="00AD6720">
                    <w:rPr>
                      <w:rFonts w:ascii="Calibri" w:hAnsi="Calibri" w:cs="Calibri"/>
                      <w:color w:val="000000"/>
                      <w:sz w:val="16"/>
                      <w:szCs w:val="16"/>
                    </w:rPr>
                    <w:t xml:space="preserve">52,568 </w:t>
                  </w:r>
                </w:p>
              </w:tc>
              <w:tc>
                <w:tcPr>
                  <w:tcW w:w="960" w:type="dxa"/>
                  <w:tcBorders>
                    <w:top w:val="nil"/>
                    <w:left w:val="nil"/>
                    <w:bottom w:val="nil"/>
                    <w:right w:val="nil"/>
                  </w:tcBorders>
                  <w:shd w:val="clear" w:color="auto" w:fill="auto"/>
                  <w:hideMark/>
                </w:tcPr>
                <w:p w:rsidR="00106232" w:rsidRPr="00AD6720" w:rsidRDefault="00106232" w:rsidP="00B07207">
                  <w:pPr>
                    <w:jc w:val="right"/>
                    <w:outlineLvl w:val="0"/>
                    <w:rPr>
                      <w:rFonts w:ascii="Calibri" w:hAnsi="Calibri" w:cs="Calibri"/>
                      <w:color w:val="000000"/>
                      <w:sz w:val="16"/>
                      <w:szCs w:val="16"/>
                    </w:rPr>
                  </w:pPr>
                  <w:r w:rsidRPr="00AD6720">
                    <w:rPr>
                      <w:rFonts w:ascii="Calibri" w:hAnsi="Calibri" w:cs="Calibri"/>
                      <w:color w:val="000000"/>
                      <w:sz w:val="16"/>
                      <w:szCs w:val="16"/>
                    </w:rPr>
                    <w:t xml:space="preserve">916 </w:t>
                  </w:r>
                </w:p>
              </w:tc>
            </w:tr>
            <w:tr w:rsidR="00106232" w:rsidRPr="00AD6720" w:rsidTr="00B07207">
              <w:trPr>
                <w:trHeight w:val="300"/>
              </w:trPr>
              <w:tc>
                <w:tcPr>
                  <w:tcW w:w="4860" w:type="dxa"/>
                  <w:tcBorders>
                    <w:top w:val="nil"/>
                    <w:left w:val="nil"/>
                    <w:bottom w:val="nil"/>
                    <w:right w:val="nil"/>
                  </w:tcBorders>
                  <w:shd w:val="clear" w:color="auto" w:fill="auto"/>
                  <w:noWrap/>
                  <w:vAlign w:val="bottom"/>
                  <w:hideMark/>
                </w:tcPr>
                <w:p w:rsidR="00106232" w:rsidRPr="00AD6720" w:rsidRDefault="00106232" w:rsidP="00B07207">
                  <w:pPr>
                    <w:outlineLvl w:val="0"/>
                    <w:rPr>
                      <w:rFonts w:ascii="Arial Narrow" w:hAnsi="Arial Narrow" w:cs="Calibri"/>
                      <w:b/>
                      <w:bCs/>
                      <w:color w:val="000000"/>
                      <w:sz w:val="16"/>
                      <w:szCs w:val="16"/>
                    </w:rPr>
                  </w:pPr>
                  <w:r w:rsidRPr="00AD6720">
                    <w:rPr>
                      <w:rFonts w:ascii="Arial Narrow" w:hAnsi="Arial Narrow" w:cs="Calibri"/>
                      <w:b/>
                      <w:bCs/>
                      <w:color w:val="000000"/>
                      <w:sz w:val="16"/>
                      <w:szCs w:val="16"/>
                    </w:rPr>
                    <w:t>Other Staff costs - Recruitment/adverts/redundancy/PILON</w:t>
                  </w:r>
                </w:p>
              </w:tc>
              <w:tc>
                <w:tcPr>
                  <w:tcW w:w="960" w:type="dxa"/>
                  <w:tcBorders>
                    <w:top w:val="nil"/>
                    <w:left w:val="nil"/>
                    <w:bottom w:val="nil"/>
                    <w:right w:val="nil"/>
                  </w:tcBorders>
                  <w:shd w:val="clear" w:color="auto" w:fill="auto"/>
                  <w:hideMark/>
                </w:tcPr>
                <w:p w:rsidR="00106232" w:rsidRPr="00AD6720" w:rsidRDefault="00106232" w:rsidP="00B07207">
                  <w:pPr>
                    <w:jc w:val="right"/>
                    <w:outlineLvl w:val="0"/>
                    <w:rPr>
                      <w:rFonts w:ascii="Calibri" w:hAnsi="Calibri" w:cs="Calibri"/>
                      <w:color w:val="000000"/>
                      <w:sz w:val="16"/>
                      <w:szCs w:val="16"/>
                    </w:rPr>
                  </w:pPr>
                  <w:r w:rsidRPr="00AD6720">
                    <w:rPr>
                      <w:rFonts w:ascii="Calibri" w:hAnsi="Calibri" w:cs="Calibri"/>
                      <w:color w:val="000000"/>
                      <w:sz w:val="16"/>
                      <w:szCs w:val="16"/>
                    </w:rPr>
                    <w:t xml:space="preserve">27,000 </w:t>
                  </w:r>
                </w:p>
              </w:tc>
              <w:tc>
                <w:tcPr>
                  <w:tcW w:w="960" w:type="dxa"/>
                  <w:tcBorders>
                    <w:top w:val="nil"/>
                    <w:left w:val="nil"/>
                    <w:bottom w:val="nil"/>
                    <w:right w:val="nil"/>
                  </w:tcBorders>
                  <w:shd w:val="clear" w:color="auto" w:fill="auto"/>
                  <w:hideMark/>
                </w:tcPr>
                <w:p w:rsidR="00106232" w:rsidRPr="00AD6720" w:rsidRDefault="00106232" w:rsidP="00B07207">
                  <w:pPr>
                    <w:jc w:val="right"/>
                    <w:outlineLvl w:val="0"/>
                    <w:rPr>
                      <w:rFonts w:ascii="Calibri" w:hAnsi="Calibri" w:cs="Calibri"/>
                      <w:color w:val="000000"/>
                      <w:sz w:val="16"/>
                      <w:szCs w:val="16"/>
                    </w:rPr>
                  </w:pPr>
                  <w:r w:rsidRPr="00AD6720">
                    <w:rPr>
                      <w:rFonts w:ascii="Calibri" w:hAnsi="Calibri" w:cs="Calibri"/>
                      <w:color w:val="000000"/>
                      <w:sz w:val="16"/>
                      <w:szCs w:val="16"/>
                    </w:rPr>
                    <w:t xml:space="preserve">40,000 </w:t>
                  </w:r>
                </w:p>
              </w:tc>
              <w:tc>
                <w:tcPr>
                  <w:tcW w:w="960" w:type="dxa"/>
                  <w:tcBorders>
                    <w:top w:val="nil"/>
                    <w:left w:val="nil"/>
                    <w:bottom w:val="nil"/>
                    <w:right w:val="nil"/>
                  </w:tcBorders>
                  <w:shd w:val="clear" w:color="auto" w:fill="auto"/>
                  <w:hideMark/>
                </w:tcPr>
                <w:p w:rsidR="00106232" w:rsidRPr="00AD6720" w:rsidRDefault="00106232" w:rsidP="00B07207">
                  <w:pPr>
                    <w:jc w:val="right"/>
                    <w:outlineLvl w:val="0"/>
                    <w:rPr>
                      <w:rFonts w:ascii="Calibri" w:hAnsi="Calibri" w:cs="Calibri"/>
                      <w:color w:val="000000"/>
                      <w:sz w:val="16"/>
                      <w:szCs w:val="16"/>
                    </w:rPr>
                  </w:pPr>
                  <w:r w:rsidRPr="00AD6720">
                    <w:rPr>
                      <w:rFonts w:ascii="Calibri" w:hAnsi="Calibri" w:cs="Calibri"/>
                      <w:color w:val="000000"/>
                      <w:sz w:val="16"/>
                      <w:szCs w:val="16"/>
                    </w:rPr>
                    <w:t xml:space="preserve">0 </w:t>
                  </w:r>
                </w:p>
              </w:tc>
              <w:tc>
                <w:tcPr>
                  <w:tcW w:w="960" w:type="dxa"/>
                  <w:tcBorders>
                    <w:top w:val="nil"/>
                    <w:left w:val="nil"/>
                    <w:bottom w:val="nil"/>
                    <w:right w:val="nil"/>
                  </w:tcBorders>
                  <w:shd w:val="clear" w:color="auto" w:fill="auto"/>
                  <w:hideMark/>
                </w:tcPr>
                <w:p w:rsidR="00106232" w:rsidRPr="00AD6720" w:rsidRDefault="00106232" w:rsidP="00B07207">
                  <w:pPr>
                    <w:jc w:val="right"/>
                    <w:outlineLvl w:val="0"/>
                    <w:rPr>
                      <w:rFonts w:ascii="Calibri" w:hAnsi="Calibri" w:cs="Calibri"/>
                      <w:color w:val="000000"/>
                      <w:sz w:val="16"/>
                      <w:szCs w:val="16"/>
                    </w:rPr>
                  </w:pPr>
                  <w:r w:rsidRPr="00AD6720">
                    <w:rPr>
                      <w:rFonts w:ascii="Calibri" w:hAnsi="Calibri" w:cs="Calibri"/>
                      <w:color w:val="000000"/>
                      <w:sz w:val="16"/>
                      <w:szCs w:val="16"/>
                    </w:rPr>
                    <w:t>(3,000)</w:t>
                  </w:r>
                </w:p>
              </w:tc>
              <w:tc>
                <w:tcPr>
                  <w:tcW w:w="960" w:type="dxa"/>
                  <w:tcBorders>
                    <w:top w:val="nil"/>
                    <w:left w:val="nil"/>
                    <w:bottom w:val="nil"/>
                    <w:right w:val="nil"/>
                  </w:tcBorders>
                  <w:shd w:val="clear" w:color="auto" w:fill="auto"/>
                  <w:hideMark/>
                </w:tcPr>
                <w:p w:rsidR="00106232" w:rsidRPr="00AD6720" w:rsidRDefault="00106232" w:rsidP="00B07207">
                  <w:pPr>
                    <w:jc w:val="right"/>
                    <w:outlineLvl w:val="0"/>
                    <w:rPr>
                      <w:rFonts w:ascii="Calibri" w:hAnsi="Calibri" w:cs="Calibri"/>
                      <w:color w:val="000000"/>
                      <w:sz w:val="16"/>
                      <w:szCs w:val="16"/>
                    </w:rPr>
                  </w:pPr>
                  <w:r w:rsidRPr="00AD6720">
                    <w:rPr>
                      <w:rFonts w:ascii="Calibri" w:hAnsi="Calibri" w:cs="Calibri"/>
                      <w:color w:val="000000"/>
                      <w:sz w:val="16"/>
                      <w:szCs w:val="16"/>
                    </w:rPr>
                    <w:t>(3,000)</w:t>
                  </w:r>
                </w:p>
              </w:tc>
              <w:tc>
                <w:tcPr>
                  <w:tcW w:w="960" w:type="dxa"/>
                  <w:tcBorders>
                    <w:top w:val="nil"/>
                    <w:left w:val="nil"/>
                    <w:bottom w:val="nil"/>
                    <w:right w:val="nil"/>
                  </w:tcBorders>
                  <w:shd w:val="clear" w:color="auto" w:fill="auto"/>
                  <w:hideMark/>
                </w:tcPr>
                <w:p w:rsidR="00106232" w:rsidRPr="00AD6720" w:rsidRDefault="00106232" w:rsidP="00B07207">
                  <w:pPr>
                    <w:jc w:val="right"/>
                    <w:outlineLvl w:val="0"/>
                    <w:rPr>
                      <w:rFonts w:ascii="Calibri" w:hAnsi="Calibri" w:cs="Calibri"/>
                      <w:color w:val="000000"/>
                      <w:sz w:val="16"/>
                      <w:szCs w:val="16"/>
                    </w:rPr>
                  </w:pPr>
                  <w:r w:rsidRPr="00AD6720">
                    <w:rPr>
                      <w:rFonts w:ascii="Calibri" w:hAnsi="Calibri" w:cs="Calibri"/>
                      <w:color w:val="000000"/>
                      <w:sz w:val="16"/>
                      <w:szCs w:val="16"/>
                    </w:rPr>
                    <w:t xml:space="preserve">23,000 </w:t>
                  </w:r>
                </w:p>
              </w:tc>
              <w:tc>
                <w:tcPr>
                  <w:tcW w:w="960" w:type="dxa"/>
                  <w:tcBorders>
                    <w:top w:val="nil"/>
                    <w:left w:val="nil"/>
                    <w:bottom w:val="nil"/>
                    <w:right w:val="nil"/>
                  </w:tcBorders>
                  <w:shd w:val="clear" w:color="auto" w:fill="auto"/>
                  <w:hideMark/>
                </w:tcPr>
                <w:p w:rsidR="00106232" w:rsidRPr="00AD6720" w:rsidRDefault="00106232" w:rsidP="00B07207">
                  <w:pPr>
                    <w:jc w:val="right"/>
                    <w:outlineLvl w:val="0"/>
                    <w:rPr>
                      <w:rFonts w:ascii="Calibri" w:hAnsi="Calibri" w:cs="Calibri"/>
                      <w:color w:val="000000"/>
                      <w:sz w:val="16"/>
                      <w:szCs w:val="16"/>
                    </w:rPr>
                  </w:pPr>
                  <w:r w:rsidRPr="00AD6720">
                    <w:rPr>
                      <w:rFonts w:ascii="Calibri" w:hAnsi="Calibri" w:cs="Calibri"/>
                      <w:color w:val="000000"/>
                      <w:sz w:val="16"/>
                      <w:szCs w:val="16"/>
                    </w:rPr>
                    <w:t xml:space="preserve">24,759 </w:t>
                  </w:r>
                </w:p>
              </w:tc>
              <w:tc>
                <w:tcPr>
                  <w:tcW w:w="960" w:type="dxa"/>
                  <w:tcBorders>
                    <w:top w:val="nil"/>
                    <w:left w:val="nil"/>
                    <w:bottom w:val="nil"/>
                    <w:right w:val="nil"/>
                  </w:tcBorders>
                  <w:shd w:val="clear" w:color="auto" w:fill="auto"/>
                  <w:hideMark/>
                </w:tcPr>
                <w:p w:rsidR="00106232" w:rsidRPr="00AD6720" w:rsidRDefault="00106232" w:rsidP="00B07207">
                  <w:pPr>
                    <w:jc w:val="right"/>
                    <w:outlineLvl w:val="0"/>
                    <w:rPr>
                      <w:rFonts w:ascii="Calibri" w:hAnsi="Calibri" w:cs="Calibri"/>
                      <w:color w:val="000000"/>
                      <w:sz w:val="16"/>
                      <w:szCs w:val="16"/>
                    </w:rPr>
                  </w:pPr>
                  <w:r w:rsidRPr="00AD6720">
                    <w:rPr>
                      <w:rFonts w:ascii="Calibri" w:hAnsi="Calibri" w:cs="Calibri"/>
                      <w:color w:val="000000"/>
                      <w:sz w:val="16"/>
                      <w:szCs w:val="16"/>
                    </w:rPr>
                    <w:t xml:space="preserve">1,759 </w:t>
                  </w:r>
                </w:p>
              </w:tc>
            </w:tr>
            <w:tr w:rsidR="00106232" w:rsidRPr="00AD6720" w:rsidTr="00B07207">
              <w:trPr>
                <w:trHeight w:val="300"/>
              </w:trPr>
              <w:tc>
                <w:tcPr>
                  <w:tcW w:w="4860" w:type="dxa"/>
                  <w:tcBorders>
                    <w:top w:val="nil"/>
                    <w:left w:val="nil"/>
                    <w:bottom w:val="nil"/>
                    <w:right w:val="nil"/>
                  </w:tcBorders>
                  <w:shd w:val="clear" w:color="auto" w:fill="auto"/>
                  <w:noWrap/>
                  <w:vAlign w:val="bottom"/>
                  <w:hideMark/>
                </w:tcPr>
                <w:p w:rsidR="00106232" w:rsidRPr="00AD6720" w:rsidRDefault="00106232" w:rsidP="00B07207">
                  <w:pPr>
                    <w:outlineLvl w:val="0"/>
                    <w:rPr>
                      <w:rFonts w:ascii="Arial Narrow" w:hAnsi="Arial Narrow" w:cs="Calibri"/>
                      <w:b/>
                      <w:bCs/>
                      <w:color w:val="000000"/>
                      <w:sz w:val="16"/>
                      <w:szCs w:val="16"/>
                    </w:rPr>
                  </w:pPr>
                  <w:r w:rsidRPr="00AD6720">
                    <w:rPr>
                      <w:rFonts w:ascii="Arial Narrow" w:hAnsi="Arial Narrow" w:cs="Calibri"/>
                      <w:b/>
                      <w:bCs/>
                      <w:color w:val="000000"/>
                      <w:sz w:val="16"/>
                      <w:szCs w:val="16"/>
                    </w:rPr>
                    <w:t>Travel costs - include excess mileage/interview expenses</w:t>
                  </w:r>
                </w:p>
              </w:tc>
              <w:tc>
                <w:tcPr>
                  <w:tcW w:w="960" w:type="dxa"/>
                  <w:tcBorders>
                    <w:top w:val="nil"/>
                    <w:left w:val="nil"/>
                    <w:bottom w:val="nil"/>
                    <w:right w:val="nil"/>
                  </w:tcBorders>
                  <w:shd w:val="clear" w:color="auto" w:fill="auto"/>
                  <w:hideMark/>
                </w:tcPr>
                <w:p w:rsidR="00106232" w:rsidRPr="00AD6720" w:rsidRDefault="00106232" w:rsidP="00B07207">
                  <w:pPr>
                    <w:jc w:val="right"/>
                    <w:outlineLvl w:val="0"/>
                    <w:rPr>
                      <w:rFonts w:ascii="Calibri" w:hAnsi="Calibri" w:cs="Calibri"/>
                      <w:color w:val="000000"/>
                      <w:sz w:val="16"/>
                      <w:szCs w:val="16"/>
                    </w:rPr>
                  </w:pPr>
                  <w:r w:rsidRPr="00AD6720">
                    <w:rPr>
                      <w:rFonts w:ascii="Calibri" w:hAnsi="Calibri" w:cs="Calibri"/>
                      <w:color w:val="000000"/>
                      <w:sz w:val="16"/>
                      <w:szCs w:val="16"/>
                    </w:rPr>
                    <w:t xml:space="preserve">563,958 </w:t>
                  </w:r>
                </w:p>
              </w:tc>
              <w:tc>
                <w:tcPr>
                  <w:tcW w:w="960" w:type="dxa"/>
                  <w:tcBorders>
                    <w:top w:val="nil"/>
                    <w:left w:val="nil"/>
                    <w:bottom w:val="nil"/>
                    <w:right w:val="nil"/>
                  </w:tcBorders>
                  <w:shd w:val="clear" w:color="auto" w:fill="auto"/>
                  <w:hideMark/>
                </w:tcPr>
                <w:p w:rsidR="00106232" w:rsidRPr="00AD6720" w:rsidRDefault="00106232" w:rsidP="00B07207">
                  <w:pPr>
                    <w:jc w:val="right"/>
                    <w:outlineLvl w:val="0"/>
                    <w:rPr>
                      <w:rFonts w:ascii="Calibri" w:hAnsi="Calibri" w:cs="Calibri"/>
                      <w:color w:val="000000"/>
                      <w:sz w:val="16"/>
                      <w:szCs w:val="16"/>
                    </w:rPr>
                  </w:pPr>
                  <w:r w:rsidRPr="00AD6720">
                    <w:rPr>
                      <w:rFonts w:ascii="Calibri" w:hAnsi="Calibri" w:cs="Calibri"/>
                      <w:color w:val="000000"/>
                      <w:sz w:val="16"/>
                      <w:szCs w:val="16"/>
                    </w:rPr>
                    <w:t xml:space="preserve">537,403 </w:t>
                  </w:r>
                </w:p>
              </w:tc>
              <w:tc>
                <w:tcPr>
                  <w:tcW w:w="960" w:type="dxa"/>
                  <w:tcBorders>
                    <w:top w:val="nil"/>
                    <w:left w:val="nil"/>
                    <w:bottom w:val="nil"/>
                    <w:right w:val="nil"/>
                  </w:tcBorders>
                  <w:shd w:val="clear" w:color="auto" w:fill="auto"/>
                  <w:hideMark/>
                </w:tcPr>
                <w:p w:rsidR="00106232" w:rsidRPr="00AD6720" w:rsidRDefault="00106232" w:rsidP="00B07207">
                  <w:pPr>
                    <w:jc w:val="right"/>
                    <w:outlineLvl w:val="0"/>
                    <w:rPr>
                      <w:rFonts w:ascii="Calibri" w:hAnsi="Calibri" w:cs="Calibri"/>
                      <w:color w:val="000000"/>
                      <w:sz w:val="16"/>
                      <w:szCs w:val="16"/>
                    </w:rPr>
                  </w:pPr>
                  <w:r w:rsidRPr="00AD6720">
                    <w:rPr>
                      <w:rFonts w:ascii="Calibri" w:hAnsi="Calibri" w:cs="Calibri"/>
                      <w:color w:val="000000"/>
                      <w:sz w:val="16"/>
                      <w:szCs w:val="16"/>
                    </w:rPr>
                    <w:t xml:space="preserve">52,091 </w:t>
                  </w:r>
                </w:p>
              </w:tc>
              <w:tc>
                <w:tcPr>
                  <w:tcW w:w="960" w:type="dxa"/>
                  <w:tcBorders>
                    <w:top w:val="nil"/>
                    <w:left w:val="nil"/>
                    <w:bottom w:val="nil"/>
                    <w:right w:val="nil"/>
                  </w:tcBorders>
                  <w:shd w:val="clear" w:color="auto" w:fill="auto"/>
                  <w:hideMark/>
                </w:tcPr>
                <w:p w:rsidR="00106232" w:rsidRPr="00AD6720" w:rsidRDefault="00106232" w:rsidP="00B07207">
                  <w:pPr>
                    <w:jc w:val="right"/>
                    <w:outlineLvl w:val="0"/>
                    <w:rPr>
                      <w:rFonts w:ascii="Calibri" w:hAnsi="Calibri" w:cs="Calibri"/>
                      <w:color w:val="000000"/>
                      <w:sz w:val="16"/>
                      <w:szCs w:val="16"/>
                    </w:rPr>
                  </w:pPr>
                  <w:r w:rsidRPr="00AD6720">
                    <w:rPr>
                      <w:rFonts w:ascii="Calibri" w:hAnsi="Calibri" w:cs="Calibri"/>
                      <w:color w:val="000000"/>
                      <w:sz w:val="16"/>
                      <w:szCs w:val="16"/>
                    </w:rPr>
                    <w:t xml:space="preserve">51,489 </w:t>
                  </w:r>
                </w:p>
              </w:tc>
              <w:tc>
                <w:tcPr>
                  <w:tcW w:w="960" w:type="dxa"/>
                  <w:tcBorders>
                    <w:top w:val="nil"/>
                    <w:left w:val="nil"/>
                    <w:bottom w:val="nil"/>
                    <w:right w:val="nil"/>
                  </w:tcBorders>
                  <w:shd w:val="clear" w:color="auto" w:fill="auto"/>
                  <w:hideMark/>
                </w:tcPr>
                <w:p w:rsidR="00106232" w:rsidRPr="00AD6720" w:rsidRDefault="00106232" w:rsidP="00B07207">
                  <w:pPr>
                    <w:jc w:val="right"/>
                    <w:outlineLvl w:val="0"/>
                    <w:rPr>
                      <w:rFonts w:ascii="Calibri" w:hAnsi="Calibri" w:cs="Calibri"/>
                      <w:color w:val="000000"/>
                      <w:sz w:val="16"/>
                      <w:szCs w:val="16"/>
                    </w:rPr>
                  </w:pPr>
                  <w:r w:rsidRPr="00AD6720">
                    <w:rPr>
                      <w:rFonts w:ascii="Calibri" w:hAnsi="Calibri" w:cs="Calibri"/>
                      <w:color w:val="000000"/>
                      <w:sz w:val="16"/>
                      <w:szCs w:val="16"/>
                    </w:rPr>
                    <w:t>(602)</w:t>
                  </w:r>
                </w:p>
              </w:tc>
              <w:tc>
                <w:tcPr>
                  <w:tcW w:w="960" w:type="dxa"/>
                  <w:tcBorders>
                    <w:top w:val="nil"/>
                    <w:left w:val="nil"/>
                    <w:bottom w:val="nil"/>
                    <w:right w:val="nil"/>
                  </w:tcBorders>
                  <w:shd w:val="clear" w:color="auto" w:fill="auto"/>
                  <w:hideMark/>
                </w:tcPr>
                <w:p w:rsidR="00106232" w:rsidRPr="00AD6720" w:rsidRDefault="00106232" w:rsidP="00B07207">
                  <w:pPr>
                    <w:jc w:val="right"/>
                    <w:outlineLvl w:val="0"/>
                    <w:rPr>
                      <w:rFonts w:ascii="Calibri" w:hAnsi="Calibri" w:cs="Calibri"/>
                      <w:color w:val="000000"/>
                      <w:sz w:val="16"/>
                      <w:szCs w:val="16"/>
                    </w:rPr>
                  </w:pPr>
                  <w:r w:rsidRPr="00AD6720">
                    <w:rPr>
                      <w:rFonts w:ascii="Calibri" w:hAnsi="Calibri" w:cs="Calibri"/>
                      <w:color w:val="000000"/>
                      <w:sz w:val="16"/>
                      <w:szCs w:val="16"/>
                    </w:rPr>
                    <w:t xml:space="preserve">377,117 </w:t>
                  </w:r>
                </w:p>
              </w:tc>
              <w:tc>
                <w:tcPr>
                  <w:tcW w:w="960" w:type="dxa"/>
                  <w:tcBorders>
                    <w:top w:val="nil"/>
                    <w:left w:val="nil"/>
                    <w:bottom w:val="nil"/>
                    <w:right w:val="nil"/>
                  </w:tcBorders>
                  <w:shd w:val="clear" w:color="auto" w:fill="auto"/>
                  <w:hideMark/>
                </w:tcPr>
                <w:p w:rsidR="00106232" w:rsidRPr="00AD6720" w:rsidRDefault="00106232" w:rsidP="00B07207">
                  <w:pPr>
                    <w:jc w:val="right"/>
                    <w:outlineLvl w:val="0"/>
                    <w:rPr>
                      <w:rFonts w:ascii="Calibri" w:hAnsi="Calibri" w:cs="Calibri"/>
                      <w:color w:val="000000"/>
                      <w:sz w:val="16"/>
                      <w:szCs w:val="16"/>
                    </w:rPr>
                  </w:pPr>
                  <w:r w:rsidRPr="00AD6720">
                    <w:rPr>
                      <w:rFonts w:ascii="Calibri" w:hAnsi="Calibri" w:cs="Calibri"/>
                      <w:color w:val="000000"/>
                      <w:sz w:val="16"/>
                      <w:szCs w:val="16"/>
                    </w:rPr>
                    <w:t xml:space="preserve">382,028 </w:t>
                  </w:r>
                </w:p>
              </w:tc>
              <w:tc>
                <w:tcPr>
                  <w:tcW w:w="960" w:type="dxa"/>
                  <w:tcBorders>
                    <w:top w:val="nil"/>
                    <w:left w:val="nil"/>
                    <w:bottom w:val="nil"/>
                    <w:right w:val="nil"/>
                  </w:tcBorders>
                  <w:shd w:val="clear" w:color="auto" w:fill="auto"/>
                  <w:hideMark/>
                </w:tcPr>
                <w:p w:rsidR="00106232" w:rsidRPr="00AD6720" w:rsidRDefault="00106232" w:rsidP="00B07207">
                  <w:pPr>
                    <w:jc w:val="right"/>
                    <w:outlineLvl w:val="0"/>
                    <w:rPr>
                      <w:rFonts w:ascii="Calibri" w:hAnsi="Calibri" w:cs="Calibri"/>
                      <w:color w:val="000000"/>
                      <w:sz w:val="16"/>
                      <w:szCs w:val="16"/>
                    </w:rPr>
                  </w:pPr>
                  <w:r w:rsidRPr="00AD6720">
                    <w:rPr>
                      <w:rFonts w:ascii="Calibri" w:hAnsi="Calibri" w:cs="Calibri"/>
                      <w:color w:val="000000"/>
                      <w:sz w:val="16"/>
                      <w:szCs w:val="16"/>
                    </w:rPr>
                    <w:t xml:space="preserve">4,911 </w:t>
                  </w:r>
                </w:p>
              </w:tc>
            </w:tr>
            <w:tr w:rsidR="00106232" w:rsidRPr="00AD6720" w:rsidTr="00B07207">
              <w:trPr>
                <w:trHeight w:val="300"/>
              </w:trPr>
              <w:tc>
                <w:tcPr>
                  <w:tcW w:w="4860" w:type="dxa"/>
                  <w:tcBorders>
                    <w:top w:val="nil"/>
                    <w:left w:val="nil"/>
                    <w:bottom w:val="nil"/>
                    <w:right w:val="nil"/>
                  </w:tcBorders>
                  <w:shd w:val="clear" w:color="auto" w:fill="auto"/>
                  <w:noWrap/>
                  <w:vAlign w:val="bottom"/>
                  <w:hideMark/>
                </w:tcPr>
                <w:p w:rsidR="00106232" w:rsidRPr="00AD6720" w:rsidRDefault="00106232" w:rsidP="00B07207">
                  <w:pPr>
                    <w:outlineLvl w:val="0"/>
                    <w:rPr>
                      <w:rFonts w:ascii="Arial Narrow" w:hAnsi="Arial Narrow" w:cs="Calibri"/>
                      <w:b/>
                      <w:bCs/>
                      <w:color w:val="000000"/>
                      <w:sz w:val="16"/>
                      <w:szCs w:val="16"/>
                    </w:rPr>
                  </w:pPr>
                  <w:r w:rsidRPr="00AD6720">
                    <w:rPr>
                      <w:rFonts w:ascii="Arial Narrow" w:hAnsi="Arial Narrow" w:cs="Calibri"/>
                      <w:b/>
                      <w:bCs/>
                      <w:color w:val="000000"/>
                      <w:sz w:val="16"/>
                      <w:szCs w:val="16"/>
                    </w:rPr>
                    <w:t>Chairs/Members/Participation - activity costs</w:t>
                  </w:r>
                </w:p>
              </w:tc>
              <w:tc>
                <w:tcPr>
                  <w:tcW w:w="960" w:type="dxa"/>
                  <w:tcBorders>
                    <w:top w:val="nil"/>
                    <w:left w:val="nil"/>
                    <w:bottom w:val="nil"/>
                    <w:right w:val="nil"/>
                  </w:tcBorders>
                  <w:shd w:val="clear" w:color="auto" w:fill="auto"/>
                  <w:hideMark/>
                </w:tcPr>
                <w:p w:rsidR="00106232" w:rsidRPr="00AD6720" w:rsidRDefault="00106232" w:rsidP="00B07207">
                  <w:pPr>
                    <w:jc w:val="right"/>
                    <w:outlineLvl w:val="0"/>
                    <w:rPr>
                      <w:rFonts w:ascii="Calibri" w:hAnsi="Calibri" w:cs="Calibri"/>
                      <w:color w:val="000000"/>
                      <w:sz w:val="16"/>
                      <w:szCs w:val="16"/>
                    </w:rPr>
                  </w:pPr>
                  <w:r w:rsidRPr="00AD6720">
                    <w:rPr>
                      <w:rFonts w:ascii="Calibri" w:hAnsi="Calibri" w:cs="Calibri"/>
                      <w:color w:val="000000"/>
                      <w:sz w:val="16"/>
                      <w:szCs w:val="16"/>
                    </w:rPr>
                    <w:t xml:space="preserve">290,710 </w:t>
                  </w:r>
                </w:p>
              </w:tc>
              <w:tc>
                <w:tcPr>
                  <w:tcW w:w="960" w:type="dxa"/>
                  <w:tcBorders>
                    <w:top w:val="nil"/>
                    <w:left w:val="nil"/>
                    <w:bottom w:val="nil"/>
                    <w:right w:val="nil"/>
                  </w:tcBorders>
                  <w:shd w:val="clear" w:color="auto" w:fill="auto"/>
                  <w:hideMark/>
                </w:tcPr>
                <w:p w:rsidR="00106232" w:rsidRPr="00AD6720" w:rsidRDefault="00106232" w:rsidP="00B07207">
                  <w:pPr>
                    <w:jc w:val="right"/>
                    <w:outlineLvl w:val="0"/>
                    <w:rPr>
                      <w:rFonts w:ascii="Calibri" w:hAnsi="Calibri" w:cs="Calibri"/>
                      <w:color w:val="000000"/>
                      <w:sz w:val="16"/>
                      <w:szCs w:val="16"/>
                    </w:rPr>
                  </w:pPr>
                  <w:r w:rsidRPr="00AD6720">
                    <w:rPr>
                      <w:rFonts w:ascii="Calibri" w:hAnsi="Calibri" w:cs="Calibri"/>
                      <w:color w:val="000000"/>
                      <w:sz w:val="16"/>
                      <w:szCs w:val="16"/>
                    </w:rPr>
                    <w:t xml:space="preserve">286,410 </w:t>
                  </w:r>
                </w:p>
              </w:tc>
              <w:tc>
                <w:tcPr>
                  <w:tcW w:w="960" w:type="dxa"/>
                  <w:tcBorders>
                    <w:top w:val="nil"/>
                    <w:left w:val="nil"/>
                    <w:bottom w:val="nil"/>
                    <w:right w:val="nil"/>
                  </w:tcBorders>
                  <w:shd w:val="clear" w:color="auto" w:fill="auto"/>
                  <w:hideMark/>
                </w:tcPr>
                <w:p w:rsidR="00106232" w:rsidRPr="00AD6720" w:rsidRDefault="00106232" w:rsidP="00B07207">
                  <w:pPr>
                    <w:jc w:val="right"/>
                    <w:outlineLvl w:val="0"/>
                    <w:rPr>
                      <w:rFonts w:ascii="Calibri" w:hAnsi="Calibri" w:cs="Calibri"/>
                      <w:color w:val="000000"/>
                      <w:sz w:val="16"/>
                      <w:szCs w:val="16"/>
                    </w:rPr>
                  </w:pPr>
                  <w:r w:rsidRPr="00AD6720">
                    <w:rPr>
                      <w:rFonts w:ascii="Calibri" w:hAnsi="Calibri" w:cs="Calibri"/>
                      <w:color w:val="000000"/>
                      <w:sz w:val="16"/>
                      <w:szCs w:val="16"/>
                    </w:rPr>
                    <w:t xml:space="preserve">20,769 </w:t>
                  </w:r>
                </w:p>
              </w:tc>
              <w:tc>
                <w:tcPr>
                  <w:tcW w:w="960" w:type="dxa"/>
                  <w:tcBorders>
                    <w:top w:val="nil"/>
                    <w:left w:val="nil"/>
                    <w:bottom w:val="nil"/>
                    <w:right w:val="nil"/>
                  </w:tcBorders>
                  <w:shd w:val="clear" w:color="auto" w:fill="auto"/>
                  <w:hideMark/>
                </w:tcPr>
                <w:p w:rsidR="00106232" w:rsidRPr="00AD6720" w:rsidRDefault="00106232" w:rsidP="00B07207">
                  <w:pPr>
                    <w:jc w:val="right"/>
                    <w:outlineLvl w:val="0"/>
                    <w:rPr>
                      <w:rFonts w:ascii="Calibri" w:hAnsi="Calibri" w:cs="Calibri"/>
                      <w:color w:val="000000"/>
                      <w:sz w:val="16"/>
                      <w:szCs w:val="16"/>
                    </w:rPr>
                  </w:pPr>
                  <w:r w:rsidRPr="00AD6720">
                    <w:rPr>
                      <w:rFonts w:ascii="Calibri" w:hAnsi="Calibri" w:cs="Calibri"/>
                      <w:color w:val="000000"/>
                      <w:sz w:val="16"/>
                      <w:szCs w:val="16"/>
                    </w:rPr>
                    <w:t xml:space="preserve">25,897 </w:t>
                  </w:r>
                </w:p>
              </w:tc>
              <w:tc>
                <w:tcPr>
                  <w:tcW w:w="960" w:type="dxa"/>
                  <w:tcBorders>
                    <w:top w:val="nil"/>
                    <w:left w:val="nil"/>
                    <w:bottom w:val="nil"/>
                    <w:right w:val="nil"/>
                  </w:tcBorders>
                  <w:shd w:val="clear" w:color="auto" w:fill="auto"/>
                  <w:hideMark/>
                </w:tcPr>
                <w:p w:rsidR="00106232" w:rsidRPr="00AD6720" w:rsidRDefault="00106232" w:rsidP="00B07207">
                  <w:pPr>
                    <w:jc w:val="right"/>
                    <w:outlineLvl w:val="0"/>
                    <w:rPr>
                      <w:rFonts w:ascii="Calibri" w:hAnsi="Calibri" w:cs="Calibri"/>
                      <w:color w:val="000000"/>
                      <w:sz w:val="16"/>
                      <w:szCs w:val="16"/>
                    </w:rPr>
                  </w:pPr>
                  <w:r w:rsidRPr="00AD6720">
                    <w:rPr>
                      <w:rFonts w:ascii="Calibri" w:hAnsi="Calibri" w:cs="Calibri"/>
                      <w:color w:val="000000"/>
                      <w:sz w:val="16"/>
                      <w:szCs w:val="16"/>
                    </w:rPr>
                    <w:t xml:space="preserve">5,128 </w:t>
                  </w:r>
                </w:p>
              </w:tc>
              <w:tc>
                <w:tcPr>
                  <w:tcW w:w="960" w:type="dxa"/>
                  <w:tcBorders>
                    <w:top w:val="nil"/>
                    <w:left w:val="nil"/>
                    <w:bottom w:val="nil"/>
                    <w:right w:val="nil"/>
                  </w:tcBorders>
                  <w:shd w:val="clear" w:color="auto" w:fill="auto"/>
                  <w:hideMark/>
                </w:tcPr>
                <w:p w:rsidR="00106232" w:rsidRPr="00AD6720" w:rsidRDefault="00106232" w:rsidP="00B07207">
                  <w:pPr>
                    <w:jc w:val="right"/>
                    <w:outlineLvl w:val="0"/>
                    <w:rPr>
                      <w:rFonts w:ascii="Calibri" w:hAnsi="Calibri" w:cs="Calibri"/>
                      <w:color w:val="000000"/>
                      <w:sz w:val="16"/>
                      <w:szCs w:val="16"/>
                    </w:rPr>
                  </w:pPr>
                  <w:r w:rsidRPr="00AD6720">
                    <w:rPr>
                      <w:rFonts w:ascii="Calibri" w:hAnsi="Calibri" w:cs="Calibri"/>
                      <w:color w:val="000000"/>
                      <w:sz w:val="16"/>
                      <w:szCs w:val="16"/>
                    </w:rPr>
                    <w:t xml:space="preserve">179,625 </w:t>
                  </w:r>
                </w:p>
              </w:tc>
              <w:tc>
                <w:tcPr>
                  <w:tcW w:w="960" w:type="dxa"/>
                  <w:tcBorders>
                    <w:top w:val="nil"/>
                    <w:left w:val="nil"/>
                    <w:bottom w:val="nil"/>
                    <w:right w:val="nil"/>
                  </w:tcBorders>
                  <w:shd w:val="clear" w:color="auto" w:fill="auto"/>
                  <w:hideMark/>
                </w:tcPr>
                <w:p w:rsidR="00106232" w:rsidRPr="00AD6720" w:rsidRDefault="00106232" w:rsidP="00B07207">
                  <w:pPr>
                    <w:jc w:val="right"/>
                    <w:outlineLvl w:val="0"/>
                    <w:rPr>
                      <w:rFonts w:ascii="Calibri" w:hAnsi="Calibri" w:cs="Calibri"/>
                      <w:color w:val="000000"/>
                      <w:sz w:val="16"/>
                      <w:szCs w:val="16"/>
                    </w:rPr>
                  </w:pPr>
                  <w:r w:rsidRPr="00AD6720">
                    <w:rPr>
                      <w:rFonts w:ascii="Calibri" w:hAnsi="Calibri" w:cs="Calibri"/>
                      <w:color w:val="000000"/>
                      <w:sz w:val="16"/>
                      <w:szCs w:val="16"/>
                    </w:rPr>
                    <w:t xml:space="preserve">176,096 </w:t>
                  </w:r>
                </w:p>
              </w:tc>
              <w:tc>
                <w:tcPr>
                  <w:tcW w:w="960" w:type="dxa"/>
                  <w:tcBorders>
                    <w:top w:val="nil"/>
                    <w:left w:val="nil"/>
                    <w:bottom w:val="nil"/>
                    <w:right w:val="nil"/>
                  </w:tcBorders>
                  <w:shd w:val="clear" w:color="auto" w:fill="auto"/>
                  <w:hideMark/>
                </w:tcPr>
                <w:p w:rsidR="00106232" w:rsidRPr="00AD6720" w:rsidRDefault="00106232" w:rsidP="00B07207">
                  <w:pPr>
                    <w:jc w:val="right"/>
                    <w:outlineLvl w:val="0"/>
                    <w:rPr>
                      <w:rFonts w:ascii="Calibri" w:hAnsi="Calibri" w:cs="Calibri"/>
                      <w:color w:val="000000"/>
                      <w:sz w:val="16"/>
                      <w:szCs w:val="16"/>
                    </w:rPr>
                  </w:pPr>
                  <w:r w:rsidRPr="00AD6720">
                    <w:rPr>
                      <w:rFonts w:ascii="Calibri" w:hAnsi="Calibri" w:cs="Calibri"/>
                      <w:color w:val="000000"/>
                      <w:sz w:val="16"/>
                      <w:szCs w:val="16"/>
                    </w:rPr>
                    <w:t>(3,529)</w:t>
                  </w:r>
                </w:p>
              </w:tc>
            </w:tr>
            <w:tr w:rsidR="00106232" w:rsidRPr="00AD6720" w:rsidTr="00B07207">
              <w:trPr>
                <w:trHeight w:val="300"/>
              </w:trPr>
              <w:tc>
                <w:tcPr>
                  <w:tcW w:w="4860" w:type="dxa"/>
                  <w:tcBorders>
                    <w:top w:val="nil"/>
                    <w:left w:val="nil"/>
                    <w:bottom w:val="nil"/>
                    <w:right w:val="nil"/>
                  </w:tcBorders>
                  <w:shd w:val="clear" w:color="auto" w:fill="auto"/>
                  <w:noWrap/>
                  <w:vAlign w:val="bottom"/>
                  <w:hideMark/>
                </w:tcPr>
                <w:p w:rsidR="00106232" w:rsidRPr="00AD6720" w:rsidRDefault="00106232" w:rsidP="00B07207">
                  <w:pPr>
                    <w:outlineLvl w:val="0"/>
                    <w:rPr>
                      <w:rFonts w:ascii="Arial Narrow" w:hAnsi="Arial Narrow" w:cs="Calibri"/>
                      <w:b/>
                      <w:bCs/>
                      <w:color w:val="000000"/>
                      <w:sz w:val="16"/>
                      <w:szCs w:val="16"/>
                    </w:rPr>
                  </w:pPr>
                  <w:r w:rsidRPr="00AD6720">
                    <w:rPr>
                      <w:rFonts w:ascii="Arial Narrow" w:hAnsi="Arial Narrow" w:cs="Calibri"/>
                      <w:b/>
                      <w:bCs/>
                      <w:color w:val="000000"/>
                      <w:sz w:val="16"/>
                      <w:szCs w:val="16"/>
                    </w:rPr>
                    <w:t>Publications</w:t>
                  </w:r>
                </w:p>
              </w:tc>
              <w:tc>
                <w:tcPr>
                  <w:tcW w:w="960" w:type="dxa"/>
                  <w:tcBorders>
                    <w:top w:val="nil"/>
                    <w:left w:val="nil"/>
                    <w:bottom w:val="nil"/>
                    <w:right w:val="nil"/>
                  </w:tcBorders>
                  <w:shd w:val="clear" w:color="auto" w:fill="auto"/>
                  <w:hideMark/>
                </w:tcPr>
                <w:p w:rsidR="00106232" w:rsidRPr="00AD6720" w:rsidRDefault="00106232" w:rsidP="00B07207">
                  <w:pPr>
                    <w:jc w:val="right"/>
                    <w:outlineLvl w:val="0"/>
                    <w:rPr>
                      <w:rFonts w:ascii="Calibri" w:hAnsi="Calibri" w:cs="Calibri"/>
                      <w:color w:val="000000"/>
                      <w:sz w:val="16"/>
                      <w:szCs w:val="16"/>
                    </w:rPr>
                  </w:pPr>
                  <w:r w:rsidRPr="00AD6720">
                    <w:rPr>
                      <w:rFonts w:ascii="Calibri" w:hAnsi="Calibri" w:cs="Calibri"/>
                      <w:color w:val="000000"/>
                      <w:sz w:val="16"/>
                      <w:szCs w:val="16"/>
                    </w:rPr>
                    <w:t xml:space="preserve">2,250 </w:t>
                  </w:r>
                </w:p>
              </w:tc>
              <w:tc>
                <w:tcPr>
                  <w:tcW w:w="960" w:type="dxa"/>
                  <w:tcBorders>
                    <w:top w:val="nil"/>
                    <w:left w:val="nil"/>
                    <w:bottom w:val="nil"/>
                    <w:right w:val="nil"/>
                  </w:tcBorders>
                  <w:shd w:val="clear" w:color="auto" w:fill="auto"/>
                  <w:hideMark/>
                </w:tcPr>
                <w:p w:rsidR="00106232" w:rsidRPr="00AD6720" w:rsidRDefault="00106232" w:rsidP="00B07207">
                  <w:pPr>
                    <w:jc w:val="right"/>
                    <w:outlineLvl w:val="0"/>
                    <w:rPr>
                      <w:rFonts w:ascii="Calibri" w:hAnsi="Calibri" w:cs="Calibri"/>
                      <w:color w:val="000000"/>
                      <w:sz w:val="16"/>
                      <w:szCs w:val="16"/>
                    </w:rPr>
                  </w:pPr>
                  <w:r w:rsidRPr="00AD6720">
                    <w:rPr>
                      <w:rFonts w:ascii="Calibri" w:hAnsi="Calibri" w:cs="Calibri"/>
                      <w:color w:val="000000"/>
                      <w:sz w:val="16"/>
                      <w:szCs w:val="16"/>
                    </w:rPr>
                    <w:t xml:space="preserve">2,250 </w:t>
                  </w:r>
                </w:p>
              </w:tc>
              <w:tc>
                <w:tcPr>
                  <w:tcW w:w="960" w:type="dxa"/>
                  <w:tcBorders>
                    <w:top w:val="nil"/>
                    <w:left w:val="nil"/>
                    <w:bottom w:val="nil"/>
                    <w:right w:val="nil"/>
                  </w:tcBorders>
                  <w:shd w:val="clear" w:color="auto" w:fill="auto"/>
                  <w:hideMark/>
                </w:tcPr>
                <w:p w:rsidR="00106232" w:rsidRPr="00AD6720" w:rsidRDefault="00106232" w:rsidP="00B07207">
                  <w:pPr>
                    <w:jc w:val="right"/>
                    <w:outlineLvl w:val="0"/>
                    <w:rPr>
                      <w:rFonts w:ascii="Calibri" w:hAnsi="Calibri" w:cs="Calibri"/>
                      <w:color w:val="000000"/>
                      <w:sz w:val="16"/>
                      <w:szCs w:val="16"/>
                    </w:rPr>
                  </w:pPr>
                  <w:r w:rsidRPr="00AD6720">
                    <w:rPr>
                      <w:rFonts w:ascii="Calibri" w:hAnsi="Calibri" w:cs="Calibri"/>
                      <w:color w:val="000000"/>
                      <w:sz w:val="16"/>
                      <w:szCs w:val="16"/>
                    </w:rPr>
                    <w:t xml:space="preserve">20 </w:t>
                  </w:r>
                </w:p>
              </w:tc>
              <w:tc>
                <w:tcPr>
                  <w:tcW w:w="960" w:type="dxa"/>
                  <w:tcBorders>
                    <w:top w:val="nil"/>
                    <w:left w:val="nil"/>
                    <w:bottom w:val="nil"/>
                    <w:right w:val="nil"/>
                  </w:tcBorders>
                  <w:shd w:val="clear" w:color="auto" w:fill="auto"/>
                  <w:hideMark/>
                </w:tcPr>
                <w:p w:rsidR="00106232" w:rsidRPr="00AD6720" w:rsidRDefault="00106232" w:rsidP="00B07207">
                  <w:pPr>
                    <w:jc w:val="right"/>
                    <w:outlineLvl w:val="0"/>
                    <w:rPr>
                      <w:rFonts w:ascii="Calibri" w:hAnsi="Calibri" w:cs="Calibri"/>
                      <w:color w:val="000000"/>
                      <w:sz w:val="16"/>
                      <w:szCs w:val="16"/>
                    </w:rPr>
                  </w:pPr>
                  <w:r w:rsidRPr="00AD6720">
                    <w:rPr>
                      <w:rFonts w:ascii="Calibri" w:hAnsi="Calibri" w:cs="Calibri"/>
                      <w:color w:val="000000"/>
                      <w:sz w:val="16"/>
                      <w:szCs w:val="16"/>
                    </w:rPr>
                    <w:t xml:space="preserve">0 </w:t>
                  </w:r>
                </w:p>
              </w:tc>
              <w:tc>
                <w:tcPr>
                  <w:tcW w:w="960" w:type="dxa"/>
                  <w:tcBorders>
                    <w:top w:val="nil"/>
                    <w:left w:val="nil"/>
                    <w:bottom w:val="nil"/>
                    <w:right w:val="nil"/>
                  </w:tcBorders>
                  <w:shd w:val="clear" w:color="auto" w:fill="auto"/>
                  <w:hideMark/>
                </w:tcPr>
                <w:p w:rsidR="00106232" w:rsidRPr="00AD6720" w:rsidRDefault="00106232" w:rsidP="00B07207">
                  <w:pPr>
                    <w:jc w:val="right"/>
                    <w:outlineLvl w:val="0"/>
                    <w:rPr>
                      <w:rFonts w:ascii="Calibri" w:hAnsi="Calibri" w:cs="Calibri"/>
                      <w:color w:val="000000"/>
                      <w:sz w:val="16"/>
                      <w:szCs w:val="16"/>
                    </w:rPr>
                  </w:pPr>
                  <w:r w:rsidRPr="00AD6720">
                    <w:rPr>
                      <w:rFonts w:ascii="Calibri" w:hAnsi="Calibri" w:cs="Calibri"/>
                      <w:color w:val="000000"/>
                      <w:sz w:val="16"/>
                      <w:szCs w:val="16"/>
                    </w:rPr>
                    <w:t>(20)</w:t>
                  </w:r>
                </w:p>
              </w:tc>
              <w:tc>
                <w:tcPr>
                  <w:tcW w:w="960" w:type="dxa"/>
                  <w:tcBorders>
                    <w:top w:val="nil"/>
                    <w:left w:val="nil"/>
                    <w:bottom w:val="nil"/>
                    <w:right w:val="nil"/>
                  </w:tcBorders>
                  <w:shd w:val="clear" w:color="auto" w:fill="auto"/>
                  <w:hideMark/>
                </w:tcPr>
                <w:p w:rsidR="00106232" w:rsidRPr="00AD6720" w:rsidRDefault="00106232" w:rsidP="00B07207">
                  <w:pPr>
                    <w:jc w:val="right"/>
                    <w:outlineLvl w:val="0"/>
                    <w:rPr>
                      <w:rFonts w:ascii="Calibri" w:hAnsi="Calibri" w:cs="Calibri"/>
                      <w:color w:val="000000"/>
                      <w:sz w:val="16"/>
                      <w:szCs w:val="16"/>
                    </w:rPr>
                  </w:pPr>
                  <w:r w:rsidRPr="00AD6720">
                    <w:rPr>
                      <w:rFonts w:ascii="Calibri" w:hAnsi="Calibri" w:cs="Calibri"/>
                      <w:color w:val="000000"/>
                      <w:sz w:val="16"/>
                      <w:szCs w:val="16"/>
                    </w:rPr>
                    <w:t xml:space="preserve">2,170 </w:t>
                  </w:r>
                </w:p>
              </w:tc>
              <w:tc>
                <w:tcPr>
                  <w:tcW w:w="960" w:type="dxa"/>
                  <w:tcBorders>
                    <w:top w:val="nil"/>
                    <w:left w:val="nil"/>
                    <w:bottom w:val="nil"/>
                    <w:right w:val="nil"/>
                  </w:tcBorders>
                  <w:shd w:val="clear" w:color="auto" w:fill="auto"/>
                  <w:hideMark/>
                </w:tcPr>
                <w:p w:rsidR="00106232" w:rsidRPr="00AD6720" w:rsidRDefault="00106232" w:rsidP="00B07207">
                  <w:pPr>
                    <w:jc w:val="right"/>
                    <w:outlineLvl w:val="0"/>
                    <w:rPr>
                      <w:rFonts w:ascii="Calibri" w:hAnsi="Calibri" w:cs="Calibri"/>
                      <w:color w:val="000000"/>
                      <w:sz w:val="16"/>
                      <w:szCs w:val="16"/>
                    </w:rPr>
                  </w:pPr>
                  <w:r w:rsidRPr="00AD6720">
                    <w:rPr>
                      <w:rFonts w:ascii="Calibri" w:hAnsi="Calibri" w:cs="Calibri"/>
                      <w:color w:val="000000"/>
                      <w:sz w:val="16"/>
                      <w:szCs w:val="16"/>
                    </w:rPr>
                    <w:t xml:space="preserve">2,346 </w:t>
                  </w:r>
                </w:p>
              </w:tc>
              <w:tc>
                <w:tcPr>
                  <w:tcW w:w="960" w:type="dxa"/>
                  <w:tcBorders>
                    <w:top w:val="nil"/>
                    <w:left w:val="nil"/>
                    <w:bottom w:val="nil"/>
                    <w:right w:val="nil"/>
                  </w:tcBorders>
                  <w:shd w:val="clear" w:color="auto" w:fill="auto"/>
                  <w:hideMark/>
                </w:tcPr>
                <w:p w:rsidR="00106232" w:rsidRPr="00AD6720" w:rsidRDefault="00106232" w:rsidP="00B07207">
                  <w:pPr>
                    <w:jc w:val="right"/>
                    <w:outlineLvl w:val="0"/>
                    <w:rPr>
                      <w:rFonts w:ascii="Calibri" w:hAnsi="Calibri" w:cs="Calibri"/>
                      <w:color w:val="000000"/>
                      <w:sz w:val="16"/>
                      <w:szCs w:val="16"/>
                    </w:rPr>
                  </w:pPr>
                  <w:r w:rsidRPr="00AD6720">
                    <w:rPr>
                      <w:rFonts w:ascii="Calibri" w:hAnsi="Calibri" w:cs="Calibri"/>
                      <w:color w:val="000000"/>
                      <w:sz w:val="16"/>
                      <w:szCs w:val="16"/>
                    </w:rPr>
                    <w:t xml:space="preserve">176 </w:t>
                  </w:r>
                </w:p>
              </w:tc>
            </w:tr>
            <w:tr w:rsidR="00106232" w:rsidRPr="00AD6720" w:rsidTr="00B07207">
              <w:trPr>
                <w:trHeight w:val="300"/>
              </w:trPr>
              <w:tc>
                <w:tcPr>
                  <w:tcW w:w="4860" w:type="dxa"/>
                  <w:tcBorders>
                    <w:top w:val="nil"/>
                    <w:left w:val="nil"/>
                    <w:bottom w:val="nil"/>
                    <w:right w:val="nil"/>
                  </w:tcBorders>
                  <w:shd w:val="clear" w:color="auto" w:fill="auto"/>
                  <w:noWrap/>
                  <w:vAlign w:val="bottom"/>
                  <w:hideMark/>
                </w:tcPr>
                <w:p w:rsidR="00106232" w:rsidRPr="00AD6720" w:rsidRDefault="00106232" w:rsidP="00B07207">
                  <w:pPr>
                    <w:outlineLvl w:val="0"/>
                    <w:rPr>
                      <w:rFonts w:ascii="Arial Narrow" w:hAnsi="Arial Narrow" w:cs="Calibri"/>
                      <w:b/>
                      <w:bCs/>
                      <w:color w:val="000000"/>
                      <w:sz w:val="16"/>
                      <w:szCs w:val="16"/>
                    </w:rPr>
                  </w:pPr>
                  <w:r w:rsidRPr="00AD6720">
                    <w:rPr>
                      <w:rFonts w:ascii="Arial Narrow" w:hAnsi="Arial Narrow" w:cs="Calibri"/>
                      <w:b/>
                      <w:bCs/>
                      <w:color w:val="000000"/>
                      <w:sz w:val="16"/>
                      <w:szCs w:val="16"/>
                    </w:rPr>
                    <w:t>Mobile Phones/Mobile Data</w:t>
                  </w:r>
                </w:p>
              </w:tc>
              <w:tc>
                <w:tcPr>
                  <w:tcW w:w="960" w:type="dxa"/>
                  <w:tcBorders>
                    <w:top w:val="nil"/>
                    <w:left w:val="nil"/>
                    <w:bottom w:val="nil"/>
                    <w:right w:val="nil"/>
                  </w:tcBorders>
                  <w:shd w:val="clear" w:color="auto" w:fill="auto"/>
                  <w:hideMark/>
                </w:tcPr>
                <w:p w:rsidR="00106232" w:rsidRPr="00AD6720" w:rsidRDefault="00106232" w:rsidP="00B07207">
                  <w:pPr>
                    <w:jc w:val="right"/>
                    <w:outlineLvl w:val="0"/>
                    <w:rPr>
                      <w:rFonts w:ascii="Calibri" w:hAnsi="Calibri" w:cs="Calibri"/>
                      <w:color w:val="000000"/>
                      <w:sz w:val="16"/>
                      <w:szCs w:val="16"/>
                    </w:rPr>
                  </w:pPr>
                  <w:r w:rsidRPr="00AD6720">
                    <w:rPr>
                      <w:rFonts w:ascii="Calibri" w:hAnsi="Calibri" w:cs="Calibri"/>
                      <w:color w:val="000000"/>
                      <w:sz w:val="16"/>
                      <w:szCs w:val="16"/>
                    </w:rPr>
                    <w:t xml:space="preserve">18,661 </w:t>
                  </w:r>
                </w:p>
              </w:tc>
              <w:tc>
                <w:tcPr>
                  <w:tcW w:w="960" w:type="dxa"/>
                  <w:tcBorders>
                    <w:top w:val="nil"/>
                    <w:left w:val="nil"/>
                    <w:bottom w:val="nil"/>
                    <w:right w:val="nil"/>
                  </w:tcBorders>
                  <w:shd w:val="clear" w:color="auto" w:fill="auto"/>
                  <w:hideMark/>
                </w:tcPr>
                <w:p w:rsidR="00106232" w:rsidRPr="00AD6720" w:rsidRDefault="00106232" w:rsidP="00B07207">
                  <w:pPr>
                    <w:jc w:val="right"/>
                    <w:outlineLvl w:val="0"/>
                    <w:rPr>
                      <w:rFonts w:ascii="Calibri" w:hAnsi="Calibri" w:cs="Calibri"/>
                      <w:color w:val="000000"/>
                      <w:sz w:val="16"/>
                      <w:szCs w:val="16"/>
                    </w:rPr>
                  </w:pPr>
                  <w:r w:rsidRPr="00AD6720">
                    <w:rPr>
                      <w:rFonts w:ascii="Calibri" w:hAnsi="Calibri" w:cs="Calibri"/>
                      <w:color w:val="000000"/>
                      <w:sz w:val="16"/>
                      <w:szCs w:val="16"/>
                    </w:rPr>
                    <w:t xml:space="preserve">18,661 </w:t>
                  </w:r>
                </w:p>
              </w:tc>
              <w:tc>
                <w:tcPr>
                  <w:tcW w:w="960" w:type="dxa"/>
                  <w:tcBorders>
                    <w:top w:val="nil"/>
                    <w:left w:val="nil"/>
                    <w:bottom w:val="nil"/>
                    <w:right w:val="nil"/>
                  </w:tcBorders>
                  <w:shd w:val="clear" w:color="auto" w:fill="auto"/>
                  <w:hideMark/>
                </w:tcPr>
                <w:p w:rsidR="00106232" w:rsidRPr="00AD6720" w:rsidRDefault="00106232" w:rsidP="00B07207">
                  <w:pPr>
                    <w:jc w:val="right"/>
                    <w:outlineLvl w:val="0"/>
                    <w:rPr>
                      <w:rFonts w:ascii="Calibri" w:hAnsi="Calibri" w:cs="Calibri"/>
                      <w:color w:val="000000"/>
                      <w:sz w:val="16"/>
                      <w:szCs w:val="16"/>
                    </w:rPr>
                  </w:pPr>
                  <w:r w:rsidRPr="00AD6720">
                    <w:rPr>
                      <w:rFonts w:ascii="Calibri" w:hAnsi="Calibri" w:cs="Calibri"/>
                      <w:color w:val="000000"/>
                      <w:sz w:val="16"/>
                      <w:szCs w:val="16"/>
                    </w:rPr>
                    <w:t xml:space="preserve">1,553 </w:t>
                  </w:r>
                </w:p>
              </w:tc>
              <w:tc>
                <w:tcPr>
                  <w:tcW w:w="960" w:type="dxa"/>
                  <w:tcBorders>
                    <w:top w:val="nil"/>
                    <w:left w:val="nil"/>
                    <w:bottom w:val="nil"/>
                    <w:right w:val="nil"/>
                  </w:tcBorders>
                  <w:shd w:val="clear" w:color="auto" w:fill="auto"/>
                  <w:hideMark/>
                </w:tcPr>
                <w:p w:rsidR="00106232" w:rsidRPr="00AD6720" w:rsidRDefault="00106232" w:rsidP="00B07207">
                  <w:pPr>
                    <w:jc w:val="right"/>
                    <w:outlineLvl w:val="0"/>
                    <w:rPr>
                      <w:rFonts w:ascii="Calibri" w:hAnsi="Calibri" w:cs="Calibri"/>
                      <w:color w:val="000000"/>
                      <w:sz w:val="16"/>
                      <w:szCs w:val="16"/>
                    </w:rPr>
                  </w:pPr>
                  <w:r w:rsidRPr="00AD6720">
                    <w:rPr>
                      <w:rFonts w:ascii="Calibri" w:hAnsi="Calibri" w:cs="Calibri"/>
                      <w:color w:val="000000"/>
                      <w:sz w:val="16"/>
                      <w:szCs w:val="16"/>
                    </w:rPr>
                    <w:t xml:space="preserve">2,681 </w:t>
                  </w:r>
                </w:p>
              </w:tc>
              <w:tc>
                <w:tcPr>
                  <w:tcW w:w="960" w:type="dxa"/>
                  <w:tcBorders>
                    <w:top w:val="nil"/>
                    <w:left w:val="nil"/>
                    <w:bottom w:val="nil"/>
                    <w:right w:val="nil"/>
                  </w:tcBorders>
                  <w:shd w:val="clear" w:color="auto" w:fill="auto"/>
                  <w:hideMark/>
                </w:tcPr>
                <w:p w:rsidR="00106232" w:rsidRPr="00AD6720" w:rsidRDefault="00106232" w:rsidP="00B07207">
                  <w:pPr>
                    <w:jc w:val="right"/>
                    <w:outlineLvl w:val="0"/>
                    <w:rPr>
                      <w:rFonts w:ascii="Calibri" w:hAnsi="Calibri" w:cs="Calibri"/>
                      <w:color w:val="000000"/>
                      <w:sz w:val="16"/>
                      <w:szCs w:val="16"/>
                    </w:rPr>
                  </w:pPr>
                  <w:r w:rsidRPr="00AD6720">
                    <w:rPr>
                      <w:rFonts w:ascii="Calibri" w:hAnsi="Calibri" w:cs="Calibri"/>
                      <w:color w:val="000000"/>
                      <w:sz w:val="16"/>
                      <w:szCs w:val="16"/>
                    </w:rPr>
                    <w:t xml:space="preserve">1,128 </w:t>
                  </w:r>
                </w:p>
              </w:tc>
              <w:tc>
                <w:tcPr>
                  <w:tcW w:w="960" w:type="dxa"/>
                  <w:tcBorders>
                    <w:top w:val="nil"/>
                    <w:left w:val="nil"/>
                    <w:bottom w:val="nil"/>
                    <w:right w:val="nil"/>
                  </w:tcBorders>
                  <w:shd w:val="clear" w:color="auto" w:fill="auto"/>
                  <w:hideMark/>
                </w:tcPr>
                <w:p w:rsidR="00106232" w:rsidRPr="00AD6720" w:rsidRDefault="00106232" w:rsidP="00B07207">
                  <w:pPr>
                    <w:jc w:val="right"/>
                    <w:outlineLvl w:val="0"/>
                    <w:rPr>
                      <w:rFonts w:ascii="Calibri" w:hAnsi="Calibri" w:cs="Calibri"/>
                      <w:color w:val="000000"/>
                      <w:sz w:val="16"/>
                      <w:szCs w:val="16"/>
                    </w:rPr>
                  </w:pPr>
                  <w:r w:rsidRPr="00AD6720">
                    <w:rPr>
                      <w:rFonts w:ascii="Calibri" w:hAnsi="Calibri" w:cs="Calibri"/>
                      <w:color w:val="000000"/>
                      <w:sz w:val="16"/>
                      <w:szCs w:val="16"/>
                    </w:rPr>
                    <w:t xml:space="preserve">12,264 </w:t>
                  </w:r>
                </w:p>
              </w:tc>
              <w:tc>
                <w:tcPr>
                  <w:tcW w:w="960" w:type="dxa"/>
                  <w:tcBorders>
                    <w:top w:val="nil"/>
                    <w:left w:val="nil"/>
                    <w:bottom w:val="nil"/>
                    <w:right w:val="nil"/>
                  </w:tcBorders>
                  <w:shd w:val="clear" w:color="auto" w:fill="auto"/>
                  <w:hideMark/>
                </w:tcPr>
                <w:p w:rsidR="00106232" w:rsidRPr="00AD6720" w:rsidRDefault="00106232" w:rsidP="00B07207">
                  <w:pPr>
                    <w:jc w:val="right"/>
                    <w:outlineLvl w:val="0"/>
                    <w:rPr>
                      <w:rFonts w:ascii="Calibri" w:hAnsi="Calibri" w:cs="Calibri"/>
                      <w:color w:val="000000"/>
                      <w:sz w:val="16"/>
                      <w:szCs w:val="16"/>
                    </w:rPr>
                  </w:pPr>
                  <w:r w:rsidRPr="00AD6720">
                    <w:rPr>
                      <w:rFonts w:ascii="Calibri" w:hAnsi="Calibri" w:cs="Calibri"/>
                      <w:color w:val="000000"/>
                      <w:sz w:val="16"/>
                      <w:szCs w:val="16"/>
                    </w:rPr>
                    <w:t xml:space="preserve">13,290 </w:t>
                  </w:r>
                </w:p>
              </w:tc>
              <w:tc>
                <w:tcPr>
                  <w:tcW w:w="960" w:type="dxa"/>
                  <w:tcBorders>
                    <w:top w:val="nil"/>
                    <w:left w:val="nil"/>
                    <w:bottom w:val="nil"/>
                    <w:right w:val="nil"/>
                  </w:tcBorders>
                  <w:shd w:val="clear" w:color="auto" w:fill="auto"/>
                  <w:hideMark/>
                </w:tcPr>
                <w:p w:rsidR="00106232" w:rsidRPr="00AD6720" w:rsidRDefault="00106232" w:rsidP="00B07207">
                  <w:pPr>
                    <w:jc w:val="right"/>
                    <w:outlineLvl w:val="0"/>
                    <w:rPr>
                      <w:rFonts w:ascii="Calibri" w:hAnsi="Calibri" w:cs="Calibri"/>
                      <w:color w:val="000000"/>
                      <w:sz w:val="16"/>
                      <w:szCs w:val="16"/>
                    </w:rPr>
                  </w:pPr>
                  <w:r w:rsidRPr="00AD6720">
                    <w:rPr>
                      <w:rFonts w:ascii="Calibri" w:hAnsi="Calibri" w:cs="Calibri"/>
                      <w:color w:val="000000"/>
                      <w:sz w:val="16"/>
                      <w:szCs w:val="16"/>
                    </w:rPr>
                    <w:t xml:space="preserve">1,026 </w:t>
                  </w:r>
                </w:p>
              </w:tc>
            </w:tr>
            <w:tr w:rsidR="00106232" w:rsidRPr="00AD6720" w:rsidTr="00B07207">
              <w:trPr>
                <w:trHeight w:val="300"/>
              </w:trPr>
              <w:tc>
                <w:tcPr>
                  <w:tcW w:w="4860" w:type="dxa"/>
                  <w:tcBorders>
                    <w:top w:val="nil"/>
                    <w:left w:val="nil"/>
                    <w:bottom w:val="nil"/>
                    <w:right w:val="nil"/>
                  </w:tcBorders>
                  <w:shd w:val="clear" w:color="auto" w:fill="auto"/>
                  <w:noWrap/>
                  <w:vAlign w:val="bottom"/>
                  <w:hideMark/>
                </w:tcPr>
                <w:p w:rsidR="00106232" w:rsidRPr="00AD6720" w:rsidRDefault="00106232" w:rsidP="00B07207">
                  <w:pPr>
                    <w:outlineLvl w:val="0"/>
                    <w:rPr>
                      <w:rFonts w:ascii="Arial Narrow" w:hAnsi="Arial Narrow" w:cs="Calibri"/>
                      <w:b/>
                      <w:bCs/>
                      <w:color w:val="000000"/>
                      <w:sz w:val="16"/>
                      <w:szCs w:val="16"/>
                    </w:rPr>
                  </w:pPr>
                  <w:r w:rsidRPr="00AD6720">
                    <w:rPr>
                      <w:rFonts w:ascii="Arial Narrow" w:hAnsi="Arial Narrow" w:cs="Calibri"/>
                      <w:b/>
                      <w:bCs/>
                      <w:color w:val="000000"/>
                      <w:sz w:val="16"/>
                      <w:szCs w:val="16"/>
                    </w:rPr>
                    <w:t>Statutory Costs - Health &amp; Safety/Legal/Audit Fees/Dep. &amp; Amort.</w:t>
                  </w:r>
                </w:p>
              </w:tc>
              <w:tc>
                <w:tcPr>
                  <w:tcW w:w="960" w:type="dxa"/>
                  <w:tcBorders>
                    <w:top w:val="nil"/>
                    <w:left w:val="nil"/>
                    <w:bottom w:val="nil"/>
                    <w:right w:val="nil"/>
                  </w:tcBorders>
                  <w:shd w:val="clear" w:color="auto" w:fill="auto"/>
                  <w:hideMark/>
                </w:tcPr>
                <w:p w:rsidR="00106232" w:rsidRPr="00AD6720" w:rsidRDefault="00106232" w:rsidP="00B07207">
                  <w:pPr>
                    <w:jc w:val="right"/>
                    <w:outlineLvl w:val="0"/>
                    <w:rPr>
                      <w:rFonts w:ascii="Calibri" w:hAnsi="Calibri" w:cs="Calibri"/>
                      <w:color w:val="000000"/>
                      <w:sz w:val="16"/>
                      <w:szCs w:val="16"/>
                    </w:rPr>
                  </w:pPr>
                  <w:r w:rsidRPr="00AD6720">
                    <w:rPr>
                      <w:rFonts w:ascii="Calibri" w:hAnsi="Calibri" w:cs="Calibri"/>
                      <w:color w:val="000000"/>
                      <w:sz w:val="16"/>
                      <w:szCs w:val="16"/>
                    </w:rPr>
                    <w:t xml:space="preserve">549,365 </w:t>
                  </w:r>
                </w:p>
              </w:tc>
              <w:tc>
                <w:tcPr>
                  <w:tcW w:w="960" w:type="dxa"/>
                  <w:tcBorders>
                    <w:top w:val="nil"/>
                    <w:left w:val="nil"/>
                    <w:bottom w:val="nil"/>
                    <w:right w:val="nil"/>
                  </w:tcBorders>
                  <w:shd w:val="clear" w:color="auto" w:fill="auto"/>
                  <w:hideMark/>
                </w:tcPr>
                <w:p w:rsidR="00106232" w:rsidRPr="00AD6720" w:rsidRDefault="00106232" w:rsidP="00B07207">
                  <w:pPr>
                    <w:jc w:val="right"/>
                    <w:outlineLvl w:val="0"/>
                    <w:rPr>
                      <w:rFonts w:ascii="Calibri" w:hAnsi="Calibri" w:cs="Calibri"/>
                      <w:color w:val="000000"/>
                      <w:sz w:val="16"/>
                      <w:szCs w:val="16"/>
                    </w:rPr>
                  </w:pPr>
                  <w:r w:rsidRPr="00AD6720">
                    <w:rPr>
                      <w:rFonts w:ascii="Calibri" w:hAnsi="Calibri" w:cs="Calibri"/>
                      <w:color w:val="000000"/>
                      <w:sz w:val="16"/>
                      <w:szCs w:val="16"/>
                    </w:rPr>
                    <w:t xml:space="preserve">549,365 </w:t>
                  </w:r>
                </w:p>
              </w:tc>
              <w:tc>
                <w:tcPr>
                  <w:tcW w:w="960" w:type="dxa"/>
                  <w:tcBorders>
                    <w:top w:val="nil"/>
                    <w:left w:val="nil"/>
                    <w:bottom w:val="nil"/>
                    <w:right w:val="nil"/>
                  </w:tcBorders>
                  <w:shd w:val="clear" w:color="auto" w:fill="auto"/>
                  <w:hideMark/>
                </w:tcPr>
                <w:p w:rsidR="00106232" w:rsidRPr="00AD6720" w:rsidRDefault="00106232" w:rsidP="00B07207">
                  <w:pPr>
                    <w:jc w:val="right"/>
                    <w:outlineLvl w:val="0"/>
                    <w:rPr>
                      <w:rFonts w:ascii="Calibri" w:hAnsi="Calibri" w:cs="Calibri"/>
                      <w:color w:val="000000"/>
                      <w:sz w:val="16"/>
                      <w:szCs w:val="16"/>
                    </w:rPr>
                  </w:pPr>
                  <w:r w:rsidRPr="00AD6720">
                    <w:rPr>
                      <w:rFonts w:ascii="Calibri" w:hAnsi="Calibri" w:cs="Calibri"/>
                      <w:color w:val="000000"/>
                      <w:sz w:val="16"/>
                      <w:szCs w:val="16"/>
                    </w:rPr>
                    <w:t xml:space="preserve">5,455 </w:t>
                  </w:r>
                </w:p>
              </w:tc>
              <w:tc>
                <w:tcPr>
                  <w:tcW w:w="960" w:type="dxa"/>
                  <w:tcBorders>
                    <w:top w:val="nil"/>
                    <w:left w:val="nil"/>
                    <w:bottom w:val="nil"/>
                    <w:right w:val="nil"/>
                  </w:tcBorders>
                  <w:shd w:val="clear" w:color="auto" w:fill="auto"/>
                  <w:hideMark/>
                </w:tcPr>
                <w:p w:rsidR="00106232" w:rsidRPr="00AD6720" w:rsidRDefault="00106232" w:rsidP="00B07207">
                  <w:pPr>
                    <w:jc w:val="right"/>
                    <w:outlineLvl w:val="0"/>
                    <w:rPr>
                      <w:rFonts w:ascii="Calibri" w:hAnsi="Calibri" w:cs="Calibri"/>
                      <w:color w:val="000000"/>
                      <w:sz w:val="16"/>
                      <w:szCs w:val="16"/>
                    </w:rPr>
                  </w:pPr>
                  <w:r w:rsidRPr="00AD6720">
                    <w:rPr>
                      <w:rFonts w:ascii="Calibri" w:hAnsi="Calibri" w:cs="Calibri"/>
                      <w:color w:val="000000"/>
                      <w:sz w:val="16"/>
                      <w:szCs w:val="16"/>
                    </w:rPr>
                    <w:t xml:space="preserve">7,951 </w:t>
                  </w:r>
                </w:p>
              </w:tc>
              <w:tc>
                <w:tcPr>
                  <w:tcW w:w="960" w:type="dxa"/>
                  <w:tcBorders>
                    <w:top w:val="nil"/>
                    <w:left w:val="nil"/>
                    <w:bottom w:val="nil"/>
                    <w:right w:val="nil"/>
                  </w:tcBorders>
                  <w:shd w:val="clear" w:color="auto" w:fill="auto"/>
                  <w:hideMark/>
                </w:tcPr>
                <w:p w:rsidR="00106232" w:rsidRPr="00AD6720" w:rsidRDefault="00106232" w:rsidP="00B07207">
                  <w:pPr>
                    <w:jc w:val="right"/>
                    <w:outlineLvl w:val="0"/>
                    <w:rPr>
                      <w:rFonts w:ascii="Calibri" w:hAnsi="Calibri" w:cs="Calibri"/>
                      <w:color w:val="000000"/>
                      <w:sz w:val="16"/>
                      <w:szCs w:val="16"/>
                    </w:rPr>
                  </w:pPr>
                  <w:r w:rsidRPr="00AD6720">
                    <w:rPr>
                      <w:rFonts w:ascii="Calibri" w:hAnsi="Calibri" w:cs="Calibri"/>
                      <w:color w:val="000000"/>
                      <w:sz w:val="16"/>
                      <w:szCs w:val="16"/>
                    </w:rPr>
                    <w:t xml:space="preserve">2,496 </w:t>
                  </w:r>
                </w:p>
              </w:tc>
              <w:tc>
                <w:tcPr>
                  <w:tcW w:w="960" w:type="dxa"/>
                  <w:tcBorders>
                    <w:top w:val="nil"/>
                    <w:left w:val="nil"/>
                    <w:bottom w:val="nil"/>
                    <w:right w:val="nil"/>
                  </w:tcBorders>
                  <w:shd w:val="clear" w:color="auto" w:fill="auto"/>
                  <w:hideMark/>
                </w:tcPr>
                <w:p w:rsidR="00106232" w:rsidRPr="00AD6720" w:rsidRDefault="00106232" w:rsidP="00B07207">
                  <w:pPr>
                    <w:jc w:val="right"/>
                    <w:outlineLvl w:val="0"/>
                    <w:rPr>
                      <w:rFonts w:ascii="Calibri" w:hAnsi="Calibri" w:cs="Calibri"/>
                      <w:color w:val="000000"/>
                      <w:sz w:val="16"/>
                      <w:szCs w:val="16"/>
                    </w:rPr>
                  </w:pPr>
                  <w:r w:rsidRPr="00AD6720">
                    <w:rPr>
                      <w:rFonts w:ascii="Calibri" w:hAnsi="Calibri" w:cs="Calibri"/>
                      <w:color w:val="000000"/>
                      <w:sz w:val="16"/>
                      <w:szCs w:val="16"/>
                    </w:rPr>
                    <w:t xml:space="preserve">228,468 </w:t>
                  </w:r>
                </w:p>
              </w:tc>
              <w:tc>
                <w:tcPr>
                  <w:tcW w:w="960" w:type="dxa"/>
                  <w:tcBorders>
                    <w:top w:val="nil"/>
                    <w:left w:val="nil"/>
                    <w:bottom w:val="nil"/>
                    <w:right w:val="nil"/>
                  </w:tcBorders>
                  <w:shd w:val="clear" w:color="auto" w:fill="auto"/>
                  <w:hideMark/>
                </w:tcPr>
                <w:p w:rsidR="00106232" w:rsidRPr="00AD6720" w:rsidRDefault="00106232" w:rsidP="00B07207">
                  <w:pPr>
                    <w:jc w:val="right"/>
                    <w:outlineLvl w:val="0"/>
                    <w:rPr>
                      <w:rFonts w:ascii="Calibri" w:hAnsi="Calibri" w:cs="Calibri"/>
                      <w:color w:val="000000"/>
                      <w:sz w:val="16"/>
                      <w:szCs w:val="16"/>
                    </w:rPr>
                  </w:pPr>
                  <w:r w:rsidRPr="00AD6720">
                    <w:rPr>
                      <w:rFonts w:ascii="Calibri" w:hAnsi="Calibri" w:cs="Calibri"/>
                      <w:color w:val="000000"/>
                      <w:sz w:val="16"/>
                      <w:szCs w:val="16"/>
                    </w:rPr>
                    <w:t xml:space="preserve">251,150 </w:t>
                  </w:r>
                </w:p>
              </w:tc>
              <w:tc>
                <w:tcPr>
                  <w:tcW w:w="960" w:type="dxa"/>
                  <w:tcBorders>
                    <w:top w:val="nil"/>
                    <w:left w:val="nil"/>
                    <w:bottom w:val="nil"/>
                    <w:right w:val="nil"/>
                  </w:tcBorders>
                  <w:shd w:val="clear" w:color="auto" w:fill="auto"/>
                  <w:hideMark/>
                </w:tcPr>
                <w:p w:rsidR="00106232" w:rsidRPr="00AD6720" w:rsidRDefault="00106232" w:rsidP="00B07207">
                  <w:pPr>
                    <w:jc w:val="right"/>
                    <w:outlineLvl w:val="0"/>
                    <w:rPr>
                      <w:rFonts w:ascii="Calibri" w:hAnsi="Calibri" w:cs="Calibri"/>
                      <w:color w:val="000000"/>
                      <w:sz w:val="16"/>
                      <w:szCs w:val="16"/>
                    </w:rPr>
                  </w:pPr>
                  <w:r w:rsidRPr="00AD6720">
                    <w:rPr>
                      <w:rFonts w:ascii="Calibri" w:hAnsi="Calibri" w:cs="Calibri"/>
                      <w:color w:val="000000"/>
                      <w:sz w:val="16"/>
                      <w:szCs w:val="16"/>
                    </w:rPr>
                    <w:t xml:space="preserve">22,682 </w:t>
                  </w:r>
                </w:p>
              </w:tc>
            </w:tr>
            <w:tr w:rsidR="00106232" w:rsidRPr="00AD6720" w:rsidTr="00B07207">
              <w:trPr>
                <w:trHeight w:val="300"/>
              </w:trPr>
              <w:tc>
                <w:tcPr>
                  <w:tcW w:w="4860" w:type="dxa"/>
                  <w:tcBorders>
                    <w:top w:val="nil"/>
                    <w:left w:val="nil"/>
                    <w:bottom w:val="nil"/>
                    <w:right w:val="nil"/>
                  </w:tcBorders>
                  <w:shd w:val="clear" w:color="auto" w:fill="auto"/>
                  <w:noWrap/>
                  <w:vAlign w:val="bottom"/>
                  <w:hideMark/>
                </w:tcPr>
                <w:p w:rsidR="00106232" w:rsidRPr="00AD6720" w:rsidRDefault="00106232" w:rsidP="00B07207">
                  <w:pPr>
                    <w:outlineLvl w:val="0"/>
                    <w:rPr>
                      <w:rFonts w:ascii="Arial Narrow" w:hAnsi="Arial Narrow" w:cs="Calibri"/>
                      <w:b/>
                      <w:bCs/>
                      <w:color w:val="000000"/>
                      <w:sz w:val="16"/>
                      <w:szCs w:val="16"/>
                    </w:rPr>
                  </w:pPr>
                  <w:r w:rsidRPr="00AD6720">
                    <w:rPr>
                      <w:rFonts w:ascii="Arial Narrow" w:hAnsi="Arial Narrow" w:cs="Calibri"/>
                      <w:b/>
                      <w:bCs/>
                      <w:color w:val="000000"/>
                      <w:sz w:val="16"/>
                      <w:szCs w:val="16"/>
                    </w:rPr>
                    <w:t>Computer Costs - Software/licences/system maintenance/purchases</w:t>
                  </w:r>
                </w:p>
              </w:tc>
              <w:tc>
                <w:tcPr>
                  <w:tcW w:w="960" w:type="dxa"/>
                  <w:tcBorders>
                    <w:top w:val="nil"/>
                    <w:left w:val="nil"/>
                    <w:bottom w:val="nil"/>
                    <w:right w:val="nil"/>
                  </w:tcBorders>
                  <w:shd w:val="clear" w:color="auto" w:fill="auto"/>
                  <w:hideMark/>
                </w:tcPr>
                <w:p w:rsidR="00106232" w:rsidRPr="00AD6720" w:rsidRDefault="00106232" w:rsidP="00B07207">
                  <w:pPr>
                    <w:jc w:val="right"/>
                    <w:outlineLvl w:val="0"/>
                    <w:rPr>
                      <w:rFonts w:ascii="Calibri" w:hAnsi="Calibri" w:cs="Calibri"/>
                      <w:color w:val="000000"/>
                      <w:sz w:val="16"/>
                      <w:szCs w:val="16"/>
                    </w:rPr>
                  </w:pPr>
                  <w:r w:rsidRPr="00AD6720">
                    <w:rPr>
                      <w:rFonts w:ascii="Calibri" w:hAnsi="Calibri" w:cs="Calibri"/>
                      <w:color w:val="000000"/>
                      <w:sz w:val="16"/>
                      <w:szCs w:val="16"/>
                    </w:rPr>
                    <w:t xml:space="preserve">342,672 </w:t>
                  </w:r>
                </w:p>
              </w:tc>
              <w:tc>
                <w:tcPr>
                  <w:tcW w:w="960" w:type="dxa"/>
                  <w:tcBorders>
                    <w:top w:val="nil"/>
                    <w:left w:val="nil"/>
                    <w:bottom w:val="nil"/>
                    <w:right w:val="nil"/>
                  </w:tcBorders>
                  <w:shd w:val="clear" w:color="auto" w:fill="auto"/>
                  <w:hideMark/>
                </w:tcPr>
                <w:p w:rsidR="00106232" w:rsidRPr="00AD6720" w:rsidRDefault="00106232" w:rsidP="00B07207">
                  <w:pPr>
                    <w:jc w:val="right"/>
                    <w:outlineLvl w:val="0"/>
                    <w:rPr>
                      <w:rFonts w:ascii="Calibri" w:hAnsi="Calibri" w:cs="Calibri"/>
                      <w:color w:val="000000"/>
                      <w:sz w:val="16"/>
                      <w:szCs w:val="16"/>
                    </w:rPr>
                  </w:pPr>
                  <w:r w:rsidRPr="00AD6720">
                    <w:rPr>
                      <w:rFonts w:ascii="Calibri" w:hAnsi="Calibri" w:cs="Calibri"/>
                      <w:color w:val="000000"/>
                      <w:sz w:val="16"/>
                      <w:szCs w:val="16"/>
                    </w:rPr>
                    <w:t xml:space="preserve">346,722 </w:t>
                  </w:r>
                </w:p>
              </w:tc>
              <w:tc>
                <w:tcPr>
                  <w:tcW w:w="960" w:type="dxa"/>
                  <w:tcBorders>
                    <w:top w:val="nil"/>
                    <w:left w:val="nil"/>
                    <w:bottom w:val="nil"/>
                    <w:right w:val="nil"/>
                  </w:tcBorders>
                  <w:shd w:val="clear" w:color="auto" w:fill="auto"/>
                  <w:hideMark/>
                </w:tcPr>
                <w:p w:rsidR="00106232" w:rsidRPr="00AD6720" w:rsidRDefault="00106232" w:rsidP="00B07207">
                  <w:pPr>
                    <w:jc w:val="right"/>
                    <w:outlineLvl w:val="0"/>
                    <w:rPr>
                      <w:rFonts w:ascii="Calibri" w:hAnsi="Calibri" w:cs="Calibri"/>
                      <w:color w:val="000000"/>
                      <w:sz w:val="16"/>
                      <w:szCs w:val="16"/>
                    </w:rPr>
                  </w:pPr>
                  <w:r w:rsidRPr="00AD6720">
                    <w:rPr>
                      <w:rFonts w:ascii="Calibri" w:hAnsi="Calibri" w:cs="Calibri"/>
                      <w:color w:val="000000"/>
                      <w:sz w:val="16"/>
                      <w:szCs w:val="16"/>
                    </w:rPr>
                    <w:t xml:space="preserve">19,155 </w:t>
                  </w:r>
                </w:p>
              </w:tc>
              <w:tc>
                <w:tcPr>
                  <w:tcW w:w="960" w:type="dxa"/>
                  <w:tcBorders>
                    <w:top w:val="nil"/>
                    <w:left w:val="nil"/>
                    <w:bottom w:val="nil"/>
                    <w:right w:val="nil"/>
                  </w:tcBorders>
                  <w:shd w:val="clear" w:color="auto" w:fill="auto"/>
                  <w:hideMark/>
                </w:tcPr>
                <w:p w:rsidR="00106232" w:rsidRPr="00AD6720" w:rsidRDefault="00106232" w:rsidP="00B07207">
                  <w:pPr>
                    <w:jc w:val="right"/>
                    <w:outlineLvl w:val="0"/>
                    <w:rPr>
                      <w:rFonts w:ascii="Calibri" w:hAnsi="Calibri" w:cs="Calibri"/>
                      <w:color w:val="000000"/>
                      <w:sz w:val="16"/>
                      <w:szCs w:val="16"/>
                    </w:rPr>
                  </w:pPr>
                  <w:r w:rsidRPr="00AD6720">
                    <w:rPr>
                      <w:rFonts w:ascii="Calibri" w:hAnsi="Calibri" w:cs="Calibri"/>
                      <w:color w:val="000000"/>
                      <w:sz w:val="16"/>
                      <w:szCs w:val="16"/>
                    </w:rPr>
                    <w:t xml:space="preserve">10,521 </w:t>
                  </w:r>
                </w:p>
              </w:tc>
              <w:tc>
                <w:tcPr>
                  <w:tcW w:w="960" w:type="dxa"/>
                  <w:tcBorders>
                    <w:top w:val="nil"/>
                    <w:left w:val="nil"/>
                    <w:bottom w:val="nil"/>
                    <w:right w:val="nil"/>
                  </w:tcBorders>
                  <w:shd w:val="clear" w:color="auto" w:fill="auto"/>
                  <w:hideMark/>
                </w:tcPr>
                <w:p w:rsidR="00106232" w:rsidRPr="00AD6720" w:rsidRDefault="00106232" w:rsidP="00B07207">
                  <w:pPr>
                    <w:jc w:val="right"/>
                    <w:outlineLvl w:val="0"/>
                    <w:rPr>
                      <w:rFonts w:ascii="Calibri" w:hAnsi="Calibri" w:cs="Calibri"/>
                      <w:color w:val="000000"/>
                      <w:sz w:val="16"/>
                      <w:szCs w:val="16"/>
                    </w:rPr>
                  </w:pPr>
                  <w:r w:rsidRPr="00AD6720">
                    <w:rPr>
                      <w:rFonts w:ascii="Calibri" w:hAnsi="Calibri" w:cs="Calibri"/>
                      <w:color w:val="000000"/>
                      <w:sz w:val="16"/>
                      <w:szCs w:val="16"/>
                    </w:rPr>
                    <w:t>(8,634)</w:t>
                  </w:r>
                </w:p>
              </w:tc>
              <w:tc>
                <w:tcPr>
                  <w:tcW w:w="960" w:type="dxa"/>
                  <w:tcBorders>
                    <w:top w:val="nil"/>
                    <w:left w:val="nil"/>
                    <w:bottom w:val="nil"/>
                    <w:right w:val="nil"/>
                  </w:tcBorders>
                  <w:shd w:val="clear" w:color="auto" w:fill="auto"/>
                  <w:hideMark/>
                </w:tcPr>
                <w:p w:rsidR="00106232" w:rsidRPr="00AD6720" w:rsidRDefault="00106232" w:rsidP="00B07207">
                  <w:pPr>
                    <w:jc w:val="right"/>
                    <w:outlineLvl w:val="0"/>
                    <w:rPr>
                      <w:rFonts w:ascii="Calibri" w:hAnsi="Calibri" w:cs="Calibri"/>
                      <w:color w:val="000000"/>
                      <w:sz w:val="16"/>
                      <w:szCs w:val="16"/>
                    </w:rPr>
                  </w:pPr>
                  <w:r w:rsidRPr="00AD6720">
                    <w:rPr>
                      <w:rFonts w:ascii="Calibri" w:hAnsi="Calibri" w:cs="Calibri"/>
                      <w:color w:val="000000"/>
                      <w:sz w:val="16"/>
                      <w:szCs w:val="16"/>
                    </w:rPr>
                    <w:t xml:space="preserve">215,188 </w:t>
                  </w:r>
                </w:p>
              </w:tc>
              <w:tc>
                <w:tcPr>
                  <w:tcW w:w="960" w:type="dxa"/>
                  <w:tcBorders>
                    <w:top w:val="nil"/>
                    <w:left w:val="nil"/>
                    <w:bottom w:val="nil"/>
                    <w:right w:val="nil"/>
                  </w:tcBorders>
                  <w:shd w:val="clear" w:color="auto" w:fill="auto"/>
                  <w:hideMark/>
                </w:tcPr>
                <w:p w:rsidR="00106232" w:rsidRPr="00AD6720" w:rsidRDefault="00106232" w:rsidP="00B07207">
                  <w:pPr>
                    <w:jc w:val="right"/>
                    <w:outlineLvl w:val="0"/>
                    <w:rPr>
                      <w:rFonts w:ascii="Calibri" w:hAnsi="Calibri" w:cs="Calibri"/>
                      <w:color w:val="000000"/>
                      <w:sz w:val="16"/>
                      <w:szCs w:val="16"/>
                    </w:rPr>
                  </w:pPr>
                  <w:r w:rsidRPr="00AD6720">
                    <w:rPr>
                      <w:rFonts w:ascii="Calibri" w:hAnsi="Calibri" w:cs="Calibri"/>
                      <w:color w:val="000000"/>
                      <w:sz w:val="16"/>
                      <w:szCs w:val="16"/>
                    </w:rPr>
                    <w:t xml:space="preserve">213,589 </w:t>
                  </w:r>
                </w:p>
              </w:tc>
              <w:tc>
                <w:tcPr>
                  <w:tcW w:w="960" w:type="dxa"/>
                  <w:tcBorders>
                    <w:top w:val="nil"/>
                    <w:left w:val="nil"/>
                    <w:bottom w:val="nil"/>
                    <w:right w:val="nil"/>
                  </w:tcBorders>
                  <w:shd w:val="clear" w:color="auto" w:fill="auto"/>
                  <w:hideMark/>
                </w:tcPr>
                <w:p w:rsidR="00106232" w:rsidRPr="00AD6720" w:rsidRDefault="00106232" w:rsidP="00B07207">
                  <w:pPr>
                    <w:jc w:val="right"/>
                    <w:outlineLvl w:val="0"/>
                    <w:rPr>
                      <w:rFonts w:ascii="Calibri" w:hAnsi="Calibri" w:cs="Calibri"/>
                      <w:color w:val="000000"/>
                      <w:sz w:val="16"/>
                      <w:szCs w:val="16"/>
                    </w:rPr>
                  </w:pPr>
                  <w:r w:rsidRPr="00AD6720">
                    <w:rPr>
                      <w:rFonts w:ascii="Calibri" w:hAnsi="Calibri" w:cs="Calibri"/>
                      <w:color w:val="000000"/>
                      <w:sz w:val="16"/>
                      <w:szCs w:val="16"/>
                    </w:rPr>
                    <w:t>(1,600)</w:t>
                  </w:r>
                </w:p>
              </w:tc>
            </w:tr>
            <w:tr w:rsidR="00106232" w:rsidRPr="00AD6720" w:rsidTr="00B07207">
              <w:trPr>
                <w:trHeight w:val="300"/>
              </w:trPr>
              <w:tc>
                <w:tcPr>
                  <w:tcW w:w="4860" w:type="dxa"/>
                  <w:tcBorders>
                    <w:top w:val="nil"/>
                    <w:left w:val="nil"/>
                    <w:bottom w:val="nil"/>
                    <w:right w:val="nil"/>
                  </w:tcBorders>
                  <w:shd w:val="clear" w:color="auto" w:fill="auto"/>
                  <w:noWrap/>
                  <w:vAlign w:val="bottom"/>
                  <w:hideMark/>
                </w:tcPr>
                <w:p w:rsidR="00106232" w:rsidRPr="00AD6720" w:rsidRDefault="00106232" w:rsidP="00B07207">
                  <w:pPr>
                    <w:outlineLvl w:val="0"/>
                    <w:rPr>
                      <w:rFonts w:ascii="Arial Narrow" w:hAnsi="Arial Narrow" w:cs="Calibri"/>
                      <w:b/>
                      <w:bCs/>
                      <w:color w:val="000000"/>
                      <w:sz w:val="16"/>
                      <w:szCs w:val="16"/>
                    </w:rPr>
                  </w:pPr>
                  <w:r w:rsidRPr="00AD6720">
                    <w:rPr>
                      <w:rFonts w:ascii="Arial Narrow" w:hAnsi="Arial Narrow" w:cs="Calibri"/>
                      <w:b/>
                      <w:bCs/>
                      <w:color w:val="000000"/>
                      <w:sz w:val="16"/>
                      <w:szCs w:val="16"/>
                    </w:rPr>
                    <w:t>Other External Contracts - SLA's - Premises, SBS,BSA, DH IT</w:t>
                  </w:r>
                </w:p>
              </w:tc>
              <w:tc>
                <w:tcPr>
                  <w:tcW w:w="960" w:type="dxa"/>
                  <w:tcBorders>
                    <w:top w:val="nil"/>
                    <w:left w:val="nil"/>
                    <w:bottom w:val="nil"/>
                    <w:right w:val="nil"/>
                  </w:tcBorders>
                  <w:shd w:val="clear" w:color="auto" w:fill="auto"/>
                  <w:hideMark/>
                </w:tcPr>
                <w:p w:rsidR="00106232" w:rsidRPr="00AD6720" w:rsidRDefault="00106232" w:rsidP="00B07207">
                  <w:pPr>
                    <w:jc w:val="right"/>
                    <w:outlineLvl w:val="0"/>
                    <w:rPr>
                      <w:rFonts w:ascii="Calibri" w:hAnsi="Calibri" w:cs="Calibri"/>
                      <w:color w:val="000000"/>
                      <w:sz w:val="16"/>
                      <w:szCs w:val="16"/>
                    </w:rPr>
                  </w:pPr>
                  <w:r w:rsidRPr="00AD6720">
                    <w:rPr>
                      <w:rFonts w:ascii="Calibri" w:hAnsi="Calibri" w:cs="Calibri"/>
                      <w:color w:val="000000"/>
                      <w:sz w:val="16"/>
                      <w:szCs w:val="16"/>
                    </w:rPr>
                    <w:t xml:space="preserve">909,729 </w:t>
                  </w:r>
                </w:p>
              </w:tc>
              <w:tc>
                <w:tcPr>
                  <w:tcW w:w="960" w:type="dxa"/>
                  <w:tcBorders>
                    <w:top w:val="nil"/>
                    <w:left w:val="nil"/>
                    <w:bottom w:val="nil"/>
                    <w:right w:val="nil"/>
                  </w:tcBorders>
                  <w:shd w:val="clear" w:color="auto" w:fill="auto"/>
                  <w:hideMark/>
                </w:tcPr>
                <w:p w:rsidR="00106232" w:rsidRPr="00AD6720" w:rsidRDefault="00106232" w:rsidP="00B07207">
                  <w:pPr>
                    <w:jc w:val="right"/>
                    <w:outlineLvl w:val="0"/>
                    <w:rPr>
                      <w:rFonts w:ascii="Calibri" w:hAnsi="Calibri" w:cs="Calibri"/>
                      <w:color w:val="000000"/>
                      <w:sz w:val="16"/>
                      <w:szCs w:val="16"/>
                    </w:rPr>
                  </w:pPr>
                  <w:r w:rsidRPr="00AD6720">
                    <w:rPr>
                      <w:rFonts w:ascii="Calibri" w:hAnsi="Calibri" w:cs="Calibri"/>
                      <w:color w:val="000000"/>
                      <w:sz w:val="16"/>
                      <w:szCs w:val="16"/>
                    </w:rPr>
                    <w:t xml:space="preserve">792,403 </w:t>
                  </w:r>
                </w:p>
              </w:tc>
              <w:tc>
                <w:tcPr>
                  <w:tcW w:w="960" w:type="dxa"/>
                  <w:tcBorders>
                    <w:top w:val="nil"/>
                    <w:left w:val="nil"/>
                    <w:bottom w:val="nil"/>
                    <w:right w:val="nil"/>
                  </w:tcBorders>
                  <w:shd w:val="clear" w:color="auto" w:fill="auto"/>
                  <w:hideMark/>
                </w:tcPr>
                <w:p w:rsidR="00106232" w:rsidRPr="00AD6720" w:rsidRDefault="00106232" w:rsidP="00B07207">
                  <w:pPr>
                    <w:jc w:val="right"/>
                    <w:outlineLvl w:val="0"/>
                    <w:rPr>
                      <w:rFonts w:ascii="Calibri" w:hAnsi="Calibri" w:cs="Calibri"/>
                      <w:color w:val="000000"/>
                      <w:sz w:val="16"/>
                      <w:szCs w:val="16"/>
                    </w:rPr>
                  </w:pPr>
                  <w:r w:rsidRPr="00AD6720">
                    <w:rPr>
                      <w:rFonts w:ascii="Calibri" w:hAnsi="Calibri" w:cs="Calibri"/>
                      <w:color w:val="000000"/>
                      <w:sz w:val="16"/>
                      <w:szCs w:val="16"/>
                    </w:rPr>
                    <w:t xml:space="preserve">64,670 </w:t>
                  </w:r>
                </w:p>
              </w:tc>
              <w:tc>
                <w:tcPr>
                  <w:tcW w:w="960" w:type="dxa"/>
                  <w:tcBorders>
                    <w:top w:val="nil"/>
                    <w:left w:val="nil"/>
                    <w:bottom w:val="nil"/>
                    <w:right w:val="nil"/>
                  </w:tcBorders>
                  <w:shd w:val="clear" w:color="auto" w:fill="auto"/>
                  <w:hideMark/>
                </w:tcPr>
                <w:p w:rsidR="00106232" w:rsidRPr="00AD6720" w:rsidRDefault="00106232" w:rsidP="00B07207">
                  <w:pPr>
                    <w:jc w:val="right"/>
                    <w:outlineLvl w:val="0"/>
                    <w:rPr>
                      <w:rFonts w:ascii="Calibri" w:hAnsi="Calibri" w:cs="Calibri"/>
                      <w:color w:val="000000"/>
                      <w:sz w:val="16"/>
                      <w:szCs w:val="16"/>
                    </w:rPr>
                  </w:pPr>
                  <w:r w:rsidRPr="00AD6720">
                    <w:rPr>
                      <w:rFonts w:ascii="Calibri" w:hAnsi="Calibri" w:cs="Calibri"/>
                      <w:color w:val="000000"/>
                      <w:sz w:val="16"/>
                      <w:szCs w:val="16"/>
                    </w:rPr>
                    <w:t xml:space="preserve">75,363 </w:t>
                  </w:r>
                </w:p>
              </w:tc>
              <w:tc>
                <w:tcPr>
                  <w:tcW w:w="960" w:type="dxa"/>
                  <w:tcBorders>
                    <w:top w:val="nil"/>
                    <w:left w:val="nil"/>
                    <w:bottom w:val="nil"/>
                    <w:right w:val="nil"/>
                  </w:tcBorders>
                  <w:shd w:val="clear" w:color="auto" w:fill="auto"/>
                  <w:hideMark/>
                </w:tcPr>
                <w:p w:rsidR="00106232" w:rsidRPr="00AD6720" w:rsidRDefault="00106232" w:rsidP="00B07207">
                  <w:pPr>
                    <w:jc w:val="right"/>
                    <w:outlineLvl w:val="0"/>
                    <w:rPr>
                      <w:rFonts w:ascii="Calibri" w:hAnsi="Calibri" w:cs="Calibri"/>
                      <w:color w:val="000000"/>
                      <w:sz w:val="16"/>
                      <w:szCs w:val="16"/>
                    </w:rPr>
                  </w:pPr>
                  <w:r w:rsidRPr="00AD6720">
                    <w:rPr>
                      <w:rFonts w:ascii="Calibri" w:hAnsi="Calibri" w:cs="Calibri"/>
                      <w:color w:val="000000"/>
                      <w:sz w:val="16"/>
                      <w:szCs w:val="16"/>
                    </w:rPr>
                    <w:t xml:space="preserve">10,693 </w:t>
                  </w:r>
                </w:p>
              </w:tc>
              <w:tc>
                <w:tcPr>
                  <w:tcW w:w="960" w:type="dxa"/>
                  <w:tcBorders>
                    <w:top w:val="nil"/>
                    <w:left w:val="nil"/>
                    <w:bottom w:val="nil"/>
                    <w:right w:val="nil"/>
                  </w:tcBorders>
                  <w:shd w:val="clear" w:color="auto" w:fill="auto"/>
                  <w:hideMark/>
                </w:tcPr>
                <w:p w:rsidR="00106232" w:rsidRPr="00AD6720" w:rsidRDefault="00106232" w:rsidP="00B07207">
                  <w:pPr>
                    <w:jc w:val="right"/>
                    <w:outlineLvl w:val="0"/>
                    <w:rPr>
                      <w:rFonts w:ascii="Calibri" w:hAnsi="Calibri" w:cs="Calibri"/>
                      <w:color w:val="000000"/>
                      <w:sz w:val="16"/>
                      <w:szCs w:val="16"/>
                    </w:rPr>
                  </w:pPr>
                  <w:r w:rsidRPr="00AD6720">
                    <w:rPr>
                      <w:rFonts w:ascii="Calibri" w:hAnsi="Calibri" w:cs="Calibri"/>
                      <w:color w:val="000000"/>
                      <w:sz w:val="16"/>
                      <w:szCs w:val="16"/>
                    </w:rPr>
                    <w:t xml:space="preserve">547,806 </w:t>
                  </w:r>
                </w:p>
              </w:tc>
              <w:tc>
                <w:tcPr>
                  <w:tcW w:w="960" w:type="dxa"/>
                  <w:tcBorders>
                    <w:top w:val="nil"/>
                    <w:left w:val="nil"/>
                    <w:bottom w:val="nil"/>
                    <w:right w:val="nil"/>
                  </w:tcBorders>
                  <w:shd w:val="clear" w:color="auto" w:fill="auto"/>
                  <w:hideMark/>
                </w:tcPr>
                <w:p w:rsidR="00106232" w:rsidRPr="00AD6720" w:rsidRDefault="00106232" w:rsidP="00B07207">
                  <w:pPr>
                    <w:jc w:val="right"/>
                    <w:outlineLvl w:val="0"/>
                    <w:rPr>
                      <w:rFonts w:ascii="Calibri" w:hAnsi="Calibri" w:cs="Calibri"/>
                      <w:color w:val="000000"/>
                      <w:sz w:val="16"/>
                      <w:szCs w:val="16"/>
                    </w:rPr>
                  </w:pPr>
                  <w:r w:rsidRPr="00AD6720">
                    <w:rPr>
                      <w:rFonts w:ascii="Calibri" w:hAnsi="Calibri" w:cs="Calibri"/>
                      <w:color w:val="000000"/>
                      <w:sz w:val="16"/>
                      <w:szCs w:val="16"/>
                    </w:rPr>
                    <w:t xml:space="preserve">584,954 </w:t>
                  </w:r>
                </w:p>
              </w:tc>
              <w:tc>
                <w:tcPr>
                  <w:tcW w:w="960" w:type="dxa"/>
                  <w:tcBorders>
                    <w:top w:val="nil"/>
                    <w:left w:val="nil"/>
                    <w:bottom w:val="nil"/>
                    <w:right w:val="nil"/>
                  </w:tcBorders>
                  <w:shd w:val="clear" w:color="auto" w:fill="auto"/>
                  <w:hideMark/>
                </w:tcPr>
                <w:p w:rsidR="00106232" w:rsidRPr="00AD6720" w:rsidRDefault="00106232" w:rsidP="00B07207">
                  <w:pPr>
                    <w:jc w:val="right"/>
                    <w:outlineLvl w:val="0"/>
                    <w:rPr>
                      <w:rFonts w:ascii="Calibri" w:hAnsi="Calibri" w:cs="Calibri"/>
                      <w:color w:val="000000"/>
                      <w:sz w:val="16"/>
                      <w:szCs w:val="16"/>
                    </w:rPr>
                  </w:pPr>
                  <w:r w:rsidRPr="00AD6720">
                    <w:rPr>
                      <w:rFonts w:ascii="Calibri" w:hAnsi="Calibri" w:cs="Calibri"/>
                      <w:color w:val="000000"/>
                      <w:sz w:val="16"/>
                      <w:szCs w:val="16"/>
                    </w:rPr>
                    <w:t xml:space="preserve">37,148 </w:t>
                  </w:r>
                </w:p>
              </w:tc>
            </w:tr>
            <w:tr w:rsidR="00106232" w:rsidRPr="00AD6720" w:rsidTr="00B07207">
              <w:trPr>
                <w:trHeight w:val="300"/>
              </w:trPr>
              <w:tc>
                <w:tcPr>
                  <w:tcW w:w="4860" w:type="dxa"/>
                  <w:tcBorders>
                    <w:top w:val="nil"/>
                    <w:left w:val="nil"/>
                    <w:bottom w:val="nil"/>
                    <w:right w:val="nil"/>
                  </w:tcBorders>
                  <w:shd w:val="clear" w:color="auto" w:fill="auto"/>
                  <w:noWrap/>
                  <w:vAlign w:val="bottom"/>
                  <w:hideMark/>
                </w:tcPr>
                <w:p w:rsidR="00106232" w:rsidRPr="00AD6720" w:rsidRDefault="00106232" w:rsidP="00B07207">
                  <w:pPr>
                    <w:outlineLvl w:val="0"/>
                    <w:rPr>
                      <w:rFonts w:ascii="Arial Narrow" w:hAnsi="Arial Narrow" w:cs="Calibri"/>
                      <w:b/>
                      <w:bCs/>
                      <w:color w:val="000000"/>
                      <w:sz w:val="16"/>
                      <w:szCs w:val="16"/>
                    </w:rPr>
                  </w:pPr>
                  <w:r w:rsidRPr="00AD6720">
                    <w:rPr>
                      <w:rFonts w:ascii="Arial Narrow" w:hAnsi="Arial Narrow" w:cs="Calibri"/>
                      <w:b/>
                      <w:bCs/>
                      <w:color w:val="000000"/>
                      <w:sz w:val="16"/>
                      <w:szCs w:val="16"/>
                    </w:rPr>
                    <w:t xml:space="preserve">Other - </w:t>
                  </w:r>
                  <w:proofErr w:type="spellStart"/>
                  <w:r w:rsidRPr="00AD6720">
                    <w:rPr>
                      <w:rFonts w:ascii="Arial Narrow" w:hAnsi="Arial Narrow" w:cs="Calibri"/>
                      <w:b/>
                      <w:bCs/>
                      <w:color w:val="000000"/>
                      <w:sz w:val="16"/>
                      <w:szCs w:val="16"/>
                    </w:rPr>
                    <w:t>Misc</w:t>
                  </w:r>
                  <w:proofErr w:type="spellEnd"/>
                  <w:r w:rsidRPr="00AD6720">
                    <w:rPr>
                      <w:rFonts w:ascii="Arial Narrow" w:hAnsi="Arial Narrow" w:cs="Calibri"/>
                      <w:b/>
                      <w:bCs/>
                      <w:color w:val="000000"/>
                      <w:sz w:val="16"/>
                      <w:szCs w:val="16"/>
                    </w:rPr>
                    <w:t>/Reserves</w:t>
                  </w:r>
                </w:p>
              </w:tc>
              <w:tc>
                <w:tcPr>
                  <w:tcW w:w="960" w:type="dxa"/>
                  <w:tcBorders>
                    <w:top w:val="nil"/>
                    <w:left w:val="nil"/>
                    <w:bottom w:val="nil"/>
                    <w:right w:val="nil"/>
                  </w:tcBorders>
                  <w:shd w:val="clear" w:color="auto" w:fill="auto"/>
                  <w:hideMark/>
                </w:tcPr>
                <w:p w:rsidR="00106232" w:rsidRPr="00AD6720" w:rsidRDefault="00106232" w:rsidP="00B07207">
                  <w:pPr>
                    <w:jc w:val="right"/>
                    <w:outlineLvl w:val="0"/>
                    <w:rPr>
                      <w:rFonts w:ascii="Calibri" w:hAnsi="Calibri" w:cs="Calibri"/>
                      <w:color w:val="000000"/>
                      <w:sz w:val="16"/>
                      <w:szCs w:val="16"/>
                    </w:rPr>
                  </w:pPr>
                  <w:r w:rsidRPr="00AD6720">
                    <w:rPr>
                      <w:rFonts w:ascii="Calibri" w:hAnsi="Calibri" w:cs="Calibri"/>
                      <w:color w:val="000000"/>
                      <w:sz w:val="16"/>
                      <w:szCs w:val="16"/>
                    </w:rPr>
                    <w:t xml:space="preserve">539,038 </w:t>
                  </w:r>
                </w:p>
              </w:tc>
              <w:tc>
                <w:tcPr>
                  <w:tcW w:w="960" w:type="dxa"/>
                  <w:tcBorders>
                    <w:top w:val="nil"/>
                    <w:left w:val="nil"/>
                    <w:bottom w:val="nil"/>
                    <w:right w:val="nil"/>
                  </w:tcBorders>
                  <w:shd w:val="clear" w:color="auto" w:fill="auto"/>
                  <w:hideMark/>
                </w:tcPr>
                <w:p w:rsidR="00106232" w:rsidRPr="00AD6720" w:rsidRDefault="00106232" w:rsidP="00B07207">
                  <w:pPr>
                    <w:jc w:val="right"/>
                    <w:outlineLvl w:val="0"/>
                    <w:rPr>
                      <w:rFonts w:ascii="Calibri" w:hAnsi="Calibri" w:cs="Calibri"/>
                      <w:color w:val="000000"/>
                      <w:sz w:val="16"/>
                      <w:szCs w:val="16"/>
                    </w:rPr>
                  </w:pPr>
                </w:p>
              </w:tc>
              <w:tc>
                <w:tcPr>
                  <w:tcW w:w="960" w:type="dxa"/>
                  <w:tcBorders>
                    <w:top w:val="nil"/>
                    <w:left w:val="nil"/>
                    <w:bottom w:val="nil"/>
                    <w:right w:val="nil"/>
                  </w:tcBorders>
                  <w:shd w:val="clear" w:color="auto" w:fill="auto"/>
                  <w:hideMark/>
                </w:tcPr>
                <w:p w:rsidR="00106232" w:rsidRPr="00AD6720" w:rsidRDefault="00106232" w:rsidP="00B07207">
                  <w:pPr>
                    <w:jc w:val="right"/>
                    <w:outlineLvl w:val="0"/>
                    <w:rPr>
                      <w:rFonts w:ascii="Calibri" w:hAnsi="Calibri" w:cs="Calibri"/>
                      <w:color w:val="000000"/>
                      <w:sz w:val="16"/>
                      <w:szCs w:val="16"/>
                    </w:rPr>
                  </w:pPr>
                  <w:r w:rsidRPr="00AD6720">
                    <w:rPr>
                      <w:rFonts w:ascii="Calibri" w:hAnsi="Calibri" w:cs="Calibri"/>
                      <w:color w:val="000000"/>
                      <w:sz w:val="16"/>
                      <w:szCs w:val="16"/>
                    </w:rPr>
                    <w:t xml:space="preserve">0 </w:t>
                  </w:r>
                </w:p>
              </w:tc>
              <w:tc>
                <w:tcPr>
                  <w:tcW w:w="960" w:type="dxa"/>
                  <w:tcBorders>
                    <w:top w:val="nil"/>
                    <w:left w:val="nil"/>
                    <w:bottom w:val="nil"/>
                    <w:right w:val="nil"/>
                  </w:tcBorders>
                  <w:shd w:val="clear" w:color="auto" w:fill="auto"/>
                  <w:hideMark/>
                </w:tcPr>
                <w:p w:rsidR="00106232" w:rsidRPr="00AD6720" w:rsidRDefault="00106232" w:rsidP="00B07207">
                  <w:pPr>
                    <w:jc w:val="right"/>
                    <w:outlineLvl w:val="0"/>
                    <w:rPr>
                      <w:rFonts w:ascii="Calibri" w:hAnsi="Calibri" w:cs="Calibri"/>
                      <w:color w:val="000000"/>
                      <w:sz w:val="16"/>
                      <w:szCs w:val="16"/>
                    </w:rPr>
                  </w:pPr>
                  <w:r w:rsidRPr="00AD6720">
                    <w:rPr>
                      <w:rFonts w:ascii="Calibri" w:hAnsi="Calibri" w:cs="Calibri"/>
                      <w:color w:val="000000"/>
                      <w:sz w:val="16"/>
                      <w:szCs w:val="16"/>
                    </w:rPr>
                    <w:t>(2)</w:t>
                  </w:r>
                </w:p>
              </w:tc>
              <w:tc>
                <w:tcPr>
                  <w:tcW w:w="960" w:type="dxa"/>
                  <w:tcBorders>
                    <w:top w:val="nil"/>
                    <w:left w:val="nil"/>
                    <w:bottom w:val="nil"/>
                    <w:right w:val="nil"/>
                  </w:tcBorders>
                  <w:shd w:val="clear" w:color="auto" w:fill="auto"/>
                  <w:hideMark/>
                </w:tcPr>
                <w:p w:rsidR="00106232" w:rsidRPr="00AD6720" w:rsidRDefault="00106232" w:rsidP="00B07207">
                  <w:pPr>
                    <w:jc w:val="right"/>
                    <w:outlineLvl w:val="0"/>
                    <w:rPr>
                      <w:rFonts w:ascii="Calibri" w:hAnsi="Calibri" w:cs="Calibri"/>
                      <w:color w:val="000000"/>
                      <w:sz w:val="16"/>
                      <w:szCs w:val="16"/>
                    </w:rPr>
                  </w:pPr>
                  <w:r w:rsidRPr="00AD6720">
                    <w:rPr>
                      <w:rFonts w:ascii="Calibri" w:hAnsi="Calibri" w:cs="Calibri"/>
                      <w:color w:val="000000"/>
                      <w:sz w:val="16"/>
                      <w:szCs w:val="16"/>
                    </w:rPr>
                    <w:t>(2)</w:t>
                  </w:r>
                </w:p>
              </w:tc>
              <w:tc>
                <w:tcPr>
                  <w:tcW w:w="960" w:type="dxa"/>
                  <w:tcBorders>
                    <w:top w:val="nil"/>
                    <w:left w:val="nil"/>
                    <w:bottom w:val="nil"/>
                    <w:right w:val="nil"/>
                  </w:tcBorders>
                  <w:shd w:val="clear" w:color="auto" w:fill="auto"/>
                  <w:hideMark/>
                </w:tcPr>
                <w:p w:rsidR="00106232" w:rsidRPr="00AD6720" w:rsidRDefault="00106232" w:rsidP="00B07207">
                  <w:pPr>
                    <w:jc w:val="right"/>
                    <w:outlineLvl w:val="0"/>
                    <w:rPr>
                      <w:rFonts w:ascii="Calibri" w:hAnsi="Calibri" w:cs="Calibri"/>
                      <w:color w:val="000000"/>
                      <w:sz w:val="16"/>
                      <w:szCs w:val="16"/>
                    </w:rPr>
                  </w:pPr>
                  <w:r w:rsidRPr="00AD6720">
                    <w:rPr>
                      <w:rFonts w:ascii="Calibri" w:hAnsi="Calibri" w:cs="Calibri"/>
                      <w:color w:val="000000"/>
                      <w:sz w:val="16"/>
                      <w:szCs w:val="16"/>
                    </w:rPr>
                    <w:t xml:space="preserve">0 </w:t>
                  </w:r>
                </w:p>
              </w:tc>
              <w:tc>
                <w:tcPr>
                  <w:tcW w:w="960" w:type="dxa"/>
                  <w:tcBorders>
                    <w:top w:val="nil"/>
                    <w:left w:val="nil"/>
                    <w:bottom w:val="nil"/>
                    <w:right w:val="nil"/>
                  </w:tcBorders>
                  <w:shd w:val="clear" w:color="auto" w:fill="auto"/>
                  <w:hideMark/>
                </w:tcPr>
                <w:p w:rsidR="00106232" w:rsidRPr="00AD6720" w:rsidRDefault="00106232" w:rsidP="00B07207">
                  <w:pPr>
                    <w:jc w:val="right"/>
                    <w:outlineLvl w:val="0"/>
                    <w:rPr>
                      <w:rFonts w:ascii="Calibri" w:hAnsi="Calibri" w:cs="Calibri"/>
                      <w:color w:val="000000"/>
                      <w:sz w:val="16"/>
                      <w:szCs w:val="16"/>
                    </w:rPr>
                  </w:pPr>
                  <w:r w:rsidRPr="00AD6720">
                    <w:rPr>
                      <w:rFonts w:ascii="Calibri" w:hAnsi="Calibri" w:cs="Calibri"/>
                      <w:color w:val="000000"/>
                      <w:sz w:val="16"/>
                      <w:szCs w:val="16"/>
                    </w:rPr>
                    <w:t>(1,934)</w:t>
                  </w:r>
                </w:p>
              </w:tc>
              <w:tc>
                <w:tcPr>
                  <w:tcW w:w="960" w:type="dxa"/>
                  <w:tcBorders>
                    <w:top w:val="nil"/>
                    <w:left w:val="nil"/>
                    <w:bottom w:val="nil"/>
                    <w:right w:val="nil"/>
                  </w:tcBorders>
                  <w:shd w:val="clear" w:color="auto" w:fill="auto"/>
                  <w:hideMark/>
                </w:tcPr>
                <w:p w:rsidR="00106232" w:rsidRPr="00AD6720" w:rsidRDefault="00106232" w:rsidP="00B07207">
                  <w:pPr>
                    <w:jc w:val="right"/>
                    <w:outlineLvl w:val="0"/>
                    <w:rPr>
                      <w:rFonts w:ascii="Calibri" w:hAnsi="Calibri" w:cs="Calibri"/>
                      <w:color w:val="000000"/>
                      <w:sz w:val="16"/>
                      <w:szCs w:val="16"/>
                    </w:rPr>
                  </w:pPr>
                  <w:r w:rsidRPr="00AD6720">
                    <w:rPr>
                      <w:rFonts w:ascii="Calibri" w:hAnsi="Calibri" w:cs="Calibri"/>
                      <w:color w:val="000000"/>
                      <w:sz w:val="16"/>
                      <w:szCs w:val="16"/>
                    </w:rPr>
                    <w:t>(1,934)</w:t>
                  </w:r>
                </w:p>
              </w:tc>
            </w:tr>
            <w:tr w:rsidR="00106232" w:rsidRPr="00AD6720" w:rsidTr="00B07207">
              <w:trPr>
                <w:trHeight w:val="300"/>
              </w:trPr>
              <w:tc>
                <w:tcPr>
                  <w:tcW w:w="4860" w:type="dxa"/>
                  <w:tcBorders>
                    <w:top w:val="nil"/>
                    <w:left w:val="nil"/>
                    <w:bottom w:val="nil"/>
                    <w:right w:val="nil"/>
                  </w:tcBorders>
                  <w:shd w:val="clear" w:color="000000" w:fill="CCE2F1"/>
                  <w:noWrap/>
                  <w:vAlign w:val="bottom"/>
                  <w:hideMark/>
                </w:tcPr>
                <w:p w:rsidR="00106232" w:rsidRPr="00AD6720" w:rsidRDefault="00106232" w:rsidP="00B07207">
                  <w:pPr>
                    <w:rPr>
                      <w:rFonts w:ascii="Calibri" w:hAnsi="Calibri" w:cs="Calibri"/>
                      <w:b/>
                      <w:bCs/>
                      <w:color w:val="000000"/>
                      <w:sz w:val="22"/>
                      <w:szCs w:val="22"/>
                    </w:rPr>
                  </w:pPr>
                  <w:r w:rsidRPr="00AD6720">
                    <w:rPr>
                      <w:rFonts w:ascii="Calibri" w:hAnsi="Calibri" w:cs="Calibri"/>
                      <w:b/>
                      <w:bCs/>
                      <w:color w:val="000000"/>
                      <w:sz w:val="22"/>
                      <w:szCs w:val="22"/>
                    </w:rPr>
                    <w:t>Grand Total</w:t>
                  </w:r>
                </w:p>
              </w:tc>
              <w:tc>
                <w:tcPr>
                  <w:tcW w:w="960" w:type="dxa"/>
                  <w:tcBorders>
                    <w:top w:val="nil"/>
                    <w:left w:val="nil"/>
                    <w:bottom w:val="nil"/>
                    <w:right w:val="nil"/>
                  </w:tcBorders>
                  <w:shd w:val="clear" w:color="000000" w:fill="CCE2F1"/>
                  <w:hideMark/>
                </w:tcPr>
                <w:p w:rsidR="00106232" w:rsidRPr="00AD6720" w:rsidRDefault="00106232" w:rsidP="00B07207">
                  <w:pPr>
                    <w:jc w:val="right"/>
                    <w:rPr>
                      <w:rFonts w:ascii="Calibri" w:hAnsi="Calibri" w:cs="Calibri"/>
                      <w:color w:val="000000"/>
                      <w:sz w:val="16"/>
                      <w:szCs w:val="16"/>
                    </w:rPr>
                  </w:pPr>
                  <w:r w:rsidRPr="00AD6720">
                    <w:rPr>
                      <w:rFonts w:ascii="Calibri" w:hAnsi="Calibri" w:cs="Calibri"/>
                      <w:color w:val="000000"/>
                      <w:sz w:val="16"/>
                      <w:szCs w:val="16"/>
                    </w:rPr>
                    <w:t xml:space="preserve">4,484,569 </w:t>
                  </w:r>
                </w:p>
              </w:tc>
              <w:tc>
                <w:tcPr>
                  <w:tcW w:w="960" w:type="dxa"/>
                  <w:tcBorders>
                    <w:top w:val="nil"/>
                    <w:left w:val="nil"/>
                    <w:bottom w:val="nil"/>
                    <w:right w:val="nil"/>
                  </w:tcBorders>
                  <w:shd w:val="clear" w:color="000000" w:fill="CCE2F1"/>
                  <w:hideMark/>
                </w:tcPr>
                <w:p w:rsidR="00106232" w:rsidRPr="00AD6720" w:rsidRDefault="00106232" w:rsidP="00B07207">
                  <w:pPr>
                    <w:jc w:val="right"/>
                    <w:rPr>
                      <w:rFonts w:ascii="Calibri" w:hAnsi="Calibri" w:cs="Calibri"/>
                      <w:color w:val="000000"/>
                      <w:sz w:val="16"/>
                      <w:szCs w:val="16"/>
                    </w:rPr>
                  </w:pPr>
                  <w:r w:rsidRPr="00AD6720">
                    <w:rPr>
                      <w:rFonts w:ascii="Calibri" w:hAnsi="Calibri" w:cs="Calibri"/>
                      <w:color w:val="000000"/>
                      <w:sz w:val="16"/>
                      <w:szCs w:val="16"/>
                    </w:rPr>
                    <w:t xml:space="preserve">3,797,518 </w:t>
                  </w:r>
                </w:p>
              </w:tc>
              <w:tc>
                <w:tcPr>
                  <w:tcW w:w="960" w:type="dxa"/>
                  <w:tcBorders>
                    <w:top w:val="nil"/>
                    <w:left w:val="nil"/>
                    <w:bottom w:val="nil"/>
                    <w:right w:val="nil"/>
                  </w:tcBorders>
                  <w:shd w:val="clear" w:color="000000" w:fill="CCE2F1"/>
                  <w:hideMark/>
                </w:tcPr>
                <w:p w:rsidR="00106232" w:rsidRPr="00AD6720" w:rsidRDefault="00106232" w:rsidP="00B07207">
                  <w:pPr>
                    <w:jc w:val="right"/>
                    <w:rPr>
                      <w:rFonts w:ascii="Calibri" w:hAnsi="Calibri" w:cs="Calibri"/>
                      <w:color w:val="000000"/>
                      <w:sz w:val="16"/>
                      <w:szCs w:val="16"/>
                    </w:rPr>
                  </w:pPr>
                  <w:r w:rsidRPr="00AD6720">
                    <w:rPr>
                      <w:rFonts w:ascii="Calibri" w:hAnsi="Calibri" w:cs="Calibri"/>
                      <w:color w:val="000000"/>
                      <w:sz w:val="16"/>
                      <w:szCs w:val="16"/>
                    </w:rPr>
                    <w:t xml:space="preserve">261,910 </w:t>
                  </w:r>
                </w:p>
              </w:tc>
              <w:tc>
                <w:tcPr>
                  <w:tcW w:w="960" w:type="dxa"/>
                  <w:tcBorders>
                    <w:top w:val="nil"/>
                    <w:left w:val="nil"/>
                    <w:bottom w:val="nil"/>
                    <w:right w:val="nil"/>
                  </w:tcBorders>
                  <w:shd w:val="clear" w:color="000000" w:fill="CCE2F1"/>
                  <w:hideMark/>
                </w:tcPr>
                <w:p w:rsidR="00106232" w:rsidRPr="00AD6720" w:rsidRDefault="00106232" w:rsidP="00B07207">
                  <w:pPr>
                    <w:jc w:val="right"/>
                    <w:rPr>
                      <w:rFonts w:ascii="Calibri" w:hAnsi="Calibri" w:cs="Calibri"/>
                      <w:color w:val="000000"/>
                      <w:sz w:val="16"/>
                      <w:szCs w:val="16"/>
                    </w:rPr>
                  </w:pPr>
                  <w:r w:rsidRPr="00AD6720">
                    <w:rPr>
                      <w:rFonts w:ascii="Calibri" w:hAnsi="Calibri" w:cs="Calibri"/>
                      <w:color w:val="000000"/>
                      <w:sz w:val="16"/>
                      <w:szCs w:val="16"/>
                    </w:rPr>
                    <w:t xml:space="preserve">279,854 </w:t>
                  </w:r>
                </w:p>
              </w:tc>
              <w:tc>
                <w:tcPr>
                  <w:tcW w:w="960" w:type="dxa"/>
                  <w:tcBorders>
                    <w:top w:val="nil"/>
                    <w:left w:val="nil"/>
                    <w:bottom w:val="nil"/>
                    <w:right w:val="nil"/>
                  </w:tcBorders>
                  <w:shd w:val="clear" w:color="000000" w:fill="CCE2F1"/>
                  <w:hideMark/>
                </w:tcPr>
                <w:p w:rsidR="00106232" w:rsidRPr="00AD6720" w:rsidRDefault="00106232" w:rsidP="00B07207">
                  <w:pPr>
                    <w:jc w:val="right"/>
                    <w:rPr>
                      <w:rFonts w:ascii="Calibri" w:hAnsi="Calibri" w:cs="Calibri"/>
                      <w:color w:val="000000"/>
                      <w:sz w:val="16"/>
                      <w:szCs w:val="16"/>
                    </w:rPr>
                  </w:pPr>
                  <w:r w:rsidRPr="00AD6720">
                    <w:rPr>
                      <w:rFonts w:ascii="Calibri" w:hAnsi="Calibri" w:cs="Calibri"/>
                      <w:color w:val="000000"/>
                      <w:sz w:val="16"/>
                      <w:szCs w:val="16"/>
                    </w:rPr>
                    <w:t xml:space="preserve">17,943 </w:t>
                  </w:r>
                </w:p>
              </w:tc>
              <w:tc>
                <w:tcPr>
                  <w:tcW w:w="960" w:type="dxa"/>
                  <w:tcBorders>
                    <w:top w:val="nil"/>
                    <w:left w:val="nil"/>
                    <w:bottom w:val="nil"/>
                    <w:right w:val="nil"/>
                  </w:tcBorders>
                  <w:shd w:val="clear" w:color="000000" w:fill="CCE2F1"/>
                  <w:hideMark/>
                </w:tcPr>
                <w:p w:rsidR="00106232" w:rsidRPr="00AD6720" w:rsidRDefault="00106232" w:rsidP="00B07207">
                  <w:pPr>
                    <w:jc w:val="right"/>
                    <w:rPr>
                      <w:rFonts w:ascii="Calibri" w:hAnsi="Calibri" w:cs="Calibri"/>
                      <w:color w:val="000000"/>
                      <w:sz w:val="16"/>
                      <w:szCs w:val="16"/>
                    </w:rPr>
                  </w:pPr>
                  <w:r w:rsidRPr="00AD6720">
                    <w:rPr>
                      <w:rFonts w:ascii="Calibri" w:hAnsi="Calibri" w:cs="Calibri"/>
                      <w:color w:val="000000"/>
                      <w:sz w:val="16"/>
                      <w:szCs w:val="16"/>
                    </w:rPr>
                    <w:t xml:space="preserve">2,385,941 </w:t>
                  </w:r>
                </w:p>
              </w:tc>
              <w:tc>
                <w:tcPr>
                  <w:tcW w:w="960" w:type="dxa"/>
                  <w:tcBorders>
                    <w:top w:val="nil"/>
                    <w:left w:val="nil"/>
                    <w:bottom w:val="nil"/>
                    <w:right w:val="nil"/>
                  </w:tcBorders>
                  <w:shd w:val="clear" w:color="000000" w:fill="CCE2F1"/>
                  <w:hideMark/>
                </w:tcPr>
                <w:p w:rsidR="00106232" w:rsidRPr="00AD6720" w:rsidRDefault="00106232" w:rsidP="00B07207">
                  <w:pPr>
                    <w:jc w:val="right"/>
                    <w:rPr>
                      <w:rFonts w:ascii="Calibri" w:hAnsi="Calibri" w:cs="Calibri"/>
                      <w:color w:val="000000"/>
                      <w:sz w:val="16"/>
                      <w:szCs w:val="16"/>
                    </w:rPr>
                  </w:pPr>
                  <w:r w:rsidRPr="00AD6720">
                    <w:rPr>
                      <w:rFonts w:ascii="Calibri" w:hAnsi="Calibri" w:cs="Calibri"/>
                      <w:color w:val="000000"/>
                      <w:sz w:val="16"/>
                      <w:szCs w:val="16"/>
                    </w:rPr>
                    <w:t xml:space="preserve">2,469,879 </w:t>
                  </w:r>
                </w:p>
              </w:tc>
              <w:tc>
                <w:tcPr>
                  <w:tcW w:w="960" w:type="dxa"/>
                  <w:tcBorders>
                    <w:top w:val="nil"/>
                    <w:left w:val="nil"/>
                    <w:bottom w:val="nil"/>
                    <w:right w:val="nil"/>
                  </w:tcBorders>
                  <w:shd w:val="clear" w:color="000000" w:fill="CCE2F1"/>
                  <w:hideMark/>
                </w:tcPr>
                <w:p w:rsidR="00106232" w:rsidRPr="00AD6720" w:rsidRDefault="00106232" w:rsidP="00B07207">
                  <w:pPr>
                    <w:jc w:val="right"/>
                    <w:rPr>
                      <w:rFonts w:ascii="Calibri" w:hAnsi="Calibri" w:cs="Calibri"/>
                      <w:color w:val="000000"/>
                      <w:sz w:val="16"/>
                      <w:szCs w:val="16"/>
                    </w:rPr>
                  </w:pPr>
                  <w:r w:rsidRPr="00AD6720">
                    <w:rPr>
                      <w:rFonts w:ascii="Calibri" w:hAnsi="Calibri" w:cs="Calibri"/>
                      <w:color w:val="000000"/>
                      <w:sz w:val="16"/>
                      <w:szCs w:val="16"/>
                    </w:rPr>
                    <w:t xml:space="preserve">83,938 </w:t>
                  </w:r>
                </w:p>
              </w:tc>
            </w:tr>
          </w:tbl>
          <w:p w:rsidR="0004137A" w:rsidRDefault="0004137A" w:rsidP="006E30B3">
            <w:pPr>
              <w:tabs>
                <w:tab w:val="left" w:pos="2172"/>
              </w:tabs>
              <w:spacing w:after="200" w:line="276" w:lineRule="auto"/>
              <w:rPr>
                <w:rFonts w:ascii="Arial" w:hAnsi="Arial" w:cs="Arial"/>
                <w:sz w:val="22"/>
                <w:szCs w:val="22"/>
              </w:rPr>
            </w:pPr>
          </w:p>
          <w:p w:rsidR="00BD1346" w:rsidRPr="00BD1346" w:rsidRDefault="00BD1346" w:rsidP="00BD1346">
            <w:pPr>
              <w:tabs>
                <w:tab w:val="left" w:pos="2172"/>
              </w:tabs>
              <w:spacing w:after="200" w:line="276" w:lineRule="auto"/>
              <w:rPr>
                <w:rFonts w:ascii="Arial" w:hAnsi="Arial" w:cs="Arial"/>
                <w:sz w:val="16"/>
                <w:szCs w:val="16"/>
              </w:rPr>
            </w:pPr>
            <w:r w:rsidRPr="00BD1346">
              <w:rPr>
                <w:rFonts w:ascii="Arial" w:hAnsi="Arial" w:cs="Arial"/>
                <w:sz w:val="22"/>
                <w:szCs w:val="22"/>
              </w:rPr>
              <w:t>Note:</w:t>
            </w:r>
            <w:r w:rsidRPr="00BD1346">
              <w:rPr>
                <w:rFonts w:ascii="Arial" w:hAnsi="Arial" w:cs="Arial"/>
                <w:sz w:val="16"/>
                <w:szCs w:val="16"/>
              </w:rPr>
              <w:t xml:space="preserve">   The </w:t>
            </w:r>
            <w:proofErr w:type="gramStart"/>
            <w:r w:rsidRPr="00BD1346">
              <w:rPr>
                <w:rFonts w:ascii="Arial" w:hAnsi="Arial" w:cs="Arial"/>
                <w:sz w:val="16"/>
                <w:szCs w:val="16"/>
              </w:rPr>
              <w:t>overspend  on</w:t>
            </w:r>
            <w:proofErr w:type="gramEnd"/>
            <w:r w:rsidRPr="00BD1346">
              <w:rPr>
                <w:rFonts w:ascii="Arial" w:hAnsi="Arial" w:cs="Arial"/>
                <w:sz w:val="16"/>
                <w:szCs w:val="16"/>
              </w:rPr>
              <w:t xml:space="preserve"> other external contracts largely relates to the over run on the archiving project, offset by underspend within Research Information systems and IT contract. The overspend within the statutory costs </w:t>
            </w:r>
            <w:proofErr w:type="gramStart"/>
            <w:r w:rsidRPr="00BD1346">
              <w:rPr>
                <w:rFonts w:ascii="Arial" w:hAnsi="Arial" w:cs="Arial"/>
                <w:sz w:val="16"/>
                <w:szCs w:val="16"/>
              </w:rPr>
              <w:t>relates  to</w:t>
            </w:r>
            <w:proofErr w:type="gramEnd"/>
            <w:r w:rsidRPr="00BD1346">
              <w:rPr>
                <w:rFonts w:ascii="Arial" w:hAnsi="Arial" w:cs="Arial"/>
                <w:sz w:val="16"/>
                <w:szCs w:val="16"/>
              </w:rPr>
              <w:t xml:space="preserve"> the Asset disposal. </w:t>
            </w:r>
            <w:proofErr w:type="gramStart"/>
            <w:r w:rsidRPr="00BD1346">
              <w:rPr>
                <w:rFonts w:ascii="Arial" w:hAnsi="Arial" w:cs="Arial"/>
                <w:sz w:val="16"/>
                <w:szCs w:val="16"/>
              </w:rPr>
              <w:t>The overspend</w:t>
            </w:r>
            <w:proofErr w:type="gramEnd"/>
            <w:r w:rsidRPr="00BD1346">
              <w:rPr>
                <w:rFonts w:ascii="Arial" w:hAnsi="Arial" w:cs="Arial"/>
                <w:sz w:val="16"/>
                <w:szCs w:val="16"/>
              </w:rPr>
              <w:t xml:space="preserve"> in premises costs relates to Skipton house costs.</w:t>
            </w:r>
          </w:p>
          <w:p w:rsidR="0004137A" w:rsidRPr="00BC0710" w:rsidRDefault="0004137A" w:rsidP="006E30B3">
            <w:pPr>
              <w:tabs>
                <w:tab w:val="left" w:pos="2172"/>
              </w:tabs>
              <w:spacing w:after="200" w:line="276" w:lineRule="auto"/>
              <w:rPr>
                <w:rFonts w:ascii="Arial" w:hAnsi="Arial" w:cs="Arial"/>
                <w:sz w:val="22"/>
                <w:szCs w:val="22"/>
              </w:rPr>
            </w:pPr>
          </w:p>
          <w:p w:rsidR="0004137A" w:rsidRPr="00BC0710" w:rsidRDefault="0004137A" w:rsidP="00106232">
            <w:pPr>
              <w:tabs>
                <w:tab w:val="left" w:pos="2172"/>
              </w:tabs>
              <w:spacing w:after="200" w:line="276" w:lineRule="auto"/>
              <w:rPr>
                <w:rFonts w:ascii="Arial" w:hAnsi="Arial" w:cs="Arial"/>
                <w:sz w:val="22"/>
                <w:szCs w:val="22"/>
              </w:rPr>
            </w:pPr>
          </w:p>
        </w:tc>
        <w:tc>
          <w:tcPr>
            <w:tcW w:w="13960" w:type="dxa"/>
          </w:tcPr>
          <w:p w:rsidR="0004137A" w:rsidRDefault="0004137A" w:rsidP="00BC0710">
            <w:pPr>
              <w:tabs>
                <w:tab w:val="left" w:pos="2172"/>
              </w:tabs>
              <w:spacing w:after="200" w:line="276" w:lineRule="auto"/>
              <w:rPr>
                <w:rFonts w:ascii="Arial" w:hAnsi="Arial" w:cs="Arial"/>
                <w:sz w:val="22"/>
                <w:szCs w:val="22"/>
              </w:rPr>
            </w:pPr>
            <w:r w:rsidRPr="00BC0710">
              <w:rPr>
                <w:rFonts w:ascii="Arial" w:hAnsi="Arial" w:cs="Arial"/>
                <w:sz w:val="22"/>
                <w:szCs w:val="22"/>
              </w:rPr>
              <w:t xml:space="preserve"> </w:t>
            </w:r>
          </w:p>
          <w:p w:rsidR="0004137A" w:rsidRDefault="0004137A" w:rsidP="00BC0710">
            <w:pPr>
              <w:tabs>
                <w:tab w:val="left" w:pos="2172"/>
              </w:tabs>
              <w:spacing w:after="200" w:line="276" w:lineRule="auto"/>
              <w:rPr>
                <w:rFonts w:ascii="Arial" w:hAnsi="Arial" w:cs="Arial"/>
                <w:sz w:val="22"/>
                <w:szCs w:val="22"/>
              </w:rPr>
            </w:pPr>
          </w:p>
          <w:p w:rsidR="0004137A" w:rsidRPr="00BC0710" w:rsidRDefault="0004137A" w:rsidP="0004137A">
            <w:pPr>
              <w:tabs>
                <w:tab w:val="left" w:pos="2172"/>
              </w:tabs>
              <w:spacing w:after="200" w:line="276" w:lineRule="auto"/>
              <w:rPr>
                <w:rFonts w:ascii="Arial" w:hAnsi="Arial" w:cs="Arial"/>
                <w:sz w:val="22"/>
                <w:szCs w:val="22"/>
              </w:rPr>
            </w:pPr>
          </w:p>
        </w:tc>
      </w:tr>
    </w:tbl>
    <w:p w:rsidR="009E4963" w:rsidRDefault="009E4963" w:rsidP="00015D1D">
      <w:pPr>
        <w:spacing w:after="200" w:line="276" w:lineRule="auto"/>
        <w:rPr>
          <w:rFonts w:ascii="Arial" w:eastAsia="Calibri" w:hAnsi="Arial"/>
          <w:b/>
          <w:bCs/>
          <w:color w:val="56008C"/>
          <w:szCs w:val="26"/>
          <w:lang w:eastAsia="en-US"/>
        </w:rPr>
      </w:pPr>
    </w:p>
    <w:p w:rsidR="00634D6C" w:rsidRDefault="00634D6C" w:rsidP="00015D1D">
      <w:pPr>
        <w:spacing w:after="200" w:line="276" w:lineRule="auto"/>
        <w:rPr>
          <w:rFonts w:ascii="Arial" w:eastAsia="Calibri" w:hAnsi="Arial"/>
          <w:b/>
          <w:bCs/>
          <w:color w:val="56008C"/>
          <w:szCs w:val="26"/>
          <w:lang w:eastAsia="en-US"/>
        </w:rPr>
      </w:pPr>
    </w:p>
    <w:p w:rsidR="00634D6C" w:rsidRDefault="00634D6C" w:rsidP="00015D1D">
      <w:pPr>
        <w:spacing w:after="200" w:line="276" w:lineRule="auto"/>
        <w:rPr>
          <w:rFonts w:ascii="Arial" w:eastAsia="Calibri" w:hAnsi="Arial"/>
          <w:b/>
          <w:bCs/>
          <w:color w:val="56008C"/>
          <w:szCs w:val="26"/>
          <w:lang w:eastAsia="en-US"/>
        </w:rPr>
      </w:pPr>
    </w:p>
    <w:sectPr w:rsidR="00634D6C" w:rsidSect="00BB4161">
      <w:pgSz w:w="16838" w:h="11906" w:orient="landscape"/>
      <w:pgMar w:top="900" w:right="706" w:bottom="990" w:left="72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516A" w:rsidRDefault="00B7516A" w:rsidP="00412C00">
      <w:r>
        <w:separator/>
      </w:r>
    </w:p>
  </w:endnote>
  <w:endnote w:type="continuationSeparator" w:id="0">
    <w:p w:rsidR="00B7516A" w:rsidRDefault="00B7516A" w:rsidP="00412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1866406"/>
      <w:docPartObj>
        <w:docPartGallery w:val="Page Numbers (Bottom of Page)"/>
        <w:docPartUnique/>
      </w:docPartObj>
    </w:sdtPr>
    <w:sdtEndPr>
      <w:rPr>
        <w:rFonts w:ascii="Arial" w:hAnsi="Arial"/>
        <w:noProof/>
        <w:sz w:val="16"/>
      </w:rPr>
    </w:sdtEndPr>
    <w:sdtContent>
      <w:p w:rsidR="00B6318B" w:rsidRPr="00195D4C" w:rsidRDefault="00B6318B">
        <w:pPr>
          <w:pStyle w:val="Footer"/>
          <w:jc w:val="center"/>
          <w:rPr>
            <w:rFonts w:ascii="Arial" w:hAnsi="Arial"/>
            <w:sz w:val="16"/>
          </w:rPr>
        </w:pPr>
        <w:r w:rsidRPr="00195D4C">
          <w:rPr>
            <w:rFonts w:ascii="Arial" w:hAnsi="Arial"/>
            <w:sz w:val="16"/>
          </w:rPr>
          <w:fldChar w:fldCharType="begin"/>
        </w:r>
        <w:r w:rsidRPr="00195D4C">
          <w:rPr>
            <w:rFonts w:ascii="Arial" w:hAnsi="Arial"/>
            <w:sz w:val="16"/>
          </w:rPr>
          <w:instrText xml:space="preserve"> PAGE   \* MERGEFORMAT </w:instrText>
        </w:r>
        <w:r w:rsidRPr="00195D4C">
          <w:rPr>
            <w:rFonts w:ascii="Arial" w:hAnsi="Arial"/>
            <w:sz w:val="16"/>
          </w:rPr>
          <w:fldChar w:fldCharType="separate"/>
        </w:r>
        <w:r w:rsidR="00AE33F9">
          <w:rPr>
            <w:rFonts w:ascii="Arial" w:hAnsi="Arial"/>
            <w:noProof/>
            <w:sz w:val="16"/>
          </w:rPr>
          <w:t>5</w:t>
        </w:r>
        <w:r w:rsidRPr="00195D4C">
          <w:rPr>
            <w:rFonts w:ascii="Arial" w:hAnsi="Arial"/>
            <w:noProof/>
            <w:sz w:val="16"/>
          </w:rPr>
          <w:fldChar w:fldCharType="end"/>
        </w:r>
      </w:p>
    </w:sdtContent>
  </w:sdt>
  <w:p w:rsidR="00B6318B" w:rsidRDefault="00B631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516A" w:rsidRDefault="00B7516A" w:rsidP="00412C00">
      <w:r>
        <w:separator/>
      </w:r>
    </w:p>
  </w:footnote>
  <w:footnote w:type="continuationSeparator" w:id="0">
    <w:p w:rsidR="00B7516A" w:rsidRDefault="00B7516A" w:rsidP="00412C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18B" w:rsidRDefault="00B631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82938"/>
    <w:multiLevelType w:val="hybridMultilevel"/>
    <w:tmpl w:val="061E21A0"/>
    <w:lvl w:ilvl="0" w:tplc="08090003">
      <w:start w:val="1"/>
      <w:numFmt w:val="bullet"/>
      <w:lvlText w:val="o"/>
      <w:lvlJc w:val="left"/>
      <w:pPr>
        <w:ind w:left="3262" w:hanging="360"/>
      </w:pPr>
      <w:rPr>
        <w:rFonts w:ascii="Courier New" w:hAnsi="Courier New" w:cs="Courier New" w:hint="default"/>
      </w:rPr>
    </w:lvl>
    <w:lvl w:ilvl="1" w:tplc="08090003" w:tentative="1">
      <w:start w:val="1"/>
      <w:numFmt w:val="bullet"/>
      <w:lvlText w:val="o"/>
      <w:lvlJc w:val="left"/>
      <w:pPr>
        <w:ind w:left="3982" w:hanging="360"/>
      </w:pPr>
      <w:rPr>
        <w:rFonts w:ascii="Courier New" w:hAnsi="Courier New" w:cs="Courier New" w:hint="default"/>
      </w:rPr>
    </w:lvl>
    <w:lvl w:ilvl="2" w:tplc="08090005" w:tentative="1">
      <w:start w:val="1"/>
      <w:numFmt w:val="bullet"/>
      <w:lvlText w:val=""/>
      <w:lvlJc w:val="left"/>
      <w:pPr>
        <w:ind w:left="4702" w:hanging="360"/>
      </w:pPr>
      <w:rPr>
        <w:rFonts w:ascii="Wingdings" w:hAnsi="Wingdings" w:hint="default"/>
      </w:rPr>
    </w:lvl>
    <w:lvl w:ilvl="3" w:tplc="08090001" w:tentative="1">
      <w:start w:val="1"/>
      <w:numFmt w:val="bullet"/>
      <w:lvlText w:val=""/>
      <w:lvlJc w:val="left"/>
      <w:pPr>
        <w:ind w:left="5422" w:hanging="360"/>
      </w:pPr>
      <w:rPr>
        <w:rFonts w:ascii="Symbol" w:hAnsi="Symbol" w:hint="default"/>
      </w:rPr>
    </w:lvl>
    <w:lvl w:ilvl="4" w:tplc="08090003" w:tentative="1">
      <w:start w:val="1"/>
      <w:numFmt w:val="bullet"/>
      <w:lvlText w:val="o"/>
      <w:lvlJc w:val="left"/>
      <w:pPr>
        <w:ind w:left="6142" w:hanging="360"/>
      </w:pPr>
      <w:rPr>
        <w:rFonts w:ascii="Courier New" w:hAnsi="Courier New" w:cs="Courier New" w:hint="default"/>
      </w:rPr>
    </w:lvl>
    <w:lvl w:ilvl="5" w:tplc="08090005" w:tentative="1">
      <w:start w:val="1"/>
      <w:numFmt w:val="bullet"/>
      <w:lvlText w:val=""/>
      <w:lvlJc w:val="left"/>
      <w:pPr>
        <w:ind w:left="6862" w:hanging="360"/>
      </w:pPr>
      <w:rPr>
        <w:rFonts w:ascii="Wingdings" w:hAnsi="Wingdings" w:hint="default"/>
      </w:rPr>
    </w:lvl>
    <w:lvl w:ilvl="6" w:tplc="08090001" w:tentative="1">
      <w:start w:val="1"/>
      <w:numFmt w:val="bullet"/>
      <w:lvlText w:val=""/>
      <w:lvlJc w:val="left"/>
      <w:pPr>
        <w:ind w:left="7582" w:hanging="360"/>
      </w:pPr>
      <w:rPr>
        <w:rFonts w:ascii="Symbol" w:hAnsi="Symbol" w:hint="default"/>
      </w:rPr>
    </w:lvl>
    <w:lvl w:ilvl="7" w:tplc="08090003" w:tentative="1">
      <w:start w:val="1"/>
      <w:numFmt w:val="bullet"/>
      <w:lvlText w:val="o"/>
      <w:lvlJc w:val="left"/>
      <w:pPr>
        <w:ind w:left="8302" w:hanging="360"/>
      </w:pPr>
      <w:rPr>
        <w:rFonts w:ascii="Courier New" w:hAnsi="Courier New" w:cs="Courier New" w:hint="default"/>
      </w:rPr>
    </w:lvl>
    <w:lvl w:ilvl="8" w:tplc="08090005" w:tentative="1">
      <w:start w:val="1"/>
      <w:numFmt w:val="bullet"/>
      <w:lvlText w:val=""/>
      <w:lvlJc w:val="left"/>
      <w:pPr>
        <w:ind w:left="9022" w:hanging="360"/>
      </w:pPr>
      <w:rPr>
        <w:rFonts w:ascii="Wingdings" w:hAnsi="Wingdings" w:hint="default"/>
      </w:rPr>
    </w:lvl>
  </w:abstractNum>
  <w:abstractNum w:abstractNumId="1">
    <w:nsid w:val="0D291220"/>
    <w:multiLevelType w:val="hybridMultilevel"/>
    <w:tmpl w:val="97F28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2BD1860"/>
    <w:multiLevelType w:val="hybridMultilevel"/>
    <w:tmpl w:val="F0384A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F7575CF"/>
    <w:multiLevelType w:val="hybridMultilevel"/>
    <w:tmpl w:val="099E76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1587536"/>
    <w:multiLevelType w:val="hybridMultilevel"/>
    <w:tmpl w:val="3D44CB8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25AA1FB2"/>
    <w:multiLevelType w:val="hybridMultilevel"/>
    <w:tmpl w:val="457641A2"/>
    <w:lvl w:ilvl="0" w:tplc="08090003">
      <w:start w:val="1"/>
      <w:numFmt w:val="bullet"/>
      <w:lvlText w:val="o"/>
      <w:lvlJc w:val="left"/>
      <w:pPr>
        <w:ind w:left="2880" w:hanging="360"/>
      </w:pPr>
      <w:rPr>
        <w:rFonts w:ascii="Courier New" w:hAnsi="Courier New" w:cs="Courier New"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6">
    <w:nsid w:val="340A123E"/>
    <w:multiLevelType w:val="hybridMultilevel"/>
    <w:tmpl w:val="B3520682"/>
    <w:lvl w:ilvl="0" w:tplc="7FDA39C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44A48B0"/>
    <w:multiLevelType w:val="hybridMultilevel"/>
    <w:tmpl w:val="AE32601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nsid w:val="34B2432F"/>
    <w:multiLevelType w:val="hybridMultilevel"/>
    <w:tmpl w:val="F0208A20"/>
    <w:lvl w:ilvl="0" w:tplc="934E7ACE">
      <w:start w:val="1"/>
      <w:numFmt w:val="decimal"/>
      <w:lvlText w:val="%1."/>
      <w:lvlJc w:val="left"/>
      <w:pPr>
        <w:tabs>
          <w:tab w:val="num" w:pos="360"/>
        </w:tabs>
        <w:ind w:left="360" w:hanging="360"/>
      </w:pPr>
    </w:lvl>
    <w:lvl w:ilvl="1" w:tplc="AE100DFC">
      <w:numFmt w:val="none"/>
      <w:lvlText w:val=""/>
      <w:lvlJc w:val="left"/>
      <w:pPr>
        <w:tabs>
          <w:tab w:val="num" w:pos="360"/>
        </w:tabs>
      </w:pPr>
    </w:lvl>
    <w:lvl w:ilvl="2" w:tplc="DCD80F4E">
      <w:numFmt w:val="none"/>
      <w:lvlText w:val=""/>
      <w:lvlJc w:val="left"/>
      <w:pPr>
        <w:tabs>
          <w:tab w:val="num" w:pos="360"/>
        </w:tabs>
      </w:pPr>
    </w:lvl>
    <w:lvl w:ilvl="3" w:tplc="96E698B2">
      <w:numFmt w:val="none"/>
      <w:lvlText w:val=""/>
      <w:lvlJc w:val="left"/>
      <w:pPr>
        <w:tabs>
          <w:tab w:val="num" w:pos="360"/>
        </w:tabs>
      </w:pPr>
    </w:lvl>
    <w:lvl w:ilvl="4" w:tplc="54AA915A">
      <w:numFmt w:val="none"/>
      <w:lvlText w:val=""/>
      <w:lvlJc w:val="left"/>
      <w:pPr>
        <w:tabs>
          <w:tab w:val="num" w:pos="360"/>
        </w:tabs>
      </w:pPr>
    </w:lvl>
    <w:lvl w:ilvl="5" w:tplc="A57ADD74">
      <w:numFmt w:val="none"/>
      <w:lvlText w:val=""/>
      <w:lvlJc w:val="left"/>
      <w:pPr>
        <w:tabs>
          <w:tab w:val="num" w:pos="360"/>
        </w:tabs>
      </w:pPr>
    </w:lvl>
    <w:lvl w:ilvl="6" w:tplc="5330EEEE">
      <w:numFmt w:val="none"/>
      <w:lvlText w:val=""/>
      <w:lvlJc w:val="left"/>
      <w:pPr>
        <w:tabs>
          <w:tab w:val="num" w:pos="360"/>
        </w:tabs>
      </w:pPr>
    </w:lvl>
    <w:lvl w:ilvl="7" w:tplc="A7586E4E">
      <w:numFmt w:val="none"/>
      <w:lvlText w:val=""/>
      <w:lvlJc w:val="left"/>
      <w:pPr>
        <w:tabs>
          <w:tab w:val="num" w:pos="360"/>
        </w:tabs>
      </w:pPr>
    </w:lvl>
    <w:lvl w:ilvl="8" w:tplc="30BC2D92">
      <w:numFmt w:val="none"/>
      <w:lvlText w:val=""/>
      <w:lvlJc w:val="left"/>
      <w:pPr>
        <w:tabs>
          <w:tab w:val="num" w:pos="360"/>
        </w:tabs>
      </w:pPr>
    </w:lvl>
  </w:abstractNum>
  <w:abstractNum w:abstractNumId="9">
    <w:nsid w:val="3B171A2E"/>
    <w:multiLevelType w:val="hybridMultilevel"/>
    <w:tmpl w:val="2C50852A"/>
    <w:lvl w:ilvl="0" w:tplc="0409000F">
      <w:start w:val="1"/>
      <w:numFmt w:val="decimal"/>
      <w:lvlText w:val="%1."/>
      <w:lvlJc w:val="left"/>
      <w:pPr>
        <w:tabs>
          <w:tab w:val="num" w:pos="540"/>
        </w:tabs>
        <w:ind w:left="54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FCF31E4"/>
    <w:multiLevelType w:val="hybridMultilevel"/>
    <w:tmpl w:val="826CD0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1AA5566"/>
    <w:multiLevelType w:val="hybridMultilevel"/>
    <w:tmpl w:val="E54E8C1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nsid w:val="42FF6A05"/>
    <w:multiLevelType w:val="hybridMultilevel"/>
    <w:tmpl w:val="39887D2C"/>
    <w:lvl w:ilvl="0" w:tplc="08090003">
      <w:start w:val="1"/>
      <w:numFmt w:val="bullet"/>
      <w:lvlText w:val="o"/>
      <w:lvlJc w:val="left"/>
      <w:pPr>
        <w:ind w:left="2509" w:hanging="360"/>
      </w:pPr>
      <w:rPr>
        <w:rFonts w:ascii="Courier New" w:hAnsi="Courier New" w:cs="Courier New" w:hint="default"/>
      </w:rPr>
    </w:lvl>
    <w:lvl w:ilvl="1" w:tplc="08090003" w:tentative="1">
      <w:start w:val="1"/>
      <w:numFmt w:val="bullet"/>
      <w:lvlText w:val="o"/>
      <w:lvlJc w:val="left"/>
      <w:pPr>
        <w:ind w:left="3229" w:hanging="360"/>
      </w:pPr>
      <w:rPr>
        <w:rFonts w:ascii="Courier New" w:hAnsi="Courier New" w:cs="Courier New" w:hint="default"/>
      </w:rPr>
    </w:lvl>
    <w:lvl w:ilvl="2" w:tplc="08090005" w:tentative="1">
      <w:start w:val="1"/>
      <w:numFmt w:val="bullet"/>
      <w:lvlText w:val=""/>
      <w:lvlJc w:val="left"/>
      <w:pPr>
        <w:ind w:left="3949" w:hanging="360"/>
      </w:pPr>
      <w:rPr>
        <w:rFonts w:ascii="Wingdings" w:hAnsi="Wingdings" w:hint="default"/>
      </w:rPr>
    </w:lvl>
    <w:lvl w:ilvl="3" w:tplc="08090001" w:tentative="1">
      <w:start w:val="1"/>
      <w:numFmt w:val="bullet"/>
      <w:lvlText w:val=""/>
      <w:lvlJc w:val="left"/>
      <w:pPr>
        <w:ind w:left="4669" w:hanging="360"/>
      </w:pPr>
      <w:rPr>
        <w:rFonts w:ascii="Symbol" w:hAnsi="Symbol" w:hint="default"/>
      </w:rPr>
    </w:lvl>
    <w:lvl w:ilvl="4" w:tplc="08090003" w:tentative="1">
      <w:start w:val="1"/>
      <w:numFmt w:val="bullet"/>
      <w:lvlText w:val="o"/>
      <w:lvlJc w:val="left"/>
      <w:pPr>
        <w:ind w:left="5389" w:hanging="360"/>
      </w:pPr>
      <w:rPr>
        <w:rFonts w:ascii="Courier New" w:hAnsi="Courier New" w:cs="Courier New" w:hint="default"/>
      </w:rPr>
    </w:lvl>
    <w:lvl w:ilvl="5" w:tplc="08090005" w:tentative="1">
      <w:start w:val="1"/>
      <w:numFmt w:val="bullet"/>
      <w:lvlText w:val=""/>
      <w:lvlJc w:val="left"/>
      <w:pPr>
        <w:ind w:left="6109" w:hanging="360"/>
      </w:pPr>
      <w:rPr>
        <w:rFonts w:ascii="Wingdings" w:hAnsi="Wingdings" w:hint="default"/>
      </w:rPr>
    </w:lvl>
    <w:lvl w:ilvl="6" w:tplc="08090001" w:tentative="1">
      <w:start w:val="1"/>
      <w:numFmt w:val="bullet"/>
      <w:lvlText w:val=""/>
      <w:lvlJc w:val="left"/>
      <w:pPr>
        <w:ind w:left="6829" w:hanging="360"/>
      </w:pPr>
      <w:rPr>
        <w:rFonts w:ascii="Symbol" w:hAnsi="Symbol" w:hint="default"/>
      </w:rPr>
    </w:lvl>
    <w:lvl w:ilvl="7" w:tplc="08090003" w:tentative="1">
      <w:start w:val="1"/>
      <w:numFmt w:val="bullet"/>
      <w:lvlText w:val="o"/>
      <w:lvlJc w:val="left"/>
      <w:pPr>
        <w:ind w:left="7549" w:hanging="360"/>
      </w:pPr>
      <w:rPr>
        <w:rFonts w:ascii="Courier New" w:hAnsi="Courier New" w:cs="Courier New" w:hint="default"/>
      </w:rPr>
    </w:lvl>
    <w:lvl w:ilvl="8" w:tplc="08090005" w:tentative="1">
      <w:start w:val="1"/>
      <w:numFmt w:val="bullet"/>
      <w:lvlText w:val=""/>
      <w:lvlJc w:val="left"/>
      <w:pPr>
        <w:ind w:left="8269" w:hanging="360"/>
      </w:pPr>
      <w:rPr>
        <w:rFonts w:ascii="Wingdings" w:hAnsi="Wingdings" w:hint="default"/>
      </w:rPr>
    </w:lvl>
  </w:abstractNum>
  <w:abstractNum w:abstractNumId="13">
    <w:nsid w:val="431F332B"/>
    <w:multiLevelType w:val="hybridMultilevel"/>
    <w:tmpl w:val="AA46A91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3402ABC"/>
    <w:multiLevelType w:val="hybridMultilevel"/>
    <w:tmpl w:val="B00C5BE0"/>
    <w:lvl w:ilvl="0" w:tplc="45041FB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A2E095C"/>
    <w:multiLevelType w:val="hybridMultilevel"/>
    <w:tmpl w:val="573E4722"/>
    <w:lvl w:ilvl="0" w:tplc="5240BF06">
      <w:start w:val="1"/>
      <w:numFmt w:val="low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4F194781"/>
    <w:multiLevelType w:val="hybridMultilevel"/>
    <w:tmpl w:val="A77000F0"/>
    <w:lvl w:ilvl="0" w:tplc="A950D33E">
      <w:start w:val="6"/>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FCB5A7B"/>
    <w:multiLevelType w:val="hybridMultilevel"/>
    <w:tmpl w:val="CEC2A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566605D"/>
    <w:multiLevelType w:val="hybridMultilevel"/>
    <w:tmpl w:val="388E0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75938FD"/>
    <w:multiLevelType w:val="hybridMultilevel"/>
    <w:tmpl w:val="F37A1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8074674"/>
    <w:multiLevelType w:val="hybridMultilevel"/>
    <w:tmpl w:val="1804CAD8"/>
    <w:lvl w:ilvl="0" w:tplc="926A765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A8D2685"/>
    <w:multiLevelType w:val="hybridMultilevel"/>
    <w:tmpl w:val="7AD6D538"/>
    <w:lvl w:ilvl="0" w:tplc="0CFA24F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B4476AF"/>
    <w:multiLevelType w:val="hybridMultilevel"/>
    <w:tmpl w:val="F9469464"/>
    <w:lvl w:ilvl="0" w:tplc="52DA039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C462F38"/>
    <w:multiLevelType w:val="hybridMultilevel"/>
    <w:tmpl w:val="6E24EA1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1764615"/>
    <w:multiLevelType w:val="hybridMultilevel"/>
    <w:tmpl w:val="C3B476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293675D"/>
    <w:multiLevelType w:val="hybridMultilevel"/>
    <w:tmpl w:val="3EAA6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A760BED"/>
    <w:multiLevelType w:val="hybridMultilevel"/>
    <w:tmpl w:val="47B20C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CD74158"/>
    <w:multiLevelType w:val="hybridMultilevel"/>
    <w:tmpl w:val="23D4F6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E7D6FD7"/>
    <w:multiLevelType w:val="hybridMultilevel"/>
    <w:tmpl w:val="BBB81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3112D61"/>
    <w:multiLevelType w:val="hybridMultilevel"/>
    <w:tmpl w:val="9DA8E69E"/>
    <w:lvl w:ilvl="0" w:tplc="BE7C1C0E">
      <w:start w:val="1"/>
      <w:numFmt w:val="lowerLetter"/>
      <w:lvlText w:val="%1."/>
      <w:lvlJc w:val="left"/>
      <w:pPr>
        <w:ind w:left="1080" w:hanging="720"/>
      </w:pPr>
      <w:rPr>
        <w:rFonts w:ascii="Arial" w:eastAsia="Times New Roman" w:hAnsi="Arial" w:cs="Arial"/>
        <w:b w:val="0"/>
      </w:rPr>
    </w:lvl>
    <w:lvl w:ilvl="1" w:tplc="F4A61D06">
      <w:start w:val="1"/>
      <w:numFmt w:val="lowerRoman"/>
      <w:lvlText w:val="%2."/>
      <w:lvlJc w:val="left"/>
      <w:pPr>
        <w:ind w:left="1440" w:hanging="360"/>
      </w:pPr>
      <w:rPr>
        <w:rFonts w:ascii="Arial" w:eastAsia="Times New Roman" w:hAnsi="Arial" w:cs="Arial"/>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B471EE1"/>
    <w:multiLevelType w:val="hybridMultilevel"/>
    <w:tmpl w:val="8E6A1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CFF064A"/>
    <w:multiLevelType w:val="hybridMultilevel"/>
    <w:tmpl w:val="A49205EC"/>
    <w:lvl w:ilvl="0" w:tplc="19BE031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7"/>
  </w:num>
  <w:num w:numId="2">
    <w:abstractNumId w:val="1"/>
  </w:num>
  <w:num w:numId="3">
    <w:abstractNumId w:val="8"/>
  </w:num>
  <w:num w:numId="4">
    <w:abstractNumId w:val="30"/>
  </w:num>
  <w:num w:numId="5">
    <w:abstractNumId w:val="18"/>
  </w:num>
  <w:num w:numId="6">
    <w:abstractNumId w:val="3"/>
  </w:num>
  <w:num w:numId="7">
    <w:abstractNumId w:val="4"/>
  </w:num>
  <w:num w:numId="8">
    <w:abstractNumId w:val="24"/>
  </w:num>
  <w:num w:numId="9">
    <w:abstractNumId w:val="13"/>
  </w:num>
  <w:num w:numId="10">
    <w:abstractNumId w:val="9"/>
  </w:num>
  <w:num w:numId="11">
    <w:abstractNumId w:val="7"/>
  </w:num>
  <w:num w:numId="12">
    <w:abstractNumId w:val="0"/>
  </w:num>
  <w:num w:numId="13">
    <w:abstractNumId w:val="5"/>
  </w:num>
  <w:num w:numId="14">
    <w:abstractNumId w:val="12"/>
  </w:num>
  <w:num w:numId="15">
    <w:abstractNumId w:val="2"/>
  </w:num>
  <w:num w:numId="16">
    <w:abstractNumId w:val="25"/>
  </w:num>
  <w:num w:numId="17">
    <w:abstractNumId w:val="29"/>
  </w:num>
  <w:num w:numId="18">
    <w:abstractNumId w:val="20"/>
  </w:num>
  <w:num w:numId="19">
    <w:abstractNumId w:val="14"/>
  </w:num>
  <w:num w:numId="20">
    <w:abstractNumId w:val="22"/>
  </w:num>
  <w:num w:numId="21">
    <w:abstractNumId w:val="21"/>
  </w:num>
  <w:num w:numId="22">
    <w:abstractNumId w:val="6"/>
  </w:num>
  <w:num w:numId="23">
    <w:abstractNumId w:val="16"/>
  </w:num>
  <w:num w:numId="24">
    <w:abstractNumId w:val="28"/>
  </w:num>
  <w:num w:numId="25">
    <w:abstractNumId w:val="26"/>
  </w:num>
  <w:num w:numId="26">
    <w:abstractNumId w:val="10"/>
  </w:num>
  <w:num w:numId="27">
    <w:abstractNumId w:val="19"/>
  </w:num>
  <w:num w:numId="28">
    <w:abstractNumId w:val="31"/>
  </w:num>
  <w:num w:numId="29">
    <w:abstractNumId w:val="15"/>
  </w:num>
  <w:num w:numId="30">
    <w:abstractNumId w:val="23"/>
  </w:num>
  <w:num w:numId="31">
    <w:abstractNumId w:val="11"/>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821"/>
    <w:rsid w:val="00002E5F"/>
    <w:rsid w:val="00004C4F"/>
    <w:rsid w:val="0000631A"/>
    <w:rsid w:val="00006A45"/>
    <w:rsid w:val="00011FDF"/>
    <w:rsid w:val="000140FE"/>
    <w:rsid w:val="00015D1D"/>
    <w:rsid w:val="0001646D"/>
    <w:rsid w:val="00016856"/>
    <w:rsid w:val="00017760"/>
    <w:rsid w:val="000200FA"/>
    <w:rsid w:val="00020E2E"/>
    <w:rsid w:val="000217E9"/>
    <w:rsid w:val="00021ABB"/>
    <w:rsid w:val="00022301"/>
    <w:rsid w:val="0002376C"/>
    <w:rsid w:val="000239F7"/>
    <w:rsid w:val="0002461E"/>
    <w:rsid w:val="00024BC8"/>
    <w:rsid w:val="000271F4"/>
    <w:rsid w:val="00030167"/>
    <w:rsid w:val="00032034"/>
    <w:rsid w:val="0003250E"/>
    <w:rsid w:val="00033BC9"/>
    <w:rsid w:val="00033FF1"/>
    <w:rsid w:val="00034A25"/>
    <w:rsid w:val="00034D0F"/>
    <w:rsid w:val="00035367"/>
    <w:rsid w:val="0003758C"/>
    <w:rsid w:val="00037838"/>
    <w:rsid w:val="00040F35"/>
    <w:rsid w:val="0004137A"/>
    <w:rsid w:val="00042A65"/>
    <w:rsid w:val="0004366E"/>
    <w:rsid w:val="0004442F"/>
    <w:rsid w:val="00044467"/>
    <w:rsid w:val="0004446C"/>
    <w:rsid w:val="00044D07"/>
    <w:rsid w:val="00047960"/>
    <w:rsid w:val="00052048"/>
    <w:rsid w:val="00053090"/>
    <w:rsid w:val="00054430"/>
    <w:rsid w:val="000550DF"/>
    <w:rsid w:val="00055303"/>
    <w:rsid w:val="00055506"/>
    <w:rsid w:val="00056576"/>
    <w:rsid w:val="0006158F"/>
    <w:rsid w:val="00062DFD"/>
    <w:rsid w:val="0006430C"/>
    <w:rsid w:val="000658EF"/>
    <w:rsid w:val="0006597A"/>
    <w:rsid w:val="00065E53"/>
    <w:rsid w:val="00066196"/>
    <w:rsid w:val="0006732B"/>
    <w:rsid w:val="00070A74"/>
    <w:rsid w:val="000719DD"/>
    <w:rsid w:val="00072739"/>
    <w:rsid w:val="00075A82"/>
    <w:rsid w:val="000776EB"/>
    <w:rsid w:val="0008641C"/>
    <w:rsid w:val="0008642A"/>
    <w:rsid w:val="00086661"/>
    <w:rsid w:val="00086665"/>
    <w:rsid w:val="000868B4"/>
    <w:rsid w:val="00087B0A"/>
    <w:rsid w:val="00090AC3"/>
    <w:rsid w:val="00091F54"/>
    <w:rsid w:val="00092A9E"/>
    <w:rsid w:val="000949D1"/>
    <w:rsid w:val="000958EB"/>
    <w:rsid w:val="0009591A"/>
    <w:rsid w:val="00096422"/>
    <w:rsid w:val="0009793E"/>
    <w:rsid w:val="000A0F37"/>
    <w:rsid w:val="000A469D"/>
    <w:rsid w:val="000A5374"/>
    <w:rsid w:val="000B1B00"/>
    <w:rsid w:val="000B2EF8"/>
    <w:rsid w:val="000B483A"/>
    <w:rsid w:val="000B79E8"/>
    <w:rsid w:val="000C0ACC"/>
    <w:rsid w:val="000C1D47"/>
    <w:rsid w:val="000C1DF1"/>
    <w:rsid w:val="000C29D5"/>
    <w:rsid w:val="000C5914"/>
    <w:rsid w:val="000C6150"/>
    <w:rsid w:val="000C6D92"/>
    <w:rsid w:val="000D0C92"/>
    <w:rsid w:val="000D1E92"/>
    <w:rsid w:val="000D2212"/>
    <w:rsid w:val="000D2990"/>
    <w:rsid w:val="000D2D89"/>
    <w:rsid w:val="000D3D3A"/>
    <w:rsid w:val="000D3DBD"/>
    <w:rsid w:val="000D4339"/>
    <w:rsid w:val="000D4449"/>
    <w:rsid w:val="000D471E"/>
    <w:rsid w:val="000D47A6"/>
    <w:rsid w:val="000D5B3D"/>
    <w:rsid w:val="000D6B10"/>
    <w:rsid w:val="000D6E69"/>
    <w:rsid w:val="000D711F"/>
    <w:rsid w:val="000D7316"/>
    <w:rsid w:val="000E0B72"/>
    <w:rsid w:val="000E2B98"/>
    <w:rsid w:val="000E66A4"/>
    <w:rsid w:val="000E694D"/>
    <w:rsid w:val="000E7FD2"/>
    <w:rsid w:val="000F0C7B"/>
    <w:rsid w:val="000F15BA"/>
    <w:rsid w:val="000F27AB"/>
    <w:rsid w:val="000F2E5B"/>
    <w:rsid w:val="000F4DF3"/>
    <w:rsid w:val="000F612E"/>
    <w:rsid w:val="000F71C0"/>
    <w:rsid w:val="0010188D"/>
    <w:rsid w:val="00105649"/>
    <w:rsid w:val="00105927"/>
    <w:rsid w:val="001059BA"/>
    <w:rsid w:val="00106106"/>
    <w:rsid w:val="00106232"/>
    <w:rsid w:val="00107767"/>
    <w:rsid w:val="00111951"/>
    <w:rsid w:val="0011341B"/>
    <w:rsid w:val="001138E6"/>
    <w:rsid w:val="0011557E"/>
    <w:rsid w:val="00115E84"/>
    <w:rsid w:val="00116098"/>
    <w:rsid w:val="001166D1"/>
    <w:rsid w:val="00122DA1"/>
    <w:rsid w:val="00123FF0"/>
    <w:rsid w:val="00124893"/>
    <w:rsid w:val="00124AA3"/>
    <w:rsid w:val="00124E28"/>
    <w:rsid w:val="00127B75"/>
    <w:rsid w:val="00127C34"/>
    <w:rsid w:val="00130783"/>
    <w:rsid w:val="00132DB0"/>
    <w:rsid w:val="001339A4"/>
    <w:rsid w:val="00135C17"/>
    <w:rsid w:val="00136DAB"/>
    <w:rsid w:val="0013718B"/>
    <w:rsid w:val="001415A5"/>
    <w:rsid w:val="00143415"/>
    <w:rsid w:val="00143E29"/>
    <w:rsid w:val="001504B0"/>
    <w:rsid w:val="00150CE4"/>
    <w:rsid w:val="001516FA"/>
    <w:rsid w:val="001528FE"/>
    <w:rsid w:val="0015351D"/>
    <w:rsid w:val="00153A62"/>
    <w:rsid w:val="00153E82"/>
    <w:rsid w:val="001540D4"/>
    <w:rsid w:val="00154E36"/>
    <w:rsid w:val="00156315"/>
    <w:rsid w:val="0016044C"/>
    <w:rsid w:val="001609ED"/>
    <w:rsid w:val="00160F9B"/>
    <w:rsid w:val="00161C29"/>
    <w:rsid w:val="00162CB2"/>
    <w:rsid w:val="00163364"/>
    <w:rsid w:val="00163A5A"/>
    <w:rsid w:val="00165567"/>
    <w:rsid w:val="00165D47"/>
    <w:rsid w:val="001679C3"/>
    <w:rsid w:val="00167A33"/>
    <w:rsid w:val="00167B08"/>
    <w:rsid w:val="00171C23"/>
    <w:rsid w:val="001721FC"/>
    <w:rsid w:val="00172DD0"/>
    <w:rsid w:val="00181165"/>
    <w:rsid w:val="00181BB8"/>
    <w:rsid w:val="00182577"/>
    <w:rsid w:val="00182D5E"/>
    <w:rsid w:val="001839DD"/>
    <w:rsid w:val="00185C18"/>
    <w:rsid w:val="0018609F"/>
    <w:rsid w:val="00187F7B"/>
    <w:rsid w:val="0019002F"/>
    <w:rsid w:val="001924BC"/>
    <w:rsid w:val="00192D07"/>
    <w:rsid w:val="00194497"/>
    <w:rsid w:val="00194AB0"/>
    <w:rsid w:val="00194FFE"/>
    <w:rsid w:val="00195D4C"/>
    <w:rsid w:val="001965A9"/>
    <w:rsid w:val="001A01D0"/>
    <w:rsid w:val="001A1F7B"/>
    <w:rsid w:val="001A2303"/>
    <w:rsid w:val="001A387F"/>
    <w:rsid w:val="001A6027"/>
    <w:rsid w:val="001A7ECD"/>
    <w:rsid w:val="001B085C"/>
    <w:rsid w:val="001B0CA4"/>
    <w:rsid w:val="001B12BA"/>
    <w:rsid w:val="001B1E04"/>
    <w:rsid w:val="001B3CD0"/>
    <w:rsid w:val="001B4F9E"/>
    <w:rsid w:val="001B52B4"/>
    <w:rsid w:val="001B686D"/>
    <w:rsid w:val="001C2AB3"/>
    <w:rsid w:val="001C4432"/>
    <w:rsid w:val="001C63CB"/>
    <w:rsid w:val="001C6861"/>
    <w:rsid w:val="001C6A8A"/>
    <w:rsid w:val="001C6C26"/>
    <w:rsid w:val="001D039E"/>
    <w:rsid w:val="001D083E"/>
    <w:rsid w:val="001D1C69"/>
    <w:rsid w:val="001D5F0F"/>
    <w:rsid w:val="001D6A8C"/>
    <w:rsid w:val="001D76BF"/>
    <w:rsid w:val="001E1F42"/>
    <w:rsid w:val="001E2FDD"/>
    <w:rsid w:val="001E4B23"/>
    <w:rsid w:val="001E4F94"/>
    <w:rsid w:val="001E5CAA"/>
    <w:rsid w:val="001E5DDC"/>
    <w:rsid w:val="001E7EB7"/>
    <w:rsid w:val="001F0FB2"/>
    <w:rsid w:val="001F316E"/>
    <w:rsid w:val="001F321D"/>
    <w:rsid w:val="001F5929"/>
    <w:rsid w:val="001F7421"/>
    <w:rsid w:val="00201909"/>
    <w:rsid w:val="00204E97"/>
    <w:rsid w:val="002071FA"/>
    <w:rsid w:val="0020721C"/>
    <w:rsid w:val="00210D21"/>
    <w:rsid w:val="00210E3A"/>
    <w:rsid w:val="002132A1"/>
    <w:rsid w:val="002132BF"/>
    <w:rsid w:val="00215D81"/>
    <w:rsid w:val="00217F4F"/>
    <w:rsid w:val="002220C8"/>
    <w:rsid w:val="002228B6"/>
    <w:rsid w:val="00222CFA"/>
    <w:rsid w:val="00222E1A"/>
    <w:rsid w:val="0022372A"/>
    <w:rsid w:val="00225904"/>
    <w:rsid w:val="002260C0"/>
    <w:rsid w:val="002279D6"/>
    <w:rsid w:val="002303C6"/>
    <w:rsid w:val="00232B6B"/>
    <w:rsid w:val="0023394B"/>
    <w:rsid w:val="00234F1A"/>
    <w:rsid w:val="00236B2E"/>
    <w:rsid w:val="00237BF3"/>
    <w:rsid w:val="00237F3F"/>
    <w:rsid w:val="00240999"/>
    <w:rsid w:val="00241A21"/>
    <w:rsid w:val="002436F9"/>
    <w:rsid w:val="002441AD"/>
    <w:rsid w:val="00244AB6"/>
    <w:rsid w:val="002450FB"/>
    <w:rsid w:val="0024691C"/>
    <w:rsid w:val="0024697B"/>
    <w:rsid w:val="002472C7"/>
    <w:rsid w:val="0025092F"/>
    <w:rsid w:val="002510CE"/>
    <w:rsid w:val="00252EDF"/>
    <w:rsid w:val="0025337B"/>
    <w:rsid w:val="0025472D"/>
    <w:rsid w:val="00254D93"/>
    <w:rsid w:val="0025538B"/>
    <w:rsid w:val="002570C1"/>
    <w:rsid w:val="002574E5"/>
    <w:rsid w:val="00257A11"/>
    <w:rsid w:val="00262B57"/>
    <w:rsid w:val="00262D70"/>
    <w:rsid w:val="00265C5D"/>
    <w:rsid w:val="002672C3"/>
    <w:rsid w:val="002675C3"/>
    <w:rsid w:val="00271399"/>
    <w:rsid w:val="0027173D"/>
    <w:rsid w:val="00271847"/>
    <w:rsid w:val="00272143"/>
    <w:rsid w:val="00272AA5"/>
    <w:rsid w:val="00272C4C"/>
    <w:rsid w:val="00273148"/>
    <w:rsid w:val="00273479"/>
    <w:rsid w:val="00273C65"/>
    <w:rsid w:val="00274232"/>
    <w:rsid w:val="00275BC6"/>
    <w:rsid w:val="00277DB0"/>
    <w:rsid w:val="0028079F"/>
    <w:rsid w:val="00285E21"/>
    <w:rsid w:val="00286591"/>
    <w:rsid w:val="00286A07"/>
    <w:rsid w:val="00286A74"/>
    <w:rsid w:val="00286BA4"/>
    <w:rsid w:val="002905D6"/>
    <w:rsid w:val="002914D3"/>
    <w:rsid w:val="0029266C"/>
    <w:rsid w:val="00292E08"/>
    <w:rsid w:val="00297100"/>
    <w:rsid w:val="002974DC"/>
    <w:rsid w:val="002A13D0"/>
    <w:rsid w:val="002A6EF8"/>
    <w:rsid w:val="002A77E4"/>
    <w:rsid w:val="002B0554"/>
    <w:rsid w:val="002B1ABB"/>
    <w:rsid w:val="002B2061"/>
    <w:rsid w:val="002B2EAA"/>
    <w:rsid w:val="002B3AF7"/>
    <w:rsid w:val="002B3BD5"/>
    <w:rsid w:val="002B41B5"/>
    <w:rsid w:val="002B41F8"/>
    <w:rsid w:val="002B587B"/>
    <w:rsid w:val="002B67AD"/>
    <w:rsid w:val="002B6BA1"/>
    <w:rsid w:val="002B72F1"/>
    <w:rsid w:val="002B7A58"/>
    <w:rsid w:val="002C0638"/>
    <w:rsid w:val="002C274E"/>
    <w:rsid w:val="002C31D0"/>
    <w:rsid w:val="002C390E"/>
    <w:rsid w:val="002C5578"/>
    <w:rsid w:val="002D1079"/>
    <w:rsid w:val="002D19A0"/>
    <w:rsid w:val="002D2375"/>
    <w:rsid w:val="002D25C2"/>
    <w:rsid w:val="002D34F7"/>
    <w:rsid w:val="002D3762"/>
    <w:rsid w:val="002D4299"/>
    <w:rsid w:val="002E0613"/>
    <w:rsid w:val="002E2D66"/>
    <w:rsid w:val="002E3A3E"/>
    <w:rsid w:val="002E488E"/>
    <w:rsid w:val="002E5EDF"/>
    <w:rsid w:val="002E68D4"/>
    <w:rsid w:val="002E7A27"/>
    <w:rsid w:val="002E7DBF"/>
    <w:rsid w:val="002F0239"/>
    <w:rsid w:val="002F0DFF"/>
    <w:rsid w:val="002F2264"/>
    <w:rsid w:val="002F4277"/>
    <w:rsid w:val="002F5E6A"/>
    <w:rsid w:val="002F75F6"/>
    <w:rsid w:val="003001BE"/>
    <w:rsid w:val="00301714"/>
    <w:rsid w:val="00301D79"/>
    <w:rsid w:val="003047AB"/>
    <w:rsid w:val="00305DE9"/>
    <w:rsid w:val="00306328"/>
    <w:rsid w:val="00306F9F"/>
    <w:rsid w:val="0030786C"/>
    <w:rsid w:val="003078FC"/>
    <w:rsid w:val="00307E54"/>
    <w:rsid w:val="00307FB7"/>
    <w:rsid w:val="00310095"/>
    <w:rsid w:val="00310852"/>
    <w:rsid w:val="00311080"/>
    <w:rsid w:val="00312045"/>
    <w:rsid w:val="00313F03"/>
    <w:rsid w:val="0031502B"/>
    <w:rsid w:val="0031644E"/>
    <w:rsid w:val="00316BE4"/>
    <w:rsid w:val="003179D5"/>
    <w:rsid w:val="00320F7E"/>
    <w:rsid w:val="00322070"/>
    <w:rsid w:val="00323ABE"/>
    <w:rsid w:val="003310E3"/>
    <w:rsid w:val="00331BF9"/>
    <w:rsid w:val="00333010"/>
    <w:rsid w:val="0033373F"/>
    <w:rsid w:val="003339C3"/>
    <w:rsid w:val="003342CA"/>
    <w:rsid w:val="003373AF"/>
    <w:rsid w:val="003374E1"/>
    <w:rsid w:val="003440AC"/>
    <w:rsid w:val="00344274"/>
    <w:rsid w:val="00344985"/>
    <w:rsid w:val="003449ED"/>
    <w:rsid w:val="003450BD"/>
    <w:rsid w:val="00354EC4"/>
    <w:rsid w:val="003562A2"/>
    <w:rsid w:val="0035681C"/>
    <w:rsid w:val="00357BF3"/>
    <w:rsid w:val="00360238"/>
    <w:rsid w:val="00361367"/>
    <w:rsid w:val="00361479"/>
    <w:rsid w:val="00364482"/>
    <w:rsid w:val="00366C8F"/>
    <w:rsid w:val="00375EE1"/>
    <w:rsid w:val="003764E7"/>
    <w:rsid w:val="003771DA"/>
    <w:rsid w:val="003837D4"/>
    <w:rsid w:val="00386586"/>
    <w:rsid w:val="00386AD1"/>
    <w:rsid w:val="0039070C"/>
    <w:rsid w:val="003914C4"/>
    <w:rsid w:val="0039154E"/>
    <w:rsid w:val="00391CF2"/>
    <w:rsid w:val="00392A4F"/>
    <w:rsid w:val="00392D76"/>
    <w:rsid w:val="003930D4"/>
    <w:rsid w:val="00393BEC"/>
    <w:rsid w:val="00395C0A"/>
    <w:rsid w:val="00395FF4"/>
    <w:rsid w:val="0039756E"/>
    <w:rsid w:val="003A1D2D"/>
    <w:rsid w:val="003A3805"/>
    <w:rsid w:val="003A41AE"/>
    <w:rsid w:val="003A42A7"/>
    <w:rsid w:val="003A4D87"/>
    <w:rsid w:val="003B135C"/>
    <w:rsid w:val="003B2F87"/>
    <w:rsid w:val="003B711A"/>
    <w:rsid w:val="003C0EA6"/>
    <w:rsid w:val="003C121B"/>
    <w:rsid w:val="003C1D2F"/>
    <w:rsid w:val="003C2211"/>
    <w:rsid w:val="003C483B"/>
    <w:rsid w:val="003C64BE"/>
    <w:rsid w:val="003C6EBD"/>
    <w:rsid w:val="003D17A0"/>
    <w:rsid w:val="003D18BA"/>
    <w:rsid w:val="003D211B"/>
    <w:rsid w:val="003D2D79"/>
    <w:rsid w:val="003D449D"/>
    <w:rsid w:val="003D4747"/>
    <w:rsid w:val="003D54A5"/>
    <w:rsid w:val="003D5874"/>
    <w:rsid w:val="003D76E0"/>
    <w:rsid w:val="003E0E56"/>
    <w:rsid w:val="003E2F76"/>
    <w:rsid w:val="003E3D23"/>
    <w:rsid w:val="003E70FC"/>
    <w:rsid w:val="003F3BB4"/>
    <w:rsid w:val="003F57C1"/>
    <w:rsid w:val="00401265"/>
    <w:rsid w:val="00405763"/>
    <w:rsid w:val="00406C23"/>
    <w:rsid w:val="0040751E"/>
    <w:rsid w:val="00411FE9"/>
    <w:rsid w:val="00412C00"/>
    <w:rsid w:val="00412F67"/>
    <w:rsid w:val="00413148"/>
    <w:rsid w:val="00413357"/>
    <w:rsid w:val="004159BE"/>
    <w:rsid w:val="00416EA8"/>
    <w:rsid w:val="0042029E"/>
    <w:rsid w:val="00421288"/>
    <w:rsid w:val="0042146B"/>
    <w:rsid w:val="00422BCD"/>
    <w:rsid w:val="00425DFA"/>
    <w:rsid w:val="004308A8"/>
    <w:rsid w:val="00430D14"/>
    <w:rsid w:val="00431F96"/>
    <w:rsid w:val="00435640"/>
    <w:rsid w:val="004365C6"/>
    <w:rsid w:val="0043662D"/>
    <w:rsid w:val="004405C3"/>
    <w:rsid w:val="00440BCB"/>
    <w:rsid w:val="00442D4D"/>
    <w:rsid w:val="004458A7"/>
    <w:rsid w:val="00445C3C"/>
    <w:rsid w:val="0044673F"/>
    <w:rsid w:val="00447C0C"/>
    <w:rsid w:val="00447D56"/>
    <w:rsid w:val="004516BD"/>
    <w:rsid w:val="00453EFB"/>
    <w:rsid w:val="00454254"/>
    <w:rsid w:val="00461A11"/>
    <w:rsid w:val="00461E1B"/>
    <w:rsid w:val="004639EE"/>
    <w:rsid w:val="00467605"/>
    <w:rsid w:val="00467624"/>
    <w:rsid w:val="00467649"/>
    <w:rsid w:val="0047014D"/>
    <w:rsid w:val="004703C6"/>
    <w:rsid w:val="004704FD"/>
    <w:rsid w:val="00470CB0"/>
    <w:rsid w:val="0047125F"/>
    <w:rsid w:val="004717CC"/>
    <w:rsid w:val="00471EAB"/>
    <w:rsid w:val="0047213E"/>
    <w:rsid w:val="00474415"/>
    <w:rsid w:val="004802BC"/>
    <w:rsid w:val="004805B0"/>
    <w:rsid w:val="00480953"/>
    <w:rsid w:val="004818C1"/>
    <w:rsid w:val="00482DF3"/>
    <w:rsid w:val="004835A1"/>
    <w:rsid w:val="0048441C"/>
    <w:rsid w:val="00484837"/>
    <w:rsid w:val="0048525C"/>
    <w:rsid w:val="00485908"/>
    <w:rsid w:val="00486466"/>
    <w:rsid w:val="0048687E"/>
    <w:rsid w:val="00486E8F"/>
    <w:rsid w:val="004912DB"/>
    <w:rsid w:val="004916BD"/>
    <w:rsid w:val="004959F4"/>
    <w:rsid w:val="00497F63"/>
    <w:rsid w:val="004A0539"/>
    <w:rsid w:val="004A176F"/>
    <w:rsid w:val="004A1994"/>
    <w:rsid w:val="004A250F"/>
    <w:rsid w:val="004A26E0"/>
    <w:rsid w:val="004B1C3A"/>
    <w:rsid w:val="004B249E"/>
    <w:rsid w:val="004B455E"/>
    <w:rsid w:val="004B5487"/>
    <w:rsid w:val="004B57FB"/>
    <w:rsid w:val="004B5BD8"/>
    <w:rsid w:val="004B5C87"/>
    <w:rsid w:val="004B6C9A"/>
    <w:rsid w:val="004C3A2F"/>
    <w:rsid w:val="004C536A"/>
    <w:rsid w:val="004C5CF8"/>
    <w:rsid w:val="004C68B2"/>
    <w:rsid w:val="004C6AF2"/>
    <w:rsid w:val="004C7812"/>
    <w:rsid w:val="004D1652"/>
    <w:rsid w:val="004D2387"/>
    <w:rsid w:val="004D3744"/>
    <w:rsid w:val="004D4716"/>
    <w:rsid w:val="004D4BF4"/>
    <w:rsid w:val="004D5ABD"/>
    <w:rsid w:val="004D61B7"/>
    <w:rsid w:val="004D66B0"/>
    <w:rsid w:val="004E0021"/>
    <w:rsid w:val="004E06FA"/>
    <w:rsid w:val="004E0E9D"/>
    <w:rsid w:val="004E25D4"/>
    <w:rsid w:val="004E2AEC"/>
    <w:rsid w:val="004E3AAD"/>
    <w:rsid w:val="004E73A6"/>
    <w:rsid w:val="004F1024"/>
    <w:rsid w:val="004F1E1A"/>
    <w:rsid w:val="004F3A45"/>
    <w:rsid w:val="004F4030"/>
    <w:rsid w:val="004F646F"/>
    <w:rsid w:val="005001D2"/>
    <w:rsid w:val="005009CA"/>
    <w:rsid w:val="00500E52"/>
    <w:rsid w:val="005064E8"/>
    <w:rsid w:val="00506D7B"/>
    <w:rsid w:val="00511110"/>
    <w:rsid w:val="005113A0"/>
    <w:rsid w:val="00513000"/>
    <w:rsid w:val="00513557"/>
    <w:rsid w:val="005137D7"/>
    <w:rsid w:val="005147D8"/>
    <w:rsid w:val="00516D7F"/>
    <w:rsid w:val="005200F4"/>
    <w:rsid w:val="0052112F"/>
    <w:rsid w:val="00527EDD"/>
    <w:rsid w:val="00527EE9"/>
    <w:rsid w:val="0053026B"/>
    <w:rsid w:val="00530ADB"/>
    <w:rsid w:val="00534292"/>
    <w:rsid w:val="0053517D"/>
    <w:rsid w:val="005373EA"/>
    <w:rsid w:val="00537B13"/>
    <w:rsid w:val="00537CC2"/>
    <w:rsid w:val="00540FAA"/>
    <w:rsid w:val="00542880"/>
    <w:rsid w:val="00542A77"/>
    <w:rsid w:val="005431F7"/>
    <w:rsid w:val="0054372F"/>
    <w:rsid w:val="00543FAF"/>
    <w:rsid w:val="00544EF0"/>
    <w:rsid w:val="005477F2"/>
    <w:rsid w:val="00552D9B"/>
    <w:rsid w:val="005536F5"/>
    <w:rsid w:val="00553DC5"/>
    <w:rsid w:val="00553F42"/>
    <w:rsid w:val="0055512B"/>
    <w:rsid w:val="00560E95"/>
    <w:rsid w:val="00560F8E"/>
    <w:rsid w:val="00561B03"/>
    <w:rsid w:val="00562279"/>
    <w:rsid w:val="00563BB5"/>
    <w:rsid w:val="0056428E"/>
    <w:rsid w:val="005642DD"/>
    <w:rsid w:val="005645DC"/>
    <w:rsid w:val="00564FF5"/>
    <w:rsid w:val="0057009C"/>
    <w:rsid w:val="00574331"/>
    <w:rsid w:val="005743EE"/>
    <w:rsid w:val="00575DD6"/>
    <w:rsid w:val="00577406"/>
    <w:rsid w:val="00577CC7"/>
    <w:rsid w:val="005810CF"/>
    <w:rsid w:val="005836C1"/>
    <w:rsid w:val="0058476E"/>
    <w:rsid w:val="00584F18"/>
    <w:rsid w:val="00585FFC"/>
    <w:rsid w:val="00590197"/>
    <w:rsid w:val="0059044A"/>
    <w:rsid w:val="00590D64"/>
    <w:rsid w:val="00592E36"/>
    <w:rsid w:val="00594040"/>
    <w:rsid w:val="00596556"/>
    <w:rsid w:val="00597AF4"/>
    <w:rsid w:val="005A096F"/>
    <w:rsid w:val="005A2A17"/>
    <w:rsid w:val="005A3E19"/>
    <w:rsid w:val="005B0FDB"/>
    <w:rsid w:val="005B2CF0"/>
    <w:rsid w:val="005B2ED3"/>
    <w:rsid w:val="005B3EAA"/>
    <w:rsid w:val="005B60D5"/>
    <w:rsid w:val="005B62D4"/>
    <w:rsid w:val="005B664E"/>
    <w:rsid w:val="005C0C86"/>
    <w:rsid w:val="005C0DAE"/>
    <w:rsid w:val="005C11A4"/>
    <w:rsid w:val="005C22E6"/>
    <w:rsid w:val="005C269A"/>
    <w:rsid w:val="005C3262"/>
    <w:rsid w:val="005C34A2"/>
    <w:rsid w:val="005C4B0A"/>
    <w:rsid w:val="005C652A"/>
    <w:rsid w:val="005C6E51"/>
    <w:rsid w:val="005C76AA"/>
    <w:rsid w:val="005D3876"/>
    <w:rsid w:val="005D3904"/>
    <w:rsid w:val="005E103E"/>
    <w:rsid w:val="005E10A2"/>
    <w:rsid w:val="005E4465"/>
    <w:rsid w:val="005E5369"/>
    <w:rsid w:val="005E6B5C"/>
    <w:rsid w:val="005E6E81"/>
    <w:rsid w:val="005E715B"/>
    <w:rsid w:val="005F05D0"/>
    <w:rsid w:val="005F2504"/>
    <w:rsid w:val="005F5FBB"/>
    <w:rsid w:val="005F6484"/>
    <w:rsid w:val="006006D4"/>
    <w:rsid w:val="0060330C"/>
    <w:rsid w:val="0060431A"/>
    <w:rsid w:val="006054C2"/>
    <w:rsid w:val="00605553"/>
    <w:rsid w:val="0060575A"/>
    <w:rsid w:val="006059DC"/>
    <w:rsid w:val="00605A97"/>
    <w:rsid w:val="00606CBA"/>
    <w:rsid w:val="006102C2"/>
    <w:rsid w:val="006120D4"/>
    <w:rsid w:val="0061231A"/>
    <w:rsid w:val="00612681"/>
    <w:rsid w:val="00613941"/>
    <w:rsid w:val="00615A53"/>
    <w:rsid w:val="00616C9F"/>
    <w:rsid w:val="00622610"/>
    <w:rsid w:val="00623DCB"/>
    <w:rsid w:val="0062568C"/>
    <w:rsid w:val="006256EB"/>
    <w:rsid w:val="006273CF"/>
    <w:rsid w:val="00627FC3"/>
    <w:rsid w:val="0063161D"/>
    <w:rsid w:val="00631A38"/>
    <w:rsid w:val="00633529"/>
    <w:rsid w:val="00633BB4"/>
    <w:rsid w:val="00634D6C"/>
    <w:rsid w:val="00634E33"/>
    <w:rsid w:val="00635141"/>
    <w:rsid w:val="00635B3F"/>
    <w:rsid w:val="00637E98"/>
    <w:rsid w:val="0064012C"/>
    <w:rsid w:val="00641123"/>
    <w:rsid w:val="00642455"/>
    <w:rsid w:val="00643128"/>
    <w:rsid w:val="00643927"/>
    <w:rsid w:val="00643F97"/>
    <w:rsid w:val="00643FCA"/>
    <w:rsid w:val="00645669"/>
    <w:rsid w:val="00646BC4"/>
    <w:rsid w:val="0064750A"/>
    <w:rsid w:val="00647D7D"/>
    <w:rsid w:val="00651D47"/>
    <w:rsid w:val="00652DA7"/>
    <w:rsid w:val="00653687"/>
    <w:rsid w:val="00655157"/>
    <w:rsid w:val="006562DE"/>
    <w:rsid w:val="00661E0A"/>
    <w:rsid w:val="0066437D"/>
    <w:rsid w:val="00665A34"/>
    <w:rsid w:val="00667AA6"/>
    <w:rsid w:val="0067132A"/>
    <w:rsid w:val="00673ADE"/>
    <w:rsid w:val="006843BB"/>
    <w:rsid w:val="006846BA"/>
    <w:rsid w:val="00684B3B"/>
    <w:rsid w:val="006856A4"/>
    <w:rsid w:val="006874A4"/>
    <w:rsid w:val="0068754E"/>
    <w:rsid w:val="006908F4"/>
    <w:rsid w:val="006935C1"/>
    <w:rsid w:val="006941E3"/>
    <w:rsid w:val="00694679"/>
    <w:rsid w:val="00696B24"/>
    <w:rsid w:val="00696F60"/>
    <w:rsid w:val="00697117"/>
    <w:rsid w:val="0069728E"/>
    <w:rsid w:val="006976EC"/>
    <w:rsid w:val="006A08E2"/>
    <w:rsid w:val="006A19BA"/>
    <w:rsid w:val="006A2367"/>
    <w:rsid w:val="006A2789"/>
    <w:rsid w:val="006A2923"/>
    <w:rsid w:val="006A29F0"/>
    <w:rsid w:val="006A2EF1"/>
    <w:rsid w:val="006A4B31"/>
    <w:rsid w:val="006A67BA"/>
    <w:rsid w:val="006A777C"/>
    <w:rsid w:val="006B165D"/>
    <w:rsid w:val="006B17CD"/>
    <w:rsid w:val="006B2E3C"/>
    <w:rsid w:val="006B3D92"/>
    <w:rsid w:val="006B421B"/>
    <w:rsid w:val="006B44B5"/>
    <w:rsid w:val="006B5109"/>
    <w:rsid w:val="006B6BFC"/>
    <w:rsid w:val="006B7149"/>
    <w:rsid w:val="006B7621"/>
    <w:rsid w:val="006B78E4"/>
    <w:rsid w:val="006B7A85"/>
    <w:rsid w:val="006C20DB"/>
    <w:rsid w:val="006C26D7"/>
    <w:rsid w:val="006C31A4"/>
    <w:rsid w:val="006C4EA9"/>
    <w:rsid w:val="006C5107"/>
    <w:rsid w:val="006C6D07"/>
    <w:rsid w:val="006C7344"/>
    <w:rsid w:val="006C7396"/>
    <w:rsid w:val="006D14D3"/>
    <w:rsid w:val="006D3824"/>
    <w:rsid w:val="006E24B3"/>
    <w:rsid w:val="006E30B3"/>
    <w:rsid w:val="006E46EB"/>
    <w:rsid w:val="006E5CB4"/>
    <w:rsid w:val="006E7D8D"/>
    <w:rsid w:val="006F05D4"/>
    <w:rsid w:val="006F15BD"/>
    <w:rsid w:val="006F24A4"/>
    <w:rsid w:val="006F2974"/>
    <w:rsid w:val="006F2E59"/>
    <w:rsid w:val="006F3E2E"/>
    <w:rsid w:val="006F53B9"/>
    <w:rsid w:val="007024E6"/>
    <w:rsid w:val="00703BA7"/>
    <w:rsid w:val="00704323"/>
    <w:rsid w:val="007053F1"/>
    <w:rsid w:val="007055AB"/>
    <w:rsid w:val="00706F89"/>
    <w:rsid w:val="007136E5"/>
    <w:rsid w:val="00714DBE"/>
    <w:rsid w:val="00714E4B"/>
    <w:rsid w:val="007162EA"/>
    <w:rsid w:val="00716AC4"/>
    <w:rsid w:val="007228B1"/>
    <w:rsid w:val="0072331F"/>
    <w:rsid w:val="00725C43"/>
    <w:rsid w:val="00727F62"/>
    <w:rsid w:val="007326AA"/>
    <w:rsid w:val="00732803"/>
    <w:rsid w:val="0073688F"/>
    <w:rsid w:val="00740CAA"/>
    <w:rsid w:val="007414C0"/>
    <w:rsid w:val="00743670"/>
    <w:rsid w:val="0074522C"/>
    <w:rsid w:val="00745E47"/>
    <w:rsid w:val="00745FAD"/>
    <w:rsid w:val="00747756"/>
    <w:rsid w:val="00750654"/>
    <w:rsid w:val="0075125F"/>
    <w:rsid w:val="007517B3"/>
    <w:rsid w:val="007521C3"/>
    <w:rsid w:val="00752B9D"/>
    <w:rsid w:val="00752D8E"/>
    <w:rsid w:val="00754060"/>
    <w:rsid w:val="00754ACE"/>
    <w:rsid w:val="00755465"/>
    <w:rsid w:val="00755468"/>
    <w:rsid w:val="007561D4"/>
    <w:rsid w:val="00757DC4"/>
    <w:rsid w:val="00761B9E"/>
    <w:rsid w:val="0076244F"/>
    <w:rsid w:val="00762DFB"/>
    <w:rsid w:val="0076311E"/>
    <w:rsid w:val="00765609"/>
    <w:rsid w:val="00766455"/>
    <w:rsid w:val="007719C1"/>
    <w:rsid w:val="00771ADD"/>
    <w:rsid w:val="0077211A"/>
    <w:rsid w:val="00772701"/>
    <w:rsid w:val="00773FB5"/>
    <w:rsid w:val="00774CB5"/>
    <w:rsid w:val="007750D1"/>
    <w:rsid w:val="00776D15"/>
    <w:rsid w:val="00781179"/>
    <w:rsid w:val="007813E1"/>
    <w:rsid w:val="007817C4"/>
    <w:rsid w:val="00781D5C"/>
    <w:rsid w:val="0078207C"/>
    <w:rsid w:val="00784B55"/>
    <w:rsid w:val="00785D39"/>
    <w:rsid w:val="007913AA"/>
    <w:rsid w:val="00792336"/>
    <w:rsid w:val="00794745"/>
    <w:rsid w:val="007948D4"/>
    <w:rsid w:val="00796309"/>
    <w:rsid w:val="007A03AB"/>
    <w:rsid w:val="007A1E4C"/>
    <w:rsid w:val="007A3B4E"/>
    <w:rsid w:val="007A585B"/>
    <w:rsid w:val="007A5B29"/>
    <w:rsid w:val="007A7AB7"/>
    <w:rsid w:val="007B0DBE"/>
    <w:rsid w:val="007B0F30"/>
    <w:rsid w:val="007B31F5"/>
    <w:rsid w:val="007B5BC7"/>
    <w:rsid w:val="007B759B"/>
    <w:rsid w:val="007B7FEB"/>
    <w:rsid w:val="007C1E31"/>
    <w:rsid w:val="007C3356"/>
    <w:rsid w:val="007C4EA5"/>
    <w:rsid w:val="007C5117"/>
    <w:rsid w:val="007C542A"/>
    <w:rsid w:val="007C55A4"/>
    <w:rsid w:val="007C5F95"/>
    <w:rsid w:val="007C66A5"/>
    <w:rsid w:val="007C7418"/>
    <w:rsid w:val="007D0BF0"/>
    <w:rsid w:val="007D0D17"/>
    <w:rsid w:val="007D138D"/>
    <w:rsid w:val="007D5E35"/>
    <w:rsid w:val="007D6292"/>
    <w:rsid w:val="007E017B"/>
    <w:rsid w:val="007E40A4"/>
    <w:rsid w:val="007E7C69"/>
    <w:rsid w:val="007F4552"/>
    <w:rsid w:val="007F458D"/>
    <w:rsid w:val="0080199A"/>
    <w:rsid w:val="008034CE"/>
    <w:rsid w:val="00803D4B"/>
    <w:rsid w:val="008042F3"/>
    <w:rsid w:val="008053CB"/>
    <w:rsid w:val="00806DA2"/>
    <w:rsid w:val="00807387"/>
    <w:rsid w:val="00807CE9"/>
    <w:rsid w:val="00810820"/>
    <w:rsid w:val="00811F22"/>
    <w:rsid w:val="00812EC2"/>
    <w:rsid w:val="00814606"/>
    <w:rsid w:val="00814DFD"/>
    <w:rsid w:val="00820091"/>
    <w:rsid w:val="00820C02"/>
    <w:rsid w:val="008232B7"/>
    <w:rsid w:val="008235F9"/>
    <w:rsid w:val="00826265"/>
    <w:rsid w:val="00826DA8"/>
    <w:rsid w:val="00826F20"/>
    <w:rsid w:val="00826FF2"/>
    <w:rsid w:val="00831566"/>
    <w:rsid w:val="00831A14"/>
    <w:rsid w:val="00832373"/>
    <w:rsid w:val="00832B7D"/>
    <w:rsid w:val="00833D9C"/>
    <w:rsid w:val="00834604"/>
    <w:rsid w:val="00834D31"/>
    <w:rsid w:val="00834DF7"/>
    <w:rsid w:val="00835AD1"/>
    <w:rsid w:val="00841354"/>
    <w:rsid w:val="00841ADE"/>
    <w:rsid w:val="00844B51"/>
    <w:rsid w:val="008506B4"/>
    <w:rsid w:val="00850AB1"/>
    <w:rsid w:val="00853914"/>
    <w:rsid w:val="00857E94"/>
    <w:rsid w:val="00861399"/>
    <w:rsid w:val="008618C5"/>
    <w:rsid w:val="00861C72"/>
    <w:rsid w:val="00863125"/>
    <w:rsid w:val="0086656B"/>
    <w:rsid w:val="0086694E"/>
    <w:rsid w:val="008704C8"/>
    <w:rsid w:val="00871912"/>
    <w:rsid w:val="008724A1"/>
    <w:rsid w:val="00872522"/>
    <w:rsid w:val="00872F97"/>
    <w:rsid w:val="0087383E"/>
    <w:rsid w:val="00877858"/>
    <w:rsid w:val="0088126E"/>
    <w:rsid w:val="00881798"/>
    <w:rsid w:val="00881A60"/>
    <w:rsid w:val="00882591"/>
    <w:rsid w:val="0088350C"/>
    <w:rsid w:val="00885376"/>
    <w:rsid w:val="00885A96"/>
    <w:rsid w:val="0088730C"/>
    <w:rsid w:val="008876BF"/>
    <w:rsid w:val="00890D27"/>
    <w:rsid w:val="008960CE"/>
    <w:rsid w:val="0089642A"/>
    <w:rsid w:val="008A0B50"/>
    <w:rsid w:val="008A2D27"/>
    <w:rsid w:val="008A31A7"/>
    <w:rsid w:val="008A730E"/>
    <w:rsid w:val="008A7910"/>
    <w:rsid w:val="008A7B94"/>
    <w:rsid w:val="008B07C2"/>
    <w:rsid w:val="008B46D1"/>
    <w:rsid w:val="008B5028"/>
    <w:rsid w:val="008B70B1"/>
    <w:rsid w:val="008B77EA"/>
    <w:rsid w:val="008C049E"/>
    <w:rsid w:val="008C0981"/>
    <w:rsid w:val="008C1699"/>
    <w:rsid w:val="008C3DB3"/>
    <w:rsid w:val="008C4753"/>
    <w:rsid w:val="008C50D7"/>
    <w:rsid w:val="008C6ADC"/>
    <w:rsid w:val="008D1162"/>
    <w:rsid w:val="008D1704"/>
    <w:rsid w:val="008D2A86"/>
    <w:rsid w:val="008D3436"/>
    <w:rsid w:val="008D3E73"/>
    <w:rsid w:val="008D435D"/>
    <w:rsid w:val="008D5822"/>
    <w:rsid w:val="008E3207"/>
    <w:rsid w:val="008E34B5"/>
    <w:rsid w:val="008E3EC7"/>
    <w:rsid w:val="008E4FF4"/>
    <w:rsid w:val="008E5A03"/>
    <w:rsid w:val="008E77EB"/>
    <w:rsid w:val="008E7A72"/>
    <w:rsid w:val="008F04FA"/>
    <w:rsid w:val="008F0929"/>
    <w:rsid w:val="008F0991"/>
    <w:rsid w:val="008F0A10"/>
    <w:rsid w:val="008F0FD5"/>
    <w:rsid w:val="008F1582"/>
    <w:rsid w:val="008F54E1"/>
    <w:rsid w:val="008F55FE"/>
    <w:rsid w:val="008F5D54"/>
    <w:rsid w:val="008F7158"/>
    <w:rsid w:val="008F7981"/>
    <w:rsid w:val="0090472C"/>
    <w:rsid w:val="00905E9B"/>
    <w:rsid w:val="00907BC3"/>
    <w:rsid w:val="00910362"/>
    <w:rsid w:val="009115E5"/>
    <w:rsid w:val="00911928"/>
    <w:rsid w:val="0091291C"/>
    <w:rsid w:val="009139B5"/>
    <w:rsid w:val="00920A51"/>
    <w:rsid w:val="00920BAC"/>
    <w:rsid w:val="00921CE5"/>
    <w:rsid w:val="00923A03"/>
    <w:rsid w:val="00923BAA"/>
    <w:rsid w:val="00926CE5"/>
    <w:rsid w:val="00927590"/>
    <w:rsid w:val="00930CA5"/>
    <w:rsid w:val="009312AC"/>
    <w:rsid w:val="00931495"/>
    <w:rsid w:val="00933A84"/>
    <w:rsid w:val="00933B61"/>
    <w:rsid w:val="00934001"/>
    <w:rsid w:val="00935E33"/>
    <w:rsid w:val="00936A58"/>
    <w:rsid w:val="0093732D"/>
    <w:rsid w:val="009413A8"/>
    <w:rsid w:val="00941C34"/>
    <w:rsid w:val="00942D3B"/>
    <w:rsid w:val="009440A7"/>
    <w:rsid w:val="00945882"/>
    <w:rsid w:val="009509FD"/>
    <w:rsid w:val="00951DD0"/>
    <w:rsid w:val="00953D5A"/>
    <w:rsid w:val="00953F8E"/>
    <w:rsid w:val="00954A12"/>
    <w:rsid w:val="0095771A"/>
    <w:rsid w:val="00960BE2"/>
    <w:rsid w:val="00960E89"/>
    <w:rsid w:val="00964464"/>
    <w:rsid w:val="00964491"/>
    <w:rsid w:val="009704EF"/>
    <w:rsid w:val="009748F9"/>
    <w:rsid w:val="00975FCA"/>
    <w:rsid w:val="0097609F"/>
    <w:rsid w:val="00976999"/>
    <w:rsid w:val="00976B43"/>
    <w:rsid w:val="00976C78"/>
    <w:rsid w:val="009804CC"/>
    <w:rsid w:val="00981DAC"/>
    <w:rsid w:val="00981E48"/>
    <w:rsid w:val="00983569"/>
    <w:rsid w:val="00984611"/>
    <w:rsid w:val="00985214"/>
    <w:rsid w:val="00986583"/>
    <w:rsid w:val="00987F84"/>
    <w:rsid w:val="009911D1"/>
    <w:rsid w:val="00991AF4"/>
    <w:rsid w:val="0099281F"/>
    <w:rsid w:val="00992ACA"/>
    <w:rsid w:val="00994215"/>
    <w:rsid w:val="0099485D"/>
    <w:rsid w:val="00994B77"/>
    <w:rsid w:val="00996AC5"/>
    <w:rsid w:val="00996BCF"/>
    <w:rsid w:val="00996C5F"/>
    <w:rsid w:val="00996DD6"/>
    <w:rsid w:val="009972EE"/>
    <w:rsid w:val="009A0D3D"/>
    <w:rsid w:val="009A24E9"/>
    <w:rsid w:val="009A430F"/>
    <w:rsid w:val="009A5782"/>
    <w:rsid w:val="009A5789"/>
    <w:rsid w:val="009A6EA9"/>
    <w:rsid w:val="009A7B0C"/>
    <w:rsid w:val="009B0129"/>
    <w:rsid w:val="009B0708"/>
    <w:rsid w:val="009B097E"/>
    <w:rsid w:val="009B163D"/>
    <w:rsid w:val="009B1C6A"/>
    <w:rsid w:val="009B2F1B"/>
    <w:rsid w:val="009B3468"/>
    <w:rsid w:val="009B4C8D"/>
    <w:rsid w:val="009B5B5B"/>
    <w:rsid w:val="009B5D7F"/>
    <w:rsid w:val="009B64AA"/>
    <w:rsid w:val="009B73F7"/>
    <w:rsid w:val="009C0D17"/>
    <w:rsid w:val="009C19DA"/>
    <w:rsid w:val="009C23E7"/>
    <w:rsid w:val="009C2F88"/>
    <w:rsid w:val="009C423A"/>
    <w:rsid w:val="009C594C"/>
    <w:rsid w:val="009C5E6B"/>
    <w:rsid w:val="009C6E35"/>
    <w:rsid w:val="009C7573"/>
    <w:rsid w:val="009D1B59"/>
    <w:rsid w:val="009D2B26"/>
    <w:rsid w:val="009D2B6A"/>
    <w:rsid w:val="009D48D2"/>
    <w:rsid w:val="009D60C8"/>
    <w:rsid w:val="009D724D"/>
    <w:rsid w:val="009E0DB1"/>
    <w:rsid w:val="009E0E2F"/>
    <w:rsid w:val="009E101F"/>
    <w:rsid w:val="009E110B"/>
    <w:rsid w:val="009E14D7"/>
    <w:rsid w:val="009E1B54"/>
    <w:rsid w:val="009E247C"/>
    <w:rsid w:val="009E2CCC"/>
    <w:rsid w:val="009E3915"/>
    <w:rsid w:val="009E4963"/>
    <w:rsid w:val="009E5B29"/>
    <w:rsid w:val="009E6647"/>
    <w:rsid w:val="009E6D54"/>
    <w:rsid w:val="009F0FA3"/>
    <w:rsid w:val="009F3FB3"/>
    <w:rsid w:val="009F5BD4"/>
    <w:rsid w:val="009F5C1B"/>
    <w:rsid w:val="00A0085E"/>
    <w:rsid w:val="00A00A5D"/>
    <w:rsid w:val="00A015C8"/>
    <w:rsid w:val="00A028DA"/>
    <w:rsid w:val="00A0358D"/>
    <w:rsid w:val="00A04714"/>
    <w:rsid w:val="00A05E1F"/>
    <w:rsid w:val="00A06507"/>
    <w:rsid w:val="00A070BC"/>
    <w:rsid w:val="00A07739"/>
    <w:rsid w:val="00A112B2"/>
    <w:rsid w:val="00A1300C"/>
    <w:rsid w:val="00A149D1"/>
    <w:rsid w:val="00A14A2E"/>
    <w:rsid w:val="00A17BBC"/>
    <w:rsid w:val="00A17F6D"/>
    <w:rsid w:val="00A214E8"/>
    <w:rsid w:val="00A215F7"/>
    <w:rsid w:val="00A21BF0"/>
    <w:rsid w:val="00A22A03"/>
    <w:rsid w:val="00A22F4D"/>
    <w:rsid w:val="00A24A1B"/>
    <w:rsid w:val="00A270E8"/>
    <w:rsid w:val="00A27959"/>
    <w:rsid w:val="00A30B13"/>
    <w:rsid w:val="00A30E2F"/>
    <w:rsid w:val="00A310F0"/>
    <w:rsid w:val="00A314BE"/>
    <w:rsid w:val="00A422D8"/>
    <w:rsid w:val="00A454CF"/>
    <w:rsid w:val="00A46CA2"/>
    <w:rsid w:val="00A505A6"/>
    <w:rsid w:val="00A50B6F"/>
    <w:rsid w:val="00A514BB"/>
    <w:rsid w:val="00A51B6C"/>
    <w:rsid w:val="00A52ADF"/>
    <w:rsid w:val="00A53CE8"/>
    <w:rsid w:val="00A54C50"/>
    <w:rsid w:val="00A56559"/>
    <w:rsid w:val="00A566EC"/>
    <w:rsid w:val="00A56AA7"/>
    <w:rsid w:val="00A5757C"/>
    <w:rsid w:val="00A57A74"/>
    <w:rsid w:val="00A6115B"/>
    <w:rsid w:val="00A6201C"/>
    <w:rsid w:val="00A64613"/>
    <w:rsid w:val="00A65E0D"/>
    <w:rsid w:val="00A6685A"/>
    <w:rsid w:val="00A70357"/>
    <w:rsid w:val="00A71600"/>
    <w:rsid w:val="00A7163B"/>
    <w:rsid w:val="00A72531"/>
    <w:rsid w:val="00A74E5F"/>
    <w:rsid w:val="00A75048"/>
    <w:rsid w:val="00A7506A"/>
    <w:rsid w:val="00A7799B"/>
    <w:rsid w:val="00A86A0C"/>
    <w:rsid w:val="00A86E7C"/>
    <w:rsid w:val="00A86F0C"/>
    <w:rsid w:val="00A87591"/>
    <w:rsid w:val="00A91714"/>
    <w:rsid w:val="00AA06F0"/>
    <w:rsid w:val="00AA2997"/>
    <w:rsid w:val="00AA4127"/>
    <w:rsid w:val="00AA57D2"/>
    <w:rsid w:val="00AA636C"/>
    <w:rsid w:val="00AA70A4"/>
    <w:rsid w:val="00AB1230"/>
    <w:rsid w:val="00AB474C"/>
    <w:rsid w:val="00AB5E74"/>
    <w:rsid w:val="00AB60D0"/>
    <w:rsid w:val="00AB76F7"/>
    <w:rsid w:val="00AC163C"/>
    <w:rsid w:val="00AC26DF"/>
    <w:rsid w:val="00AC3A67"/>
    <w:rsid w:val="00AC3DE8"/>
    <w:rsid w:val="00AC4AAD"/>
    <w:rsid w:val="00AC4D15"/>
    <w:rsid w:val="00AC7ABB"/>
    <w:rsid w:val="00AD0886"/>
    <w:rsid w:val="00AD22E4"/>
    <w:rsid w:val="00AD27CB"/>
    <w:rsid w:val="00AD400C"/>
    <w:rsid w:val="00AD43D2"/>
    <w:rsid w:val="00AD69BC"/>
    <w:rsid w:val="00AD76CF"/>
    <w:rsid w:val="00AD7838"/>
    <w:rsid w:val="00AE0798"/>
    <w:rsid w:val="00AE1B24"/>
    <w:rsid w:val="00AE298D"/>
    <w:rsid w:val="00AE33F9"/>
    <w:rsid w:val="00AE42CA"/>
    <w:rsid w:val="00AE471C"/>
    <w:rsid w:val="00AE63A6"/>
    <w:rsid w:val="00AE78EA"/>
    <w:rsid w:val="00AF00BB"/>
    <w:rsid w:val="00AF02C5"/>
    <w:rsid w:val="00AF0718"/>
    <w:rsid w:val="00AF07FE"/>
    <w:rsid w:val="00AF2EE1"/>
    <w:rsid w:val="00AF30AD"/>
    <w:rsid w:val="00AF37DF"/>
    <w:rsid w:val="00AF6932"/>
    <w:rsid w:val="00B01C8A"/>
    <w:rsid w:val="00B01D16"/>
    <w:rsid w:val="00B01FC4"/>
    <w:rsid w:val="00B02375"/>
    <w:rsid w:val="00B02726"/>
    <w:rsid w:val="00B0474A"/>
    <w:rsid w:val="00B04A89"/>
    <w:rsid w:val="00B04C6C"/>
    <w:rsid w:val="00B0504F"/>
    <w:rsid w:val="00B06515"/>
    <w:rsid w:val="00B06977"/>
    <w:rsid w:val="00B06AFA"/>
    <w:rsid w:val="00B06BAE"/>
    <w:rsid w:val="00B07207"/>
    <w:rsid w:val="00B076D7"/>
    <w:rsid w:val="00B07E4C"/>
    <w:rsid w:val="00B1174F"/>
    <w:rsid w:val="00B12846"/>
    <w:rsid w:val="00B134B9"/>
    <w:rsid w:val="00B14BF6"/>
    <w:rsid w:val="00B1511E"/>
    <w:rsid w:val="00B17169"/>
    <w:rsid w:val="00B2011F"/>
    <w:rsid w:val="00B21BB6"/>
    <w:rsid w:val="00B25826"/>
    <w:rsid w:val="00B26EFB"/>
    <w:rsid w:val="00B27E7E"/>
    <w:rsid w:val="00B30A18"/>
    <w:rsid w:val="00B3182C"/>
    <w:rsid w:val="00B3402D"/>
    <w:rsid w:val="00B40A76"/>
    <w:rsid w:val="00B40EA9"/>
    <w:rsid w:val="00B41C51"/>
    <w:rsid w:val="00B43093"/>
    <w:rsid w:val="00B430A1"/>
    <w:rsid w:val="00B43880"/>
    <w:rsid w:val="00B440D7"/>
    <w:rsid w:val="00B445AE"/>
    <w:rsid w:val="00B4473B"/>
    <w:rsid w:val="00B44CC0"/>
    <w:rsid w:val="00B45307"/>
    <w:rsid w:val="00B45965"/>
    <w:rsid w:val="00B465A2"/>
    <w:rsid w:val="00B51F80"/>
    <w:rsid w:val="00B5494A"/>
    <w:rsid w:val="00B55417"/>
    <w:rsid w:val="00B5541D"/>
    <w:rsid w:val="00B55ECA"/>
    <w:rsid w:val="00B603BD"/>
    <w:rsid w:val="00B61983"/>
    <w:rsid w:val="00B62D6B"/>
    <w:rsid w:val="00B6318B"/>
    <w:rsid w:val="00B63E39"/>
    <w:rsid w:val="00B65461"/>
    <w:rsid w:val="00B654E3"/>
    <w:rsid w:val="00B7000D"/>
    <w:rsid w:val="00B7154A"/>
    <w:rsid w:val="00B72C94"/>
    <w:rsid w:val="00B734B9"/>
    <w:rsid w:val="00B7516A"/>
    <w:rsid w:val="00B7584B"/>
    <w:rsid w:val="00B75EB4"/>
    <w:rsid w:val="00B803BF"/>
    <w:rsid w:val="00B80995"/>
    <w:rsid w:val="00B80F37"/>
    <w:rsid w:val="00B81659"/>
    <w:rsid w:val="00B85394"/>
    <w:rsid w:val="00B85A40"/>
    <w:rsid w:val="00B90EA0"/>
    <w:rsid w:val="00B91162"/>
    <w:rsid w:val="00B91545"/>
    <w:rsid w:val="00B91D33"/>
    <w:rsid w:val="00B9257E"/>
    <w:rsid w:val="00B93553"/>
    <w:rsid w:val="00B9445F"/>
    <w:rsid w:val="00BA0253"/>
    <w:rsid w:val="00BA2A8B"/>
    <w:rsid w:val="00BA3A5A"/>
    <w:rsid w:val="00BA4988"/>
    <w:rsid w:val="00BA60A6"/>
    <w:rsid w:val="00BA72BF"/>
    <w:rsid w:val="00BB25EF"/>
    <w:rsid w:val="00BB2B8A"/>
    <w:rsid w:val="00BB2F36"/>
    <w:rsid w:val="00BB4161"/>
    <w:rsid w:val="00BB55C4"/>
    <w:rsid w:val="00BB6714"/>
    <w:rsid w:val="00BB6BFD"/>
    <w:rsid w:val="00BB7F83"/>
    <w:rsid w:val="00BC027A"/>
    <w:rsid w:val="00BC0710"/>
    <w:rsid w:val="00BC0D6A"/>
    <w:rsid w:val="00BC2C46"/>
    <w:rsid w:val="00BC4C58"/>
    <w:rsid w:val="00BC7822"/>
    <w:rsid w:val="00BD1346"/>
    <w:rsid w:val="00BD2534"/>
    <w:rsid w:val="00BD6CA6"/>
    <w:rsid w:val="00BD6E9A"/>
    <w:rsid w:val="00BD7646"/>
    <w:rsid w:val="00BE0E5C"/>
    <w:rsid w:val="00BE123E"/>
    <w:rsid w:val="00BE168E"/>
    <w:rsid w:val="00BE55C5"/>
    <w:rsid w:val="00BE7BB7"/>
    <w:rsid w:val="00BF0ED2"/>
    <w:rsid w:val="00BF1DC1"/>
    <w:rsid w:val="00BF2643"/>
    <w:rsid w:val="00BF52A4"/>
    <w:rsid w:val="00BF58DB"/>
    <w:rsid w:val="00BF70C0"/>
    <w:rsid w:val="00BF73B6"/>
    <w:rsid w:val="00BF7AC1"/>
    <w:rsid w:val="00C041A3"/>
    <w:rsid w:val="00C04A23"/>
    <w:rsid w:val="00C055A9"/>
    <w:rsid w:val="00C07718"/>
    <w:rsid w:val="00C101BA"/>
    <w:rsid w:val="00C1038A"/>
    <w:rsid w:val="00C1071F"/>
    <w:rsid w:val="00C11CD4"/>
    <w:rsid w:val="00C11D27"/>
    <w:rsid w:val="00C123FF"/>
    <w:rsid w:val="00C129B5"/>
    <w:rsid w:val="00C13499"/>
    <w:rsid w:val="00C147AD"/>
    <w:rsid w:val="00C15155"/>
    <w:rsid w:val="00C20315"/>
    <w:rsid w:val="00C2170D"/>
    <w:rsid w:val="00C21991"/>
    <w:rsid w:val="00C2265B"/>
    <w:rsid w:val="00C24725"/>
    <w:rsid w:val="00C247A6"/>
    <w:rsid w:val="00C2538D"/>
    <w:rsid w:val="00C25B34"/>
    <w:rsid w:val="00C25D57"/>
    <w:rsid w:val="00C277CF"/>
    <w:rsid w:val="00C3142C"/>
    <w:rsid w:val="00C31944"/>
    <w:rsid w:val="00C369E4"/>
    <w:rsid w:val="00C409A5"/>
    <w:rsid w:val="00C40EA7"/>
    <w:rsid w:val="00C40FC4"/>
    <w:rsid w:val="00C42136"/>
    <w:rsid w:val="00C42404"/>
    <w:rsid w:val="00C45ED2"/>
    <w:rsid w:val="00C4745A"/>
    <w:rsid w:val="00C4787B"/>
    <w:rsid w:val="00C51E87"/>
    <w:rsid w:val="00C52506"/>
    <w:rsid w:val="00C53CE3"/>
    <w:rsid w:val="00C550A2"/>
    <w:rsid w:val="00C56469"/>
    <w:rsid w:val="00C60C6D"/>
    <w:rsid w:val="00C62877"/>
    <w:rsid w:val="00C62D4B"/>
    <w:rsid w:val="00C62E72"/>
    <w:rsid w:val="00C64441"/>
    <w:rsid w:val="00C64C09"/>
    <w:rsid w:val="00C67B11"/>
    <w:rsid w:val="00C70F53"/>
    <w:rsid w:val="00C71064"/>
    <w:rsid w:val="00C71DF6"/>
    <w:rsid w:val="00C722B6"/>
    <w:rsid w:val="00C755B1"/>
    <w:rsid w:val="00C75C3C"/>
    <w:rsid w:val="00C76FF6"/>
    <w:rsid w:val="00C8038E"/>
    <w:rsid w:val="00C82BA9"/>
    <w:rsid w:val="00C91DE9"/>
    <w:rsid w:val="00C91F12"/>
    <w:rsid w:val="00C9206F"/>
    <w:rsid w:val="00C92EC3"/>
    <w:rsid w:val="00C931C3"/>
    <w:rsid w:val="00C95A63"/>
    <w:rsid w:val="00CA11B0"/>
    <w:rsid w:val="00CA15E0"/>
    <w:rsid w:val="00CA31C0"/>
    <w:rsid w:val="00CA3C40"/>
    <w:rsid w:val="00CA4004"/>
    <w:rsid w:val="00CA50D9"/>
    <w:rsid w:val="00CA57A5"/>
    <w:rsid w:val="00CB024E"/>
    <w:rsid w:val="00CB08D8"/>
    <w:rsid w:val="00CB16E6"/>
    <w:rsid w:val="00CB2751"/>
    <w:rsid w:val="00CB29C4"/>
    <w:rsid w:val="00CB3CF6"/>
    <w:rsid w:val="00CB3D94"/>
    <w:rsid w:val="00CB464D"/>
    <w:rsid w:val="00CB49D6"/>
    <w:rsid w:val="00CB4D31"/>
    <w:rsid w:val="00CB5121"/>
    <w:rsid w:val="00CB5436"/>
    <w:rsid w:val="00CB67F3"/>
    <w:rsid w:val="00CB79FE"/>
    <w:rsid w:val="00CC0121"/>
    <w:rsid w:val="00CC740F"/>
    <w:rsid w:val="00CC757F"/>
    <w:rsid w:val="00CC7BEE"/>
    <w:rsid w:val="00CD439E"/>
    <w:rsid w:val="00CD540D"/>
    <w:rsid w:val="00CD5D5C"/>
    <w:rsid w:val="00CE1147"/>
    <w:rsid w:val="00CE2BA7"/>
    <w:rsid w:val="00CE4D6A"/>
    <w:rsid w:val="00CE6394"/>
    <w:rsid w:val="00CE7343"/>
    <w:rsid w:val="00CF2087"/>
    <w:rsid w:val="00CF3EC2"/>
    <w:rsid w:val="00D0015F"/>
    <w:rsid w:val="00D0058C"/>
    <w:rsid w:val="00D01165"/>
    <w:rsid w:val="00D070F4"/>
    <w:rsid w:val="00D076C3"/>
    <w:rsid w:val="00D11734"/>
    <w:rsid w:val="00D1288F"/>
    <w:rsid w:val="00D144B8"/>
    <w:rsid w:val="00D15B33"/>
    <w:rsid w:val="00D15B88"/>
    <w:rsid w:val="00D15F0D"/>
    <w:rsid w:val="00D17E9C"/>
    <w:rsid w:val="00D2020A"/>
    <w:rsid w:val="00D205DE"/>
    <w:rsid w:val="00D211BF"/>
    <w:rsid w:val="00D23AF7"/>
    <w:rsid w:val="00D30586"/>
    <w:rsid w:val="00D31211"/>
    <w:rsid w:val="00D33070"/>
    <w:rsid w:val="00D33CFD"/>
    <w:rsid w:val="00D36331"/>
    <w:rsid w:val="00D363C2"/>
    <w:rsid w:val="00D363E9"/>
    <w:rsid w:val="00D37596"/>
    <w:rsid w:val="00D37753"/>
    <w:rsid w:val="00D427CB"/>
    <w:rsid w:val="00D428E3"/>
    <w:rsid w:val="00D429DF"/>
    <w:rsid w:val="00D42DDE"/>
    <w:rsid w:val="00D46677"/>
    <w:rsid w:val="00D4764A"/>
    <w:rsid w:val="00D50BFA"/>
    <w:rsid w:val="00D51DEC"/>
    <w:rsid w:val="00D52847"/>
    <w:rsid w:val="00D552C4"/>
    <w:rsid w:val="00D55330"/>
    <w:rsid w:val="00D55E1F"/>
    <w:rsid w:val="00D55F0C"/>
    <w:rsid w:val="00D62F91"/>
    <w:rsid w:val="00D64655"/>
    <w:rsid w:val="00D6518F"/>
    <w:rsid w:val="00D65E0A"/>
    <w:rsid w:val="00D66419"/>
    <w:rsid w:val="00D71CFA"/>
    <w:rsid w:val="00D750FE"/>
    <w:rsid w:val="00D7554B"/>
    <w:rsid w:val="00D75573"/>
    <w:rsid w:val="00D76367"/>
    <w:rsid w:val="00D773F0"/>
    <w:rsid w:val="00D809B7"/>
    <w:rsid w:val="00D814C2"/>
    <w:rsid w:val="00D81504"/>
    <w:rsid w:val="00D831E5"/>
    <w:rsid w:val="00D84685"/>
    <w:rsid w:val="00D84750"/>
    <w:rsid w:val="00D87321"/>
    <w:rsid w:val="00D9051B"/>
    <w:rsid w:val="00D925D5"/>
    <w:rsid w:val="00D95040"/>
    <w:rsid w:val="00D954B1"/>
    <w:rsid w:val="00D972E5"/>
    <w:rsid w:val="00D9761D"/>
    <w:rsid w:val="00DA595A"/>
    <w:rsid w:val="00DA70FE"/>
    <w:rsid w:val="00DA7186"/>
    <w:rsid w:val="00DA7558"/>
    <w:rsid w:val="00DA758A"/>
    <w:rsid w:val="00DB1038"/>
    <w:rsid w:val="00DB1BB3"/>
    <w:rsid w:val="00DB1FC5"/>
    <w:rsid w:val="00DB275A"/>
    <w:rsid w:val="00DB3CAC"/>
    <w:rsid w:val="00DB4864"/>
    <w:rsid w:val="00DB51E0"/>
    <w:rsid w:val="00DB5E04"/>
    <w:rsid w:val="00DB6762"/>
    <w:rsid w:val="00DC096C"/>
    <w:rsid w:val="00DC0E07"/>
    <w:rsid w:val="00DC397D"/>
    <w:rsid w:val="00DC4E09"/>
    <w:rsid w:val="00DC50A1"/>
    <w:rsid w:val="00DD0225"/>
    <w:rsid w:val="00DD07C9"/>
    <w:rsid w:val="00DD2D40"/>
    <w:rsid w:val="00DD302A"/>
    <w:rsid w:val="00DD34C9"/>
    <w:rsid w:val="00DD4FE0"/>
    <w:rsid w:val="00DD64AD"/>
    <w:rsid w:val="00DD6897"/>
    <w:rsid w:val="00DD6AFF"/>
    <w:rsid w:val="00DD6D45"/>
    <w:rsid w:val="00DE0EEE"/>
    <w:rsid w:val="00DE33D0"/>
    <w:rsid w:val="00DE38D6"/>
    <w:rsid w:val="00DE3B1C"/>
    <w:rsid w:val="00DE659B"/>
    <w:rsid w:val="00DE6E33"/>
    <w:rsid w:val="00DE7664"/>
    <w:rsid w:val="00DF00CA"/>
    <w:rsid w:val="00DF0843"/>
    <w:rsid w:val="00DF0A25"/>
    <w:rsid w:val="00DF1AD3"/>
    <w:rsid w:val="00DF39E7"/>
    <w:rsid w:val="00DF3EE3"/>
    <w:rsid w:val="00DF4039"/>
    <w:rsid w:val="00DF44EE"/>
    <w:rsid w:val="00DF46BD"/>
    <w:rsid w:val="00DF4C69"/>
    <w:rsid w:val="00DF4D40"/>
    <w:rsid w:val="00E00739"/>
    <w:rsid w:val="00E011DA"/>
    <w:rsid w:val="00E0146C"/>
    <w:rsid w:val="00E01D6B"/>
    <w:rsid w:val="00E02E6F"/>
    <w:rsid w:val="00E02F42"/>
    <w:rsid w:val="00E0364F"/>
    <w:rsid w:val="00E0502E"/>
    <w:rsid w:val="00E05C45"/>
    <w:rsid w:val="00E070F4"/>
    <w:rsid w:val="00E07A37"/>
    <w:rsid w:val="00E10273"/>
    <w:rsid w:val="00E13AF5"/>
    <w:rsid w:val="00E13E6E"/>
    <w:rsid w:val="00E14583"/>
    <w:rsid w:val="00E16DE6"/>
    <w:rsid w:val="00E16EDD"/>
    <w:rsid w:val="00E173B7"/>
    <w:rsid w:val="00E17F22"/>
    <w:rsid w:val="00E20831"/>
    <w:rsid w:val="00E21205"/>
    <w:rsid w:val="00E214E9"/>
    <w:rsid w:val="00E23DA3"/>
    <w:rsid w:val="00E31839"/>
    <w:rsid w:val="00E31CA4"/>
    <w:rsid w:val="00E32CA3"/>
    <w:rsid w:val="00E32D8C"/>
    <w:rsid w:val="00E32EB6"/>
    <w:rsid w:val="00E34821"/>
    <w:rsid w:val="00E350FE"/>
    <w:rsid w:val="00E36926"/>
    <w:rsid w:val="00E44973"/>
    <w:rsid w:val="00E4531A"/>
    <w:rsid w:val="00E475D3"/>
    <w:rsid w:val="00E47B5B"/>
    <w:rsid w:val="00E50E55"/>
    <w:rsid w:val="00E51F68"/>
    <w:rsid w:val="00E5214C"/>
    <w:rsid w:val="00E5355C"/>
    <w:rsid w:val="00E53B49"/>
    <w:rsid w:val="00E53DE1"/>
    <w:rsid w:val="00E54475"/>
    <w:rsid w:val="00E550F2"/>
    <w:rsid w:val="00E575FA"/>
    <w:rsid w:val="00E601B0"/>
    <w:rsid w:val="00E61AA4"/>
    <w:rsid w:val="00E62B58"/>
    <w:rsid w:val="00E6328C"/>
    <w:rsid w:val="00E63F79"/>
    <w:rsid w:val="00E6420E"/>
    <w:rsid w:val="00E64294"/>
    <w:rsid w:val="00E655FF"/>
    <w:rsid w:val="00E67747"/>
    <w:rsid w:val="00E70FE6"/>
    <w:rsid w:val="00E71109"/>
    <w:rsid w:val="00E713F5"/>
    <w:rsid w:val="00E72B98"/>
    <w:rsid w:val="00E73495"/>
    <w:rsid w:val="00E74373"/>
    <w:rsid w:val="00E75225"/>
    <w:rsid w:val="00E75517"/>
    <w:rsid w:val="00E825C5"/>
    <w:rsid w:val="00E82962"/>
    <w:rsid w:val="00E82F54"/>
    <w:rsid w:val="00E83993"/>
    <w:rsid w:val="00E8417B"/>
    <w:rsid w:val="00E85298"/>
    <w:rsid w:val="00E87571"/>
    <w:rsid w:val="00E9014E"/>
    <w:rsid w:val="00E904C3"/>
    <w:rsid w:val="00E93E08"/>
    <w:rsid w:val="00E977B4"/>
    <w:rsid w:val="00E97EB3"/>
    <w:rsid w:val="00EA0507"/>
    <w:rsid w:val="00EA10AB"/>
    <w:rsid w:val="00EA20B2"/>
    <w:rsid w:val="00EA4491"/>
    <w:rsid w:val="00EA5177"/>
    <w:rsid w:val="00EA580D"/>
    <w:rsid w:val="00EA77E1"/>
    <w:rsid w:val="00EB048A"/>
    <w:rsid w:val="00EB148B"/>
    <w:rsid w:val="00EB22E9"/>
    <w:rsid w:val="00EB3C17"/>
    <w:rsid w:val="00EB4F32"/>
    <w:rsid w:val="00EC0486"/>
    <w:rsid w:val="00EC2525"/>
    <w:rsid w:val="00EC2EBA"/>
    <w:rsid w:val="00EC64D7"/>
    <w:rsid w:val="00ED1A56"/>
    <w:rsid w:val="00ED59E0"/>
    <w:rsid w:val="00ED6F79"/>
    <w:rsid w:val="00ED7806"/>
    <w:rsid w:val="00EE0578"/>
    <w:rsid w:val="00EE12A9"/>
    <w:rsid w:val="00EE5E42"/>
    <w:rsid w:val="00EE6EE0"/>
    <w:rsid w:val="00EE76E6"/>
    <w:rsid w:val="00EE7DB5"/>
    <w:rsid w:val="00EE7DB7"/>
    <w:rsid w:val="00EF010F"/>
    <w:rsid w:val="00EF0952"/>
    <w:rsid w:val="00EF0A73"/>
    <w:rsid w:val="00EF2180"/>
    <w:rsid w:val="00EF27D7"/>
    <w:rsid w:val="00EF4A75"/>
    <w:rsid w:val="00EF6841"/>
    <w:rsid w:val="00F004E6"/>
    <w:rsid w:val="00F00ED6"/>
    <w:rsid w:val="00F01035"/>
    <w:rsid w:val="00F02709"/>
    <w:rsid w:val="00F03CDB"/>
    <w:rsid w:val="00F0408B"/>
    <w:rsid w:val="00F04163"/>
    <w:rsid w:val="00F041C9"/>
    <w:rsid w:val="00F053C9"/>
    <w:rsid w:val="00F06479"/>
    <w:rsid w:val="00F1414F"/>
    <w:rsid w:val="00F14D16"/>
    <w:rsid w:val="00F15412"/>
    <w:rsid w:val="00F16278"/>
    <w:rsid w:val="00F16FCE"/>
    <w:rsid w:val="00F17BDD"/>
    <w:rsid w:val="00F22918"/>
    <w:rsid w:val="00F24686"/>
    <w:rsid w:val="00F273CB"/>
    <w:rsid w:val="00F317A0"/>
    <w:rsid w:val="00F31B10"/>
    <w:rsid w:val="00F3391E"/>
    <w:rsid w:val="00F408D6"/>
    <w:rsid w:val="00F415A3"/>
    <w:rsid w:val="00F42033"/>
    <w:rsid w:val="00F433DF"/>
    <w:rsid w:val="00F44362"/>
    <w:rsid w:val="00F44579"/>
    <w:rsid w:val="00F473D7"/>
    <w:rsid w:val="00F5045F"/>
    <w:rsid w:val="00F51731"/>
    <w:rsid w:val="00F52687"/>
    <w:rsid w:val="00F5434A"/>
    <w:rsid w:val="00F55B42"/>
    <w:rsid w:val="00F56A77"/>
    <w:rsid w:val="00F5706D"/>
    <w:rsid w:val="00F576C4"/>
    <w:rsid w:val="00F60486"/>
    <w:rsid w:val="00F62B36"/>
    <w:rsid w:val="00F63339"/>
    <w:rsid w:val="00F64C33"/>
    <w:rsid w:val="00F67D05"/>
    <w:rsid w:val="00F70CFF"/>
    <w:rsid w:val="00F70F38"/>
    <w:rsid w:val="00F73DAD"/>
    <w:rsid w:val="00F74DCE"/>
    <w:rsid w:val="00F75344"/>
    <w:rsid w:val="00F75DB2"/>
    <w:rsid w:val="00F76E6A"/>
    <w:rsid w:val="00F77351"/>
    <w:rsid w:val="00F8062D"/>
    <w:rsid w:val="00F83F39"/>
    <w:rsid w:val="00F8505C"/>
    <w:rsid w:val="00F85086"/>
    <w:rsid w:val="00F86186"/>
    <w:rsid w:val="00F868C0"/>
    <w:rsid w:val="00F90317"/>
    <w:rsid w:val="00F90A9E"/>
    <w:rsid w:val="00F90C53"/>
    <w:rsid w:val="00F921CF"/>
    <w:rsid w:val="00F95106"/>
    <w:rsid w:val="00F961F3"/>
    <w:rsid w:val="00FA0BBA"/>
    <w:rsid w:val="00FA1EAD"/>
    <w:rsid w:val="00FA1F5F"/>
    <w:rsid w:val="00FA2858"/>
    <w:rsid w:val="00FA3044"/>
    <w:rsid w:val="00FA37D5"/>
    <w:rsid w:val="00FA39CD"/>
    <w:rsid w:val="00FA507A"/>
    <w:rsid w:val="00FA74EF"/>
    <w:rsid w:val="00FA7D4D"/>
    <w:rsid w:val="00FB0C18"/>
    <w:rsid w:val="00FB4480"/>
    <w:rsid w:val="00FB56CC"/>
    <w:rsid w:val="00FB71AF"/>
    <w:rsid w:val="00FC4C3F"/>
    <w:rsid w:val="00FC6782"/>
    <w:rsid w:val="00FC6EBF"/>
    <w:rsid w:val="00FD0AE5"/>
    <w:rsid w:val="00FD22AD"/>
    <w:rsid w:val="00FD451A"/>
    <w:rsid w:val="00FD47B4"/>
    <w:rsid w:val="00FE11E3"/>
    <w:rsid w:val="00FE3A8F"/>
    <w:rsid w:val="00FE71FF"/>
    <w:rsid w:val="00FE7B25"/>
    <w:rsid w:val="00FF0EB3"/>
    <w:rsid w:val="00FF2551"/>
    <w:rsid w:val="00FF25A5"/>
    <w:rsid w:val="00FF2AC6"/>
    <w:rsid w:val="00FF2BB3"/>
    <w:rsid w:val="00FF481A"/>
    <w:rsid w:val="00FF64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55AB"/>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34821"/>
    <w:pPr>
      <w:overflowPunct w:val="0"/>
      <w:autoSpaceDE w:val="0"/>
      <w:autoSpaceDN w:val="0"/>
      <w:adjustRightInd w:val="0"/>
      <w:spacing w:before="120" w:after="120"/>
      <w:ind w:left="2520"/>
      <w:textAlignment w:val="baseline"/>
    </w:pPr>
    <w:rPr>
      <w:rFonts w:ascii="Arial" w:hAnsi="Arial" w:cs="Arial"/>
      <w:sz w:val="22"/>
      <w:szCs w:val="22"/>
    </w:rPr>
  </w:style>
  <w:style w:type="character" w:customStyle="1" w:styleId="BodyTextChar">
    <w:name w:val="Body Text Char"/>
    <w:basedOn w:val="DefaultParagraphFont"/>
    <w:link w:val="BodyText"/>
    <w:rsid w:val="00E34821"/>
    <w:rPr>
      <w:rFonts w:ascii="Arial" w:eastAsia="Times New Roman" w:hAnsi="Arial" w:cs="Arial"/>
      <w:lang w:eastAsia="en-GB"/>
    </w:rPr>
  </w:style>
  <w:style w:type="paragraph" w:styleId="NoSpacing">
    <w:name w:val="No Spacing"/>
    <w:uiPriority w:val="99"/>
    <w:qFormat/>
    <w:rsid w:val="00E34821"/>
    <w:pPr>
      <w:spacing w:after="0" w:line="240" w:lineRule="auto"/>
    </w:pPr>
    <w:rPr>
      <w:rFonts w:ascii="Calibri" w:eastAsia="Times New Roman" w:hAnsi="Calibri" w:cs="Times New Roman"/>
      <w:lang w:val="en-US"/>
    </w:rPr>
  </w:style>
  <w:style w:type="paragraph" w:styleId="BalloonText">
    <w:name w:val="Balloon Text"/>
    <w:basedOn w:val="Normal"/>
    <w:link w:val="BalloonTextChar"/>
    <w:uiPriority w:val="99"/>
    <w:semiHidden/>
    <w:unhideWhenUsed/>
    <w:rsid w:val="00E34821"/>
    <w:rPr>
      <w:rFonts w:ascii="Tahoma" w:hAnsi="Tahoma" w:cs="Tahoma"/>
      <w:sz w:val="16"/>
      <w:szCs w:val="16"/>
    </w:rPr>
  </w:style>
  <w:style w:type="character" w:customStyle="1" w:styleId="BalloonTextChar">
    <w:name w:val="Balloon Text Char"/>
    <w:basedOn w:val="DefaultParagraphFont"/>
    <w:link w:val="BalloonText"/>
    <w:uiPriority w:val="99"/>
    <w:semiHidden/>
    <w:rsid w:val="00E34821"/>
    <w:rPr>
      <w:rFonts w:ascii="Tahoma" w:eastAsia="Times New Roman" w:hAnsi="Tahoma" w:cs="Tahoma"/>
      <w:sz w:val="16"/>
      <w:szCs w:val="16"/>
      <w:lang w:eastAsia="en-GB"/>
    </w:rPr>
  </w:style>
  <w:style w:type="table" w:styleId="TableGrid">
    <w:name w:val="Table Grid"/>
    <w:basedOn w:val="TableNormal"/>
    <w:uiPriority w:val="59"/>
    <w:rsid w:val="00FC6E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C6EBF"/>
    <w:pPr>
      <w:ind w:left="720"/>
      <w:contextualSpacing/>
    </w:pPr>
  </w:style>
  <w:style w:type="table" w:customStyle="1" w:styleId="TableGrid1">
    <w:name w:val="Table Grid1"/>
    <w:basedOn w:val="TableNormal"/>
    <w:next w:val="TableGrid"/>
    <w:uiPriority w:val="59"/>
    <w:rsid w:val="00DF3EE3"/>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12C00"/>
    <w:pPr>
      <w:tabs>
        <w:tab w:val="center" w:pos="4513"/>
        <w:tab w:val="right" w:pos="9026"/>
      </w:tabs>
    </w:pPr>
  </w:style>
  <w:style w:type="character" w:customStyle="1" w:styleId="HeaderChar">
    <w:name w:val="Header Char"/>
    <w:basedOn w:val="DefaultParagraphFont"/>
    <w:link w:val="Header"/>
    <w:uiPriority w:val="99"/>
    <w:rsid w:val="00412C00"/>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412C00"/>
    <w:pPr>
      <w:tabs>
        <w:tab w:val="center" w:pos="4513"/>
        <w:tab w:val="right" w:pos="9026"/>
      </w:tabs>
    </w:pPr>
  </w:style>
  <w:style w:type="character" w:customStyle="1" w:styleId="FooterChar">
    <w:name w:val="Footer Char"/>
    <w:basedOn w:val="DefaultParagraphFont"/>
    <w:link w:val="Footer"/>
    <w:uiPriority w:val="99"/>
    <w:rsid w:val="00412C00"/>
    <w:rPr>
      <w:rFonts w:ascii="Times New Roman" w:eastAsia="Times New Roman" w:hAnsi="Times New Roman" w:cs="Times New Roman"/>
      <w:sz w:val="24"/>
      <w:szCs w:val="24"/>
      <w:lang w:eastAsia="en-GB"/>
    </w:rPr>
  </w:style>
  <w:style w:type="paragraph" w:styleId="NormalWeb">
    <w:name w:val="Normal (Web)"/>
    <w:basedOn w:val="Normal"/>
    <w:rsid w:val="00A86A0C"/>
    <w:pPr>
      <w:spacing w:before="100" w:beforeAutospacing="1" w:after="100" w:afterAutospacing="1"/>
    </w:pPr>
    <w:rPr>
      <w:lang w:val="en-US" w:eastAsia="en-US"/>
    </w:rPr>
  </w:style>
  <w:style w:type="character" w:styleId="CommentReference">
    <w:name w:val="annotation reference"/>
    <w:basedOn w:val="DefaultParagraphFont"/>
    <w:uiPriority w:val="99"/>
    <w:semiHidden/>
    <w:unhideWhenUsed/>
    <w:rsid w:val="008E7A72"/>
    <w:rPr>
      <w:sz w:val="16"/>
      <w:szCs w:val="16"/>
    </w:rPr>
  </w:style>
  <w:style w:type="paragraph" w:styleId="CommentText">
    <w:name w:val="annotation text"/>
    <w:basedOn w:val="Normal"/>
    <w:link w:val="CommentTextChar"/>
    <w:uiPriority w:val="99"/>
    <w:semiHidden/>
    <w:unhideWhenUsed/>
    <w:rsid w:val="008E7A72"/>
    <w:rPr>
      <w:sz w:val="20"/>
      <w:szCs w:val="20"/>
    </w:rPr>
  </w:style>
  <w:style w:type="character" w:customStyle="1" w:styleId="CommentTextChar">
    <w:name w:val="Comment Text Char"/>
    <w:basedOn w:val="DefaultParagraphFont"/>
    <w:link w:val="CommentText"/>
    <w:uiPriority w:val="99"/>
    <w:semiHidden/>
    <w:rsid w:val="008E7A72"/>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8E7A72"/>
    <w:rPr>
      <w:b/>
      <w:bCs/>
    </w:rPr>
  </w:style>
  <w:style w:type="character" w:customStyle="1" w:styleId="CommentSubjectChar">
    <w:name w:val="Comment Subject Char"/>
    <w:basedOn w:val="CommentTextChar"/>
    <w:link w:val="CommentSubject"/>
    <w:uiPriority w:val="99"/>
    <w:semiHidden/>
    <w:rsid w:val="008E7A72"/>
    <w:rPr>
      <w:rFonts w:ascii="Times New Roman" w:eastAsia="Times New Roman" w:hAnsi="Times New Roman" w:cs="Times New Roman"/>
      <w:b/>
      <w:bCs/>
      <w:sz w:val="2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55AB"/>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34821"/>
    <w:pPr>
      <w:overflowPunct w:val="0"/>
      <w:autoSpaceDE w:val="0"/>
      <w:autoSpaceDN w:val="0"/>
      <w:adjustRightInd w:val="0"/>
      <w:spacing w:before="120" w:after="120"/>
      <w:ind w:left="2520"/>
      <w:textAlignment w:val="baseline"/>
    </w:pPr>
    <w:rPr>
      <w:rFonts w:ascii="Arial" w:hAnsi="Arial" w:cs="Arial"/>
      <w:sz w:val="22"/>
      <w:szCs w:val="22"/>
    </w:rPr>
  </w:style>
  <w:style w:type="character" w:customStyle="1" w:styleId="BodyTextChar">
    <w:name w:val="Body Text Char"/>
    <w:basedOn w:val="DefaultParagraphFont"/>
    <w:link w:val="BodyText"/>
    <w:rsid w:val="00E34821"/>
    <w:rPr>
      <w:rFonts w:ascii="Arial" w:eastAsia="Times New Roman" w:hAnsi="Arial" w:cs="Arial"/>
      <w:lang w:eastAsia="en-GB"/>
    </w:rPr>
  </w:style>
  <w:style w:type="paragraph" w:styleId="NoSpacing">
    <w:name w:val="No Spacing"/>
    <w:uiPriority w:val="99"/>
    <w:qFormat/>
    <w:rsid w:val="00E34821"/>
    <w:pPr>
      <w:spacing w:after="0" w:line="240" w:lineRule="auto"/>
    </w:pPr>
    <w:rPr>
      <w:rFonts w:ascii="Calibri" w:eastAsia="Times New Roman" w:hAnsi="Calibri" w:cs="Times New Roman"/>
      <w:lang w:val="en-US"/>
    </w:rPr>
  </w:style>
  <w:style w:type="paragraph" w:styleId="BalloonText">
    <w:name w:val="Balloon Text"/>
    <w:basedOn w:val="Normal"/>
    <w:link w:val="BalloonTextChar"/>
    <w:uiPriority w:val="99"/>
    <w:semiHidden/>
    <w:unhideWhenUsed/>
    <w:rsid w:val="00E34821"/>
    <w:rPr>
      <w:rFonts w:ascii="Tahoma" w:hAnsi="Tahoma" w:cs="Tahoma"/>
      <w:sz w:val="16"/>
      <w:szCs w:val="16"/>
    </w:rPr>
  </w:style>
  <w:style w:type="character" w:customStyle="1" w:styleId="BalloonTextChar">
    <w:name w:val="Balloon Text Char"/>
    <w:basedOn w:val="DefaultParagraphFont"/>
    <w:link w:val="BalloonText"/>
    <w:uiPriority w:val="99"/>
    <w:semiHidden/>
    <w:rsid w:val="00E34821"/>
    <w:rPr>
      <w:rFonts w:ascii="Tahoma" w:eastAsia="Times New Roman" w:hAnsi="Tahoma" w:cs="Tahoma"/>
      <w:sz w:val="16"/>
      <w:szCs w:val="16"/>
      <w:lang w:eastAsia="en-GB"/>
    </w:rPr>
  </w:style>
  <w:style w:type="table" w:styleId="TableGrid">
    <w:name w:val="Table Grid"/>
    <w:basedOn w:val="TableNormal"/>
    <w:uiPriority w:val="59"/>
    <w:rsid w:val="00FC6E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C6EBF"/>
    <w:pPr>
      <w:ind w:left="720"/>
      <w:contextualSpacing/>
    </w:pPr>
  </w:style>
  <w:style w:type="table" w:customStyle="1" w:styleId="TableGrid1">
    <w:name w:val="Table Grid1"/>
    <w:basedOn w:val="TableNormal"/>
    <w:next w:val="TableGrid"/>
    <w:uiPriority w:val="59"/>
    <w:rsid w:val="00DF3EE3"/>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12C00"/>
    <w:pPr>
      <w:tabs>
        <w:tab w:val="center" w:pos="4513"/>
        <w:tab w:val="right" w:pos="9026"/>
      </w:tabs>
    </w:pPr>
  </w:style>
  <w:style w:type="character" w:customStyle="1" w:styleId="HeaderChar">
    <w:name w:val="Header Char"/>
    <w:basedOn w:val="DefaultParagraphFont"/>
    <w:link w:val="Header"/>
    <w:uiPriority w:val="99"/>
    <w:rsid w:val="00412C00"/>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412C00"/>
    <w:pPr>
      <w:tabs>
        <w:tab w:val="center" w:pos="4513"/>
        <w:tab w:val="right" w:pos="9026"/>
      </w:tabs>
    </w:pPr>
  </w:style>
  <w:style w:type="character" w:customStyle="1" w:styleId="FooterChar">
    <w:name w:val="Footer Char"/>
    <w:basedOn w:val="DefaultParagraphFont"/>
    <w:link w:val="Footer"/>
    <w:uiPriority w:val="99"/>
    <w:rsid w:val="00412C00"/>
    <w:rPr>
      <w:rFonts w:ascii="Times New Roman" w:eastAsia="Times New Roman" w:hAnsi="Times New Roman" w:cs="Times New Roman"/>
      <w:sz w:val="24"/>
      <w:szCs w:val="24"/>
      <w:lang w:eastAsia="en-GB"/>
    </w:rPr>
  </w:style>
  <w:style w:type="paragraph" w:styleId="NormalWeb">
    <w:name w:val="Normal (Web)"/>
    <w:basedOn w:val="Normal"/>
    <w:rsid w:val="00A86A0C"/>
    <w:pPr>
      <w:spacing w:before="100" w:beforeAutospacing="1" w:after="100" w:afterAutospacing="1"/>
    </w:pPr>
    <w:rPr>
      <w:lang w:val="en-US" w:eastAsia="en-US"/>
    </w:rPr>
  </w:style>
  <w:style w:type="character" w:styleId="CommentReference">
    <w:name w:val="annotation reference"/>
    <w:basedOn w:val="DefaultParagraphFont"/>
    <w:uiPriority w:val="99"/>
    <w:semiHidden/>
    <w:unhideWhenUsed/>
    <w:rsid w:val="008E7A72"/>
    <w:rPr>
      <w:sz w:val="16"/>
      <w:szCs w:val="16"/>
    </w:rPr>
  </w:style>
  <w:style w:type="paragraph" w:styleId="CommentText">
    <w:name w:val="annotation text"/>
    <w:basedOn w:val="Normal"/>
    <w:link w:val="CommentTextChar"/>
    <w:uiPriority w:val="99"/>
    <w:semiHidden/>
    <w:unhideWhenUsed/>
    <w:rsid w:val="008E7A72"/>
    <w:rPr>
      <w:sz w:val="20"/>
      <w:szCs w:val="20"/>
    </w:rPr>
  </w:style>
  <w:style w:type="character" w:customStyle="1" w:styleId="CommentTextChar">
    <w:name w:val="Comment Text Char"/>
    <w:basedOn w:val="DefaultParagraphFont"/>
    <w:link w:val="CommentText"/>
    <w:uiPriority w:val="99"/>
    <w:semiHidden/>
    <w:rsid w:val="008E7A72"/>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8E7A72"/>
    <w:rPr>
      <w:b/>
      <w:bCs/>
    </w:rPr>
  </w:style>
  <w:style w:type="character" w:customStyle="1" w:styleId="CommentSubjectChar">
    <w:name w:val="Comment Subject Char"/>
    <w:basedOn w:val="CommentTextChar"/>
    <w:link w:val="CommentSubject"/>
    <w:uiPriority w:val="99"/>
    <w:semiHidden/>
    <w:rsid w:val="008E7A72"/>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8428">
      <w:bodyDiv w:val="1"/>
      <w:marLeft w:val="0"/>
      <w:marRight w:val="0"/>
      <w:marTop w:val="0"/>
      <w:marBottom w:val="0"/>
      <w:divBdr>
        <w:top w:val="none" w:sz="0" w:space="0" w:color="auto"/>
        <w:left w:val="none" w:sz="0" w:space="0" w:color="auto"/>
        <w:bottom w:val="none" w:sz="0" w:space="0" w:color="auto"/>
        <w:right w:val="none" w:sz="0" w:space="0" w:color="auto"/>
      </w:divBdr>
    </w:div>
    <w:div w:id="13381765">
      <w:bodyDiv w:val="1"/>
      <w:marLeft w:val="0"/>
      <w:marRight w:val="0"/>
      <w:marTop w:val="0"/>
      <w:marBottom w:val="0"/>
      <w:divBdr>
        <w:top w:val="none" w:sz="0" w:space="0" w:color="auto"/>
        <w:left w:val="none" w:sz="0" w:space="0" w:color="auto"/>
        <w:bottom w:val="none" w:sz="0" w:space="0" w:color="auto"/>
        <w:right w:val="none" w:sz="0" w:space="0" w:color="auto"/>
      </w:divBdr>
    </w:div>
    <w:div w:id="16780761">
      <w:bodyDiv w:val="1"/>
      <w:marLeft w:val="0"/>
      <w:marRight w:val="0"/>
      <w:marTop w:val="0"/>
      <w:marBottom w:val="0"/>
      <w:divBdr>
        <w:top w:val="none" w:sz="0" w:space="0" w:color="auto"/>
        <w:left w:val="none" w:sz="0" w:space="0" w:color="auto"/>
        <w:bottom w:val="none" w:sz="0" w:space="0" w:color="auto"/>
        <w:right w:val="none" w:sz="0" w:space="0" w:color="auto"/>
      </w:divBdr>
    </w:div>
    <w:div w:id="24521352">
      <w:bodyDiv w:val="1"/>
      <w:marLeft w:val="0"/>
      <w:marRight w:val="0"/>
      <w:marTop w:val="0"/>
      <w:marBottom w:val="0"/>
      <w:divBdr>
        <w:top w:val="none" w:sz="0" w:space="0" w:color="auto"/>
        <w:left w:val="none" w:sz="0" w:space="0" w:color="auto"/>
        <w:bottom w:val="none" w:sz="0" w:space="0" w:color="auto"/>
        <w:right w:val="none" w:sz="0" w:space="0" w:color="auto"/>
      </w:divBdr>
    </w:div>
    <w:div w:id="26181584">
      <w:bodyDiv w:val="1"/>
      <w:marLeft w:val="0"/>
      <w:marRight w:val="0"/>
      <w:marTop w:val="0"/>
      <w:marBottom w:val="0"/>
      <w:divBdr>
        <w:top w:val="none" w:sz="0" w:space="0" w:color="auto"/>
        <w:left w:val="none" w:sz="0" w:space="0" w:color="auto"/>
        <w:bottom w:val="none" w:sz="0" w:space="0" w:color="auto"/>
        <w:right w:val="none" w:sz="0" w:space="0" w:color="auto"/>
      </w:divBdr>
    </w:div>
    <w:div w:id="30229244">
      <w:bodyDiv w:val="1"/>
      <w:marLeft w:val="0"/>
      <w:marRight w:val="0"/>
      <w:marTop w:val="0"/>
      <w:marBottom w:val="0"/>
      <w:divBdr>
        <w:top w:val="none" w:sz="0" w:space="0" w:color="auto"/>
        <w:left w:val="none" w:sz="0" w:space="0" w:color="auto"/>
        <w:bottom w:val="none" w:sz="0" w:space="0" w:color="auto"/>
        <w:right w:val="none" w:sz="0" w:space="0" w:color="auto"/>
      </w:divBdr>
    </w:div>
    <w:div w:id="32006199">
      <w:bodyDiv w:val="1"/>
      <w:marLeft w:val="0"/>
      <w:marRight w:val="0"/>
      <w:marTop w:val="0"/>
      <w:marBottom w:val="0"/>
      <w:divBdr>
        <w:top w:val="none" w:sz="0" w:space="0" w:color="auto"/>
        <w:left w:val="none" w:sz="0" w:space="0" w:color="auto"/>
        <w:bottom w:val="none" w:sz="0" w:space="0" w:color="auto"/>
        <w:right w:val="none" w:sz="0" w:space="0" w:color="auto"/>
      </w:divBdr>
    </w:div>
    <w:div w:id="33772899">
      <w:bodyDiv w:val="1"/>
      <w:marLeft w:val="0"/>
      <w:marRight w:val="0"/>
      <w:marTop w:val="0"/>
      <w:marBottom w:val="0"/>
      <w:divBdr>
        <w:top w:val="none" w:sz="0" w:space="0" w:color="auto"/>
        <w:left w:val="none" w:sz="0" w:space="0" w:color="auto"/>
        <w:bottom w:val="none" w:sz="0" w:space="0" w:color="auto"/>
        <w:right w:val="none" w:sz="0" w:space="0" w:color="auto"/>
      </w:divBdr>
    </w:div>
    <w:div w:id="45423149">
      <w:bodyDiv w:val="1"/>
      <w:marLeft w:val="0"/>
      <w:marRight w:val="0"/>
      <w:marTop w:val="0"/>
      <w:marBottom w:val="0"/>
      <w:divBdr>
        <w:top w:val="none" w:sz="0" w:space="0" w:color="auto"/>
        <w:left w:val="none" w:sz="0" w:space="0" w:color="auto"/>
        <w:bottom w:val="none" w:sz="0" w:space="0" w:color="auto"/>
        <w:right w:val="none" w:sz="0" w:space="0" w:color="auto"/>
      </w:divBdr>
    </w:div>
    <w:div w:id="45491066">
      <w:bodyDiv w:val="1"/>
      <w:marLeft w:val="0"/>
      <w:marRight w:val="0"/>
      <w:marTop w:val="0"/>
      <w:marBottom w:val="0"/>
      <w:divBdr>
        <w:top w:val="none" w:sz="0" w:space="0" w:color="auto"/>
        <w:left w:val="none" w:sz="0" w:space="0" w:color="auto"/>
        <w:bottom w:val="none" w:sz="0" w:space="0" w:color="auto"/>
        <w:right w:val="none" w:sz="0" w:space="0" w:color="auto"/>
      </w:divBdr>
    </w:div>
    <w:div w:id="62027863">
      <w:bodyDiv w:val="1"/>
      <w:marLeft w:val="0"/>
      <w:marRight w:val="0"/>
      <w:marTop w:val="0"/>
      <w:marBottom w:val="0"/>
      <w:divBdr>
        <w:top w:val="none" w:sz="0" w:space="0" w:color="auto"/>
        <w:left w:val="none" w:sz="0" w:space="0" w:color="auto"/>
        <w:bottom w:val="none" w:sz="0" w:space="0" w:color="auto"/>
        <w:right w:val="none" w:sz="0" w:space="0" w:color="auto"/>
      </w:divBdr>
    </w:div>
    <w:div w:id="62608927">
      <w:bodyDiv w:val="1"/>
      <w:marLeft w:val="0"/>
      <w:marRight w:val="0"/>
      <w:marTop w:val="0"/>
      <w:marBottom w:val="0"/>
      <w:divBdr>
        <w:top w:val="none" w:sz="0" w:space="0" w:color="auto"/>
        <w:left w:val="none" w:sz="0" w:space="0" w:color="auto"/>
        <w:bottom w:val="none" w:sz="0" w:space="0" w:color="auto"/>
        <w:right w:val="none" w:sz="0" w:space="0" w:color="auto"/>
      </w:divBdr>
    </w:div>
    <w:div w:id="82385414">
      <w:bodyDiv w:val="1"/>
      <w:marLeft w:val="0"/>
      <w:marRight w:val="0"/>
      <w:marTop w:val="0"/>
      <w:marBottom w:val="0"/>
      <w:divBdr>
        <w:top w:val="none" w:sz="0" w:space="0" w:color="auto"/>
        <w:left w:val="none" w:sz="0" w:space="0" w:color="auto"/>
        <w:bottom w:val="none" w:sz="0" w:space="0" w:color="auto"/>
        <w:right w:val="none" w:sz="0" w:space="0" w:color="auto"/>
      </w:divBdr>
    </w:div>
    <w:div w:id="94861988">
      <w:bodyDiv w:val="1"/>
      <w:marLeft w:val="0"/>
      <w:marRight w:val="0"/>
      <w:marTop w:val="0"/>
      <w:marBottom w:val="0"/>
      <w:divBdr>
        <w:top w:val="none" w:sz="0" w:space="0" w:color="auto"/>
        <w:left w:val="none" w:sz="0" w:space="0" w:color="auto"/>
        <w:bottom w:val="none" w:sz="0" w:space="0" w:color="auto"/>
        <w:right w:val="none" w:sz="0" w:space="0" w:color="auto"/>
      </w:divBdr>
    </w:div>
    <w:div w:id="100956587">
      <w:bodyDiv w:val="1"/>
      <w:marLeft w:val="0"/>
      <w:marRight w:val="0"/>
      <w:marTop w:val="0"/>
      <w:marBottom w:val="0"/>
      <w:divBdr>
        <w:top w:val="none" w:sz="0" w:space="0" w:color="auto"/>
        <w:left w:val="none" w:sz="0" w:space="0" w:color="auto"/>
        <w:bottom w:val="none" w:sz="0" w:space="0" w:color="auto"/>
        <w:right w:val="none" w:sz="0" w:space="0" w:color="auto"/>
      </w:divBdr>
    </w:div>
    <w:div w:id="103379336">
      <w:bodyDiv w:val="1"/>
      <w:marLeft w:val="0"/>
      <w:marRight w:val="0"/>
      <w:marTop w:val="0"/>
      <w:marBottom w:val="0"/>
      <w:divBdr>
        <w:top w:val="none" w:sz="0" w:space="0" w:color="auto"/>
        <w:left w:val="none" w:sz="0" w:space="0" w:color="auto"/>
        <w:bottom w:val="none" w:sz="0" w:space="0" w:color="auto"/>
        <w:right w:val="none" w:sz="0" w:space="0" w:color="auto"/>
      </w:divBdr>
    </w:div>
    <w:div w:id="121382713">
      <w:bodyDiv w:val="1"/>
      <w:marLeft w:val="0"/>
      <w:marRight w:val="0"/>
      <w:marTop w:val="0"/>
      <w:marBottom w:val="0"/>
      <w:divBdr>
        <w:top w:val="none" w:sz="0" w:space="0" w:color="auto"/>
        <w:left w:val="none" w:sz="0" w:space="0" w:color="auto"/>
        <w:bottom w:val="none" w:sz="0" w:space="0" w:color="auto"/>
        <w:right w:val="none" w:sz="0" w:space="0" w:color="auto"/>
      </w:divBdr>
    </w:div>
    <w:div w:id="140851689">
      <w:bodyDiv w:val="1"/>
      <w:marLeft w:val="0"/>
      <w:marRight w:val="0"/>
      <w:marTop w:val="0"/>
      <w:marBottom w:val="0"/>
      <w:divBdr>
        <w:top w:val="none" w:sz="0" w:space="0" w:color="auto"/>
        <w:left w:val="none" w:sz="0" w:space="0" w:color="auto"/>
        <w:bottom w:val="none" w:sz="0" w:space="0" w:color="auto"/>
        <w:right w:val="none" w:sz="0" w:space="0" w:color="auto"/>
      </w:divBdr>
    </w:div>
    <w:div w:id="154421146">
      <w:bodyDiv w:val="1"/>
      <w:marLeft w:val="0"/>
      <w:marRight w:val="0"/>
      <w:marTop w:val="0"/>
      <w:marBottom w:val="0"/>
      <w:divBdr>
        <w:top w:val="none" w:sz="0" w:space="0" w:color="auto"/>
        <w:left w:val="none" w:sz="0" w:space="0" w:color="auto"/>
        <w:bottom w:val="none" w:sz="0" w:space="0" w:color="auto"/>
        <w:right w:val="none" w:sz="0" w:space="0" w:color="auto"/>
      </w:divBdr>
    </w:div>
    <w:div w:id="156463780">
      <w:bodyDiv w:val="1"/>
      <w:marLeft w:val="0"/>
      <w:marRight w:val="0"/>
      <w:marTop w:val="0"/>
      <w:marBottom w:val="0"/>
      <w:divBdr>
        <w:top w:val="none" w:sz="0" w:space="0" w:color="auto"/>
        <w:left w:val="none" w:sz="0" w:space="0" w:color="auto"/>
        <w:bottom w:val="none" w:sz="0" w:space="0" w:color="auto"/>
        <w:right w:val="none" w:sz="0" w:space="0" w:color="auto"/>
      </w:divBdr>
    </w:div>
    <w:div w:id="160896589">
      <w:bodyDiv w:val="1"/>
      <w:marLeft w:val="0"/>
      <w:marRight w:val="0"/>
      <w:marTop w:val="0"/>
      <w:marBottom w:val="0"/>
      <w:divBdr>
        <w:top w:val="none" w:sz="0" w:space="0" w:color="auto"/>
        <w:left w:val="none" w:sz="0" w:space="0" w:color="auto"/>
        <w:bottom w:val="none" w:sz="0" w:space="0" w:color="auto"/>
        <w:right w:val="none" w:sz="0" w:space="0" w:color="auto"/>
      </w:divBdr>
    </w:div>
    <w:div w:id="171996501">
      <w:bodyDiv w:val="1"/>
      <w:marLeft w:val="0"/>
      <w:marRight w:val="0"/>
      <w:marTop w:val="0"/>
      <w:marBottom w:val="0"/>
      <w:divBdr>
        <w:top w:val="none" w:sz="0" w:space="0" w:color="auto"/>
        <w:left w:val="none" w:sz="0" w:space="0" w:color="auto"/>
        <w:bottom w:val="none" w:sz="0" w:space="0" w:color="auto"/>
        <w:right w:val="none" w:sz="0" w:space="0" w:color="auto"/>
      </w:divBdr>
    </w:div>
    <w:div w:id="177542639">
      <w:bodyDiv w:val="1"/>
      <w:marLeft w:val="0"/>
      <w:marRight w:val="0"/>
      <w:marTop w:val="0"/>
      <w:marBottom w:val="0"/>
      <w:divBdr>
        <w:top w:val="none" w:sz="0" w:space="0" w:color="auto"/>
        <w:left w:val="none" w:sz="0" w:space="0" w:color="auto"/>
        <w:bottom w:val="none" w:sz="0" w:space="0" w:color="auto"/>
        <w:right w:val="none" w:sz="0" w:space="0" w:color="auto"/>
      </w:divBdr>
    </w:div>
    <w:div w:id="178395274">
      <w:bodyDiv w:val="1"/>
      <w:marLeft w:val="0"/>
      <w:marRight w:val="0"/>
      <w:marTop w:val="0"/>
      <w:marBottom w:val="0"/>
      <w:divBdr>
        <w:top w:val="none" w:sz="0" w:space="0" w:color="auto"/>
        <w:left w:val="none" w:sz="0" w:space="0" w:color="auto"/>
        <w:bottom w:val="none" w:sz="0" w:space="0" w:color="auto"/>
        <w:right w:val="none" w:sz="0" w:space="0" w:color="auto"/>
      </w:divBdr>
    </w:div>
    <w:div w:id="183132783">
      <w:bodyDiv w:val="1"/>
      <w:marLeft w:val="0"/>
      <w:marRight w:val="0"/>
      <w:marTop w:val="0"/>
      <w:marBottom w:val="0"/>
      <w:divBdr>
        <w:top w:val="none" w:sz="0" w:space="0" w:color="auto"/>
        <w:left w:val="none" w:sz="0" w:space="0" w:color="auto"/>
        <w:bottom w:val="none" w:sz="0" w:space="0" w:color="auto"/>
        <w:right w:val="none" w:sz="0" w:space="0" w:color="auto"/>
      </w:divBdr>
    </w:div>
    <w:div w:id="184708090">
      <w:bodyDiv w:val="1"/>
      <w:marLeft w:val="0"/>
      <w:marRight w:val="0"/>
      <w:marTop w:val="0"/>
      <w:marBottom w:val="0"/>
      <w:divBdr>
        <w:top w:val="none" w:sz="0" w:space="0" w:color="auto"/>
        <w:left w:val="none" w:sz="0" w:space="0" w:color="auto"/>
        <w:bottom w:val="none" w:sz="0" w:space="0" w:color="auto"/>
        <w:right w:val="none" w:sz="0" w:space="0" w:color="auto"/>
      </w:divBdr>
    </w:div>
    <w:div w:id="190000313">
      <w:bodyDiv w:val="1"/>
      <w:marLeft w:val="0"/>
      <w:marRight w:val="0"/>
      <w:marTop w:val="0"/>
      <w:marBottom w:val="0"/>
      <w:divBdr>
        <w:top w:val="none" w:sz="0" w:space="0" w:color="auto"/>
        <w:left w:val="none" w:sz="0" w:space="0" w:color="auto"/>
        <w:bottom w:val="none" w:sz="0" w:space="0" w:color="auto"/>
        <w:right w:val="none" w:sz="0" w:space="0" w:color="auto"/>
      </w:divBdr>
    </w:div>
    <w:div w:id="200020271">
      <w:bodyDiv w:val="1"/>
      <w:marLeft w:val="0"/>
      <w:marRight w:val="0"/>
      <w:marTop w:val="0"/>
      <w:marBottom w:val="0"/>
      <w:divBdr>
        <w:top w:val="none" w:sz="0" w:space="0" w:color="auto"/>
        <w:left w:val="none" w:sz="0" w:space="0" w:color="auto"/>
        <w:bottom w:val="none" w:sz="0" w:space="0" w:color="auto"/>
        <w:right w:val="none" w:sz="0" w:space="0" w:color="auto"/>
      </w:divBdr>
    </w:div>
    <w:div w:id="201672099">
      <w:bodyDiv w:val="1"/>
      <w:marLeft w:val="0"/>
      <w:marRight w:val="0"/>
      <w:marTop w:val="0"/>
      <w:marBottom w:val="0"/>
      <w:divBdr>
        <w:top w:val="none" w:sz="0" w:space="0" w:color="auto"/>
        <w:left w:val="none" w:sz="0" w:space="0" w:color="auto"/>
        <w:bottom w:val="none" w:sz="0" w:space="0" w:color="auto"/>
        <w:right w:val="none" w:sz="0" w:space="0" w:color="auto"/>
      </w:divBdr>
    </w:div>
    <w:div w:id="205722140">
      <w:bodyDiv w:val="1"/>
      <w:marLeft w:val="0"/>
      <w:marRight w:val="0"/>
      <w:marTop w:val="0"/>
      <w:marBottom w:val="0"/>
      <w:divBdr>
        <w:top w:val="none" w:sz="0" w:space="0" w:color="auto"/>
        <w:left w:val="none" w:sz="0" w:space="0" w:color="auto"/>
        <w:bottom w:val="none" w:sz="0" w:space="0" w:color="auto"/>
        <w:right w:val="none" w:sz="0" w:space="0" w:color="auto"/>
      </w:divBdr>
    </w:div>
    <w:div w:id="208882317">
      <w:bodyDiv w:val="1"/>
      <w:marLeft w:val="0"/>
      <w:marRight w:val="0"/>
      <w:marTop w:val="0"/>
      <w:marBottom w:val="0"/>
      <w:divBdr>
        <w:top w:val="none" w:sz="0" w:space="0" w:color="auto"/>
        <w:left w:val="none" w:sz="0" w:space="0" w:color="auto"/>
        <w:bottom w:val="none" w:sz="0" w:space="0" w:color="auto"/>
        <w:right w:val="none" w:sz="0" w:space="0" w:color="auto"/>
      </w:divBdr>
    </w:div>
    <w:div w:id="222954923">
      <w:bodyDiv w:val="1"/>
      <w:marLeft w:val="0"/>
      <w:marRight w:val="0"/>
      <w:marTop w:val="0"/>
      <w:marBottom w:val="0"/>
      <w:divBdr>
        <w:top w:val="none" w:sz="0" w:space="0" w:color="auto"/>
        <w:left w:val="none" w:sz="0" w:space="0" w:color="auto"/>
        <w:bottom w:val="none" w:sz="0" w:space="0" w:color="auto"/>
        <w:right w:val="none" w:sz="0" w:space="0" w:color="auto"/>
      </w:divBdr>
    </w:div>
    <w:div w:id="228350522">
      <w:bodyDiv w:val="1"/>
      <w:marLeft w:val="0"/>
      <w:marRight w:val="0"/>
      <w:marTop w:val="0"/>
      <w:marBottom w:val="0"/>
      <w:divBdr>
        <w:top w:val="none" w:sz="0" w:space="0" w:color="auto"/>
        <w:left w:val="none" w:sz="0" w:space="0" w:color="auto"/>
        <w:bottom w:val="none" w:sz="0" w:space="0" w:color="auto"/>
        <w:right w:val="none" w:sz="0" w:space="0" w:color="auto"/>
      </w:divBdr>
    </w:div>
    <w:div w:id="229775452">
      <w:bodyDiv w:val="1"/>
      <w:marLeft w:val="0"/>
      <w:marRight w:val="0"/>
      <w:marTop w:val="0"/>
      <w:marBottom w:val="0"/>
      <w:divBdr>
        <w:top w:val="none" w:sz="0" w:space="0" w:color="auto"/>
        <w:left w:val="none" w:sz="0" w:space="0" w:color="auto"/>
        <w:bottom w:val="none" w:sz="0" w:space="0" w:color="auto"/>
        <w:right w:val="none" w:sz="0" w:space="0" w:color="auto"/>
      </w:divBdr>
    </w:div>
    <w:div w:id="233053855">
      <w:bodyDiv w:val="1"/>
      <w:marLeft w:val="0"/>
      <w:marRight w:val="0"/>
      <w:marTop w:val="0"/>
      <w:marBottom w:val="0"/>
      <w:divBdr>
        <w:top w:val="none" w:sz="0" w:space="0" w:color="auto"/>
        <w:left w:val="none" w:sz="0" w:space="0" w:color="auto"/>
        <w:bottom w:val="none" w:sz="0" w:space="0" w:color="auto"/>
        <w:right w:val="none" w:sz="0" w:space="0" w:color="auto"/>
      </w:divBdr>
    </w:div>
    <w:div w:id="245186755">
      <w:bodyDiv w:val="1"/>
      <w:marLeft w:val="0"/>
      <w:marRight w:val="0"/>
      <w:marTop w:val="0"/>
      <w:marBottom w:val="0"/>
      <w:divBdr>
        <w:top w:val="none" w:sz="0" w:space="0" w:color="auto"/>
        <w:left w:val="none" w:sz="0" w:space="0" w:color="auto"/>
        <w:bottom w:val="none" w:sz="0" w:space="0" w:color="auto"/>
        <w:right w:val="none" w:sz="0" w:space="0" w:color="auto"/>
      </w:divBdr>
    </w:div>
    <w:div w:id="256184270">
      <w:bodyDiv w:val="1"/>
      <w:marLeft w:val="0"/>
      <w:marRight w:val="0"/>
      <w:marTop w:val="0"/>
      <w:marBottom w:val="0"/>
      <w:divBdr>
        <w:top w:val="none" w:sz="0" w:space="0" w:color="auto"/>
        <w:left w:val="none" w:sz="0" w:space="0" w:color="auto"/>
        <w:bottom w:val="none" w:sz="0" w:space="0" w:color="auto"/>
        <w:right w:val="none" w:sz="0" w:space="0" w:color="auto"/>
      </w:divBdr>
    </w:div>
    <w:div w:id="265576622">
      <w:bodyDiv w:val="1"/>
      <w:marLeft w:val="0"/>
      <w:marRight w:val="0"/>
      <w:marTop w:val="0"/>
      <w:marBottom w:val="0"/>
      <w:divBdr>
        <w:top w:val="none" w:sz="0" w:space="0" w:color="auto"/>
        <w:left w:val="none" w:sz="0" w:space="0" w:color="auto"/>
        <w:bottom w:val="none" w:sz="0" w:space="0" w:color="auto"/>
        <w:right w:val="none" w:sz="0" w:space="0" w:color="auto"/>
      </w:divBdr>
    </w:div>
    <w:div w:id="267930109">
      <w:bodyDiv w:val="1"/>
      <w:marLeft w:val="0"/>
      <w:marRight w:val="0"/>
      <w:marTop w:val="0"/>
      <w:marBottom w:val="0"/>
      <w:divBdr>
        <w:top w:val="none" w:sz="0" w:space="0" w:color="auto"/>
        <w:left w:val="none" w:sz="0" w:space="0" w:color="auto"/>
        <w:bottom w:val="none" w:sz="0" w:space="0" w:color="auto"/>
        <w:right w:val="none" w:sz="0" w:space="0" w:color="auto"/>
      </w:divBdr>
    </w:div>
    <w:div w:id="276721789">
      <w:bodyDiv w:val="1"/>
      <w:marLeft w:val="0"/>
      <w:marRight w:val="0"/>
      <w:marTop w:val="0"/>
      <w:marBottom w:val="0"/>
      <w:divBdr>
        <w:top w:val="none" w:sz="0" w:space="0" w:color="auto"/>
        <w:left w:val="none" w:sz="0" w:space="0" w:color="auto"/>
        <w:bottom w:val="none" w:sz="0" w:space="0" w:color="auto"/>
        <w:right w:val="none" w:sz="0" w:space="0" w:color="auto"/>
      </w:divBdr>
    </w:div>
    <w:div w:id="290404798">
      <w:bodyDiv w:val="1"/>
      <w:marLeft w:val="0"/>
      <w:marRight w:val="0"/>
      <w:marTop w:val="0"/>
      <w:marBottom w:val="0"/>
      <w:divBdr>
        <w:top w:val="none" w:sz="0" w:space="0" w:color="auto"/>
        <w:left w:val="none" w:sz="0" w:space="0" w:color="auto"/>
        <w:bottom w:val="none" w:sz="0" w:space="0" w:color="auto"/>
        <w:right w:val="none" w:sz="0" w:space="0" w:color="auto"/>
      </w:divBdr>
    </w:div>
    <w:div w:id="294024915">
      <w:bodyDiv w:val="1"/>
      <w:marLeft w:val="0"/>
      <w:marRight w:val="0"/>
      <w:marTop w:val="0"/>
      <w:marBottom w:val="0"/>
      <w:divBdr>
        <w:top w:val="none" w:sz="0" w:space="0" w:color="auto"/>
        <w:left w:val="none" w:sz="0" w:space="0" w:color="auto"/>
        <w:bottom w:val="none" w:sz="0" w:space="0" w:color="auto"/>
        <w:right w:val="none" w:sz="0" w:space="0" w:color="auto"/>
      </w:divBdr>
    </w:div>
    <w:div w:id="296840222">
      <w:bodyDiv w:val="1"/>
      <w:marLeft w:val="0"/>
      <w:marRight w:val="0"/>
      <w:marTop w:val="0"/>
      <w:marBottom w:val="0"/>
      <w:divBdr>
        <w:top w:val="none" w:sz="0" w:space="0" w:color="auto"/>
        <w:left w:val="none" w:sz="0" w:space="0" w:color="auto"/>
        <w:bottom w:val="none" w:sz="0" w:space="0" w:color="auto"/>
        <w:right w:val="none" w:sz="0" w:space="0" w:color="auto"/>
      </w:divBdr>
    </w:div>
    <w:div w:id="297536894">
      <w:bodyDiv w:val="1"/>
      <w:marLeft w:val="0"/>
      <w:marRight w:val="0"/>
      <w:marTop w:val="0"/>
      <w:marBottom w:val="0"/>
      <w:divBdr>
        <w:top w:val="none" w:sz="0" w:space="0" w:color="auto"/>
        <w:left w:val="none" w:sz="0" w:space="0" w:color="auto"/>
        <w:bottom w:val="none" w:sz="0" w:space="0" w:color="auto"/>
        <w:right w:val="none" w:sz="0" w:space="0" w:color="auto"/>
      </w:divBdr>
    </w:div>
    <w:div w:id="299042772">
      <w:bodyDiv w:val="1"/>
      <w:marLeft w:val="0"/>
      <w:marRight w:val="0"/>
      <w:marTop w:val="0"/>
      <w:marBottom w:val="0"/>
      <w:divBdr>
        <w:top w:val="none" w:sz="0" w:space="0" w:color="auto"/>
        <w:left w:val="none" w:sz="0" w:space="0" w:color="auto"/>
        <w:bottom w:val="none" w:sz="0" w:space="0" w:color="auto"/>
        <w:right w:val="none" w:sz="0" w:space="0" w:color="auto"/>
      </w:divBdr>
    </w:div>
    <w:div w:id="303660841">
      <w:bodyDiv w:val="1"/>
      <w:marLeft w:val="0"/>
      <w:marRight w:val="0"/>
      <w:marTop w:val="0"/>
      <w:marBottom w:val="0"/>
      <w:divBdr>
        <w:top w:val="none" w:sz="0" w:space="0" w:color="auto"/>
        <w:left w:val="none" w:sz="0" w:space="0" w:color="auto"/>
        <w:bottom w:val="none" w:sz="0" w:space="0" w:color="auto"/>
        <w:right w:val="none" w:sz="0" w:space="0" w:color="auto"/>
      </w:divBdr>
    </w:div>
    <w:div w:id="313536655">
      <w:bodyDiv w:val="1"/>
      <w:marLeft w:val="0"/>
      <w:marRight w:val="0"/>
      <w:marTop w:val="0"/>
      <w:marBottom w:val="0"/>
      <w:divBdr>
        <w:top w:val="none" w:sz="0" w:space="0" w:color="auto"/>
        <w:left w:val="none" w:sz="0" w:space="0" w:color="auto"/>
        <w:bottom w:val="none" w:sz="0" w:space="0" w:color="auto"/>
        <w:right w:val="none" w:sz="0" w:space="0" w:color="auto"/>
      </w:divBdr>
    </w:div>
    <w:div w:id="317925370">
      <w:bodyDiv w:val="1"/>
      <w:marLeft w:val="0"/>
      <w:marRight w:val="0"/>
      <w:marTop w:val="0"/>
      <w:marBottom w:val="0"/>
      <w:divBdr>
        <w:top w:val="none" w:sz="0" w:space="0" w:color="auto"/>
        <w:left w:val="none" w:sz="0" w:space="0" w:color="auto"/>
        <w:bottom w:val="none" w:sz="0" w:space="0" w:color="auto"/>
        <w:right w:val="none" w:sz="0" w:space="0" w:color="auto"/>
      </w:divBdr>
    </w:div>
    <w:div w:id="319773155">
      <w:bodyDiv w:val="1"/>
      <w:marLeft w:val="0"/>
      <w:marRight w:val="0"/>
      <w:marTop w:val="0"/>
      <w:marBottom w:val="0"/>
      <w:divBdr>
        <w:top w:val="none" w:sz="0" w:space="0" w:color="auto"/>
        <w:left w:val="none" w:sz="0" w:space="0" w:color="auto"/>
        <w:bottom w:val="none" w:sz="0" w:space="0" w:color="auto"/>
        <w:right w:val="none" w:sz="0" w:space="0" w:color="auto"/>
      </w:divBdr>
    </w:div>
    <w:div w:id="325939217">
      <w:bodyDiv w:val="1"/>
      <w:marLeft w:val="0"/>
      <w:marRight w:val="0"/>
      <w:marTop w:val="0"/>
      <w:marBottom w:val="0"/>
      <w:divBdr>
        <w:top w:val="none" w:sz="0" w:space="0" w:color="auto"/>
        <w:left w:val="none" w:sz="0" w:space="0" w:color="auto"/>
        <w:bottom w:val="none" w:sz="0" w:space="0" w:color="auto"/>
        <w:right w:val="none" w:sz="0" w:space="0" w:color="auto"/>
      </w:divBdr>
    </w:div>
    <w:div w:id="326059004">
      <w:bodyDiv w:val="1"/>
      <w:marLeft w:val="0"/>
      <w:marRight w:val="0"/>
      <w:marTop w:val="0"/>
      <w:marBottom w:val="0"/>
      <w:divBdr>
        <w:top w:val="none" w:sz="0" w:space="0" w:color="auto"/>
        <w:left w:val="none" w:sz="0" w:space="0" w:color="auto"/>
        <w:bottom w:val="none" w:sz="0" w:space="0" w:color="auto"/>
        <w:right w:val="none" w:sz="0" w:space="0" w:color="auto"/>
      </w:divBdr>
    </w:div>
    <w:div w:id="332611325">
      <w:bodyDiv w:val="1"/>
      <w:marLeft w:val="0"/>
      <w:marRight w:val="0"/>
      <w:marTop w:val="0"/>
      <w:marBottom w:val="0"/>
      <w:divBdr>
        <w:top w:val="none" w:sz="0" w:space="0" w:color="auto"/>
        <w:left w:val="none" w:sz="0" w:space="0" w:color="auto"/>
        <w:bottom w:val="none" w:sz="0" w:space="0" w:color="auto"/>
        <w:right w:val="none" w:sz="0" w:space="0" w:color="auto"/>
      </w:divBdr>
    </w:div>
    <w:div w:id="351224892">
      <w:bodyDiv w:val="1"/>
      <w:marLeft w:val="0"/>
      <w:marRight w:val="0"/>
      <w:marTop w:val="0"/>
      <w:marBottom w:val="0"/>
      <w:divBdr>
        <w:top w:val="none" w:sz="0" w:space="0" w:color="auto"/>
        <w:left w:val="none" w:sz="0" w:space="0" w:color="auto"/>
        <w:bottom w:val="none" w:sz="0" w:space="0" w:color="auto"/>
        <w:right w:val="none" w:sz="0" w:space="0" w:color="auto"/>
      </w:divBdr>
    </w:div>
    <w:div w:id="359622887">
      <w:bodyDiv w:val="1"/>
      <w:marLeft w:val="0"/>
      <w:marRight w:val="0"/>
      <w:marTop w:val="0"/>
      <w:marBottom w:val="0"/>
      <w:divBdr>
        <w:top w:val="none" w:sz="0" w:space="0" w:color="auto"/>
        <w:left w:val="none" w:sz="0" w:space="0" w:color="auto"/>
        <w:bottom w:val="none" w:sz="0" w:space="0" w:color="auto"/>
        <w:right w:val="none" w:sz="0" w:space="0" w:color="auto"/>
      </w:divBdr>
    </w:div>
    <w:div w:id="379549316">
      <w:bodyDiv w:val="1"/>
      <w:marLeft w:val="0"/>
      <w:marRight w:val="0"/>
      <w:marTop w:val="0"/>
      <w:marBottom w:val="0"/>
      <w:divBdr>
        <w:top w:val="none" w:sz="0" w:space="0" w:color="auto"/>
        <w:left w:val="none" w:sz="0" w:space="0" w:color="auto"/>
        <w:bottom w:val="none" w:sz="0" w:space="0" w:color="auto"/>
        <w:right w:val="none" w:sz="0" w:space="0" w:color="auto"/>
      </w:divBdr>
    </w:div>
    <w:div w:id="382291808">
      <w:bodyDiv w:val="1"/>
      <w:marLeft w:val="0"/>
      <w:marRight w:val="0"/>
      <w:marTop w:val="0"/>
      <w:marBottom w:val="0"/>
      <w:divBdr>
        <w:top w:val="none" w:sz="0" w:space="0" w:color="auto"/>
        <w:left w:val="none" w:sz="0" w:space="0" w:color="auto"/>
        <w:bottom w:val="none" w:sz="0" w:space="0" w:color="auto"/>
        <w:right w:val="none" w:sz="0" w:space="0" w:color="auto"/>
      </w:divBdr>
    </w:div>
    <w:div w:id="390234084">
      <w:bodyDiv w:val="1"/>
      <w:marLeft w:val="0"/>
      <w:marRight w:val="0"/>
      <w:marTop w:val="0"/>
      <w:marBottom w:val="0"/>
      <w:divBdr>
        <w:top w:val="none" w:sz="0" w:space="0" w:color="auto"/>
        <w:left w:val="none" w:sz="0" w:space="0" w:color="auto"/>
        <w:bottom w:val="none" w:sz="0" w:space="0" w:color="auto"/>
        <w:right w:val="none" w:sz="0" w:space="0" w:color="auto"/>
      </w:divBdr>
    </w:div>
    <w:div w:id="391273272">
      <w:bodyDiv w:val="1"/>
      <w:marLeft w:val="0"/>
      <w:marRight w:val="0"/>
      <w:marTop w:val="0"/>
      <w:marBottom w:val="0"/>
      <w:divBdr>
        <w:top w:val="none" w:sz="0" w:space="0" w:color="auto"/>
        <w:left w:val="none" w:sz="0" w:space="0" w:color="auto"/>
        <w:bottom w:val="none" w:sz="0" w:space="0" w:color="auto"/>
        <w:right w:val="none" w:sz="0" w:space="0" w:color="auto"/>
      </w:divBdr>
    </w:div>
    <w:div w:id="398945044">
      <w:bodyDiv w:val="1"/>
      <w:marLeft w:val="0"/>
      <w:marRight w:val="0"/>
      <w:marTop w:val="0"/>
      <w:marBottom w:val="0"/>
      <w:divBdr>
        <w:top w:val="none" w:sz="0" w:space="0" w:color="auto"/>
        <w:left w:val="none" w:sz="0" w:space="0" w:color="auto"/>
        <w:bottom w:val="none" w:sz="0" w:space="0" w:color="auto"/>
        <w:right w:val="none" w:sz="0" w:space="0" w:color="auto"/>
      </w:divBdr>
    </w:div>
    <w:div w:id="400761172">
      <w:bodyDiv w:val="1"/>
      <w:marLeft w:val="0"/>
      <w:marRight w:val="0"/>
      <w:marTop w:val="0"/>
      <w:marBottom w:val="0"/>
      <w:divBdr>
        <w:top w:val="none" w:sz="0" w:space="0" w:color="auto"/>
        <w:left w:val="none" w:sz="0" w:space="0" w:color="auto"/>
        <w:bottom w:val="none" w:sz="0" w:space="0" w:color="auto"/>
        <w:right w:val="none" w:sz="0" w:space="0" w:color="auto"/>
      </w:divBdr>
    </w:div>
    <w:div w:id="401146655">
      <w:bodyDiv w:val="1"/>
      <w:marLeft w:val="0"/>
      <w:marRight w:val="0"/>
      <w:marTop w:val="0"/>
      <w:marBottom w:val="0"/>
      <w:divBdr>
        <w:top w:val="none" w:sz="0" w:space="0" w:color="auto"/>
        <w:left w:val="none" w:sz="0" w:space="0" w:color="auto"/>
        <w:bottom w:val="none" w:sz="0" w:space="0" w:color="auto"/>
        <w:right w:val="none" w:sz="0" w:space="0" w:color="auto"/>
      </w:divBdr>
    </w:div>
    <w:div w:id="407384813">
      <w:bodyDiv w:val="1"/>
      <w:marLeft w:val="0"/>
      <w:marRight w:val="0"/>
      <w:marTop w:val="0"/>
      <w:marBottom w:val="0"/>
      <w:divBdr>
        <w:top w:val="none" w:sz="0" w:space="0" w:color="auto"/>
        <w:left w:val="none" w:sz="0" w:space="0" w:color="auto"/>
        <w:bottom w:val="none" w:sz="0" w:space="0" w:color="auto"/>
        <w:right w:val="none" w:sz="0" w:space="0" w:color="auto"/>
      </w:divBdr>
    </w:div>
    <w:div w:id="409811921">
      <w:bodyDiv w:val="1"/>
      <w:marLeft w:val="0"/>
      <w:marRight w:val="0"/>
      <w:marTop w:val="0"/>
      <w:marBottom w:val="0"/>
      <w:divBdr>
        <w:top w:val="none" w:sz="0" w:space="0" w:color="auto"/>
        <w:left w:val="none" w:sz="0" w:space="0" w:color="auto"/>
        <w:bottom w:val="none" w:sz="0" w:space="0" w:color="auto"/>
        <w:right w:val="none" w:sz="0" w:space="0" w:color="auto"/>
      </w:divBdr>
    </w:div>
    <w:div w:id="418673291">
      <w:bodyDiv w:val="1"/>
      <w:marLeft w:val="0"/>
      <w:marRight w:val="0"/>
      <w:marTop w:val="0"/>
      <w:marBottom w:val="0"/>
      <w:divBdr>
        <w:top w:val="none" w:sz="0" w:space="0" w:color="auto"/>
        <w:left w:val="none" w:sz="0" w:space="0" w:color="auto"/>
        <w:bottom w:val="none" w:sz="0" w:space="0" w:color="auto"/>
        <w:right w:val="none" w:sz="0" w:space="0" w:color="auto"/>
      </w:divBdr>
    </w:div>
    <w:div w:id="429618649">
      <w:bodyDiv w:val="1"/>
      <w:marLeft w:val="0"/>
      <w:marRight w:val="0"/>
      <w:marTop w:val="0"/>
      <w:marBottom w:val="0"/>
      <w:divBdr>
        <w:top w:val="none" w:sz="0" w:space="0" w:color="auto"/>
        <w:left w:val="none" w:sz="0" w:space="0" w:color="auto"/>
        <w:bottom w:val="none" w:sz="0" w:space="0" w:color="auto"/>
        <w:right w:val="none" w:sz="0" w:space="0" w:color="auto"/>
      </w:divBdr>
    </w:div>
    <w:div w:id="429736950">
      <w:bodyDiv w:val="1"/>
      <w:marLeft w:val="0"/>
      <w:marRight w:val="0"/>
      <w:marTop w:val="0"/>
      <w:marBottom w:val="0"/>
      <w:divBdr>
        <w:top w:val="none" w:sz="0" w:space="0" w:color="auto"/>
        <w:left w:val="none" w:sz="0" w:space="0" w:color="auto"/>
        <w:bottom w:val="none" w:sz="0" w:space="0" w:color="auto"/>
        <w:right w:val="none" w:sz="0" w:space="0" w:color="auto"/>
      </w:divBdr>
    </w:div>
    <w:div w:id="438568838">
      <w:bodyDiv w:val="1"/>
      <w:marLeft w:val="0"/>
      <w:marRight w:val="0"/>
      <w:marTop w:val="0"/>
      <w:marBottom w:val="0"/>
      <w:divBdr>
        <w:top w:val="none" w:sz="0" w:space="0" w:color="auto"/>
        <w:left w:val="none" w:sz="0" w:space="0" w:color="auto"/>
        <w:bottom w:val="none" w:sz="0" w:space="0" w:color="auto"/>
        <w:right w:val="none" w:sz="0" w:space="0" w:color="auto"/>
      </w:divBdr>
    </w:div>
    <w:div w:id="441922421">
      <w:bodyDiv w:val="1"/>
      <w:marLeft w:val="0"/>
      <w:marRight w:val="0"/>
      <w:marTop w:val="0"/>
      <w:marBottom w:val="0"/>
      <w:divBdr>
        <w:top w:val="none" w:sz="0" w:space="0" w:color="auto"/>
        <w:left w:val="none" w:sz="0" w:space="0" w:color="auto"/>
        <w:bottom w:val="none" w:sz="0" w:space="0" w:color="auto"/>
        <w:right w:val="none" w:sz="0" w:space="0" w:color="auto"/>
      </w:divBdr>
    </w:div>
    <w:div w:id="444541727">
      <w:bodyDiv w:val="1"/>
      <w:marLeft w:val="0"/>
      <w:marRight w:val="0"/>
      <w:marTop w:val="0"/>
      <w:marBottom w:val="0"/>
      <w:divBdr>
        <w:top w:val="none" w:sz="0" w:space="0" w:color="auto"/>
        <w:left w:val="none" w:sz="0" w:space="0" w:color="auto"/>
        <w:bottom w:val="none" w:sz="0" w:space="0" w:color="auto"/>
        <w:right w:val="none" w:sz="0" w:space="0" w:color="auto"/>
      </w:divBdr>
    </w:div>
    <w:div w:id="458451877">
      <w:bodyDiv w:val="1"/>
      <w:marLeft w:val="0"/>
      <w:marRight w:val="0"/>
      <w:marTop w:val="0"/>
      <w:marBottom w:val="0"/>
      <w:divBdr>
        <w:top w:val="none" w:sz="0" w:space="0" w:color="auto"/>
        <w:left w:val="none" w:sz="0" w:space="0" w:color="auto"/>
        <w:bottom w:val="none" w:sz="0" w:space="0" w:color="auto"/>
        <w:right w:val="none" w:sz="0" w:space="0" w:color="auto"/>
      </w:divBdr>
    </w:div>
    <w:div w:id="465975867">
      <w:bodyDiv w:val="1"/>
      <w:marLeft w:val="0"/>
      <w:marRight w:val="0"/>
      <w:marTop w:val="0"/>
      <w:marBottom w:val="0"/>
      <w:divBdr>
        <w:top w:val="none" w:sz="0" w:space="0" w:color="auto"/>
        <w:left w:val="none" w:sz="0" w:space="0" w:color="auto"/>
        <w:bottom w:val="none" w:sz="0" w:space="0" w:color="auto"/>
        <w:right w:val="none" w:sz="0" w:space="0" w:color="auto"/>
      </w:divBdr>
    </w:div>
    <w:div w:id="471288735">
      <w:bodyDiv w:val="1"/>
      <w:marLeft w:val="0"/>
      <w:marRight w:val="0"/>
      <w:marTop w:val="0"/>
      <w:marBottom w:val="0"/>
      <w:divBdr>
        <w:top w:val="none" w:sz="0" w:space="0" w:color="auto"/>
        <w:left w:val="none" w:sz="0" w:space="0" w:color="auto"/>
        <w:bottom w:val="none" w:sz="0" w:space="0" w:color="auto"/>
        <w:right w:val="none" w:sz="0" w:space="0" w:color="auto"/>
      </w:divBdr>
    </w:div>
    <w:div w:id="471367310">
      <w:bodyDiv w:val="1"/>
      <w:marLeft w:val="0"/>
      <w:marRight w:val="0"/>
      <w:marTop w:val="0"/>
      <w:marBottom w:val="0"/>
      <w:divBdr>
        <w:top w:val="none" w:sz="0" w:space="0" w:color="auto"/>
        <w:left w:val="none" w:sz="0" w:space="0" w:color="auto"/>
        <w:bottom w:val="none" w:sz="0" w:space="0" w:color="auto"/>
        <w:right w:val="none" w:sz="0" w:space="0" w:color="auto"/>
      </w:divBdr>
    </w:div>
    <w:div w:id="474415286">
      <w:bodyDiv w:val="1"/>
      <w:marLeft w:val="0"/>
      <w:marRight w:val="0"/>
      <w:marTop w:val="0"/>
      <w:marBottom w:val="0"/>
      <w:divBdr>
        <w:top w:val="none" w:sz="0" w:space="0" w:color="auto"/>
        <w:left w:val="none" w:sz="0" w:space="0" w:color="auto"/>
        <w:bottom w:val="none" w:sz="0" w:space="0" w:color="auto"/>
        <w:right w:val="none" w:sz="0" w:space="0" w:color="auto"/>
      </w:divBdr>
    </w:div>
    <w:div w:id="477772101">
      <w:bodyDiv w:val="1"/>
      <w:marLeft w:val="0"/>
      <w:marRight w:val="0"/>
      <w:marTop w:val="0"/>
      <w:marBottom w:val="0"/>
      <w:divBdr>
        <w:top w:val="none" w:sz="0" w:space="0" w:color="auto"/>
        <w:left w:val="none" w:sz="0" w:space="0" w:color="auto"/>
        <w:bottom w:val="none" w:sz="0" w:space="0" w:color="auto"/>
        <w:right w:val="none" w:sz="0" w:space="0" w:color="auto"/>
      </w:divBdr>
    </w:div>
    <w:div w:id="478428104">
      <w:bodyDiv w:val="1"/>
      <w:marLeft w:val="0"/>
      <w:marRight w:val="0"/>
      <w:marTop w:val="0"/>
      <w:marBottom w:val="0"/>
      <w:divBdr>
        <w:top w:val="none" w:sz="0" w:space="0" w:color="auto"/>
        <w:left w:val="none" w:sz="0" w:space="0" w:color="auto"/>
        <w:bottom w:val="none" w:sz="0" w:space="0" w:color="auto"/>
        <w:right w:val="none" w:sz="0" w:space="0" w:color="auto"/>
      </w:divBdr>
    </w:div>
    <w:div w:id="480268124">
      <w:bodyDiv w:val="1"/>
      <w:marLeft w:val="0"/>
      <w:marRight w:val="0"/>
      <w:marTop w:val="0"/>
      <w:marBottom w:val="0"/>
      <w:divBdr>
        <w:top w:val="none" w:sz="0" w:space="0" w:color="auto"/>
        <w:left w:val="none" w:sz="0" w:space="0" w:color="auto"/>
        <w:bottom w:val="none" w:sz="0" w:space="0" w:color="auto"/>
        <w:right w:val="none" w:sz="0" w:space="0" w:color="auto"/>
      </w:divBdr>
    </w:div>
    <w:div w:id="490295352">
      <w:bodyDiv w:val="1"/>
      <w:marLeft w:val="0"/>
      <w:marRight w:val="0"/>
      <w:marTop w:val="0"/>
      <w:marBottom w:val="0"/>
      <w:divBdr>
        <w:top w:val="none" w:sz="0" w:space="0" w:color="auto"/>
        <w:left w:val="none" w:sz="0" w:space="0" w:color="auto"/>
        <w:bottom w:val="none" w:sz="0" w:space="0" w:color="auto"/>
        <w:right w:val="none" w:sz="0" w:space="0" w:color="auto"/>
      </w:divBdr>
    </w:div>
    <w:div w:id="495875504">
      <w:bodyDiv w:val="1"/>
      <w:marLeft w:val="0"/>
      <w:marRight w:val="0"/>
      <w:marTop w:val="0"/>
      <w:marBottom w:val="0"/>
      <w:divBdr>
        <w:top w:val="none" w:sz="0" w:space="0" w:color="auto"/>
        <w:left w:val="none" w:sz="0" w:space="0" w:color="auto"/>
        <w:bottom w:val="none" w:sz="0" w:space="0" w:color="auto"/>
        <w:right w:val="none" w:sz="0" w:space="0" w:color="auto"/>
      </w:divBdr>
    </w:div>
    <w:div w:id="500196142">
      <w:bodyDiv w:val="1"/>
      <w:marLeft w:val="0"/>
      <w:marRight w:val="0"/>
      <w:marTop w:val="0"/>
      <w:marBottom w:val="0"/>
      <w:divBdr>
        <w:top w:val="none" w:sz="0" w:space="0" w:color="auto"/>
        <w:left w:val="none" w:sz="0" w:space="0" w:color="auto"/>
        <w:bottom w:val="none" w:sz="0" w:space="0" w:color="auto"/>
        <w:right w:val="none" w:sz="0" w:space="0" w:color="auto"/>
      </w:divBdr>
    </w:div>
    <w:div w:id="510951296">
      <w:bodyDiv w:val="1"/>
      <w:marLeft w:val="0"/>
      <w:marRight w:val="0"/>
      <w:marTop w:val="0"/>
      <w:marBottom w:val="0"/>
      <w:divBdr>
        <w:top w:val="none" w:sz="0" w:space="0" w:color="auto"/>
        <w:left w:val="none" w:sz="0" w:space="0" w:color="auto"/>
        <w:bottom w:val="none" w:sz="0" w:space="0" w:color="auto"/>
        <w:right w:val="none" w:sz="0" w:space="0" w:color="auto"/>
      </w:divBdr>
    </w:div>
    <w:div w:id="517499322">
      <w:bodyDiv w:val="1"/>
      <w:marLeft w:val="0"/>
      <w:marRight w:val="0"/>
      <w:marTop w:val="0"/>
      <w:marBottom w:val="0"/>
      <w:divBdr>
        <w:top w:val="none" w:sz="0" w:space="0" w:color="auto"/>
        <w:left w:val="none" w:sz="0" w:space="0" w:color="auto"/>
        <w:bottom w:val="none" w:sz="0" w:space="0" w:color="auto"/>
        <w:right w:val="none" w:sz="0" w:space="0" w:color="auto"/>
      </w:divBdr>
    </w:div>
    <w:div w:id="525675183">
      <w:bodyDiv w:val="1"/>
      <w:marLeft w:val="0"/>
      <w:marRight w:val="0"/>
      <w:marTop w:val="0"/>
      <w:marBottom w:val="0"/>
      <w:divBdr>
        <w:top w:val="none" w:sz="0" w:space="0" w:color="auto"/>
        <w:left w:val="none" w:sz="0" w:space="0" w:color="auto"/>
        <w:bottom w:val="none" w:sz="0" w:space="0" w:color="auto"/>
        <w:right w:val="none" w:sz="0" w:space="0" w:color="auto"/>
      </w:divBdr>
    </w:div>
    <w:div w:id="529224233">
      <w:bodyDiv w:val="1"/>
      <w:marLeft w:val="0"/>
      <w:marRight w:val="0"/>
      <w:marTop w:val="0"/>
      <w:marBottom w:val="0"/>
      <w:divBdr>
        <w:top w:val="none" w:sz="0" w:space="0" w:color="auto"/>
        <w:left w:val="none" w:sz="0" w:space="0" w:color="auto"/>
        <w:bottom w:val="none" w:sz="0" w:space="0" w:color="auto"/>
        <w:right w:val="none" w:sz="0" w:space="0" w:color="auto"/>
      </w:divBdr>
    </w:div>
    <w:div w:id="537593978">
      <w:bodyDiv w:val="1"/>
      <w:marLeft w:val="0"/>
      <w:marRight w:val="0"/>
      <w:marTop w:val="0"/>
      <w:marBottom w:val="0"/>
      <w:divBdr>
        <w:top w:val="none" w:sz="0" w:space="0" w:color="auto"/>
        <w:left w:val="none" w:sz="0" w:space="0" w:color="auto"/>
        <w:bottom w:val="none" w:sz="0" w:space="0" w:color="auto"/>
        <w:right w:val="none" w:sz="0" w:space="0" w:color="auto"/>
      </w:divBdr>
    </w:div>
    <w:div w:id="538278914">
      <w:bodyDiv w:val="1"/>
      <w:marLeft w:val="0"/>
      <w:marRight w:val="0"/>
      <w:marTop w:val="0"/>
      <w:marBottom w:val="0"/>
      <w:divBdr>
        <w:top w:val="none" w:sz="0" w:space="0" w:color="auto"/>
        <w:left w:val="none" w:sz="0" w:space="0" w:color="auto"/>
        <w:bottom w:val="none" w:sz="0" w:space="0" w:color="auto"/>
        <w:right w:val="none" w:sz="0" w:space="0" w:color="auto"/>
      </w:divBdr>
    </w:div>
    <w:div w:id="539829581">
      <w:bodyDiv w:val="1"/>
      <w:marLeft w:val="0"/>
      <w:marRight w:val="0"/>
      <w:marTop w:val="0"/>
      <w:marBottom w:val="0"/>
      <w:divBdr>
        <w:top w:val="none" w:sz="0" w:space="0" w:color="auto"/>
        <w:left w:val="none" w:sz="0" w:space="0" w:color="auto"/>
        <w:bottom w:val="none" w:sz="0" w:space="0" w:color="auto"/>
        <w:right w:val="none" w:sz="0" w:space="0" w:color="auto"/>
      </w:divBdr>
    </w:div>
    <w:div w:id="549075716">
      <w:bodyDiv w:val="1"/>
      <w:marLeft w:val="0"/>
      <w:marRight w:val="0"/>
      <w:marTop w:val="0"/>
      <w:marBottom w:val="0"/>
      <w:divBdr>
        <w:top w:val="none" w:sz="0" w:space="0" w:color="auto"/>
        <w:left w:val="none" w:sz="0" w:space="0" w:color="auto"/>
        <w:bottom w:val="none" w:sz="0" w:space="0" w:color="auto"/>
        <w:right w:val="none" w:sz="0" w:space="0" w:color="auto"/>
      </w:divBdr>
    </w:div>
    <w:div w:id="554508489">
      <w:bodyDiv w:val="1"/>
      <w:marLeft w:val="0"/>
      <w:marRight w:val="0"/>
      <w:marTop w:val="0"/>
      <w:marBottom w:val="0"/>
      <w:divBdr>
        <w:top w:val="none" w:sz="0" w:space="0" w:color="auto"/>
        <w:left w:val="none" w:sz="0" w:space="0" w:color="auto"/>
        <w:bottom w:val="none" w:sz="0" w:space="0" w:color="auto"/>
        <w:right w:val="none" w:sz="0" w:space="0" w:color="auto"/>
      </w:divBdr>
    </w:div>
    <w:div w:id="557520339">
      <w:bodyDiv w:val="1"/>
      <w:marLeft w:val="0"/>
      <w:marRight w:val="0"/>
      <w:marTop w:val="0"/>
      <w:marBottom w:val="0"/>
      <w:divBdr>
        <w:top w:val="none" w:sz="0" w:space="0" w:color="auto"/>
        <w:left w:val="none" w:sz="0" w:space="0" w:color="auto"/>
        <w:bottom w:val="none" w:sz="0" w:space="0" w:color="auto"/>
        <w:right w:val="none" w:sz="0" w:space="0" w:color="auto"/>
      </w:divBdr>
    </w:div>
    <w:div w:id="573200248">
      <w:bodyDiv w:val="1"/>
      <w:marLeft w:val="0"/>
      <w:marRight w:val="0"/>
      <w:marTop w:val="0"/>
      <w:marBottom w:val="0"/>
      <w:divBdr>
        <w:top w:val="none" w:sz="0" w:space="0" w:color="auto"/>
        <w:left w:val="none" w:sz="0" w:space="0" w:color="auto"/>
        <w:bottom w:val="none" w:sz="0" w:space="0" w:color="auto"/>
        <w:right w:val="none" w:sz="0" w:space="0" w:color="auto"/>
      </w:divBdr>
    </w:div>
    <w:div w:id="581763544">
      <w:bodyDiv w:val="1"/>
      <w:marLeft w:val="0"/>
      <w:marRight w:val="0"/>
      <w:marTop w:val="0"/>
      <w:marBottom w:val="0"/>
      <w:divBdr>
        <w:top w:val="none" w:sz="0" w:space="0" w:color="auto"/>
        <w:left w:val="none" w:sz="0" w:space="0" w:color="auto"/>
        <w:bottom w:val="none" w:sz="0" w:space="0" w:color="auto"/>
        <w:right w:val="none" w:sz="0" w:space="0" w:color="auto"/>
      </w:divBdr>
    </w:div>
    <w:div w:id="594292673">
      <w:bodyDiv w:val="1"/>
      <w:marLeft w:val="0"/>
      <w:marRight w:val="0"/>
      <w:marTop w:val="0"/>
      <w:marBottom w:val="0"/>
      <w:divBdr>
        <w:top w:val="none" w:sz="0" w:space="0" w:color="auto"/>
        <w:left w:val="none" w:sz="0" w:space="0" w:color="auto"/>
        <w:bottom w:val="none" w:sz="0" w:space="0" w:color="auto"/>
        <w:right w:val="none" w:sz="0" w:space="0" w:color="auto"/>
      </w:divBdr>
    </w:div>
    <w:div w:id="598031587">
      <w:bodyDiv w:val="1"/>
      <w:marLeft w:val="0"/>
      <w:marRight w:val="0"/>
      <w:marTop w:val="0"/>
      <w:marBottom w:val="0"/>
      <w:divBdr>
        <w:top w:val="none" w:sz="0" w:space="0" w:color="auto"/>
        <w:left w:val="none" w:sz="0" w:space="0" w:color="auto"/>
        <w:bottom w:val="none" w:sz="0" w:space="0" w:color="auto"/>
        <w:right w:val="none" w:sz="0" w:space="0" w:color="auto"/>
      </w:divBdr>
    </w:div>
    <w:div w:id="607195688">
      <w:bodyDiv w:val="1"/>
      <w:marLeft w:val="0"/>
      <w:marRight w:val="0"/>
      <w:marTop w:val="0"/>
      <w:marBottom w:val="0"/>
      <w:divBdr>
        <w:top w:val="none" w:sz="0" w:space="0" w:color="auto"/>
        <w:left w:val="none" w:sz="0" w:space="0" w:color="auto"/>
        <w:bottom w:val="none" w:sz="0" w:space="0" w:color="auto"/>
        <w:right w:val="none" w:sz="0" w:space="0" w:color="auto"/>
      </w:divBdr>
    </w:div>
    <w:div w:id="608052311">
      <w:bodyDiv w:val="1"/>
      <w:marLeft w:val="0"/>
      <w:marRight w:val="0"/>
      <w:marTop w:val="0"/>
      <w:marBottom w:val="0"/>
      <w:divBdr>
        <w:top w:val="none" w:sz="0" w:space="0" w:color="auto"/>
        <w:left w:val="none" w:sz="0" w:space="0" w:color="auto"/>
        <w:bottom w:val="none" w:sz="0" w:space="0" w:color="auto"/>
        <w:right w:val="none" w:sz="0" w:space="0" w:color="auto"/>
      </w:divBdr>
    </w:div>
    <w:div w:id="617880597">
      <w:bodyDiv w:val="1"/>
      <w:marLeft w:val="0"/>
      <w:marRight w:val="0"/>
      <w:marTop w:val="0"/>
      <w:marBottom w:val="0"/>
      <w:divBdr>
        <w:top w:val="none" w:sz="0" w:space="0" w:color="auto"/>
        <w:left w:val="none" w:sz="0" w:space="0" w:color="auto"/>
        <w:bottom w:val="none" w:sz="0" w:space="0" w:color="auto"/>
        <w:right w:val="none" w:sz="0" w:space="0" w:color="auto"/>
      </w:divBdr>
    </w:div>
    <w:div w:id="626815944">
      <w:bodyDiv w:val="1"/>
      <w:marLeft w:val="0"/>
      <w:marRight w:val="0"/>
      <w:marTop w:val="0"/>
      <w:marBottom w:val="0"/>
      <w:divBdr>
        <w:top w:val="none" w:sz="0" w:space="0" w:color="auto"/>
        <w:left w:val="none" w:sz="0" w:space="0" w:color="auto"/>
        <w:bottom w:val="none" w:sz="0" w:space="0" w:color="auto"/>
        <w:right w:val="none" w:sz="0" w:space="0" w:color="auto"/>
      </w:divBdr>
    </w:div>
    <w:div w:id="635570321">
      <w:bodyDiv w:val="1"/>
      <w:marLeft w:val="0"/>
      <w:marRight w:val="0"/>
      <w:marTop w:val="0"/>
      <w:marBottom w:val="0"/>
      <w:divBdr>
        <w:top w:val="none" w:sz="0" w:space="0" w:color="auto"/>
        <w:left w:val="none" w:sz="0" w:space="0" w:color="auto"/>
        <w:bottom w:val="none" w:sz="0" w:space="0" w:color="auto"/>
        <w:right w:val="none" w:sz="0" w:space="0" w:color="auto"/>
      </w:divBdr>
    </w:div>
    <w:div w:id="650213603">
      <w:bodyDiv w:val="1"/>
      <w:marLeft w:val="0"/>
      <w:marRight w:val="0"/>
      <w:marTop w:val="0"/>
      <w:marBottom w:val="0"/>
      <w:divBdr>
        <w:top w:val="none" w:sz="0" w:space="0" w:color="auto"/>
        <w:left w:val="none" w:sz="0" w:space="0" w:color="auto"/>
        <w:bottom w:val="none" w:sz="0" w:space="0" w:color="auto"/>
        <w:right w:val="none" w:sz="0" w:space="0" w:color="auto"/>
      </w:divBdr>
    </w:div>
    <w:div w:id="651566488">
      <w:bodyDiv w:val="1"/>
      <w:marLeft w:val="0"/>
      <w:marRight w:val="0"/>
      <w:marTop w:val="0"/>
      <w:marBottom w:val="0"/>
      <w:divBdr>
        <w:top w:val="none" w:sz="0" w:space="0" w:color="auto"/>
        <w:left w:val="none" w:sz="0" w:space="0" w:color="auto"/>
        <w:bottom w:val="none" w:sz="0" w:space="0" w:color="auto"/>
        <w:right w:val="none" w:sz="0" w:space="0" w:color="auto"/>
      </w:divBdr>
    </w:div>
    <w:div w:id="675765786">
      <w:bodyDiv w:val="1"/>
      <w:marLeft w:val="0"/>
      <w:marRight w:val="0"/>
      <w:marTop w:val="0"/>
      <w:marBottom w:val="0"/>
      <w:divBdr>
        <w:top w:val="none" w:sz="0" w:space="0" w:color="auto"/>
        <w:left w:val="none" w:sz="0" w:space="0" w:color="auto"/>
        <w:bottom w:val="none" w:sz="0" w:space="0" w:color="auto"/>
        <w:right w:val="none" w:sz="0" w:space="0" w:color="auto"/>
      </w:divBdr>
    </w:div>
    <w:div w:id="685326561">
      <w:bodyDiv w:val="1"/>
      <w:marLeft w:val="0"/>
      <w:marRight w:val="0"/>
      <w:marTop w:val="0"/>
      <w:marBottom w:val="0"/>
      <w:divBdr>
        <w:top w:val="none" w:sz="0" w:space="0" w:color="auto"/>
        <w:left w:val="none" w:sz="0" w:space="0" w:color="auto"/>
        <w:bottom w:val="none" w:sz="0" w:space="0" w:color="auto"/>
        <w:right w:val="none" w:sz="0" w:space="0" w:color="auto"/>
      </w:divBdr>
    </w:div>
    <w:div w:id="707607026">
      <w:bodyDiv w:val="1"/>
      <w:marLeft w:val="0"/>
      <w:marRight w:val="0"/>
      <w:marTop w:val="0"/>
      <w:marBottom w:val="0"/>
      <w:divBdr>
        <w:top w:val="none" w:sz="0" w:space="0" w:color="auto"/>
        <w:left w:val="none" w:sz="0" w:space="0" w:color="auto"/>
        <w:bottom w:val="none" w:sz="0" w:space="0" w:color="auto"/>
        <w:right w:val="none" w:sz="0" w:space="0" w:color="auto"/>
      </w:divBdr>
    </w:div>
    <w:div w:id="716274324">
      <w:bodyDiv w:val="1"/>
      <w:marLeft w:val="0"/>
      <w:marRight w:val="0"/>
      <w:marTop w:val="0"/>
      <w:marBottom w:val="0"/>
      <w:divBdr>
        <w:top w:val="none" w:sz="0" w:space="0" w:color="auto"/>
        <w:left w:val="none" w:sz="0" w:space="0" w:color="auto"/>
        <w:bottom w:val="none" w:sz="0" w:space="0" w:color="auto"/>
        <w:right w:val="none" w:sz="0" w:space="0" w:color="auto"/>
      </w:divBdr>
    </w:div>
    <w:div w:id="718555536">
      <w:bodyDiv w:val="1"/>
      <w:marLeft w:val="0"/>
      <w:marRight w:val="0"/>
      <w:marTop w:val="0"/>
      <w:marBottom w:val="0"/>
      <w:divBdr>
        <w:top w:val="none" w:sz="0" w:space="0" w:color="auto"/>
        <w:left w:val="none" w:sz="0" w:space="0" w:color="auto"/>
        <w:bottom w:val="none" w:sz="0" w:space="0" w:color="auto"/>
        <w:right w:val="none" w:sz="0" w:space="0" w:color="auto"/>
      </w:divBdr>
    </w:div>
    <w:div w:id="742874603">
      <w:bodyDiv w:val="1"/>
      <w:marLeft w:val="0"/>
      <w:marRight w:val="0"/>
      <w:marTop w:val="0"/>
      <w:marBottom w:val="0"/>
      <w:divBdr>
        <w:top w:val="none" w:sz="0" w:space="0" w:color="auto"/>
        <w:left w:val="none" w:sz="0" w:space="0" w:color="auto"/>
        <w:bottom w:val="none" w:sz="0" w:space="0" w:color="auto"/>
        <w:right w:val="none" w:sz="0" w:space="0" w:color="auto"/>
      </w:divBdr>
    </w:div>
    <w:div w:id="765156027">
      <w:bodyDiv w:val="1"/>
      <w:marLeft w:val="0"/>
      <w:marRight w:val="0"/>
      <w:marTop w:val="0"/>
      <w:marBottom w:val="0"/>
      <w:divBdr>
        <w:top w:val="none" w:sz="0" w:space="0" w:color="auto"/>
        <w:left w:val="none" w:sz="0" w:space="0" w:color="auto"/>
        <w:bottom w:val="none" w:sz="0" w:space="0" w:color="auto"/>
        <w:right w:val="none" w:sz="0" w:space="0" w:color="auto"/>
      </w:divBdr>
    </w:div>
    <w:div w:id="772556892">
      <w:bodyDiv w:val="1"/>
      <w:marLeft w:val="0"/>
      <w:marRight w:val="0"/>
      <w:marTop w:val="0"/>
      <w:marBottom w:val="0"/>
      <w:divBdr>
        <w:top w:val="none" w:sz="0" w:space="0" w:color="auto"/>
        <w:left w:val="none" w:sz="0" w:space="0" w:color="auto"/>
        <w:bottom w:val="none" w:sz="0" w:space="0" w:color="auto"/>
        <w:right w:val="none" w:sz="0" w:space="0" w:color="auto"/>
      </w:divBdr>
    </w:div>
    <w:div w:id="780684488">
      <w:bodyDiv w:val="1"/>
      <w:marLeft w:val="0"/>
      <w:marRight w:val="0"/>
      <w:marTop w:val="0"/>
      <w:marBottom w:val="0"/>
      <w:divBdr>
        <w:top w:val="none" w:sz="0" w:space="0" w:color="auto"/>
        <w:left w:val="none" w:sz="0" w:space="0" w:color="auto"/>
        <w:bottom w:val="none" w:sz="0" w:space="0" w:color="auto"/>
        <w:right w:val="none" w:sz="0" w:space="0" w:color="auto"/>
      </w:divBdr>
    </w:div>
    <w:div w:id="797138692">
      <w:bodyDiv w:val="1"/>
      <w:marLeft w:val="0"/>
      <w:marRight w:val="0"/>
      <w:marTop w:val="0"/>
      <w:marBottom w:val="0"/>
      <w:divBdr>
        <w:top w:val="none" w:sz="0" w:space="0" w:color="auto"/>
        <w:left w:val="none" w:sz="0" w:space="0" w:color="auto"/>
        <w:bottom w:val="none" w:sz="0" w:space="0" w:color="auto"/>
        <w:right w:val="none" w:sz="0" w:space="0" w:color="auto"/>
      </w:divBdr>
    </w:div>
    <w:div w:id="805851120">
      <w:bodyDiv w:val="1"/>
      <w:marLeft w:val="0"/>
      <w:marRight w:val="0"/>
      <w:marTop w:val="0"/>
      <w:marBottom w:val="0"/>
      <w:divBdr>
        <w:top w:val="none" w:sz="0" w:space="0" w:color="auto"/>
        <w:left w:val="none" w:sz="0" w:space="0" w:color="auto"/>
        <w:bottom w:val="none" w:sz="0" w:space="0" w:color="auto"/>
        <w:right w:val="none" w:sz="0" w:space="0" w:color="auto"/>
      </w:divBdr>
    </w:div>
    <w:div w:id="815028365">
      <w:bodyDiv w:val="1"/>
      <w:marLeft w:val="0"/>
      <w:marRight w:val="0"/>
      <w:marTop w:val="0"/>
      <w:marBottom w:val="0"/>
      <w:divBdr>
        <w:top w:val="none" w:sz="0" w:space="0" w:color="auto"/>
        <w:left w:val="none" w:sz="0" w:space="0" w:color="auto"/>
        <w:bottom w:val="none" w:sz="0" w:space="0" w:color="auto"/>
        <w:right w:val="none" w:sz="0" w:space="0" w:color="auto"/>
      </w:divBdr>
    </w:div>
    <w:div w:id="821695696">
      <w:bodyDiv w:val="1"/>
      <w:marLeft w:val="0"/>
      <w:marRight w:val="0"/>
      <w:marTop w:val="0"/>
      <w:marBottom w:val="0"/>
      <w:divBdr>
        <w:top w:val="none" w:sz="0" w:space="0" w:color="auto"/>
        <w:left w:val="none" w:sz="0" w:space="0" w:color="auto"/>
        <w:bottom w:val="none" w:sz="0" w:space="0" w:color="auto"/>
        <w:right w:val="none" w:sz="0" w:space="0" w:color="auto"/>
      </w:divBdr>
    </w:div>
    <w:div w:id="828322939">
      <w:bodyDiv w:val="1"/>
      <w:marLeft w:val="0"/>
      <w:marRight w:val="0"/>
      <w:marTop w:val="0"/>
      <w:marBottom w:val="0"/>
      <w:divBdr>
        <w:top w:val="none" w:sz="0" w:space="0" w:color="auto"/>
        <w:left w:val="none" w:sz="0" w:space="0" w:color="auto"/>
        <w:bottom w:val="none" w:sz="0" w:space="0" w:color="auto"/>
        <w:right w:val="none" w:sz="0" w:space="0" w:color="auto"/>
      </w:divBdr>
    </w:div>
    <w:div w:id="836309910">
      <w:bodyDiv w:val="1"/>
      <w:marLeft w:val="0"/>
      <w:marRight w:val="0"/>
      <w:marTop w:val="0"/>
      <w:marBottom w:val="0"/>
      <w:divBdr>
        <w:top w:val="none" w:sz="0" w:space="0" w:color="auto"/>
        <w:left w:val="none" w:sz="0" w:space="0" w:color="auto"/>
        <w:bottom w:val="none" w:sz="0" w:space="0" w:color="auto"/>
        <w:right w:val="none" w:sz="0" w:space="0" w:color="auto"/>
      </w:divBdr>
    </w:div>
    <w:div w:id="837380451">
      <w:bodyDiv w:val="1"/>
      <w:marLeft w:val="0"/>
      <w:marRight w:val="0"/>
      <w:marTop w:val="0"/>
      <w:marBottom w:val="0"/>
      <w:divBdr>
        <w:top w:val="none" w:sz="0" w:space="0" w:color="auto"/>
        <w:left w:val="none" w:sz="0" w:space="0" w:color="auto"/>
        <w:bottom w:val="none" w:sz="0" w:space="0" w:color="auto"/>
        <w:right w:val="none" w:sz="0" w:space="0" w:color="auto"/>
      </w:divBdr>
    </w:div>
    <w:div w:id="844320431">
      <w:bodyDiv w:val="1"/>
      <w:marLeft w:val="0"/>
      <w:marRight w:val="0"/>
      <w:marTop w:val="0"/>
      <w:marBottom w:val="0"/>
      <w:divBdr>
        <w:top w:val="none" w:sz="0" w:space="0" w:color="auto"/>
        <w:left w:val="none" w:sz="0" w:space="0" w:color="auto"/>
        <w:bottom w:val="none" w:sz="0" w:space="0" w:color="auto"/>
        <w:right w:val="none" w:sz="0" w:space="0" w:color="auto"/>
      </w:divBdr>
    </w:div>
    <w:div w:id="851719087">
      <w:bodyDiv w:val="1"/>
      <w:marLeft w:val="0"/>
      <w:marRight w:val="0"/>
      <w:marTop w:val="0"/>
      <w:marBottom w:val="0"/>
      <w:divBdr>
        <w:top w:val="none" w:sz="0" w:space="0" w:color="auto"/>
        <w:left w:val="none" w:sz="0" w:space="0" w:color="auto"/>
        <w:bottom w:val="none" w:sz="0" w:space="0" w:color="auto"/>
        <w:right w:val="none" w:sz="0" w:space="0" w:color="auto"/>
      </w:divBdr>
    </w:div>
    <w:div w:id="855270154">
      <w:bodyDiv w:val="1"/>
      <w:marLeft w:val="0"/>
      <w:marRight w:val="0"/>
      <w:marTop w:val="0"/>
      <w:marBottom w:val="0"/>
      <w:divBdr>
        <w:top w:val="none" w:sz="0" w:space="0" w:color="auto"/>
        <w:left w:val="none" w:sz="0" w:space="0" w:color="auto"/>
        <w:bottom w:val="none" w:sz="0" w:space="0" w:color="auto"/>
        <w:right w:val="none" w:sz="0" w:space="0" w:color="auto"/>
      </w:divBdr>
    </w:div>
    <w:div w:id="861865385">
      <w:bodyDiv w:val="1"/>
      <w:marLeft w:val="0"/>
      <w:marRight w:val="0"/>
      <w:marTop w:val="0"/>
      <w:marBottom w:val="0"/>
      <w:divBdr>
        <w:top w:val="none" w:sz="0" w:space="0" w:color="auto"/>
        <w:left w:val="none" w:sz="0" w:space="0" w:color="auto"/>
        <w:bottom w:val="none" w:sz="0" w:space="0" w:color="auto"/>
        <w:right w:val="none" w:sz="0" w:space="0" w:color="auto"/>
      </w:divBdr>
    </w:div>
    <w:div w:id="866408073">
      <w:bodyDiv w:val="1"/>
      <w:marLeft w:val="0"/>
      <w:marRight w:val="0"/>
      <w:marTop w:val="0"/>
      <w:marBottom w:val="0"/>
      <w:divBdr>
        <w:top w:val="none" w:sz="0" w:space="0" w:color="auto"/>
        <w:left w:val="none" w:sz="0" w:space="0" w:color="auto"/>
        <w:bottom w:val="none" w:sz="0" w:space="0" w:color="auto"/>
        <w:right w:val="none" w:sz="0" w:space="0" w:color="auto"/>
      </w:divBdr>
    </w:div>
    <w:div w:id="888803918">
      <w:bodyDiv w:val="1"/>
      <w:marLeft w:val="0"/>
      <w:marRight w:val="0"/>
      <w:marTop w:val="0"/>
      <w:marBottom w:val="0"/>
      <w:divBdr>
        <w:top w:val="none" w:sz="0" w:space="0" w:color="auto"/>
        <w:left w:val="none" w:sz="0" w:space="0" w:color="auto"/>
        <w:bottom w:val="none" w:sz="0" w:space="0" w:color="auto"/>
        <w:right w:val="none" w:sz="0" w:space="0" w:color="auto"/>
      </w:divBdr>
    </w:div>
    <w:div w:id="894701052">
      <w:bodyDiv w:val="1"/>
      <w:marLeft w:val="0"/>
      <w:marRight w:val="0"/>
      <w:marTop w:val="0"/>
      <w:marBottom w:val="0"/>
      <w:divBdr>
        <w:top w:val="none" w:sz="0" w:space="0" w:color="auto"/>
        <w:left w:val="none" w:sz="0" w:space="0" w:color="auto"/>
        <w:bottom w:val="none" w:sz="0" w:space="0" w:color="auto"/>
        <w:right w:val="none" w:sz="0" w:space="0" w:color="auto"/>
      </w:divBdr>
    </w:div>
    <w:div w:id="897129698">
      <w:bodyDiv w:val="1"/>
      <w:marLeft w:val="0"/>
      <w:marRight w:val="0"/>
      <w:marTop w:val="0"/>
      <w:marBottom w:val="0"/>
      <w:divBdr>
        <w:top w:val="none" w:sz="0" w:space="0" w:color="auto"/>
        <w:left w:val="none" w:sz="0" w:space="0" w:color="auto"/>
        <w:bottom w:val="none" w:sz="0" w:space="0" w:color="auto"/>
        <w:right w:val="none" w:sz="0" w:space="0" w:color="auto"/>
      </w:divBdr>
    </w:div>
    <w:div w:id="898596079">
      <w:bodyDiv w:val="1"/>
      <w:marLeft w:val="0"/>
      <w:marRight w:val="0"/>
      <w:marTop w:val="0"/>
      <w:marBottom w:val="0"/>
      <w:divBdr>
        <w:top w:val="none" w:sz="0" w:space="0" w:color="auto"/>
        <w:left w:val="none" w:sz="0" w:space="0" w:color="auto"/>
        <w:bottom w:val="none" w:sz="0" w:space="0" w:color="auto"/>
        <w:right w:val="none" w:sz="0" w:space="0" w:color="auto"/>
      </w:divBdr>
    </w:div>
    <w:div w:id="920060550">
      <w:bodyDiv w:val="1"/>
      <w:marLeft w:val="0"/>
      <w:marRight w:val="0"/>
      <w:marTop w:val="0"/>
      <w:marBottom w:val="0"/>
      <w:divBdr>
        <w:top w:val="none" w:sz="0" w:space="0" w:color="auto"/>
        <w:left w:val="none" w:sz="0" w:space="0" w:color="auto"/>
        <w:bottom w:val="none" w:sz="0" w:space="0" w:color="auto"/>
        <w:right w:val="none" w:sz="0" w:space="0" w:color="auto"/>
      </w:divBdr>
    </w:div>
    <w:div w:id="928000522">
      <w:bodyDiv w:val="1"/>
      <w:marLeft w:val="0"/>
      <w:marRight w:val="0"/>
      <w:marTop w:val="0"/>
      <w:marBottom w:val="0"/>
      <w:divBdr>
        <w:top w:val="none" w:sz="0" w:space="0" w:color="auto"/>
        <w:left w:val="none" w:sz="0" w:space="0" w:color="auto"/>
        <w:bottom w:val="none" w:sz="0" w:space="0" w:color="auto"/>
        <w:right w:val="none" w:sz="0" w:space="0" w:color="auto"/>
      </w:divBdr>
    </w:div>
    <w:div w:id="928318680">
      <w:bodyDiv w:val="1"/>
      <w:marLeft w:val="0"/>
      <w:marRight w:val="0"/>
      <w:marTop w:val="0"/>
      <w:marBottom w:val="0"/>
      <w:divBdr>
        <w:top w:val="none" w:sz="0" w:space="0" w:color="auto"/>
        <w:left w:val="none" w:sz="0" w:space="0" w:color="auto"/>
        <w:bottom w:val="none" w:sz="0" w:space="0" w:color="auto"/>
        <w:right w:val="none" w:sz="0" w:space="0" w:color="auto"/>
      </w:divBdr>
    </w:div>
    <w:div w:id="935134643">
      <w:bodyDiv w:val="1"/>
      <w:marLeft w:val="0"/>
      <w:marRight w:val="0"/>
      <w:marTop w:val="0"/>
      <w:marBottom w:val="0"/>
      <w:divBdr>
        <w:top w:val="none" w:sz="0" w:space="0" w:color="auto"/>
        <w:left w:val="none" w:sz="0" w:space="0" w:color="auto"/>
        <w:bottom w:val="none" w:sz="0" w:space="0" w:color="auto"/>
        <w:right w:val="none" w:sz="0" w:space="0" w:color="auto"/>
      </w:divBdr>
    </w:div>
    <w:div w:id="937953671">
      <w:bodyDiv w:val="1"/>
      <w:marLeft w:val="0"/>
      <w:marRight w:val="0"/>
      <w:marTop w:val="0"/>
      <w:marBottom w:val="0"/>
      <w:divBdr>
        <w:top w:val="none" w:sz="0" w:space="0" w:color="auto"/>
        <w:left w:val="none" w:sz="0" w:space="0" w:color="auto"/>
        <w:bottom w:val="none" w:sz="0" w:space="0" w:color="auto"/>
        <w:right w:val="none" w:sz="0" w:space="0" w:color="auto"/>
      </w:divBdr>
    </w:div>
    <w:div w:id="938949072">
      <w:bodyDiv w:val="1"/>
      <w:marLeft w:val="0"/>
      <w:marRight w:val="0"/>
      <w:marTop w:val="0"/>
      <w:marBottom w:val="0"/>
      <w:divBdr>
        <w:top w:val="none" w:sz="0" w:space="0" w:color="auto"/>
        <w:left w:val="none" w:sz="0" w:space="0" w:color="auto"/>
        <w:bottom w:val="none" w:sz="0" w:space="0" w:color="auto"/>
        <w:right w:val="none" w:sz="0" w:space="0" w:color="auto"/>
      </w:divBdr>
    </w:div>
    <w:div w:id="949433440">
      <w:bodyDiv w:val="1"/>
      <w:marLeft w:val="0"/>
      <w:marRight w:val="0"/>
      <w:marTop w:val="0"/>
      <w:marBottom w:val="0"/>
      <w:divBdr>
        <w:top w:val="none" w:sz="0" w:space="0" w:color="auto"/>
        <w:left w:val="none" w:sz="0" w:space="0" w:color="auto"/>
        <w:bottom w:val="none" w:sz="0" w:space="0" w:color="auto"/>
        <w:right w:val="none" w:sz="0" w:space="0" w:color="auto"/>
      </w:divBdr>
    </w:div>
    <w:div w:id="962537088">
      <w:bodyDiv w:val="1"/>
      <w:marLeft w:val="0"/>
      <w:marRight w:val="0"/>
      <w:marTop w:val="0"/>
      <w:marBottom w:val="0"/>
      <w:divBdr>
        <w:top w:val="none" w:sz="0" w:space="0" w:color="auto"/>
        <w:left w:val="none" w:sz="0" w:space="0" w:color="auto"/>
        <w:bottom w:val="none" w:sz="0" w:space="0" w:color="auto"/>
        <w:right w:val="none" w:sz="0" w:space="0" w:color="auto"/>
      </w:divBdr>
    </w:div>
    <w:div w:id="963581719">
      <w:bodyDiv w:val="1"/>
      <w:marLeft w:val="0"/>
      <w:marRight w:val="0"/>
      <w:marTop w:val="0"/>
      <w:marBottom w:val="0"/>
      <w:divBdr>
        <w:top w:val="none" w:sz="0" w:space="0" w:color="auto"/>
        <w:left w:val="none" w:sz="0" w:space="0" w:color="auto"/>
        <w:bottom w:val="none" w:sz="0" w:space="0" w:color="auto"/>
        <w:right w:val="none" w:sz="0" w:space="0" w:color="auto"/>
      </w:divBdr>
    </w:div>
    <w:div w:id="969021948">
      <w:bodyDiv w:val="1"/>
      <w:marLeft w:val="0"/>
      <w:marRight w:val="0"/>
      <w:marTop w:val="0"/>
      <w:marBottom w:val="0"/>
      <w:divBdr>
        <w:top w:val="none" w:sz="0" w:space="0" w:color="auto"/>
        <w:left w:val="none" w:sz="0" w:space="0" w:color="auto"/>
        <w:bottom w:val="none" w:sz="0" w:space="0" w:color="auto"/>
        <w:right w:val="none" w:sz="0" w:space="0" w:color="auto"/>
      </w:divBdr>
    </w:div>
    <w:div w:id="969214015">
      <w:bodyDiv w:val="1"/>
      <w:marLeft w:val="0"/>
      <w:marRight w:val="0"/>
      <w:marTop w:val="0"/>
      <w:marBottom w:val="0"/>
      <w:divBdr>
        <w:top w:val="none" w:sz="0" w:space="0" w:color="auto"/>
        <w:left w:val="none" w:sz="0" w:space="0" w:color="auto"/>
        <w:bottom w:val="none" w:sz="0" w:space="0" w:color="auto"/>
        <w:right w:val="none" w:sz="0" w:space="0" w:color="auto"/>
      </w:divBdr>
    </w:div>
    <w:div w:id="1005132510">
      <w:bodyDiv w:val="1"/>
      <w:marLeft w:val="0"/>
      <w:marRight w:val="0"/>
      <w:marTop w:val="0"/>
      <w:marBottom w:val="0"/>
      <w:divBdr>
        <w:top w:val="none" w:sz="0" w:space="0" w:color="auto"/>
        <w:left w:val="none" w:sz="0" w:space="0" w:color="auto"/>
        <w:bottom w:val="none" w:sz="0" w:space="0" w:color="auto"/>
        <w:right w:val="none" w:sz="0" w:space="0" w:color="auto"/>
      </w:divBdr>
    </w:div>
    <w:div w:id="1006982158">
      <w:bodyDiv w:val="1"/>
      <w:marLeft w:val="0"/>
      <w:marRight w:val="0"/>
      <w:marTop w:val="0"/>
      <w:marBottom w:val="0"/>
      <w:divBdr>
        <w:top w:val="none" w:sz="0" w:space="0" w:color="auto"/>
        <w:left w:val="none" w:sz="0" w:space="0" w:color="auto"/>
        <w:bottom w:val="none" w:sz="0" w:space="0" w:color="auto"/>
        <w:right w:val="none" w:sz="0" w:space="0" w:color="auto"/>
      </w:divBdr>
    </w:div>
    <w:div w:id="1012608670">
      <w:bodyDiv w:val="1"/>
      <w:marLeft w:val="0"/>
      <w:marRight w:val="0"/>
      <w:marTop w:val="0"/>
      <w:marBottom w:val="0"/>
      <w:divBdr>
        <w:top w:val="none" w:sz="0" w:space="0" w:color="auto"/>
        <w:left w:val="none" w:sz="0" w:space="0" w:color="auto"/>
        <w:bottom w:val="none" w:sz="0" w:space="0" w:color="auto"/>
        <w:right w:val="none" w:sz="0" w:space="0" w:color="auto"/>
      </w:divBdr>
    </w:div>
    <w:div w:id="1017737662">
      <w:bodyDiv w:val="1"/>
      <w:marLeft w:val="0"/>
      <w:marRight w:val="0"/>
      <w:marTop w:val="0"/>
      <w:marBottom w:val="0"/>
      <w:divBdr>
        <w:top w:val="none" w:sz="0" w:space="0" w:color="auto"/>
        <w:left w:val="none" w:sz="0" w:space="0" w:color="auto"/>
        <w:bottom w:val="none" w:sz="0" w:space="0" w:color="auto"/>
        <w:right w:val="none" w:sz="0" w:space="0" w:color="auto"/>
      </w:divBdr>
    </w:div>
    <w:div w:id="1030842488">
      <w:bodyDiv w:val="1"/>
      <w:marLeft w:val="0"/>
      <w:marRight w:val="0"/>
      <w:marTop w:val="0"/>
      <w:marBottom w:val="0"/>
      <w:divBdr>
        <w:top w:val="none" w:sz="0" w:space="0" w:color="auto"/>
        <w:left w:val="none" w:sz="0" w:space="0" w:color="auto"/>
        <w:bottom w:val="none" w:sz="0" w:space="0" w:color="auto"/>
        <w:right w:val="none" w:sz="0" w:space="0" w:color="auto"/>
      </w:divBdr>
    </w:div>
    <w:div w:id="1034231092">
      <w:bodyDiv w:val="1"/>
      <w:marLeft w:val="0"/>
      <w:marRight w:val="0"/>
      <w:marTop w:val="0"/>
      <w:marBottom w:val="0"/>
      <w:divBdr>
        <w:top w:val="none" w:sz="0" w:space="0" w:color="auto"/>
        <w:left w:val="none" w:sz="0" w:space="0" w:color="auto"/>
        <w:bottom w:val="none" w:sz="0" w:space="0" w:color="auto"/>
        <w:right w:val="none" w:sz="0" w:space="0" w:color="auto"/>
      </w:divBdr>
    </w:div>
    <w:div w:id="1036541141">
      <w:bodyDiv w:val="1"/>
      <w:marLeft w:val="0"/>
      <w:marRight w:val="0"/>
      <w:marTop w:val="0"/>
      <w:marBottom w:val="0"/>
      <w:divBdr>
        <w:top w:val="none" w:sz="0" w:space="0" w:color="auto"/>
        <w:left w:val="none" w:sz="0" w:space="0" w:color="auto"/>
        <w:bottom w:val="none" w:sz="0" w:space="0" w:color="auto"/>
        <w:right w:val="none" w:sz="0" w:space="0" w:color="auto"/>
      </w:divBdr>
    </w:div>
    <w:div w:id="1047877919">
      <w:bodyDiv w:val="1"/>
      <w:marLeft w:val="0"/>
      <w:marRight w:val="0"/>
      <w:marTop w:val="0"/>
      <w:marBottom w:val="0"/>
      <w:divBdr>
        <w:top w:val="none" w:sz="0" w:space="0" w:color="auto"/>
        <w:left w:val="none" w:sz="0" w:space="0" w:color="auto"/>
        <w:bottom w:val="none" w:sz="0" w:space="0" w:color="auto"/>
        <w:right w:val="none" w:sz="0" w:space="0" w:color="auto"/>
      </w:divBdr>
    </w:div>
    <w:div w:id="1051538713">
      <w:bodyDiv w:val="1"/>
      <w:marLeft w:val="0"/>
      <w:marRight w:val="0"/>
      <w:marTop w:val="0"/>
      <w:marBottom w:val="0"/>
      <w:divBdr>
        <w:top w:val="none" w:sz="0" w:space="0" w:color="auto"/>
        <w:left w:val="none" w:sz="0" w:space="0" w:color="auto"/>
        <w:bottom w:val="none" w:sz="0" w:space="0" w:color="auto"/>
        <w:right w:val="none" w:sz="0" w:space="0" w:color="auto"/>
      </w:divBdr>
    </w:div>
    <w:div w:id="1088117942">
      <w:bodyDiv w:val="1"/>
      <w:marLeft w:val="0"/>
      <w:marRight w:val="0"/>
      <w:marTop w:val="0"/>
      <w:marBottom w:val="0"/>
      <w:divBdr>
        <w:top w:val="none" w:sz="0" w:space="0" w:color="auto"/>
        <w:left w:val="none" w:sz="0" w:space="0" w:color="auto"/>
        <w:bottom w:val="none" w:sz="0" w:space="0" w:color="auto"/>
        <w:right w:val="none" w:sz="0" w:space="0" w:color="auto"/>
      </w:divBdr>
    </w:div>
    <w:div w:id="1101074329">
      <w:bodyDiv w:val="1"/>
      <w:marLeft w:val="0"/>
      <w:marRight w:val="0"/>
      <w:marTop w:val="0"/>
      <w:marBottom w:val="0"/>
      <w:divBdr>
        <w:top w:val="none" w:sz="0" w:space="0" w:color="auto"/>
        <w:left w:val="none" w:sz="0" w:space="0" w:color="auto"/>
        <w:bottom w:val="none" w:sz="0" w:space="0" w:color="auto"/>
        <w:right w:val="none" w:sz="0" w:space="0" w:color="auto"/>
      </w:divBdr>
    </w:div>
    <w:div w:id="1103456487">
      <w:bodyDiv w:val="1"/>
      <w:marLeft w:val="0"/>
      <w:marRight w:val="0"/>
      <w:marTop w:val="0"/>
      <w:marBottom w:val="0"/>
      <w:divBdr>
        <w:top w:val="none" w:sz="0" w:space="0" w:color="auto"/>
        <w:left w:val="none" w:sz="0" w:space="0" w:color="auto"/>
        <w:bottom w:val="none" w:sz="0" w:space="0" w:color="auto"/>
        <w:right w:val="none" w:sz="0" w:space="0" w:color="auto"/>
      </w:divBdr>
    </w:div>
    <w:div w:id="1104695436">
      <w:bodyDiv w:val="1"/>
      <w:marLeft w:val="0"/>
      <w:marRight w:val="0"/>
      <w:marTop w:val="0"/>
      <w:marBottom w:val="0"/>
      <w:divBdr>
        <w:top w:val="none" w:sz="0" w:space="0" w:color="auto"/>
        <w:left w:val="none" w:sz="0" w:space="0" w:color="auto"/>
        <w:bottom w:val="none" w:sz="0" w:space="0" w:color="auto"/>
        <w:right w:val="none" w:sz="0" w:space="0" w:color="auto"/>
      </w:divBdr>
    </w:div>
    <w:div w:id="1123765133">
      <w:bodyDiv w:val="1"/>
      <w:marLeft w:val="0"/>
      <w:marRight w:val="0"/>
      <w:marTop w:val="0"/>
      <w:marBottom w:val="0"/>
      <w:divBdr>
        <w:top w:val="none" w:sz="0" w:space="0" w:color="auto"/>
        <w:left w:val="none" w:sz="0" w:space="0" w:color="auto"/>
        <w:bottom w:val="none" w:sz="0" w:space="0" w:color="auto"/>
        <w:right w:val="none" w:sz="0" w:space="0" w:color="auto"/>
      </w:divBdr>
    </w:div>
    <w:div w:id="1139684047">
      <w:bodyDiv w:val="1"/>
      <w:marLeft w:val="0"/>
      <w:marRight w:val="0"/>
      <w:marTop w:val="0"/>
      <w:marBottom w:val="0"/>
      <w:divBdr>
        <w:top w:val="none" w:sz="0" w:space="0" w:color="auto"/>
        <w:left w:val="none" w:sz="0" w:space="0" w:color="auto"/>
        <w:bottom w:val="none" w:sz="0" w:space="0" w:color="auto"/>
        <w:right w:val="none" w:sz="0" w:space="0" w:color="auto"/>
      </w:divBdr>
    </w:div>
    <w:div w:id="1146706741">
      <w:bodyDiv w:val="1"/>
      <w:marLeft w:val="0"/>
      <w:marRight w:val="0"/>
      <w:marTop w:val="0"/>
      <w:marBottom w:val="0"/>
      <w:divBdr>
        <w:top w:val="none" w:sz="0" w:space="0" w:color="auto"/>
        <w:left w:val="none" w:sz="0" w:space="0" w:color="auto"/>
        <w:bottom w:val="none" w:sz="0" w:space="0" w:color="auto"/>
        <w:right w:val="none" w:sz="0" w:space="0" w:color="auto"/>
      </w:divBdr>
    </w:div>
    <w:div w:id="1165824365">
      <w:bodyDiv w:val="1"/>
      <w:marLeft w:val="0"/>
      <w:marRight w:val="0"/>
      <w:marTop w:val="0"/>
      <w:marBottom w:val="0"/>
      <w:divBdr>
        <w:top w:val="none" w:sz="0" w:space="0" w:color="auto"/>
        <w:left w:val="none" w:sz="0" w:space="0" w:color="auto"/>
        <w:bottom w:val="none" w:sz="0" w:space="0" w:color="auto"/>
        <w:right w:val="none" w:sz="0" w:space="0" w:color="auto"/>
      </w:divBdr>
    </w:div>
    <w:div w:id="1168861360">
      <w:bodyDiv w:val="1"/>
      <w:marLeft w:val="0"/>
      <w:marRight w:val="0"/>
      <w:marTop w:val="0"/>
      <w:marBottom w:val="0"/>
      <w:divBdr>
        <w:top w:val="none" w:sz="0" w:space="0" w:color="auto"/>
        <w:left w:val="none" w:sz="0" w:space="0" w:color="auto"/>
        <w:bottom w:val="none" w:sz="0" w:space="0" w:color="auto"/>
        <w:right w:val="none" w:sz="0" w:space="0" w:color="auto"/>
      </w:divBdr>
    </w:div>
    <w:div w:id="1177497268">
      <w:bodyDiv w:val="1"/>
      <w:marLeft w:val="0"/>
      <w:marRight w:val="0"/>
      <w:marTop w:val="0"/>
      <w:marBottom w:val="0"/>
      <w:divBdr>
        <w:top w:val="none" w:sz="0" w:space="0" w:color="auto"/>
        <w:left w:val="none" w:sz="0" w:space="0" w:color="auto"/>
        <w:bottom w:val="none" w:sz="0" w:space="0" w:color="auto"/>
        <w:right w:val="none" w:sz="0" w:space="0" w:color="auto"/>
      </w:divBdr>
    </w:div>
    <w:div w:id="1184828683">
      <w:bodyDiv w:val="1"/>
      <w:marLeft w:val="0"/>
      <w:marRight w:val="0"/>
      <w:marTop w:val="0"/>
      <w:marBottom w:val="0"/>
      <w:divBdr>
        <w:top w:val="none" w:sz="0" w:space="0" w:color="auto"/>
        <w:left w:val="none" w:sz="0" w:space="0" w:color="auto"/>
        <w:bottom w:val="none" w:sz="0" w:space="0" w:color="auto"/>
        <w:right w:val="none" w:sz="0" w:space="0" w:color="auto"/>
      </w:divBdr>
    </w:div>
    <w:div w:id="1192644363">
      <w:bodyDiv w:val="1"/>
      <w:marLeft w:val="0"/>
      <w:marRight w:val="0"/>
      <w:marTop w:val="0"/>
      <w:marBottom w:val="0"/>
      <w:divBdr>
        <w:top w:val="none" w:sz="0" w:space="0" w:color="auto"/>
        <w:left w:val="none" w:sz="0" w:space="0" w:color="auto"/>
        <w:bottom w:val="none" w:sz="0" w:space="0" w:color="auto"/>
        <w:right w:val="none" w:sz="0" w:space="0" w:color="auto"/>
      </w:divBdr>
    </w:div>
    <w:div w:id="1196847208">
      <w:bodyDiv w:val="1"/>
      <w:marLeft w:val="0"/>
      <w:marRight w:val="0"/>
      <w:marTop w:val="0"/>
      <w:marBottom w:val="0"/>
      <w:divBdr>
        <w:top w:val="none" w:sz="0" w:space="0" w:color="auto"/>
        <w:left w:val="none" w:sz="0" w:space="0" w:color="auto"/>
        <w:bottom w:val="none" w:sz="0" w:space="0" w:color="auto"/>
        <w:right w:val="none" w:sz="0" w:space="0" w:color="auto"/>
      </w:divBdr>
    </w:div>
    <w:div w:id="1208567299">
      <w:bodyDiv w:val="1"/>
      <w:marLeft w:val="0"/>
      <w:marRight w:val="0"/>
      <w:marTop w:val="0"/>
      <w:marBottom w:val="0"/>
      <w:divBdr>
        <w:top w:val="none" w:sz="0" w:space="0" w:color="auto"/>
        <w:left w:val="none" w:sz="0" w:space="0" w:color="auto"/>
        <w:bottom w:val="none" w:sz="0" w:space="0" w:color="auto"/>
        <w:right w:val="none" w:sz="0" w:space="0" w:color="auto"/>
      </w:divBdr>
    </w:div>
    <w:div w:id="1209147737">
      <w:bodyDiv w:val="1"/>
      <w:marLeft w:val="0"/>
      <w:marRight w:val="0"/>
      <w:marTop w:val="0"/>
      <w:marBottom w:val="0"/>
      <w:divBdr>
        <w:top w:val="none" w:sz="0" w:space="0" w:color="auto"/>
        <w:left w:val="none" w:sz="0" w:space="0" w:color="auto"/>
        <w:bottom w:val="none" w:sz="0" w:space="0" w:color="auto"/>
        <w:right w:val="none" w:sz="0" w:space="0" w:color="auto"/>
      </w:divBdr>
    </w:div>
    <w:div w:id="1241677450">
      <w:bodyDiv w:val="1"/>
      <w:marLeft w:val="0"/>
      <w:marRight w:val="0"/>
      <w:marTop w:val="0"/>
      <w:marBottom w:val="0"/>
      <w:divBdr>
        <w:top w:val="none" w:sz="0" w:space="0" w:color="auto"/>
        <w:left w:val="none" w:sz="0" w:space="0" w:color="auto"/>
        <w:bottom w:val="none" w:sz="0" w:space="0" w:color="auto"/>
        <w:right w:val="none" w:sz="0" w:space="0" w:color="auto"/>
      </w:divBdr>
    </w:div>
    <w:div w:id="1244728224">
      <w:bodyDiv w:val="1"/>
      <w:marLeft w:val="0"/>
      <w:marRight w:val="0"/>
      <w:marTop w:val="0"/>
      <w:marBottom w:val="0"/>
      <w:divBdr>
        <w:top w:val="none" w:sz="0" w:space="0" w:color="auto"/>
        <w:left w:val="none" w:sz="0" w:space="0" w:color="auto"/>
        <w:bottom w:val="none" w:sz="0" w:space="0" w:color="auto"/>
        <w:right w:val="none" w:sz="0" w:space="0" w:color="auto"/>
      </w:divBdr>
    </w:div>
    <w:div w:id="1250037859">
      <w:bodyDiv w:val="1"/>
      <w:marLeft w:val="0"/>
      <w:marRight w:val="0"/>
      <w:marTop w:val="0"/>
      <w:marBottom w:val="0"/>
      <w:divBdr>
        <w:top w:val="none" w:sz="0" w:space="0" w:color="auto"/>
        <w:left w:val="none" w:sz="0" w:space="0" w:color="auto"/>
        <w:bottom w:val="none" w:sz="0" w:space="0" w:color="auto"/>
        <w:right w:val="none" w:sz="0" w:space="0" w:color="auto"/>
      </w:divBdr>
    </w:div>
    <w:div w:id="1250624202">
      <w:bodyDiv w:val="1"/>
      <w:marLeft w:val="0"/>
      <w:marRight w:val="0"/>
      <w:marTop w:val="0"/>
      <w:marBottom w:val="0"/>
      <w:divBdr>
        <w:top w:val="none" w:sz="0" w:space="0" w:color="auto"/>
        <w:left w:val="none" w:sz="0" w:space="0" w:color="auto"/>
        <w:bottom w:val="none" w:sz="0" w:space="0" w:color="auto"/>
        <w:right w:val="none" w:sz="0" w:space="0" w:color="auto"/>
      </w:divBdr>
    </w:div>
    <w:div w:id="1252858466">
      <w:bodyDiv w:val="1"/>
      <w:marLeft w:val="0"/>
      <w:marRight w:val="0"/>
      <w:marTop w:val="0"/>
      <w:marBottom w:val="0"/>
      <w:divBdr>
        <w:top w:val="none" w:sz="0" w:space="0" w:color="auto"/>
        <w:left w:val="none" w:sz="0" w:space="0" w:color="auto"/>
        <w:bottom w:val="none" w:sz="0" w:space="0" w:color="auto"/>
        <w:right w:val="none" w:sz="0" w:space="0" w:color="auto"/>
      </w:divBdr>
    </w:div>
    <w:div w:id="1273905081">
      <w:bodyDiv w:val="1"/>
      <w:marLeft w:val="0"/>
      <w:marRight w:val="0"/>
      <w:marTop w:val="0"/>
      <w:marBottom w:val="0"/>
      <w:divBdr>
        <w:top w:val="none" w:sz="0" w:space="0" w:color="auto"/>
        <w:left w:val="none" w:sz="0" w:space="0" w:color="auto"/>
        <w:bottom w:val="none" w:sz="0" w:space="0" w:color="auto"/>
        <w:right w:val="none" w:sz="0" w:space="0" w:color="auto"/>
      </w:divBdr>
    </w:div>
    <w:div w:id="1274556470">
      <w:bodyDiv w:val="1"/>
      <w:marLeft w:val="0"/>
      <w:marRight w:val="0"/>
      <w:marTop w:val="0"/>
      <w:marBottom w:val="0"/>
      <w:divBdr>
        <w:top w:val="none" w:sz="0" w:space="0" w:color="auto"/>
        <w:left w:val="none" w:sz="0" w:space="0" w:color="auto"/>
        <w:bottom w:val="none" w:sz="0" w:space="0" w:color="auto"/>
        <w:right w:val="none" w:sz="0" w:space="0" w:color="auto"/>
      </w:divBdr>
    </w:div>
    <w:div w:id="1279798644">
      <w:bodyDiv w:val="1"/>
      <w:marLeft w:val="0"/>
      <w:marRight w:val="0"/>
      <w:marTop w:val="0"/>
      <w:marBottom w:val="0"/>
      <w:divBdr>
        <w:top w:val="none" w:sz="0" w:space="0" w:color="auto"/>
        <w:left w:val="none" w:sz="0" w:space="0" w:color="auto"/>
        <w:bottom w:val="none" w:sz="0" w:space="0" w:color="auto"/>
        <w:right w:val="none" w:sz="0" w:space="0" w:color="auto"/>
      </w:divBdr>
    </w:div>
    <w:div w:id="1284534776">
      <w:bodyDiv w:val="1"/>
      <w:marLeft w:val="0"/>
      <w:marRight w:val="0"/>
      <w:marTop w:val="0"/>
      <w:marBottom w:val="0"/>
      <w:divBdr>
        <w:top w:val="none" w:sz="0" w:space="0" w:color="auto"/>
        <w:left w:val="none" w:sz="0" w:space="0" w:color="auto"/>
        <w:bottom w:val="none" w:sz="0" w:space="0" w:color="auto"/>
        <w:right w:val="none" w:sz="0" w:space="0" w:color="auto"/>
      </w:divBdr>
    </w:div>
    <w:div w:id="1303459159">
      <w:bodyDiv w:val="1"/>
      <w:marLeft w:val="0"/>
      <w:marRight w:val="0"/>
      <w:marTop w:val="0"/>
      <w:marBottom w:val="0"/>
      <w:divBdr>
        <w:top w:val="none" w:sz="0" w:space="0" w:color="auto"/>
        <w:left w:val="none" w:sz="0" w:space="0" w:color="auto"/>
        <w:bottom w:val="none" w:sz="0" w:space="0" w:color="auto"/>
        <w:right w:val="none" w:sz="0" w:space="0" w:color="auto"/>
      </w:divBdr>
    </w:div>
    <w:div w:id="1313951086">
      <w:bodyDiv w:val="1"/>
      <w:marLeft w:val="0"/>
      <w:marRight w:val="0"/>
      <w:marTop w:val="0"/>
      <w:marBottom w:val="0"/>
      <w:divBdr>
        <w:top w:val="none" w:sz="0" w:space="0" w:color="auto"/>
        <w:left w:val="none" w:sz="0" w:space="0" w:color="auto"/>
        <w:bottom w:val="none" w:sz="0" w:space="0" w:color="auto"/>
        <w:right w:val="none" w:sz="0" w:space="0" w:color="auto"/>
      </w:divBdr>
    </w:div>
    <w:div w:id="1317807682">
      <w:bodyDiv w:val="1"/>
      <w:marLeft w:val="0"/>
      <w:marRight w:val="0"/>
      <w:marTop w:val="0"/>
      <w:marBottom w:val="0"/>
      <w:divBdr>
        <w:top w:val="none" w:sz="0" w:space="0" w:color="auto"/>
        <w:left w:val="none" w:sz="0" w:space="0" w:color="auto"/>
        <w:bottom w:val="none" w:sz="0" w:space="0" w:color="auto"/>
        <w:right w:val="none" w:sz="0" w:space="0" w:color="auto"/>
      </w:divBdr>
    </w:div>
    <w:div w:id="1326586391">
      <w:bodyDiv w:val="1"/>
      <w:marLeft w:val="0"/>
      <w:marRight w:val="0"/>
      <w:marTop w:val="0"/>
      <w:marBottom w:val="0"/>
      <w:divBdr>
        <w:top w:val="none" w:sz="0" w:space="0" w:color="auto"/>
        <w:left w:val="none" w:sz="0" w:space="0" w:color="auto"/>
        <w:bottom w:val="none" w:sz="0" w:space="0" w:color="auto"/>
        <w:right w:val="none" w:sz="0" w:space="0" w:color="auto"/>
      </w:divBdr>
    </w:div>
    <w:div w:id="1330214385">
      <w:bodyDiv w:val="1"/>
      <w:marLeft w:val="0"/>
      <w:marRight w:val="0"/>
      <w:marTop w:val="0"/>
      <w:marBottom w:val="0"/>
      <w:divBdr>
        <w:top w:val="none" w:sz="0" w:space="0" w:color="auto"/>
        <w:left w:val="none" w:sz="0" w:space="0" w:color="auto"/>
        <w:bottom w:val="none" w:sz="0" w:space="0" w:color="auto"/>
        <w:right w:val="none" w:sz="0" w:space="0" w:color="auto"/>
      </w:divBdr>
    </w:div>
    <w:div w:id="1352150665">
      <w:bodyDiv w:val="1"/>
      <w:marLeft w:val="0"/>
      <w:marRight w:val="0"/>
      <w:marTop w:val="0"/>
      <w:marBottom w:val="0"/>
      <w:divBdr>
        <w:top w:val="none" w:sz="0" w:space="0" w:color="auto"/>
        <w:left w:val="none" w:sz="0" w:space="0" w:color="auto"/>
        <w:bottom w:val="none" w:sz="0" w:space="0" w:color="auto"/>
        <w:right w:val="none" w:sz="0" w:space="0" w:color="auto"/>
      </w:divBdr>
    </w:div>
    <w:div w:id="1352607185">
      <w:bodyDiv w:val="1"/>
      <w:marLeft w:val="0"/>
      <w:marRight w:val="0"/>
      <w:marTop w:val="0"/>
      <w:marBottom w:val="0"/>
      <w:divBdr>
        <w:top w:val="none" w:sz="0" w:space="0" w:color="auto"/>
        <w:left w:val="none" w:sz="0" w:space="0" w:color="auto"/>
        <w:bottom w:val="none" w:sz="0" w:space="0" w:color="auto"/>
        <w:right w:val="none" w:sz="0" w:space="0" w:color="auto"/>
      </w:divBdr>
    </w:div>
    <w:div w:id="1353727292">
      <w:bodyDiv w:val="1"/>
      <w:marLeft w:val="0"/>
      <w:marRight w:val="0"/>
      <w:marTop w:val="0"/>
      <w:marBottom w:val="0"/>
      <w:divBdr>
        <w:top w:val="none" w:sz="0" w:space="0" w:color="auto"/>
        <w:left w:val="none" w:sz="0" w:space="0" w:color="auto"/>
        <w:bottom w:val="none" w:sz="0" w:space="0" w:color="auto"/>
        <w:right w:val="none" w:sz="0" w:space="0" w:color="auto"/>
      </w:divBdr>
    </w:div>
    <w:div w:id="1353874612">
      <w:bodyDiv w:val="1"/>
      <w:marLeft w:val="0"/>
      <w:marRight w:val="0"/>
      <w:marTop w:val="0"/>
      <w:marBottom w:val="0"/>
      <w:divBdr>
        <w:top w:val="none" w:sz="0" w:space="0" w:color="auto"/>
        <w:left w:val="none" w:sz="0" w:space="0" w:color="auto"/>
        <w:bottom w:val="none" w:sz="0" w:space="0" w:color="auto"/>
        <w:right w:val="none" w:sz="0" w:space="0" w:color="auto"/>
      </w:divBdr>
    </w:div>
    <w:div w:id="1354920978">
      <w:bodyDiv w:val="1"/>
      <w:marLeft w:val="0"/>
      <w:marRight w:val="0"/>
      <w:marTop w:val="0"/>
      <w:marBottom w:val="0"/>
      <w:divBdr>
        <w:top w:val="none" w:sz="0" w:space="0" w:color="auto"/>
        <w:left w:val="none" w:sz="0" w:space="0" w:color="auto"/>
        <w:bottom w:val="none" w:sz="0" w:space="0" w:color="auto"/>
        <w:right w:val="none" w:sz="0" w:space="0" w:color="auto"/>
      </w:divBdr>
    </w:div>
    <w:div w:id="1357274100">
      <w:bodyDiv w:val="1"/>
      <w:marLeft w:val="0"/>
      <w:marRight w:val="0"/>
      <w:marTop w:val="0"/>
      <w:marBottom w:val="0"/>
      <w:divBdr>
        <w:top w:val="none" w:sz="0" w:space="0" w:color="auto"/>
        <w:left w:val="none" w:sz="0" w:space="0" w:color="auto"/>
        <w:bottom w:val="none" w:sz="0" w:space="0" w:color="auto"/>
        <w:right w:val="none" w:sz="0" w:space="0" w:color="auto"/>
      </w:divBdr>
    </w:div>
    <w:div w:id="1369329941">
      <w:bodyDiv w:val="1"/>
      <w:marLeft w:val="0"/>
      <w:marRight w:val="0"/>
      <w:marTop w:val="0"/>
      <w:marBottom w:val="0"/>
      <w:divBdr>
        <w:top w:val="none" w:sz="0" w:space="0" w:color="auto"/>
        <w:left w:val="none" w:sz="0" w:space="0" w:color="auto"/>
        <w:bottom w:val="none" w:sz="0" w:space="0" w:color="auto"/>
        <w:right w:val="none" w:sz="0" w:space="0" w:color="auto"/>
      </w:divBdr>
    </w:div>
    <w:div w:id="1369375998">
      <w:bodyDiv w:val="1"/>
      <w:marLeft w:val="0"/>
      <w:marRight w:val="0"/>
      <w:marTop w:val="0"/>
      <w:marBottom w:val="0"/>
      <w:divBdr>
        <w:top w:val="none" w:sz="0" w:space="0" w:color="auto"/>
        <w:left w:val="none" w:sz="0" w:space="0" w:color="auto"/>
        <w:bottom w:val="none" w:sz="0" w:space="0" w:color="auto"/>
        <w:right w:val="none" w:sz="0" w:space="0" w:color="auto"/>
      </w:divBdr>
    </w:div>
    <w:div w:id="1376081640">
      <w:bodyDiv w:val="1"/>
      <w:marLeft w:val="0"/>
      <w:marRight w:val="0"/>
      <w:marTop w:val="0"/>
      <w:marBottom w:val="0"/>
      <w:divBdr>
        <w:top w:val="none" w:sz="0" w:space="0" w:color="auto"/>
        <w:left w:val="none" w:sz="0" w:space="0" w:color="auto"/>
        <w:bottom w:val="none" w:sz="0" w:space="0" w:color="auto"/>
        <w:right w:val="none" w:sz="0" w:space="0" w:color="auto"/>
      </w:divBdr>
    </w:div>
    <w:div w:id="1385522236">
      <w:bodyDiv w:val="1"/>
      <w:marLeft w:val="0"/>
      <w:marRight w:val="0"/>
      <w:marTop w:val="0"/>
      <w:marBottom w:val="0"/>
      <w:divBdr>
        <w:top w:val="none" w:sz="0" w:space="0" w:color="auto"/>
        <w:left w:val="none" w:sz="0" w:space="0" w:color="auto"/>
        <w:bottom w:val="none" w:sz="0" w:space="0" w:color="auto"/>
        <w:right w:val="none" w:sz="0" w:space="0" w:color="auto"/>
      </w:divBdr>
    </w:div>
    <w:div w:id="1393503627">
      <w:bodyDiv w:val="1"/>
      <w:marLeft w:val="0"/>
      <w:marRight w:val="0"/>
      <w:marTop w:val="0"/>
      <w:marBottom w:val="0"/>
      <w:divBdr>
        <w:top w:val="none" w:sz="0" w:space="0" w:color="auto"/>
        <w:left w:val="none" w:sz="0" w:space="0" w:color="auto"/>
        <w:bottom w:val="none" w:sz="0" w:space="0" w:color="auto"/>
        <w:right w:val="none" w:sz="0" w:space="0" w:color="auto"/>
      </w:divBdr>
    </w:div>
    <w:div w:id="1399404781">
      <w:bodyDiv w:val="1"/>
      <w:marLeft w:val="0"/>
      <w:marRight w:val="0"/>
      <w:marTop w:val="0"/>
      <w:marBottom w:val="0"/>
      <w:divBdr>
        <w:top w:val="none" w:sz="0" w:space="0" w:color="auto"/>
        <w:left w:val="none" w:sz="0" w:space="0" w:color="auto"/>
        <w:bottom w:val="none" w:sz="0" w:space="0" w:color="auto"/>
        <w:right w:val="none" w:sz="0" w:space="0" w:color="auto"/>
      </w:divBdr>
    </w:div>
    <w:div w:id="1404765293">
      <w:bodyDiv w:val="1"/>
      <w:marLeft w:val="0"/>
      <w:marRight w:val="0"/>
      <w:marTop w:val="0"/>
      <w:marBottom w:val="0"/>
      <w:divBdr>
        <w:top w:val="none" w:sz="0" w:space="0" w:color="auto"/>
        <w:left w:val="none" w:sz="0" w:space="0" w:color="auto"/>
        <w:bottom w:val="none" w:sz="0" w:space="0" w:color="auto"/>
        <w:right w:val="none" w:sz="0" w:space="0" w:color="auto"/>
      </w:divBdr>
    </w:div>
    <w:div w:id="1413088849">
      <w:bodyDiv w:val="1"/>
      <w:marLeft w:val="0"/>
      <w:marRight w:val="0"/>
      <w:marTop w:val="0"/>
      <w:marBottom w:val="0"/>
      <w:divBdr>
        <w:top w:val="none" w:sz="0" w:space="0" w:color="auto"/>
        <w:left w:val="none" w:sz="0" w:space="0" w:color="auto"/>
        <w:bottom w:val="none" w:sz="0" w:space="0" w:color="auto"/>
        <w:right w:val="none" w:sz="0" w:space="0" w:color="auto"/>
      </w:divBdr>
    </w:div>
    <w:div w:id="1414012980">
      <w:bodyDiv w:val="1"/>
      <w:marLeft w:val="0"/>
      <w:marRight w:val="0"/>
      <w:marTop w:val="0"/>
      <w:marBottom w:val="0"/>
      <w:divBdr>
        <w:top w:val="none" w:sz="0" w:space="0" w:color="auto"/>
        <w:left w:val="none" w:sz="0" w:space="0" w:color="auto"/>
        <w:bottom w:val="none" w:sz="0" w:space="0" w:color="auto"/>
        <w:right w:val="none" w:sz="0" w:space="0" w:color="auto"/>
      </w:divBdr>
    </w:div>
    <w:div w:id="1419401024">
      <w:bodyDiv w:val="1"/>
      <w:marLeft w:val="0"/>
      <w:marRight w:val="0"/>
      <w:marTop w:val="0"/>
      <w:marBottom w:val="0"/>
      <w:divBdr>
        <w:top w:val="none" w:sz="0" w:space="0" w:color="auto"/>
        <w:left w:val="none" w:sz="0" w:space="0" w:color="auto"/>
        <w:bottom w:val="none" w:sz="0" w:space="0" w:color="auto"/>
        <w:right w:val="none" w:sz="0" w:space="0" w:color="auto"/>
      </w:divBdr>
    </w:div>
    <w:div w:id="1426655635">
      <w:bodyDiv w:val="1"/>
      <w:marLeft w:val="0"/>
      <w:marRight w:val="0"/>
      <w:marTop w:val="0"/>
      <w:marBottom w:val="0"/>
      <w:divBdr>
        <w:top w:val="none" w:sz="0" w:space="0" w:color="auto"/>
        <w:left w:val="none" w:sz="0" w:space="0" w:color="auto"/>
        <w:bottom w:val="none" w:sz="0" w:space="0" w:color="auto"/>
        <w:right w:val="none" w:sz="0" w:space="0" w:color="auto"/>
      </w:divBdr>
    </w:div>
    <w:div w:id="1442148111">
      <w:bodyDiv w:val="1"/>
      <w:marLeft w:val="0"/>
      <w:marRight w:val="0"/>
      <w:marTop w:val="0"/>
      <w:marBottom w:val="0"/>
      <w:divBdr>
        <w:top w:val="none" w:sz="0" w:space="0" w:color="auto"/>
        <w:left w:val="none" w:sz="0" w:space="0" w:color="auto"/>
        <w:bottom w:val="none" w:sz="0" w:space="0" w:color="auto"/>
        <w:right w:val="none" w:sz="0" w:space="0" w:color="auto"/>
      </w:divBdr>
    </w:div>
    <w:div w:id="1451364290">
      <w:bodyDiv w:val="1"/>
      <w:marLeft w:val="0"/>
      <w:marRight w:val="0"/>
      <w:marTop w:val="0"/>
      <w:marBottom w:val="0"/>
      <w:divBdr>
        <w:top w:val="none" w:sz="0" w:space="0" w:color="auto"/>
        <w:left w:val="none" w:sz="0" w:space="0" w:color="auto"/>
        <w:bottom w:val="none" w:sz="0" w:space="0" w:color="auto"/>
        <w:right w:val="none" w:sz="0" w:space="0" w:color="auto"/>
      </w:divBdr>
    </w:div>
    <w:div w:id="1490445322">
      <w:bodyDiv w:val="1"/>
      <w:marLeft w:val="0"/>
      <w:marRight w:val="0"/>
      <w:marTop w:val="0"/>
      <w:marBottom w:val="0"/>
      <w:divBdr>
        <w:top w:val="none" w:sz="0" w:space="0" w:color="auto"/>
        <w:left w:val="none" w:sz="0" w:space="0" w:color="auto"/>
        <w:bottom w:val="none" w:sz="0" w:space="0" w:color="auto"/>
        <w:right w:val="none" w:sz="0" w:space="0" w:color="auto"/>
      </w:divBdr>
    </w:div>
    <w:div w:id="1503350078">
      <w:bodyDiv w:val="1"/>
      <w:marLeft w:val="0"/>
      <w:marRight w:val="0"/>
      <w:marTop w:val="0"/>
      <w:marBottom w:val="0"/>
      <w:divBdr>
        <w:top w:val="none" w:sz="0" w:space="0" w:color="auto"/>
        <w:left w:val="none" w:sz="0" w:space="0" w:color="auto"/>
        <w:bottom w:val="none" w:sz="0" w:space="0" w:color="auto"/>
        <w:right w:val="none" w:sz="0" w:space="0" w:color="auto"/>
      </w:divBdr>
    </w:div>
    <w:div w:id="1506703397">
      <w:bodyDiv w:val="1"/>
      <w:marLeft w:val="0"/>
      <w:marRight w:val="0"/>
      <w:marTop w:val="0"/>
      <w:marBottom w:val="0"/>
      <w:divBdr>
        <w:top w:val="none" w:sz="0" w:space="0" w:color="auto"/>
        <w:left w:val="none" w:sz="0" w:space="0" w:color="auto"/>
        <w:bottom w:val="none" w:sz="0" w:space="0" w:color="auto"/>
        <w:right w:val="none" w:sz="0" w:space="0" w:color="auto"/>
      </w:divBdr>
    </w:div>
    <w:div w:id="1511678603">
      <w:bodyDiv w:val="1"/>
      <w:marLeft w:val="0"/>
      <w:marRight w:val="0"/>
      <w:marTop w:val="0"/>
      <w:marBottom w:val="0"/>
      <w:divBdr>
        <w:top w:val="none" w:sz="0" w:space="0" w:color="auto"/>
        <w:left w:val="none" w:sz="0" w:space="0" w:color="auto"/>
        <w:bottom w:val="none" w:sz="0" w:space="0" w:color="auto"/>
        <w:right w:val="none" w:sz="0" w:space="0" w:color="auto"/>
      </w:divBdr>
    </w:div>
    <w:div w:id="1513377035">
      <w:bodyDiv w:val="1"/>
      <w:marLeft w:val="0"/>
      <w:marRight w:val="0"/>
      <w:marTop w:val="0"/>
      <w:marBottom w:val="0"/>
      <w:divBdr>
        <w:top w:val="none" w:sz="0" w:space="0" w:color="auto"/>
        <w:left w:val="none" w:sz="0" w:space="0" w:color="auto"/>
        <w:bottom w:val="none" w:sz="0" w:space="0" w:color="auto"/>
        <w:right w:val="none" w:sz="0" w:space="0" w:color="auto"/>
      </w:divBdr>
    </w:div>
    <w:div w:id="1513568933">
      <w:bodyDiv w:val="1"/>
      <w:marLeft w:val="0"/>
      <w:marRight w:val="0"/>
      <w:marTop w:val="0"/>
      <w:marBottom w:val="0"/>
      <w:divBdr>
        <w:top w:val="none" w:sz="0" w:space="0" w:color="auto"/>
        <w:left w:val="none" w:sz="0" w:space="0" w:color="auto"/>
        <w:bottom w:val="none" w:sz="0" w:space="0" w:color="auto"/>
        <w:right w:val="none" w:sz="0" w:space="0" w:color="auto"/>
      </w:divBdr>
    </w:div>
    <w:div w:id="1524200956">
      <w:bodyDiv w:val="1"/>
      <w:marLeft w:val="0"/>
      <w:marRight w:val="0"/>
      <w:marTop w:val="0"/>
      <w:marBottom w:val="0"/>
      <w:divBdr>
        <w:top w:val="none" w:sz="0" w:space="0" w:color="auto"/>
        <w:left w:val="none" w:sz="0" w:space="0" w:color="auto"/>
        <w:bottom w:val="none" w:sz="0" w:space="0" w:color="auto"/>
        <w:right w:val="none" w:sz="0" w:space="0" w:color="auto"/>
      </w:divBdr>
    </w:div>
    <w:div w:id="1524511338">
      <w:bodyDiv w:val="1"/>
      <w:marLeft w:val="0"/>
      <w:marRight w:val="0"/>
      <w:marTop w:val="0"/>
      <w:marBottom w:val="0"/>
      <w:divBdr>
        <w:top w:val="none" w:sz="0" w:space="0" w:color="auto"/>
        <w:left w:val="none" w:sz="0" w:space="0" w:color="auto"/>
        <w:bottom w:val="none" w:sz="0" w:space="0" w:color="auto"/>
        <w:right w:val="none" w:sz="0" w:space="0" w:color="auto"/>
      </w:divBdr>
    </w:div>
    <w:div w:id="1524706153">
      <w:bodyDiv w:val="1"/>
      <w:marLeft w:val="0"/>
      <w:marRight w:val="0"/>
      <w:marTop w:val="0"/>
      <w:marBottom w:val="0"/>
      <w:divBdr>
        <w:top w:val="none" w:sz="0" w:space="0" w:color="auto"/>
        <w:left w:val="none" w:sz="0" w:space="0" w:color="auto"/>
        <w:bottom w:val="none" w:sz="0" w:space="0" w:color="auto"/>
        <w:right w:val="none" w:sz="0" w:space="0" w:color="auto"/>
      </w:divBdr>
    </w:div>
    <w:div w:id="1535382867">
      <w:bodyDiv w:val="1"/>
      <w:marLeft w:val="0"/>
      <w:marRight w:val="0"/>
      <w:marTop w:val="0"/>
      <w:marBottom w:val="0"/>
      <w:divBdr>
        <w:top w:val="none" w:sz="0" w:space="0" w:color="auto"/>
        <w:left w:val="none" w:sz="0" w:space="0" w:color="auto"/>
        <w:bottom w:val="none" w:sz="0" w:space="0" w:color="auto"/>
        <w:right w:val="none" w:sz="0" w:space="0" w:color="auto"/>
      </w:divBdr>
    </w:div>
    <w:div w:id="1538737097">
      <w:bodyDiv w:val="1"/>
      <w:marLeft w:val="0"/>
      <w:marRight w:val="0"/>
      <w:marTop w:val="0"/>
      <w:marBottom w:val="0"/>
      <w:divBdr>
        <w:top w:val="none" w:sz="0" w:space="0" w:color="auto"/>
        <w:left w:val="none" w:sz="0" w:space="0" w:color="auto"/>
        <w:bottom w:val="none" w:sz="0" w:space="0" w:color="auto"/>
        <w:right w:val="none" w:sz="0" w:space="0" w:color="auto"/>
      </w:divBdr>
    </w:div>
    <w:div w:id="1539900821">
      <w:bodyDiv w:val="1"/>
      <w:marLeft w:val="0"/>
      <w:marRight w:val="0"/>
      <w:marTop w:val="0"/>
      <w:marBottom w:val="0"/>
      <w:divBdr>
        <w:top w:val="none" w:sz="0" w:space="0" w:color="auto"/>
        <w:left w:val="none" w:sz="0" w:space="0" w:color="auto"/>
        <w:bottom w:val="none" w:sz="0" w:space="0" w:color="auto"/>
        <w:right w:val="none" w:sz="0" w:space="0" w:color="auto"/>
      </w:divBdr>
    </w:div>
    <w:div w:id="1543908301">
      <w:bodyDiv w:val="1"/>
      <w:marLeft w:val="0"/>
      <w:marRight w:val="0"/>
      <w:marTop w:val="0"/>
      <w:marBottom w:val="0"/>
      <w:divBdr>
        <w:top w:val="none" w:sz="0" w:space="0" w:color="auto"/>
        <w:left w:val="none" w:sz="0" w:space="0" w:color="auto"/>
        <w:bottom w:val="none" w:sz="0" w:space="0" w:color="auto"/>
        <w:right w:val="none" w:sz="0" w:space="0" w:color="auto"/>
      </w:divBdr>
    </w:div>
    <w:div w:id="1555039918">
      <w:bodyDiv w:val="1"/>
      <w:marLeft w:val="0"/>
      <w:marRight w:val="0"/>
      <w:marTop w:val="0"/>
      <w:marBottom w:val="0"/>
      <w:divBdr>
        <w:top w:val="none" w:sz="0" w:space="0" w:color="auto"/>
        <w:left w:val="none" w:sz="0" w:space="0" w:color="auto"/>
        <w:bottom w:val="none" w:sz="0" w:space="0" w:color="auto"/>
        <w:right w:val="none" w:sz="0" w:space="0" w:color="auto"/>
      </w:divBdr>
    </w:div>
    <w:div w:id="1557008015">
      <w:bodyDiv w:val="1"/>
      <w:marLeft w:val="0"/>
      <w:marRight w:val="0"/>
      <w:marTop w:val="0"/>
      <w:marBottom w:val="0"/>
      <w:divBdr>
        <w:top w:val="none" w:sz="0" w:space="0" w:color="auto"/>
        <w:left w:val="none" w:sz="0" w:space="0" w:color="auto"/>
        <w:bottom w:val="none" w:sz="0" w:space="0" w:color="auto"/>
        <w:right w:val="none" w:sz="0" w:space="0" w:color="auto"/>
      </w:divBdr>
    </w:div>
    <w:div w:id="1565212014">
      <w:bodyDiv w:val="1"/>
      <w:marLeft w:val="0"/>
      <w:marRight w:val="0"/>
      <w:marTop w:val="0"/>
      <w:marBottom w:val="0"/>
      <w:divBdr>
        <w:top w:val="none" w:sz="0" w:space="0" w:color="auto"/>
        <w:left w:val="none" w:sz="0" w:space="0" w:color="auto"/>
        <w:bottom w:val="none" w:sz="0" w:space="0" w:color="auto"/>
        <w:right w:val="none" w:sz="0" w:space="0" w:color="auto"/>
      </w:divBdr>
    </w:div>
    <w:div w:id="1609315118">
      <w:bodyDiv w:val="1"/>
      <w:marLeft w:val="0"/>
      <w:marRight w:val="0"/>
      <w:marTop w:val="0"/>
      <w:marBottom w:val="0"/>
      <w:divBdr>
        <w:top w:val="none" w:sz="0" w:space="0" w:color="auto"/>
        <w:left w:val="none" w:sz="0" w:space="0" w:color="auto"/>
        <w:bottom w:val="none" w:sz="0" w:space="0" w:color="auto"/>
        <w:right w:val="none" w:sz="0" w:space="0" w:color="auto"/>
      </w:divBdr>
    </w:div>
    <w:div w:id="1620915777">
      <w:bodyDiv w:val="1"/>
      <w:marLeft w:val="0"/>
      <w:marRight w:val="0"/>
      <w:marTop w:val="0"/>
      <w:marBottom w:val="0"/>
      <w:divBdr>
        <w:top w:val="none" w:sz="0" w:space="0" w:color="auto"/>
        <w:left w:val="none" w:sz="0" w:space="0" w:color="auto"/>
        <w:bottom w:val="none" w:sz="0" w:space="0" w:color="auto"/>
        <w:right w:val="none" w:sz="0" w:space="0" w:color="auto"/>
      </w:divBdr>
    </w:div>
    <w:div w:id="1630434490">
      <w:bodyDiv w:val="1"/>
      <w:marLeft w:val="0"/>
      <w:marRight w:val="0"/>
      <w:marTop w:val="0"/>
      <w:marBottom w:val="0"/>
      <w:divBdr>
        <w:top w:val="none" w:sz="0" w:space="0" w:color="auto"/>
        <w:left w:val="none" w:sz="0" w:space="0" w:color="auto"/>
        <w:bottom w:val="none" w:sz="0" w:space="0" w:color="auto"/>
        <w:right w:val="none" w:sz="0" w:space="0" w:color="auto"/>
      </w:divBdr>
    </w:div>
    <w:div w:id="1637489738">
      <w:bodyDiv w:val="1"/>
      <w:marLeft w:val="0"/>
      <w:marRight w:val="0"/>
      <w:marTop w:val="0"/>
      <w:marBottom w:val="0"/>
      <w:divBdr>
        <w:top w:val="none" w:sz="0" w:space="0" w:color="auto"/>
        <w:left w:val="none" w:sz="0" w:space="0" w:color="auto"/>
        <w:bottom w:val="none" w:sz="0" w:space="0" w:color="auto"/>
        <w:right w:val="none" w:sz="0" w:space="0" w:color="auto"/>
      </w:divBdr>
    </w:div>
    <w:div w:id="1643853676">
      <w:bodyDiv w:val="1"/>
      <w:marLeft w:val="0"/>
      <w:marRight w:val="0"/>
      <w:marTop w:val="0"/>
      <w:marBottom w:val="0"/>
      <w:divBdr>
        <w:top w:val="none" w:sz="0" w:space="0" w:color="auto"/>
        <w:left w:val="none" w:sz="0" w:space="0" w:color="auto"/>
        <w:bottom w:val="none" w:sz="0" w:space="0" w:color="auto"/>
        <w:right w:val="none" w:sz="0" w:space="0" w:color="auto"/>
      </w:divBdr>
    </w:div>
    <w:div w:id="1649894725">
      <w:bodyDiv w:val="1"/>
      <w:marLeft w:val="0"/>
      <w:marRight w:val="0"/>
      <w:marTop w:val="0"/>
      <w:marBottom w:val="0"/>
      <w:divBdr>
        <w:top w:val="none" w:sz="0" w:space="0" w:color="auto"/>
        <w:left w:val="none" w:sz="0" w:space="0" w:color="auto"/>
        <w:bottom w:val="none" w:sz="0" w:space="0" w:color="auto"/>
        <w:right w:val="none" w:sz="0" w:space="0" w:color="auto"/>
      </w:divBdr>
    </w:div>
    <w:div w:id="1653827613">
      <w:bodyDiv w:val="1"/>
      <w:marLeft w:val="0"/>
      <w:marRight w:val="0"/>
      <w:marTop w:val="0"/>
      <w:marBottom w:val="0"/>
      <w:divBdr>
        <w:top w:val="none" w:sz="0" w:space="0" w:color="auto"/>
        <w:left w:val="none" w:sz="0" w:space="0" w:color="auto"/>
        <w:bottom w:val="none" w:sz="0" w:space="0" w:color="auto"/>
        <w:right w:val="none" w:sz="0" w:space="0" w:color="auto"/>
      </w:divBdr>
    </w:div>
    <w:div w:id="1664164214">
      <w:bodyDiv w:val="1"/>
      <w:marLeft w:val="0"/>
      <w:marRight w:val="0"/>
      <w:marTop w:val="0"/>
      <w:marBottom w:val="0"/>
      <w:divBdr>
        <w:top w:val="none" w:sz="0" w:space="0" w:color="auto"/>
        <w:left w:val="none" w:sz="0" w:space="0" w:color="auto"/>
        <w:bottom w:val="none" w:sz="0" w:space="0" w:color="auto"/>
        <w:right w:val="none" w:sz="0" w:space="0" w:color="auto"/>
      </w:divBdr>
    </w:div>
    <w:div w:id="1664234732">
      <w:bodyDiv w:val="1"/>
      <w:marLeft w:val="0"/>
      <w:marRight w:val="0"/>
      <w:marTop w:val="0"/>
      <w:marBottom w:val="0"/>
      <w:divBdr>
        <w:top w:val="none" w:sz="0" w:space="0" w:color="auto"/>
        <w:left w:val="none" w:sz="0" w:space="0" w:color="auto"/>
        <w:bottom w:val="none" w:sz="0" w:space="0" w:color="auto"/>
        <w:right w:val="none" w:sz="0" w:space="0" w:color="auto"/>
      </w:divBdr>
    </w:div>
    <w:div w:id="1679387139">
      <w:bodyDiv w:val="1"/>
      <w:marLeft w:val="0"/>
      <w:marRight w:val="0"/>
      <w:marTop w:val="0"/>
      <w:marBottom w:val="0"/>
      <w:divBdr>
        <w:top w:val="none" w:sz="0" w:space="0" w:color="auto"/>
        <w:left w:val="none" w:sz="0" w:space="0" w:color="auto"/>
        <w:bottom w:val="none" w:sz="0" w:space="0" w:color="auto"/>
        <w:right w:val="none" w:sz="0" w:space="0" w:color="auto"/>
      </w:divBdr>
    </w:div>
    <w:div w:id="1696273257">
      <w:bodyDiv w:val="1"/>
      <w:marLeft w:val="0"/>
      <w:marRight w:val="0"/>
      <w:marTop w:val="0"/>
      <w:marBottom w:val="0"/>
      <w:divBdr>
        <w:top w:val="none" w:sz="0" w:space="0" w:color="auto"/>
        <w:left w:val="none" w:sz="0" w:space="0" w:color="auto"/>
        <w:bottom w:val="none" w:sz="0" w:space="0" w:color="auto"/>
        <w:right w:val="none" w:sz="0" w:space="0" w:color="auto"/>
      </w:divBdr>
    </w:div>
    <w:div w:id="1697150431">
      <w:bodyDiv w:val="1"/>
      <w:marLeft w:val="0"/>
      <w:marRight w:val="0"/>
      <w:marTop w:val="0"/>
      <w:marBottom w:val="0"/>
      <w:divBdr>
        <w:top w:val="none" w:sz="0" w:space="0" w:color="auto"/>
        <w:left w:val="none" w:sz="0" w:space="0" w:color="auto"/>
        <w:bottom w:val="none" w:sz="0" w:space="0" w:color="auto"/>
        <w:right w:val="none" w:sz="0" w:space="0" w:color="auto"/>
      </w:divBdr>
    </w:div>
    <w:div w:id="1699236970">
      <w:bodyDiv w:val="1"/>
      <w:marLeft w:val="0"/>
      <w:marRight w:val="0"/>
      <w:marTop w:val="0"/>
      <w:marBottom w:val="0"/>
      <w:divBdr>
        <w:top w:val="none" w:sz="0" w:space="0" w:color="auto"/>
        <w:left w:val="none" w:sz="0" w:space="0" w:color="auto"/>
        <w:bottom w:val="none" w:sz="0" w:space="0" w:color="auto"/>
        <w:right w:val="none" w:sz="0" w:space="0" w:color="auto"/>
      </w:divBdr>
    </w:div>
    <w:div w:id="1703554572">
      <w:bodyDiv w:val="1"/>
      <w:marLeft w:val="0"/>
      <w:marRight w:val="0"/>
      <w:marTop w:val="0"/>
      <w:marBottom w:val="0"/>
      <w:divBdr>
        <w:top w:val="none" w:sz="0" w:space="0" w:color="auto"/>
        <w:left w:val="none" w:sz="0" w:space="0" w:color="auto"/>
        <w:bottom w:val="none" w:sz="0" w:space="0" w:color="auto"/>
        <w:right w:val="none" w:sz="0" w:space="0" w:color="auto"/>
      </w:divBdr>
    </w:div>
    <w:div w:id="1708339044">
      <w:bodyDiv w:val="1"/>
      <w:marLeft w:val="0"/>
      <w:marRight w:val="0"/>
      <w:marTop w:val="0"/>
      <w:marBottom w:val="0"/>
      <w:divBdr>
        <w:top w:val="none" w:sz="0" w:space="0" w:color="auto"/>
        <w:left w:val="none" w:sz="0" w:space="0" w:color="auto"/>
        <w:bottom w:val="none" w:sz="0" w:space="0" w:color="auto"/>
        <w:right w:val="none" w:sz="0" w:space="0" w:color="auto"/>
      </w:divBdr>
    </w:div>
    <w:div w:id="1710643413">
      <w:bodyDiv w:val="1"/>
      <w:marLeft w:val="0"/>
      <w:marRight w:val="0"/>
      <w:marTop w:val="0"/>
      <w:marBottom w:val="0"/>
      <w:divBdr>
        <w:top w:val="none" w:sz="0" w:space="0" w:color="auto"/>
        <w:left w:val="none" w:sz="0" w:space="0" w:color="auto"/>
        <w:bottom w:val="none" w:sz="0" w:space="0" w:color="auto"/>
        <w:right w:val="none" w:sz="0" w:space="0" w:color="auto"/>
      </w:divBdr>
    </w:div>
    <w:div w:id="1711759559">
      <w:bodyDiv w:val="1"/>
      <w:marLeft w:val="0"/>
      <w:marRight w:val="0"/>
      <w:marTop w:val="0"/>
      <w:marBottom w:val="0"/>
      <w:divBdr>
        <w:top w:val="none" w:sz="0" w:space="0" w:color="auto"/>
        <w:left w:val="none" w:sz="0" w:space="0" w:color="auto"/>
        <w:bottom w:val="none" w:sz="0" w:space="0" w:color="auto"/>
        <w:right w:val="none" w:sz="0" w:space="0" w:color="auto"/>
      </w:divBdr>
    </w:div>
    <w:div w:id="1711958083">
      <w:bodyDiv w:val="1"/>
      <w:marLeft w:val="0"/>
      <w:marRight w:val="0"/>
      <w:marTop w:val="0"/>
      <w:marBottom w:val="0"/>
      <w:divBdr>
        <w:top w:val="none" w:sz="0" w:space="0" w:color="auto"/>
        <w:left w:val="none" w:sz="0" w:space="0" w:color="auto"/>
        <w:bottom w:val="none" w:sz="0" w:space="0" w:color="auto"/>
        <w:right w:val="none" w:sz="0" w:space="0" w:color="auto"/>
      </w:divBdr>
    </w:div>
    <w:div w:id="1721128157">
      <w:bodyDiv w:val="1"/>
      <w:marLeft w:val="0"/>
      <w:marRight w:val="0"/>
      <w:marTop w:val="0"/>
      <w:marBottom w:val="0"/>
      <w:divBdr>
        <w:top w:val="none" w:sz="0" w:space="0" w:color="auto"/>
        <w:left w:val="none" w:sz="0" w:space="0" w:color="auto"/>
        <w:bottom w:val="none" w:sz="0" w:space="0" w:color="auto"/>
        <w:right w:val="none" w:sz="0" w:space="0" w:color="auto"/>
      </w:divBdr>
    </w:div>
    <w:div w:id="1724400662">
      <w:bodyDiv w:val="1"/>
      <w:marLeft w:val="0"/>
      <w:marRight w:val="0"/>
      <w:marTop w:val="0"/>
      <w:marBottom w:val="0"/>
      <w:divBdr>
        <w:top w:val="none" w:sz="0" w:space="0" w:color="auto"/>
        <w:left w:val="none" w:sz="0" w:space="0" w:color="auto"/>
        <w:bottom w:val="none" w:sz="0" w:space="0" w:color="auto"/>
        <w:right w:val="none" w:sz="0" w:space="0" w:color="auto"/>
      </w:divBdr>
    </w:div>
    <w:div w:id="1734965617">
      <w:bodyDiv w:val="1"/>
      <w:marLeft w:val="0"/>
      <w:marRight w:val="0"/>
      <w:marTop w:val="0"/>
      <w:marBottom w:val="0"/>
      <w:divBdr>
        <w:top w:val="none" w:sz="0" w:space="0" w:color="auto"/>
        <w:left w:val="none" w:sz="0" w:space="0" w:color="auto"/>
        <w:bottom w:val="none" w:sz="0" w:space="0" w:color="auto"/>
        <w:right w:val="none" w:sz="0" w:space="0" w:color="auto"/>
      </w:divBdr>
    </w:div>
    <w:div w:id="1741781248">
      <w:bodyDiv w:val="1"/>
      <w:marLeft w:val="0"/>
      <w:marRight w:val="0"/>
      <w:marTop w:val="0"/>
      <w:marBottom w:val="0"/>
      <w:divBdr>
        <w:top w:val="none" w:sz="0" w:space="0" w:color="auto"/>
        <w:left w:val="none" w:sz="0" w:space="0" w:color="auto"/>
        <w:bottom w:val="none" w:sz="0" w:space="0" w:color="auto"/>
        <w:right w:val="none" w:sz="0" w:space="0" w:color="auto"/>
      </w:divBdr>
    </w:div>
    <w:div w:id="1743215664">
      <w:bodyDiv w:val="1"/>
      <w:marLeft w:val="0"/>
      <w:marRight w:val="0"/>
      <w:marTop w:val="0"/>
      <w:marBottom w:val="0"/>
      <w:divBdr>
        <w:top w:val="none" w:sz="0" w:space="0" w:color="auto"/>
        <w:left w:val="none" w:sz="0" w:space="0" w:color="auto"/>
        <w:bottom w:val="none" w:sz="0" w:space="0" w:color="auto"/>
        <w:right w:val="none" w:sz="0" w:space="0" w:color="auto"/>
      </w:divBdr>
    </w:div>
    <w:div w:id="1760249947">
      <w:bodyDiv w:val="1"/>
      <w:marLeft w:val="0"/>
      <w:marRight w:val="0"/>
      <w:marTop w:val="0"/>
      <w:marBottom w:val="0"/>
      <w:divBdr>
        <w:top w:val="none" w:sz="0" w:space="0" w:color="auto"/>
        <w:left w:val="none" w:sz="0" w:space="0" w:color="auto"/>
        <w:bottom w:val="none" w:sz="0" w:space="0" w:color="auto"/>
        <w:right w:val="none" w:sz="0" w:space="0" w:color="auto"/>
      </w:divBdr>
    </w:div>
    <w:div w:id="1760253045">
      <w:bodyDiv w:val="1"/>
      <w:marLeft w:val="0"/>
      <w:marRight w:val="0"/>
      <w:marTop w:val="0"/>
      <w:marBottom w:val="0"/>
      <w:divBdr>
        <w:top w:val="none" w:sz="0" w:space="0" w:color="auto"/>
        <w:left w:val="none" w:sz="0" w:space="0" w:color="auto"/>
        <w:bottom w:val="none" w:sz="0" w:space="0" w:color="auto"/>
        <w:right w:val="none" w:sz="0" w:space="0" w:color="auto"/>
      </w:divBdr>
    </w:div>
    <w:div w:id="1768042402">
      <w:bodyDiv w:val="1"/>
      <w:marLeft w:val="0"/>
      <w:marRight w:val="0"/>
      <w:marTop w:val="0"/>
      <w:marBottom w:val="0"/>
      <w:divBdr>
        <w:top w:val="none" w:sz="0" w:space="0" w:color="auto"/>
        <w:left w:val="none" w:sz="0" w:space="0" w:color="auto"/>
        <w:bottom w:val="none" w:sz="0" w:space="0" w:color="auto"/>
        <w:right w:val="none" w:sz="0" w:space="0" w:color="auto"/>
      </w:divBdr>
    </w:div>
    <w:div w:id="1769617766">
      <w:bodyDiv w:val="1"/>
      <w:marLeft w:val="0"/>
      <w:marRight w:val="0"/>
      <w:marTop w:val="0"/>
      <w:marBottom w:val="0"/>
      <w:divBdr>
        <w:top w:val="none" w:sz="0" w:space="0" w:color="auto"/>
        <w:left w:val="none" w:sz="0" w:space="0" w:color="auto"/>
        <w:bottom w:val="none" w:sz="0" w:space="0" w:color="auto"/>
        <w:right w:val="none" w:sz="0" w:space="0" w:color="auto"/>
      </w:divBdr>
    </w:div>
    <w:div w:id="1772436034">
      <w:bodyDiv w:val="1"/>
      <w:marLeft w:val="0"/>
      <w:marRight w:val="0"/>
      <w:marTop w:val="0"/>
      <w:marBottom w:val="0"/>
      <w:divBdr>
        <w:top w:val="none" w:sz="0" w:space="0" w:color="auto"/>
        <w:left w:val="none" w:sz="0" w:space="0" w:color="auto"/>
        <w:bottom w:val="none" w:sz="0" w:space="0" w:color="auto"/>
        <w:right w:val="none" w:sz="0" w:space="0" w:color="auto"/>
      </w:divBdr>
    </w:div>
    <w:div w:id="1777552131">
      <w:bodyDiv w:val="1"/>
      <w:marLeft w:val="0"/>
      <w:marRight w:val="0"/>
      <w:marTop w:val="0"/>
      <w:marBottom w:val="0"/>
      <w:divBdr>
        <w:top w:val="none" w:sz="0" w:space="0" w:color="auto"/>
        <w:left w:val="none" w:sz="0" w:space="0" w:color="auto"/>
        <w:bottom w:val="none" w:sz="0" w:space="0" w:color="auto"/>
        <w:right w:val="none" w:sz="0" w:space="0" w:color="auto"/>
      </w:divBdr>
    </w:div>
    <w:div w:id="1778482444">
      <w:bodyDiv w:val="1"/>
      <w:marLeft w:val="0"/>
      <w:marRight w:val="0"/>
      <w:marTop w:val="0"/>
      <w:marBottom w:val="0"/>
      <w:divBdr>
        <w:top w:val="none" w:sz="0" w:space="0" w:color="auto"/>
        <w:left w:val="none" w:sz="0" w:space="0" w:color="auto"/>
        <w:bottom w:val="none" w:sz="0" w:space="0" w:color="auto"/>
        <w:right w:val="none" w:sz="0" w:space="0" w:color="auto"/>
      </w:divBdr>
    </w:div>
    <w:div w:id="1782608032">
      <w:bodyDiv w:val="1"/>
      <w:marLeft w:val="0"/>
      <w:marRight w:val="0"/>
      <w:marTop w:val="0"/>
      <w:marBottom w:val="0"/>
      <w:divBdr>
        <w:top w:val="none" w:sz="0" w:space="0" w:color="auto"/>
        <w:left w:val="none" w:sz="0" w:space="0" w:color="auto"/>
        <w:bottom w:val="none" w:sz="0" w:space="0" w:color="auto"/>
        <w:right w:val="none" w:sz="0" w:space="0" w:color="auto"/>
      </w:divBdr>
    </w:div>
    <w:div w:id="1785953001">
      <w:bodyDiv w:val="1"/>
      <w:marLeft w:val="0"/>
      <w:marRight w:val="0"/>
      <w:marTop w:val="0"/>
      <w:marBottom w:val="0"/>
      <w:divBdr>
        <w:top w:val="none" w:sz="0" w:space="0" w:color="auto"/>
        <w:left w:val="none" w:sz="0" w:space="0" w:color="auto"/>
        <w:bottom w:val="none" w:sz="0" w:space="0" w:color="auto"/>
        <w:right w:val="none" w:sz="0" w:space="0" w:color="auto"/>
      </w:divBdr>
    </w:div>
    <w:div w:id="1791243800">
      <w:bodyDiv w:val="1"/>
      <w:marLeft w:val="0"/>
      <w:marRight w:val="0"/>
      <w:marTop w:val="0"/>
      <w:marBottom w:val="0"/>
      <w:divBdr>
        <w:top w:val="none" w:sz="0" w:space="0" w:color="auto"/>
        <w:left w:val="none" w:sz="0" w:space="0" w:color="auto"/>
        <w:bottom w:val="none" w:sz="0" w:space="0" w:color="auto"/>
        <w:right w:val="none" w:sz="0" w:space="0" w:color="auto"/>
      </w:divBdr>
    </w:div>
    <w:div w:id="1806003555">
      <w:bodyDiv w:val="1"/>
      <w:marLeft w:val="0"/>
      <w:marRight w:val="0"/>
      <w:marTop w:val="0"/>
      <w:marBottom w:val="0"/>
      <w:divBdr>
        <w:top w:val="none" w:sz="0" w:space="0" w:color="auto"/>
        <w:left w:val="none" w:sz="0" w:space="0" w:color="auto"/>
        <w:bottom w:val="none" w:sz="0" w:space="0" w:color="auto"/>
        <w:right w:val="none" w:sz="0" w:space="0" w:color="auto"/>
      </w:divBdr>
    </w:div>
    <w:div w:id="1806969341">
      <w:bodyDiv w:val="1"/>
      <w:marLeft w:val="0"/>
      <w:marRight w:val="0"/>
      <w:marTop w:val="0"/>
      <w:marBottom w:val="0"/>
      <w:divBdr>
        <w:top w:val="none" w:sz="0" w:space="0" w:color="auto"/>
        <w:left w:val="none" w:sz="0" w:space="0" w:color="auto"/>
        <w:bottom w:val="none" w:sz="0" w:space="0" w:color="auto"/>
        <w:right w:val="none" w:sz="0" w:space="0" w:color="auto"/>
      </w:divBdr>
    </w:div>
    <w:div w:id="1815835003">
      <w:bodyDiv w:val="1"/>
      <w:marLeft w:val="0"/>
      <w:marRight w:val="0"/>
      <w:marTop w:val="0"/>
      <w:marBottom w:val="0"/>
      <w:divBdr>
        <w:top w:val="none" w:sz="0" w:space="0" w:color="auto"/>
        <w:left w:val="none" w:sz="0" w:space="0" w:color="auto"/>
        <w:bottom w:val="none" w:sz="0" w:space="0" w:color="auto"/>
        <w:right w:val="none" w:sz="0" w:space="0" w:color="auto"/>
      </w:divBdr>
    </w:div>
    <w:div w:id="1830249201">
      <w:bodyDiv w:val="1"/>
      <w:marLeft w:val="0"/>
      <w:marRight w:val="0"/>
      <w:marTop w:val="0"/>
      <w:marBottom w:val="0"/>
      <w:divBdr>
        <w:top w:val="none" w:sz="0" w:space="0" w:color="auto"/>
        <w:left w:val="none" w:sz="0" w:space="0" w:color="auto"/>
        <w:bottom w:val="none" w:sz="0" w:space="0" w:color="auto"/>
        <w:right w:val="none" w:sz="0" w:space="0" w:color="auto"/>
      </w:divBdr>
    </w:div>
    <w:div w:id="1833138455">
      <w:bodyDiv w:val="1"/>
      <w:marLeft w:val="0"/>
      <w:marRight w:val="0"/>
      <w:marTop w:val="0"/>
      <w:marBottom w:val="0"/>
      <w:divBdr>
        <w:top w:val="none" w:sz="0" w:space="0" w:color="auto"/>
        <w:left w:val="none" w:sz="0" w:space="0" w:color="auto"/>
        <w:bottom w:val="none" w:sz="0" w:space="0" w:color="auto"/>
        <w:right w:val="none" w:sz="0" w:space="0" w:color="auto"/>
      </w:divBdr>
    </w:div>
    <w:div w:id="1836915862">
      <w:bodyDiv w:val="1"/>
      <w:marLeft w:val="0"/>
      <w:marRight w:val="0"/>
      <w:marTop w:val="0"/>
      <w:marBottom w:val="0"/>
      <w:divBdr>
        <w:top w:val="none" w:sz="0" w:space="0" w:color="auto"/>
        <w:left w:val="none" w:sz="0" w:space="0" w:color="auto"/>
        <w:bottom w:val="none" w:sz="0" w:space="0" w:color="auto"/>
        <w:right w:val="none" w:sz="0" w:space="0" w:color="auto"/>
      </w:divBdr>
    </w:div>
    <w:div w:id="1838810882">
      <w:bodyDiv w:val="1"/>
      <w:marLeft w:val="0"/>
      <w:marRight w:val="0"/>
      <w:marTop w:val="0"/>
      <w:marBottom w:val="0"/>
      <w:divBdr>
        <w:top w:val="none" w:sz="0" w:space="0" w:color="auto"/>
        <w:left w:val="none" w:sz="0" w:space="0" w:color="auto"/>
        <w:bottom w:val="none" w:sz="0" w:space="0" w:color="auto"/>
        <w:right w:val="none" w:sz="0" w:space="0" w:color="auto"/>
      </w:divBdr>
    </w:div>
    <w:div w:id="1839421294">
      <w:bodyDiv w:val="1"/>
      <w:marLeft w:val="0"/>
      <w:marRight w:val="0"/>
      <w:marTop w:val="0"/>
      <w:marBottom w:val="0"/>
      <w:divBdr>
        <w:top w:val="none" w:sz="0" w:space="0" w:color="auto"/>
        <w:left w:val="none" w:sz="0" w:space="0" w:color="auto"/>
        <w:bottom w:val="none" w:sz="0" w:space="0" w:color="auto"/>
        <w:right w:val="none" w:sz="0" w:space="0" w:color="auto"/>
      </w:divBdr>
    </w:div>
    <w:div w:id="1854151323">
      <w:bodyDiv w:val="1"/>
      <w:marLeft w:val="0"/>
      <w:marRight w:val="0"/>
      <w:marTop w:val="0"/>
      <w:marBottom w:val="0"/>
      <w:divBdr>
        <w:top w:val="none" w:sz="0" w:space="0" w:color="auto"/>
        <w:left w:val="none" w:sz="0" w:space="0" w:color="auto"/>
        <w:bottom w:val="none" w:sz="0" w:space="0" w:color="auto"/>
        <w:right w:val="none" w:sz="0" w:space="0" w:color="auto"/>
      </w:divBdr>
    </w:div>
    <w:div w:id="1855456101">
      <w:bodyDiv w:val="1"/>
      <w:marLeft w:val="0"/>
      <w:marRight w:val="0"/>
      <w:marTop w:val="0"/>
      <w:marBottom w:val="0"/>
      <w:divBdr>
        <w:top w:val="none" w:sz="0" w:space="0" w:color="auto"/>
        <w:left w:val="none" w:sz="0" w:space="0" w:color="auto"/>
        <w:bottom w:val="none" w:sz="0" w:space="0" w:color="auto"/>
        <w:right w:val="none" w:sz="0" w:space="0" w:color="auto"/>
      </w:divBdr>
    </w:div>
    <w:div w:id="1861043014">
      <w:bodyDiv w:val="1"/>
      <w:marLeft w:val="0"/>
      <w:marRight w:val="0"/>
      <w:marTop w:val="0"/>
      <w:marBottom w:val="0"/>
      <w:divBdr>
        <w:top w:val="none" w:sz="0" w:space="0" w:color="auto"/>
        <w:left w:val="none" w:sz="0" w:space="0" w:color="auto"/>
        <w:bottom w:val="none" w:sz="0" w:space="0" w:color="auto"/>
        <w:right w:val="none" w:sz="0" w:space="0" w:color="auto"/>
      </w:divBdr>
    </w:div>
    <w:div w:id="1863741007">
      <w:bodyDiv w:val="1"/>
      <w:marLeft w:val="0"/>
      <w:marRight w:val="0"/>
      <w:marTop w:val="0"/>
      <w:marBottom w:val="0"/>
      <w:divBdr>
        <w:top w:val="none" w:sz="0" w:space="0" w:color="auto"/>
        <w:left w:val="none" w:sz="0" w:space="0" w:color="auto"/>
        <w:bottom w:val="none" w:sz="0" w:space="0" w:color="auto"/>
        <w:right w:val="none" w:sz="0" w:space="0" w:color="auto"/>
      </w:divBdr>
    </w:div>
    <w:div w:id="1866673630">
      <w:bodyDiv w:val="1"/>
      <w:marLeft w:val="0"/>
      <w:marRight w:val="0"/>
      <w:marTop w:val="0"/>
      <w:marBottom w:val="0"/>
      <w:divBdr>
        <w:top w:val="none" w:sz="0" w:space="0" w:color="auto"/>
        <w:left w:val="none" w:sz="0" w:space="0" w:color="auto"/>
        <w:bottom w:val="none" w:sz="0" w:space="0" w:color="auto"/>
        <w:right w:val="none" w:sz="0" w:space="0" w:color="auto"/>
      </w:divBdr>
    </w:div>
    <w:div w:id="1869290562">
      <w:bodyDiv w:val="1"/>
      <w:marLeft w:val="0"/>
      <w:marRight w:val="0"/>
      <w:marTop w:val="0"/>
      <w:marBottom w:val="0"/>
      <w:divBdr>
        <w:top w:val="none" w:sz="0" w:space="0" w:color="auto"/>
        <w:left w:val="none" w:sz="0" w:space="0" w:color="auto"/>
        <w:bottom w:val="none" w:sz="0" w:space="0" w:color="auto"/>
        <w:right w:val="none" w:sz="0" w:space="0" w:color="auto"/>
      </w:divBdr>
    </w:div>
    <w:div w:id="1876699641">
      <w:bodyDiv w:val="1"/>
      <w:marLeft w:val="0"/>
      <w:marRight w:val="0"/>
      <w:marTop w:val="0"/>
      <w:marBottom w:val="0"/>
      <w:divBdr>
        <w:top w:val="none" w:sz="0" w:space="0" w:color="auto"/>
        <w:left w:val="none" w:sz="0" w:space="0" w:color="auto"/>
        <w:bottom w:val="none" w:sz="0" w:space="0" w:color="auto"/>
        <w:right w:val="none" w:sz="0" w:space="0" w:color="auto"/>
      </w:divBdr>
    </w:div>
    <w:div w:id="1877234372">
      <w:bodyDiv w:val="1"/>
      <w:marLeft w:val="0"/>
      <w:marRight w:val="0"/>
      <w:marTop w:val="0"/>
      <w:marBottom w:val="0"/>
      <w:divBdr>
        <w:top w:val="none" w:sz="0" w:space="0" w:color="auto"/>
        <w:left w:val="none" w:sz="0" w:space="0" w:color="auto"/>
        <w:bottom w:val="none" w:sz="0" w:space="0" w:color="auto"/>
        <w:right w:val="none" w:sz="0" w:space="0" w:color="auto"/>
      </w:divBdr>
    </w:div>
    <w:div w:id="1881623752">
      <w:bodyDiv w:val="1"/>
      <w:marLeft w:val="0"/>
      <w:marRight w:val="0"/>
      <w:marTop w:val="0"/>
      <w:marBottom w:val="0"/>
      <w:divBdr>
        <w:top w:val="none" w:sz="0" w:space="0" w:color="auto"/>
        <w:left w:val="none" w:sz="0" w:space="0" w:color="auto"/>
        <w:bottom w:val="none" w:sz="0" w:space="0" w:color="auto"/>
        <w:right w:val="none" w:sz="0" w:space="0" w:color="auto"/>
      </w:divBdr>
    </w:div>
    <w:div w:id="1882328159">
      <w:bodyDiv w:val="1"/>
      <w:marLeft w:val="0"/>
      <w:marRight w:val="0"/>
      <w:marTop w:val="0"/>
      <w:marBottom w:val="0"/>
      <w:divBdr>
        <w:top w:val="none" w:sz="0" w:space="0" w:color="auto"/>
        <w:left w:val="none" w:sz="0" w:space="0" w:color="auto"/>
        <w:bottom w:val="none" w:sz="0" w:space="0" w:color="auto"/>
        <w:right w:val="none" w:sz="0" w:space="0" w:color="auto"/>
      </w:divBdr>
    </w:div>
    <w:div w:id="1890141077">
      <w:bodyDiv w:val="1"/>
      <w:marLeft w:val="0"/>
      <w:marRight w:val="0"/>
      <w:marTop w:val="0"/>
      <w:marBottom w:val="0"/>
      <w:divBdr>
        <w:top w:val="none" w:sz="0" w:space="0" w:color="auto"/>
        <w:left w:val="none" w:sz="0" w:space="0" w:color="auto"/>
        <w:bottom w:val="none" w:sz="0" w:space="0" w:color="auto"/>
        <w:right w:val="none" w:sz="0" w:space="0" w:color="auto"/>
      </w:divBdr>
    </w:div>
    <w:div w:id="1892884731">
      <w:bodyDiv w:val="1"/>
      <w:marLeft w:val="0"/>
      <w:marRight w:val="0"/>
      <w:marTop w:val="0"/>
      <w:marBottom w:val="0"/>
      <w:divBdr>
        <w:top w:val="none" w:sz="0" w:space="0" w:color="auto"/>
        <w:left w:val="none" w:sz="0" w:space="0" w:color="auto"/>
        <w:bottom w:val="none" w:sz="0" w:space="0" w:color="auto"/>
        <w:right w:val="none" w:sz="0" w:space="0" w:color="auto"/>
      </w:divBdr>
    </w:div>
    <w:div w:id="1894272455">
      <w:bodyDiv w:val="1"/>
      <w:marLeft w:val="0"/>
      <w:marRight w:val="0"/>
      <w:marTop w:val="0"/>
      <w:marBottom w:val="0"/>
      <w:divBdr>
        <w:top w:val="none" w:sz="0" w:space="0" w:color="auto"/>
        <w:left w:val="none" w:sz="0" w:space="0" w:color="auto"/>
        <w:bottom w:val="none" w:sz="0" w:space="0" w:color="auto"/>
        <w:right w:val="none" w:sz="0" w:space="0" w:color="auto"/>
      </w:divBdr>
    </w:div>
    <w:div w:id="1897355211">
      <w:bodyDiv w:val="1"/>
      <w:marLeft w:val="0"/>
      <w:marRight w:val="0"/>
      <w:marTop w:val="0"/>
      <w:marBottom w:val="0"/>
      <w:divBdr>
        <w:top w:val="none" w:sz="0" w:space="0" w:color="auto"/>
        <w:left w:val="none" w:sz="0" w:space="0" w:color="auto"/>
        <w:bottom w:val="none" w:sz="0" w:space="0" w:color="auto"/>
        <w:right w:val="none" w:sz="0" w:space="0" w:color="auto"/>
      </w:divBdr>
    </w:div>
    <w:div w:id="1898589745">
      <w:bodyDiv w:val="1"/>
      <w:marLeft w:val="0"/>
      <w:marRight w:val="0"/>
      <w:marTop w:val="0"/>
      <w:marBottom w:val="0"/>
      <w:divBdr>
        <w:top w:val="none" w:sz="0" w:space="0" w:color="auto"/>
        <w:left w:val="none" w:sz="0" w:space="0" w:color="auto"/>
        <w:bottom w:val="none" w:sz="0" w:space="0" w:color="auto"/>
        <w:right w:val="none" w:sz="0" w:space="0" w:color="auto"/>
      </w:divBdr>
    </w:div>
    <w:div w:id="1899240541">
      <w:bodyDiv w:val="1"/>
      <w:marLeft w:val="0"/>
      <w:marRight w:val="0"/>
      <w:marTop w:val="0"/>
      <w:marBottom w:val="0"/>
      <w:divBdr>
        <w:top w:val="none" w:sz="0" w:space="0" w:color="auto"/>
        <w:left w:val="none" w:sz="0" w:space="0" w:color="auto"/>
        <w:bottom w:val="none" w:sz="0" w:space="0" w:color="auto"/>
        <w:right w:val="none" w:sz="0" w:space="0" w:color="auto"/>
      </w:divBdr>
    </w:div>
    <w:div w:id="1922249079">
      <w:bodyDiv w:val="1"/>
      <w:marLeft w:val="0"/>
      <w:marRight w:val="0"/>
      <w:marTop w:val="0"/>
      <w:marBottom w:val="0"/>
      <w:divBdr>
        <w:top w:val="none" w:sz="0" w:space="0" w:color="auto"/>
        <w:left w:val="none" w:sz="0" w:space="0" w:color="auto"/>
        <w:bottom w:val="none" w:sz="0" w:space="0" w:color="auto"/>
        <w:right w:val="none" w:sz="0" w:space="0" w:color="auto"/>
      </w:divBdr>
    </w:div>
    <w:div w:id="1935161060">
      <w:bodyDiv w:val="1"/>
      <w:marLeft w:val="0"/>
      <w:marRight w:val="0"/>
      <w:marTop w:val="0"/>
      <w:marBottom w:val="0"/>
      <w:divBdr>
        <w:top w:val="none" w:sz="0" w:space="0" w:color="auto"/>
        <w:left w:val="none" w:sz="0" w:space="0" w:color="auto"/>
        <w:bottom w:val="none" w:sz="0" w:space="0" w:color="auto"/>
        <w:right w:val="none" w:sz="0" w:space="0" w:color="auto"/>
      </w:divBdr>
    </w:div>
    <w:div w:id="1947805381">
      <w:bodyDiv w:val="1"/>
      <w:marLeft w:val="0"/>
      <w:marRight w:val="0"/>
      <w:marTop w:val="0"/>
      <w:marBottom w:val="0"/>
      <w:divBdr>
        <w:top w:val="none" w:sz="0" w:space="0" w:color="auto"/>
        <w:left w:val="none" w:sz="0" w:space="0" w:color="auto"/>
        <w:bottom w:val="none" w:sz="0" w:space="0" w:color="auto"/>
        <w:right w:val="none" w:sz="0" w:space="0" w:color="auto"/>
      </w:divBdr>
    </w:div>
    <w:div w:id="1948852382">
      <w:bodyDiv w:val="1"/>
      <w:marLeft w:val="0"/>
      <w:marRight w:val="0"/>
      <w:marTop w:val="0"/>
      <w:marBottom w:val="0"/>
      <w:divBdr>
        <w:top w:val="none" w:sz="0" w:space="0" w:color="auto"/>
        <w:left w:val="none" w:sz="0" w:space="0" w:color="auto"/>
        <w:bottom w:val="none" w:sz="0" w:space="0" w:color="auto"/>
        <w:right w:val="none" w:sz="0" w:space="0" w:color="auto"/>
      </w:divBdr>
    </w:div>
    <w:div w:id="1951014590">
      <w:bodyDiv w:val="1"/>
      <w:marLeft w:val="0"/>
      <w:marRight w:val="0"/>
      <w:marTop w:val="0"/>
      <w:marBottom w:val="0"/>
      <w:divBdr>
        <w:top w:val="none" w:sz="0" w:space="0" w:color="auto"/>
        <w:left w:val="none" w:sz="0" w:space="0" w:color="auto"/>
        <w:bottom w:val="none" w:sz="0" w:space="0" w:color="auto"/>
        <w:right w:val="none" w:sz="0" w:space="0" w:color="auto"/>
      </w:divBdr>
    </w:div>
    <w:div w:id="1963489040">
      <w:bodyDiv w:val="1"/>
      <w:marLeft w:val="0"/>
      <w:marRight w:val="0"/>
      <w:marTop w:val="0"/>
      <w:marBottom w:val="0"/>
      <w:divBdr>
        <w:top w:val="none" w:sz="0" w:space="0" w:color="auto"/>
        <w:left w:val="none" w:sz="0" w:space="0" w:color="auto"/>
        <w:bottom w:val="none" w:sz="0" w:space="0" w:color="auto"/>
        <w:right w:val="none" w:sz="0" w:space="0" w:color="auto"/>
      </w:divBdr>
    </w:div>
    <w:div w:id="1969505811">
      <w:bodyDiv w:val="1"/>
      <w:marLeft w:val="0"/>
      <w:marRight w:val="0"/>
      <w:marTop w:val="0"/>
      <w:marBottom w:val="0"/>
      <w:divBdr>
        <w:top w:val="none" w:sz="0" w:space="0" w:color="auto"/>
        <w:left w:val="none" w:sz="0" w:space="0" w:color="auto"/>
        <w:bottom w:val="none" w:sz="0" w:space="0" w:color="auto"/>
        <w:right w:val="none" w:sz="0" w:space="0" w:color="auto"/>
      </w:divBdr>
    </w:div>
    <w:div w:id="1971783404">
      <w:bodyDiv w:val="1"/>
      <w:marLeft w:val="0"/>
      <w:marRight w:val="0"/>
      <w:marTop w:val="0"/>
      <w:marBottom w:val="0"/>
      <w:divBdr>
        <w:top w:val="none" w:sz="0" w:space="0" w:color="auto"/>
        <w:left w:val="none" w:sz="0" w:space="0" w:color="auto"/>
        <w:bottom w:val="none" w:sz="0" w:space="0" w:color="auto"/>
        <w:right w:val="none" w:sz="0" w:space="0" w:color="auto"/>
      </w:divBdr>
    </w:div>
    <w:div w:id="1979141827">
      <w:bodyDiv w:val="1"/>
      <w:marLeft w:val="0"/>
      <w:marRight w:val="0"/>
      <w:marTop w:val="0"/>
      <w:marBottom w:val="0"/>
      <w:divBdr>
        <w:top w:val="none" w:sz="0" w:space="0" w:color="auto"/>
        <w:left w:val="none" w:sz="0" w:space="0" w:color="auto"/>
        <w:bottom w:val="none" w:sz="0" w:space="0" w:color="auto"/>
        <w:right w:val="none" w:sz="0" w:space="0" w:color="auto"/>
      </w:divBdr>
    </w:div>
    <w:div w:id="1981768557">
      <w:bodyDiv w:val="1"/>
      <w:marLeft w:val="0"/>
      <w:marRight w:val="0"/>
      <w:marTop w:val="0"/>
      <w:marBottom w:val="0"/>
      <w:divBdr>
        <w:top w:val="none" w:sz="0" w:space="0" w:color="auto"/>
        <w:left w:val="none" w:sz="0" w:space="0" w:color="auto"/>
        <w:bottom w:val="none" w:sz="0" w:space="0" w:color="auto"/>
        <w:right w:val="none" w:sz="0" w:space="0" w:color="auto"/>
      </w:divBdr>
    </w:div>
    <w:div w:id="1983922168">
      <w:bodyDiv w:val="1"/>
      <w:marLeft w:val="0"/>
      <w:marRight w:val="0"/>
      <w:marTop w:val="0"/>
      <w:marBottom w:val="0"/>
      <w:divBdr>
        <w:top w:val="none" w:sz="0" w:space="0" w:color="auto"/>
        <w:left w:val="none" w:sz="0" w:space="0" w:color="auto"/>
        <w:bottom w:val="none" w:sz="0" w:space="0" w:color="auto"/>
        <w:right w:val="none" w:sz="0" w:space="0" w:color="auto"/>
      </w:divBdr>
    </w:div>
    <w:div w:id="1995915014">
      <w:bodyDiv w:val="1"/>
      <w:marLeft w:val="0"/>
      <w:marRight w:val="0"/>
      <w:marTop w:val="0"/>
      <w:marBottom w:val="0"/>
      <w:divBdr>
        <w:top w:val="none" w:sz="0" w:space="0" w:color="auto"/>
        <w:left w:val="none" w:sz="0" w:space="0" w:color="auto"/>
        <w:bottom w:val="none" w:sz="0" w:space="0" w:color="auto"/>
        <w:right w:val="none" w:sz="0" w:space="0" w:color="auto"/>
      </w:divBdr>
    </w:div>
    <w:div w:id="2006585365">
      <w:bodyDiv w:val="1"/>
      <w:marLeft w:val="0"/>
      <w:marRight w:val="0"/>
      <w:marTop w:val="0"/>
      <w:marBottom w:val="0"/>
      <w:divBdr>
        <w:top w:val="none" w:sz="0" w:space="0" w:color="auto"/>
        <w:left w:val="none" w:sz="0" w:space="0" w:color="auto"/>
        <w:bottom w:val="none" w:sz="0" w:space="0" w:color="auto"/>
        <w:right w:val="none" w:sz="0" w:space="0" w:color="auto"/>
      </w:divBdr>
    </w:div>
    <w:div w:id="2008048489">
      <w:bodyDiv w:val="1"/>
      <w:marLeft w:val="0"/>
      <w:marRight w:val="0"/>
      <w:marTop w:val="0"/>
      <w:marBottom w:val="0"/>
      <w:divBdr>
        <w:top w:val="none" w:sz="0" w:space="0" w:color="auto"/>
        <w:left w:val="none" w:sz="0" w:space="0" w:color="auto"/>
        <w:bottom w:val="none" w:sz="0" w:space="0" w:color="auto"/>
        <w:right w:val="none" w:sz="0" w:space="0" w:color="auto"/>
      </w:divBdr>
    </w:div>
    <w:div w:id="2011055587">
      <w:bodyDiv w:val="1"/>
      <w:marLeft w:val="0"/>
      <w:marRight w:val="0"/>
      <w:marTop w:val="0"/>
      <w:marBottom w:val="0"/>
      <w:divBdr>
        <w:top w:val="none" w:sz="0" w:space="0" w:color="auto"/>
        <w:left w:val="none" w:sz="0" w:space="0" w:color="auto"/>
        <w:bottom w:val="none" w:sz="0" w:space="0" w:color="auto"/>
        <w:right w:val="none" w:sz="0" w:space="0" w:color="auto"/>
      </w:divBdr>
    </w:div>
    <w:div w:id="2028486976">
      <w:bodyDiv w:val="1"/>
      <w:marLeft w:val="0"/>
      <w:marRight w:val="0"/>
      <w:marTop w:val="0"/>
      <w:marBottom w:val="0"/>
      <w:divBdr>
        <w:top w:val="none" w:sz="0" w:space="0" w:color="auto"/>
        <w:left w:val="none" w:sz="0" w:space="0" w:color="auto"/>
        <w:bottom w:val="none" w:sz="0" w:space="0" w:color="auto"/>
        <w:right w:val="none" w:sz="0" w:space="0" w:color="auto"/>
      </w:divBdr>
    </w:div>
    <w:div w:id="2045330556">
      <w:bodyDiv w:val="1"/>
      <w:marLeft w:val="0"/>
      <w:marRight w:val="0"/>
      <w:marTop w:val="0"/>
      <w:marBottom w:val="0"/>
      <w:divBdr>
        <w:top w:val="none" w:sz="0" w:space="0" w:color="auto"/>
        <w:left w:val="none" w:sz="0" w:space="0" w:color="auto"/>
        <w:bottom w:val="none" w:sz="0" w:space="0" w:color="auto"/>
        <w:right w:val="none" w:sz="0" w:space="0" w:color="auto"/>
      </w:divBdr>
    </w:div>
    <w:div w:id="2075008006">
      <w:bodyDiv w:val="1"/>
      <w:marLeft w:val="0"/>
      <w:marRight w:val="0"/>
      <w:marTop w:val="0"/>
      <w:marBottom w:val="0"/>
      <w:divBdr>
        <w:top w:val="none" w:sz="0" w:space="0" w:color="auto"/>
        <w:left w:val="none" w:sz="0" w:space="0" w:color="auto"/>
        <w:bottom w:val="none" w:sz="0" w:space="0" w:color="auto"/>
        <w:right w:val="none" w:sz="0" w:space="0" w:color="auto"/>
      </w:divBdr>
    </w:div>
    <w:div w:id="2081243439">
      <w:bodyDiv w:val="1"/>
      <w:marLeft w:val="0"/>
      <w:marRight w:val="0"/>
      <w:marTop w:val="0"/>
      <w:marBottom w:val="0"/>
      <w:divBdr>
        <w:top w:val="none" w:sz="0" w:space="0" w:color="auto"/>
        <w:left w:val="none" w:sz="0" w:space="0" w:color="auto"/>
        <w:bottom w:val="none" w:sz="0" w:space="0" w:color="auto"/>
        <w:right w:val="none" w:sz="0" w:space="0" w:color="auto"/>
      </w:divBdr>
    </w:div>
    <w:div w:id="2081437107">
      <w:bodyDiv w:val="1"/>
      <w:marLeft w:val="0"/>
      <w:marRight w:val="0"/>
      <w:marTop w:val="0"/>
      <w:marBottom w:val="0"/>
      <w:divBdr>
        <w:top w:val="none" w:sz="0" w:space="0" w:color="auto"/>
        <w:left w:val="none" w:sz="0" w:space="0" w:color="auto"/>
        <w:bottom w:val="none" w:sz="0" w:space="0" w:color="auto"/>
        <w:right w:val="none" w:sz="0" w:space="0" w:color="auto"/>
      </w:divBdr>
    </w:div>
    <w:div w:id="2088721635">
      <w:bodyDiv w:val="1"/>
      <w:marLeft w:val="0"/>
      <w:marRight w:val="0"/>
      <w:marTop w:val="0"/>
      <w:marBottom w:val="0"/>
      <w:divBdr>
        <w:top w:val="none" w:sz="0" w:space="0" w:color="auto"/>
        <w:left w:val="none" w:sz="0" w:space="0" w:color="auto"/>
        <w:bottom w:val="none" w:sz="0" w:space="0" w:color="auto"/>
        <w:right w:val="none" w:sz="0" w:space="0" w:color="auto"/>
      </w:divBdr>
    </w:div>
    <w:div w:id="2094157504">
      <w:bodyDiv w:val="1"/>
      <w:marLeft w:val="0"/>
      <w:marRight w:val="0"/>
      <w:marTop w:val="0"/>
      <w:marBottom w:val="0"/>
      <w:divBdr>
        <w:top w:val="none" w:sz="0" w:space="0" w:color="auto"/>
        <w:left w:val="none" w:sz="0" w:space="0" w:color="auto"/>
        <w:bottom w:val="none" w:sz="0" w:space="0" w:color="auto"/>
        <w:right w:val="none" w:sz="0" w:space="0" w:color="auto"/>
      </w:divBdr>
    </w:div>
    <w:div w:id="2097167304">
      <w:bodyDiv w:val="1"/>
      <w:marLeft w:val="0"/>
      <w:marRight w:val="0"/>
      <w:marTop w:val="0"/>
      <w:marBottom w:val="0"/>
      <w:divBdr>
        <w:top w:val="none" w:sz="0" w:space="0" w:color="auto"/>
        <w:left w:val="none" w:sz="0" w:space="0" w:color="auto"/>
        <w:bottom w:val="none" w:sz="0" w:space="0" w:color="auto"/>
        <w:right w:val="none" w:sz="0" w:space="0" w:color="auto"/>
      </w:divBdr>
    </w:div>
    <w:div w:id="2104716981">
      <w:bodyDiv w:val="1"/>
      <w:marLeft w:val="0"/>
      <w:marRight w:val="0"/>
      <w:marTop w:val="0"/>
      <w:marBottom w:val="0"/>
      <w:divBdr>
        <w:top w:val="none" w:sz="0" w:space="0" w:color="auto"/>
        <w:left w:val="none" w:sz="0" w:space="0" w:color="auto"/>
        <w:bottom w:val="none" w:sz="0" w:space="0" w:color="auto"/>
        <w:right w:val="none" w:sz="0" w:space="0" w:color="auto"/>
      </w:divBdr>
    </w:div>
    <w:div w:id="2111004452">
      <w:bodyDiv w:val="1"/>
      <w:marLeft w:val="0"/>
      <w:marRight w:val="0"/>
      <w:marTop w:val="0"/>
      <w:marBottom w:val="0"/>
      <w:divBdr>
        <w:top w:val="none" w:sz="0" w:space="0" w:color="auto"/>
        <w:left w:val="none" w:sz="0" w:space="0" w:color="auto"/>
        <w:bottom w:val="none" w:sz="0" w:space="0" w:color="auto"/>
        <w:right w:val="none" w:sz="0" w:space="0" w:color="auto"/>
      </w:divBdr>
    </w:div>
    <w:div w:id="2113279275">
      <w:bodyDiv w:val="1"/>
      <w:marLeft w:val="0"/>
      <w:marRight w:val="0"/>
      <w:marTop w:val="0"/>
      <w:marBottom w:val="0"/>
      <w:divBdr>
        <w:top w:val="none" w:sz="0" w:space="0" w:color="auto"/>
        <w:left w:val="none" w:sz="0" w:space="0" w:color="auto"/>
        <w:bottom w:val="none" w:sz="0" w:space="0" w:color="auto"/>
        <w:right w:val="none" w:sz="0" w:space="0" w:color="auto"/>
      </w:divBdr>
    </w:div>
    <w:div w:id="2120024124">
      <w:bodyDiv w:val="1"/>
      <w:marLeft w:val="0"/>
      <w:marRight w:val="0"/>
      <w:marTop w:val="0"/>
      <w:marBottom w:val="0"/>
      <w:divBdr>
        <w:top w:val="none" w:sz="0" w:space="0" w:color="auto"/>
        <w:left w:val="none" w:sz="0" w:space="0" w:color="auto"/>
        <w:bottom w:val="none" w:sz="0" w:space="0" w:color="auto"/>
        <w:right w:val="none" w:sz="0" w:space="0" w:color="auto"/>
      </w:divBdr>
    </w:div>
    <w:div w:id="2126121279">
      <w:bodyDiv w:val="1"/>
      <w:marLeft w:val="0"/>
      <w:marRight w:val="0"/>
      <w:marTop w:val="0"/>
      <w:marBottom w:val="0"/>
      <w:divBdr>
        <w:top w:val="none" w:sz="0" w:space="0" w:color="auto"/>
        <w:left w:val="none" w:sz="0" w:space="0" w:color="auto"/>
        <w:bottom w:val="none" w:sz="0" w:space="0" w:color="auto"/>
        <w:right w:val="none" w:sz="0" w:space="0" w:color="auto"/>
      </w:divBdr>
    </w:div>
    <w:div w:id="2142570900">
      <w:bodyDiv w:val="1"/>
      <w:marLeft w:val="0"/>
      <w:marRight w:val="0"/>
      <w:marTop w:val="0"/>
      <w:marBottom w:val="0"/>
      <w:divBdr>
        <w:top w:val="none" w:sz="0" w:space="0" w:color="auto"/>
        <w:left w:val="none" w:sz="0" w:space="0" w:color="auto"/>
        <w:bottom w:val="none" w:sz="0" w:space="0" w:color="auto"/>
        <w:right w:val="none" w:sz="0" w:space="0" w:color="auto"/>
      </w:divBdr>
    </w:div>
    <w:div w:id="2144691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56C142-2BAC-42B6-881E-604316716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1683</Words>
  <Characters>9599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NPSA</Company>
  <LinksUpToDate>false</LinksUpToDate>
  <CharactersWithSpaces>11260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Corrigan</dc:creator>
  <cp:lastModifiedBy>Steve Tebbutt</cp:lastModifiedBy>
  <cp:revision>4</cp:revision>
  <cp:lastPrinted>2015-04-24T15:52:00Z</cp:lastPrinted>
  <dcterms:created xsi:type="dcterms:W3CDTF">2017-01-17T18:21:00Z</dcterms:created>
  <dcterms:modified xsi:type="dcterms:W3CDTF">2017-01-30T11:35:00Z</dcterms:modified>
</cp:coreProperties>
</file>