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3BAC4C18" w14:textId="77777777" w:rsidTr="00636695">
        <w:tc>
          <w:tcPr>
            <w:tcW w:w="3420" w:type="dxa"/>
            <w:tcBorders>
              <w:right w:val="single" w:sz="4" w:space="0" w:color="auto"/>
            </w:tcBorders>
          </w:tcPr>
          <w:p w14:paraId="190D963A" w14:textId="77777777" w:rsidR="00636695" w:rsidRPr="00636695" w:rsidRDefault="00636695" w:rsidP="00636695">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14:paraId="3948DF53" w14:textId="4E00F146" w:rsidR="00636695" w:rsidRPr="00636695" w:rsidRDefault="00DB526D" w:rsidP="00F750F0">
                <w:pPr>
                  <w:pStyle w:val="Subtitle"/>
                  <w:rPr>
                    <w:i/>
                  </w:rPr>
                </w:pPr>
                <w:r>
                  <w:rPr>
                    <w:rStyle w:val="SubtitleChar"/>
                  </w:rPr>
                  <w:t>9</w:t>
                </w:r>
              </w:p>
            </w:tc>
          </w:sdtContent>
        </w:sdt>
      </w:tr>
      <w:tr w:rsidR="00636695" w:rsidRPr="001B0E16" w14:paraId="52776A21" w14:textId="77777777" w:rsidTr="00636494">
        <w:trPr>
          <w:trHeight w:val="434"/>
        </w:trPr>
        <w:tc>
          <w:tcPr>
            <w:tcW w:w="3420" w:type="dxa"/>
            <w:tcBorders>
              <w:right w:val="single" w:sz="4" w:space="0" w:color="auto"/>
            </w:tcBorders>
          </w:tcPr>
          <w:p w14:paraId="5BEFFF7F" w14:textId="77777777" w:rsidR="00636695" w:rsidRPr="00636695" w:rsidRDefault="00636695" w:rsidP="00636695">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14:paraId="21298F9E" w14:textId="5FD7827E" w:rsidR="00636695" w:rsidRPr="00636695" w:rsidRDefault="00DB526D" w:rsidP="00F750F0">
                <w:pPr>
                  <w:pStyle w:val="Subtitle"/>
                  <w:rPr>
                    <w:sz w:val="22"/>
                  </w:rPr>
                </w:pPr>
                <w:r>
                  <w:rPr>
                    <w:rStyle w:val="SubtitleChar"/>
                  </w:rPr>
                  <w:t>A-C</w:t>
                </w:r>
              </w:p>
            </w:tc>
          </w:sdtContent>
        </w:sdt>
      </w:tr>
    </w:tbl>
    <w:p w14:paraId="4A2F43A3" w14:textId="77777777" w:rsidR="00636695" w:rsidRDefault="00636695" w:rsidP="005B3EC6">
      <w:pPr>
        <w:pStyle w:val="Heading1"/>
        <w:spacing w:after="120"/>
        <w:ind w:right="968"/>
      </w:pPr>
    </w:p>
    <w:p w14:paraId="1242A147" w14:textId="77777777" w:rsidR="00636695" w:rsidRDefault="00636695" w:rsidP="005B3EC6">
      <w:pPr>
        <w:pStyle w:val="Heading1"/>
        <w:spacing w:after="120"/>
        <w:ind w:right="968"/>
      </w:pPr>
    </w:p>
    <w:p w14:paraId="2131EB33" w14:textId="77777777" w:rsidR="00B56CD6" w:rsidRPr="00B56CD6" w:rsidRDefault="00B56CD6" w:rsidP="00B56CD6"/>
    <w:p w14:paraId="1318C52B" w14:textId="77777777" w:rsidR="00942C40" w:rsidRDefault="002D27C9" w:rsidP="005B3EC6">
      <w:pPr>
        <w:pStyle w:val="Heading1"/>
        <w:spacing w:after="120"/>
        <w:ind w:right="968"/>
      </w:pPr>
      <w:sdt>
        <w:sdtPr>
          <w:id w:val="-866753739"/>
          <w:placeholder>
            <w:docPart w:val="CB0B88D8F7E048669DD6CCFABD417EE6"/>
          </w:placeholder>
        </w:sdtPr>
        <w:sdtEndPr/>
        <w:sdtContent>
          <w:r w:rsidR="00E64D59">
            <w:t>HRA Board</w:t>
          </w:r>
        </w:sdtContent>
      </w:sdt>
      <w:r w:rsidR="007E68AA">
        <w:t xml:space="preserve"> </w:t>
      </w:r>
      <w:r w:rsidR="001834D4">
        <w:t>Cover sheet</w:t>
      </w:r>
    </w:p>
    <w:p w14:paraId="3850BA98" w14:textId="475555A2" w:rsidR="00100DDD" w:rsidRDefault="002D27C9" w:rsidP="005B3EC6">
      <w:pPr>
        <w:pStyle w:val="Heading1"/>
        <w:spacing w:after="120"/>
        <w:ind w:right="968"/>
      </w:pPr>
      <w:sdt>
        <w:sdtPr>
          <w:id w:val="-1963418377"/>
          <w:placeholder>
            <w:docPart w:val="12857DD38D964C3C87E150CF1A787E91"/>
          </w:placeholder>
          <w:date w:fullDate="2020-11-09T00:00:00Z">
            <w:dateFormat w:val="d MMMM yyyy"/>
            <w:lid w:val="en-GB"/>
            <w:storeMappedDataAs w:val="dateTime"/>
            <w:calendar w:val="gregorian"/>
          </w:date>
        </w:sdtPr>
        <w:sdtEndPr/>
        <w:sdtContent>
          <w:r w:rsidR="007A05B3">
            <w:t>9 November 2020</w:t>
          </w:r>
        </w:sdtContent>
      </w:sdt>
    </w:p>
    <w:p w14:paraId="0C1326FF"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14:paraId="5BC49489" w14:textId="77777777" w:rsidTr="00697A2E">
        <w:tc>
          <w:tcPr>
            <w:tcW w:w="2078" w:type="dxa"/>
            <w:shd w:val="clear" w:color="auto" w:fill="auto"/>
          </w:tcPr>
          <w:p w14:paraId="55CBCCF1" w14:textId="77777777"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14:paraId="06821E42" w14:textId="77777777" w:rsidR="00B56CD6" w:rsidRPr="00B56CD6" w:rsidRDefault="00B56CD6" w:rsidP="009201F7"/>
        </w:tc>
        <w:tc>
          <w:tcPr>
            <w:tcW w:w="7528" w:type="dxa"/>
          </w:tcPr>
          <w:p w14:paraId="48CF823F" w14:textId="71A8D29A" w:rsidR="00FB7DD2" w:rsidRPr="00646F87" w:rsidRDefault="00A27D81" w:rsidP="009201F7">
            <w:pPr>
              <w:rPr>
                <w:color w:val="000000" w:themeColor="text1"/>
              </w:rPr>
            </w:pPr>
            <w:r>
              <w:rPr>
                <w:color w:val="000000" w:themeColor="text1"/>
              </w:rPr>
              <w:t>Transformation Programme – Developing the way forward</w:t>
            </w:r>
          </w:p>
        </w:tc>
      </w:tr>
      <w:tr w:rsidR="00942C40" w14:paraId="77FD0368" w14:textId="77777777" w:rsidTr="00697A2E">
        <w:tc>
          <w:tcPr>
            <w:tcW w:w="2078" w:type="dxa"/>
            <w:shd w:val="clear" w:color="auto" w:fill="auto"/>
          </w:tcPr>
          <w:p w14:paraId="1F8329F5" w14:textId="77777777" w:rsidR="00942C40" w:rsidRDefault="00942C40" w:rsidP="009201F7">
            <w:pPr>
              <w:pStyle w:val="Heading2"/>
              <w:keepNext w:val="0"/>
              <w:keepLines w:val="0"/>
              <w:spacing w:before="0"/>
              <w:outlineLvl w:val="1"/>
              <w:rPr>
                <w:sz w:val="24"/>
                <w:szCs w:val="24"/>
              </w:rPr>
            </w:pPr>
            <w:r>
              <w:rPr>
                <w:sz w:val="24"/>
                <w:szCs w:val="24"/>
              </w:rPr>
              <w:t>Submitted by:</w:t>
            </w:r>
          </w:p>
          <w:p w14:paraId="05ED5BD9" w14:textId="77777777" w:rsidR="00B56CD6" w:rsidRPr="00B56CD6" w:rsidRDefault="00B56CD6" w:rsidP="009201F7"/>
        </w:tc>
        <w:tc>
          <w:tcPr>
            <w:tcW w:w="7528" w:type="dxa"/>
          </w:tcPr>
          <w:p w14:paraId="7DE93E03" w14:textId="3AE3657D" w:rsidR="00942C40" w:rsidRPr="00646F87" w:rsidRDefault="00A27D81" w:rsidP="009201F7">
            <w:pPr>
              <w:rPr>
                <w:color w:val="000000" w:themeColor="text1"/>
              </w:rPr>
            </w:pPr>
            <w:r>
              <w:rPr>
                <w:color w:val="000000" w:themeColor="text1"/>
              </w:rPr>
              <w:t>Ian Cook</w:t>
            </w:r>
          </w:p>
        </w:tc>
      </w:tr>
      <w:tr w:rsidR="00942C40" w14:paraId="677FB117" w14:textId="77777777" w:rsidTr="00697A2E">
        <w:tc>
          <w:tcPr>
            <w:tcW w:w="2078" w:type="dxa"/>
            <w:shd w:val="clear" w:color="auto" w:fill="auto"/>
          </w:tcPr>
          <w:p w14:paraId="4078929C" w14:textId="77777777"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14:paraId="6C9D3ED0" w14:textId="0CD8ACE8" w:rsidR="00942C40" w:rsidRPr="007F45C9" w:rsidRDefault="007F45C9" w:rsidP="007F45C9">
            <w:pPr>
              <w:spacing w:after="160" w:line="256" w:lineRule="auto"/>
            </w:pPr>
            <w:r w:rsidRPr="007F45C9">
              <w:t>This paper intends to offer the Board</w:t>
            </w:r>
            <w:r>
              <w:t xml:space="preserve"> a detailed summary of the</w:t>
            </w:r>
            <w:r w:rsidR="00407CA2">
              <w:t xml:space="preserve"> </w:t>
            </w:r>
            <w:r>
              <w:t xml:space="preserve">context and rationale of the HRA’s Transformation Programme and the </w:t>
            </w:r>
            <w:r w:rsidR="00407CA2">
              <w:t xml:space="preserve">developing </w:t>
            </w:r>
            <w:r>
              <w:t>work around prioritisation,</w:t>
            </w:r>
            <w:r w:rsidR="00F15CF4">
              <w:t xml:space="preserve"> </w:t>
            </w:r>
            <w:r w:rsidR="00975E16">
              <w:t>dependencies,</w:t>
            </w:r>
            <w:r w:rsidR="00F15CF4">
              <w:t xml:space="preserve"> and</w:t>
            </w:r>
            <w:r>
              <w:t xml:space="preserve"> benefits</w:t>
            </w:r>
          </w:p>
        </w:tc>
      </w:tr>
      <w:tr w:rsidR="00942C40" w14:paraId="458B59DF" w14:textId="77777777" w:rsidTr="00697A2E">
        <w:tc>
          <w:tcPr>
            <w:tcW w:w="2078" w:type="dxa"/>
            <w:shd w:val="clear" w:color="auto" w:fill="auto"/>
          </w:tcPr>
          <w:p w14:paraId="28B99F31" w14:textId="77777777"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14:paraId="741CDA7D" w14:textId="78CA432B" w:rsidR="00942C40" w:rsidRDefault="002D27C9"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407CA2">
                  <w:rPr>
                    <w:rFonts w:cs="Arial"/>
                    <w:color w:val="000000" w:themeColor="text1"/>
                    <w:szCs w:val="24"/>
                  </w:rPr>
                  <w:t>The Board have been keen to have an enhanced understanding of how the Transformation Programme is approaching the challenge of delivering a substantial programme of change.</w:t>
                </w:r>
                <w:r w:rsidR="007A3507">
                  <w:rPr>
                    <w:rFonts w:cs="Arial"/>
                    <w:color w:val="000000" w:themeColor="text1"/>
                    <w:szCs w:val="24"/>
                  </w:rPr>
                  <w:t xml:space="preserve"> </w:t>
                </w:r>
                <w:r w:rsidR="00975E16">
                  <w:rPr>
                    <w:rFonts w:cs="Arial"/>
                    <w:color w:val="000000" w:themeColor="text1"/>
                    <w:szCs w:val="24"/>
                  </w:rPr>
                  <w:t>The paper offers the opportunity to the Board to reflect and make comment on each of the aspects covered in this paper</w:t>
                </w:r>
              </w:sdtContent>
            </w:sdt>
          </w:p>
          <w:p w14:paraId="11F6D663" w14:textId="77777777" w:rsidR="003209A8" w:rsidRPr="00303735" w:rsidRDefault="003209A8" w:rsidP="009201F7">
            <w:pPr>
              <w:contextualSpacing/>
              <w:rPr>
                <w:rFonts w:cs="Arial"/>
                <w:color w:val="000000" w:themeColor="text1"/>
                <w:szCs w:val="24"/>
              </w:rPr>
            </w:pPr>
          </w:p>
        </w:tc>
      </w:tr>
      <w:tr w:rsidR="00942C40" w14:paraId="5B2DFAB0" w14:textId="77777777" w:rsidTr="00636494">
        <w:trPr>
          <w:trHeight w:val="619"/>
        </w:trPr>
        <w:tc>
          <w:tcPr>
            <w:tcW w:w="2078" w:type="dxa"/>
            <w:shd w:val="clear" w:color="auto" w:fill="auto"/>
          </w:tcPr>
          <w:p w14:paraId="0E03ABE9" w14:textId="77777777"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14:paraId="40DD4A56" w14:textId="596FA756" w:rsidR="007A3507" w:rsidRDefault="007A3507" w:rsidP="007A3507">
            <w:pPr>
              <w:spacing w:after="160" w:line="256" w:lineRule="auto"/>
            </w:pPr>
            <w:r>
              <w:t>The paper will cover the following</w:t>
            </w:r>
          </w:p>
          <w:p w14:paraId="34270ECD" w14:textId="7F4A4F85" w:rsidR="007A3507" w:rsidRPr="007A3507" w:rsidRDefault="007A3507" w:rsidP="007F45C9">
            <w:pPr>
              <w:pStyle w:val="ListParagraph"/>
              <w:numPr>
                <w:ilvl w:val="0"/>
                <w:numId w:val="7"/>
              </w:numPr>
              <w:spacing w:after="160" w:line="256" w:lineRule="auto"/>
              <w:rPr>
                <w:rFonts w:eastAsiaTheme="minorEastAsia" w:cstheme="minorBidi"/>
                <w:sz w:val="24"/>
              </w:rPr>
            </w:pPr>
            <w:r w:rsidRPr="007A3507">
              <w:rPr>
                <w:rFonts w:eastAsiaTheme="minorEastAsia" w:cstheme="minorBidi"/>
                <w:sz w:val="24"/>
              </w:rPr>
              <w:t>The strategic context</w:t>
            </w:r>
          </w:p>
          <w:p w14:paraId="184EB485" w14:textId="0A5E1BFA" w:rsidR="007F45C9" w:rsidRPr="007A3507" w:rsidRDefault="007F45C9" w:rsidP="007F45C9">
            <w:pPr>
              <w:pStyle w:val="ListParagraph"/>
              <w:numPr>
                <w:ilvl w:val="0"/>
                <w:numId w:val="7"/>
              </w:numPr>
              <w:spacing w:after="160" w:line="256" w:lineRule="auto"/>
              <w:rPr>
                <w:rFonts w:eastAsiaTheme="minorEastAsia" w:cstheme="minorBidi"/>
                <w:sz w:val="24"/>
              </w:rPr>
            </w:pPr>
            <w:r w:rsidRPr="007A3507">
              <w:rPr>
                <w:rFonts w:eastAsiaTheme="minorEastAsia" w:cstheme="minorBidi"/>
                <w:sz w:val="24"/>
              </w:rPr>
              <w:t>T</w:t>
            </w:r>
            <w:r w:rsidR="007A3507">
              <w:rPr>
                <w:rFonts w:eastAsiaTheme="minorEastAsia" w:cstheme="minorBidi"/>
                <w:sz w:val="24"/>
              </w:rPr>
              <w:t xml:space="preserve">he programme portfolio and governance </w:t>
            </w:r>
          </w:p>
          <w:p w14:paraId="1E700831" w14:textId="68432171" w:rsidR="007F45C9" w:rsidRPr="007A3507" w:rsidRDefault="007A3507" w:rsidP="007F45C9">
            <w:pPr>
              <w:pStyle w:val="ListParagraph"/>
              <w:numPr>
                <w:ilvl w:val="0"/>
                <w:numId w:val="7"/>
              </w:numPr>
              <w:spacing w:after="160" w:line="256" w:lineRule="auto"/>
              <w:rPr>
                <w:rFonts w:eastAsiaTheme="minorEastAsia" w:cstheme="minorBidi"/>
                <w:sz w:val="24"/>
              </w:rPr>
            </w:pPr>
            <w:r>
              <w:rPr>
                <w:rFonts w:eastAsiaTheme="minorEastAsia" w:cstheme="minorBidi"/>
                <w:sz w:val="24"/>
              </w:rPr>
              <w:t>The</w:t>
            </w:r>
            <w:r w:rsidR="007F45C9" w:rsidRPr="007A3507">
              <w:rPr>
                <w:rFonts w:eastAsiaTheme="minorEastAsia" w:cstheme="minorBidi"/>
                <w:sz w:val="24"/>
              </w:rPr>
              <w:t xml:space="preserve"> approach to prioritisation</w:t>
            </w:r>
            <w:r w:rsidR="00F15CF4">
              <w:rPr>
                <w:rFonts w:eastAsiaTheme="minorEastAsia" w:cstheme="minorBidi"/>
                <w:sz w:val="24"/>
              </w:rPr>
              <w:t>/dependency mapping</w:t>
            </w:r>
            <w:r w:rsidR="007F45C9" w:rsidRPr="007A3507">
              <w:rPr>
                <w:rFonts w:eastAsiaTheme="minorEastAsia" w:cstheme="minorBidi"/>
                <w:sz w:val="24"/>
              </w:rPr>
              <w:t xml:space="preserve"> </w:t>
            </w:r>
          </w:p>
          <w:p w14:paraId="4AF70A47" w14:textId="1B56D687" w:rsidR="007F45C9" w:rsidRPr="007A3507" w:rsidRDefault="007A3507" w:rsidP="007F45C9">
            <w:pPr>
              <w:pStyle w:val="ListParagraph"/>
              <w:numPr>
                <w:ilvl w:val="0"/>
                <w:numId w:val="7"/>
              </w:numPr>
              <w:spacing w:after="160" w:line="256" w:lineRule="auto"/>
              <w:rPr>
                <w:rFonts w:eastAsiaTheme="minorEastAsia" w:cstheme="minorBidi"/>
                <w:sz w:val="24"/>
              </w:rPr>
            </w:pPr>
            <w:r>
              <w:rPr>
                <w:rFonts w:eastAsiaTheme="minorEastAsia" w:cstheme="minorBidi"/>
                <w:sz w:val="24"/>
              </w:rPr>
              <w:t>D</w:t>
            </w:r>
            <w:r w:rsidR="007F45C9" w:rsidRPr="007A3507">
              <w:rPr>
                <w:rFonts w:eastAsiaTheme="minorEastAsia" w:cstheme="minorBidi"/>
                <w:sz w:val="24"/>
              </w:rPr>
              <w:t>eliverables for 20/21 and 21/22</w:t>
            </w:r>
          </w:p>
          <w:p w14:paraId="0C3ACB92" w14:textId="77777777" w:rsidR="00942C40" w:rsidRPr="00975E16" w:rsidRDefault="007A3507" w:rsidP="007A3507">
            <w:pPr>
              <w:pStyle w:val="ListParagraph"/>
              <w:numPr>
                <w:ilvl w:val="0"/>
                <w:numId w:val="7"/>
              </w:numPr>
              <w:spacing w:after="160" w:line="256" w:lineRule="auto"/>
              <w:rPr>
                <w:rFonts w:cs="Arial"/>
                <w:color w:val="000000" w:themeColor="text1"/>
                <w:szCs w:val="24"/>
              </w:rPr>
            </w:pPr>
            <w:r>
              <w:rPr>
                <w:rFonts w:eastAsiaTheme="minorEastAsia" w:cstheme="minorBidi"/>
                <w:sz w:val="24"/>
              </w:rPr>
              <w:t>Benefits</w:t>
            </w:r>
          </w:p>
          <w:p w14:paraId="3DE6D2B3" w14:textId="1C794E1F" w:rsidR="00975E16" w:rsidRPr="00975E16" w:rsidRDefault="00975E16" w:rsidP="00975E16">
            <w:pPr>
              <w:spacing w:after="160" w:line="256" w:lineRule="auto"/>
              <w:rPr>
                <w:rFonts w:cs="Arial"/>
                <w:color w:val="000000" w:themeColor="text1"/>
                <w:szCs w:val="24"/>
              </w:rPr>
            </w:pPr>
            <w:r>
              <w:rPr>
                <w:rFonts w:cs="Arial"/>
                <w:color w:val="000000" w:themeColor="text1"/>
                <w:szCs w:val="24"/>
              </w:rPr>
              <w:t xml:space="preserve">It is also worth noting that a comprehensive cross programme of work is in train to review and deliver ‘3’ </w:t>
            </w:r>
            <w:r w:rsidR="00C17CC5">
              <w:rPr>
                <w:rFonts w:cs="Arial"/>
                <w:color w:val="000000" w:themeColor="text1"/>
                <w:szCs w:val="24"/>
              </w:rPr>
              <w:t>by the end of the calendar year</w:t>
            </w:r>
          </w:p>
        </w:tc>
      </w:tr>
      <w:tr w:rsidR="00942C40" w14:paraId="101E7848" w14:textId="77777777" w:rsidTr="00636494">
        <w:trPr>
          <w:trHeight w:val="619"/>
        </w:trPr>
        <w:tc>
          <w:tcPr>
            <w:tcW w:w="2078" w:type="dxa"/>
            <w:shd w:val="clear" w:color="auto" w:fill="auto"/>
          </w:tcPr>
          <w:p w14:paraId="0DF70DBA" w14:textId="77777777" w:rsidR="00942C40" w:rsidRDefault="00942C40" w:rsidP="009201F7">
            <w:pPr>
              <w:pStyle w:val="Heading2"/>
              <w:keepNext w:val="0"/>
              <w:keepLines w:val="0"/>
              <w:spacing w:before="0"/>
              <w:outlineLvl w:val="1"/>
              <w:rPr>
                <w:sz w:val="24"/>
                <w:szCs w:val="24"/>
              </w:rPr>
            </w:pPr>
            <w:r>
              <w:rPr>
                <w:sz w:val="24"/>
                <w:szCs w:val="24"/>
              </w:rPr>
              <w:t>Budget / cost implication:</w:t>
            </w:r>
          </w:p>
        </w:tc>
        <w:tc>
          <w:tcPr>
            <w:tcW w:w="7528" w:type="dxa"/>
          </w:tcPr>
          <w:p w14:paraId="59D65F9A" w14:textId="6F88B406" w:rsidR="00942C40" w:rsidRDefault="00407CA2" w:rsidP="009201F7">
            <w:pPr>
              <w:contextualSpacing/>
              <w:rPr>
                <w:rFonts w:cs="Arial"/>
                <w:color w:val="000000" w:themeColor="text1"/>
                <w:szCs w:val="24"/>
              </w:rPr>
            </w:pPr>
            <w:r>
              <w:rPr>
                <w:rStyle w:val="BasictextChar"/>
              </w:rPr>
              <w:t>Resources for each programme within the Transformation Portfolio have been agreed and are within the current budget envelope for 2020/21, however this will be subject to further scrutiny as the business planning process for 21/22 is carried ou</w:t>
            </w:r>
            <w:r w:rsidR="007A3507">
              <w:rPr>
                <w:rStyle w:val="BasictextChar"/>
              </w:rPr>
              <w:t xml:space="preserve">t and the result of the comprehensive spending review becomes known.  </w:t>
            </w:r>
          </w:p>
        </w:tc>
      </w:tr>
      <w:tr w:rsidR="00942C40" w14:paraId="1A5CCBE1" w14:textId="77777777" w:rsidTr="00056B25">
        <w:trPr>
          <w:trHeight w:val="489"/>
        </w:trPr>
        <w:tc>
          <w:tcPr>
            <w:tcW w:w="2078" w:type="dxa"/>
            <w:shd w:val="clear" w:color="auto" w:fill="auto"/>
          </w:tcPr>
          <w:p w14:paraId="7BF913C1" w14:textId="77777777" w:rsidR="00942C40" w:rsidRDefault="00942C40" w:rsidP="009201F7">
            <w:pPr>
              <w:pStyle w:val="Heading2"/>
              <w:keepNext w:val="0"/>
              <w:keepLines w:val="0"/>
              <w:spacing w:before="0"/>
              <w:outlineLvl w:val="1"/>
              <w:rPr>
                <w:sz w:val="24"/>
                <w:szCs w:val="24"/>
              </w:rPr>
            </w:pPr>
            <w:r>
              <w:rPr>
                <w:sz w:val="24"/>
                <w:szCs w:val="24"/>
              </w:rPr>
              <w:t>Dissemination:</w:t>
            </w:r>
          </w:p>
        </w:tc>
        <w:tc>
          <w:tcPr>
            <w:tcW w:w="7528" w:type="dxa"/>
          </w:tcPr>
          <w:p w14:paraId="1D77DCC2" w14:textId="0DF0147E" w:rsidR="00942C40" w:rsidRPr="00056B25" w:rsidRDefault="007A3507" w:rsidP="009201F7">
            <w:pPr>
              <w:contextualSpacing/>
              <w:rPr>
                <w:rFonts w:cs="Arial"/>
                <w:i/>
                <w:color w:val="808080" w:themeColor="background1" w:themeShade="80"/>
                <w:szCs w:val="24"/>
              </w:rPr>
            </w:pPr>
            <w:r>
              <w:rPr>
                <w:rFonts w:cs="Arial"/>
                <w:color w:val="000000" w:themeColor="text1"/>
                <w:szCs w:val="24"/>
              </w:rPr>
              <w:t>As a part 1 paper it is a public document.</w:t>
            </w:r>
          </w:p>
        </w:tc>
      </w:tr>
      <w:tr w:rsidR="00942C40" w14:paraId="7F80B871" w14:textId="77777777" w:rsidTr="00697A2E">
        <w:tc>
          <w:tcPr>
            <w:tcW w:w="2078" w:type="dxa"/>
            <w:shd w:val="clear" w:color="auto" w:fill="auto"/>
          </w:tcPr>
          <w:p w14:paraId="75064290" w14:textId="77777777" w:rsidR="00942C40" w:rsidRDefault="00942C40" w:rsidP="009201F7">
            <w:pPr>
              <w:pStyle w:val="Heading2"/>
              <w:keepNext w:val="0"/>
              <w:keepLines w:val="0"/>
              <w:spacing w:before="0"/>
              <w:outlineLvl w:val="1"/>
              <w:rPr>
                <w:sz w:val="24"/>
                <w:szCs w:val="24"/>
              </w:rPr>
            </w:pPr>
            <w:r>
              <w:rPr>
                <w:sz w:val="24"/>
                <w:szCs w:val="24"/>
              </w:rPr>
              <w:t>Time required:</w:t>
            </w:r>
          </w:p>
          <w:p w14:paraId="0C3487A0" w14:textId="77777777" w:rsidR="00B56CD6" w:rsidRPr="00B56CD6" w:rsidRDefault="00B56CD6" w:rsidP="009201F7"/>
        </w:tc>
        <w:tc>
          <w:tcPr>
            <w:tcW w:w="7528" w:type="dxa"/>
          </w:tcPr>
          <w:p w14:paraId="5643BB99" w14:textId="37E19B8F" w:rsidR="00942C40" w:rsidRPr="00303735" w:rsidRDefault="00A27D81" w:rsidP="009201F7">
            <w:pPr>
              <w:rPr>
                <w:rFonts w:cs="Arial"/>
                <w:i/>
                <w:color w:val="808080" w:themeColor="background1" w:themeShade="80"/>
                <w:szCs w:val="24"/>
              </w:rPr>
            </w:pPr>
            <w:r>
              <w:rPr>
                <w:rStyle w:val="BasictextChar"/>
              </w:rPr>
              <w:t>15</w:t>
            </w:r>
            <w:r w:rsidR="00C75F27">
              <w:rPr>
                <w:rStyle w:val="BasictextChar"/>
              </w:rPr>
              <w:t xml:space="preserve"> mins</w:t>
            </w:r>
          </w:p>
        </w:tc>
      </w:tr>
    </w:tbl>
    <w:p w14:paraId="0830BB6B" w14:textId="77777777" w:rsidR="00100DDD" w:rsidRDefault="00100DDD" w:rsidP="00100DDD">
      <w:pPr>
        <w:pStyle w:val="Heading1"/>
        <w:rPr>
          <w:sz w:val="4"/>
          <w:szCs w:val="4"/>
        </w:rPr>
      </w:pPr>
    </w:p>
    <w:p w14:paraId="5092AECB" w14:textId="1BEE9D43" w:rsidR="00100DDD" w:rsidRDefault="00100DDD" w:rsidP="00100DDD">
      <w:pPr>
        <w:rPr>
          <w:lang w:eastAsia="x-none"/>
        </w:rPr>
      </w:pPr>
    </w:p>
    <w:p w14:paraId="2C13DF9E" w14:textId="117686CB" w:rsidR="00E3725C" w:rsidRDefault="00E3725C" w:rsidP="00100DDD">
      <w:pPr>
        <w:rPr>
          <w:lang w:eastAsia="x-none"/>
        </w:rPr>
      </w:pPr>
    </w:p>
    <w:p w14:paraId="0B1DDDC9" w14:textId="13D218CD" w:rsidR="00E3725C" w:rsidRDefault="00E3725C" w:rsidP="00100DDD">
      <w:pPr>
        <w:rPr>
          <w:lang w:eastAsia="x-none"/>
        </w:rPr>
      </w:pPr>
    </w:p>
    <w:p w14:paraId="7E0E2D76" w14:textId="00F30287" w:rsidR="00E3725C" w:rsidRDefault="00E3725C" w:rsidP="00100DDD">
      <w:pPr>
        <w:rPr>
          <w:lang w:eastAsia="x-none"/>
        </w:rPr>
      </w:pPr>
    </w:p>
    <w:p w14:paraId="05B4B5DC" w14:textId="00B170F9" w:rsidR="00E3725C" w:rsidRDefault="00E3725C" w:rsidP="00100DDD">
      <w:pPr>
        <w:rPr>
          <w:lang w:eastAsia="x-none"/>
        </w:rPr>
      </w:pPr>
    </w:p>
    <w:p w14:paraId="2CE6D7BD" w14:textId="77777777" w:rsidR="00E3725C" w:rsidRDefault="00E3725C" w:rsidP="00E3725C">
      <w:pPr>
        <w:keepNext/>
        <w:keepLines/>
        <w:numPr>
          <w:ilvl w:val="0"/>
          <w:numId w:val="2"/>
        </w:numPr>
        <w:tabs>
          <w:tab w:val="left" w:pos="360"/>
        </w:tabs>
        <w:spacing w:before="240" w:after="240"/>
        <w:ind w:left="0" w:firstLine="0"/>
        <w:outlineLvl w:val="1"/>
        <w:rPr>
          <w:rFonts w:eastAsiaTheme="majorEastAsia" w:cstheme="majorBidi"/>
          <w:b/>
          <w:bCs/>
          <w:color w:val="003087"/>
          <w:sz w:val="32"/>
          <w:szCs w:val="26"/>
        </w:rPr>
      </w:pPr>
      <w:r>
        <w:rPr>
          <w:rFonts w:eastAsiaTheme="majorEastAsia" w:cstheme="majorBidi"/>
          <w:b/>
          <w:bCs/>
          <w:color w:val="003087"/>
          <w:sz w:val="32"/>
          <w:szCs w:val="26"/>
        </w:rPr>
        <w:t>Introduction</w:t>
      </w:r>
    </w:p>
    <w:p w14:paraId="2EEF3E05" w14:textId="77777777" w:rsidR="00E3725C" w:rsidRDefault="00E3725C" w:rsidP="00E3725C">
      <w:pPr>
        <w:pStyle w:val="NormalWeb"/>
        <w:spacing w:before="0" w:beforeAutospacing="0" w:after="0" w:afterAutospacing="0"/>
        <w:rPr>
          <w:rFonts w:asciiTheme="minorHAnsi" w:eastAsiaTheme="minorHAnsi" w:hAnsiTheme="minorHAnsi" w:cstheme="minorBidi"/>
          <w:b/>
          <w:bCs/>
          <w:sz w:val="22"/>
          <w:szCs w:val="22"/>
          <w:lang w:val="en-GB"/>
        </w:rPr>
      </w:pPr>
    </w:p>
    <w:p w14:paraId="2B2B1488" w14:textId="23BF779D" w:rsidR="00E3725C" w:rsidRDefault="00E3725C" w:rsidP="00E3725C">
      <w:pPr>
        <w:pStyle w:val="NormalWeb"/>
        <w:numPr>
          <w:ilvl w:val="1"/>
          <w:numId w:val="2"/>
        </w:numPr>
        <w:tabs>
          <w:tab w:val="left" w:pos="810"/>
        </w:tabs>
        <w:spacing w:before="0" w:beforeAutospacing="0" w:after="0" w:afterAutospacing="0"/>
        <w:ind w:left="810" w:hanging="450"/>
        <w:rPr>
          <w:rFonts w:ascii="Arial" w:eastAsiaTheme="minorHAnsi" w:hAnsi="Arial" w:cs="Arial"/>
          <w:lang w:val="en-GB"/>
        </w:rPr>
      </w:pPr>
      <w:r>
        <w:rPr>
          <w:rFonts w:ascii="Arial" w:eastAsiaTheme="minorHAnsi" w:hAnsi="Arial" w:cs="Arial"/>
          <w:lang w:val="en-GB"/>
        </w:rPr>
        <w:t xml:space="preserve">The HRA Transformation </w:t>
      </w:r>
      <w:r w:rsidR="00AB4656">
        <w:rPr>
          <w:rFonts w:ascii="Arial" w:eastAsiaTheme="minorHAnsi" w:hAnsi="Arial" w:cs="Arial"/>
          <w:lang w:val="en-GB"/>
        </w:rPr>
        <w:t xml:space="preserve">Portfolio </w:t>
      </w:r>
      <w:r>
        <w:rPr>
          <w:rFonts w:ascii="Arial" w:eastAsiaTheme="minorHAnsi" w:hAnsi="Arial" w:cs="Arial"/>
          <w:lang w:val="en-GB"/>
        </w:rPr>
        <w:t>includes a number of exciting and potentially ground-breaking pieces of work that will significantly enhance and improve the health research environment. Services will be redesigned around users and our new technology platform will deliver a world-class hub for health and social care research in the UK. This will enable smooth and intuitive access to research approval, study management, best practice guidance and lay-friendly information about the results of research. Our people</w:t>
      </w:r>
      <w:r w:rsidR="009A5E60">
        <w:rPr>
          <w:rFonts w:ascii="Arial" w:eastAsiaTheme="minorHAnsi" w:hAnsi="Arial" w:cs="Arial"/>
          <w:lang w:val="en-GB"/>
        </w:rPr>
        <w:t>-focussed</w:t>
      </w:r>
      <w:r>
        <w:rPr>
          <w:rFonts w:ascii="Arial" w:eastAsiaTheme="minorHAnsi" w:hAnsi="Arial" w:cs="Arial"/>
          <w:lang w:val="en-GB"/>
        </w:rPr>
        <w:t xml:space="preserve"> programme</w:t>
      </w:r>
      <w:r w:rsidR="009A5E60">
        <w:rPr>
          <w:rFonts w:ascii="Arial" w:eastAsiaTheme="minorHAnsi" w:hAnsi="Arial" w:cs="Arial"/>
          <w:lang w:val="en-GB"/>
        </w:rPr>
        <w:t>s</w:t>
      </w:r>
      <w:r>
        <w:rPr>
          <w:rFonts w:ascii="Arial" w:eastAsiaTheme="minorHAnsi" w:hAnsi="Arial" w:cs="Arial"/>
          <w:lang w:val="en-GB"/>
        </w:rPr>
        <w:t xml:space="preserve"> will support a strong research culture, with high ethical standards and a focus on transparency, patient involvement and trustworthy use of patient data. </w:t>
      </w:r>
    </w:p>
    <w:p w14:paraId="2EBF64E9" w14:textId="77777777" w:rsidR="00E3725C" w:rsidRDefault="00E3725C" w:rsidP="00E3725C">
      <w:pPr>
        <w:pStyle w:val="NormalWeb"/>
        <w:tabs>
          <w:tab w:val="left" w:pos="810"/>
        </w:tabs>
        <w:spacing w:before="0" w:beforeAutospacing="0" w:after="0" w:afterAutospacing="0"/>
        <w:ind w:left="810"/>
        <w:rPr>
          <w:rFonts w:ascii="Arial" w:eastAsiaTheme="minorHAnsi" w:hAnsi="Arial" w:cs="Arial"/>
          <w:lang w:val="en-GB"/>
        </w:rPr>
      </w:pPr>
    </w:p>
    <w:p w14:paraId="7F8F0303" w14:textId="5EA7CB00" w:rsidR="00E3725C" w:rsidRDefault="00E3725C" w:rsidP="00E3725C">
      <w:pPr>
        <w:pStyle w:val="NormalWeb"/>
        <w:numPr>
          <w:ilvl w:val="1"/>
          <w:numId w:val="2"/>
        </w:numPr>
        <w:tabs>
          <w:tab w:val="left" w:pos="810"/>
        </w:tabs>
        <w:spacing w:before="0" w:beforeAutospacing="0" w:after="0" w:afterAutospacing="0"/>
        <w:ind w:left="810" w:hanging="450"/>
        <w:rPr>
          <w:rFonts w:ascii="Arial" w:eastAsiaTheme="minorHAnsi" w:hAnsi="Arial" w:cs="Arial"/>
          <w:lang w:val="en-GB"/>
        </w:rPr>
      </w:pPr>
      <w:r>
        <w:rPr>
          <w:rFonts w:ascii="Arial" w:eastAsiaTheme="minorHAnsi" w:hAnsi="Arial" w:cs="Arial"/>
          <w:lang w:val="en-GB"/>
        </w:rPr>
        <w:t xml:space="preserve">This work will be clearly </w:t>
      </w:r>
      <w:proofErr w:type="gramStart"/>
      <w:r w:rsidR="004B1275">
        <w:rPr>
          <w:rFonts w:ascii="Arial" w:eastAsiaTheme="minorHAnsi" w:hAnsi="Arial" w:cs="Arial"/>
          <w:lang w:val="en-GB"/>
        </w:rPr>
        <w:t>align</w:t>
      </w:r>
      <w:proofErr w:type="gramEnd"/>
      <w:r w:rsidR="004B1275">
        <w:rPr>
          <w:rFonts w:ascii="Arial" w:eastAsiaTheme="minorHAnsi" w:hAnsi="Arial" w:cs="Arial"/>
          <w:lang w:val="en-GB"/>
        </w:rPr>
        <w:t xml:space="preserve"> with the HRA’s own strategic aims and </w:t>
      </w:r>
      <w:r w:rsidR="003005B2">
        <w:rPr>
          <w:rFonts w:ascii="Arial" w:eastAsiaTheme="minorHAnsi" w:hAnsi="Arial" w:cs="Arial"/>
          <w:lang w:val="en-GB"/>
        </w:rPr>
        <w:t>map</w:t>
      </w:r>
      <w:r w:rsidR="004B1275">
        <w:rPr>
          <w:rFonts w:ascii="Arial" w:eastAsiaTheme="minorHAnsi" w:hAnsi="Arial" w:cs="Arial"/>
          <w:lang w:val="en-GB"/>
        </w:rPr>
        <w:t xml:space="preserve"> strongly to </w:t>
      </w:r>
      <w:r>
        <w:rPr>
          <w:rFonts w:ascii="Arial" w:eastAsiaTheme="minorHAnsi" w:hAnsi="Arial" w:cs="Arial"/>
          <w:lang w:val="en-GB"/>
        </w:rPr>
        <w:t xml:space="preserve">the Governments Industrial Strategy and the linked priorities identified by Lord Bethell </w:t>
      </w:r>
    </w:p>
    <w:p w14:paraId="2C7393C6" w14:textId="77777777" w:rsidR="00E3725C" w:rsidRDefault="00E3725C" w:rsidP="00E3725C">
      <w:pPr>
        <w:pStyle w:val="ListParagraph"/>
        <w:rPr>
          <w:rFonts w:eastAsiaTheme="minorHAnsi" w:cs="Arial"/>
        </w:rPr>
      </w:pPr>
    </w:p>
    <w:p w14:paraId="42F886E1" w14:textId="400E358F" w:rsidR="00E3725C" w:rsidRDefault="007765F7" w:rsidP="00E3725C">
      <w:pPr>
        <w:pStyle w:val="NormalWeb"/>
        <w:numPr>
          <w:ilvl w:val="1"/>
          <w:numId w:val="2"/>
        </w:numPr>
        <w:spacing w:before="0" w:beforeAutospacing="0" w:after="0" w:afterAutospacing="0"/>
        <w:ind w:left="810" w:hanging="450"/>
        <w:rPr>
          <w:rFonts w:ascii="Arial" w:eastAsiaTheme="minorHAnsi" w:hAnsi="Arial" w:cs="Arial"/>
          <w:lang w:val="en-GB"/>
        </w:rPr>
      </w:pPr>
      <w:r>
        <w:rPr>
          <w:rFonts w:ascii="Arial" w:eastAsiaTheme="minorHAnsi" w:hAnsi="Arial" w:cs="Arial"/>
          <w:lang w:val="en-GB"/>
        </w:rPr>
        <w:t>The Government’s vision for life sciences and the clinical research environment</w:t>
      </w:r>
      <w:r w:rsidR="00E3725C">
        <w:rPr>
          <w:rFonts w:ascii="Arial" w:eastAsiaTheme="minorHAnsi" w:hAnsi="Arial" w:cs="Arial"/>
          <w:lang w:val="en-GB"/>
        </w:rPr>
        <w:t xml:space="preserve"> and </w:t>
      </w:r>
      <w:r>
        <w:rPr>
          <w:rFonts w:ascii="Arial" w:eastAsiaTheme="minorHAnsi" w:hAnsi="Arial" w:cs="Arial"/>
          <w:lang w:val="en-GB"/>
        </w:rPr>
        <w:t xml:space="preserve">our own </w:t>
      </w:r>
      <w:r w:rsidR="00E3725C">
        <w:rPr>
          <w:rFonts w:ascii="Arial" w:eastAsiaTheme="minorHAnsi" w:hAnsi="Arial" w:cs="Arial"/>
          <w:lang w:val="en-GB"/>
        </w:rPr>
        <w:t xml:space="preserve">experiential learning acquired from the impact of Covid-19 </w:t>
      </w:r>
      <w:r w:rsidR="00AB4656">
        <w:rPr>
          <w:rFonts w:ascii="Arial" w:eastAsiaTheme="minorHAnsi" w:hAnsi="Arial" w:cs="Arial"/>
          <w:lang w:val="en-GB"/>
        </w:rPr>
        <w:t xml:space="preserve">have </w:t>
      </w:r>
      <w:r w:rsidR="00E3725C">
        <w:rPr>
          <w:rFonts w:ascii="Arial" w:eastAsiaTheme="minorHAnsi" w:hAnsi="Arial" w:cs="Arial"/>
          <w:lang w:val="en-GB"/>
        </w:rPr>
        <w:t>offered the opportunity to consider the further prioritisation of programme activities so that it remains on course to deliver improvements to the sector in line with the governments ambition and</w:t>
      </w:r>
      <w:r w:rsidR="003005B2">
        <w:rPr>
          <w:rFonts w:ascii="Arial" w:eastAsiaTheme="minorHAnsi" w:hAnsi="Arial" w:cs="Arial"/>
          <w:lang w:val="en-GB"/>
        </w:rPr>
        <w:t xml:space="preserve"> the</w:t>
      </w:r>
      <w:r w:rsidR="00E3725C">
        <w:rPr>
          <w:rFonts w:ascii="Arial" w:eastAsiaTheme="minorHAnsi" w:hAnsi="Arial" w:cs="Arial"/>
          <w:lang w:val="en-GB"/>
        </w:rPr>
        <w:t xml:space="preserve"> associated measurable benefits. </w:t>
      </w:r>
    </w:p>
    <w:p w14:paraId="535B457F" w14:textId="77777777" w:rsidR="00E3725C" w:rsidRDefault="00E3725C" w:rsidP="00E3725C">
      <w:pPr>
        <w:pStyle w:val="NormalWeb"/>
        <w:spacing w:before="0" w:beforeAutospacing="0" w:after="0" w:afterAutospacing="0"/>
        <w:ind w:left="810"/>
        <w:rPr>
          <w:rFonts w:ascii="Arial" w:eastAsiaTheme="minorHAnsi" w:hAnsi="Arial" w:cs="Arial"/>
          <w:lang w:val="en-GB"/>
        </w:rPr>
      </w:pPr>
    </w:p>
    <w:p w14:paraId="6F85F838" w14:textId="797B53B1" w:rsidR="00E3725C" w:rsidRDefault="00EB7546" w:rsidP="00E3725C">
      <w:pPr>
        <w:pStyle w:val="NormalWeb"/>
        <w:numPr>
          <w:ilvl w:val="0"/>
          <w:numId w:val="4"/>
        </w:numPr>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5</w:t>
      </w:r>
      <w:r w:rsidR="00E3725C">
        <w:rPr>
          <w:rFonts w:ascii="Arial" w:eastAsiaTheme="minorHAnsi" w:hAnsi="Arial" w:cs="Arial"/>
          <w:lang w:val="en-GB"/>
        </w:rPr>
        <w:t>.</w:t>
      </w:r>
      <w:r>
        <w:rPr>
          <w:rFonts w:ascii="Arial" w:eastAsiaTheme="minorHAnsi" w:hAnsi="Arial" w:cs="Arial"/>
          <w:lang w:val="en-GB"/>
        </w:rPr>
        <w:t>9</w:t>
      </w:r>
      <w:r w:rsidR="00E3725C">
        <w:rPr>
          <w:rFonts w:ascii="Arial" w:eastAsiaTheme="minorHAnsi" w:hAnsi="Arial" w:cs="Arial"/>
          <w:lang w:val="en-GB"/>
        </w:rPr>
        <w:t>4 million p.a. of efficiency savings across the sector by 2023</w:t>
      </w:r>
      <w:r>
        <w:rPr>
          <w:rStyle w:val="FootnoteReference"/>
          <w:rFonts w:ascii="Arial" w:eastAsiaTheme="minorHAnsi" w:hAnsi="Arial" w:cs="Arial"/>
          <w:lang w:val="en-GB"/>
        </w:rPr>
        <w:footnoteReference w:id="1"/>
      </w:r>
    </w:p>
    <w:p w14:paraId="01906972" w14:textId="77777777" w:rsidR="00E3725C" w:rsidRDefault="00E3725C" w:rsidP="00E3725C">
      <w:pPr>
        <w:pStyle w:val="NormalWeb"/>
        <w:numPr>
          <w:ilvl w:val="0"/>
          <w:numId w:val="4"/>
        </w:numPr>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Reduction of rework on applications to less than 2% by 2023 (currently around 30%)</w:t>
      </w:r>
    </w:p>
    <w:p w14:paraId="1C29D983" w14:textId="74C0B224" w:rsidR="00E3725C" w:rsidRDefault="00E3725C" w:rsidP="00E3725C">
      <w:pPr>
        <w:pStyle w:val="NormalWeb"/>
        <w:numPr>
          <w:ilvl w:val="0"/>
          <w:numId w:val="4"/>
        </w:numPr>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 xml:space="preserve">98% of all CTIMP applications flowing through the new </w:t>
      </w:r>
      <w:r w:rsidR="007151BA">
        <w:rPr>
          <w:rFonts w:ascii="Arial" w:eastAsiaTheme="minorHAnsi" w:hAnsi="Arial" w:cs="Arial"/>
          <w:lang w:val="en-GB"/>
        </w:rPr>
        <w:t xml:space="preserve">PEGA/IRAS </w:t>
      </w:r>
      <w:r>
        <w:rPr>
          <w:rFonts w:ascii="Arial" w:eastAsiaTheme="minorHAnsi" w:hAnsi="Arial" w:cs="Arial"/>
          <w:lang w:val="en-GB"/>
        </w:rPr>
        <w:t xml:space="preserve">system by 2023 with a 20% reduction in timelines for REC and MHRA approvals </w:t>
      </w:r>
    </w:p>
    <w:p w14:paraId="0C8A38AE" w14:textId="77777777" w:rsidR="00E3725C" w:rsidRDefault="00E3725C" w:rsidP="00E3725C">
      <w:pPr>
        <w:pStyle w:val="NormalWeb"/>
        <w:numPr>
          <w:ilvl w:val="0"/>
          <w:numId w:val="4"/>
        </w:numPr>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 xml:space="preserve">Radically increased levels of self-service and 24 hr availability  </w:t>
      </w:r>
    </w:p>
    <w:p w14:paraId="2DAD3222" w14:textId="7C299094" w:rsidR="00E3725C" w:rsidRPr="00E91EFD" w:rsidRDefault="0003298A" w:rsidP="00E3725C">
      <w:pPr>
        <w:pStyle w:val="NormalWeb"/>
        <w:numPr>
          <w:ilvl w:val="0"/>
          <w:numId w:val="4"/>
        </w:numPr>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Piloting</w:t>
      </w:r>
      <w:r w:rsidR="00E3725C" w:rsidRPr="00E91EFD">
        <w:rPr>
          <w:rFonts w:ascii="Arial" w:eastAsiaTheme="minorHAnsi" w:hAnsi="Arial" w:cs="Arial"/>
          <w:lang w:val="en-GB"/>
        </w:rPr>
        <w:t xml:space="preserve"> a fast track service that accelerates the approval process for critical studies – potentially reducing turnaround times for some studies to &lt;10 days</w:t>
      </w:r>
      <w:r w:rsidR="004B1275">
        <w:rPr>
          <w:rFonts w:ascii="Arial" w:eastAsiaTheme="minorHAnsi" w:hAnsi="Arial" w:cs="Arial"/>
          <w:lang w:val="en-GB"/>
        </w:rPr>
        <w:t xml:space="preserve"> (conditional on long-term funding being made available</w:t>
      </w:r>
      <w:r w:rsidR="003005B2">
        <w:rPr>
          <w:rFonts w:ascii="Arial" w:eastAsiaTheme="minorHAnsi" w:hAnsi="Arial" w:cs="Arial"/>
          <w:lang w:val="en-GB"/>
        </w:rPr>
        <w:t>)</w:t>
      </w:r>
    </w:p>
    <w:p w14:paraId="6869060C" w14:textId="77777777" w:rsidR="00E3725C" w:rsidRDefault="00E3725C" w:rsidP="00E3725C">
      <w:pPr>
        <w:pStyle w:val="NormalWeb"/>
        <w:spacing w:before="0" w:beforeAutospacing="0" w:after="0" w:afterAutospacing="0"/>
        <w:rPr>
          <w:rFonts w:ascii="Arial" w:eastAsiaTheme="minorHAnsi" w:hAnsi="Arial" w:cs="Arial"/>
          <w:highlight w:val="yellow"/>
          <w:lang w:val="en-GB"/>
        </w:rPr>
      </w:pPr>
    </w:p>
    <w:p w14:paraId="2019EBB1" w14:textId="77777777" w:rsidR="00E3725C" w:rsidRDefault="00E3725C" w:rsidP="00E3725C">
      <w:pPr>
        <w:pStyle w:val="NormalWeb"/>
        <w:numPr>
          <w:ilvl w:val="1"/>
          <w:numId w:val="2"/>
        </w:numPr>
        <w:tabs>
          <w:tab w:val="left" w:pos="630"/>
          <w:tab w:val="left" w:pos="810"/>
        </w:tabs>
        <w:spacing w:before="0" w:beforeAutospacing="0" w:after="0" w:afterAutospacing="0"/>
        <w:rPr>
          <w:rFonts w:ascii="Arial" w:eastAsiaTheme="minorHAnsi" w:hAnsi="Arial" w:cs="Arial"/>
          <w:lang w:val="en-GB"/>
        </w:rPr>
      </w:pPr>
      <w:r>
        <w:rPr>
          <w:rFonts w:ascii="Arial" w:eastAsiaTheme="minorHAnsi" w:hAnsi="Arial" w:cs="Arial"/>
          <w:lang w:val="en-GB"/>
        </w:rPr>
        <w:t>For the HRA benefits will be realised in the following areas:</w:t>
      </w:r>
    </w:p>
    <w:p w14:paraId="1D73A1B2" w14:textId="77777777" w:rsidR="00E3725C" w:rsidRDefault="00E3725C" w:rsidP="00E3725C">
      <w:pPr>
        <w:pStyle w:val="NormalWeb"/>
        <w:numPr>
          <w:ilvl w:val="2"/>
          <w:numId w:val="2"/>
        </w:numPr>
        <w:tabs>
          <w:tab w:val="left" w:pos="1260"/>
        </w:tabs>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Reduction in HRA staff time due to automation/digital enhancement of services (0.35m p.a. already realised)</w:t>
      </w:r>
    </w:p>
    <w:p w14:paraId="780EEC92" w14:textId="619C719A" w:rsidR="00E3725C" w:rsidRDefault="00E3725C" w:rsidP="00E3725C">
      <w:pPr>
        <w:pStyle w:val="NormalWeb"/>
        <w:numPr>
          <w:ilvl w:val="2"/>
          <w:numId w:val="2"/>
        </w:numPr>
        <w:tabs>
          <w:tab w:val="left" w:pos="1260"/>
        </w:tabs>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Reduction in time required for rework equivalent of 2</w:t>
      </w:r>
      <w:r w:rsidR="003005B2">
        <w:rPr>
          <w:rFonts w:ascii="Arial" w:eastAsiaTheme="minorHAnsi" w:hAnsi="Arial" w:cs="Arial"/>
          <w:lang w:val="en-GB"/>
        </w:rPr>
        <w:t xml:space="preserve"> </w:t>
      </w:r>
      <w:proofErr w:type="spellStart"/>
      <w:r>
        <w:rPr>
          <w:rFonts w:ascii="Arial" w:eastAsiaTheme="minorHAnsi" w:hAnsi="Arial" w:cs="Arial"/>
          <w:lang w:val="en-GB"/>
        </w:rPr>
        <w:t>fte</w:t>
      </w:r>
      <w:proofErr w:type="spellEnd"/>
      <w:r>
        <w:rPr>
          <w:rFonts w:ascii="Arial" w:eastAsiaTheme="minorHAnsi" w:hAnsi="Arial" w:cs="Arial"/>
          <w:lang w:val="en-GB"/>
        </w:rPr>
        <w:t xml:space="preserve"> per week by 2023</w:t>
      </w:r>
    </w:p>
    <w:p w14:paraId="6F96A51B" w14:textId="77777777" w:rsidR="00E3725C" w:rsidRDefault="00E3725C" w:rsidP="00E3725C">
      <w:pPr>
        <w:pStyle w:val="NormalWeb"/>
        <w:numPr>
          <w:ilvl w:val="2"/>
          <w:numId w:val="2"/>
        </w:numPr>
        <w:tabs>
          <w:tab w:val="left" w:pos="1260"/>
        </w:tabs>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 xml:space="preserve">Significant reduction in HRA estates footprint from current </w:t>
      </w:r>
      <w:proofErr w:type="spellStart"/>
      <w:r>
        <w:rPr>
          <w:rFonts w:ascii="Arial" w:eastAsiaTheme="minorHAnsi" w:hAnsi="Arial" w:cs="Arial"/>
          <w:lang w:val="en-GB"/>
        </w:rPr>
        <w:t>avg</w:t>
      </w:r>
      <w:proofErr w:type="spellEnd"/>
      <w:r>
        <w:rPr>
          <w:rFonts w:ascii="Arial" w:eastAsiaTheme="minorHAnsi" w:hAnsi="Arial" w:cs="Arial"/>
          <w:lang w:val="en-GB"/>
        </w:rPr>
        <w:t xml:space="preserve"> of 8.09 sqm/</w:t>
      </w:r>
      <w:proofErr w:type="spellStart"/>
      <w:r>
        <w:rPr>
          <w:rFonts w:ascii="Arial" w:eastAsiaTheme="minorHAnsi" w:hAnsi="Arial" w:cs="Arial"/>
          <w:lang w:val="en-GB"/>
        </w:rPr>
        <w:t>fte</w:t>
      </w:r>
      <w:proofErr w:type="spellEnd"/>
    </w:p>
    <w:p w14:paraId="0148F79F" w14:textId="0136D638" w:rsidR="00E3725C" w:rsidRDefault="00E3725C" w:rsidP="00E3725C">
      <w:pPr>
        <w:pStyle w:val="NormalWeb"/>
        <w:numPr>
          <w:ilvl w:val="2"/>
          <w:numId w:val="2"/>
        </w:numPr>
        <w:tabs>
          <w:tab w:val="left" w:pos="1260"/>
        </w:tabs>
        <w:spacing w:before="0" w:beforeAutospacing="0" w:after="0" w:afterAutospacing="0"/>
        <w:ind w:left="1260" w:hanging="450"/>
        <w:rPr>
          <w:rFonts w:ascii="Arial" w:eastAsiaTheme="minorHAnsi" w:hAnsi="Arial" w:cs="Arial"/>
          <w:lang w:val="en-GB"/>
        </w:rPr>
      </w:pPr>
      <w:r>
        <w:rPr>
          <w:rFonts w:ascii="Arial" w:eastAsiaTheme="minorHAnsi" w:hAnsi="Arial" w:cs="Arial"/>
          <w:lang w:val="en-GB"/>
        </w:rPr>
        <w:t>Cost reduction</w:t>
      </w:r>
      <w:r w:rsidR="0003298A">
        <w:rPr>
          <w:rFonts w:ascii="Arial" w:eastAsiaTheme="minorHAnsi" w:hAnsi="Arial" w:cs="Arial"/>
          <w:lang w:val="en-GB"/>
        </w:rPr>
        <w:t xml:space="preserve"> and value add</w:t>
      </w:r>
      <w:r>
        <w:rPr>
          <w:rFonts w:ascii="Arial" w:eastAsiaTheme="minorHAnsi" w:hAnsi="Arial" w:cs="Arial"/>
          <w:lang w:val="en-GB"/>
        </w:rPr>
        <w:t xml:space="preserve"> in IT infrastructure</w:t>
      </w:r>
    </w:p>
    <w:p w14:paraId="67503725" w14:textId="77777777" w:rsidR="00E3725C" w:rsidRDefault="00E3725C" w:rsidP="00E3725C">
      <w:pPr>
        <w:pStyle w:val="NormalWeb"/>
        <w:spacing w:before="0" w:beforeAutospacing="0" w:after="0" w:afterAutospacing="0"/>
        <w:ind w:left="1440"/>
        <w:rPr>
          <w:rFonts w:ascii="Arial" w:eastAsiaTheme="minorHAnsi" w:hAnsi="Arial" w:cs="Arial"/>
          <w:lang w:val="en-GB"/>
        </w:rPr>
      </w:pPr>
    </w:p>
    <w:p w14:paraId="0B6082FA" w14:textId="77777777" w:rsidR="00E3725C" w:rsidRDefault="00E3725C" w:rsidP="00E3725C">
      <w:pPr>
        <w:pStyle w:val="NormalWeb"/>
        <w:numPr>
          <w:ilvl w:val="1"/>
          <w:numId w:val="2"/>
        </w:numPr>
        <w:tabs>
          <w:tab w:val="left" w:pos="810"/>
        </w:tabs>
        <w:spacing w:before="0" w:beforeAutospacing="0" w:after="0" w:afterAutospacing="0"/>
        <w:ind w:left="810" w:hanging="450"/>
        <w:rPr>
          <w:rFonts w:ascii="Arial" w:hAnsi="Arial" w:cs="Arial"/>
          <w:b/>
          <w:bCs/>
          <w:lang w:val="en-GB"/>
        </w:rPr>
      </w:pPr>
      <w:r>
        <w:rPr>
          <w:rFonts w:ascii="Arial" w:eastAsiaTheme="minorHAnsi" w:hAnsi="Arial" w:cs="Arial"/>
          <w:lang w:val="en-GB"/>
        </w:rPr>
        <w:t>It is important to note these benefits and others will be incrementally delivered over the whole period and will be regularly monitored and reported to the Board</w:t>
      </w:r>
    </w:p>
    <w:p w14:paraId="108D6B6B" w14:textId="0B3C1EFA" w:rsidR="00E3725C" w:rsidRDefault="00E3725C" w:rsidP="00E3725C">
      <w:pPr>
        <w:keepNext/>
        <w:keepLines/>
        <w:numPr>
          <w:ilvl w:val="0"/>
          <w:numId w:val="2"/>
        </w:numPr>
        <w:tabs>
          <w:tab w:val="left" w:pos="360"/>
        </w:tabs>
        <w:spacing w:before="240" w:after="240"/>
        <w:ind w:left="0" w:firstLine="0"/>
        <w:outlineLvl w:val="1"/>
        <w:rPr>
          <w:rFonts w:eastAsiaTheme="majorEastAsia" w:cstheme="majorBidi"/>
          <w:b/>
          <w:bCs/>
          <w:color w:val="003087"/>
          <w:sz w:val="32"/>
          <w:szCs w:val="26"/>
        </w:rPr>
      </w:pPr>
      <w:r>
        <w:rPr>
          <w:rFonts w:eastAsiaTheme="majorEastAsia" w:cstheme="majorBidi"/>
          <w:b/>
          <w:bCs/>
          <w:color w:val="003087"/>
          <w:sz w:val="32"/>
          <w:szCs w:val="26"/>
        </w:rPr>
        <w:t>The P</w:t>
      </w:r>
      <w:r w:rsidR="00AB4656">
        <w:rPr>
          <w:rFonts w:eastAsiaTheme="majorEastAsia" w:cstheme="majorBidi"/>
          <w:b/>
          <w:bCs/>
          <w:color w:val="003087"/>
          <w:sz w:val="32"/>
          <w:szCs w:val="26"/>
        </w:rPr>
        <w:t>ortfolio</w:t>
      </w:r>
    </w:p>
    <w:p w14:paraId="1C5E9CFF" w14:textId="1852DF94" w:rsidR="00E3725C" w:rsidRDefault="00E3725C" w:rsidP="00490DA4">
      <w:pPr>
        <w:pStyle w:val="yiv3309031056msonormal"/>
        <w:numPr>
          <w:ilvl w:val="1"/>
          <w:numId w:val="2"/>
        </w:numPr>
        <w:shd w:val="clear" w:color="auto" w:fill="FFFFFF"/>
        <w:spacing w:before="0" w:beforeAutospacing="0" w:after="0" w:afterAutospacing="0"/>
        <w:ind w:left="907" w:hanging="540"/>
        <w:rPr>
          <w:rFonts w:ascii="Arial" w:eastAsiaTheme="minorHAnsi" w:hAnsi="Arial" w:cs="Arial"/>
          <w:lang w:val="en-GB"/>
        </w:rPr>
      </w:pPr>
      <w:r>
        <w:rPr>
          <w:rFonts w:ascii="Arial" w:eastAsiaTheme="minorHAnsi" w:hAnsi="Arial" w:cs="Arial"/>
          <w:lang w:val="en-GB"/>
        </w:rPr>
        <w:t xml:space="preserve">The Transformation Portfolio consists of the programmes presented in the graphic below which </w:t>
      </w:r>
      <w:r w:rsidR="003A35C3">
        <w:rPr>
          <w:rFonts w:ascii="Arial" w:eastAsiaTheme="minorHAnsi" w:hAnsi="Arial" w:cs="Arial"/>
          <w:lang w:val="en-GB"/>
        </w:rPr>
        <w:t xml:space="preserve">intends to </w:t>
      </w:r>
      <w:r>
        <w:rPr>
          <w:rFonts w:ascii="Arial" w:eastAsiaTheme="minorHAnsi" w:hAnsi="Arial" w:cs="Arial"/>
          <w:lang w:val="en-GB"/>
        </w:rPr>
        <w:t>demonstrate the connected relationships between each of the constituent parts and the wider relationships that a number of programmes have</w:t>
      </w:r>
      <w:r w:rsidR="004E4802">
        <w:rPr>
          <w:rFonts w:ascii="Arial" w:eastAsiaTheme="minorHAnsi" w:hAnsi="Arial" w:cs="Arial"/>
          <w:lang w:val="en-GB"/>
        </w:rPr>
        <w:t xml:space="preserve"> with external bodies</w:t>
      </w:r>
    </w:p>
    <w:p w14:paraId="1341545A" w14:textId="72EE1A01" w:rsidR="00E3725C" w:rsidRDefault="004E4802" w:rsidP="00490DA4">
      <w:pPr>
        <w:pStyle w:val="yiv3309031056msonormal"/>
        <w:shd w:val="clear" w:color="auto" w:fill="FFFFFF"/>
        <w:spacing w:before="0" w:beforeAutospacing="0" w:after="0" w:afterAutospacing="0"/>
        <w:ind w:left="907"/>
        <w:rPr>
          <w:rFonts w:ascii="Arial" w:eastAsiaTheme="minorHAnsi" w:hAnsi="Arial" w:cs="Arial"/>
          <w:lang w:val="en-GB"/>
        </w:rPr>
      </w:pPr>
      <w:bookmarkStart w:id="0" w:name="_GoBack"/>
      <w:r>
        <w:rPr>
          <w:noProof/>
        </w:rPr>
        <w:lastRenderedPageBreak/>
        <w:drawing>
          <wp:inline distT="0" distB="0" distL="0" distR="0" wp14:anchorId="01F19B7E" wp14:editId="4C350586">
            <wp:extent cx="6645910" cy="3919220"/>
            <wp:effectExtent l="0" t="0" r="2540" b="5080"/>
            <wp:docPr id="2" name="Picture 2" descr="Venn diagram with interlinking circles. Customer experience / better health outcomes in the centre. Circles with Infrastructure, Systems, Processes and People around th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919220"/>
                    </a:xfrm>
                    <a:prstGeom prst="rect">
                      <a:avLst/>
                    </a:prstGeom>
                    <a:noFill/>
                  </pic:spPr>
                </pic:pic>
              </a:graphicData>
            </a:graphic>
          </wp:inline>
        </w:drawing>
      </w:r>
      <w:bookmarkEnd w:id="0"/>
    </w:p>
    <w:p w14:paraId="71954C3B" w14:textId="4211F7DC" w:rsidR="00E3725C" w:rsidRDefault="00E3725C" w:rsidP="00E3725C">
      <w:pPr>
        <w:pStyle w:val="yiv3309031056msonormal"/>
        <w:numPr>
          <w:ilvl w:val="1"/>
          <w:numId w:val="2"/>
        </w:numPr>
        <w:shd w:val="clear" w:color="auto" w:fill="FFFFFF"/>
        <w:tabs>
          <w:tab w:val="left" w:pos="360"/>
          <w:tab w:val="left" w:pos="900"/>
        </w:tabs>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The </w:t>
      </w:r>
      <w:r w:rsidR="003A35C3">
        <w:rPr>
          <w:rFonts w:ascii="Arial" w:eastAsiaTheme="minorHAnsi" w:hAnsi="Arial" w:cs="Arial"/>
          <w:lang w:val="en-GB"/>
        </w:rPr>
        <w:t>programme</w:t>
      </w:r>
      <w:r>
        <w:rPr>
          <w:rFonts w:ascii="Arial" w:eastAsiaTheme="minorHAnsi" w:hAnsi="Arial" w:cs="Arial"/>
          <w:lang w:val="en-GB"/>
        </w:rPr>
        <w:t xml:space="preserve"> is supported by a robust governance structure with oversight provided by the Transformation Board (TB) whose membership is </w:t>
      </w:r>
      <w:r w:rsidR="00AB4656">
        <w:rPr>
          <w:rFonts w:ascii="Arial" w:eastAsiaTheme="minorHAnsi" w:hAnsi="Arial" w:cs="Arial"/>
          <w:lang w:val="en-GB"/>
        </w:rPr>
        <w:t xml:space="preserve">the same </w:t>
      </w:r>
      <w:r>
        <w:rPr>
          <w:rFonts w:ascii="Arial" w:eastAsiaTheme="minorHAnsi" w:hAnsi="Arial" w:cs="Arial"/>
          <w:lang w:val="en-GB"/>
        </w:rPr>
        <w:t xml:space="preserve">as the </w:t>
      </w:r>
      <w:r w:rsidR="00AB4656">
        <w:rPr>
          <w:rFonts w:ascii="Arial" w:eastAsiaTheme="minorHAnsi" w:hAnsi="Arial" w:cs="Arial"/>
          <w:lang w:val="en-GB"/>
        </w:rPr>
        <w:t xml:space="preserve">Strategic </w:t>
      </w:r>
      <w:r>
        <w:rPr>
          <w:rFonts w:ascii="Arial" w:eastAsiaTheme="minorHAnsi" w:hAnsi="Arial" w:cs="Arial"/>
          <w:lang w:val="en-GB"/>
        </w:rPr>
        <w:t>Leadership Team (SLT). The SLT focusses on strategy, business planning and the day to day operational performance of the organisation. As part of strategy development, SLT approves which programmes are included in the transformation portfolio and their funding.</w:t>
      </w:r>
      <w:r>
        <w:rPr>
          <w:lang w:val="en-GB"/>
        </w:rPr>
        <w:t xml:space="preserve"> </w:t>
      </w:r>
    </w:p>
    <w:p w14:paraId="079A578B" w14:textId="28DE755A" w:rsidR="00E3725C" w:rsidRDefault="00E3725C" w:rsidP="00E3725C">
      <w:pPr>
        <w:pStyle w:val="ListParagraph"/>
        <w:rPr>
          <w:rFonts w:eastAsiaTheme="minorHAnsi" w:cs="Arial"/>
        </w:rPr>
      </w:pPr>
    </w:p>
    <w:p w14:paraId="471D1662" w14:textId="77777777" w:rsidR="00E3725C" w:rsidRDefault="00E3725C" w:rsidP="00E3725C">
      <w:pPr>
        <w:pStyle w:val="yiv3309031056msonormal"/>
        <w:numPr>
          <w:ilvl w:val="1"/>
          <w:numId w:val="2"/>
        </w:numPr>
        <w:shd w:val="clear" w:color="auto" w:fill="FFFFFF"/>
        <w:tabs>
          <w:tab w:val="left" w:pos="360"/>
          <w:tab w:val="left" w:pos="900"/>
        </w:tabs>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The TB acts as the delivery arm for our strategy and oversees the successful deployment of organisational change associated across a number of programmes of work applying the principles of good programme governance.  </w:t>
      </w:r>
    </w:p>
    <w:p w14:paraId="41F091DB" w14:textId="42BEBEB3" w:rsidR="00E3725C" w:rsidRDefault="00E3725C" w:rsidP="00E3725C">
      <w:pPr>
        <w:pStyle w:val="ListParagraph"/>
        <w:rPr>
          <w:rFonts w:eastAsiaTheme="minorHAnsi" w:cs="Arial"/>
        </w:rPr>
      </w:pPr>
    </w:p>
    <w:p w14:paraId="451859BF" w14:textId="1072091B" w:rsidR="00E3725C" w:rsidRDefault="00E3725C" w:rsidP="00E3725C">
      <w:pPr>
        <w:pStyle w:val="yiv3309031056msonormal"/>
        <w:numPr>
          <w:ilvl w:val="1"/>
          <w:numId w:val="2"/>
        </w:numPr>
        <w:shd w:val="clear" w:color="auto" w:fill="FFFFFF"/>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If TB identifies that there </w:t>
      </w:r>
      <w:r w:rsidR="0003298A">
        <w:rPr>
          <w:rFonts w:ascii="Arial" w:eastAsiaTheme="minorHAnsi" w:hAnsi="Arial" w:cs="Arial"/>
          <w:lang w:val="en-GB"/>
        </w:rPr>
        <w:t>are</w:t>
      </w:r>
      <w:r w:rsidR="00D52E1B">
        <w:rPr>
          <w:rFonts w:ascii="Arial" w:eastAsiaTheme="minorHAnsi" w:hAnsi="Arial" w:cs="Arial"/>
          <w:lang w:val="en-GB"/>
        </w:rPr>
        <w:t xml:space="preserve"> </w:t>
      </w:r>
      <w:r>
        <w:rPr>
          <w:rFonts w:ascii="Arial" w:eastAsiaTheme="minorHAnsi" w:hAnsi="Arial" w:cs="Arial"/>
          <w:lang w:val="en-GB"/>
        </w:rPr>
        <w:t xml:space="preserve">insufficient resources allocated to the programmes or insufficient capacity to support the programmes for core infrastructure then this is escalated to SLT and a decision </w:t>
      </w:r>
      <w:r w:rsidR="0003298A">
        <w:rPr>
          <w:rFonts w:ascii="Arial" w:eastAsiaTheme="minorHAnsi" w:hAnsi="Arial" w:cs="Arial"/>
          <w:lang w:val="en-GB"/>
        </w:rPr>
        <w:t>is</w:t>
      </w:r>
      <w:r>
        <w:rPr>
          <w:rFonts w:ascii="Arial" w:eastAsiaTheme="minorHAnsi" w:hAnsi="Arial" w:cs="Arial"/>
          <w:lang w:val="en-GB"/>
        </w:rPr>
        <w:t xml:space="preserve"> taken whether resources can be made available or agree which programmes we prioritise and which we stop / defer.</w:t>
      </w:r>
    </w:p>
    <w:p w14:paraId="5237D066" w14:textId="77777777" w:rsidR="00E3725C" w:rsidRDefault="00E3725C" w:rsidP="00E3725C">
      <w:pPr>
        <w:pStyle w:val="ListParagraph"/>
        <w:rPr>
          <w:rFonts w:eastAsiaTheme="minorHAnsi" w:cs="Arial"/>
        </w:rPr>
      </w:pPr>
    </w:p>
    <w:p w14:paraId="4242B4FE" w14:textId="01D3FAB3" w:rsidR="00E3725C" w:rsidRDefault="00E3725C" w:rsidP="00E3725C">
      <w:pPr>
        <w:pStyle w:val="yiv3309031056msonormal"/>
        <w:numPr>
          <w:ilvl w:val="1"/>
          <w:numId w:val="2"/>
        </w:numPr>
        <w:shd w:val="clear" w:color="auto" w:fill="FFFFFF"/>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The programme is supported by the investment in dedicated and experienced programme and project management expertise for all areas, which is line with the governments stated ambition to ensure critical programmes of work are led and driven by </w:t>
      </w:r>
      <w:r w:rsidR="009A5E60">
        <w:rPr>
          <w:rFonts w:ascii="Arial" w:eastAsiaTheme="minorHAnsi" w:hAnsi="Arial" w:cs="Arial"/>
          <w:lang w:val="en-GB"/>
        </w:rPr>
        <w:t xml:space="preserve">programme management </w:t>
      </w:r>
      <w:r>
        <w:rPr>
          <w:rFonts w:ascii="Arial" w:eastAsiaTheme="minorHAnsi" w:hAnsi="Arial" w:cs="Arial"/>
          <w:lang w:val="en-GB"/>
        </w:rPr>
        <w:t>professionals.</w:t>
      </w:r>
    </w:p>
    <w:p w14:paraId="1426493F" w14:textId="77777777" w:rsidR="00E3725C" w:rsidRDefault="00E3725C" w:rsidP="00E3725C">
      <w:pPr>
        <w:pStyle w:val="yiv3309031056msonormal"/>
        <w:shd w:val="clear" w:color="auto" w:fill="FFFFFF"/>
        <w:spacing w:before="0" w:beforeAutospacing="0" w:after="0" w:afterAutospacing="0"/>
        <w:ind w:left="720"/>
        <w:rPr>
          <w:rFonts w:ascii="Arial" w:eastAsiaTheme="minorHAnsi" w:hAnsi="Arial" w:cs="Arial"/>
          <w:i/>
          <w:iCs/>
          <w:lang w:val="en-GB"/>
        </w:rPr>
      </w:pPr>
    </w:p>
    <w:p w14:paraId="1BD4A89E" w14:textId="5999EAA4" w:rsidR="00E3725C" w:rsidRDefault="00E3725C" w:rsidP="00E3725C">
      <w:pPr>
        <w:keepNext/>
        <w:keepLines/>
        <w:numPr>
          <w:ilvl w:val="0"/>
          <w:numId w:val="2"/>
        </w:numPr>
        <w:tabs>
          <w:tab w:val="left" w:pos="360"/>
        </w:tabs>
        <w:spacing w:before="240" w:after="240"/>
        <w:ind w:left="0" w:firstLine="0"/>
        <w:outlineLvl w:val="1"/>
        <w:rPr>
          <w:rFonts w:eastAsiaTheme="majorEastAsia" w:cstheme="majorBidi"/>
          <w:b/>
          <w:bCs/>
          <w:color w:val="003087"/>
          <w:sz w:val="32"/>
          <w:szCs w:val="26"/>
        </w:rPr>
      </w:pPr>
      <w:r>
        <w:rPr>
          <w:rFonts w:eastAsiaTheme="majorEastAsia" w:cstheme="majorBidi"/>
          <w:b/>
          <w:bCs/>
          <w:color w:val="003087"/>
          <w:sz w:val="32"/>
          <w:szCs w:val="26"/>
        </w:rPr>
        <w:t>Prioritisation</w:t>
      </w:r>
      <w:r w:rsidR="00FD695D">
        <w:rPr>
          <w:rFonts w:eastAsiaTheme="majorEastAsia" w:cstheme="majorBidi"/>
          <w:b/>
          <w:bCs/>
          <w:color w:val="003087"/>
          <w:sz w:val="32"/>
          <w:szCs w:val="26"/>
        </w:rPr>
        <w:t xml:space="preserve"> and dependencies</w:t>
      </w:r>
    </w:p>
    <w:p w14:paraId="485567C0" w14:textId="77777777" w:rsidR="00E3725C" w:rsidRDefault="00E3725C" w:rsidP="00E3725C">
      <w:pPr>
        <w:pStyle w:val="yiv3309031056msonormal"/>
        <w:shd w:val="clear" w:color="auto" w:fill="FFFFFF"/>
        <w:spacing w:before="0" w:beforeAutospacing="0" w:after="0" w:afterAutospacing="0"/>
        <w:ind w:left="720"/>
        <w:rPr>
          <w:rFonts w:ascii="Arial" w:eastAsiaTheme="minorHAnsi" w:hAnsi="Arial" w:cs="Arial"/>
          <w:b/>
          <w:bCs/>
          <w:lang w:val="en-GB"/>
        </w:rPr>
      </w:pPr>
    </w:p>
    <w:p w14:paraId="0F7A0CFD" w14:textId="6993EFD8" w:rsidR="00E3725C" w:rsidRDefault="00E3725C" w:rsidP="00E3725C">
      <w:pPr>
        <w:pStyle w:val="yiv3309031056msonormal"/>
        <w:numPr>
          <w:ilvl w:val="1"/>
          <w:numId w:val="2"/>
        </w:numPr>
        <w:shd w:val="clear" w:color="auto" w:fill="FFFFFF"/>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There remains work to do in this area particularly in light of the </w:t>
      </w:r>
      <w:r w:rsidR="007765F7">
        <w:rPr>
          <w:rFonts w:ascii="Arial" w:eastAsiaTheme="minorHAnsi" w:hAnsi="Arial" w:cs="Arial"/>
          <w:lang w:val="en-GB"/>
        </w:rPr>
        <w:t>Comprehensive Spending Review</w:t>
      </w:r>
      <w:r>
        <w:rPr>
          <w:rFonts w:ascii="Arial" w:eastAsiaTheme="minorHAnsi" w:hAnsi="Arial" w:cs="Arial"/>
          <w:lang w:val="en-GB"/>
        </w:rPr>
        <w:t xml:space="preserve"> and also the impact of Covid has had on thinking related to future models of working. To facilitate this a number of internal workshops have been arranged in November to consider prioritisation. The discussion will take a number of factors into account:</w:t>
      </w:r>
    </w:p>
    <w:p w14:paraId="58511063" w14:textId="1F0240C7"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t xml:space="preserve">The link to </w:t>
      </w:r>
      <w:r w:rsidR="007765F7">
        <w:rPr>
          <w:rFonts w:ascii="Arial" w:eastAsiaTheme="minorHAnsi" w:hAnsi="Arial" w:cs="Arial"/>
          <w:lang w:val="en-GB"/>
        </w:rPr>
        <w:t>G</w:t>
      </w:r>
      <w:r>
        <w:rPr>
          <w:rFonts w:ascii="Arial" w:eastAsiaTheme="minorHAnsi" w:hAnsi="Arial" w:cs="Arial"/>
          <w:lang w:val="en-GB"/>
        </w:rPr>
        <w:t xml:space="preserve">overnment’s </w:t>
      </w:r>
      <w:r w:rsidR="007765F7">
        <w:rPr>
          <w:rFonts w:ascii="Arial" w:eastAsiaTheme="minorHAnsi" w:hAnsi="Arial" w:cs="Arial"/>
          <w:lang w:val="en-GB"/>
        </w:rPr>
        <w:t>vision</w:t>
      </w:r>
    </w:p>
    <w:p w14:paraId="38EE94EF" w14:textId="3E751059"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t>The potential scale of customer/societal/financial benefit that will be realised</w:t>
      </w:r>
    </w:p>
    <w:p w14:paraId="33D46F0A" w14:textId="77777777"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lastRenderedPageBreak/>
        <w:t>The risk associated with ‘non-delivery’</w:t>
      </w:r>
    </w:p>
    <w:p w14:paraId="77B4A0C8" w14:textId="77777777"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t>The criticality of timelines (what has to be delivered)</w:t>
      </w:r>
    </w:p>
    <w:p w14:paraId="678903CD" w14:textId="77777777"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t>The scale of investment</w:t>
      </w:r>
    </w:p>
    <w:p w14:paraId="0E63C616" w14:textId="77777777"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t xml:space="preserve">The funding envelope (availability of budget)  </w:t>
      </w:r>
    </w:p>
    <w:p w14:paraId="24B30213" w14:textId="77777777" w:rsidR="00E3725C" w:rsidRDefault="00E3725C" w:rsidP="00E3725C">
      <w:pPr>
        <w:pStyle w:val="yiv3309031056msonormal"/>
        <w:numPr>
          <w:ilvl w:val="0"/>
          <w:numId w:val="5"/>
        </w:numPr>
        <w:shd w:val="clear" w:color="auto" w:fill="FFFFFF"/>
        <w:tabs>
          <w:tab w:val="left" w:pos="990"/>
        </w:tabs>
        <w:ind w:left="1350" w:hanging="270"/>
        <w:rPr>
          <w:rFonts w:ascii="Arial" w:eastAsiaTheme="minorHAnsi" w:hAnsi="Arial" w:cs="Arial"/>
          <w:lang w:val="en-GB"/>
        </w:rPr>
      </w:pPr>
      <w:r>
        <w:rPr>
          <w:rFonts w:ascii="Arial" w:eastAsiaTheme="minorHAnsi" w:hAnsi="Arial" w:cs="Arial"/>
          <w:lang w:val="en-GB"/>
        </w:rPr>
        <w:t>The level of dependency and connectivity</w:t>
      </w:r>
    </w:p>
    <w:p w14:paraId="026362B4" w14:textId="347BD967" w:rsidR="00E3725C" w:rsidRDefault="00E3725C" w:rsidP="00E3725C">
      <w:pPr>
        <w:pStyle w:val="yiv3309031056msonormal"/>
        <w:numPr>
          <w:ilvl w:val="1"/>
          <w:numId w:val="2"/>
        </w:numPr>
        <w:shd w:val="clear" w:color="auto" w:fill="FFFFFF"/>
        <w:tabs>
          <w:tab w:val="left" w:pos="990"/>
        </w:tabs>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This work will not only consider the prioritisation of programmes but also the activity within programmes. As an outcome of this it may be that the portfolio of activity within the Transformation </w:t>
      </w:r>
      <w:r w:rsidR="009A5E60">
        <w:rPr>
          <w:rFonts w:ascii="Arial" w:eastAsiaTheme="minorHAnsi" w:hAnsi="Arial" w:cs="Arial"/>
          <w:lang w:val="en-GB"/>
        </w:rPr>
        <w:t xml:space="preserve">Portfolio </w:t>
      </w:r>
      <w:r>
        <w:rPr>
          <w:rFonts w:ascii="Arial" w:eastAsiaTheme="minorHAnsi" w:hAnsi="Arial" w:cs="Arial"/>
          <w:lang w:val="en-GB"/>
        </w:rPr>
        <w:t>would be adjusted and this would be fully addressed during the business planning process for 21/22</w:t>
      </w:r>
    </w:p>
    <w:p w14:paraId="32B660C1" w14:textId="77777777" w:rsidR="004722BF" w:rsidRDefault="004722BF" w:rsidP="004722BF">
      <w:pPr>
        <w:pStyle w:val="yiv3309031056msonormal"/>
        <w:shd w:val="clear" w:color="auto" w:fill="FFFFFF"/>
        <w:tabs>
          <w:tab w:val="left" w:pos="990"/>
        </w:tabs>
        <w:spacing w:before="0" w:beforeAutospacing="0" w:after="0" w:afterAutospacing="0"/>
        <w:ind w:left="900"/>
        <w:rPr>
          <w:rFonts w:ascii="Arial" w:eastAsiaTheme="minorHAnsi" w:hAnsi="Arial" w:cs="Arial"/>
          <w:lang w:val="en-GB"/>
        </w:rPr>
      </w:pPr>
    </w:p>
    <w:p w14:paraId="7D785B77" w14:textId="1A366483" w:rsidR="004722BF" w:rsidRDefault="004722BF" w:rsidP="00E3725C">
      <w:pPr>
        <w:pStyle w:val="yiv3309031056msonormal"/>
        <w:numPr>
          <w:ilvl w:val="1"/>
          <w:numId w:val="2"/>
        </w:numPr>
        <w:shd w:val="clear" w:color="auto" w:fill="FFFFFF"/>
        <w:tabs>
          <w:tab w:val="left" w:pos="990"/>
        </w:tabs>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However, notwithstanding this exercise, the following represents a broad commentary on the developing thinking around prioritisation which intends to assist the Board in contributing to the </w:t>
      </w:r>
      <w:r w:rsidR="00C856A7">
        <w:rPr>
          <w:rFonts w:ascii="Arial" w:eastAsiaTheme="minorHAnsi" w:hAnsi="Arial" w:cs="Arial"/>
          <w:lang w:val="en-GB"/>
        </w:rPr>
        <w:t xml:space="preserve">ongoing </w:t>
      </w:r>
      <w:r>
        <w:rPr>
          <w:rFonts w:ascii="Arial" w:eastAsiaTheme="minorHAnsi" w:hAnsi="Arial" w:cs="Arial"/>
          <w:lang w:val="en-GB"/>
        </w:rPr>
        <w:t>discussion.</w:t>
      </w:r>
    </w:p>
    <w:p w14:paraId="40FC2FC0" w14:textId="77777777" w:rsidR="000E205B" w:rsidRDefault="000E205B" w:rsidP="000E205B">
      <w:pPr>
        <w:pStyle w:val="yiv3309031056msonormal"/>
        <w:shd w:val="clear" w:color="auto" w:fill="FFFFFF"/>
        <w:tabs>
          <w:tab w:val="left" w:pos="990"/>
        </w:tabs>
        <w:spacing w:before="0" w:beforeAutospacing="0" w:after="0" w:afterAutospacing="0"/>
        <w:rPr>
          <w:rFonts w:ascii="Arial" w:eastAsiaTheme="minorHAnsi" w:hAnsi="Arial" w:cs="Arial"/>
          <w:lang w:val="en-GB"/>
        </w:rPr>
      </w:pPr>
    </w:p>
    <w:p w14:paraId="3C13C6B5" w14:textId="7D62E942" w:rsidR="00E3725C" w:rsidRDefault="00E3725C" w:rsidP="00E3725C">
      <w:pPr>
        <w:pStyle w:val="yiv3309031056msonormal"/>
        <w:numPr>
          <w:ilvl w:val="1"/>
          <w:numId w:val="2"/>
        </w:numPr>
        <w:shd w:val="clear" w:color="auto" w:fill="FFFFFF"/>
        <w:tabs>
          <w:tab w:val="left" w:pos="990"/>
        </w:tabs>
        <w:spacing w:before="0" w:beforeAutospacing="0" w:after="0" w:afterAutospacing="0"/>
        <w:ind w:left="900" w:hanging="540"/>
        <w:rPr>
          <w:rFonts w:ascii="Arial" w:eastAsiaTheme="minorHAnsi" w:hAnsi="Arial" w:cs="Arial"/>
          <w:lang w:val="en-GB"/>
        </w:rPr>
      </w:pPr>
      <w:r>
        <w:rPr>
          <w:rFonts w:ascii="Arial" w:eastAsiaTheme="minorHAnsi" w:hAnsi="Arial" w:cs="Arial"/>
          <w:lang w:val="en-GB"/>
        </w:rPr>
        <w:t xml:space="preserve">Although the work on prioritisation has yet to be completed it is clear that the </w:t>
      </w:r>
      <w:r>
        <w:rPr>
          <w:rFonts w:ascii="Arial" w:eastAsiaTheme="minorHAnsi" w:hAnsi="Arial" w:cs="Arial"/>
          <w:b/>
          <w:bCs/>
          <w:lang w:val="en-GB"/>
        </w:rPr>
        <w:t>Research Systems Programme (RSP)</w:t>
      </w:r>
      <w:r w:rsidR="00A5784C">
        <w:rPr>
          <w:rFonts w:ascii="Arial" w:eastAsiaTheme="minorHAnsi" w:hAnsi="Arial" w:cs="Arial"/>
          <w:b/>
          <w:bCs/>
          <w:lang w:val="en-GB"/>
        </w:rPr>
        <w:t xml:space="preserve"> inc. IRAS Website</w:t>
      </w:r>
      <w:r>
        <w:rPr>
          <w:rFonts w:ascii="Arial" w:eastAsiaTheme="minorHAnsi" w:hAnsi="Arial" w:cs="Arial"/>
          <w:lang w:val="en-GB"/>
        </w:rPr>
        <w:t xml:space="preserve"> remains the </w:t>
      </w:r>
      <w:r w:rsidRPr="003F0BB5">
        <w:rPr>
          <w:rFonts w:ascii="Arial" w:eastAsiaTheme="minorHAnsi" w:hAnsi="Arial" w:cs="Arial"/>
          <w:b/>
          <w:bCs/>
          <w:lang w:val="en-GB"/>
        </w:rPr>
        <w:t>key priority</w:t>
      </w:r>
      <w:r>
        <w:rPr>
          <w:rFonts w:ascii="Arial" w:eastAsiaTheme="minorHAnsi" w:hAnsi="Arial" w:cs="Arial"/>
          <w:lang w:val="en-GB"/>
        </w:rPr>
        <w:t xml:space="preserve"> as it is required to meet the need to move off legacy contracts, will contribute the most to overall benefits, has the greatest level of both financial and reputational risk, and is the recipient  of the greatest level of investment. It is the mechanism by which significant changes to the set-up and delivery of research in the UK will be delivered and embedded. It will provide a new ideal path for the research journey, ensuring that all relevant parties have visibility of key information and status of research studies, with consistent and compatible workflows for research in the NHS across the UK. Given the level of cross-system, UK-wide business change that needs to be finalised and delivered through the technology, this programme consumes significant resources across the Approvals directorate as well as more obviously through the Research Systems team, along with considerable supporting activity in other directorates.</w:t>
      </w:r>
    </w:p>
    <w:p w14:paraId="5DBAE724" w14:textId="77777777" w:rsidR="00E3725C" w:rsidRDefault="00E3725C" w:rsidP="00E3725C">
      <w:pPr>
        <w:pStyle w:val="ListParagraph"/>
        <w:rPr>
          <w:rFonts w:eastAsiaTheme="minorHAnsi" w:cs="Arial"/>
        </w:rPr>
      </w:pPr>
    </w:p>
    <w:p w14:paraId="664244AA" w14:textId="3876EAD2" w:rsidR="00E3725C" w:rsidRDefault="003F0BB5" w:rsidP="00E3725C">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lang w:val="en-GB"/>
        </w:rPr>
      </w:pPr>
      <w:r>
        <w:rPr>
          <w:rFonts w:ascii="Arial" w:eastAsiaTheme="minorHAnsi" w:hAnsi="Arial" w:cs="Arial"/>
          <w:lang w:val="en-GB"/>
        </w:rPr>
        <w:t>T</w:t>
      </w:r>
      <w:r w:rsidR="00E3725C">
        <w:rPr>
          <w:rFonts w:ascii="Arial" w:eastAsiaTheme="minorHAnsi" w:hAnsi="Arial" w:cs="Arial"/>
          <w:lang w:val="en-GB"/>
        </w:rPr>
        <w:t xml:space="preserve">he </w:t>
      </w:r>
      <w:r w:rsidR="00E3725C">
        <w:rPr>
          <w:rFonts w:ascii="Arial" w:eastAsiaTheme="minorHAnsi" w:hAnsi="Arial" w:cs="Arial"/>
          <w:b/>
          <w:bCs/>
          <w:lang w:val="en-GB"/>
        </w:rPr>
        <w:t>Combined Ways of Working Programme (CWOW)</w:t>
      </w:r>
      <w:r w:rsidR="00E3725C">
        <w:rPr>
          <w:rFonts w:ascii="Arial" w:eastAsiaTheme="minorHAnsi" w:hAnsi="Arial" w:cs="Arial"/>
          <w:lang w:val="en-GB"/>
        </w:rPr>
        <w:t xml:space="preserve"> programme </w:t>
      </w:r>
      <w:r w:rsidR="00E3725C" w:rsidRPr="003F0BB5">
        <w:rPr>
          <w:rFonts w:ascii="Arial" w:eastAsiaTheme="minorHAnsi" w:hAnsi="Arial" w:cs="Arial"/>
          <w:b/>
          <w:bCs/>
          <w:lang w:val="en-GB"/>
        </w:rPr>
        <w:t xml:space="preserve">must </w:t>
      </w:r>
      <w:r w:rsidRPr="003F0BB5">
        <w:rPr>
          <w:rFonts w:ascii="Arial" w:eastAsiaTheme="minorHAnsi" w:hAnsi="Arial" w:cs="Arial"/>
          <w:b/>
          <w:bCs/>
          <w:lang w:val="en-GB"/>
        </w:rPr>
        <w:t xml:space="preserve">also </w:t>
      </w:r>
      <w:r w:rsidR="00E3725C" w:rsidRPr="003F0BB5">
        <w:rPr>
          <w:rFonts w:ascii="Arial" w:eastAsiaTheme="minorHAnsi" w:hAnsi="Arial" w:cs="Arial"/>
          <w:b/>
          <w:bCs/>
          <w:lang w:val="en-GB"/>
        </w:rPr>
        <w:t>be completed</w:t>
      </w:r>
      <w:r w:rsidR="00E3725C">
        <w:rPr>
          <w:rFonts w:ascii="Arial" w:eastAsiaTheme="minorHAnsi" w:hAnsi="Arial" w:cs="Arial"/>
          <w:lang w:val="en-GB"/>
        </w:rPr>
        <w:t xml:space="preserve"> in order to deliver the benefits associated with its investment. CWOW is a cross-organisation programme between the Medicines and Healthcare products Regulatory Agency (MHRA) and the UK Research Ethics Service, with the Health Research Authority providing digital technology. By working together to deliver approvals in parallel rather than in sequence, researchers are seeing significantly reduced overall start-up timelines. The programme will </w:t>
      </w:r>
      <w:r w:rsidR="000E205B">
        <w:rPr>
          <w:rFonts w:ascii="Arial" w:eastAsiaTheme="minorHAnsi" w:hAnsi="Arial" w:cs="Arial"/>
          <w:lang w:val="en-GB"/>
        </w:rPr>
        <w:t xml:space="preserve">need to </w:t>
      </w:r>
      <w:r w:rsidR="00E3725C">
        <w:rPr>
          <w:rFonts w:ascii="Arial" w:eastAsiaTheme="minorHAnsi" w:hAnsi="Arial" w:cs="Arial"/>
          <w:lang w:val="en-GB"/>
        </w:rPr>
        <w:t>complete roll out during 2021, providing a single, integrated, competitive clinical trials approval system for the UK before the EU starts the transition to the EU Clinical Trials Regulation. There is remaining Research Systems work scheduled up to June 2021, while the roll out will expand work across the Approvals Operations and Support divisions during the whole of 2021.</w:t>
      </w:r>
    </w:p>
    <w:p w14:paraId="17511FE0" w14:textId="77777777" w:rsidR="00E3725C" w:rsidRDefault="00E3725C" w:rsidP="00E3725C">
      <w:pPr>
        <w:pStyle w:val="ListParagraph"/>
        <w:rPr>
          <w:rFonts w:eastAsiaTheme="minorHAnsi" w:cs="Arial"/>
        </w:rPr>
      </w:pPr>
    </w:p>
    <w:p w14:paraId="1E40A05B" w14:textId="6F01142E" w:rsidR="00E3725C" w:rsidRPr="000E205B" w:rsidRDefault="003F0BB5" w:rsidP="00E3725C">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b/>
          <w:bCs/>
          <w:lang w:val="en-GB"/>
        </w:rPr>
      </w:pPr>
      <w:r w:rsidRPr="003F0BB5">
        <w:rPr>
          <w:rFonts w:ascii="Arial" w:eastAsiaTheme="minorHAnsi" w:hAnsi="Arial" w:cs="Arial"/>
          <w:lang w:val="en-GB"/>
        </w:rPr>
        <w:t>The</w:t>
      </w:r>
      <w:r w:rsidRPr="003F0BB5">
        <w:rPr>
          <w:rFonts w:ascii="Arial" w:eastAsiaTheme="minorHAnsi" w:hAnsi="Arial" w:cs="Arial"/>
          <w:b/>
          <w:bCs/>
          <w:lang w:val="en-GB"/>
        </w:rPr>
        <w:t xml:space="preserve"> </w:t>
      </w:r>
      <w:r w:rsidR="00E3725C" w:rsidRPr="003F0BB5">
        <w:rPr>
          <w:rFonts w:ascii="Arial" w:eastAsiaTheme="minorHAnsi" w:hAnsi="Arial" w:cs="Arial"/>
          <w:b/>
          <w:bCs/>
          <w:lang w:val="en-GB"/>
        </w:rPr>
        <w:t>Research Review Programme</w:t>
      </w:r>
      <w:r>
        <w:rPr>
          <w:rFonts w:ascii="Arial" w:eastAsiaTheme="minorHAnsi" w:hAnsi="Arial" w:cs="Arial"/>
          <w:b/>
          <w:bCs/>
          <w:lang w:val="en-GB"/>
        </w:rPr>
        <w:t xml:space="preserve"> </w:t>
      </w:r>
      <w:r w:rsidRPr="003F0BB5">
        <w:rPr>
          <w:rFonts w:ascii="Arial" w:eastAsiaTheme="minorHAnsi" w:hAnsi="Arial" w:cs="Arial"/>
          <w:b/>
          <w:bCs/>
          <w:lang w:val="en-GB"/>
        </w:rPr>
        <w:t>(Pilot)</w:t>
      </w:r>
      <w:r>
        <w:rPr>
          <w:rFonts w:ascii="Arial" w:eastAsiaTheme="minorHAnsi" w:hAnsi="Arial" w:cs="Arial"/>
          <w:lang w:val="en-GB"/>
        </w:rPr>
        <w:t xml:space="preserve"> </w:t>
      </w:r>
      <w:r w:rsidR="000E205B">
        <w:rPr>
          <w:rFonts w:ascii="Arial" w:eastAsiaTheme="minorHAnsi" w:hAnsi="Arial" w:cs="Arial"/>
          <w:lang w:val="en-GB"/>
        </w:rPr>
        <w:t xml:space="preserve">has been initiated to build on the momentum of the learning achieved from delivering approvals </w:t>
      </w:r>
      <w:r w:rsidR="009A5E60">
        <w:rPr>
          <w:rFonts w:ascii="Arial" w:eastAsiaTheme="minorHAnsi" w:hAnsi="Arial" w:cs="Arial"/>
          <w:lang w:val="en-GB"/>
        </w:rPr>
        <w:t xml:space="preserve">of research studies </w:t>
      </w:r>
      <w:r w:rsidR="000E205B">
        <w:rPr>
          <w:rFonts w:ascii="Arial" w:eastAsiaTheme="minorHAnsi" w:hAnsi="Arial" w:cs="Arial"/>
          <w:lang w:val="en-GB"/>
        </w:rPr>
        <w:t>within the Covid environment</w:t>
      </w:r>
      <w:r w:rsidR="00A5784C">
        <w:rPr>
          <w:rFonts w:ascii="Arial" w:eastAsiaTheme="minorHAnsi" w:hAnsi="Arial" w:cs="Arial"/>
          <w:lang w:val="en-GB"/>
        </w:rPr>
        <w:t xml:space="preserve"> and has been identified as a </w:t>
      </w:r>
      <w:r w:rsidR="00A5784C" w:rsidRPr="00A5784C">
        <w:rPr>
          <w:rFonts w:ascii="Arial" w:eastAsiaTheme="minorHAnsi" w:hAnsi="Arial" w:cs="Arial"/>
          <w:b/>
          <w:bCs/>
          <w:lang w:val="en-GB"/>
        </w:rPr>
        <w:t xml:space="preserve">key priority </w:t>
      </w:r>
      <w:r w:rsidR="00A5784C">
        <w:rPr>
          <w:rFonts w:ascii="Arial" w:eastAsiaTheme="minorHAnsi" w:hAnsi="Arial" w:cs="Arial"/>
          <w:b/>
          <w:bCs/>
          <w:lang w:val="en-GB"/>
        </w:rPr>
        <w:t>by</w:t>
      </w:r>
      <w:r w:rsidR="00A5784C" w:rsidRPr="00A5784C">
        <w:rPr>
          <w:rFonts w:ascii="Arial" w:eastAsiaTheme="minorHAnsi" w:hAnsi="Arial" w:cs="Arial"/>
          <w:b/>
          <w:bCs/>
          <w:lang w:val="en-GB"/>
        </w:rPr>
        <w:t xml:space="preserve"> the Board</w:t>
      </w:r>
      <w:r w:rsidR="000E205B">
        <w:rPr>
          <w:rFonts w:ascii="Arial" w:eastAsiaTheme="minorHAnsi" w:hAnsi="Arial" w:cs="Arial"/>
          <w:lang w:val="en-GB"/>
        </w:rPr>
        <w:t xml:space="preserve">. It </w:t>
      </w:r>
      <w:r>
        <w:rPr>
          <w:rFonts w:ascii="Arial" w:eastAsiaTheme="minorHAnsi" w:hAnsi="Arial" w:cs="Arial"/>
          <w:lang w:val="en-GB"/>
        </w:rPr>
        <w:t>aims to agree an evolved model for research ethics review which is more proportionate, in terms of risk and impact, joined up, streamlined and user friendly for researchers and research sponsors, meets the needs of study reviewers (ethics service and other regulatory checks), supports good practice in research, protects the interests of research participants, patients and the impact of research on wider society</w:t>
      </w:r>
    </w:p>
    <w:p w14:paraId="608AB0F6" w14:textId="77777777" w:rsidR="000E205B" w:rsidRDefault="000E205B" w:rsidP="000E205B">
      <w:pPr>
        <w:pStyle w:val="ListParagraph"/>
        <w:rPr>
          <w:rFonts w:eastAsiaTheme="minorHAnsi" w:cs="Arial"/>
          <w:b/>
          <w:bCs/>
        </w:rPr>
      </w:pPr>
    </w:p>
    <w:p w14:paraId="3F43F19F" w14:textId="77777777" w:rsidR="00FB3D40" w:rsidRPr="003A35C3" w:rsidRDefault="000E205B" w:rsidP="00E84755">
      <w:pPr>
        <w:pStyle w:val="ListParagraph"/>
        <w:numPr>
          <w:ilvl w:val="1"/>
          <w:numId w:val="2"/>
        </w:numPr>
        <w:shd w:val="clear" w:color="auto" w:fill="FFFFFF"/>
        <w:tabs>
          <w:tab w:val="left" w:pos="990"/>
        </w:tabs>
        <w:ind w:left="900" w:hanging="540"/>
        <w:rPr>
          <w:rFonts w:eastAsiaTheme="minorHAnsi" w:cs="Arial"/>
          <w:sz w:val="24"/>
          <w:szCs w:val="24"/>
        </w:rPr>
      </w:pPr>
      <w:r w:rsidRPr="003A35C3">
        <w:rPr>
          <w:rFonts w:eastAsiaTheme="minorHAnsi" w:cs="Arial"/>
          <w:sz w:val="24"/>
          <w:szCs w:val="24"/>
        </w:rPr>
        <w:t xml:space="preserve">Although these three areas </w:t>
      </w:r>
      <w:r w:rsidR="00A5784C" w:rsidRPr="003A35C3">
        <w:rPr>
          <w:rFonts w:eastAsiaTheme="minorHAnsi" w:cs="Arial"/>
          <w:sz w:val="24"/>
          <w:szCs w:val="24"/>
        </w:rPr>
        <w:t xml:space="preserve">potentially </w:t>
      </w:r>
      <w:r w:rsidRPr="003A35C3">
        <w:rPr>
          <w:rFonts w:eastAsiaTheme="minorHAnsi" w:cs="Arial"/>
          <w:sz w:val="24"/>
          <w:szCs w:val="24"/>
        </w:rPr>
        <w:t xml:space="preserve">may be considered </w:t>
      </w:r>
      <w:r w:rsidR="00A5784C" w:rsidRPr="003A35C3">
        <w:rPr>
          <w:rFonts w:eastAsiaTheme="minorHAnsi" w:cs="Arial"/>
          <w:sz w:val="24"/>
          <w:szCs w:val="24"/>
        </w:rPr>
        <w:t xml:space="preserve">the </w:t>
      </w:r>
      <w:r w:rsidRPr="003A35C3">
        <w:rPr>
          <w:rFonts w:eastAsiaTheme="minorHAnsi" w:cs="Arial"/>
          <w:sz w:val="24"/>
          <w:szCs w:val="24"/>
        </w:rPr>
        <w:t>priorit</w:t>
      </w:r>
      <w:r w:rsidR="00A5784C" w:rsidRPr="003A35C3">
        <w:rPr>
          <w:rFonts w:eastAsiaTheme="minorHAnsi" w:cs="Arial"/>
          <w:sz w:val="24"/>
          <w:szCs w:val="24"/>
        </w:rPr>
        <w:t>y programmes</w:t>
      </w:r>
      <w:r w:rsidR="0003298A" w:rsidRPr="003A35C3">
        <w:rPr>
          <w:rFonts w:eastAsiaTheme="minorHAnsi" w:cs="Arial"/>
          <w:sz w:val="24"/>
          <w:szCs w:val="24"/>
        </w:rPr>
        <w:t>, i</w:t>
      </w:r>
      <w:r w:rsidR="00A5784C" w:rsidRPr="003A35C3">
        <w:rPr>
          <w:rFonts w:eastAsiaTheme="minorHAnsi" w:cs="Arial"/>
          <w:sz w:val="24"/>
          <w:szCs w:val="24"/>
        </w:rPr>
        <w:t xml:space="preserve">t is important to recognise the importance and criticality of other programme areas which still remain high profile and reputationally important. </w:t>
      </w:r>
    </w:p>
    <w:p w14:paraId="2C994504" w14:textId="77777777" w:rsidR="00FB3D40" w:rsidRPr="00FB3D40" w:rsidRDefault="00FB3D40" w:rsidP="00FB3D40">
      <w:pPr>
        <w:pStyle w:val="ListParagraph"/>
        <w:rPr>
          <w:rFonts w:eastAsiaTheme="minorHAnsi" w:cs="Arial"/>
          <w:sz w:val="24"/>
          <w:szCs w:val="24"/>
        </w:rPr>
      </w:pPr>
    </w:p>
    <w:p w14:paraId="3C109047" w14:textId="07AAD1EC" w:rsidR="00E84755" w:rsidRPr="00E84755" w:rsidRDefault="00E84755" w:rsidP="00E84755">
      <w:pPr>
        <w:pStyle w:val="ListParagraph"/>
        <w:numPr>
          <w:ilvl w:val="1"/>
          <w:numId w:val="2"/>
        </w:numPr>
        <w:shd w:val="clear" w:color="auto" w:fill="FFFFFF"/>
        <w:tabs>
          <w:tab w:val="left" w:pos="990"/>
        </w:tabs>
        <w:ind w:left="900" w:hanging="540"/>
        <w:rPr>
          <w:rFonts w:eastAsiaTheme="minorHAnsi" w:cs="Arial"/>
        </w:rPr>
      </w:pPr>
      <w:r>
        <w:rPr>
          <w:rFonts w:eastAsiaTheme="minorHAnsi" w:cs="Arial"/>
          <w:sz w:val="24"/>
          <w:szCs w:val="24"/>
        </w:rPr>
        <w:lastRenderedPageBreak/>
        <w:t>The</w:t>
      </w:r>
      <w:r w:rsidRPr="00E84755">
        <w:rPr>
          <w:rFonts w:eastAsiaTheme="minorHAnsi" w:cs="Arial"/>
          <w:sz w:val="24"/>
          <w:szCs w:val="24"/>
        </w:rPr>
        <w:t xml:space="preserve"> </w:t>
      </w:r>
      <w:r w:rsidRPr="00E84755">
        <w:rPr>
          <w:rFonts w:eastAsiaTheme="minorHAnsi" w:cs="Arial"/>
          <w:b/>
          <w:bCs/>
          <w:sz w:val="24"/>
          <w:szCs w:val="24"/>
        </w:rPr>
        <w:t>Study Set-up programme</w:t>
      </w:r>
      <w:r w:rsidRPr="00E84755">
        <w:rPr>
          <w:rFonts w:eastAsiaTheme="minorHAnsi" w:cs="Arial"/>
          <w:sz w:val="24"/>
          <w:szCs w:val="24"/>
        </w:rPr>
        <w:t xml:space="preserve"> </w:t>
      </w:r>
      <w:r>
        <w:rPr>
          <w:rFonts w:eastAsiaTheme="minorHAnsi" w:cs="Arial"/>
          <w:sz w:val="24"/>
          <w:szCs w:val="24"/>
        </w:rPr>
        <w:t xml:space="preserve">and its </w:t>
      </w:r>
      <w:r w:rsidRPr="00E84755">
        <w:rPr>
          <w:rFonts w:eastAsiaTheme="minorHAnsi" w:cs="Arial"/>
          <w:sz w:val="24"/>
          <w:szCs w:val="24"/>
        </w:rPr>
        <w:t>contributi</w:t>
      </w:r>
      <w:r>
        <w:rPr>
          <w:rFonts w:eastAsiaTheme="minorHAnsi" w:cs="Arial"/>
          <w:sz w:val="24"/>
          <w:szCs w:val="24"/>
        </w:rPr>
        <w:t>on</w:t>
      </w:r>
      <w:r w:rsidRPr="00E84755">
        <w:rPr>
          <w:rFonts w:eastAsiaTheme="minorHAnsi" w:cs="Arial"/>
          <w:sz w:val="24"/>
          <w:szCs w:val="24"/>
        </w:rPr>
        <w:t xml:space="preserve"> to the UK compatibility programme are the key places where business change is being led that will be embedded in RS. This is the programme that is creating the UK ideal path that the RS will deliver. </w:t>
      </w:r>
    </w:p>
    <w:p w14:paraId="627BC3BD" w14:textId="77777777" w:rsidR="00E84755" w:rsidRPr="00E84755" w:rsidRDefault="00E84755" w:rsidP="00E84755">
      <w:pPr>
        <w:pStyle w:val="ListParagraph"/>
        <w:rPr>
          <w:rFonts w:eastAsiaTheme="minorHAnsi" w:cs="Arial"/>
          <w:sz w:val="24"/>
          <w:szCs w:val="24"/>
        </w:rPr>
      </w:pPr>
    </w:p>
    <w:p w14:paraId="041A665B" w14:textId="77777777" w:rsidR="00FB3D40" w:rsidRDefault="00A5784C" w:rsidP="00E84755">
      <w:pPr>
        <w:pStyle w:val="ListParagraph"/>
        <w:numPr>
          <w:ilvl w:val="1"/>
          <w:numId w:val="2"/>
        </w:numPr>
        <w:shd w:val="clear" w:color="auto" w:fill="FFFFFF"/>
        <w:tabs>
          <w:tab w:val="left" w:pos="990"/>
        </w:tabs>
        <w:ind w:left="900" w:hanging="540"/>
        <w:rPr>
          <w:rFonts w:eastAsiaTheme="minorHAnsi" w:cs="Arial"/>
          <w:sz w:val="24"/>
          <w:szCs w:val="24"/>
        </w:rPr>
      </w:pPr>
      <w:r w:rsidRPr="00E84755">
        <w:rPr>
          <w:rFonts w:eastAsiaTheme="minorHAnsi" w:cs="Arial"/>
          <w:b/>
          <w:bCs/>
          <w:sz w:val="24"/>
          <w:szCs w:val="24"/>
        </w:rPr>
        <w:t>Streamlining data-driven technologies</w:t>
      </w:r>
      <w:r w:rsidRPr="00E84755">
        <w:rPr>
          <w:rFonts w:eastAsiaTheme="minorHAnsi" w:cs="Arial"/>
          <w:sz w:val="24"/>
          <w:szCs w:val="24"/>
        </w:rPr>
        <w:t xml:space="preserve"> has been funded by NHSX with a clear associated delivery timeline. </w:t>
      </w:r>
    </w:p>
    <w:p w14:paraId="03D5552E" w14:textId="77777777" w:rsidR="00FB3D40" w:rsidRPr="00FB3D40" w:rsidRDefault="00FB3D40" w:rsidP="00FB3D40">
      <w:pPr>
        <w:pStyle w:val="ListParagraph"/>
        <w:rPr>
          <w:rFonts w:eastAsiaTheme="minorHAnsi" w:cs="Arial"/>
          <w:b/>
          <w:bCs/>
          <w:sz w:val="24"/>
          <w:szCs w:val="24"/>
        </w:rPr>
      </w:pPr>
    </w:p>
    <w:p w14:paraId="37360CF2" w14:textId="04AD36C2" w:rsidR="00E84755" w:rsidRPr="00E84755" w:rsidRDefault="00A5784C" w:rsidP="00E84755">
      <w:pPr>
        <w:pStyle w:val="ListParagraph"/>
        <w:numPr>
          <w:ilvl w:val="1"/>
          <w:numId w:val="2"/>
        </w:numPr>
        <w:shd w:val="clear" w:color="auto" w:fill="FFFFFF"/>
        <w:tabs>
          <w:tab w:val="left" w:pos="990"/>
        </w:tabs>
        <w:ind w:left="900" w:hanging="540"/>
        <w:rPr>
          <w:rFonts w:eastAsiaTheme="minorHAnsi" w:cs="Arial"/>
          <w:sz w:val="24"/>
          <w:szCs w:val="24"/>
        </w:rPr>
      </w:pPr>
      <w:r w:rsidRPr="00E84755">
        <w:rPr>
          <w:rFonts w:eastAsiaTheme="minorHAnsi" w:cs="Arial"/>
          <w:b/>
          <w:bCs/>
          <w:sz w:val="24"/>
          <w:szCs w:val="24"/>
        </w:rPr>
        <w:t>Transparency</w:t>
      </w:r>
      <w:r w:rsidRPr="00E84755">
        <w:rPr>
          <w:rFonts w:eastAsiaTheme="minorHAnsi" w:cs="Arial"/>
          <w:sz w:val="24"/>
          <w:szCs w:val="24"/>
        </w:rPr>
        <w:t xml:space="preserve"> </w:t>
      </w:r>
      <w:r w:rsidR="00E84755">
        <w:rPr>
          <w:rFonts w:eastAsiaTheme="minorHAnsi" w:cs="Arial"/>
          <w:sz w:val="24"/>
          <w:szCs w:val="24"/>
        </w:rPr>
        <w:t>remains</w:t>
      </w:r>
      <w:r w:rsidRPr="00E84755">
        <w:rPr>
          <w:rFonts w:eastAsiaTheme="minorHAnsi" w:cs="Arial"/>
          <w:sz w:val="24"/>
          <w:szCs w:val="24"/>
        </w:rPr>
        <w:t xml:space="preserve"> a key area of work which has resulted in a high level of </w:t>
      </w:r>
      <w:r w:rsidR="004722BF" w:rsidRPr="00E84755">
        <w:rPr>
          <w:rFonts w:eastAsiaTheme="minorHAnsi" w:cs="Arial"/>
          <w:sz w:val="24"/>
          <w:szCs w:val="24"/>
        </w:rPr>
        <w:t xml:space="preserve">expectation amongst a number of key stakeholders and interested parties. </w:t>
      </w:r>
    </w:p>
    <w:p w14:paraId="4F0CF3D1" w14:textId="77777777" w:rsidR="00E84755" w:rsidRPr="00E84755" w:rsidRDefault="00E84755" w:rsidP="00E84755">
      <w:pPr>
        <w:shd w:val="clear" w:color="auto" w:fill="FFFFFF"/>
        <w:tabs>
          <w:tab w:val="left" w:pos="990"/>
        </w:tabs>
        <w:rPr>
          <w:rFonts w:cs="Arial"/>
        </w:rPr>
      </w:pPr>
    </w:p>
    <w:p w14:paraId="34626B49" w14:textId="2EA5BDA3" w:rsidR="00E3725C" w:rsidRDefault="004370FF" w:rsidP="00E3725C">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lang w:val="en-GB"/>
        </w:rPr>
      </w:pPr>
      <w:r>
        <w:rPr>
          <w:rFonts w:ascii="Arial" w:eastAsiaTheme="minorHAnsi" w:hAnsi="Arial" w:cs="Arial"/>
          <w:lang w:val="en-GB"/>
        </w:rPr>
        <w:t>There is a similar story on p</w:t>
      </w:r>
      <w:r w:rsidR="00E3725C">
        <w:rPr>
          <w:rFonts w:ascii="Arial" w:eastAsiaTheme="minorHAnsi" w:hAnsi="Arial" w:cs="Arial"/>
          <w:lang w:val="en-GB"/>
        </w:rPr>
        <w:t xml:space="preserve">rogrammes of work that </w:t>
      </w:r>
      <w:r w:rsidR="003F0BB5">
        <w:rPr>
          <w:rFonts w:ascii="Arial" w:eastAsiaTheme="minorHAnsi" w:hAnsi="Arial" w:cs="Arial"/>
          <w:lang w:val="en-GB"/>
        </w:rPr>
        <w:t>have more of an internal focus</w:t>
      </w:r>
    </w:p>
    <w:p w14:paraId="3EBAA52A" w14:textId="77777777" w:rsidR="00E3725C" w:rsidRDefault="00E3725C" w:rsidP="00E3725C">
      <w:pPr>
        <w:pStyle w:val="ListParagraph"/>
        <w:rPr>
          <w:rFonts w:eastAsiaTheme="minorHAnsi" w:cs="Arial"/>
        </w:rPr>
      </w:pPr>
    </w:p>
    <w:p w14:paraId="195F0757" w14:textId="77777777" w:rsidR="00E3725C" w:rsidRDefault="00E3725C" w:rsidP="00E3725C">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b/>
          <w:bCs/>
          <w:lang w:val="en-GB"/>
        </w:rPr>
      </w:pPr>
      <w:r>
        <w:rPr>
          <w:rFonts w:ascii="Arial" w:eastAsiaTheme="minorHAnsi" w:hAnsi="Arial" w:cs="Arial"/>
          <w:lang w:val="en-GB"/>
        </w:rPr>
        <w:t>The</w:t>
      </w:r>
      <w:r>
        <w:rPr>
          <w:rFonts w:ascii="Arial" w:eastAsiaTheme="minorHAnsi" w:hAnsi="Arial" w:cs="Arial"/>
          <w:b/>
          <w:bCs/>
          <w:lang w:val="en-GB"/>
        </w:rPr>
        <w:t xml:space="preserve"> Estates Strategy </w:t>
      </w:r>
      <w:r>
        <w:rPr>
          <w:rFonts w:ascii="Arial" w:eastAsiaTheme="minorHAnsi" w:hAnsi="Arial" w:cs="Arial"/>
          <w:lang w:val="en-GB"/>
        </w:rPr>
        <w:t xml:space="preserve">requires the HRA to align with government strategy and priorities in relation to our estates’ portfolio. </w:t>
      </w:r>
      <w:r w:rsidRPr="004370FF">
        <w:rPr>
          <w:rFonts w:ascii="Arial" w:eastAsiaTheme="minorHAnsi" w:hAnsi="Arial" w:cs="Arial"/>
          <w:b/>
          <w:bCs/>
          <w:lang w:val="en-GB"/>
        </w:rPr>
        <w:t>Key lease events must be managed over the next 12 months and cannot be deferred</w:t>
      </w:r>
      <w:r>
        <w:rPr>
          <w:rFonts w:ascii="Arial" w:eastAsiaTheme="minorHAnsi" w:hAnsi="Arial" w:cs="Arial"/>
          <w:lang w:val="en-GB"/>
        </w:rPr>
        <w:t xml:space="preserve">. Importantly this offers the HRA to improve our spaces enabling a productive, technology enabled environment and </w:t>
      </w:r>
      <w:r w:rsidRPr="003A35C3">
        <w:rPr>
          <w:rFonts w:ascii="Arial" w:eastAsiaTheme="minorHAnsi" w:hAnsi="Arial" w:cs="Arial"/>
          <w:b/>
          <w:bCs/>
          <w:lang w:val="en-GB"/>
        </w:rPr>
        <w:t>reduce our future estates costs by 25%</w:t>
      </w:r>
      <w:r>
        <w:rPr>
          <w:rFonts w:ascii="Arial" w:eastAsiaTheme="minorHAnsi" w:hAnsi="Arial" w:cs="Arial"/>
          <w:lang w:val="en-GB"/>
        </w:rPr>
        <w:t>. Majority of work is planned to be completed by the end of this financial year.</w:t>
      </w:r>
    </w:p>
    <w:p w14:paraId="6DA9483B" w14:textId="77777777" w:rsidR="00E3725C" w:rsidRDefault="00E3725C" w:rsidP="00E3725C">
      <w:pPr>
        <w:pStyle w:val="ListParagraph"/>
        <w:rPr>
          <w:rFonts w:eastAsiaTheme="minorHAnsi" w:cs="Arial"/>
        </w:rPr>
      </w:pPr>
    </w:p>
    <w:p w14:paraId="1244DF0C" w14:textId="2F10A4E8" w:rsidR="00E3725C" w:rsidRPr="00C856A7" w:rsidRDefault="00E3725C" w:rsidP="00E3725C">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b/>
          <w:bCs/>
          <w:lang w:val="en-GB"/>
        </w:rPr>
      </w:pPr>
      <w:r>
        <w:rPr>
          <w:rFonts w:ascii="Arial" w:eastAsiaTheme="minorHAnsi" w:hAnsi="Arial" w:cs="Arial"/>
          <w:lang w:val="en-GB"/>
        </w:rPr>
        <w:t xml:space="preserve">The continuing </w:t>
      </w:r>
      <w:r>
        <w:rPr>
          <w:rFonts w:ascii="Arial" w:eastAsiaTheme="minorHAnsi" w:hAnsi="Arial" w:cs="Arial"/>
          <w:b/>
          <w:bCs/>
          <w:lang w:val="en-GB"/>
        </w:rPr>
        <w:t>ICT infrastructure programme</w:t>
      </w:r>
      <w:r>
        <w:rPr>
          <w:rFonts w:ascii="Arial" w:eastAsiaTheme="minorHAnsi" w:hAnsi="Arial" w:cs="Arial"/>
          <w:lang w:val="en-GB"/>
        </w:rPr>
        <w:t xml:space="preserve"> will enable the full transition to adoption of Office 365 to support our people to work well, anywhere, easily collaborate and provide necessary security and resilience. This has the potential, when combined with the estates strategy to </w:t>
      </w:r>
      <w:r w:rsidRPr="00C856A7">
        <w:rPr>
          <w:rFonts w:ascii="Arial" w:eastAsiaTheme="minorHAnsi" w:hAnsi="Arial" w:cs="Arial"/>
          <w:b/>
          <w:bCs/>
          <w:lang w:val="en-GB"/>
        </w:rPr>
        <w:t>generate significant cashable and non-cashable benefits</w:t>
      </w:r>
    </w:p>
    <w:p w14:paraId="789D9DE2" w14:textId="77777777" w:rsidR="00C856A7" w:rsidRDefault="00C856A7" w:rsidP="00C856A7">
      <w:pPr>
        <w:pStyle w:val="ListParagraph"/>
        <w:rPr>
          <w:rFonts w:eastAsiaTheme="minorHAnsi" w:cs="Arial"/>
          <w:b/>
          <w:bCs/>
        </w:rPr>
      </w:pPr>
    </w:p>
    <w:p w14:paraId="772D7A24" w14:textId="5E7C2B88" w:rsidR="00E3725C" w:rsidRDefault="00C856A7" w:rsidP="00697A2E">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lang w:val="en-GB"/>
        </w:rPr>
      </w:pPr>
      <w:r w:rsidRPr="00C856A7">
        <w:rPr>
          <w:rFonts w:ascii="Arial" w:eastAsiaTheme="minorHAnsi" w:hAnsi="Arial" w:cs="Arial"/>
          <w:lang w:val="en-GB"/>
        </w:rPr>
        <w:t xml:space="preserve">Both the external and internal facing programmes </w:t>
      </w:r>
      <w:r w:rsidR="00E91EFD">
        <w:rPr>
          <w:rFonts w:ascii="Arial" w:eastAsiaTheme="minorHAnsi" w:hAnsi="Arial" w:cs="Arial"/>
          <w:lang w:val="en-GB"/>
        </w:rPr>
        <w:t>are absolutely dependent on</w:t>
      </w:r>
      <w:r w:rsidRPr="00C856A7">
        <w:rPr>
          <w:rFonts w:ascii="Arial" w:eastAsiaTheme="minorHAnsi" w:hAnsi="Arial" w:cs="Arial"/>
          <w:lang w:val="en-GB"/>
        </w:rPr>
        <w:t xml:space="preserve"> ‘good people’</w:t>
      </w:r>
      <w:r>
        <w:rPr>
          <w:rFonts w:ascii="Arial" w:eastAsiaTheme="minorHAnsi" w:hAnsi="Arial" w:cs="Arial"/>
          <w:lang w:val="en-GB"/>
        </w:rPr>
        <w:t xml:space="preserve"> The </w:t>
      </w:r>
      <w:r w:rsidRPr="00C856A7">
        <w:rPr>
          <w:rFonts w:ascii="Arial" w:eastAsiaTheme="minorHAnsi" w:hAnsi="Arial" w:cs="Arial"/>
          <w:b/>
          <w:bCs/>
          <w:lang w:val="en-GB"/>
        </w:rPr>
        <w:t xml:space="preserve">Supporting our People </w:t>
      </w:r>
      <w:r>
        <w:rPr>
          <w:rFonts w:ascii="Arial" w:eastAsiaTheme="minorHAnsi" w:hAnsi="Arial" w:cs="Arial"/>
          <w:lang w:val="en-GB"/>
        </w:rPr>
        <w:t xml:space="preserve">and </w:t>
      </w:r>
      <w:r w:rsidRPr="00C856A7">
        <w:rPr>
          <w:rFonts w:ascii="Arial" w:eastAsiaTheme="minorHAnsi" w:hAnsi="Arial" w:cs="Arial"/>
          <w:b/>
          <w:bCs/>
          <w:lang w:val="en-GB"/>
        </w:rPr>
        <w:t>Valuing our Volunteers</w:t>
      </w:r>
      <w:r>
        <w:rPr>
          <w:rFonts w:ascii="Arial" w:eastAsiaTheme="minorHAnsi" w:hAnsi="Arial" w:cs="Arial"/>
          <w:b/>
          <w:bCs/>
          <w:lang w:val="en-GB"/>
        </w:rPr>
        <w:t xml:space="preserve"> </w:t>
      </w:r>
      <w:r w:rsidRPr="00C856A7">
        <w:rPr>
          <w:rFonts w:ascii="Arial" w:eastAsiaTheme="minorHAnsi" w:hAnsi="Arial" w:cs="Arial"/>
          <w:lang w:val="en-GB"/>
        </w:rPr>
        <w:t>programmes</w:t>
      </w:r>
      <w:r>
        <w:rPr>
          <w:rFonts w:ascii="Arial" w:eastAsiaTheme="minorHAnsi" w:hAnsi="Arial" w:cs="Arial"/>
          <w:lang w:val="en-GB"/>
        </w:rPr>
        <w:t xml:space="preserve"> are </w:t>
      </w:r>
      <w:r w:rsidR="00E91EFD">
        <w:rPr>
          <w:rFonts w:ascii="Arial" w:eastAsiaTheme="minorHAnsi" w:hAnsi="Arial" w:cs="Arial"/>
          <w:lang w:val="en-GB"/>
        </w:rPr>
        <w:t xml:space="preserve">therefore </w:t>
      </w:r>
      <w:r>
        <w:rPr>
          <w:rFonts w:ascii="Arial" w:eastAsiaTheme="minorHAnsi" w:hAnsi="Arial" w:cs="Arial"/>
          <w:lang w:val="en-GB"/>
        </w:rPr>
        <w:t>vital to ensure that we have the necessary capacity and capability to deliver our services.</w:t>
      </w:r>
    </w:p>
    <w:p w14:paraId="1BCA1603" w14:textId="77777777" w:rsidR="00C856A7" w:rsidRDefault="00C856A7" w:rsidP="00C856A7">
      <w:pPr>
        <w:pStyle w:val="ListParagraph"/>
        <w:rPr>
          <w:rFonts w:eastAsiaTheme="minorHAnsi" w:cs="Arial"/>
        </w:rPr>
      </w:pPr>
    </w:p>
    <w:p w14:paraId="146257AC" w14:textId="67189810" w:rsidR="00C856A7" w:rsidRDefault="00C856A7" w:rsidP="00697A2E">
      <w:pPr>
        <w:pStyle w:val="yiv3309031056msonormal"/>
        <w:numPr>
          <w:ilvl w:val="1"/>
          <w:numId w:val="2"/>
        </w:numPr>
        <w:shd w:val="clear" w:color="auto" w:fill="FFFFFF"/>
        <w:tabs>
          <w:tab w:val="left" w:pos="990"/>
        </w:tabs>
        <w:spacing w:before="0" w:beforeAutospacing="0" w:after="0" w:afterAutospacing="0"/>
        <w:ind w:left="907" w:hanging="547"/>
        <w:rPr>
          <w:rFonts w:ascii="Arial" w:eastAsiaTheme="minorHAnsi" w:hAnsi="Arial" w:cs="Arial"/>
          <w:lang w:val="en-GB"/>
        </w:rPr>
      </w:pPr>
      <w:r>
        <w:rPr>
          <w:rFonts w:ascii="Arial" w:eastAsiaTheme="minorHAnsi" w:hAnsi="Arial" w:cs="Arial"/>
          <w:lang w:val="en-GB"/>
        </w:rPr>
        <w:t xml:space="preserve">In considering these factors it is not just a case of </w:t>
      </w:r>
      <w:r w:rsidR="00E91EFD">
        <w:rPr>
          <w:rFonts w:ascii="Arial" w:eastAsiaTheme="minorHAnsi" w:hAnsi="Arial" w:cs="Arial"/>
          <w:lang w:val="en-GB"/>
        </w:rPr>
        <w:t>simply ‘</w:t>
      </w:r>
      <w:r>
        <w:rPr>
          <w:rFonts w:ascii="Arial" w:eastAsiaTheme="minorHAnsi" w:hAnsi="Arial" w:cs="Arial"/>
          <w:lang w:val="en-GB"/>
        </w:rPr>
        <w:t>doing</w:t>
      </w:r>
      <w:r w:rsidR="00E91EFD">
        <w:rPr>
          <w:rFonts w:ascii="Arial" w:eastAsiaTheme="minorHAnsi" w:hAnsi="Arial" w:cs="Arial"/>
          <w:lang w:val="en-GB"/>
        </w:rPr>
        <w:t>’</w:t>
      </w:r>
      <w:r>
        <w:rPr>
          <w:rFonts w:ascii="Arial" w:eastAsiaTheme="minorHAnsi" w:hAnsi="Arial" w:cs="Arial"/>
          <w:lang w:val="en-GB"/>
        </w:rPr>
        <w:t xml:space="preserve"> one programme instead of another, but more </w:t>
      </w:r>
      <w:r w:rsidR="00E91EFD">
        <w:rPr>
          <w:rFonts w:ascii="Arial" w:eastAsiaTheme="minorHAnsi" w:hAnsi="Arial" w:cs="Arial"/>
          <w:lang w:val="en-GB"/>
        </w:rPr>
        <w:t xml:space="preserve">a case of structuring the overall programme to ensure that the most critical products are delivered within required timescales. </w:t>
      </w:r>
      <w:r w:rsidR="00E91EFD" w:rsidRPr="00F15CF4">
        <w:rPr>
          <w:rFonts w:ascii="Arial" w:eastAsiaTheme="minorHAnsi" w:hAnsi="Arial" w:cs="Arial"/>
          <w:b/>
          <w:bCs/>
          <w:lang w:val="en-GB"/>
        </w:rPr>
        <w:t>To do this it is imperative to identify the dependencies between activities</w:t>
      </w:r>
      <w:r w:rsidR="00565E96" w:rsidRPr="00F15CF4">
        <w:rPr>
          <w:rFonts w:ascii="Arial" w:eastAsiaTheme="minorHAnsi" w:hAnsi="Arial" w:cs="Arial"/>
          <w:b/>
          <w:bCs/>
          <w:lang w:val="en-GB"/>
        </w:rPr>
        <w:t xml:space="preserve"> </w:t>
      </w:r>
      <w:r w:rsidR="00565E96">
        <w:rPr>
          <w:rFonts w:ascii="Arial" w:eastAsiaTheme="minorHAnsi" w:hAnsi="Arial" w:cs="Arial"/>
          <w:lang w:val="en-GB"/>
        </w:rPr>
        <w:t>to ensure that resources are effectively focussed in the right areas at the right time</w:t>
      </w:r>
      <w:r w:rsidR="001317DA">
        <w:rPr>
          <w:rFonts w:ascii="Arial" w:eastAsiaTheme="minorHAnsi" w:hAnsi="Arial" w:cs="Arial"/>
          <w:lang w:val="en-GB"/>
        </w:rPr>
        <w:t xml:space="preserve"> and that plans are adjusted to reflect these decisions which </w:t>
      </w:r>
      <w:r w:rsidR="003A35C3">
        <w:rPr>
          <w:rFonts w:ascii="Arial" w:eastAsiaTheme="minorHAnsi" w:hAnsi="Arial" w:cs="Arial"/>
          <w:lang w:val="en-GB"/>
        </w:rPr>
        <w:t>may</w:t>
      </w:r>
      <w:r w:rsidR="001317DA">
        <w:rPr>
          <w:rFonts w:ascii="Arial" w:eastAsiaTheme="minorHAnsi" w:hAnsi="Arial" w:cs="Arial"/>
          <w:lang w:val="en-GB"/>
        </w:rPr>
        <w:t xml:space="preserve"> result in </w:t>
      </w:r>
      <w:r w:rsidR="003A35C3">
        <w:rPr>
          <w:rFonts w:ascii="Arial" w:eastAsiaTheme="minorHAnsi" w:hAnsi="Arial" w:cs="Arial"/>
          <w:lang w:val="en-GB"/>
        </w:rPr>
        <w:t xml:space="preserve">‘non’ critical </w:t>
      </w:r>
      <w:r w:rsidR="001317DA">
        <w:rPr>
          <w:rFonts w:ascii="Arial" w:eastAsiaTheme="minorHAnsi" w:hAnsi="Arial" w:cs="Arial"/>
          <w:lang w:val="en-GB"/>
        </w:rPr>
        <w:t>activity being delayed, deferred or descoped</w:t>
      </w:r>
      <w:r w:rsidR="003A35C3">
        <w:rPr>
          <w:rFonts w:ascii="Arial" w:eastAsiaTheme="minorHAnsi" w:hAnsi="Arial" w:cs="Arial"/>
          <w:lang w:val="en-GB"/>
        </w:rPr>
        <w:t xml:space="preserve"> to enable priority work to continue to be delivered.</w:t>
      </w:r>
      <w:r w:rsidR="00565E96">
        <w:rPr>
          <w:rFonts w:ascii="Arial" w:eastAsiaTheme="minorHAnsi" w:hAnsi="Arial" w:cs="Arial"/>
          <w:lang w:val="en-GB"/>
        </w:rPr>
        <w:t xml:space="preserve"> </w:t>
      </w:r>
      <w:r w:rsidR="00E91EFD">
        <w:rPr>
          <w:rFonts w:ascii="Arial" w:eastAsiaTheme="minorHAnsi" w:hAnsi="Arial" w:cs="Arial"/>
          <w:lang w:val="en-GB"/>
        </w:rPr>
        <w:t xml:space="preserve">   </w:t>
      </w:r>
    </w:p>
    <w:p w14:paraId="23EC9912" w14:textId="59B4CC9A" w:rsidR="00C856A7" w:rsidRDefault="00C856A7" w:rsidP="00C856A7">
      <w:pPr>
        <w:pStyle w:val="ListParagraph"/>
        <w:rPr>
          <w:rFonts w:eastAsiaTheme="minorHAnsi" w:cs="Arial"/>
        </w:rPr>
      </w:pPr>
    </w:p>
    <w:p w14:paraId="728F959F" w14:textId="77777777" w:rsidR="00E3725C" w:rsidRDefault="00E3725C" w:rsidP="00E3725C">
      <w:pPr>
        <w:keepNext/>
        <w:keepLines/>
        <w:numPr>
          <w:ilvl w:val="0"/>
          <w:numId w:val="2"/>
        </w:numPr>
        <w:tabs>
          <w:tab w:val="left" w:pos="360"/>
        </w:tabs>
        <w:spacing w:before="240" w:after="240"/>
        <w:ind w:left="0" w:firstLine="0"/>
        <w:outlineLvl w:val="1"/>
        <w:rPr>
          <w:rFonts w:eastAsiaTheme="majorEastAsia" w:cstheme="majorBidi"/>
          <w:b/>
          <w:bCs/>
          <w:color w:val="003087"/>
          <w:sz w:val="32"/>
          <w:szCs w:val="26"/>
        </w:rPr>
      </w:pPr>
      <w:r>
        <w:rPr>
          <w:rFonts w:eastAsiaTheme="majorEastAsia" w:cstheme="majorBidi"/>
          <w:b/>
          <w:bCs/>
          <w:color w:val="003087"/>
          <w:sz w:val="32"/>
          <w:szCs w:val="26"/>
        </w:rPr>
        <w:t>Deliverables</w:t>
      </w:r>
    </w:p>
    <w:p w14:paraId="77A8FA24" w14:textId="474E6101" w:rsidR="00E3725C" w:rsidRPr="00C856A7" w:rsidRDefault="00E3725C" w:rsidP="00697A2E">
      <w:pPr>
        <w:pStyle w:val="ListParagraph"/>
        <w:numPr>
          <w:ilvl w:val="1"/>
          <w:numId w:val="6"/>
        </w:numPr>
        <w:spacing w:after="160" w:line="254" w:lineRule="auto"/>
        <w:ind w:left="900" w:hanging="540"/>
        <w:rPr>
          <w:rFonts w:cs="Arial"/>
          <w:bCs/>
          <w:sz w:val="24"/>
          <w:szCs w:val="24"/>
        </w:rPr>
      </w:pPr>
      <w:r w:rsidRPr="00C856A7">
        <w:rPr>
          <w:rFonts w:cs="Arial"/>
          <w:bCs/>
          <w:sz w:val="24"/>
          <w:szCs w:val="24"/>
        </w:rPr>
        <w:t>It is important to highlight that much transformational change has already been achieved by the HRA since its establishment through the delivery and implementation of the single approval process and the associated comprehensive organisational restructure that was required to enable this.</w:t>
      </w:r>
    </w:p>
    <w:p w14:paraId="289138A2" w14:textId="77777777" w:rsidR="00E3725C" w:rsidRDefault="00E3725C" w:rsidP="00E3725C">
      <w:pPr>
        <w:pStyle w:val="ListParagraph"/>
        <w:spacing w:line="254" w:lineRule="auto"/>
        <w:ind w:left="900"/>
        <w:rPr>
          <w:rFonts w:cs="Arial"/>
          <w:bCs/>
          <w:sz w:val="24"/>
          <w:szCs w:val="24"/>
        </w:rPr>
      </w:pPr>
    </w:p>
    <w:p w14:paraId="66365493" w14:textId="77777777" w:rsidR="00E3725C" w:rsidRDefault="00E3725C" w:rsidP="00E3725C">
      <w:pPr>
        <w:pStyle w:val="ListParagraph"/>
        <w:numPr>
          <w:ilvl w:val="1"/>
          <w:numId w:val="6"/>
        </w:numPr>
        <w:spacing w:after="160" w:line="254" w:lineRule="auto"/>
        <w:ind w:left="900" w:hanging="540"/>
        <w:rPr>
          <w:rFonts w:cs="Arial"/>
          <w:bCs/>
          <w:sz w:val="24"/>
          <w:szCs w:val="24"/>
        </w:rPr>
      </w:pPr>
      <w:r>
        <w:rPr>
          <w:rFonts w:cs="Arial"/>
          <w:bCs/>
          <w:sz w:val="24"/>
          <w:szCs w:val="24"/>
        </w:rPr>
        <w:t xml:space="preserve">In addition, significant improvements have been delivered to the HRA infrastructure including automation of many manual processes (expenses, mandatory training, annual leave), roll out of Windows 10, Office 365 (partial) and improvements to commercial / procurement processes. It is the combination of these improvements that has enabled the HRA to work in a radically different way during the COVID-19 pandemic and deliver such nationally important impact. </w:t>
      </w:r>
    </w:p>
    <w:p w14:paraId="4D576E4F" w14:textId="77777777" w:rsidR="00E3725C" w:rsidRDefault="00E3725C" w:rsidP="00E3725C">
      <w:pPr>
        <w:pStyle w:val="ListParagraph"/>
        <w:spacing w:line="254" w:lineRule="auto"/>
        <w:ind w:left="900"/>
        <w:rPr>
          <w:rFonts w:cs="Arial"/>
          <w:bCs/>
          <w:sz w:val="24"/>
          <w:szCs w:val="24"/>
        </w:rPr>
      </w:pPr>
    </w:p>
    <w:p w14:paraId="2E2F9D8C" w14:textId="77777777" w:rsidR="00E3725C" w:rsidRDefault="00E3725C" w:rsidP="00E3725C">
      <w:pPr>
        <w:pStyle w:val="ListParagraph"/>
        <w:numPr>
          <w:ilvl w:val="1"/>
          <w:numId w:val="6"/>
        </w:numPr>
        <w:spacing w:after="160" w:line="254" w:lineRule="auto"/>
        <w:ind w:left="900" w:hanging="540"/>
        <w:rPr>
          <w:rFonts w:cs="Arial"/>
          <w:bCs/>
          <w:sz w:val="24"/>
          <w:szCs w:val="24"/>
        </w:rPr>
      </w:pPr>
      <w:r>
        <w:rPr>
          <w:rFonts w:cs="Arial"/>
          <w:bCs/>
          <w:sz w:val="24"/>
          <w:szCs w:val="24"/>
        </w:rPr>
        <w:t xml:space="preserve">The delivery of these capabilities has set the foundation for the next stage which will have a clear focus on the </w:t>
      </w:r>
      <w:r w:rsidRPr="00204B9D">
        <w:rPr>
          <w:rFonts w:cs="Arial"/>
          <w:b/>
          <w:sz w:val="24"/>
          <w:szCs w:val="24"/>
        </w:rPr>
        <w:t>wide scale digitalisation of internal and external services.</w:t>
      </w:r>
      <w:r>
        <w:rPr>
          <w:rFonts w:cs="Arial"/>
          <w:bCs/>
          <w:sz w:val="24"/>
          <w:szCs w:val="24"/>
        </w:rPr>
        <w:t xml:space="preserve"> </w:t>
      </w:r>
      <w:r>
        <w:rPr>
          <w:rFonts w:cs="Arial"/>
          <w:sz w:val="24"/>
          <w:szCs w:val="24"/>
        </w:rPr>
        <w:t xml:space="preserve">The </w:t>
      </w:r>
      <w:r>
        <w:rPr>
          <w:rFonts w:cs="Arial"/>
          <w:sz w:val="24"/>
          <w:szCs w:val="24"/>
        </w:rPr>
        <w:lastRenderedPageBreak/>
        <w:t>HRA will use digital technologies as a strategic enabler, improving efficiency by significantly reducing the need for manual processing, enhancing insights by delivering new capabilities in data and analytics, and transforming the experience of stakeholders accessing our systems and processes</w:t>
      </w:r>
    </w:p>
    <w:p w14:paraId="73BBDD52" w14:textId="77777777" w:rsidR="00E3725C" w:rsidRDefault="00E3725C" w:rsidP="00E3725C">
      <w:pPr>
        <w:pStyle w:val="ListParagraph"/>
        <w:rPr>
          <w:rFonts w:cs="Arial"/>
          <w:bCs/>
          <w:sz w:val="24"/>
          <w:szCs w:val="24"/>
        </w:rPr>
      </w:pPr>
    </w:p>
    <w:p w14:paraId="39AC3C79" w14:textId="17EE4881" w:rsidR="00697A2E" w:rsidRDefault="00E3725C" w:rsidP="00E3725C">
      <w:pPr>
        <w:pStyle w:val="ListParagraph"/>
        <w:numPr>
          <w:ilvl w:val="1"/>
          <w:numId w:val="6"/>
        </w:numPr>
        <w:spacing w:after="160" w:line="254" w:lineRule="auto"/>
        <w:ind w:left="900" w:hanging="540"/>
        <w:rPr>
          <w:rFonts w:cs="Arial"/>
          <w:bCs/>
          <w:sz w:val="24"/>
          <w:szCs w:val="24"/>
        </w:rPr>
      </w:pPr>
      <w:r>
        <w:rPr>
          <w:rFonts w:cs="Arial"/>
          <w:bCs/>
          <w:sz w:val="24"/>
          <w:szCs w:val="24"/>
        </w:rPr>
        <w:t xml:space="preserve">The HRA </w:t>
      </w:r>
      <w:r w:rsidR="00697A2E">
        <w:rPr>
          <w:rFonts w:cs="Arial"/>
          <w:bCs/>
          <w:sz w:val="24"/>
          <w:szCs w:val="24"/>
        </w:rPr>
        <w:t xml:space="preserve">also intends to </w:t>
      </w:r>
      <w:r>
        <w:rPr>
          <w:rFonts w:cs="Arial"/>
          <w:bCs/>
          <w:sz w:val="24"/>
          <w:szCs w:val="24"/>
        </w:rPr>
        <w:t xml:space="preserve">deliver a reconfigured </w:t>
      </w:r>
      <w:r w:rsidR="007765F7">
        <w:rPr>
          <w:rFonts w:cs="Arial"/>
          <w:bCs/>
          <w:sz w:val="24"/>
          <w:szCs w:val="24"/>
        </w:rPr>
        <w:t xml:space="preserve">ethics </w:t>
      </w:r>
      <w:r>
        <w:rPr>
          <w:rFonts w:cs="Arial"/>
          <w:bCs/>
          <w:sz w:val="24"/>
          <w:szCs w:val="24"/>
        </w:rPr>
        <w:t>review model</w:t>
      </w:r>
      <w:r w:rsidR="00697A2E">
        <w:rPr>
          <w:rFonts w:cs="Arial"/>
          <w:bCs/>
          <w:sz w:val="24"/>
          <w:szCs w:val="24"/>
        </w:rPr>
        <w:t xml:space="preserve"> (funding permitting) and </w:t>
      </w:r>
      <w:r>
        <w:rPr>
          <w:rFonts w:cs="Arial"/>
          <w:bCs/>
          <w:sz w:val="24"/>
          <w:szCs w:val="24"/>
        </w:rPr>
        <w:t xml:space="preserve">a fit for purpose organisational structure and capability that will effectively deliver this new model and all our other services. </w:t>
      </w:r>
    </w:p>
    <w:p w14:paraId="1F98C33A" w14:textId="77777777" w:rsidR="00697A2E" w:rsidRPr="00697A2E" w:rsidRDefault="00697A2E" w:rsidP="00697A2E">
      <w:pPr>
        <w:pStyle w:val="ListParagraph"/>
        <w:rPr>
          <w:rFonts w:cs="Arial"/>
          <w:bCs/>
          <w:sz w:val="24"/>
          <w:szCs w:val="24"/>
        </w:rPr>
      </w:pPr>
    </w:p>
    <w:p w14:paraId="09268E59" w14:textId="34EE6BD9" w:rsidR="00E3725C" w:rsidRDefault="00E3725C" w:rsidP="00E3725C">
      <w:pPr>
        <w:pStyle w:val="ListParagraph"/>
        <w:numPr>
          <w:ilvl w:val="1"/>
          <w:numId w:val="6"/>
        </w:numPr>
        <w:spacing w:after="160" w:line="254" w:lineRule="auto"/>
        <w:ind w:left="900" w:hanging="540"/>
        <w:rPr>
          <w:rFonts w:cs="Arial"/>
          <w:bCs/>
          <w:sz w:val="24"/>
          <w:szCs w:val="24"/>
        </w:rPr>
      </w:pPr>
      <w:r>
        <w:rPr>
          <w:rFonts w:cs="Arial"/>
          <w:bCs/>
          <w:sz w:val="24"/>
          <w:szCs w:val="24"/>
        </w:rPr>
        <w:t>The estates and technology aspect of the programme will support our people to continue to work well, anywhere. All of this work will build on the significant lessons learnt and experience gained before and during the pandemic and continue to be driven by government priorities.</w:t>
      </w:r>
    </w:p>
    <w:p w14:paraId="272FB40A" w14:textId="77777777" w:rsidR="00E3725C" w:rsidRDefault="00E3725C" w:rsidP="00E3725C">
      <w:pPr>
        <w:pStyle w:val="ListParagraph"/>
        <w:ind w:left="900"/>
        <w:rPr>
          <w:rFonts w:cs="Arial"/>
          <w:bCs/>
          <w:sz w:val="24"/>
          <w:szCs w:val="24"/>
        </w:rPr>
      </w:pPr>
    </w:p>
    <w:p w14:paraId="6109479F" w14:textId="7A0E3F98" w:rsidR="00697A2E" w:rsidRPr="001770DD" w:rsidRDefault="00E3725C" w:rsidP="001770DD">
      <w:pPr>
        <w:pStyle w:val="ListParagraph"/>
        <w:numPr>
          <w:ilvl w:val="1"/>
          <w:numId w:val="2"/>
        </w:numPr>
        <w:spacing w:after="160" w:line="256" w:lineRule="auto"/>
        <w:ind w:left="900" w:hanging="540"/>
        <w:rPr>
          <w:rFonts w:cs="Arial"/>
          <w:bCs/>
          <w:sz w:val="24"/>
          <w:szCs w:val="24"/>
        </w:rPr>
      </w:pPr>
      <w:r w:rsidRPr="00697A2E">
        <w:rPr>
          <w:rFonts w:cs="Arial"/>
          <w:sz w:val="24"/>
          <w:szCs w:val="24"/>
        </w:rPr>
        <w:t xml:space="preserve">In terms of the detail, </w:t>
      </w:r>
      <w:r w:rsidR="00697A2E" w:rsidRPr="00697A2E">
        <w:rPr>
          <w:rFonts w:cs="Arial"/>
          <w:sz w:val="24"/>
          <w:szCs w:val="24"/>
        </w:rPr>
        <w:t>the plan at Annex A</w:t>
      </w:r>
      <w:r w:rsidRPr="00697A2E">
        <w:rPr>
          <w:rFonts w:cs="Arial"/>
          <w:sz w:val="24"/>
          <w:szCs w:val="24"/>
        </w:rPr>
        <w:t xml:space="preserve"> </w:t>
      </w:r>
      <w:r w:rsidR="00697A2E">
        <w:rPr>
          <w:rFonts w:cs="Arial"/>
          <w:sz w:val="24"/>
          <w:szCs w:val="24"/>
        </w:rPr>
        <w:t>Illustrates a ‘swim lane’ view of deliverables planned for 20/21 and early 21/22. Detailed planning continues which will result in a more sophisticated longer-term view  which will show how the timing of deliverables</w:t>
      </w:r>
      <w:r w:rsidR="001770DD">
        <w:rPr>
          <w:rFonts w:cs="Arial"/>
          <w:sz w:val="24"/>
          <w:szCs w:val="24"/>
        </w:rPr>
        <w:t xml:space="preserve"> take into account the work on prioritisation, dependencies and resourcing and will also offer a greater clarity of understanding on when benefits will be delivered.</w:t>
      </w:r>
    </w:p>
    <w:p w14:paraId="173456A8" w14:textId="77777777" w:rsidR="00E3725C" w:rsidRDefault="00E3725C" w:rsidP="00E3725C">
      <w:pPr>
        <w:keepNext/>
        <w:keepLines/>
        <w:numPr>
          <w:ilvl w:val="0"/>
          <w:numId w:val="2"/>
        </w:numPr>
        <w:tabs>
          <w:tab w:val="left" w:pos="360"/>
        </w:tabs>
        <w:spacing w:before="240" w:after="240"/>
        <w:ind w:left="0" w:firstLine="0"/>
        <w:outlineLvl w:val="1"/>
        <w:rPr>
          <w:rFonts w:eastAsiaTheme="majorEastAsia" w:cstheme="majorBidi"/>
          <w:b/>
          <w:bCs/>
          <w:color w:val="003087"/>
          <w:sz w:val="32"/>
          <w:szCs w:val="26"/>
        </w:rPr>
      </w:pPr>
      <w:r>
        <w:rPr>
          <w:rFonts w:eastAsiaTheme="majorEastAsia" w:cstheme="majorBidi"/>
          <w:b/>
          <w:bCs/>
          <w:color w:val="003087"/>
          <w:sz w:val="32"/>
          <w:szCs w:val="26"/>
        </w:rPr>
        <w:t>Benefits</w:t>
      </w:r>
    </w:p>
    <w:p w14:paraId="1AF31CDC" w14:textId="713BC2F1" w:rsidR="001317DA" w:rsidRDefault="00651563" w:rsidP="00651563">
      <w:pPr>
        <w:pStyle w:val="ListParagraph"/>
        <w:numPr>
          <w:ilvl w:val="1"/>
          <w:numId w:val="2"/>
        </w:numPr>
        <w:spacing w:after="160" w:line="256" w:lineRule="auto"/>
        <w:ind w:left="900" w:hanging="540"/>
        <w:rPr>
          <w:rFonts w:cs="Arial"/>
          <w:sz w:val="24"/>
          <w:szCs w:val="24"/>
        </w:rPr>
      </w:pPr>
      <w:r>
        <w:rPr>
          <w:rFonts w:cs="Arial"/>
          <w:sz w:val="24"/>
          <w:szCs w:val="24"/>
        </w:rPr>
        <w:t>The ‘point’ of all this work is to deliver tangible and measurable benefits</w:t>
      </w:r>
      <w:r w:rsidR="001317DA">
        <w:rPr>
          <w:rFonts w:cs="Arial"/>
          <w:sz w:val="24"/>
          <w:szCs w:val="24"/>
        </w:rPr>
        <w:t xml:space="preserve"> (a number of benefit headlines were picked out in paras 1.4 and 1.5). </w:t>
      </w:r>
      <w:r>
        <w:rPr>
          <w:rFonts w:cs="Arial"/>
          <w:sz w:val="24"/>
          <w:szCs w:val="24"/>
        </w:rPr>
        <w:t xml:space="preserve"> </w:t>
      </w:r>
    </w:p>
    <w:p w14:paraId="1CB27F8E" w14:textId="77777777" w:rsidR="001317DA" w:rsidRDefault="001317DA" w:rsidP="001317DA">
      <w:pPr>
        <w:pStyle w:val="ListParagraph"/>
        <w:spacing w:after="160" w:line="256" w:lineRule="auto"/>
        <w:ind w:left="900"/>
        <w:rPr>
          <w:rFonts w:cs="Arial"/>
          <w:sz w:val="24"/>
          <w:szCs w:val="24"/>
        </w:rPr>
      </w:pPr>
    </w:p>
    <w:p w14:paraId="54D1848D" w14:textId="1639718D" w:rsidR="00651563" w:rsidRDefault="001317DA" w:rsidP="00651563">
      <w:pPr>
        <w:pStyle w:val="ListParagraph"/>
        <w:numPr>
          <w:ilvl w:val="1"/>
          <w:numId w:val="2"/>
        </w:numPr>
        <w:spacing w:after="160" w:line="256" w:lineRule="auto"/>
        <w:ind w:left="900" w:hanging="540"/>
        <w:rPr>
          <w:rFonts w:cs="Arial"/>
          <w:sz w:val="24"/>
          <w:szCs w:val="24"/>
        </w:rPr>
      </w:pPr>
      <w:r>
        <w:rPr>
          <w:rFonts w:cs="Arial"/>
          <w:sz w:val="24"/>
          <w:szCs w:val="24"/>
        </w:rPr>
        <w:t>Behind these headlines s</w:t>
      </w:r>
      <w:r w:rsidR="00E3725C" w:rsidRPr="00651563">
        <w:rPr>
          <w:rFonts w:cs="Arial"/>
          <w:sz w:val="24"/>
          <w:szCs w:val="24"/>
        </w:rPr>
        <w:t xml:space="preserve">ignificant work has already been carried out to produce </w:t>
      </w:r>
      <w:r>
        <w:rPr>
          <w:rFonts w:cs="Arial"/>
          <w:sz w:val="24"/>
          <w:szCs w:val="24"/>
        </w:rPr>
        <w:t xml:space="preserve">associated </w:t>
      </w:r>
      <w:r w:rsidR="00E3725C" w:rsidRPr="00651563">
        <w:rPr>
          <w:rFonts w:cs="Arial"/>
          <w:sz w:val="24"/>
          <w:szCs w:val="24"/>
        </w:rPr>
        <w:t xml:space="preserve">detailed benefit profiles </w:t>
      </w:r>
      <w:r>
        <w:rPr>
          <w:rFonts w:cs="Arial"/>
          <w:sz w:val="24"/>
          <w:szCs w:val="24"/>
        </w:rPr>
        <w:t>for</w:t>
      </w:r>
      <w:r w:rsidR="00E3725C" w:rsidRPr="00651563">
        <w:rPr>
          <w:rFonts w:cs="Arial"/>
          <w:sz w:val="24"/>
          <w:szCs w:val="24"/>
        </w:rPr>
        <w:t xml:space="preserve"> each of the programmes and this is being translated into a benefit delivery plan. </w:t>
      </w:r>
    </w:p>
    <w:p w14:paraId="4A47F170" w14:textId="77777777" w:rsidR="00651563" w:rsidRDefault="00651563" w:rsidP="00651563">
      <w:pPr>
        <w:pStyle w:val="ListParagraph"/>
        <w:spacing w:after="160" w:line="256" w:lineRule="auto"/>
        <w:ind w:left="900"/>
        <w:rPr>
          <w:rFonts w:cs="Arial"/>
          <w:sz w:val="24"/>
          <w:szCs w:val="24"/>
        </w:rPr>
      </w:pPr>
    </w:p>
    <w:p w14:paraId="20A92582" w14:textId="6ED50D42" w:rsidR="00E3725C" w:rsidRPr="00651563" w:rsidRDefault="001317DA" w:rsidP="00651563">
      <w:pPr>
        <w:pStyle w:val="ListParagraph"/>
        <w:numPr>
          <w:ilvl w:val="1"/>
          <w:numId w:val="2"/>
        </w:numPr>
        <w:spacing w:after="160" w:line="256" w:lineRule="auto"/>
        <w:ind w:left="900" w:hanging="540"/>
        <w:rPr>
          <w:rFonts w:cs="Arial"/>
          <w:sz w:val="24"/>
          <w:szCs w:val="24"/>
        </w:rPr>
      </w:pPr>
      <w:r>
        <w:rPr>
          <w:rFonts w:cs="Arial"/>
          <w:sz w:val="24"/>
          <w:szCs w:val="24"/>
        </w:rPr>
        <w:t xml:space="preserve">To offer the board an illustration of how this work will be translated into a plan, </w:t>
      </w:r>
      <w:r w:rsidR="00E3725C" w:rsidRPr="00651563">
        <w:rPr>
          <w:rFonts w:cs="Arial"/>
          <w:sz w:val="24"/>
          <w:szCs w:val="24"/>
        </w:rPr>
        <w:t xml:space="preserve">Annex </w:t>
      </w:r>
      <w:r w:rsidR="001770DD" w:rsidRPr="00651563">
        <w:rPr>
          <w:rFonts w:cs="Arial"/>
          <w:sz w:val="24"/>
          <w:szCs w:val="24"/>
        </w:rPr>
        <w:t xml:space="preserve">B </w:t>
      </w:r>
      <w:r w:rsidR="00E3725C" w:rsidRPr="00651563">
        <w:rPr>
          <w:rFonts w:cs="Arial"/>
          <w:sz w:val="24"/>
          <w:szCs w:val="24"/>
        </w:rPr>
        <w:t>offers an example</w:t>
      </w:r>
      <w:r>
        <w:rPr>
          <w:rFonts w:cs="Arial"/>
          <w:sz w:val="24"/>
          <w:szCs w:val="24"/>
        </w:rPr>
        <w:t xml:space="preserve">, </w:t>
      </w:r>
      <w:r w:rsidR="00E3725C" w:rsidRPr="00651563">
        <w:rPr>
          <w:rFonts w:cs="Arial"/>
          <w:sz w:val="24"/>
          <w:szCs w:val="24"/>
        </w:rPr>
        <w:t>using the RSP</w:t>
      </w:r>
      <w:r w:rsidR="00E3725C" w:rsidRPr="00651563">
        <w:rPr>
          <w:rFonts w:cs="Arial"/>
          <w:szCs w:val="24"/>
        </w:rPr>
        <w:t>.</w:t>
      </w:r>
    </w:p>
    <w:p w14:paraId="1410AA92" w14:textId="77777777" w:rsidR="00E3725C" w:rsidRDefault="00E3725C" w:rsidP="00E3725C">
      <w:pPr>
        <w:pStyle w:val="ListParagraph"/>
        <w:ind w:left="900"/>
        <w:rPr>
          <w:rFonts w:cs="Arial"/>
          <w:sz w:val="24"/>
          <w:szCs w:val="24"/>
        </w:rPr>
      </w:pPr>
    </w:p>
    <w:p w14:paraId="5E6501FE" w14:textId="2EB248F0" w:rsidR="00697A2E" w:rsidRPr="00697A2E" w:rsidRDefault="00697A2E" w:rsidP="00697A2E">
      <w:pPr>
        <w:keepNext/>
        <w:keepLines/>
        <w:numPr>
          <w:ilvl w:val="0"/>
          <w:numId w:val="2"/>
        </w:numPr>
        <w:tabs>
          <w:tab w:val="left" w:pos="360"/>
        </w:tabs>
        <w:spacing w:before="240" w:after="240"/>
        <w:ind w:left="0" w:firstLine="0"/>
        <w:outlineLvl w:val="1"/>
        <w:rPr>
          <w:rFonts w:eastAsiaTheme="majorEastAsia" w:cstheme="majorBidi"/>
          <w:b/>
          <w:bCs/>
          <w:color w:val="003087"/>
          <w:sz w:val="32"/>
          <w:szCs w:val="26"/>
        </w:rPr>
      </w:pPr>
      <w:r w:rsidRPr="00697A2E">
        <w:rPr>
          <w:rFonts w:eastAsiaTheme="majorEastAsia" w:cstheme="majorBidi"/>
          <w:b/>
          <w:bCs/>
          <w:color w:val="003087"/>
          <w:sz w:val="32"/>
          <w:szCs w:val="26"/>
        </w:rPr>
        <w:t>Conclusion</w:t>
      </w:r>
    </w:p>
    <w:p w14:paraId="1998C9D5" w14:textId="6B672621" w:rsidR="00D05DB5" w:rsidRPr="00204B9D" w:rsidRDefault="00FB3D40" w:rsidP="00D05DB5">
      <w:pPr>
        <w:pStyle w:val="ListParagraph"/>
        <w:numPr>
          <w:ilvl w:val="1"/>
          <w:numId w:val="2"/>
        </w:numPr>
        <w:tabs>
          <w:tab w:val="left" w:pos="900"/>
        </w:tabs>
        <w:spacing w:after="200" w:line="276" w:lineRule="auto"/>
        <w:ind w:left="900" w:hanging="540"/>
        <w:rPr>
          <w:rFonts w:cs="Arial"/>
          <w:sz w:val="24"/>
          <w:szCs w:val="24"/>
        </w:rPr>
      </w:pPr>
      <w:r w:rsidRPr="00204B9D">
        <w:rPr>
          <w:rFonts w:cs="Arial"/>
          <w:sz w:val="24"/>
          <w:szCs w:val="24"/>
        </w:rPr>
        <w:t>Although there remain many significant challenges to the successful delivery of the portfolio, strong foundations are in place. Key programmes of work have been identified and scoped, experienced PM resource has been engaged</w:t>
      </w:r>
      <w:r w:rsidR="00204B9D">
        <w:rPr>
          <w:rFonts w:cs="Arial"/>
          <w:sz w:val="24"/>
          <w:szCs w:val="24"/>
        </w:rPr>
        <w:t>, the PMO offers a robust co-ordinating service</w:t>
      </w:r>
      <w:r w:rsidRPr="00204B9D">
        <w:rPr>
          <w:rFonts w:cs="Arial"/>
          <w:sz w:val="24"/>
          <w:szCs w:val="24"/>
        </w:rPr>
        <w:t xml:space="preserve"> and </w:t>
      </w:r>
      <w:r w:rsidR="00204B9D">
        <w:rPr>
          <w:rFonts w:cs="Arial"/>
          <w:sz w:val="24"/>
          <w:szCs w:val="24"/>
        </w:rPr>
        <w:t xml:space="preserve">a </w:t>
      </w:r>
      <w:r w:rsidRPr="00204B9D">
        <w:rPr>
          <w:rFonts w:cs="Arial"/>
          <w:sz w:val="24"/>
          <w:szCs w:val="24"/>
        </w:rPr>
        <w:t>strong governance</w:t>
      </w:r>
      <w:r w:rsidR="00204B9D">
        <w:rPr>
          <w:rFonts w:cs="Arial"/>
          <w:sz w:val="24"/>
          <w:szCs w:val="24"/>
        </w:rPr>
        <w:t xml:space="preserve"> structure </w:t>
      </w:r>
      <w:r w:rsidRPr="00204B9D">
        <w:rPr>
          <w:rFonts w:cs="Arial"/>
          <w:sz w:val="24"/>
          <w:szCs w:val="24"/>
        </w:rPr>
        <w:t xml:space="preserve">is in place. </w:t>
      </w:r>
    </w:p>
    <w:p w14:paraId="27E6EC36" w14:textId="77777777" w:rsidR="000B6471" w:rsidRPr="00204B9D" w:rsidRDefault="000B6471" w:rsidP="000B6471">
      <w:pPr>
        <w:pStyle w:val="ListParagraph"/>
        <w:tabs>
          <w:tab w:val="left" w:pos="900"/>
        </w:tabs>
        <w:spacing w:after="200" w:line="276" w:lineRule="auto"/>
        <w:ind w:left="900"/>
        <w:rPr>
          <w:rFonts w:cs="Arial"/>
          <w:sz w:val="24"/>
          <w:szCs w:val="24"/>
        </w:rPr>
      </w:pPr>
    </w:p>
    <w:p w14:paraId="536549A9" w14:textId="4C47CBD9" w:rsidR="000B6471" w:rsidRPr="00204B9D" w:rsidRDefault="00032F9F" w:rsidP="000B6471">
      <w:pPr>
        <w:pStyle w:val="ListParagraph"/>
        <w:numPr>
          <w:ilvl w:val="1"/>
          <w:numId w:val="2"/>
        </w:numPr>
        <w:tabs>
          <w:tab w:val="left" w:pos="900"/>
        </w:tabs>
        <w:spacing w:after="200" w:line="276" w:lineRule="auto"/>
        <w:ind w:left="900" w:hanging="540"/>
        <w:rPr>
          <w:rFonts w:cs="Arial"/>
          <w:sz w:val="24"/>
          <w:szCs w:val="24"/>
        </w:rPr>
      </w:pPr>
      <w:r w:rsidRPr="00204B9D">
        <w:rPr>
          <w:rFonts w:cs="Arial"/>
          <w:sz w:val="24"/>
          <w:szCs w:val="24"/>
        </w:rPr>
        <w:t>As this paper highlights the c</w:t>
      </w:r>
      <w:r w:rsidR="000B6471" w:rsidRPr="00204B9D">
        <w:rPr>
          <w:rFonts w:cs="Arial"/>
          <w:sz w:val="24"/>
          <w:szCs w:val="24"/>
        </w:rPr>
        <w:t>urrent work focusses on prioritisation and dependency mapping to ensure that delivery priorities are identified and that there is a clear critical path to those priorities. This work will be completed before the end of the calendar year and will be used as the basis for future reports to the board.</w:t>
      </w:r>
    </w:p>
    <w:p w14:paraId="12DE499F" w14:textId="77777777" w:rsidR="00032F9F" w:rsidRPr="00204B9D" w:rsidRDefault="00032F9F" w:rsidP="00032F9F">
      <w:pPr>
        <w:pStyle w:val="ListParagraph"/>
        <w:rPr>
          <w:rFonts w:cs="Arial"/>
          <w:sz w:val="24"/>
          <w:szCs w:val="24"/>
        </w:rPr>
      </w:pPr>
    </w:p>
    <w:p w14:paraId="468BD1B9" w14:textId="5D0BA75F" w:rsidR="007D3323" w:rsidRPr="00204B9D" w:rsidRDefault="00032F9F" w:rsidP="00032F9F">
      <w:pPr>
        <w:pStyle w:val="ListParagraph"/>
        <w:numPr>
          <w:ilvl w:val="1"/>
          <w:numId w:val="2"/>
        </w:numPr>
        <w:tabs>
          <w:tab w:val="left" w:pos="900"/>
        </w:tabs>
        <w:spacing w:after="200" w:line="276" w:lineRule="auto"/>
        <w:ind w:left="900" w:hanging="540"/>
        <w:rPr>
          <w:rFonts w:cs="Arial"/>
          <w:sz w:val="24"/>
          <w:szCs w:val="24"/>
        </w:rPr>
      </w:pPr>
      <w:r w:rsidRPr="00204B9D">
        <w:rPr>
          <w:rFonts w:cs="Arial"/>
          <w:sz w:val="24"/>
          <w:szCs w:val="24"/>
        </w:rPr>
        <w:t>The delivery of the Transformation programme is ambitious and challenging, however if the necessary resourcing is made available</w:t>
      </w:r>
      <w:r w:rsidR="00204B9D">
        <w:rPr>
          <w:rFonts w:cs="Arial"/>
          <w:sz w:val="24"/>
          <w:szCs w:val="24"/>
        </w:rPr>
        <w:t xml:space="preserve"> through a positive Comprehensive Spending  Review outcome, </w:t>
      </w:r>
      <w:r w:rsidRPr="00204B9D">
        <w:rPr>
          <w:rFonts w:cs="Arial"/>
          <w:sz w:val="24"/>
          <w:szCs w:val="24"/>
        </w:rPr>
        <w:t>It remains achievable over the next 3 years.</w:t>
      </w:r>
    </w:p>
    <w:sectPr w:rsidR="007D3323" w:rsidRPr="00204B9D" w:rsidSect="005B3EC6">
      <w:footerReference w:type="default" r:id="rId12"/>
      <w:headerReference w:type="first" r:id="rId13"/>
      <w:footerReference w:type="first" r:id="rId14"/>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9322D" w14:textId="77777777" w:rsidR="005C4015" w:rsidRDefault="005C4015" w:rsidP="00D478D4">
      <w:r>
        <w:separator/>
      </w:r>
    </w:p>
  </w:endnote>
  <w:endnote w:type="continuationSeparator" w:id="0">
    <w:p w14:paraId="2A9B05D9" w14:textId="77777777" w:rsidR="005C4015" w:rsidRDefault="005C4015"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275639"/>
      <w:docPartObj>
        <w:docPartGallery w:val="Page Numbers (Top of Page)"/>
        <w:docPartUnique/>
      </w:docPartObj>
    </w:sdtPr>
    <w:sdtEndPr/>
    <w:sdtContent>
      <w:p w14:paraId="6B853E5F" w14:textId="77777777" w:rsidR="00697A2E" w:rsidRPr="00D2223F" w:rsidRDefault="00697A2E"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71B6C46F" w14:textId="16C3437E" w:rsidR="00697A2E" w:rsidRPr="00D2223F" w:rsidRDefault="002D27C9" w:rsidP="007D3323">
        <w:pPr>
          <w:pStyle w:val="Footer"/>
        </w:pPr>
      </w:p>
    </w:sdtContent>
  </w:sdt>
  <w:p w14:paraId="0B9AD555" w14:textId="77777777" w:rsidR="00697A2E" w:rsidRDefault="00697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03235"/>
      <w:docPartObj>
        <w:docPartGallery w:val="Page Numbers (Bottom of Page)"/>
        <w:docPartUnique/>
      </w:docPartObj>
    </w:sdtPr>
    <w:sdtEndPr/>
    <w:sdtContent>
      <w:sdt>
        <w:sdtPr>
          <w:id w:val="-1769616900"/>
          <w:docPartObj>
            <w:docPartGallery w:val="Page Numbers (Top of Page)"/>
            <w:docPartUnique/>
          </w:docPartObj>
        </w:sdtPr>
        <w:sdtEndPr/>
        <w:sdtContent>
          <w:p w14:paraId="3BAC9E36" w14:textId="77777777" w:rsidR="00697A2E" w:rsidRPr="00D2223F" w:rsidRDefault="00697A2E">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p w14:paraId="683E5CD9" w14:textId="2A5C82D7" w:rsidR="00697A2E" w:rsidRDefault="002D27C9" w:rsidP="00D2223F">
            <w:pPr>
              <w:pStyle w:val="Footer"/>
            </w:pPr>
          </w:p>
        </w:sdtContent>
      </w:sdt>
    </w:sdtContent>
  </w:sdt>
  <w:p w14:paraId="3B7CEBDD" w14:textId="77777777" w:rsidR="00697A2E" w:rsidRPr="00D2223F" w:rsidRDefault="00697A2E"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4CBD" w14:textId="77777777" w:rsidR="005C4015" w:rsidRDefault="005C4015" w:rsidP="00D478D4">
      <w:r>
        <w:separator/>
      </w:r>
    </w:p>
  </w:footnote>
  <w:footnote w:type="continuationSeparator" w:id="0">
    <w:p w14:paraId="531EB37F" w14:textId="77777777" w:rsidR="005C4015" w:rsidRDefault="005C4015" w:rsidP="00D478D4">
      <w:r>
        <w:continuationSeparator/>
      </w:r>
    </w:p>
  </w:footnote>
  <w:footnote w:id="1">
    <w:p w14:paraId="0E268DFF" w14:textId="77777777" w:rsidR="00697A2E" w:rsidRDefault="00697A2E" w:rsidP="00EB7546">
      <w:pPr>
        <w:pStyle w:val="FootnoteText"/>
      </w:pPr>
      <w:r>
        <w:rPr>
          <w:rStyle w:val="FootnoteReference"/>
        </w:rPr>
        <w:footnoteRef/>
      </w:r>
      <w:r>
        <w:t xml:space="preserve"> Reduced researcher time - achieving efficiencies of up to 0.06% of the total value of research to the UK economy</w:t>
      </w:r>
    </w:p>
    <w:p w14:paraId="66ADF87D" w14:textId="0EC044E3" w:rsidR="00697A2E" w:rsidRDefault="00697A2E" w:rsidP="00EB7546">
      <w:pPr>
        <w:pStyle w:val="FootnoteText"/>
      </w:pPr>
      <w:r>
        <w:t>= 5.94m p.a. (Assuming the total value of the UK research sector is £9.5 billion</w:t>
      </w:r>
    </w:p>
    <w:p w14:paraId="0B46A69D" w14:textId="18150D30" w:rsidR="00697A2E" w:rsidRDefault="00697A2E" w:rsidP="00EB75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E97E" w14:textId="77777777" w:rsidR="00697A2E" w:rsidRDefault="00697A2E">
    <w:pPr>
      <w:pStyle w:val="Header"/>
    </w:pPr>
    <w:r>
      <w:rPr>
        <w:noProof/>
        <w:lang w:eastAsia="en-GB"/>
      </w:rPr>
      <w:drawing>
        <wp:anchor distT="0" distB="0" distL="114300" distR="114300" simplePos="0" relativeHeight="251661312" behindDoc="0" locked="0" layoutInCell="1" allowOverlap="1" wp14:anchorId="4EC65AC9" wp14:editId="5802768A">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323D"/>
    <w:multiLevelType w:val="hybridMultilevel"/>
    <w:tmpl w:val="6208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9242C"/>
    <w:multiLevelType w:val="hybridMultilevel"/>
    <w:tmpl w:val="E55697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B011C3C"/>
    <w:multiLevelType w:val="hybridMultilevel"/>
    <w:tmpl w:val="D5CA5C2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515C9A"/>
    <w:multiLevelType w:val="multilevel"/>
    <w:tmpl w:val="A2EE2AE6"/>
    <w:lvl w:ilvl="0">
      <w:start w:val="1"/>
      <w:numFmt w:val="decimal"/>
      <w:lvlText w:val="%1."/>
      <w:lvlJc w:val="left"/>
      <w:pPr>
        <w:ind w:left="720" w:hanging="360"/>
      </w:pPr>
    </w:lvl>
    <w:lvl w:ilvl="1">
      <w:start w:val="1"/>
      <w:numFmt w:val="decimal"/>
      <w:isLgl/>
      <w:lvlText w:val="%1.%2."/>
      <w:lvlJc w:val="left"/>
      <w:pPr>
        <w:ind w:left="720" w:hanging="360"/>
      </w:pPr>
      <w:rPr>
        <w:b w:val="0"/>
        <w:bCs w:val="0"/>
        <w:i w:val="0"/>
        <w:iCs w:val="0"/>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462630F"/>
    <w:multiLevelType w:val="multilevel"/>
    <w:tmpl w:val="5936F512"/>
    <w:lvl w:ilvl="0">
      <w:start w:val="1"/>
      <w:numFmt w:val="decimal"/>
      <w:lvlText w:val="%1."/>
      <w:lvlJc w:val="left"/>
      <w:pPr>
        <w:ind w:left="720" w:hanging="360"/>
      </w:pPr>
    </w:lvl>
    <w:lvl w:ilvl="1">
      <w:start w:val="1"/>
      <w:numFmt w:val="decimal"/>
      <w:isLgl/>
      <w:lvlText w:val="%1.%2."/>
      <w:lvlJc w:val="left"/>
      <w:pPr>
        <w:ind w:left="720" w:hanging="360"/>
      </w:pPr>
      <w:rPr>
        <w:b w:val="0"/>
        <w:bCs w:val="0"/>
        <w:i w:val="0"/>
        <w:iCs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CF0313C"/>
    <w:multiLevelType w:val="hybridMultilevel"/>
    <w:tmpl w:val="764259DE"/>
    <w:lvl w:ilvl="0" w:tplc="FF9453DA">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CF3015"/>
    <w:multiLevelType w:val="hybridMultilevel"/>
    <w:tmpl w:val="51E89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3298A"/>
    <w:rsid w:val="00032F9F"/>
    <w:rsid w:val="00056B25"/>
    <w:rsid w:val="000B6471"/>
    <w:rsid w:val="000D0705"/>
    <w:rsid w:val="000E205B"/>
    <w:rsid w:val="000E2D6F"/>
    <w:rsid w:val="00100DDD"/>
    <w:rsid w:val="001317DA"/>
    <w:rsid w:val="00155BAF"/>
    <w:rsid w:val="001770DD"/>
    <w:rsid w:val="00177B6F"/>
    <w:rsid w:val="001834D4"/>
    <w:rsid w:val="001E4890"/>
    <w:rsid w:val="00204B9D"/>
    <w:rsid w:val="00280398"/>
    <w:rsid w:val="002B2246"/>
    <w:rsid w:val="002B6AE9"/>
    <w:rsid w:val="002D27C9"/>
    <w:rsid w:val="002E50C3"/>
    <w:rsid w:val="003005B2"/>
    <w:rsid w:val="00303735"/>
    <w:rsid w:val="003209A8"/>
    <w:rsid w:val="003A35C3"/>
    <w:rsid w:val="003F0BB5"/>
    <w:rsid w:val="00407CA2"/>
    <w:rsid w:val="004370FF"/>
    <w:rsid w:val="004722BF"/>
    <w:rsid w:val="00490DA4"/>
    <w:rsid w:val="004B1275"/>
    <w:rsid w:val="004B2573"/>
    <w:rsid w:val="004C2EDA"/>
    <w:rsid w:val="004E4802"/>
    <w:rsid w:val="00510362"/>
    <w:rsid w:val="0053175E"/>
    <w:rsid w:val="00565E96"/>
    <w:rsid w:val="00566BC5"/>
    <w:rsid w:val="005B3EC6"/>
    <w:rsid w:val="005C10B2"/>
    <w:rsid w:val="005C4015"/>
    <w:rsid w:val="005D0D60"/>
    <w:rsid w:val="00636494"/>
    <w:rsid w:val="00636695"/>
    <w:rsid w:val="00651563"/>
    <w:rsid w:val="0068386A"/>
    <w:rsid w:val="006972CC"/>
    <w:rsid w:val="00697A2E"/>
    <w:rsid w:val="006C714F"/>
    <w:rsid w:val="007151BA"/>
    <w:rsid w:val="00734280"/>
    <w:rsid w:val="0074354E"/>
    <w:rsid w:val="00763D7F"/>
    <w:rsid w:val="0076479E"/>
    <w:rsid w:val="007765F7"/>
    <w:rsid w:val="007A05B3"/>
    <w:rsid w:val="007A3507"/>
    <w:rsid w:val="007D3323"/>
    <w:rsid w:val="007E68AA"/>
    <w:rsid w:val="007F45C9"/>
    <w:rsid w:val="00853FCE"/>
    <w:rsid w:val="0087402B"/>
    <w:rsid w:val="008B1A7B"/>
    <w:rsid w:val="008C1C10"/>
    <w:rsid w:val="009201F7"/>
    <w:rsid w:val="00942C40"/>
    <w:rsid w:val="00975E16"/>
    <w:rsid w:val="009A5E60"/>
    <w:rsid w:val="00A23513"/>
    <w:rsid w:val="00A27D81"/>
    <w:rsid w:val="00A5784C"/>
    <w:rsid w:val="00A65FD2"/>
    <w:rsid w:val="00AB4656"/>
    <w:rsid w:val="00AC6298"/>
    <w:rsid w:val="00AE7C6E"/>
    <w:rsid w:val="00B05C3F"/>
    <w:rsid w:val="00B55F0E"/>
    <w:rsid w:val="00B56CD6"/>
    <w:rsid w:val="00BF5CD7"/>
    <w:rsid w:val="00C17CC5"/>
    <w:rsid w:val="00C7393C"/>
    <w:rsid w:val="00C75F27"/>
    <w:rsid w:val="00C856A7"/>
    <w:rsid w:val="00CD177E"/>
    <w:rsid w:val="00CE6F09"/>
    <w:rsid w:val="00D05DB5"/>
    <w:rsid w:val="00D2223F"/>
    <w:rsid w:val="00D25324"/>
    <w:rsid w:val="00D32F84"/>
    <w:rsid w:val="00D4410F"/>
    <w:rsid w:val="00D46870"/>
    <w:rsid w:val="00D478D4"/>
    <w:rsid w:val="00D52E1B"/>
    <w:rsid w:val="00DA12D3"/>
    <w:rsid w:val="00DB526D"/>
    <w:rsid w:val="00E3725C"/>
    <w:rsid w:val="00E53F9E"/>
    <w:rsid w:val="00E64D59"/>
    <w:rsid w:val="00E66AA4"/>
    <w:rsid w:val="00E84755"/>
    <w:rsid w:val="00E91EFD"/>
    <w:rsid w:val="00EB7546"/>
    <w:rsid w:val="00EE2F55"/>
    <w:rsid w:val="00F15CF4"/>
    <w:rsid w:val="00F238F3"/>
    <w:rsid w:val="00F44BE3"/>
    <w:rsid w:val="00F750F0"/>
    <w:rsid w:val="00FA0F17"/>
    <w:rsid w:val="00FB3D40"/>
    <w:rsid w:val="00FB7DD2"/>
    <w:rsid w:val="00FD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31778"/>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3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paragraph" w:styleId="NormalWeb">
    <w:name w:val="Normal (Web)"/>
    <w:basedOn w:val="Normal"/>
    <w:uiPriority w:val="99"/>
    <w:semiHidden/>
    <w:unhideWhenUsed/>
    <w:rsid w:val="00E3725C"/>
    <w:pPr>
      <w:spacing w:before="100" w:beforeAutospacing="1" w:after="100" w:afterAutospacing="1"/>
    </w:pPr>
    <w:rPr>
      <w:rFonts w:ascii="Times New Roman" w:eastAsia="Times New Roman" w:hAnsi="Times New Roman" w:cs="Times New Roman"/>
      <w:szCs w:val="24"/>
      <w:lang w:val="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E3725C"/>
    <w:rPr>
      <w:rFonts w:ascii="Arial" w:eastAsia="Calibri" w:hAnsi="Arial" w:cs="Times New Roman"/>
    </w:rPr>
  </w:style>
  <w:style w:type="paragraph" w:customStyle="1" w:styleId="yiv3309031056msonormal">
    <w:name w:val="yiv3309031056msonormal"/>
    <w:basedOn w:val="Normal"/>
    <w:uiPriority w:val="99"/>
    <w:rsid w:val="00E3725C"/>
    <w:pPr>
      <w:spacing w:before="100" w:beforeAutospacing="1" w:after="100" w:afterAutospacing="1"/>
    </w:pPr>
    <w:rPr>
      <w:rFonts w:ascii="Times New Roman" w:eastAsia="Times New Roman" w:hAnsi="Times New Roman" w:cs="Times New Roman"/>
      <w:szCs w:val="24"/>
      <w:lang w:val="en-US"/>
    </w:rPr>
  </w:style>
  <w:style w:type="paragraph" w:styleId="FootnoteText">
    <w:name w:val="footnote text"/>
    <w:basedOn w:val="Normal"/>
    <w:link w:val="FootnoteTextChar"/>
    <w:uiPriority w:val="99"/>
    <w:semiHidden/>
    <w:unhideWhenUsed/>
    <w:rsid w:val="00EB7546"/>
    <w:rPr>
      <w:sz w:val="20"/>
      <w:szCs w:val="20"/>
    </w:rPr>
  </w:style>
  <w:style w:type="character" w:customStyle="1" w:styleId="FootnoteTextChar">
    <w:name w:val="Footnote Text Char"/>
    <w:basedOn w:val="DefaultParagraphFont"/>
    <w:link w:val="FootnoteText"/>
    <w:uiPriority w:val="99"/>
    <w:semiHidden/>
    <w:rsid w:val="00EB7546"/>
    <w:rPr>
      <w:rFonts w:ascii="Arial" w:hAnsi="Arial"/>
      <w:sz w:val="20"/>
      <w:szCs w:val="20"/>
    </w:rPr>
  </w:style>
  <w:style w:type="character" w:styleId="FootnoteReference">
    <w:name w:val="footnote reference"/>
    <w:basedOn w:val="DefaultParagraphFont"/>
    <w:uiPriority w:val="99"/>
    <w:semiHidden/>
    <w:unhideWhenUsed/>
    <w:rsid w:val="00EB75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376465">
      <w:bodyDiv w:val="1"/>
      <w:marLeft w:val="0"/>
      <w:marRight w:val="0"/>
      <w:marTop w:val="0"/>
      <w:marBottom w:val="0"/>
      <w:divBdr>
        <w:top w:val="none" w:sz="0" w:space="0" w:color="auto"/>
        <w:left w:val="none" w:sz="0" w:space="0" w:color="auto"/>
        <w:bottom w:val="none" w:sz="0" w:space="0" w:color="auto"/>
        <w:right w:val="none" w:sz="0" w:space="0" w:color="auto"/>
      </w:divBdr>
    </w:div>
    <w:div w:id="19847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400E50"/>
    <w:rsid w:val="004F6E9A"/>
    <w:rsid w:val="00701B08"/>
    <w:rsid w:val="008060AA"/>
    <w:rsid w:val="009F3D09"/>
    <w:rsid w:val="00B24B8B"/>
    <w:rsid w:val="00D20EAB"/>
    <w:rsid w:val="00EC62CF"/>
    <w:rsid w:val="00ED484C"/>
    <w:rsid w:val="00FC1234"/>
    <w:rsid w:val="00FD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B2DFD3B44704289E8E04272C367A1" ma:contentTypeVersion="10" ma:contentTypeDescription="Create a new document." ma:contentTypeScope="" ma:versionID="5a79f7789b93a368082f1f346f7e2c37">
  <xsd:schema xmlns:xsd="http://www.w3.org/2001/XMLSchema" xmlns:xs="http://www.w3.org/2001/XMLSchema" xmlns:p="http://schemas.microsoft.com/office/2006/metadata/properties" xmlns:ns3="96786b65-a4df-491e-afda-72dda0f99f8f" xmlns:ns4="3e212417-8f02-44db-870d-9d1f6b83b982" targetNamespace="http://schemas.microsoft.com/office/2006/metadata/properties" ma:root="true" ma:fieldsID="383ada57760963dda64f1af3f28e2b26" ns3:_="" ns4:_="">
    <xsd:import namespace="96786b65-a4df-491e-afda-72dda0f99f8f"/>
    <xsd:import namespace="3e212417-8f02-44db-870d-9d1f6b83b9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86b65-a4df-491e-afda-72dda0f9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212417-8f02-44db-870d-9d1f6b83b9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93D2-7A51-4590-8A92-CFDE4BDD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86b65-a4df-491e-afda-72dda0f99f8f"/>
    <ds:schemaRef ds:uri="3e212417-8f02-44db-870d-9d1f6b83b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75FA1-046F-4A03-BBDD-42133F08E2AE}">
  <ds:schemaRefs>
    <ds:schemaRef ds:uri="http://purl.org/dc/elements/1.1/"/>
    <ds:schemaRef ds:uri="http://purl.org/dc/terms/"/>
    <ds:schemaRef ds:uri="http://schemas.openxmlformats.org/package/2006/metadata/core-properties"/>
    <ds:schemaRef ds:uri="http://purl.org/dc/dcmitype/"/>
    <ds:schemaRef ds:uri="96786b65-a4df-491e-afda-72dda0f99f8f"/>
    <ds:schemaRef ds:uri="http://schemas.microsoft.com/office/2006/documentManagement/types"/>
    <ds:schemaRef ds:uri="3e212417-8f02-44db-870d-9d1f6b83b982"/>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4F56FB-23F6-4367-AB63-504EF9921054}">
  <ds:schemaRefs>
    <ds:schemaRef ds:uri="http://schemas.microsoft.com/sharepoint/v3/contenttype/forms"/>
  </ds:schemaRefs>
</ds:datastoreItem>
</file>

<file path=customXml/itemProps4.xml><?xml version="1.0" encoding="utf-8"?>
<ds:datastoreItem xmlns:ds="http://schemas.openxmlformats.org/officeDocument/2006/customXml" ds:itemID="{9E6BF3C4-35F2-4381-8670-2E4D2F3A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2</cp:revision>
  <dcterms:created xsi:type="dcterms:W3CDTF">2020-11-16T13:55:00Z</dcterms:created>
  <dcterms:modified xsi:type="dcterms:W3CDTF">2020-11-16T13:55:00Z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0x0101004B4B2DFD3B44704289E8E04272C367A1</vt:lpwstr>
  </property>
</Properties>
</file>