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25563"/>
        </w:rPr>
        <w:id w:val="1369874206"/>
        <w:docPartObj>
          <w:docPartGallery w:val="Cover Pages"/>
          <w:docPartUnique/>
        </w:docPartObj>
      </w:sdtPr>
      <w:sdtEndPr>
        <w:rPr>
          <w:color w:val="000000" w:themeColor="text1"/>
        </w:rPr>
      </w:sdtEndPr>
      <w:sdtContent>
        <w:p w14:paraId="0A5BB905" w14:textId="77777777" w:rsidR="00B405F6" w:rsidRPr="00B405F6" w:rsidRDefault="00B405F6" w:rsidP="00B405F6">
          <w:pPr>
            <w:keepNext/>
            <w:keepLines/>
            <w:spacing w:before="480" w:after="240"/>
            <w:outlineLvl w:val="0"/>
            <w:rPr>
              <w:rFonts w:eastAsiaTheme="majorEastAsia" w:cstheme="majorBidi"/>
              <w:b/>
              <w:bCs/>
              <w:color w:val="005EB8"/>
              <w:sz w:val="40"/>
              <w:szCs w:val="28"/>
            </w:rPr>
          </w:pPr>
          <w:r w:rsidRPr="00B405F6">
            <w:rPr>
              <w:rFonts w:eastAsiaTheme="majorEastAsia" w:cstheme="majorBidi"/>
              <w:b/>
              <w:bCs/>
              <w:noProof/>
              <w:color w:val="005EB8"/>
              <w:sz w:val="40"/>
              <w:szCs w:val="28"/>
              <w:lang w:eastAsia="en-GB"/>
            </w:rPr>
            <w:drawing>
              <wp:anchor distT="0" distB="0" distL="114300" distR="114300" simplePos="0" relativeHeight="251659264" behindDoc="0" locked="0" layoutInCell="1" allowOverlap="1" wp14:anchorId="3D931CAB" wp14:editId="16499645">
                <wp:simplePos x="0" y="0"/>
                <wp:positionH relativeFrom="page">
                  <wp:posOffset>3582670</wp:posOffset>
                </wp:positionH>
                <wp:positionV relativeFrom="page">
                  <wp:posOffset>0</wp:posOffset>
                </wp:positionV>
                <wp:extent cx="3960000" cy="1440000"/>
                <wp:effectExtent l="0" t="0" r="254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Communications\5. Resources\Brand\Logo\NHS Health Research Authority RGB Blu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828" b="28399"/>
                        <a:stretch/>
                      </pic:blipFill>
                      <pic:spPr bwMode="auto">
                        <a:xfrm>
                          <a:off x="0" y="0"/>
                          <a:ext cx="3960000"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05F6">
            <w:rPr>
              <w:rFonts w:eastAsiaTheme="majorEastAsia" w:cstheme="majorBidi"/>
              <w:b/>
              <w:bCs/>
              <w:color w:val="005EB8"/>
              <w:sz w:val="40"/>
              <w:szCs w:val="28"/>
            </w:rPr>
            <w:t>Management of the Confidentiality Advice Team Caseload</w:t>
          </w:r>
        </w:p>
        <w:p w14:paraId="7BD5B853" w14:textId="77777777" w:rsidR="00B405F6" w:rsidRPr="00B405F6" w:rsidRDefault="00B405F6" w:rsidP="00B405F6">
          <w:pPr>
            <w:keepNext/>
            <w:keepLines/>
            <w:spacing w:before="240" w:after="240"/>
            <w:outlineLvl w:val="1"/>
            <w:rPr>
              <w:rFonts w:eastAsiaTheme="majorEastAsia" w:cstheme="majorBidi"/>
              <w:b/>
              <w:bCs/>
              <w:color w:val="003087"/>
              <w:sz w:val="32"/>
              <w:szCs w:val="26"/>
            </w:rPr>
          </w:pPr>
          <w:r w:rsidRPr="00B405F6">
            <w:rPr>
              <w:rFonts w:eastAsiaTheme="majorEastAsia" w:cstheme="majorBidi"/>
              <w:b/>
              <w:bCs/>
              <w:color w:val="003087"/>
              <w:sz w:val="32"/>
              <w:szCs w:val="26"/>
            </w:rPr>
            <w:t>Introduction</w:t>
          </w:r>
        </w:p>
        <w:p w14:paraId="01C3ACF4" w14:textId="77777777" w:rsidR="00D24B83" w:rsidRDefault="00B405F6" w:rsidP="00B405F6">
          <w:pPr>
            <w:spacing w:after="240"/>
            <w:rPr>
              <w:color w:val="000000" w:themeColor="text1"/>
            </w:rPr>
          </w:pPr>
          <w:r w:rsidRPr="00B405F6">
            <w:rPr>
              <w:color w:val="000000" w:themeColor="text1"/>
            </w:rPr>
            <w:t xml:space="preserve">This paper presents the management of the Confidentiality Advice Team (CAT) caseload of initial applications, amendments and annual reviews that </w:t>
          </w:r>
          <w:r w:rsidR="000D1395">
            <w:rPr>
              <w:color w:val="000000" w:themeColor="text1"/>
            </w:rPr>
            <w:t>built up between April and June</w:t>
          </w:r>
          <w:r w:rsidR="00303472">
            <w:rPr>
              <w:color w:val="000000" w:themeColor="text1"/>
            </w:rPr>
            <w:t xml:space="preserve"> 2020</w:t>
          </w:r>
          <w:r w:rsidRPr="00B405F6">
            <w:rPr>
              <w:color w:val="000000" w:themeColor="text1"/>
            </w:rPr>
            <w:t xml:space="preserve">. </w:t>
          </w:r>
          <w:r w:rsidR="000D1395">
            <w:rPr>
              <w:color w:val="000000" w:themeColor="text1"/>
            </w:rPr>
            <w:t xml:space="preserve"> There were </w:t>
          </w:r>
          <w:r w:rsidR="00482ECD">
            <w:rPr>
              <w:color w:val="000000" w:themeColor="text1"/>
            </w:rPr>
            <w:t xml:space="preserve">a </w:t>
          </w:r>
          <w:r w:rsidR="000D1395">
            <w:rPr>
              <w:color w:val="000000" w:themeColor="text1"/>
            </w:rPr>
            <w:t xml:space="preserve">number of staffing issues during </w:t>
          </w:r>
          <w:r w:rsidR="002443CF">
            <w:rPr>
              <w:color w:val="000000" w:themeColor="text1"/>
            </w:rPr>
            <w:t xml:space="preserve">November 2019 </w:t>
          </w:r>
          <w:r w:rsidR="000D1395">
            <w:rPr>
              <w:color w:val="000000" w:themeColor="text1"/>
            </w:rPr>
            <w:t xml:space="preserve">to April </w:t>
          </w:r>
          <w:r w:rsidR="002443CF">
            <w:rPr>
              <w:color w:val="000000" w:themeColor="text1"/>
            </w:rPr>
            <w:t>202</w:t>
          </w:r>
          <w:r w:rsidR="00482ECD">
            <w:rPr>
              <w:color w:val="000000" w:themeColor="text1"/>
            </w:rPr>
            <w:t>0</w:t>
          </w:r>
          <w:r w:rsidR="002443CF">
            <w:rPr>
              <w:color w:val="000000" w:themeColor="text1"/>
            </w:rPr>
            <w:t xml:space="preserve"> with the </w:t>
          </w:r>
          <w:bookmarkStart w:id="0" w:name="_GoBack"/>
          <w:bookmarkEnd w:id="0"/>
          <w:r w:rsidR="002443CF">
            <w:rPr>
              <w:color w:val="000000" w:themeColor="text1"/>
            </w:rPr>
            <w:t>service most seriously compromised between Feb</w:t>
          </w:r>
          <w:r w:rsidR="00F730E5">
            <w:rPr>
              <w:color w:val="000000" w:themeColor="text1"/>
            </w:rPr>
            <w:t>ruary</w:t>
          </w:r>
          <w:r w:rsidR="002443CF">
            <w:rPr>
              <w:color w:val="000000" w:themeColor="text1"/>
            </w:rPr>
            <w:t xml:space="preserve"> and April</w:t>
          </w:r>
          <w:r w:rsidR="00482ECD">
            <w:rPr>
              <w:color w:val="000000" w:themeColor="text1"/>
            </w:rPr>
            <w:t xml:space="preserve">, as identified through </w:t>
          </w:r>
          <w:r w:rsidR="00000C3C">
            <w:rPr>
              <w:color w:val="000000" w:themeColor="text1"/>
            </w:rPr>
            <w:t>corporate</w:t>
          </w:r>
          <w:r w:rsidR="00482ECD">
            <w:rPr>
              <w:color w:val="000000" w:themeColor="text1"/>
            </w:rPr>
            <w:t xml:space="preserve"> issue logs</w:t>
          </w:r>
          <w:r w:rsidR="00000C3C">
            <w:rPr>
              <w:color w:val="000000" w:themeColor="text1"/>
            </w:rPr>
            <w:t>, and raised with the Board</w:t>
          </w:r>
          <w:r w:rsidR="00482ECD">
            <w:rPr>
              <w:color w:val="000000" w:themeColor="text1"/>
            </w:rPr>
            <w:t>. This</w:t>
          </w:r>
          <w:r w:rsidR="000D1395">
            <w:rPr>
              <w:color w:val="000000" w:themeColor="text1"/>
            </w:rPr>
            <w:t xml:space="preserve"> resulted in </w:t>
          </w:r>
          <w:r w:rsidR="00482ECD">
            <w:rPr>
              <w:color w:val="000000" w:themeColor="text1"/>
            </w:rPr>
            <w:t>delays in processing a significant proportion of submissions, particularly those submitted in March and April</w:t>
          </w:r>
          <w:r w:rsidR="009C7C20">
            <w:rPr>
              <w:color w:val="000000" w:themeColor="text1"/>
            </w:rPr>
            <w:t>, as seen in the below figure for the number of submissions and outcomes for initial applications, amendments and annual reviews</w:t>
          </w:r>
          <w:r w:rsidR="00482ECD">
            <w:rPr>
              <w:color w:val="000000" w:themeColor="text1"/>
            </w:rPr>
            <w:t>.</w:t>
          </w:r>
          <w:r w:rsidR="00000C3C">
            <w:rPr>
              <w:color w:val="000000" w:themeColor="text1"/>
            </w:rPr>
            <w:t xml:space="preserve"> </w:t>
          </w:r>
        </w:p>
        <w:p w14:paraId="510D3B3E" w14:textId="58B0629B" w:rsidR="000D1395" w:rsidRDefault="00000C3C" w:rsidP="00B405F6">
          <w:pPr>
            <w:spacing w:after="240"/>
            <w:rPr>
              <w:color w:val="000000" w:themeColor="text1"/>
            </w:rPr>
          </w:pPr>
          <w:r>
            <w:rPr>
              <w:color w:val="000000" w:themeColor="text1"/>
            </w:rPr>
            <w:t xml:space="preserve">These staffing issues meant that some applications received in the period prior to November were not progressed appropriately. There has been a long-standing concern that CAG does not have an adequate case-management system, which we have not been able to rectify due to the lack of funding for replacement of research systems. This has meant that the team have been reliant on </w:t>
          </w:r>
          <w:r w:rsidR="00D24B83">
            <w:rPr>
              <w:color w:val="000000" w:themeColor="text1"/>
            </w:rPr>
            <w:t>individuals managing their own workload, with consequent problems when staff have left or been off sick, and there has been no mechanism for organisational visibility of the caseload.</w:t>
          </w:r>
        </w:p>
        <w:p w14:paraId="03A6935E" w14:textId="5C5A4481" w:rsidR="000D1395" w:rsidRDefault="00CD43B8" w:rsidP="00B405F6">
          <w:pPr>
            <w:spacing w:after="240"/>
            <w:rPr>
              <w:color w:val="000000" w:themeColor="text1"/>
            </w:rPr>
          </w:pPr>
          <w:r>
            <w:rPr>
              <w:noProof/>
            </w:rPr>
            <w:drawing>
              <wp:inline distT="0" distB="0" distL="0" distR="0" wp14:anchorId="0E02DE23" wp14:editId="33015E91">
                <wp:extent cx="6645910" cy="2628900"/>
                <wp:effectExtent l="0" t="0" r="2540" b="0"/>
                <wp:docPr id="1" name="Chart 1" descr="Line graph to show the submission and outcomes of initial applications, amendments and annual reviews from January 2020 to August 2020. The red line shows outcomes issued which decreased from just below 30 in January 2020 to 6 in April before rising to over 80 by July 2020. The blue line shows submissions which have fluctuated between 30 to 60 over the same period.">
                  <a:extLst xmlns:a="http://schemas.openxmlformats.org/drawingml/2006/main">
                    <a:ext uri="{FF2B5EF4-FFF2-40B4-BE49-F238E27FC236}">
                      <a16:creationId xmlns:a16="http://schemas.microsoft.com/office/drawing/2014/main" id="{EB8A965A-D86B-444D-AD5A-7784F229FF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702875" w14:textId="52A4B508" w:rsidR="000D1395" w:rsidRDefault="000D1395" w:rsidP="00B405F6">
          <w:pPr>
            <w:spacing w:after="240"/>
            <w:rPr>
              <w:color w:val="000000" w:themeColor="text1"/>
            </w:rPr>
          </w:pPr>
          <w:r>
            <w:rPr>
              <w:color w:val="000000" w:themeColor="text1"/>
            </w:rPr>
            <w:t>However</w:t>
          </w:r>
          <w:r w:rsidR="00CC7EC8">
            <w:rPr>
              <w:color w:val="000000" w:themeColor="text1"/>
            </w:rPr>
            <w:t>,</w:t>
          </w:r>
          <w:r>
            <w:rPr>
              <w:color w:val="000000" w:themeColor="text1"/>
            </w:rPr>
            <w:t xml:space="preserve"> these staffing issues </w:t>
          </w:r>
          <w:r w:rsidR="00D35026">
            <w:rPr>
              <w:color w:val="000000" w:themeColor="text1"/>
            </w:rPr>
            <w:t xml:space="preserve">were resolved </w:t>
          </w:r>
          <w:r w:rsidR="00482ECD">
            <w:rPr>
              <w:color w:val="000000" w:themeColor="text1"/>
            </w:rPr>
            <w:t>between</w:t>
          </w:r>
          <w:r w:rsidR="00D35026">
            <w:rPr>
              <w:color w:val="000000" w:themeColor="text1"/>
            </w:rPr>
            <w:t xml:space="preserve"> April </w:t>
          </w:r>
          <w:r w:rsidR="00482ECD">
            <w:rPr>
              <w:color w:val="000000" w:themeColor="text1"/>
            </w:rPr>
            <w:t>and</w:t>
          </w:r>
          <w:r w:rsidR="00D35026">
            <w:rPr>
              <w:color w:val="000000" w:themeColor="text1"/>
            </w:rPr>
            <w:t xml:space="preserve"> June, with the recruitment of new staff and return of experienced staff. </w:t>
          </w:r>
          <w:r w:rsidR="002443CF">
            <w:rPr>
              <w:color w:val="000000" w:themeColor="text1"/>
            </w:rPr>
            <w:t>In June</w:t>
          </w:r>
          <w:r w:rsidR="00303472">
            <w:rPr>
              <w:color w:val="000000" w:themeColor="text1"/>
            </w:rPr>
            <w:t xml:space="preserve"> 2020</w:t>
          </w:r>
          <w:r w:rsidR="00D35026">
            <w:rPr>
              <w:color w:val="000000" w:themeColor="text1"/>
            </w:rPr>
            <w:t xml:space="preserve">, </w:t>
          </w:r>
          <w:r w:rsidR="00482ECD">
            <w:rPr>
              <w:color w:val="000000" w:themeColor="text1"/>
            </w:rPr>
            <w:t xml:space="preserve">with a full complement of staff, </w:t>
          </w:r>
          <w:r w:rsidR="00D35026">
            <w:rPr>
              <w:color w:val="000000" w:themeColor="text1"/>
            </w:rPr>
            <w:t xml:space="preserve">we </w:t>
          </w:r>
          <w:r w:rsidR="00482ECD">
            <w:rPr>
              <w:color w:val="000000" w:themeColor="text1"/>
            </w:rPr>
            <w:t>were able to assess</w:t>
          </w:r>
          <w:r w:rsidR="002443CF">
            <w:rPr>
              <w:color w:val="000000" w:themeColor="text1"/>
            </w:rPr>
            <w:t xml:space="preserve"> the level of outstanding (i.e. </w:t>
          </w:r>
          <w:r w:rsidR="00482ECD">
            <w:rPr>
              <w:color w:val="000000" w:themeColor="text1"/>
            </w:rPr>
            <w:t xml:space="preserve">those </w:t>
          </w:r>
          <w:r w:rsidR="002443CF">
            <w:rPr>
              <w:color w:val="000000" w:themeColor="text1"/>
            </w:rPr>
            <w:t xml:space="preserve">over timelines) </w:t>
          </w:r>
          <w:r w:rsidR="00D35026">
            <w:rPr>
              <w:color w:val="000000" w:themeColor="text1"/>
            </w:rPr>
            <w:t xml:space="preserve">caseload of work that had built up over the preceding months. An action plan was developed and introduced to process the work that had built up. </w:t>
          </w:r>
          <w:r w:rsidR="00D35026" w:rsidRPr="00531AEA">
            <w:rPr>
              <w:color w:val="000000" w:themeColor="text1"/>
            </w:rPr>
            <w:t xml:space="preserve">As </w:t>
          </w:r>
          <w:r w:rsidR="004F3829" w:rsidRPr="00531AEA">
            <w:rPr>
              <w:color w:val="000000" w:themeColor="text1"/>
            </w:rPr>
            <w:t>seen</w:t>
          </w:r>
          <w:r w:rsidR="00D35026" w:rsidRPr="00531AEA">
            <w:rPr>
              <w:color w:val="000000" w:themeColor="text1"/>
            </w:rPr>
            <w:t xml:space="preserve"> above this has resulted in a significant </w:t>
          </w:r>
          <w:r w:rsidR="000A2338" w:rsidRPr="00531AEA">
            <w:rPr>
              <w:color w:val="000000" w:themeColor="text1"/>
            </w:rPr>
            <w:t>spike</w:t>
          </w:r>
          <w:r w:rsidR="00D35026" w:rsidRPr="00531AEA">
            <w:rPr>
              <w:color w:val="000000" w:themeColor="text1"/>
            </w:rPr>
            <w:t xml:space="preserve"> of outputs during July</w:t>
          </w:r>
          <w:r w:rsidR="000A2338" w:rsidRPr="00531AEA">
            <w:rPr>
              <w:color w:val="000000" w:themeColor="text1"/>
            </w:rPr>
            <w:t>, returning to near normal levels in August once the work had been completed.</w:t>
          </w:r>
        </w:p>
        <w:p w14:paraId="71CCE9E4" w14:textId="77777777" w:rsidR="00D35026" w:rsidRDefault="00D35026" w:rsidP="00D35026">
          <w:pPr>
            <w:pStyle w:val="Heading2"/>
            <w:spacing w:after="240"/>
          </w:pPr>
          <w:r>
            <w:lastRenderedPageBreak/>
            <w:t>Reducing the Caseload</w:t>
          </w:r>
        </w:p>
        <w:p w14:paraId="5D35C46A" w14:textId="27E0689D" w:rsidR="00D35026" w:rsidRDefault="004F3829" w:rsidP="00D35026">
          <w:r>
            <w:t>We identified all the</w:t>
          </w:r>
          <w:r w:rsidR="00D35026">
            <w:t xml:space="preserve"> responses to provisional outcomes, amendments and annual reviews that had been submitted</w:t>
          </w:r>
          <w:r>
            <w:t xml:space="preserve"> by applicants</w:t>
          </w:r>
          <w:r w:rsidR="00D35026">
            <w:t xml:space="preserve"> but not processed by the team. </w:t>
          </w:r>
          <w:r>
            <w:t xml:space="preserve">As well, we also noted a number of submissions where we were waiting on a response from other parties before we could issue an outcome, but where we had not followed up. </w:t>
          </w:r>
        </w:p>
        <w:p w14:paraId="72BD089F" w14:textId="77777777" w:rsidR="00D35026" w:rsidRDefault="00D35026" w:rsidP="00D35026"/>
        <w:p w14:paraId="5900AE1A" w14:textId="7E9EEB27" w:rsidR="00D35026" w:rsidRDefault="00D35026" w:rsidP="00D35026">
          <w:r>
            <w:t>Reducing the Caseload involved the whole team</w:t>
          </w:r>
          <w:r w:rsidR="00F649FF">
            <w:t xml:space="preserve"> to</w:t>
          </w:r>
          <w:r>
            <w:t>:</w:t>
          </w:r>
        </w:p>
        <w:p w14:paraId="0A23FC7B" w14:textId="73869AE3" w:rsidR="00D35026" w:rsidRDefault="006E6EAC" w:rsidP="00D35026">
          <w:pPr>
            <w:pStyle w:val="ListParagraph"/>
            <w:numPr>
              <w:ilvl w:val="0"/>
              <w:numId w:val="7"/>
            </w:numPr>
            <w:rPr>
              <w:sz w:val="24"/>
              <w:szCs w:val="24"/>
            </w:rPr>
          </w:pPr>
          <w:r>
            <w:rPr>
              <w:sz w:val="24"/>
              <w:szCs w:val="24"/>
            </w:rPr>
            <w:t>c</w:t>
          </w:r>
          <w:r w:rsidR="00F649FF">
            <w:rPr>
              <w:sz w:val="24"/>
              <w:szCs w:val="24"/>
            </w:rPr>
            <w:t>ontact</w:t>
          </w:r>
          <w:r w:rsidR="00D35026">
            <w:rPr>
              <w:sz w:val="24"/>
              <w:szCs w:val="24"/>
            </w:rPr>
            <w:t xml:space="preserve"> all applicants with outstanding submissions, </w:t>
          </w:r>
          <w:r w:rsidR="00F649FF">
            <w:rPr>
              <w:sz w:val="24"/>
              <w:szCs w:val="24"/>
            </w:rPr>
            <w:t xml:space="preserve">apologising </w:t>
          </w:r>
          <w:r w:rsidR="00D35026">
            <w:rPr>
              <w:sz w:val="24"/>
              <w:szCs w:val="24"/>
            </w:rPr>
            <w:t xml:space="preserve">advising that these would be </w:t>
          </w:r>
          <w:r w:rsidR="00303472">
            <w:rPr>
              <w:sz w:val="24"/>
              <w:szCs w:val="24"/>
            </w:rPr>
            <w:t>processed</w:t>
          </w:r>
          <w:r w:rsidR="00D35026">
            <w:rPr>
              <w:sz w:val="24"/>
              <w:szCs w:val="24"/>
            </w:rPr>
            <w:t xml:space="preserve"> by 31 July</w:t>
          </w:r>
          <w:r w:rsidR="00303472">
            <w:rPr>
              <w:sz w:val="24"/>
              <w:szCs w:val="24"/>
            </w:rPr>
            <w:t xml:space="preserve"> 2020</w:t>
          </w:r>
          <w:r w:rsidR="00D35026">
            <w:rPr>
              <w:sz w:val="24"/>
              <w:szCs w:val="24"/>
            </w:rPr>
            <w:t>.</w:t>
          </w:r>
        </w:p>
        <w:p w14:paraId="2199B6C7" w14:textId="70BAE9DD" w:rsidR="00D35026" w:rsidRDefault="00D35026" w:rsidP="00D35026">
          <w:pPr>
            <w:pStyle w:val="ListParagraph"/>
            <w:numPr>
              <w:ilvl w:val="0"/>
              <w:numId w:val="7"/>
            </w:numPr>
            <w:rPr>
              <w:sz w:val="24"/>
              <w:szCs w:val="24"/>
            </w:rPr>
          </w:pPr>
          <w:r>
            <w:rPr>
              <w:sz w:val="24"/>
              <w:szCs w:val="24"/>
            </w:rPr>
            <w:t>review all older submissions that were awaiting REC Favourable Opinion and/or NHS Digital security assurances to see if these were now in place and could be issued an outcome.</w:t>
          </w:r>
        </w:p>
        <w:p w14:paraId="2105BDB2" w14:textId="665267CA" w:rsidR="00D35026" w:rsidRDefault="00D35026" w:rsidP="00D35026">
          <w:pPr>
            <w:pStyle w:val="ListParagraph"/>
            <w:numPr>
              <w:ilvl w:val="0"/>
              <w:numId w:val="7"/>
            </w:numPr>
            <w:rPr>
              <w:sz w:val="24"/>
              <w:szCs w:val="24"/>
            </w:rPr>
          </w:pPr>
          <w:r>
            <w:rPr>
              <w:sz w:val="24"/>
              <w:szCs w:val="24"/>
            </w:rPr>
            <w:t>work with the CAG</w:t>
          </w:r>
          <w:r w:rsidR="001C323A">
            <w:rPr>
              <w:sz w:val="24"/>
              <w:szCs w:val="24"/>
            </w:rPr>
            <w:t xml:space="preserve"> members</w:t>
          </w:r>
          <w:r>
            <w:rPr>
              <w:sz w:val="24"/>
              <w:szCs w:val="24"/>
            </w:rPr>
            <w:t xml:space="preserve"> to </w:t>
          </w:r>
          <w:r w:rsidR="001C323A">
            <w:rPr>
              <w:sz w:val="24"/>
              <w:szCs w:val="24"/>
            </w:rPr>
            <w:t>use already arranged meetings to take amendments to these meetings for consideration in batches to reduce the impact on the CAG</w:t>
          </w:r>
          <w:r w:rsidR="00303472">
            <w:rPr>
              <w:sz w:val="24"/>
              <w:szCs w:val="24"/>
            </w:rPr>
            <w:t xml:space="preserve"> Chair Team</w:t>
          </w:r>
          <w:r w:rsidR="001C323A">
            <w:rPr>
              <w:sz w:val="24"/>
              <w:szCs w:val="24"/>
            </w:rPr>
            <w:t>.</w:t>
          </w:r>
        </w:p>
        <w:p w14:paraId="744B217D" w14:textId="77777777" w:rsidR="001C323A" w:rsidRDefault="001C323A" w:rsidP="001C323A">
          <w:pPr>
            <w:rPr>
              <w:szCs w:val="24"/>
            </w:rPr>
          </w:pPr>
        </w:p>
        <w:p w14:paraId="0150B1B9" w14:textId="50979628" w:rsidR="001C323A" w:rsidRPr="006E6EAC" w:rsidRDefault="001C323A" w:rsidP="001C323A">
          <w:pPr>
            <w:rPr>
              <w:b/>
              <w:bCs/>
              <w:szCs w:val="24"/>
            </w:rPr>
          </w:pPr>
          <w:r w:rsidRPr="006E6EAC">
            <w:rPr>
              <w:b/>
              <w:bCs/>
              <w:szCs w:val="24"/>
            </w:rPr>
            <w:t xml:space="preserve">This approach, and the hard work of staff, has seen us meet our target of processing all outstanding submissions, submitted before 30 June 2020, being processed by the team by 31 July 2020. </w:t>
          </w:r>
          <w:r w:rsidR="006E6EAC">
            <w:rPr>
              <w:b/>
              <w:bCs/>
              <w:szCs w:val="24"/>
            </w:rPr>
            <w:t>This is demonstrated in peak</w:t>
          </w:r>
          <w:r w:rsidR="00C119BC">
            <w:rPr>
              <w:b/>
              <w:bCs/>
              <w:szCs w:val="24"/>
            </w:rPr>
            <w:t>s</w:t>
          </w:r>
          <w:r w:rsidR="006E6EAC">
            <w:rPr>
              <w:b/>
              <w:bCs/>
              <w:szCs w:val="24"/>
            </w:rPr>
            <w:t xml:space="preserve"> in </w:t>
          </w:r>
          <w:r w:rsidR="00C119BC">
            <w:rPr>
              <w:b/>
              <w:bCs/>
              <w:szCs w:val="24"/>
            </w:rPr>
            <w:t xml:space="preserve">April and </w:t>
          </w:r>
          <w:r w:rsidR="006E6EAC">
            <w:rPr>
              <w:b/>
              <w:bCs/>
              <w:szCs w:val="24"/>
            </w:rPr>
            <w:t>June in the graph below due to clearing of all outstanding applications.</w:t>
          </w:r>
        </w:p>
        <w:p w14:paraId="0FBEBCAF" w14:textId="77777777" w:rsidR="001C323A" w:rsidRDefault="001C323A" w:rsidP="001C323A">
          <w:pPr>
            <w:rPr>
              <w:szCs w:val="24"/>
            </w:rPr>
          </w:pPr>
        </w:p>
        <w:p w14:paraId="23593B14" w14:textId="74D92CFC" w:rsidR="001C323A" w:rsidRPr="006E6EAC" w:rsidRDefault="00303472" w:rsidP="001C323A">
          <w:pPr>
            <w:rPr>
              <w:szCs w:val="24"/>
            </w:rPr>
          </w:pPr>
          <w:r w:rsidRPr="006E6EAC">
            <w:rPr>
              <w:szCs w:val="24"/>
            </w:rPr>
            <w:t>As such</w:t>
          </w:r>
          <w:r w:rsidR="00454AE0" w:rsidRPr="006E6EAC">
            <w:rPr>
              <w:szCs w:val="24"/>
            </w:rPr>
            <w:t>, we consider that the management of the historical</w:t>
          </w:r>
          <w:r w:rsidR="00F649FF">
            <w:rPr>
              <w:szCs w:val="24"/>
            </w:rPr>
            <w:t>, overdue</w:t>
          </w:r>
          <w:r w:rsidR="00454AE0" w:rsidRPr="006E6EAC">
            <w:rPr>
              <w:szCs w:val="24"/>
            </w:rPr>
            <w:t xml:space="preserve"> caseload </w:t>
          </w:r>
          <w:r w:rsidR="00015119">
            <w:rPr>
              <w:szCs w:val="24"/>
            </w:rPr>
            <w:t xml:space="preserve">from applications prior to April </w:t>
          </w:r>
          <w:r w:rsidR="00454AE0" w:rsidRPr="006E6EAC">
            <w:rPr>
              <w:szCs w:val="24"/>
            </w:rPr>
            <w:t>is now closed</w:t>
          </w:r>
          <w:r w:rsidR="00F649FF">
            <w:rPr>
              <w:szCs w:val="24"/>
            </w:rPr>
            <w:t xml:space="preserve"> and lessons learned for service improvements</w:t>
          </w:r>
          <w:r w:rsidR="00492D06">
            <w:rPr>
              <w:szCs w:val="24"/>
            </w:rPr>
            <w:t>.</w:t>
          </w:r>
          <w:r w:rsidR="0090200D">
            <w:rPr>
              <w:szCs w:val="24"/>
            </w:rPr>
            <w:t xml:space="preserve"> It should be noted, that although CAG processing of applications has been completed, some applications are still awaiting external assurances before a final outcome can be issued (</w:t>
          </w:r>
          <w:r w:rsidR="0039641E">
            <w:rPr>
              <w:szCs w:val="24"/>
            </w:rPr>
            <w:t>e.g.</w:t>
          </w:r>
          <w:r w:rsidR="0090200D">
            <w:rPr>
              <w:szCs w:val="24"/>
            </w:rPr>
            <w:t xml:space="preserve"> REC favourable opinion or Data Security Protection Toolkit assessment by NHS Digital) and therefore some outliers may affect future data as these are closed in due course.</w:t>
          </w:r>
        </w:p>
        <w:p w14:paraId="5808040F" w14:textId="6B2DB7ED" w:rsidR="00F14E61" w:rsidRDefault="00F14E61" w:rsidP="00F14E61">
          <w:pPr>
            <w:pStyle w:val="Heading2"/>
          </w:pPr>
          <w:r>
            <w:t>Impact on Timelines</w:t>
          </w:r>
        </w:p>
        <w:p w14:paraId="53F5E3BA" w14:textId="6047AC1E" w:rsidR="00F14E61" w:rsidRDefault="00F14E61" w:rsidP="00F14E61"/>
        <w:p w14:paraId="38A2F2A2" w14:textId="5EC52BBD" w:rsidR="00F14E61" w:rsidRDefault="00F14E61" w:rsidP="00F14E61">
          <w:r>
            <w:t xml:space="preserve">The below graph shows the timelines for full (KPI 60 days) and precedent set (KPI 30 days) initial applications and amendments (KPI 35 days) between January and July 2020. </w:t>
          </w:r>
        </w:p>
        <w:p w14:paraId="4D2BDCA8" w14:textId="26BD018F" w:rsidR="00F14E61" w:rsidRDefault="00F14E61" w:rsidP="00F14E61"/>
        <w:p w14:paraId="256A0FFF" w14:textId="163C95AC" w:rsidR="00F14E61" w:rsidRDefault="000A2338" w:rsidP="00F14E61">
          <w:r>
            <w:rPr>
              <w:noProof/>
            </w:rPr>
            <w:drawing>
              <wp:inline distT="0" distB="0" distL="0" distR="0" wp14:anchorId="2D469A5D" wp14:editId="1A1798B2">
                <wp:extent cx="6645910" cy="2880360"/>
                <wp:effectExtent l="0" t="0" r="2540" b="15240"/>
                <wp:docPr id="14" name="Chart 14" descr="Line graph to show the median timelines for initial applications and amendments between January 2020 and August 2020. the timelines for full applications ranged between approximately 40 to 80 except for a high of just below 300 in April 2020. Amendments ranged from 6 to 35 and PS ranged from 23.5 to 68.">
                  <a:extLst xmlns:a="http://schemas.openxmlformats.org/drawingml/2006/main">
                    <a:ext uri="{FF2B5EF4-FFF2-40B4-BE49-F238E27FC236}">
                      <a16:creationId xmlns:a16="http://schemas.microsoft.com/office/drawing/2014/main" id="{94B8417E-394A-4FF2-A194-CC439644D8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159C08" w14:textId="7F087B0F" w:rsidR="004F3829" w:rsidRDefault="0090200D" w:rsidP="00454AE0">
          <w:pPr>
            <w:pStyle w:val="Heading2"/>
            <w:spacing w:after="240"/>
            <w:rPr>
              <w:rFonts w:eastAsiaTheme="minorHAnsi" w:cstheme="minorBidi"/>
              <w:b w:val="0"/>
              <w:bCs w:val="0"/>
              <w:color w:val="auto"/>
              <w:sz w:val="24"/>
              <w:szCs w:val="22"/>
            </w:rPr>
          </w:pPr>
          <w:r>
            <w:rPr>
              <w:rFonts w:eastAsiaTheme="minorHAnsi" w:cstheme="minorBidi"/>
              <w:b w:val="0"/>
              <w:bCs w:val="0"/>
              <w:color w:val="auto"/>
              <w:sz w:val="24"/>
              <w:szCs w:val="22"/>
            </w:rPr>
            <w:lastRenderedPageBreak/>
            <w:t>In</w:t>
          </w:r>
          <w:r w:rsidR="004F3829">
            <w:rPr>
              <w:rFonts w:eastAsiaTheme="minorHAnsi" w:cstheme="minorBidi"/>
              <w:b w:val="0"/>
              <w:bCs w:val="0"/>
              <w:color w:val="auto"/>
              <w:sz w:val="24"/>
              <w:szCs w:val="22"/>
            </w:rPr>
            <w:t xml:space="preserve"> April and June</w:t>
          </w:r>
          <w:r w:rsidR="00CC7EC8">
            <w:rPr>
              <w:rFonts w:eastAsiaTheme="minorHAnsi" w:cstheme="minorBidi"/>
              <w:b w:val="0"/>
              <w:bCs w:val="0"/>
              <w:color w:val="auto"/>
              <w:sz w:val="24"/>
              <w:szCs w:val="22"/>
            </w:rPr>
            <w:t>,</w:t>
          </w:r>
          <w:r w:rsidR="00C41837" w:rsidRPr="00C41837">
            <w:rPr>
              <w:rFonts w:eastAsiaTheme="minorHAnsi" w:cstheme="minorBidi"/>
              <w:b w:val="0"/>
              <w:bCs w:val="0"/>
              <w:color w:val="auto"/>
              <w:sz w:val="24"/>
              <w:szCs w:val="22"/>
            </w:rPr>
            <w:t xml:space="preserve"> the KPIs were not met due to the </w:t>
          </w:r>
          <w:r>
            <w:rPr>
              <w:rFonts w:eastAsiaTheme="minorHAnsi" w:cstheme="minorBidi"/>
              <w:b w:val="0"/>
              <w:bCs w:val="0"/>
              <w:color w:val="auto"/>
              <w:sz w:val="24"/>
              <w:szCs w:val="22"/>
            </w:rPr>
            <w:t>closure of long-standing applications</w:t>
          </w:r>
          <w:r w:rsidR="00C41837" w:rsidRPr="00C41837">
            <w:rPr>
              <w:rFonts w:eastAsiaTheme="minorHAnsi" w:cstheme="minorBidi"/>
              <w:b w:val="0"/>
              <w:bCs w:val="0"/>
              <w:color w:val="auto"/>
              <w:sz w:val="24"/>
              <w:szCs w:val="22"/>
            </w:rPr>
            <w:t>.</w:t>
          </w:r>
          <w:r w:rsidR="00C41837">
            <w:rPr>
              <w:rFonts w:eastAsiaTheme="minorHAnsi" w:cstheme="minorBidi"/>
              <w:b w:val="0"/>
              <w:bCs w:val="0"/>
              <w:color w:val="auto"/>
              <w:sz w:val="24"/>
              <w:szCs w:val="22"/>
            </w:rPr>
            <w:t xml:space="preserve"> </w:t>
          </w:r>
          <w:r w:rsidR="00F649FF">
            <w:rPr>
              <w:rFonts w:eastAsiaTheme="minorHAnsi" w:cstheme="minorBidi"/>
              <w:b w:val="0"/>
              <w:bCs w:val="0"/>
              <w:color w:val="auto"/>
              <w:sz w:val="24"/>
              <w:szCs w:val="22"/>
            </w:rPr>
            <w:t xml:space="preserve">NB: </w:t>
          </w:r>
          <w:r w:rsidR="004F3829">
            <w:rPr>
              <w:rFonts w:eastAsiaTheme="minorHAnsi" w:cstheme="minorBidi"/>
              <w:b w:val="0"/>
              <w:bCs w:val="0"/>
              <w:color w:val="auto"/>
              <w:sz w:val="24"/>
              <w:szCs w:val="22"/>
            </w:rPr>
            <w:t>the median in April is extremely high</w:t>
          </w:r>
          <w:r w:rsidR="009C7C20">
            <w:rPr>
              <w:rFonts w:eastAsiaTheme="minorHAnsi" w:cstheme="minorBidi"/>
              <w:b w:val="0"/>
              <w:bCs w:val="0"/>
              <w:color w:val="auto"/>
              <w:sz w:val="24"/>
              <w:szCs w:val="22"/>
            </w:rPr>
            <w:t xml:space="preserve"> for full applications</w:t>
          </w:r>
          <w:r w:rsidR="004F3829">
            <w:rPr>
              <w:rFonts w:eastAsiaTheme="minorHAnsi" w:cstheme="minorBidi"/>
              <w:b w:val="0"/>
              <w:bCs w:val="0"/>
              <w:color w:val="auto"/>
              <w:sz w:val="24"/>
              <w:szCs w:val="22"/>
            </w:rPr>
            <w:t xml:space="preserve"> (at 287 days)</w:t>
          </w:r>
          <w:r w:rsidR="009C7C20">
            <w:rPr>
              <w:rFonts w:eastAsiaTheme="minorHAnsi" w:cstheme="minorBidi"/>
              <w:b w:val="0"/>
              <w:bCs w:val="0"/>
              <w:color w:val="auto"/>
              <w:sz w:val="24"/>
              <w:szCs w:val="22"/>
            </w:rPr>
            <w:t xml:space="preserve"> as this data point is for one application only which encountered delays</w:t>
          </w:r>
          <w:r w:rsidR="008529DC">
            <w:rPr>
              <w:rFonts w:eastAsiaTheme="minorHAnsi" w:cstheme="minorBidi"/>
              <w:b w:val="0"/>
              <w:bCs w:val="0"/>
              <w:color w:val="auto"/>
              <w:sz w:val="24"/>
              <w:szCs w:val="22"/>
            </w:rPr>
            <w:t xml:space="preserve"> for a range of reasons and</w:t>
          </w:r>
          <w:r w:rsidR="009C7C20">
            <w:rPr>
              <w:rFonts w:eastAsiaTheme="minorHAnsi" w:cstheme="minorBidi"/>
              <w:b w:val="0"/>
              <w:bCs w:val="0"/>
              <w:color w:val="auto"/>
              <w:sz w:val="24"/>
              <w:szCs w:val="22"/>
            </w:rPr>
            <w:t xml:space="preserve"> is not representative of the general work</w:t>
          </w:r>
          <w:r w:rsidR="00492D06">
            <w:rPr>
              <w:rFonts w:eastAsiaTheme="minorHAnsi" w:cstheme="minorBidi"/>
              <w:b w:val="0"/>
              <w:bCs w:val="0"/>
              <w:color w:val="auto"/>
              <w:sz w:val="24"/>
              <w:szCs w:val="22"/>
            </w:rPr>
            <w:t>.</w:t>
          </w:r>
          <w:r w:rsidR="004F3829">
            <w:rPr>
              <w:rFonts w:eastAsiaTheme="minorHAnsi" w:cstheme="minorBidi"/>
              <w:b w:val="0"/>
              <w:bCs w:val="0"/>
              <w:color w:val="auto"/>
              <w:sz w:val="24"/>
              <w:szCs w:val="22"/>
            </w:rPr>
            <w:t xml:space="preserve"> </w:t>
          </w:r>
        </w:p>
        <w:p w14:paraId="191551DD" w14:textId="0DB73277" w:rsidR="00F14E61" w:rsidRDefault="004F3829" w:rsidP="00454AE0">
          <w:pPr>
            <w:pStyle w:val="Heading2"/>
            <w:spacing w:after="240"/>
            <w:rPr>
              <w:rFonts w:eastAsiaTheme="minorHAnsi" w:cstheme="minorBidi"/>
              <w:b w:val="0"/>
              <w:bCs w:val="0"/>
              <w:color w:val="auto"/>
              <w:sz w:val="24"/>
              <w:szCs w:val="22"/>
            </w:rPr>
          </w:pPr>
          <w:r>
            <w:rPr>
              <w:rFonts w:eastAsiaTheme="minorHAnsi" w:cstheme="minorBidi"/>
              <w:b w:val="0"/>
              <w:bCs w:val="0"/>
              <w:color w:val="auto"/>
              <w:sz w:val="24"/>
              <w:szCs w:val="22"/>
            </w:rPr>
            <w:t>The</w:t>
          </w:r>
          <w:r w:rsidR="00C41837">
            <w:rPr>
              <w:rFonts w:eastAsiaTheme="minorHAnsi" w:cstheme="minorBidi"/>
              <w:b w:val="0"/>
              <w:bCs w:val="0"/>
              <w:color w:val="auto"/>
              <w:sz w:val="24"/>
              <w:szCs w:val="22"/>
            </w:rPr>
            <w:t xml:space="preserve"> KPIs were met in July showing a progression in managing the work</w:t>
          </w:r>
          <w:r w:rsidR="00F649FF">
            <w:rPr>
              <w:rFonts w:eastAsiaTheme="minorHAnsi" w:cstheme="minorBidi"/>
              <w:b w:val="0"/>
              <w:bCs w:val="0"/>
              <w:color w:val="auto"/>
              <w:sz w:val="24"/>
              <w:szCs w:val="22"/>
            </w:rPr>
            <w:t xml:space="preserve"> </w:t>
          </w:r>
          <w:r w:rsidR="00B3175C">
            <w:rPr>
              <w:rFonts w:eastAsiaTheme="minorHAnsi" w:cstheme="minorBidi"/>
              <w:b w:val="0"/>
              <w:bCs w:val="0"/>
              <w:color w:val="auto"/>
              <w:sz w:val="24"/>
              <w:szCs w:val="22"/>
            </w:rPr>
            <w:t>as staff</w:t>
          </w:r>
          <w:r w:rsidR="00F649FF">
            <w:rPr>
              <w:rFonts w:eastAsiaTheme="minorHAnsi" w:cstheme="minorBidi"/>
              <w:b w:val="0"/>
              <w:bCs w:val="0"/>
              <w:color w:val="auto"/>
              <w:sz w:val="24"/>
              <w:szCs w:val="22"/>
            </w:rPr>
            <w:t xml:space="preserve"> capacity and development</w:t>
          </w:r>
          <w:r w:rsidR="00B3175C">
            <w:rPr>
              <w:rFonts w:eastAsiaTheme="minorHAnsi" w:cstheme="minorBidi"/>
              <w:b w:val="0"/>
              <w:bCs w:val="0"/>
              <w:color w:val="auto"/>
              <w:sz w:val="24"/>
              <w:szCs w:val="22"/>
            </w:rPr>
            <w:t xml:space="preserve"> were put in place</w:t>
          </w:r>
          <w:r w:rsidR="00C41837">
            <w:rPr>
              <w:rFonts w:eastAsiaTheme="minorHAnsi" w:cstheme="minorBidi"/>
              <w:b w:val="0"/>
              <w:bCs w:val="0"/>
              <w:color w:val="auto"/>
              <w:sz w:val="24"/>
              <w:szCs w:val="22"/>
            </w:rPr>
            <w:t xml:space="preserve">. </w:t>
          </w:r>
          <w:r>
            <w:rPr>
              <w:rFonts w:eastAsiaTheme="minorHAnsi" w:cstheme="minorBidi"/>
              <w:b w:val="0"/>
              <w:bCs w:val="0"/>
              <w:color w:val="auto"/>
              <w:sz w:val="24"/>
              <w:szCs w:val="22"/>
            </w:rPr>
            <w:t xml:space="preserve">The below table shows the total number of </w:t>
          </w:r>
          <w:r w:rsidR="002A7D94">
            <w:rPr>
              <w:rFonts w:eastAsiaTheme="minorHAnsi" w:cstheme="minorBidi"/>
              <w:b w:val="0"/>
              <w:bCs w:val="0"/>
              <w:color w:val="auto"/>
              <w:sz w:val="24"/>
              <w:szCs w:val="22"/>
            </w:rPr>
            <w:t xml:space="preserve">initial application and amendment </w:t>
          </w:r>
          <w:r>
            <w:rPr>
              <w:rFonts w:eastAsiaTheme="minorHAnsi" w:cstheme="minorBidi"/>
              <w:b w:val="0"/>
              <w:bCs w:val="0"/>
              <w:color w:val="auto"/>
              <w:sz w:val="24"/>
              <w:szCs w:val="22"/>
            </w:rPr>
            <w:t>outcomes issued each month, with the number outcomes that met the KPI, were within 10 days of the KPI, and were more than 10 days outside the KPI.</w:t>
          </w:r>
          <w:r w:rsidR="002A7D94">
            <w:rPr>
              <w:rFonts w:eastAsiaTheme="minorHAnsi" w:cstheme="minorBidi"/>
              <w:b w:val="0"/>
              <w:bCs w:val="0"/>
              <w:color w:val="auto"/>
              <w:sz w:val="24"/>
              <w:szCs w:val="22"/>
            </w:rPr>
            <w:t xml:space="preserve"> </w:t>
          </w:r>
        </w:p>
        <w:p w14:paraId="0F1CFFD6" w14:textId="77777777" w:rsidR="00D24B83" w:rsidRPr="00D24B83" w:rsidRDefault="00D24B83" w:rsidP="00D24B83"/>
        <w:tbl>
          <w:tblPr>
            <w:tblStyle w:val="TableGrid"/>
            <w:tblW w:w="10863" w:type="dxa"/>
            <w:tblLook w:val="04A0" w:firstRow="1" w:lastRow="0" w:firstColumn="1" w:lastColumn="0" w:noHBand="0" w:noVBand="1"/>
          </w:tblPr>
          <w:tblGrid>
            <w:gridCol w:w="3539"/>
            <w:gridCol w:w="915"/>
            <w:gridCol w:w="916"/>
            <w:gridCol w:w="915"/>
            <w:gridCol w:w="916"/>
            <w:gridCol w:w="915"/>
            <w:gridCol w:w="916"/>
            <w:gridCol w:w="915"/>
            <w:gridCol w:w="916"/>
          </w:tblGrid>
          <w:tr w:rsidR="004265BC" w14:paraId="360A53F7" w14:textId="608CD03A" w:rsidTr="004265BC">
            <w:tc>
              <w:tcPr>
                <w:tcW w:w="3539" w:type="dxa"/>
              </w:tcPr>
              <w:p w14:paraId="22678BD4" w14:textId="77777777" w:rsidR="004265BC" w:rsidRDefault="004265BC" w:rsidP="005974E2"/>
            </w:tc>
            <w:tc>
              <w:tcPr>
                <w:tcW w:w="915" w:type="dxa"/>
              </w:tcPr>
              <w:p w14:paraId="796C0BA5" w14:textId="381A2945" w:rsidR="004265BC" w:rsidRPr="00C41837" w:rsidRDefault="004265BC" w:rsidP="004265BC">
                <w:pPr>
                  <w:jc w:val="center"/>
                  <w:rPr>
                    <w:b/>
                    <w:bCs/>
                  </w:rPr>
                </w:pPr>
                <w:r w:rsidRPr="00C41837">
                  <w:rPr>
                    <w:b/>
                    <w:bCs/>
                  </w:rPr>
                  <w:t>Jan</w:t>
                </w:r>
              </w:p>
            </w:tc>
            <w:tc>
              <w:tcPr>
                <w:tcW w:w="916" w:type="dxa"/>
              </w:tcPr>
              <w:p w14:paraId="4107ABA8" w14:textId="77777777" w:rsidR="004265BC" w:rsidRPr="00C41837" w:rsidRDefault="004265BC" w:rsidP="004265BC">
                <w:pPr>
                  <w:jc w:val="center"/>
                  <w:rPr>
                    <w:b/>
                    <w:bCs/>
                  </w:rPr>
                </w:pPr>
                <w:r w:rsidRPr="00C41837">
                  <w:rPr>
                    <w:b/>
                    <w:bCs/>
                  </w:rPr>
                  <w:t>Feb</w:t>
                </w:r>
              </w:p>
            </w:tc>
            <w:tc>
              <w:tcPr>
                <w:tcW w:w="915" w:type="dxa"/>
              </w:tcPr>
              <w:p w14:paraId="5E512977" w14:textId="77777777" w:rsidR="004265BC" w:rsidRPr="00C41837" w:rsidRDefault="004265BC" w:rsidP="004265BC">
                <w:pPr>
                  <w:jc w:val="center"/>
                  <w:rPr>
                    <w:b/>
                    <w:bCs/>
                  </w:rPr>
                </w:pPr>
                <w:r w:rsidRPr="00C41837">
                  <w:rPr>
                    <w:b/>
                    <w:bCs/>
                  </w:rPr>
                  <w:t>Ma</w:t>
                </w:r>
                <w:r>
                  <w:rPr>
                    <w:b/>
                    <w:bCs/>
                  </w:rPr>
                  <w:t>r</w:t>
                </w:r>
              </w:p>
            </w:tc>
            <w:tc>
              <w:tcPr>
                <w:tcW w:w="916" w:type="dxa"/>
              </w:tcPr>
              <w:p w14:paraId="6AB0A779" w14:textId="77777777" w:rsidR="004265BC" w:rsidRPr="00C41837" w:rsidRDefault="004265BC" w:rsidP="004265BC">
                <w:pPr>
                  <w:jc w:val="center"/>
                  <w:rPr>
                    <w:b/>
                    <w:bCs/>
                  </w:rPr>
                </w:pPr>
                <w:r w:rsidRPr="00C41837">
                  <w:rPr>
                    <w:b/>
                    <w:bCs/>
                  </w:rPr>
                  <w:t>Apr</w:t>
                </w:r>
              </w:p>
            </w:tc>
            <w:tc>
              <w:tcPr>
                <w:tcW w:w="915" w:type="dxa"/>
              </w:tcPr>
              <w:p w14:paraId="1615C6B8" w14:textId="77777777" w:rsidR="004265BC" w:rsidRPr="00C41837" w:rsidRDefault="004265BC" w:rsidP="004265BC">
                <w:pPr>
                  <w:jc w:val="center"/>
                  <w:rPr>
                    <w:b/>
                    <w:bCs/>
                  </w:rPr>
                </w:pPr>
                <w:r w:rsidRPr="00C41837">
                  <w:rPr>
                    <w:b/>
                    <w:bCs/>
                  </w:rPr>
                  <w:t>May</w:t>
                </w:r>
              </w:p>
            </w:tc>
            <w:tc>
              <w:tcPr>
                <w:tcW w:w="916" w:type="dxa"/>
              </w:tcPr>
              <w:p w14:paraId="5C753AB0" w14:textId="77777777" w:rsidR="004265BC" w:rsidRPr="00C41837" w:rsidRDefault="004265BC" w:rsidP="004265BC">
                <w:pPr>
                  <w:jc w:val="center"/>
                  <w:rPr>
                    <w:b/>
                    <w:bCs/>
                  </w:rPr>
                </w:pPr>
                <w:r w:rsidRPr="00C41837">
                  <w:rPr>
                    <w:b/>
                    <w:bCs/>
                  </w:rPr>
                  <w:t>Jun</w:t>
                </w:r>
              </w:p>
            </w:tc>
            <w:tc>
              <w:tcPr>
                <w:tcW w:w="915" w:type="dxa"/>
              </w:tcPr>
              <w:p w14:paraId="18595479" w14:textId="77777777" w:rsidR="004265BC" w:rsidRPr="00C41837" w:rsidRDefault="004265BC" w:rsidP="004265BC">
                <w:pPr>
                  <w:jc w:val="center"/>
                  <w:rPr>
                    <w:b/>
                    <w:bCs/>
                  </w:rPr>
                </w:pPr>
                <w:r w:rsidRPr="00C41837">
                  <w:rPr>
                    <w:b/>
                    <w:bCs/>
                  </w:rPr>
                  <w:t>Jul</w:t>
                </w:r>
              </w:p>
            </w:tc>
            <w:tc>
              <w:tcPr>
                <w:tcW w:w="916" w:type="dxa"/>
              </w:tcPr>
              <w:p w14:paraId="151D2E47" w14:textId="6A782427" w:rsidR="004265BC" w:rsidRPr="00531AEA" w:rsidRDefault="004265BC" w:rsidP="004265BC">
                <w:pPr>
                  <w:jc w:val="center"/>
                  <w:rPr>
                    <w:b/>
                    <w:bCs/>
                  </w:rPr>
                </w:pPr>
                <w:r w:rsidRPr="00531AEA">
                  <w:rPr>
                    <w:b/>
                    <w:bCs/>
                  </w:rPr>
                  <w:t>Aug</w:t>
                </w:r>
              </w:p>
            </w:tc>
          </w:tr>
          <w:tr w:rsidR="004265BC" w14:paraId="522F1D8B" w14:textId="1B850EEB" w:rsidTr="004265BC">
            <w:tc>
              <w:tcPr>
                <w:tcW w:w="3539" w:type="dxa"/>
              </w:tcPr>
              <w:p w14:paraId="73F9D3F7" w14:textId="7B669DE4" w:rsidR="004265BC" w:rsidRDefault="004265BC" w:rsidP="005974E2">
                <w:r>
                  <w:t>Total number of outcomes</w:t>
                </w:r>
              </w:p>
            </w:tc>
            <w:tc>
              <w:tcPr>
                <w:tcW w:w="915" w:type="dxa"/>
              </w:tcPr>
              <w:p w14:paraId="52459162" w14:textId="57367E7E" w:rsidR="004265BC" w:rsidRDefault="004265BC" w:rsidP="005974E2">
                <w:pPr>
                  <w:jc w:val="center"/>
                </w:pPr>
                <w:r>
                  <w:t>22</w:t>
                </w:r>
              </w:p>
            </w:tc>
            <w:tc>
              <w:tcPr>
                <w:tcW w:w="916" w:type="dxa"/>
              </w:tcPr>
              <w:p w14:paraId="51E730BF" w14:textId="385A7148" w:rsidR="004265BC" w:rsidRDefault="004265BC" w:rsidP="005974E2">
                <w:pPr>
                  <w:jc w:val="center"/>
                </w:pPr>
                <w:r>
                  <w:t>13</w:t>
                </w:r>
              </w:p>
            </w:tc>
            <w:tc>
              <w:tcPr>
                <w:tcW w:w="915" w:type="dxa"/>
              </w:tcPr>
              <w:p w14:paraId="2D45E88E" w14:textId="7D34839A" w:rsidR="004265BC" w:rsidRDefault="004265BC" w:rsidP="005974E2">
                <w:pPr>
                  <w:jc w:val="center"/>
                </w:pPr>
                <w:r>
                  <w:t>10</w:t>
                </w:r>
              </w:p>
            </w:tc>
            <w:tc>
              <w:tcPr>
                <w:tcW w:w="916" w:type="dxa"/>
              </w:tcPr>
              <w:p w14:paraId="6DF748E7" w14:textId="2FFA1624" w:rsidR="004265BC" w:rsidRDefault="004265BC" w:rsidP="005974E2">
                <w:pPr>
                  <w:jc w:val="center"/>
                </w:pPr>
                <w:r>
                  <w:t>4</w:t>
                </w:r>
              </w:p>
            </w:tc>
            <w:tc>
              <w:tcPr>
                <w:tcW w:w="915" w:type="dxa"/>
              </w:tcPr>
              <w:p w14:paraId="42B4C466" w14:textId="641F91F5" w:rsidR="004265BC" w:rsidRDefault="004265BC" w:rsidP="005974E2">
                <w:pPr>
                  <w:jc w:val="center"/>
                </w:pPr>
                <w:r>
                  <w:t>7</w:t>
                </w:r>
              </w:p>
            </w:tc>
            <w:tc>
              <w:tcPr>
                <w:tcW w:w="916" w:type="dxa"/>
              </w:tcPr>
              <w:p w14:paraId="2BDF47E9" w14:textId="222B25A3" w:rsidR="004265BC" w:rsidRDefault="004265BC" w:rsidP="005974E2">
                <w:pPr>
                  <w:jc w:val="center"/>
                </w:pPr>
                <w:r>
                  <w:t>25</w:t>
                </w:r>
              </w:p>
            </w:tc>
            <w:tc>
              <w:tcPr>
                <w:tcW w:w="915" w:type="dxa"/>
              </w:tcPr>
              <w:p w14:paraId="2FD67ABB" w14:textId="5634C28C" w:rsidR="004265BC" w:rsidRDefault="004265BC" w:rsidP="005974E2">
                <w:pPr>
                  <w:jc w:val="center"/>
                </w:pPr>
                <w:r>
                  <w:t>46</w:t>
                </w:r>
              </w:p>
            </w:tc>
            <w:tc>
              <w:tcPr>
                <w:tcW w:w="916" w:type="dxa"/>
              </w:tcPr>
              <w:p w14:paraId="5A9A1EE4" w14:textId="11F79E9F" w:rsidR="004265BC" w:rsidRPr="00531AEA" w:rsidRDefault="00CD43B8" w:rsidP="005974E2">
                <w:pPr>
                  <w:jc w:val="center"/>
                </w:pPr>
                <w:r w:rsidRPr="00531AEA">
                  <w:t>25</w:t>
                </w:r>
              </w:p>
            </w:tc>
          </w:tr>
          <w:tr w:rsidR="004265BC" w14:paraId="0BFC4A27" w14:textId="65A002A4" w:rsidTr="004265BC">
            <w:tc>
              <w:tcPr>
                <w:tcW w:w="3539" w:type="dxa"/>
              </w:tcPr>
              <w:p w14:paraId="748D2D84" w14:textId="77777777" w:rsidR="004265BC" w:rsidRDefault="004265BC" w:rsidP="005974E2">
                <w:r>
                  <w:t>Within KPI</w:t>
                </w:r>
              </w:p>
            </w:tc>
            <w:tc>
              <w:tcPr>
                <w:tcW w:w="915" w:type="dxa"/>
              </w:tcPr>
              <w:p w14:paraId="671820DB" w14:textId="6C05FA21" w:rsidR="004265BC" w:rsidRDefault="004265BC" w:rsidP="005974E2">
                <w:pPr>
                  <w:jc w:val="center"/>
                </w:pPr>
                <w:r>
                  <w:t>13</w:t>
                </w:r>
              </w:p>
            </w:tc>
            <w:tc>
              <w:tcPr>
                <w:tcW w:w="916" w:type="dxa"/>
              </w:tcPr>
              <w:p w14:paraId="23B14DCC" w14:textId="478222C9" w:rsidR="004265BC" w:rsidRDefault="004265BC" w:rsidP="005974E2">
                <w:pPr>
                  <w:jc w:val="center"/>
                </w:pPr>
                <w:r>
                  <w:t>9</w:t>
                </w:r>
              </w:p>
            </w:tc>
            <w:tc>
              <w:tcPr>
                <w:tcW w:w="915" w:type="dxa"/>
              </w:tcPr>
              <w:p w14:paraId="64025596" w14:textId="79810E38" w:rsidR="004265BC" w:rsidRDefault="004265BC" w:rsidP="005974E2">
                <w:pPr>
                  <w:jc w:val="center"/>
                </w:pPr>
                <w:r>
                  <w:t>8</w:t>
                </w:r>
              </w:p>
            </w:tc>
            <w:tc>
              <w:tcPr>
                <w:tcW w:w="916" w:type="dxa"/>
              </w:tcPr>
              <w:p w14:paraId="489A4A76" w14:textId="5D7E3677" w:rsidR="004265BC" w:rsidRDefault="004265BC" w:rsidP="005974E2">
                <w:pPr>
                  <w:jc w:val="center"/>
                </w:pPr>
                <w:r>
                  <w:t>3</w:t>
                </w:r>
              </w:p>
            </w:tc>
            <w:tc>
              <w:tcPr>
                <w:tcW w:w="915" w:type="dxa"/>
              </w:tcPr>
              <w:p w14:paraId="62276B14" w14:textId="75160E97" w:rsidR="004265BC" w:rsidRDefault="004265BC" w:rsidP="005974E2">
                <w:pPr>
                  <w:jc w:val="center"/>
                </w:pPr>
                <w:r>
                  <w:t>3</w:t>
                </w:r>
              </w:p>
            </w:tc>
            <w:tc>
              <w:tcPr>
                <w:tcW w:w="916" w:type="dxa"/>
              </w:tcPr>
              <w:p w14:paraId="1D43D2C8" w14:textId="051F6025" w:rsidR="004265BC" w:rsidRDefault="004265BC" w:rsidP="005974E2">
                <w:pPr>
                  <w:jc w:val="center"/>
                </w:pPr>
                <w:r>
                  <w:t>11</w:t>
                </w:r>
              </w:p>
            </w:tc>
            <w:tc>
              <w:tcPr>
                <w:tcW w:w="915" w:type="dxa"/>
              </w:tcPr>
              <w:p w14:paraId="4DFA0771" w14:textId="12D6D10F" w:rsidR="004265BC" w:rsidRDefault="004265BC" w:rsidP="005974E2">
                <w:pPr>
                  <w:jc w:val="center"/>
                </w:pPr>
                <w:r>
                  <w:t>25</w:t>
                </w:r>
              </w:p>
            </w:tc>
            <w:tc>
              <w:tcPr>
                <w:tcW w:w="916" w:type="dxa"/>
              </w:tcPr>
              <w:p w14:paraId="46924A69" w14:textId="1B536F4E" w:rsidR="004265BC" w:rsidRPr="00531AEA" w:rsidRDefault="00CD43B8" w:rsidP="005974E2">
                <w:pPr>
                  <w:jc w:val="center"/>
                </w:pPr>
                <w:r w:rsidRPr="00531AEA">
                  <w:t>2</w:t>
                </w:r>
                <w:r w:rsidR="0039641E" w:rsidRPr="00531AEA">
                  <w:t>2</w:t>
                </w:r>
              </w:p>
            </w:tc>
          </w:tr>
          <w:tr w:rsidR="004265BC" w14:paraId="6E50D533" w14:textId="753D6925" w:rsidTr="004265BC">
            <w:tc>
              <w:tcPr>
                <w:tcW w:w="3539" w:type="dxa"/>
              </w:tcPr>
              <w:p w14:paraId="68B5744F" w14:textId="77777777" w:rsidR="004265BC" w:rsidRDefault="004265BC" w:rsidP="005974E2">
                <w:r>
                  <w:t>Less than 10 days outside KPI</w:t>
                </w:r>
              </w:p>
            </w:tc>
            <w:tc>
              <w:tcPr>
                <w:tcW w:w="915" w:type="dxa"/>
              </w:tcPr>
              <w:p w14:paraId="143BF91B" w14:textId="5661903E" w:rsidR="004265BC" w:rsidRDefault="004265BC" w:rsidP="005974E2">
                <w:pPr>
                  <w:jc w:val="center"/>
                </w:pPr>
                <w:r>
                  <w:t>6</w:t>
                </w:r>
              </w:p>
            </w:tc>
            <w:tc>
              <w:tcPr>
                <w:tcW w:w="916" w:type="dxa"/>
              </w:tcPr>
              <w:p w14:paraId="5BD044B1" w14:textId="6F17939E" w:rsidR="004265BC" w:rsidRDefault="004265BC" w:rsidP="005974E2">
                <w:pPr>
                  <w:jc w:val="center"/>
                </w:pPr>
                <w:r>
                  <w:t>2</w:t>
                </w:r>
              </w:p>
            </w:tc>
            <w:tc>
              <w:tcPr>
                <w:tcW w:w="915" w:type="dxa"/>
              </w:tcPr>
              <w:p w14:paraId="5FE829DE" w14:textId="77777777" w:rsidR="004265BC" w:rsidRDefault="004265BC" w:rsidP="005974E2">
                <w:pPr>
                  <w:jc w:val="center"/>
                </w:pPr>
                <w:r>
                  <w:t>1</w:t>
                </w:r>
              </w:p>
            </w:tc>
            <w:tc>
              <w:tcPr>
                <w:tcW w:w="916" w:type="dxa"/>
              </w:tcPr>
              <w:p w14:paraId="689B153E" w14:textId="77777777" w:rsidR="004265BC" w:rsidRDefault="004265BC" w:rsidP="005974E2">
                <w:pPr>
                  <w:jc w:val="center"/>
                </w:pPr>
                <w:r>
                  <w:t>-</w:t>
                </w:r>
              </w:p>
            </w:tc>
            <w:tc>
              <w:tcPr>
                <w:tcW w:w="915" w:type="dxa"/>
              </w:tcPr>
              <w:p w14:paraId="208AE56F" w14:textId="77777777" w:rsidR="004265BC" w:rsidRDefault="004265BC" w:rsidP="005974E2">
                <w:pPr>
                  <w:jc w:val="center"/>
                </w:pPr>
                <w:r>
                  <w:t>-</w:t>
                </w:r>
              </w:p>
            </w:tc>
            <w:tc>
              <w:tcPr>
                <w:tcW w:w="916" w:type="dxa"/>
              </w:tcPr>
              <w:p w14:paraId="0B909B1C" w14:textId="77777777" w:rsidR="004265BC" w:rsidRDefault="004265BC" w:rsidP="005974E2">
                <w:pPr>
                  <w:jc w:val="center"/>
                </w:pPr>
                <w:r>
                  <w:t>-</w:t>
                </w:r>
              </w:p>
            </w:tc>
            <w:tc>
              <w:tcPr>
                <w:tcW w:w="915" w:type="dxa"/>
              </w:tcPr>
              <w:p w14:paraId="459B3519" w14:textId="79141DAE" w:rsidR="004265BC" w:rsidRDefault="004265BC" w:rsidP="005974E2">
                <w:pPr>
                  <w:jc w:val="center"/>
                </w:pPr>
                <w:r>
                  <w:t>4</w:t>
                </w:r>
              </w:p>
            </w:tc>
            <w:tc>
              <w:tcPr>
                <w:tcW w:w="916" w:type="dxa"/>
              </w:tcPr>
              <w:p w14:paraId="4FF7A9D3" w14:textId="6ECE277F" w:rsidR="004265BC" w:rsidRPr="00531AEA" w:rsidRDefault="00CD43B8" w:rsidP="005974E2">
                <w:pPr>
                  <w:jc w:val="center"/>
                </w:pPr>
                <w:r w:rsidRPr="00531AEA">
                  <w:t>1</w:t>
                </w:r>
              </w:p>
            </w:tc>
          </w:tr>
          <w:tr w:rsidR="004265BC" w14:paraId="5F1937F5" w14:textId="6B3AE761" w:rsidTr="004265BC">
            <w:tc>
              <w:tcPr>
                <w:tcW w:w="3539" w:type="dxa"/>
              </w:tcPr>
              <w:p w14:paraId="2E0FEC8E" w14:textId="77777777" w:rsidR="004265BC" w:rsidRDefault="004265BC" w:rsidP="005974E2">
                <w:r>
                  <w:t>Over 10 days outside of KPI</w:t>
                </w:r>
              </w:p>
            </w:tc>
            <w:tc>
              <w:tcPr>
                <w:tcW w:w="915" w:type="dxa"/>
              </w:tcPr>
              <w:p w14:paraId="33F2D423" w14:textId="0702F2F8" w:rsidR="004265BC" w:rsidRDefault="004265BC" w:rsidP="005974E2">
                <w:pPr>
                  <w:jc w:val="center"/>
                </w:pPr>
                <w:r>
                  <w:t>3</w:t>
                </w:r>
              </w:p>
            </w:tc>
            <w:tc>
              <w:tcPr>
                <w:tcW w:w="916" w:type="dxa"/>
              </w:tcPr>
              <w:p w14:paraId="05C1004F" w14:textId="77777777" w:rsidR="004265BC" w:rsidRDefault="004265BC" w:rsidP="005974E2">
                <w:pPr>
                  <w:jc w:val="center"/>
                </w:pPr>
                <w:r>
                  <w:t>1</w:t>
                </w:r>
              </w:p>
            </w:tc>
            <w:tc>
              <w:tcPr>
                <w:tcW w:w="915" w:type="dxa"/>
              </w:tcPr>
              <w:p w14:paraId="58359603" w14:textId="3B3023A6" w:rsidR="004265BC" w:rsidRDefault="004265BC" w:rsidP="005974E2">
                <w:pPr>
                  <w:jc w:val="center"/>
                </w:pPr>
                <w:r>
                  <w:t>1</w:t>
                </w:r>
              </w:p>
            </w:tc>
            <w:tc>
              <w:tcPr>
                <w:tcW w:w="916" w:type="dxa"/>
              </w:tcPr>
              <w:p w14:paraId="1AC8DD97" w14:textId="77777777" w:rsidR="004265BC" w:rsidRDefault="004265BC" w:rsidP="005974E2">
                <w:pPr>
                  <w:jc w:val="center"/>
                </w:pPr>
                <w:r>
                  <w:t>1</w:t>
                </w:r>
              </w:p>
            </w:tc>
            <w:tc>
              <w:tcPr>
                <w:tcW w:w="915" w:type="dxa"/>
              </w:tcPr>
              <w:p w14:paraId="26E99DEF" w14:textId="678543AD" w:rsidR="004265BC" w:rsidRDefault="004265BC" w:rsidP="005974E2">
                <w:pPr>
                  <w:jc w:val="center"/>
                </w:pPr>
                <w:r>
                  <w:t>4</w:t>
                </w:r>
              </w:p>
            </w:tc>
            <w:tc>
              <w:tcPr>
                <w:tcW w:w="916" w:type="dxa"/>
              </w:tcPr>
              <w:p w14:paraId="6B5C9684" w14:textId="232E5830" w:rsidR="004265BC" w:rsidRDefault="004265BC" w:rsidP="005974E2">
                <w:pPr>
                  <w:jc w:val="center"/>
                </w:pPr>
                <w:r>
                  <w:t>14</w:t>
                </w:r>
              </w:p>
            </w:tc>
            <w:tc>
              <w:tcPr>
                <w:tcW w:w="915" w:type="dxa"/>
              </w:tcPr>
              <w:p w14:paraId="5A0724BC" w14:textId="0BE4620A" w:rsidR="004265BC" w:rsidRDefault="004265BC" w:rsidP="005974E2">
                <w:pPr>
                  <w:jc w:val="center"/>
                </w:pPr>
                <w:r>
                  <w:t>17</w:t>
                </w:r>
              </w:p>
            </w:tc>
            <w:tc>
              <w:tcPr>
                <w:tcW w:w="916" w:type="dxa"/>
              </w:tcPr>
              <w:p w14:paraId="4DCB6B60" w14:textId="75CE1FC8" w:rsidR="004265BC" w:rsidRPr="00531AEA" w:rsidRDefault="00CD43B8" w:rsidP="005974E2">
                <w:pPr>
                  <w:jc w:val="center"/>
                </w:pPr>
                <w:r w:rsidRPr="00531AEA">
                  <w:t>2</w:t>
                </w:r>
              </w:p>
            </w:tc>
          </w:tr>
        </w:tbl>
        <w:p w14:paraId="5A6C1105" w14:textId="77777777" w:rsidR="004265BC" w:rsidRDefault="004265BC" w:rsidP="008B256C"/>
        <w:p w14:paraId="5723E776" w14:textId="1134BBEA" w:rsidR="008B256C" w:rsidRPr="004265BC" w:rsidRDefault="004265BC" w:rsidP="008B256C">
          <w:pPr>
            <w:rPr>
              <w:b/>
              <w:bCs/>
            </w:rPr>
          </w:pPr>
          <w:r w:rsidRPr="004265BC">
            <w:rPr>
              <w:b/>
              <w:bCs/>
            </w:rPr>
            <w:t xml:space="preserve">Table showing outcomes and </w:t>
          </w:r>
          <w:r w:rsidR="0039641E">
            <w:rPr>
              <w:b/>
              <w:bCs/>
            </w:rPr>
            <w:t xml:space="preserve">KPI </w:t>
          </w:r>
          <w:r w:rsidRPr="004265BC">
            <w:rPr>
              <w:b/>
              <w:bCs/>
            </w:rPr>
            <w:t>timelines by month for initial applications and amendments.</w:t>
          </w:r>
        </w:p>
        <w:p w14:paraId="542CDDC0" w14:textId="77777777" w:rsidR="004265BC" w:rsidRDefault="004265BC" w:rsidP="008B256C"/>
        <w:p w14:paraId="04F81978" w14:textId="35C0DCDF" w:rsidR="008B256C" w:rsidRDefault="008B256C" w:rsidP="008B256C">
          <w:r>
            <w:t>The data demonstrates t</w:t>
          </w:r>
          <w:r w:rsidR="006C7105">
            <w:t>he reduced volume of outputs in March to May, and how the team worked to increase these outputs in June and, particularly July. Whilst this work in June and July has actioned the outstanding caseload that has built up</w:t>
          </w:r>
          <w:r w:rsidR="00753632">
            <w:t xml:space="preserve"> (the reason for the numbers outside of KPI targets increasing)</w:t>
          </w:r>
          <w:r w:rsidR="006C7105">
            <w:t xml:space="preserve">, we have also continued to manage the new work coming in a timely manner, </w:t>
          </w:r>
          <w:r w:rsidR="00753632">
            <w:t xml:space="preserve">reflected by the increasing </w:t>
          </w:r>
          <w:r w:rsidR="006C7105">
            <w:t>number of outcomes being issue</w:t>
          </w:r>
          <w:r w:rsidR="00753632">
            <w:t>d</w:t>
          </w:r>
          <w:r w:rsidR="006C7105">
            <w:t xml:space="preserve"> within KPI targets.</w:t>
          </w:r>
          <w:r w:rsidR="00B3175C">
            <w:t xml:space="preserve"> </w:t>
          </w:r>
        </w:p>
        <w:p w14:paraId="2EF0F3B3" w14:textId="4B680461" w:rsidR="006C7105" w:rsidRDefault="006C7105" w:rsidP="008B256C"/>
        <w:p w14:paraId="2679AFE2" w14:textId="0C1050B2" w:rsidR="006C7105" w:rsidRDefault="000A2338" w:rsidP="008B256C">
          <w:r w:rsidRPr="00531AEA">
            <w:t xml:space="preserve">The August data demonstrates that </w:t>
          </w:r>
          <w:r w:rsidR="006C7105" w:rsidRPr="00531AEA">
            <w:t xml:space="preserve">this progress is continuing. </w:t>
          </w:r>
          <w:r w:rsidRPr="00531AEA">
            <w:t>The median timelines are reducing</w:t>
          </w:r>
          <w:r w:rsidR="0039641E" w:rsidRPr="00531AEA">
            <w:t xml:space="preserve">, as well as the majority of the outcomes being issued within the KPI timelines. All three </w:t>
          </w:r>
          <w:r w:rsidR="002335F6" w:rsidRPr="00531AEA">
            <w:t>outcomes</w:t>
          </w:r>
          <w:r w:rsidR="00707EB4" w:rsidRPr="00531AEA">
            <w:t xml:space="preserve"> </w:t>
          </w:r>
          <w:r w:rsidR="0039641E" w:rsidRPr="00531AEA">
            <w:t xml:space="preserve">that </w:t>
          </w:r>
          <w:r w:rsidR="002335F6" w:rsidRPr="00531AEA">
            <w:t>were</w:t>
          </w:r>
          <w:r w:rsidR="0039641E" w:rsidRPr="00531AEA">
            <w:t xml:space="preserve"> outside the KPIs </w:t>
          </w:r>
          <w:r w:rsidR="00707EB4" w:rsidRPr="00531AEA">
            <w:t xml:space="preserve">in August </w:t>
          </w:r>
          <w:r w:rsidR="0039641E" w:rsidRPr="00531AEA">
            <w:t xml:space="preserve">were part of the caseload process where </w:t>
          </w:r>
          <w:r w:rsidR="002335F6" w:rsidRPr="00531AEA">
            <w:t>the</w:t>
          </w:r>
          <w:r w:rsidR="0039641E" w:rsidRPr="00531AEA">
            <w:t xml:space="preserve"> outcome could only be issued once an external assurance had been received. This also impacted the median timelines for precedent set</w:t>
          </w:r>
          <w:r w:rsidR="002335F6" w:rsidRPr="00531AEA">
            <w:t xml:space="preserve"> applications</w:t>
          </w:r>
          <w:r w:rsidR="0039641E" w:rsidRPr="00531AEA">
            <w:t>, where 2 out of 3 outcomes issued were part of the caseload process – nevertheless these outcomes were issued in 31 and 41 days, with the remaining precedent set outcome, not within the caseload process</w:t>
          </w:r>
          <w:r w:rsidR="00707EB4" w:rsidRPr="00531AEA">
            <w:t>,</w:t>
          </w:r>
          <w:r w:rsidR="0039641E" w:rsidRPr="00531AEA">
            <w:t xml:space="preserve"> issued in 14 days.</w:t>
          </w:r>
        </w:p>
        <w:p w14:paraId="313C2168" w14:textId="27CD6115" w:rsidR="00454AE0" w:rsidRDefault="00E5726B" w:rsidP="00454AE0">
          <w:pPr>
            <w:pStyle w:val="Heading2"/>
            <w:spacing w:after="240"/>
          </w:pPr>
          <w:r>
            <w:t>M</w:t>
          </w:r>
          <w:r w:rsidR="00454AE0">
            <w:t>oving forwards</w:t>
          </w:r>
        </w:p>
        <w:p w14:paraId="6ADA5846" w14:textId="59FAD02D" w:rsidR="00454AE0" w:rsidRDefault="002443CF" w:rsidP="00454AE0">
          <w:r>
            <w:t>Processes are now in</w:t>
          </w:r>
          <w:r w:rsidR="005A1475">
            <w:t xml:space="preserve"> </w:t>
          </w:r>
          <w:r>
            <w:t xml:space="preserve">place for the newly established, complete team to </w:t>
          </w:r>
          <w:r w:rsidR="00454AE0">
            <w:t xml:space="preserve">manage the caseload </w:t>
          </w:r>
          <w:r w:rsidR="005A1475">
            <w:t>effectively</w:t>
          </w:r>
          <w:r w:rsidR="00454AE0">
            <w:t>:</w:t>
          </w:r>
        </w:p>
        <w:p w14:paraId="2F78EB83" w14:textId="20A93FFB" w:rsidR="001A26CF" w:rsidRPr="005A1475" w:rsidRDefault="001A26CF" w:rsidP="005A1475">
          <w:pPr>
            <w:pStyle w:val="ListParagraph"/>
            <w:numPr>
              <w:ilvl w:val="0"/>
              <w:numId w:val="8"/>
            </w:numPr>
            <w:rPr>
              <w:szCs w:val="24"/>
            </w:rPr>
          </w:pPr>
          <w:r>
            <w:rPr>
              <w:sz w:val="24"/>
              <w:szCs w:val="24"/>
            </w:rPr>
            <w:t>Admin assistant produces twice weekly reports on clocks for team to prioritise work</w:t>
          </w:r>
          <w:r w:rsidR="00CC7EC8">
            <w:rPr>
              <w:sz w:val="24"/>
              <w:szCs w:val="24"/>
            </w:rPr>
            <w:t>, as research systems do not provide visibility of this for staff.</w:t>
          </w:r>
        </w:p>
        <w:p w14:paraId="4CEFD376" w14:textId="641DED58" w:rsidR="00454AE0" w:rsidRDefault="005A1475" w:rsidP="00454AE0">
          <w:pPr>
            <w:pStyle w:val="ListParagraph"/>
            <w:numPr>
              <w:ilvl w:val="0"/>
              <w:numId w:val="8"/>
            </w:numPr>
            <w:rPr>
              <w:sz w:val="24"/>
              <w:szCs w:val="24"/>
            </w:rPr>
          </w:pPr>
          <w:r>
            <w:rPr>
              <w:sz w:val="24"/>
              <w:szCs w:val="24"/>
            </w:rPr>
            <w:t>W</w:t>
          </w:r>
          <w:r w:rsidR="00454AE0">
            <w:rPr>
              <w:sz w:val="24"/>
              <w:szCs w:val="24"/>
            </w:rPr>
            <w:t>eekly caseload meetings to discuss the caseload</w:t>
          </w:r>
          <w:r w:rsidR="00153891">
            <w:rPr>
              <w:sz w:val="24"/>
              <w:szCs w:val="24"/>
            </w:rPr>
            <w:t xml:space="preserve"> an</w:t>
          </w:r>
          <w:r w:rsidR="00015119">
            <w:rPr>
              <w:sz w:val="24"/>
              <w:szCs w:val="24"/>
            </w:rPr>
            <w:t>d</w:t>
          </w:r>
          <w:r w:rsidR="00153891">
            <w:rPr>
              <w:sz w:val="24"/>
              <w:szCs w:val="24"/>
            </w:rPr>
            <w:t xml:space="preserve"> deadlines and </w:t>
          </w:r>
          <w:r w:rsidR="001A26CF">
            <w:rPr>
              <w:sz w:val="24"/>
              <w:szCs w:val="24"/>
            </w:rPr>
            <w:t xml:space="preserve">agree </w:t>
          </w:r>
          <w:r w:rsidR="00454AE0">
            <w:rPr>
              <w:sz w:val="24"/>
              <w:szCs w:val="24"/>
            </w:rPr>
            <w:t>priorities for the week.</w:t>
          </w:r>
        </w:p>
        <w:p w14:paraId="013A9C8E" w14:textId="1A57278F" w:rsidR="005A1475" w:rsidRDefault="00153891" w:rsidP="00454AE0">
          <w:pPr>
            <w:pStyle w:val="ListParagraph"/>
            <w:numPr>
              <w:ilvl w:val="0"/>
              <w:numId w:val="8"/>
            </w:numPr>
            <w:rPr>
              <w:sz w:val="24"/>
              <w:szCs w:val="24"/>
            </w:rPr>
          </w:pPr>
          <w:r>
            <w:rPr>
              <w:sz w:val="24"/>
              <w:szCs w:val="24"/>
            </w:rPr>
            <w:t xml:space="preserve">Service manager has worked </w:t>
          </w:r>
          <w:r w:rsidR="005A1475">
            <w:rPr>
              <w:sz w:val="24"/>
              <w:szCs w:val="24"/>
            </w:rPr>
            <w:t>with the team to clarify processes and responsibilities for the flow of submissions.</w:t>
          </w:r>
        </w:p>
        <w:p w14:paraId="1EBDC6D5" w14:textId="2898CCA4" w:rsidR="00753632" w:rsidRDefault="00753632" w:rsidP="00454AE0">
          <w:pPr>
            <w:pStyle w:val="ListParagraph"/>
            <w:numPr>
              <w:ilvl w:val="0"/>
              <w:numId w:val="8"/>
            </w:numPr>
            <w:rPr>
              <w:sz w:val="24"/>
              <w:szCs w:val="24"/>
            </w:rPr>
          </w:pPr>
          <w:r>
            <w:rPr>
              <w:sz w:val="24"/>
              <w:szCs w:val="24"/>
            </w:rPr>
            <w:t>Admin Assistant to review</w:t>
          </w:r>
          <w:r w:rsidR="00CA1AFA">
            <w:rPr>
              <w:sz w:val="24"/>
              <w:szCs w:val="24"/>
            </w:rPr>
            <w:t xml:space="preserve"> every two weeks</w:t>
          </w:r>
          <w:r>
            <w:rPr>
              <w:sz w:val="24"/>
              <w:szCs w:val="24"/>
            </w:rPr>
            <w:t xml:space="preserve"> older submissions which cannot be issued an outcome because of reasons outside our control, to determine whether it is now possible to issue an outcome.</w:t>
          </w:r>
        </w:p>
        <w:p w14:paraId="37734CE4" w14:textId="4CD1E3AB" w:rsidR="00990F1D" w:rsidRDefault="00990F1D" w:rsidP="00454AE0">
          <w:pPr>
            <w:pStyle w:val="ListParagraph"/>
            <w:numPr>
              <w:ilvl w:val="0"/>
              <w:numId w:val="8"/>
            </w:numPr>
            <w:rPr>
              <w:sz w:val="24"/>
              <w:szCs w:val="24"/>
            </w:rPr>
          </w:pPr>
          <w:r>
            <w:rPr>
              <w:sz w:val="24"/>
              <w:szCs w:val="24"/>
            </w:rPr>
            <w:t xml:space="preserve">Once new members of the team are </w:t>
          </w:r>
          <w:r w:rsidR="00753632">
            <w:rPr>
              <w:sz w:val="24"/>
              <w:szCs w:val="24"/>
            </w:rPr>
            <w:t xml:space="preserve">fully </w:t>
          </w:r>
          <w:r w:rsidR="00153891">
            <w:rPr>
              <w:sz w:val="24"/>
              <w:szCs w:val="24"/>
            </w:rPr>
            <w:t xml:space="preserve">trained </w:t>
          </w:r>
          <w:r>
            <w:rPr>
              <w:sz w:val="24"/>
              <w:szCs w:val="24"/>
            </w:rPr>
            <w:t>this will provide further capacity</w:t>
          </w:r>
          <w:r w:rsidR="009F195B">
            <w:rPr>
              <w:sz w:val="24"/>
              <w:szCs w:val="24"/>
            </w:rPr>
            <w:t>.</w:t>
          </w:r>
          <w:r>
            <w:rPr>
              <w:sz w:val="24"/>
              <w:szCs w:val="24"/>
            </w:rPr>
            <w:t xml:space="preserve"> </w:t>
          </w:r>
        </w:p>
        <w:p w14:paraId="5D59A72F" w14:textId="6B272F18" w:rsidR="00990F1D" w:rsidRPr="005E77AA" w:rsidRDefault="005E77AA" w:rsidP="005E77AA">
          <w:pPr>
            <w:pStyle w:val="ListParagraph"/>
            <w:numPr>
              <w:ilvl w:val="0"/>
              <w:numId w:val="8"/>
            </w:numPr>
            <w:rPr>
              <w:sz w:val="24"/>
              <w:szCs w:val="24"/>
            </w:rPr>
          </w:pPr>
          <w:r w:rsidRPr="005E77AA">
            <w:rPr>
              <w:sz w:val="24"/>
              <w:szCs w:val="24"/>
            </w:rPr>
            <w:t xml:space="preserve">The Data Driven Technology programme provides the resource and framework to make improvements to Management Information and Research Systems to support processes, which will themselves be subject to refinement. This will </w:t>
          </w:r>
          <w:r w:rsidR="00153891">
            <w:rPr>
              <w:sz w:val="24"/>
              <w:szCs w:val="24"/>
            </w:rPr>
            <w:t>significantly reduce risk, combined with caseload meetings</w:t>
          </w:r>
          <w:r w:rsidRPr="005E77AA">
            <w:rPr>
              <w:sz w:val="24"/>
              <w:szCs w:val="24"/>
            </w:rPr>
            <w:t xml:space="preserve"> of outstanding work and approaching deadlines being missed. It will also reduce the current significant administrative burden that the team have when processing submissions to free capacity within the team</w:t>
          </w:r>
          <w:r w:rsidR="00153891">
            <w:rPr>
              <w:sz w:val="24"/>
              <w:szCs w:val="24"/>
            </w:rPr>
            <w:t xml:space="preserve">, which can then be applied to </w:t>
          </w:r>
          <w:r w:rsidR="00153891">
            <w:rPr>
              <w:sz w:val="24"/>
              <w:szCs w:val="24"/>
            </w:rPr>
            <w:lastRenderedPageBreak/>
            <w:t>functions such as pre-application advice, to improve quality of submissions, reducing burden on team and CAG and getting studies in place sooner</w:t>
          </w:r>
          <w:r w:rsidRPr="005E77AA">
            <w:rPr>
              <w:sz w:val="24"/>
              <w:szCs w:val="24"/>
            </w:rPr>
            <w:t>.</w:t>
          </w:r>
        </w:p>
        <w:p w14:paraId="536FA68A" w14:textId="77777777" w:rsidR="00454AE0" w:rsidRDefault="00454AE0" w:rsidP="00454AE0">
          <w:pPr>
            <w:rPr>
              <w:szCs w:val="24"/>
            </w:rPr>
          </w:pPr>
        </w:p>
        <w:p w14:paraId="1B496047" w14:textId="77777777" w:rsidR="00990F1D" w:rsidRPr="00454AE0" w:rsidRDefault="00990F1D" w:rsidP="003507F2">
          <w:pPr>
            <w:pStyle w:val="Heading2"/>
            <w:spacing w:after="100" w:afterAutospacing="1"/>
            <w:rPr>
              <w:sz w:val="24"/>
            </w:rPr>
          </w:pPr>
          <w:r>
            <w:t>Exiting the COPI Notice</w:t>
          </w:r>
        </w:p>
        <w:p w14:paraId="0092BE3A" w14:textId="622EF025" w:rsidR="003507F2" w:rsidRDefault="003507F2" w:rsidP="00CC7EC8">
          <w:pPr>
            <w:spacing w:after="100" w:afterAutospacing="1"/>
            <w:rPr>
              <w:rFonts w:cs="Arial"/>
            </w:rPr>
          </w:pPr>
          <w:r>
            <w:rPr>
              <w:rFonts w:cs="Arial"/>
            </w:rPr>
            <w:t>The COPI Notice has been extended to 31 March 2021. HRA, NHSX and NHS Digital are in the process of collating known activities operating under the COPI Notice in order to identify, prioritise and manage handling in conjunction with DHSC. The intention is to stratify into short, medium and long</w:t>
          </w:r>
          <w:r w:rsidR="00CC7EC8">
            <w:rPr>
              <w:rFonts w:cs="Arial"/>
            </w:rPr>
            <w:t>-</w:t>
          </w:r>
          <w:r>
            <w:rPr>
              <w:rFonts w:cs="Arial"/>
            </w:rPr>
            <w:t xml:space="preserve">term reliance on the Notice and identify the legal basis relevant activities should transition into so applicants are clearly supported into the correct pathway (via CAG, PHE, or de-identifying information). </w:t>
          </w:r>
        </w:p>
        <w:p w14:paraId="18987A22" w14:textId="3DBFB2BA" w:rsidR="003507F2" w:rsidRDefault="003507F2" w:rsidP="003507F2">
          <w:pPr>
            <w:rPr>
              <w:rFonts w:cs="Arial"/>
            </w:rPr>
          </w:pPr>
          <w:r>
            <w:rPr>
              <w:rFonts w:cs="Arial"/>
            </w:rPr>
            <w:t xml:space="preserve">There are currently circa 70 applications known to be operating under the COPI Notice; just over 50% relate to HRA-handled activity Note this is an estimation as NHS Digital have yet to provide specific details (due 27 August).  Currently up to 10 activities have been identified as not requiring transition post-COPI Notice expiry. Initial reviews indicate therefore circa 60 activities will need to transition to Regulation 5 support via the CAG. The CAG considers around 130 new applications a year, delivered through up to 20 quorate and 20 precedent-set review meetings. Should activities come to CAG within a short timescale, CAG would be unable to process these within short timescales. </w:t>
          </w:r>
        </w:p>
        <w:p w14:paraId="2C9233A2" w14:textId="77777777" w:rsidR="003507F2" w:rsidRDefault="003507F2" w:rsidP="003507F2">
          <w:pPr>
            <w:rPr>
              <w:rFonts w:cs="Arial"/>
            </w:rPr>
          </w:pPr>
        </w:p>
        <w:p w14:paraId="7FD3A58D" w14:textId="77777777" w:rsidR="003507F2" w:rsidRDefault="003507F2" w:rsidP="003507F2">
          <w:pPr>
            <w:rPr>
              <w:rFonts w:cs="Arial"/>
            </w:rPr>
          </w:pPr>
          <w:r>
            <w:rPr>
              <w:rFonts w:cs="Arial"/>
            </w:rPr>
            <w:t xml:space="preserve">Figures above are based upon known activities, and it is accepted there is also likely to be an unknown number of activities that have not been managed that may place additional demands upon the CAG and staff. As an interim measure, information has been published to encourage applicants to contact CAG by December so advice can be given on the way to proceed; NHSX are also keen to support any future communications through their guidance and supporting HRA communications. </w:t>
          </w:r>
        </w:p>
        <w:p w14:paraId="758316A8" w14:textId="77777777" w:rsidR="003507F2" w:rsidRDefault="003507F2" w:rsidP="003507F2">
          <w:pPr>
            <w:pStyle w:val="ListParagraph"/>
            <w:rPr>
              <w:rFonts w:cs="Arial"/>
            </w:rPr>
          </w:pPr>
        </w:p>
        <w:p w14:paraId="41091A00" w14:textId="7D67DFCE" w:rsidR="003507F2" w:rsidRDefault="003507F2" w:rsidP="003507F2">
          <w:pPr>
            <w:rPr>
              <w:rFonts w:cs="Arial"/>
            </w:rPr>
          </w:pPr>
          <w:r>
            <w:rPr>
              <w:rFonts w:cs="Arial"/>
            </w:rPr>
            <w:t xml:space="preserve">Discussions are underway with CAG and Service Manager to identify any flexibility in approach and options to manage within current capacity. Initial thoughts are that supporting and advising applicants in advance of submission will be critical so there are likely to be implications on resource to avoid potential influx and negative detrimental impact. </w:t>
          </w:r>
          <w:r w:rsidR="00707EB4" w:rsidRPr="00531AEA">
            <w:rPr>
              <w:rFonts w:cs="Arial"/>
            </w:rPr>
            <w:t xml:space="preserve">We are also actively </w:t>
          </w:r>
          <w:r w:rsidR="00A8209D" w:rsidRPr="00531AEA">
            <w:rPr>
              <w:rFonts w:cs="Arial"/>
            </w:rPr>
            <w:t>mitigating</w:t>
          </w:r>
          <w:r w:rsidR="00707EB4" w:rsidRPr="00531AEA">
            <w:rPr>
              <w:rFonts w:cs="Arial"/>
            </w:rPr>
            <w:t xml:space="preserve"> any potential influx of applications by recruiting some temporary support for the team to handle submissions to the CAG during this period. This process has started to enable any temporary support to be suitably trained in the handling process.</w:t>
          </w:r>
          <w:r w:rsidR="00531AEA" w:rsidRPr="00531AEA">
            <w:t xml:space="preserve"> </w:t>
          </w:r>
          <w:r w:rsidR="00531AEA" w:rsidRPr="00531AEA">
            <w:rPr>
              <w:rFonts w:cs="Arial"/>
            </w:rPr>
            <w:t>We are working with the CAG to implement a new precedent set category to manage these applications; this proposal and supporting criteria will be considered at the CAG away day 30 September as part of developing guidance.</w:t>
          </w:r>
        </w:p>
        <w:p w14:paraId="6CF91070" w14:textId="7BCB13EE" w:rsidR="000D1395" w:rsidRDefault="00734352" w:rsidP="00B405F6">
          <w:pPr>
            <w:spacing w:after="240"/>
            <w:rPr>
              <w:color w:val="000000" w:themeColor="text1"/>
            </w:rPr>
          </w:pPr>
        </w:p>
      </w:sdtContent>
    </w:sdt>
    <w:p w14:paraId="29F881AA" w14:textId="77777777" w:rsidR="007D3323" w:rsidRPr="006C714F" w:rsidRDefault="007D3323" w:rsidP="00FB7DD2">
      <w:pPr>
        <w:spacing w:after="200" w:line="276" w:lineRule="auto"/>
      </w:pPr>
    </w:p>
    <w:sectPr w:rsidR="007D3323" w:rsidRPr="006C714F" w:rsidSect="000A2338">
      <w:footerReference w:type="default" r:id="rId11"/>
      <w:headerReference w:type="first" r:id="rId12"/>
      <w:footerReference w:type="first" r:id="rId13"/>
      <w:pgSz w:w="11906" w:h="16838"/>
      <w:pgMar w:top="993" w:right="720" w:bottom="567" w:left="720" w:header="675"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E1584" w14:textId="77777777" w:rsidR="00B5082C" w:rsidRDefault="00B5082C" w:rsidP="00D478D4">
      <w:r>
        <w:separator/>
      </w:r>
    </w:p>
  </w:endnote>
  <w:endnote w:type="continuationSeparator" w:id="0">
    <w:p w14:paraId="59E7F1DF" w14:textId="77777777" w:rsidR="00B5082C" w:rsidRDefault="00B5082C"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275639"/>
      <w:docPartObj>
        <w:docPartGallery w:val="Page Numbers (Top of Page)"/>
        <w:docPartUnique/>
      </w:docPartObj>
    </w:sdtPr>
    <w:sdtEndPr/>
    <w:sdtContent>
      <w:p w14:paraId="7F3C85E9" w14:textId="77777777" w:rsidR="00D2223F" w:rsidRPr="00D2223F" w:rsidRDefault="00D2223F" w:rsidP="00D2223F">
        <w:pPr>
          <w:pStyle w:val="Footer"/>
          <w:jc w:val="right"/>
          <w:rPr>
            <w:b/>
            <w:bCs/>
            <w:sz w:val="20"/>
            <w:szCs w:val="24"/>
          </w:rPr>
        </w:pPr>
        <w:r w:rsidRPr="00D2223F">
          <w:rPr>
            <w:sz w:val="20"/>
          </w:rPr>
          <w:t xml:space="preserve">Page </w:t>
        </w:r>
        <w:r w:rsidRPr="00D2223F">
          <w:rPr>
            <w:b/>
            <w:bCs/>
            <w:sz w:val="20"/>
            <w:szCs w:val="24"/>
          </w:rPr>
          <w:fldChar w:fldCharType="begin"/>
        </w:r>
        <w:r w:rsidRPr="00D2223F">
          <w:rPr>
            <w:b/>
            <w:bCs/>
            <w:sz w:val="20"/>
          </w:rPr>
          <w:instrText xml:space="preserve"> PAGE </w:instrText>
        </w:r>
        <w:r w:rsidRPr="00D2223F">
          <w:rPr>
            <w:b/>
            <w:bCs/>
            <w:sz w:val="20"/>
            <w:szCs w:val="24"/>
          </w:rPr>
          <w:fldChar w:fldCharType="separate"/>
        </w:r>
        <w:r w:rsidRPr="00D2223F">
          <w:rPr>
            <w:b/>
            <w:bCs/>
            <w:sz w:val="20"/>
            <w:szCs w:val="24"/>
          </w:rPr>
          <w:t>1</w:t>
        </w:r>
        <w:r w:rsidRPr="00D2223F">
          <w:rPr>
            <w:b/>
            <w:bCs/>
            <w:sz w:val="20"/>
            <w:szCs w:val="24"/>
          </w:rPr>
          <w:fldChar w:fldCharType="end"/>
        </w:r>
        <w:r w:rsidRPr="00D2223F">
          <w:rPr>
            <w:sz w:val="20"/>
          </w:rPr>
          <w:t xml:space="preserve"> of </w:t>
        </w:r>
        <w:r w:rsidRPr="00D2223F">
          <w:rPr>
            <w:b/>
            <w:bCs/>
            <w:sz w:val="20"/>
            <w:szCs w:val="24"/>
          </w:rPr>
          <w:fldChar w:fldCharType="begin"/>
        </w:r>
        <w:r w:rsidRPr="00D2223F">
          <w:rPr>
            <w:b/>
            <w:bCs/>
            <w:sz w:val="20"/>
          </w:rPr>
          <w:instrText xml:space="preserve"> NUMPAGES  </w:instrText>
        </w:r>
        <w:r w:rsidRPr="00D2223F">
          <w:rPr>
            <w:b/>
            <w:bCs/>
            <w:sz w:val="20"/>
            <w:szCs w:val="24"/>
          </w:rPr>
          <w:fldChar w:fldCharType="separate"/>
        </w:r>
        <w:r w:rsidRPr="00D2223F">
          <w:rPr>
            <w:b/>
            <w:bCs/>
            <w:sz w:val="20"/>
            <w:szCs w:val="24"/>
          </w:rPr>
          <w:t>1</w:t>
        </w:r>
        <w:r w:rsidRPr="00D2223F">
          <w:rPr>
            <w:b/>
            <w:bCs/>
            <w:sz w:val="20"/>
            <w:szCs w:val="24"/>
          </w:rPr>
          <w:fldChar w:fldCharType="end"/>
        </w:r>
      </w:p>
      <w:p w14:paraId="4FEA40A4" w14:textId="77777777" w:rsidR="007D3323" w:rsidRPr="00D2223F" w:rsidRDefault="00734352" w:rsidP="007D3323">
        <w:pPr>
          <w:pStyle w:val="Footer"/>
        </w:pPr>
      </w:p>
    </w:sdtContent>
  </w:sdt>
  <w:p w14:paraId="68BEBD4D" w14:textId="77777777" w:rsidR="007D3323" w:rsidRDefault="007D3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503235"/>
      <w:docPartObj>
        <w:docPartGallery w:val="Page Numbers (Bottom of Page)"/>
        <w:docPartUnique/>
      </w:docPartObj>
    </w:sdtPr>
    <w:sdtEndPr/>
    <w:sdtContent>
      <w:sdt>
        <w:sdtPr>
          <w:id w:val="-1769616900"/>
          <w:docPartObj>
            <w:docPartGallery w:val="Page Numbers (Top of Page)"/>
            <w:docPartUnique/>
          </w:docPartObj>
        </w:sdtPr>
        <w:sdtEndPr/>
        <w:sdtContent>
          <w:p w14:paraId="43DB2A27" w14:textId="3795161F" w:rsidR="00D2223F" w:rsidRPr="00D2223F" w:rsidRDefault="00D2223F">
            <w:pPr>
              <w:pStyle w:val="Footer"/>
              <w:jc w:val="right"/>
              <w:rPr>
                <w:b/>
                <w:bCs/>
                <w:sz w:val="20"/>
                <w:szCs w:val="24"/>
              </w:rPr>
            </w:pPr>
          </w:p>
          <w:p w14:paraId="49ECE71E" w14:textId="5360CEBC" w:rsidR="00D2223F" w:rsidRDefault="00734352" w:rsidP="00D2223F">
            <w:pPr>
              <w:pStyle w:val="Footer"/>
            </w:pPr>
          </w:p>
        </w:sdtContent>
      </w:sdt>
    </w:sdtContent>
  </w:sdt>
  <w:p w14:paraId="206B58A5" w14:textId="77777777" w:rsidR="00FB7DD2" w:rsidRPr="00D2223F" w:rsidRDefault="00FB7DD2" w:rsidP="00D22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2F429" w14:textId="77777777" w:rsidR="00B5082C" w:rsidRDefault="00B5082C" w:rsidP="00D478D4">
      <w:r>
        <w:separator/>
      </w:r>
    </w:p>
  </w:footnote>
  <w:footnote w:type="continuationSeparator" w:id="0">
    <w:p w14:paraId="0DD1A758" w14:textId="77777777" w:rsidR="00B5082C" w:rsidRDefault="00B5082C" w:rsidP="00D4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65B5" w14:textId="77777777" w:rsidR="006C714F" w:rsidRDefault="00FA0F17">
    <w:pPr>
      <w:pStyle w:val="Header"/>
    </w:pPr>
    <w:r>
      <w:rPr>
        <w:noProof/>
        <w:lang w:eastAsia="en-GB"/>
      </w:rPr>
      <w:drawing>
        <wp:anchor distT="0" distB="0" distL="114300" distR="114300" simplePos="0" relativeHeight="251661312" behindDoc="0" locked="0" layoutInCell="1" allowOverlap="1" wp14:anchorId="0E239EDE" wp14:editId="0BC192DE">
          <wp:simplePos x="0" y="0"/>
          <wp:positionH relativeFrom="page">
            <wp:posOffset>3302725</wp:posOffset>
          </wp:positionH>
          <wp:positionV relativeFrom="paragraph">
            <wp:posOffset>-405584</wp:posOffset>
          </wp:positionV>
          <wp:extent cx="3582035" cy="1317625"/>
          <wp:effectExtent l="0" t="0" r="0" b="0"/>
          <wp:wrapTopAndBottom/>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Communications\5. Resources\Brand\Logo\NHS Health Research Authority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617"/>
                  <a:stretch/>
                </pic:blipFill>
                <pic:spPr bwMode="auto">
                  <a:xfrm>
                    <a:off x="0" y="0"/>
                    <a:ext cx="3582035" cy="131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15B26"/>
    <w:multiLevelType w:val="hybridMultilevel"/>
    <w:tmpl w:val="F91A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86849"/>
    <w:multiLevelType w:val="hybridMultilevel"/>
    <w:tmpl w:val="FE688290"/>
    <w:lvl w:ilvl="0" w:tplc="63FE6ED2">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643E3"/>
    <w:multiLevelType w:val="hybridMultilevel"/>
    <w:tmpl w:val="4AD07756"/>
    <w:lvl w:ilvl="0" w:tplc="63FE6ED2">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7377F"/>
    <w:multiLevelType w:val="hybridMultilevel"/>
    <w:tmpl w:val="734EF508"/>
    <w:lvl w:ilvl="0" w:tplc="63FE6ED2">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61106"/>
    <w:multiLevelType w:val="hybridMultilevel"/>
    <w:tmpl w:val="A50C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8A1DA9"/>
    <w:multiLevelType w:val="hybridMultilevel"/>
    <w:tmpl w:val="42BC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A64C86"/>
    <w:multiLevelType w:val="hybridMultilevel"/>
    <w:tmpl w:val="0ED67A2A"/>
    <w:lvl w:ilvl="0" w:tplc="63FE6ED2">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5F0C6F"/>
    <w:multiLevelType w:val="hybridMultilevel"/>
    <w:tmpl w:val="3D88FC56"/>
    <w:lvl w:ilvl="0" w:tplc="A0D226AE">
      <w:start w:val="1"/>
      <w:numFmt w:val="decimal"/>
      <w:lvlText w:val="%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
  </w:num>
  <w:num w:numId="3">
    <w:abstractNumId w:val="6"/>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D4"/>
    <w:rsid w:val="00000C3C"/>
    <w:rsid w:val="00015119"/>
    <w:rsid w:val="00056B25"/>
    <w:rsid w:val="00087F5C"/>
    <w:rsid w:val="000A141E"/>
    <w:rsid w:val="000A2338"/>
    <w:rsid w:val="000B3A4E"/>
    <w:rsid w:val="000D0705"/>
    <w:rsid w:val="000D1395"/>
    <w:rsid w:val="000E2D6F"/>
    <w:rsid w:val="00100DDD"/>
    <w:rsid w:val="00153891"/>
    <w:rsid w:val="00155BAF"/>
    <w:rsid w:val="00177B6F"/>
    <w:rsid w:val="001834D4"/>
    <w:rsid w:val="001A26CF"/>
    <w:rsid w:val="001C323A"/>
    <w:rsid w:val="001E2326"/>
    <w:rsid w:val="001E4890"/>
    <w:rsid w:val="001F374E"/>
    <w:rsid w:val="002335F6"/>
    <w:rsid w:val="00234716"/>
    <w:rsid w:val="002443CF"/>
    <w:rsid w:val="00280398"/>
    <w:rsid w:val="00280AE8"/>
    <w:rsid w:val="002A7D94"/>
    <w:rsid w:val="002B6AE9"/>
    <w:rsid w:val="002E3C35"/>
    <w:rsid w:val="002E50C3"/>
    <w:rsid w:val="00303472"/>
    <w:rsid w:val="00303735"/>
    <w:rsid w:val="003209A8"/>
    <w:rsid w:val="003507F2"/>
    <w:rsid w:val="00391D85"/>
    <w:rsid w:val="0039641E"/>
    <w:rsid w:val="003E1130"/>
    <w:rsid w:val="00411914"/>
    <w:rsid w:val="004265BC"/>
    <w:rsid w:val="00454AE0"/>
    <w:rsid w:val="00482ECD"/>
    <w:rsid w:val="00487CE5"/>
    <w:rsid w:val="00492D06"/>
    <w:rsid w:val="004B2573"/>
    <w:rsid w:val="004C2EDA"/>
    <w:rsid w:val="004F3829"/>
    <w:rsid w:val="00510362"/>
    <w:rsid w:val="0053175E"/>
    <w:rsid w:val="00531AEA"/>
    <w:rsid w:val="00566BC5"/>
    <w:rsid w:val="005A1475"/>
    <w:rsid w:val="005B3EC6"/>
    <w:rsid w:val="005C10B2"/>
    <w:rsid w:val="005D0D60"/>
    <w:rsid w:val="005D1BE1"/>
    <w:rsid w:val="005E77AA"/>
    <w:rsid w:val="006177D7"/>
    <w:rsid w:val="00633EB2"/>
    <w:rsid w:val="00636494"/>
    <w:rsid w:val="00636695"/>
    <w:rsid w:val="0068386A"/>
    <w:rsid w:val="006972CC"/>
    <w:rsid w:val="006C7105"/>
    <w:rsid w:val="006C714F"/>
    <w:rsid w:val="006E6EAC"/>
    <w:rsid w:val="00707EB4"/>
    <w:rsid w:val="0073309F"/>
    <w:rsid w:val="00734280"/>
    <w:rsid w:val="00734352"/>
    <w:rsid w:val="0074354E"/>
    <w:rsid w:val="00753632"/>
    <w:rsid w:val="00763D7F"/>
    <w:rsid w:val="0076479E"/>
    <w:rsid w:val="007947E0"/>
    <w:rsid w:val="007D24B5"/>
    <w:rsid w:val="007D306B"/>
    <w:rsid w:val="007D3323"/>
    <w:rsid w:val="007E68AA"/>
    <w:rsid w:val="00836DB5"/>
    <w:rsid w:val="008529DC"/>
    <w:rsid w:val="00853FCE"/>
    <w:rsid w:val="00875F16"/>
    <w:rsid w:val="00897C6D"/>
    <w:rsid w:val="008B1A7B"/>
    <w:rsid w:val="008B256C"/>
    <w:rsid w:val="008C1C10"/>
    <w:rsid w:val="0090200D"/>
    <w:rsid w:val="009201F7"/>
    <w:rsid w:val="00942C40"/>
    <w:rsid w:val="00960D0B"/>
    <w:rsid w:val="00977365"/>
    <w:rsid w:val="00990F1D"/>
    <w:rsid w:val="009C7C20"/>
    <w:rsid w:val="009D0ADB"/>
    <w:rsid w:val="009F195B"/>
    <w:rsid w:val="00A23513"/>
    <w:rsid w:val="00A8209D"/>
    <w:rsid w:val="00B05C3F"/>
    <w:rsid w:val="00B16D53"/>
    <w:rsid w:val="00B3175C"/>
    <w:rsid w:val="00B405F6"/>
    <w:rsid w:val="00B5082C"/>
    <w:rsid w:val="00B55F0E"/>
    <w:rsid w:val="00B56CD6"/>
    <w:rsid w:val="00BF5CD7"/>
    <w:rsid w:val="00C119BC"/>
    <w:rsid w:val="00C41837"/>
    <w:rsid w:val="00C7393C"/>
    <w:rsid w:val="00CA1AFA"/>
    <w:rsid w:val="00CB6691"/>
    <w:rsid w:val="00CC7EC8"/>
    <w:rsid w:val="00CD43B8"/>
    <w:rsid w:val="00CE6F09"/>
    <w:rsid w:val="00D2223F"/>
    <w:rsid w:val="00D24B83"/>
    <w:rsid w:val="00D25324"/>
    <w:rsid w:val="00D32F84"/>
    <w:rsid w:val="00D33918"/>
    <w:rsid w:val="00D35026"/>
    <w:rsid w:val="00D478D4"/>
    <w:rsid w:val="00D738E4"/>
    <w:rsid w:val="00DA12D3"/>
    <w:rsid w:val="00E53F9E"/>
    <w:rsid w:val="00E5726B"/>
    <w:rsid w:val="00EE20DE"/>
    <w:rsid w:val="00EE2F55"/>
    <w:rsid w:val="00F14E61"/>
    <w:rsid w:val="00F238F3"/>
    <w:rsid w:val="00F44BE3"/>
    <w:rsid w:val="00F649FF"/>
    <w:rsid w:val="00F730E5"/>
    <w:rsid w:val="00F750F0"/>
    <w:rsid w:val="00FA0F17"/>
    <w:rsid w:val="00FB7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F68464"/>
  <w15:docId w15:val="{859DCDFD-F214-4449-B11F-5C076935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Document text"/>
    <w:qFormat/>
    <w:rsid w:val="00D478D4"/>
    <w:pPr>
      <w:spacing w:after="0" w:line="240" w:lineRule="auto"/>
    </w:pPr>
    <w:rPr>
      <w:rFonts w:ascii="Arial" w:hAnsi="Arial"/>
      <w:sz w:val="24"/>
    </w:rPr>
  </w:style>
  <w:style w:type="paragraph" w:styleId="Heading1">
    <w:name w:val="heading 1"/>
    <w:aliases w:val="Title one"/>
    <w:basedOn w:val="Normal"/>
    <w:next w:val="Normal"/>
    <w:link w:val="Heading1Char"/>
    <w:uiPriority w:val="9"/>
    <w:qFormat/>
    <w:rsid w:val="00C7393C"/>
    <w:pPr>
      <w:keepNext/>
      <w:keepLines/>
      <w:outlineLvl w:val="0"/>
    </w:pPr>
    <w:rPr>
      <w:rFonts w:eastAsiaTheme="majorEastAsia" w:cstheme="majorBidi"/>
      <w:b/>
      <w:bCs/>
      <w:color w:val="005EB8"/>
      <w:sz w:val="40"/>
      <w:szCs w:val="28"/>
    </w:rPr>
  </w:style>
  <w:style w:type="paragraph" w:styleId="Heading2">
    <w:name w:val="heading 2"/>
    <w:aliases w:val="Title two"/>
    <w:basedOn w:val="Normal"/>
    <w:next w:val="Normal"/>
    <w:link w:val="Heading2Char"/>
    <w:uiPriority w:val="9"/>
    <w:unhideWhenUsed/>
    <w:qFormat/>
    <w:rsid w:val="0074354E"/>
    <w:pPr>
      <w:keepNext/>
      <w:keepLines/>
      <w:spacing w:before="200"/>
      <w:outlineLvl w:val="1"/>
    </w:pPr>
    <w:rPr>
      <w:rFonts w:eastAsiaTheme="majorEastAsia" w:cstheme="majorBidi"/>
      <w:b/>
      <w:bCs/>
      <w:color w:val="003087"/>
      <w:sz w:val="28"/>
      <w:szCs w:val="26"/>
    </w:rPr>
  </w:style>
  <w:style w:type="paragraph" w:styleId="Heading3">
    <w:name w:val="heading 3"/>
    <w:basedOn w:val="Normal"/>
    <w:next w:val="Normal"/>
    <w:link w:val="Heading3Char"/>
    <w:uiPriority w:val="9"/>
    <w:semiHidden/>
    <w:unhideWhenUsed/>
    <w:rsid w:val="00B405F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ne Char"/>
    <w:basedOn w:val="DefaultParagraphFont"/>
    <w:link w:val="Heading1"/>
    <w:uiPriority w:val="9"/>
    <w:rsid w:val="00C7393C"/>
    <w:rPr>
      <w:rFonts w:ascii="Arial" w:eastAsiaTheme="majorEastAsia" w:hAnsi="Arial" w:cstheme="majorBidi"/>
      <w:b/>
      <w:bCs/>
      <w:color w:val="005EB8"/>
      <w:sz w:val="40"/>
      <w:szCs w:val="28"/>
    </w:rPr>
  </w:style>
  <w:style w:type="character" w:customStyle="1" w:styleId="Heading2Char">
    <w:name w:val="Heading 2 Char"/>
    <w:aliases w:val="Title two Char"/>
    <w:basedOn w:val="DefaultParagraphFont"/>
    <w:link w:val="Heading2"/>
    <w:uiPriority w:val="9"/>
    <w:rsid w:val="0074354E"/>
    <w:rPr>
      <w:rFonts w:ascii="Arial" w:eastAsiaTheme="majorEastAsia" w:hAnsi="Arial" w:cstheme="majorBidi"/>
      <w:b/>
      <w:bCs/>
      <w:color w:val="003087"/>
      <w:sz w:val="28"/>
      <w:szCs w:val="26"/>
    </w:rPr>
  </w:style>
  <w:style w:type="paragraph" w:styleId="Subtitle">
    <w:name w:val="Subtitle"/>
    <w:basedOn w:val="Normal"/>
    <w:next w:val="Normal"/>
    <w:link w:val="SubtitleChar"/>
    <w:uiPriority w:val="11"/>
    <w:qFormat/>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99"/>
    <w:qFormat/>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table" w:styleId="TableGrid">
    <w:name w:val="Table Grid"/>
    <w:basedOn w:val="TableNormal"/>
    <w:uiPriority w:val="59"/>
    <w:rsid w:val="00100D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DDD"/>
    <w:pPr>
      <w:ind w:left="720"/>
      <w:contextualSpacing/>
    </w:pPr>
    <w:rPr>
      <w:rFonts w:eastAsia="Calibri" w:cs="Times New Roman"/>
      <w:sz w:val="22"/>
    </w:rPr>
  </w:style>
  <w:style w:type="paragraph" w:styleId="Title">
    <w:name w:val="Title"/>
    <w:basedOn w:val="Normal"/>
    <w:next w:val="Normal"/>
    <w:link w:val="TitleChar"/>
    <w:uiPriority w:val="10"/>
    <w:rsid w:val="00100DDD"/>
    <w:pPr>
      <w:spacing w:after="300"/>
      <w:contextualSpacing/>
    </w:pPr>
    <w:rPr>
      <w:rFonts w:eastAsia="MS Gothic" w:cs="Times New Roman"/>
      <w:bCs/>
      <w:color w:val="331188"/>
      <w:kern w:val="28"/>
      <w:sz w:val="66"/>
      <w:szCs w:val="32"/>
      <w:lang w:val="x-none" w:eastAsia="x-none"/>
    </w:rPr>
  </w:style>
  <w:style w:type="character" w:customStyle="1" w:styleId="TitleChar">
    <w:name w:val="Title Char"/>
    <w:basedOn w:val="DefaultParagraphFont"/>
    <w:link w:val="Title"/>
    <w:uiPriority w:val="10"/>
    <w:rsid w:val="00100DDD"/>
    <w:rPr>
      <w:rFonts w:ascii="Arial" w:eastAsia="MS Gothic" w:hAnsi="Arial" w:cs="Times New Roman"/>
      <w:bCs/>
      <w:color w:val="331188"/>
      <w:kern w:val="28"/>
      <w:sz w:val="66"/>
      <w:szCs w:val="32"/>
      <w:lang w:val="x-none" w:eastAsia="x-none"/>
    </w:rPr>
  </w:style>
  <w:style w:type="character" w:styleId="PlaceholderText">
    <w:name w:val="Placeholder Text"/>
    <w:basedOn w:val="DefaultParagraphFont"/>
    <w:uiPriority w:val="99"/>
    <w:semiHidden/>
    <w:rsid w:val="00100DDD"/>
    <w:rPr>
      <w:color w:val="808080"/>
    </w:rPr>
  </w:style>
  <w:style w:type="character" w:styleId="CommentReference">
    <w:name w:val="annotation reference"/>
    <w:basedOn w:val="DefaultParagraphFont"/>
    <w:uiPriority w:val="99"/>
    <w:semiHidden/>
    <w:unhideWhenUsed/>
    <w:rsid w:val="000E2D6F"/>
    <w:rPr>
      <w:sz w:val="16"/>
      <w:szCs w:val="16"/>
    </w:rPr>
  </w:style>
  <w:style w:type="paragraph" w:styleId="CommentText">
    <w:name w:val="annotation text"/>
    <w:basedOn w:val="Normal"/>
    <w:link w:val="CommentTextChar"/>
    <w:uiPriority w:val="99"/>
    <w:semiHidden/>
    <w:unhideWhenUsed/>
    <w:rsid w:val="000E2D6F"/>
    <w:rPr>
      <w:sz w:val="20"/>
      <w:szCs w:val="20"/>
    </w:rPr>
  </w:style>
  <w:style w:type="character" w:customStyle="1" w:styleId="CommentTextChar">
    <w:name w:val="Comment Text Char"/>
    <w:basedOn w:val="DefaultParagraphFont"/>
    <w:link w:val="CommentText"/>
    <w:uiPriority w:val="99"/>
    <w:semiHidden/>
    <w:rsid w:val="000E2D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2D6F"/>
    <w:rPr>
      <w:b/>
      <w:bCs/>
    </w:rPr>
  </w:style>
  <w:style w:type="character" w:customStyle="1" w:styleId="CommentSubjectChar">
    <w:name w:val="Comment Subject Char"/>
    <w:basedOn w:val="CommentTextChar"/>
    <w:link w:val="CommentSubject"/>
    <w:uiPriority w:val="99"/>
    <w:semiHidden/>
    <w:rsid w:val="000E2D6F"/>
    <w:rPr>
      <w:rFonts w:ascii="Arial" w:hAnsi="Arial"/>
      <w:b/>
      <w:bCs/>
      <w:sz w:val="20"/>
      <w:szCs w:val="20"/>
    </w:rPr>
  </w:style>
  <w:style w:type="paragraph" w:styleId="Revision">
    <w:name w:val="Revision"/>
    <w:hidden/>
    <w:uiPriority w:val="99"/>
    <w:semiHidden/>
    <w:rsid w:val="00FA0F17"/>
    <w:pPr>
      <w:spacing w:after="0" w:line="240" w:lineRule="auto"/>
    </w:pPr>
    <w:rPr>
      <w:rFonts w:ascii="Arial" w:hAnsi="Arial"/>
      <w:sz w:val="24"/>
    </w:rPr>
  </w:style>
  <w:style w:type="paragraph" w:customStyle="1" w:styleId="Basictext">
    <w:name w:val="Basic text"/>
    <w:basedOn w:val="Normal"/>
    <w:link w:val="BasictextChar"/>
    <w:qFormat/>
    <w:rsid w:val="00177B6F"/>
    <w:pPr>
      <w:spacing w:after="200" w:line="276" w:lineRule="auto"/>
    </w:pPr>
  </w:style>
  <w:style w:type="character" w:customStyle="1" w:styleId="BasictextChar">
    <w:name w:val="Basic text Char"/>
    <w:basedOn w:val="DefaultParagraphFont"/>
    <w:link w:val="Basictext"/>
    <w:rsid w:val="00177B6F"/>
    <w:rPr>
      <w:rFonts w:ascii="Arial" w:hAnsi="Arial"/>
      <w:sz w:val="24"/>
    </w:rPr>
  </w:style>
  <w:style w:type="character" w:customStyle="1" w:styleId="Heading3Char">
    <w:name w:val="Heading 3 Char"/>
    <w:basedOn w:val="DefaultParagraphFont"/>
    <w:link w:val="Heading3"/>
    <w:uiPriority w:val="9"/>
    <w:semiHidden/>
    <w:rsid w:val="00B405F6"/>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B40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57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solidFill>
                  <a:sysClr val="windowText" lastClr="000000"/>
                </a:solidFill>
                <a:latin typeface="Arial" panose="020B0604020202020204" pitchFamily="34" charset="0"/>
                <a:cs typeface="Arial" panose="020B0604020202020204" pitchFamily="34" charset="0"/>
              </a:rPr>
              <a:t>Submissions and</a:t>
            </a:r>
            <a:r>
              <a:rPr lang="en-GB" sz="1100" baseline="0">
                <a:solidFill>
                  <a:sysClr val="windowText" lastClr="000000"/>
                </a:solidFill>
                <a:latin typeface="Arial" panose="020B0604020202020204" pitchFamily="34" charset="0"/>
                <a:cs typeface="Arial" panose="020B0604020202020204" pitchFamily="34" charset="0"/>
              </a:rPr>
              <a:t> outcomes of initial applications, amendments and annual reviews</a:t>
            </a:r>
            <a:endParaRPr lang="en-GB" sz="11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Data!$C$20</c:f>
              <c:strCache>
                <c:ptCount val="1"/>
                <c:pt idx="0">
                  <c:v>Submissions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Data!$D$19:$K$19</c:f>
              <c:numCache>
                <c:formatCode>mmm\-yy</c:formatCode>
                <c:ptCount val="8"/>
                <c:pt idx="0">
                  <c:v>43831</c:v>
                </c:pt>
                <c:pt idx="1">
                  <c:v>43862</c:v>
                </c:pt>
                <c:pt idx="2">
                  <c:v>43891</c:v>
                </c:pt>
                <c:pt idx="3">
                  <c:v>43922</c:v>
                </c:pt>
                <c:pt idx="4">
                  <c:v>43952</c:v>
                </c:pt>
                <c:pt idx="5">
                  <c:v>43983</c:v>
                </c:pt>
                <c:pt idx="6">
                  <c:v>44013</c:v>
                </c:pt>
                <c:pt idx="7">
                  <c:v>44044</c:v>
                </c:pt>
              </c:numCache>
            </c:numRef>
          </c:cat>
          <c:val>
            <c:numRef>
              <c:f>Data!$D$20:$K$20</c:f>
              <c:numCache>
                <c:formatCode>General</c:formatCode>
                <c:ptCount val="8"/>
                <c:pt idx="0">
                  <c:v>45</c:v>
                </c:pt>
                <c:pt idx="1">
                  <c:v>61</c:v>
                </c:pt>
                <c:pt idx="2">
                  <c:v>27</c:v>
                </c:pt>
                <c:pt idx="3">
                  <c:v>34</c:v>
                </c:pt>
                <c:pt idx="4">
                  <c:v>28</c:v>
                </c:pt>
                <c:pt idx="5">
                  <c:v>51</c:v>
                </c:pt>
                <c:pt idx="6">
                  <c:v>46</c:v>
                </c:pt>
                <c:pt idx="7">
                  <c:v>51</c:v>
                </c:pt>
              </c:numCache>
            </c:numRef>
          </c:val>
          <c:smooth val="0"/>
          <c:extLst>
            <c:ext xmlns:c16="http://schemas.microsoft.com/office/drawing/2014/chart" uri="{C3380CC4-5D6E-409C-BE32-E72D297353CC}">
              <c16:uniqueId val="{00000000-D2BD-438F-897A-AA4676D06511}"/>
            </c:ext>
          </c:extLst>
        </c:ser>
        <c:ser>
          <c:idx val="1"/>
          <c:order val="1"/>
          <c:tx>
            <c:strRef>
              <c:f>Data!$C$21</c:f>
              <c:strCache>
                <c:ptCount val="1"/>
                <c:pt idx="0">
                  <c:v>Outcomes issued</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Data!$D$19:$K$19</c:f>
              <c:numCache>
                <c:formatCode>mmm\-yy</c:formatCode>
                <c:ptCount val="8"/>
                <c:pt idx="0">
                  <c:v>43831</c:v>
                </c:pt>
                <c:pt idx="1">
                  <c:v>43862</c:v>
                </c:pt>
                <c:pt idx="2">
                  <c:v>43891</c:v>
                </c:pt>
                <c:pt idx="3">
                  <c:v>43922</c:v>
                </c:pt>
                <c:pt idx="4">
                  <c:v>43952</c:v>
                </c:pt>
                <c:pt idx="5">
                  <c:v>43983</c:v>
                </c:pt>
                <c:pt idx="6">
                  <c:v>44013</c:v>
                </c:pt>
                <c:pt idx="7">
                  <c:v>44044</c:v>
                </c:pt>
              </c:numCache>
            </c:numRef>
          </c:cat>
          <c:val>
            <c:numRef>
              <c:f>Data!$D$21:$K$21</c:f>
              <c:numCache>
                <c:formatCode>General</c:formatCode>
                <c:ptCount val="8"/>
                <c:pt idx="0">
                  <c:v>28</c:v>
                </c:pt>
                <c:pt idx="1">
                  <c:v>29</c:v>
                </c:pt>
                <c:pt idx="2">
                  <c:v>20</c:v>
                </c:pt>
                <c:pt idx="3">
                  <c:v>6</c:v>
                </c:pt>
                <c:pt idx="4">
                  <c:v>38</c:v>
                </c:pt>
                <c:pt idx="5">
                  <c:v>36</c:v>
                </c:pt>
                <c:pt idx="6">
                  <c:v>83</c:v>
                </c:pt>
                <c:pt idx="7">
                  <c:v>43</c:v>
                </c:pt>
              </c:numCache>
            </c:numRef>
          </c:val>
          <c:smooth val="0"/>
          <c:extLst>
            <c:ext xmlns:c16="http://schemas.microsoft.com/office/drawing/2014/chart" uri="{C3380CC4-5D6E-409C-BE32-E72D297353CC}">
              <c16:uniqueId val="{00000001-D2BD-438F-897A-AA4676D06511}"/>
            </c:ext>
          </c:extLst>
        </c:ser>
        <c:dLbls>
          <c:showLegendKey val="0"/>
          <c:showVal val="0"/>
          <c:showCatName val="0"/>
          <c:showSerName val="0"/>
          <c:showPercent val="0"/>
          <c:showBubbleSize val="0"/>
        </c:dLbls>
        <c:marker val="1"/>
        <c:smooth val="0"/>
        <c:axId val="433792424"/>
        <c:axId val="433789800"/>
      </c:lineChart>
      <c:dateAx>
        <c:axId val="43379242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789800"/>
        <c:crosses val="autoZero"/>
        <c:auto val="1"/>
        <c:lblOffset val="100"/>
        <c:baseTimeUnit val="months"/>
      </c:dateAx>
      <c:valAx>
        <c:axId val="433789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79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solidFill>
                  <a:sysClr val="windowText" lastClr="000000"/>
                </a:solidFill>
                <a:latin typeface="Arial" panose="020B0604020202020204" pitchFamily="34" charset="0"/>
                <a:cs typeface="Arial" panose="020B0604020202020204" pitchFamily="34" charset="0"/>
              </a:rPr>
              <a:t>Median</a:t>
            </a:r>
            <a:r>
              <a:rPr lang="en-GB" sz="1200" baseline="0">
                <a:solidFill>
                  <a:sysClr val="windowText" lastClr="000000"/>
                </a:solidFill>
                <a:latin typeface="Arial" panose="020B0604020202020204" pitchFamily="34" charset="0"/>
                <a:cs typeface="Arial" panose="020B0604020202020204" pitchFamily="34" charset="0"/>
              </a:rPr>
              <a:t> timelines for initial applications and amendments</a:t>
            </a:r>
            <a:endParaRPr lang="en-GB" sz="12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Data!$C$34</c:f>
              <c:strCache>
                <c:ptCount val="1"/>
                <c:pt idx="0">
                  <c:v>Full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Data!$D$33:$K$33</c:f>
              <c:numCache>
                <c:formatCode>mmm\-yy</c:formatCode>
                <c:ptCount val="8"/>
                <c:pt idx="0">
                  <c:v>43831</c:v>
                </c:pt>
                <c:pt idx="1">
                  <c:v>43862</c:v>
                </c:pt>
                <c:pt idx="2">
                  <c:v>43891</c:v>
                </c:pt>
                <c:pt idx="3">
                  <c:v>43922</c:v>
                </c:pt>
                <c:pt idx="4">
                  <c:v>43952</c:v>
                </c:pt>
                <c:pt idx="5">
                  <c:v>43983</c:v>
                </c:pt>
                <c:pt idx="6">
                  <c:v>44013</c:v>
                </c:pt>
                <c:pt idx="7">
                  <c:v>44044</c:v>
                </c:pt>
              </c:numCache>
            </c:numRef>
          </c:cat>
          <c:val>
            <c:numRef>
              <c:f>Data!$D$34:$K$34</c:f>
              <c:numCache>
                <c:formatCode>General</c:formatCode>
                <c:ptCount val="8"/>
                <c:pt idx="0">
                  <c:v>37</c:v>
                </c:pt>
                <c:pt idx="1">
                  <c:v>74</c:v>
                </c:pt>
                <c:pt idx="2">
                  <c:v>49.5</c:v>
                </c:pt>
                <c:pt idx="3">
                  <c:v>287</c:v>
                </c:pt>
                <c:pt idx="4">
                  <c:v>29</c:v>
                </c:pt>
                <c:pt idx="5">
                  <c:v>79</c:v>
                </c:pt>
                <c:pt idx="6">
                  <c:v>48</c:v>
                </c:pt>
                <c:pt idx="7">
                  <c:v>30.5</c:v>
                </c:pt>
              </c:numCache>
            </c:numRef>
          </c:val>
          <c:smooth val="0"/>
          <c:extLst>
            <c:ext xmlns:c16="http://schemas.microsoft.com/office/drawing/2014/chart" uri="{C3380CC4-5D6E-409C-BE32-E72D297353CC}">
              <c16:uniqueId val="{00000000-7520-42EF-AF67-CF451DACD3AC}"/>
            </c:ext>
          </c:extLst>
        </c:ser>
        <c:ser>
          <c:idx val="1"/>
          <c:order val="1"/>
          <c:tx>
            <c:strRef>
              <c:f>Data!$C$35</c:f>
              <c:strCache>
                <c:ptCount val="1"/>
                <c:pt idx="0">
                  <c:v>PS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Data!$D$33:$K$33</c:f>
              <c:numCache>
                <c:formatCode>mmm\-yy</c:formatCode>
                <c:ptCount val="8"/>
                <c:pt idx="0">
                  <c:v>43831</c:v>
                </c:pt>
                <c:pt idx="1">
                  <c:v>43862</c:v>
                </c:pt>
                <c:pt idx="2">
                  <c:v>43891</c:v>
                </c:pt>
                <c:pt idx="3">
                  <c:v>43922</c:v>
                </c:pt>
                <c:pt idx="4">
                  <c:v>43952</c:v>
                </c:pt>
                <c:pt idx="5">
                  <c:v>43983</c:v>
                </c:pt>
                <c:pt idx="6">
                  <c:v>44013</c:v>
                </c:pt>
                <c:pt idx="7">
                  <c:v>44044</c:v>
                </c:pt>
              </c:numCache>
            </c:numRef>
          </c:cat>
          <c:val>
            <c:numRef>
              <c:f>Data!$D$35:$K$35</c:f>
              <c:numCache>
                <c:formatCode>General</c:formatCode>
                <c:ptCount val="8"/>
                <c:pt idx="0">
                  <c:v>28</c:v>
                </c:pt>
                <c:pt idx="1">
                  <c:v>23.5</c:v>
                </c:pt>
                <c:pt idx="2">
                  <c:v>30.5</c:v>
                </c:pt>
                <c:pt idx="4">
                  <c:v>64</c:v>
                </c:pt>
                <c:pt idx="5">
                  <c:v>68</c:v>
                </c:pt>
                <c:pt idx="6">
                  <c:v>28</c:v>
                </c:pt>
                <c:pt idx="7">
                  <c:v>31</c:v>
                </c:pt>
              </c:numCache>
            </c:numRef>
          </c:val>
          <c:smooth val="0"/>
          <c:extLst>
            <c:ext xmlns:c16="http://schemas.microsoft.com/office/drawing/2014/chart" uri="{C3380CC4-5D6E-409C-BE32-E72D297353CC}">
              <c16:uniqueId val="{00000001-7520-42EF-AF67-CF451DACD3AC}"/>
            </c:ext>
          </c:extLst>
        </c:ser>
        <c:ser>
          <c:idx val="2"/>
          <c:order val="2"/>
          <c:tx>
            <c:strRef>
              <c:f>Data!$C$36</c:f>
              <c:strCache>
                <c:ptCount val="1"/>
                <c:pt idx="0">
                  <c:v>Amendments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Data!$D$33:$K$33</c:f>
              <c:numCache>
                <c:formatCode>mmm\-yy</c:formatCode>
                <c:ptCount val="8"/>
                <c:pt idx="0">
                  <c:v>43831</c:v>
                </c:pt>
                <c:pt idx="1">
                  <c:v>43862</c:v>
                </c:pt>
                <c:pt idx="2">
                  <c:v>43891</c:v>
                </c:pt>
                <c:pt idx="3">
                  <c:v>43922</c:v>
                </c:pt>
                <c:pt idx="4">
                  <c:v>43952</c:v>
                </c:pt>
                <c:pt idx="5">
                  <c:v>43983</c:v>
                </c:pt>
                <c:pt idx="6">
                  <c:v>44013</c:v>
                </c:pt>
                <c:pt idx="7">
                  <c:v>44044</c:v>
                </c:pt>
              </c:numCache>
            </c:numRef>
          </c:cat>
          <c:val>
            <c:numRef>
              <c:f>Data!$D$36:$K$36</c:f>
              <c:numCache>
                <c:formatCode>General</c:formatCode>
                <c:ptCount val="8"/>
                <c:pt idx="0">
                  <c:v>35</c:v>
                </c:pt>
                <c:pt idx="1">
                  <c:v>27</c:v>
                </c:pt>
                <c:pt idx="2">
                  <c:v>8</c:v>
                </c:pt>
                <c:pt idx="3">
                  <c:v>6</c:v>
                </c:pt>
                <c:pt idx="5">
                  <c:v>35</c:v>
                </c:pt>
                <c:pt idx="6">
                  <c:v>31</c:v>
                </c:pt>
                <c:pt idx="7">
                  <c:v>12</c:v>
                </c:pt>
              </c:numCache>
            </c:numRef>
          </c:val>
          <c:smooth val="0"/>
          <c:extLst>
            <c:ext xmlns:c16="http://schemas.microsoft.com/office/drawing/2014/chart" uri="{C3380CC4-5D6E-409C-BE32-E72D297353CC}">
              <c16:uniqueId val="{00000002-7520-42EF-AF67-CF451DACD3AC}"/>
            </c:ext>
          </c:extLst>
        </c:ser>
        <c:dLbls>
          <c:showLegendKey val="0"/>
          <c:showVal val="0"/>
          <c:showCatName val="0"/>
          <c:showSerName val="0"/>
          <c:showPercent val="0"/>
          <c:showBubbleSize val="0"/>
        </c:dLbls>
        <c:marker val="1"/>
        <c:smooth val="0"/>
        <c:axId val="535600080"/>
        <c:axId val="535597456"/>
      </c:lineChart>
      <c:dateAx>
        <c:axId val="53560008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597456"/>
        <c:crosses val="autoZero"/>
        <c:auto val="1"/>
        <c:lblOffset val="100"/>
        <c:baseTimeUnit val="months"/>
      </c:dateAx>
      <c:valAx>
        <c:axId val="535597456"/>
        <c:scaling>
          <c:orientation val="minMax"/>
          <c:max val="3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Days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600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A822F-9154-4238-92FB-BA6DB551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HRA Agenda Template</vt:lpstr>
    </vt:vector>
  </TitlesOfParts>
  <Company>IMS3</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 Agenda Template</dc:title>
  <dc:subject>Agenda</dc:subject>
  <dc:creator>Steve Tebbutt</dc:creator>
  <cp:lastModifiedBy>Stephen Tebbutt</cp:lastModifiedBy>
  <cp:revision>6</cp:revision>
  <dcterms:created xsi:type="dcterms:W3CDTF">2020-09-07T16:12:00Z</dcterms:created>
  <dcterms:modified xsi:type="dcterms:W3CDTF">2020-09-15T07:45:00Z</dcterms:modified>
</cp:coreProperties>
</file>