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5C2F3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5C2F3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May 2019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A2CEC" w:rsidRDefault="00CA2CEC" w:rsidP="00CA2CEC">
            <w:pPr>
              <w:rPr>
                <w:rFonts w:asciiTheme="minorHAnsi" w:hAnsiTheme="minorHAnsi" w:cstheme="minorHAnsi"/>
              </w:rPr>
            </w:pPr>
            <w:r w:rsidRPr="00CA2CEC">
              <w:rPr>
                <w:rFonts w:asciiTheme="minorHAnsi" w:hAnsiTheme="minorHAnsi" w:cstheme="minorHAnsi"/>
              </w:rPr>
              <w:t>UK Wide Working</w:t>
            </w:r>
            <w:r>
              <w:rPr>
                <w:rFonts w:asciiTheme="minorHAnsi" w:hAnsiTheme="minorHAnsi" w:cstheme="minorHAnsi"/>
              </w:rPr>
              <w:t xml:space="preserve"> update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Board with a summary of the </w:t>
            </w:r>
            <w:r w:rsidR="00CA2CEC">
              <w:rPr>
                <w:rFonts w:asciiTheme="minorHAnsi" w:hAnsiTheme="minorHAnsi" w:cstheme="minorHAnsi"/>
              </w:rPr>
              <w:t>role of the HRA in a UK context and an update regarding the Four Nations Compatibility Programme, including the delivery of the UK Local Information Pack in June.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 and discussion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presentation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220691" w:rsidRDefault="00CA2CE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220691">
              <w:rPr>
                <w:rFonts w:asciiTheme="minorHAnsi" w:hAnsiTheme="minorHAnsi" w:cstheme="minorHAnsi"/>
              </w:rPr>
              <w:t xml:space="preserve">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220691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220691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A2CE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Cubitt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A2CEC" w:rsidP="002206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Programme Implementation Manager 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CA2CEC"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/05/2019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8"/>
      <w:footerReference w:type="default" r:id="rId9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0691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2F31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2CEC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379B5F"/>
  <w15:docId w15:val="{D5286C96-917F-47CE-8A0C-A4D229A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E83C58-E4DD-4C0B-994B-9A931054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Stephen Tebbutt</cp:lastModifiedBy>
  <cp:revision>3</cp:revision>
  <cp:lastPrinted>2013-01-08T15:55:00Z</cp:lastPrinted>
  <dcterms:created xsi:type="dcterms:W3CDTF">2019-05-09T09:41:00Z</dcterms:created>
  <dcterms:modified xsi:type="dcterms:W3CDTF">2019-05-09T09:46:00Z</dcterms:modified>
</cp:coreProperties>
</file>