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B3A7F" w14:textId="77777777" w:rsidR="00500A2A" w:rsidRPr="00C77F90" w:rsidRDefault="003D10DA" w:rsidP="00500A2A">
      <w:pPr>
        <w:pStyle w:val="Default"/>
        <w:ind w:left="720"/>
        <w:jc w:val="center"/>
        <w:rPr>
          <w:b/>
          <w:u w:val="single"/>
        </w:rPr>
      </w:pPr>
      <w:r>
        <w:rPr>
          <w:b/>
          <w:u w:val="single"/>
        </w:rPr>
        <w:t xml:space="preserve">HRA </w:t>
      </w:r>
      <w:r w:rsidR="00500A2A" w:rsidRPr="00C77F90">
        <w:rPr>
          <w:b/>
          <w:u w:val="single"/>
        </w:rPr>
        <w:t>201</w:t>
      </w:r>
      <w:r w:rsidR="00A13628">
        <w:rPr>
          <w:b/>
          <w:u w:val="single"/>
        </w:rPr>
        <w:t>9</w:t>
      </w:r>
      <w:r w:rsidR="00500A2A" w:rsidRPr="00C77F90">
        <w:rPr>
          <w:b/>
          <w:u w:val="single"/>
        </w:rPr>
        <w:t xml:space="preserve"> Staff Survey</w:t>
      </w:r>
    </w:p>
    <w:p w14:paraId="30BFFBEB" w14:textId="77777777" w:rsidR="00500A2A" w:rsidRPr="00C77F90" w:rsidRDefault="00500A2A" w:rsidP="00500A2A">
      <w:pPr>
        <w:pStyle w:val="Default"/>
        <w:ind w:left="720"/>
        <w:jc w:val="both"/>
      </w:pPr>
    </w:p>
    <w:p w14:paraId="503041C8" w14:textId="77777777" w:rsidR="00CC1E09" w:rsidRPr="00C77F90" w:rsidRDefault="006176F4" w:rsidP="001C2441">
      <w:pPr>
        <w:pStyle w:val="Default"/>
        <w:numPr>
          <w:ilvl w:val="0"/>
          <w:numId w:val="5"/>
        </w:numPr>
        <w:jc w:val="both"/>
      </w:pPr>
      <w:r w:rsidRPr="00C77F90">
        <w:rPr>
          <w:b/>
          <w:bCs/>
        </w:rPr>
        <w:t>Introduction</w:t>
      </w:r>
    </w:p>
    <w:p w14:paraId="66588692" w14:textId="77777777" w:rsidR="005241EB" w:rsidRDefault="005241EB" w:rsidP="005241EB">
      <w:pPr>
        <w:pStyle w:val="Default"/>
        <w:jc w:val="both"/>
        <w:rPr>
          <w:b/>
          <w:bCs/>
        </w:rPr>
      </w:pPr>
    </w:p>
    <w:p w14:paraId="5645B543" w14:textId="5924480A" w:rsidR="00FF4E5D" w:rsidRPr="00FF4E5D" w:rsidRDefault="006176F4" w:rsidP="005241EB">
      <w:pPr>
        <w:pStyle w:val="Default"/>
        <w:numPr>
          <w:ilvl w:val="1"/>
          <w:numId w:val="11"/>
        </w:numPr>
        <w:jc w:val="both"/>
      </w:pPr>
      <w:r w:rsidRPr="00C77F90">
        <w:rPr>
          <w:bCs/>
        </w:rPr>
        <w:t>This paper represents the management response to the findings of the 201</w:t>
      </w:r>
      <w:r w:rsidR="00A13628">
        <w:rPr>
          <w:bCs/>
        </w:rPr>
        <w:t>9</w:t>
      </w:r>
      <w:r w:rsidRPr="00C77F90">
        <w:rPr>
          <w:bCs/>
        </w:rPr>
        <w:t xml:space="preserve"> staff survey and offers the opportunity for the </w:t>
      </w:r>
      <w:r w:rsidR="005077DB">
        <w:rPr>
          <w:bCs/>
        </w:rPr>
        <w:t xml:space="preserve">Board and </w:t>
      </w:r>
      <w:r w:rsidR="0085229A">
        <w:rPr>
          <w:bCs/>
        </w:rPr>
        <w:t>S</w:t>
      </w:r>
      <w:r w:rsidRPr="00C77F90">
        <w:rPr>
          <w:bCs/>
        </w:rPr>
        <w:t xml:space="preserve">taff </w:t>
      </w:r>
      <w:r w:rsidR="0085229A">
        <w:rPr>
          <w:bCs/>
        </w:rPr>
        <w:t>F</w:t>
      </w:r>
      <w:r w:rsidRPr="00C77F90">
        <w:rPr>
          <w:bCs/>
        </w:rPr>
        <w:t xml:space="preserve">orum to discuss those areas where responses </w:t>
      </w:r>
      <w:r w:rsidR="004A6E41">
        <w:rPr>
          <w:bCs/>
        </w:rPr>
        <w:t xml:space="preserve">either </w:t>
      </w:r>
      <w:r w:rsidRPr="00C77F90">
        <w:rPr>
          <w:bCs/>
        </w:rPr>
        <w:t xml:space="preserve">represented the lowest level of satisfaction or </w:t>
      </w:r>
      <w:r w:rsidR="005239B6">
        <w:rPr>
          <w:bCs/>
        </w:rPr>
        <w:t>most negative differences to the BMG benchmark (an average score calculated across many other organisations)</w:t>
      </w:r>
      <w:r w:rsidR="00DC33A7">
        <w:rPr>
          <w:bCs/>
        </w:rPr>
        <w:t xml:space="preserve"> and to comment on the approach suggested by the Senior Leadership Team.</w:t>
      </w:r>
    </w:p>
    <w:p w14:paraId="36578E94" w14:textId="77777777" w:rsidR="00FF4E5D" w:rsidRPr="00FF4E5D" w:rsidRDefault="00FF4E5D" w:rsidP="00C90E23">
      <w:pPr>
        <w:pStyle w:val="Default"/>
        <w:ind w:left="1440"/>
        <w:jc w:val="both"/>
      </w:pPr>
    </w:p>
    <w:p w14:paraId="6D2F84F9" w14:textId="5FFE902F" w:rsidR="006176F4" w:rsidRPr="005241EB" w:rsidRDefault="00DC33A7" w:rsidP="005241EB">
      <w:pPr>
        <w:pStyle w:val="Default"/>
        <w:numPr>
          <w:ilvl w:val="1"/>
          <w:numId w:val="11"/>
        </w:numPr>
        <w:jc w:val="both"/>
      </w:pPr>
      <w:r>
        <w:t>It is worth noting that t</w:t>
      </w:r>
      <w:r w:rsidR="00FF4E5D">
        <w:t xml:space="preserve">he survey was undertaken before people had moved into new roles – where a significant number had promotion. It is suggested that the generally lower responses are not a surprise in the context of the level of significant change – not just in Approvals – and that whilst recognising that this is difficult for staff, the scores are </w:t>
      </w:r>
      <w:proofErr w:type="gramStart"/>
      <w:r w:rsidR="00FF4E5D">
        <w:t>actually</w:t>
      </w:r>
      <w:r w:rsidR="004A6E41">
        <w:t xml:space="preserve"> </w:t>
      </w:r>
      <w:r w:rsidR="00FF4E5D">
        <w:t>overall</w:t>
      </w:r>
      <w:proofErr w:type="gramEnd"/>
      <w:r w:rsidR="00FF4E5D">
        <w:t xml:space="preserve"> indicative of a change process that in general has been managed as best as possible</w:t>
      </w:r>
    </w:p>
    <w:p w14:paraId="530D40E9" w14:textId="77777777" w:rsidR="005241EB" w:rsidRPr="005241EB" w:rsidRDefault="005241EB" w:rsidP="005241EB">
      <w:pPr>
        <w:pStyle w:val="Default"/>
        <w:ind w:left="1440"/>
        <w:jc w:val="both"/>
      </w:pPr>
    </w:p>
    <w:p w14:paraId="3E801F9C" w14:textId="5A6C5ABF" w:rsidR="005241EB" w:rsidRPr="00C77F90" w:rsidRDefault="00DC33A7" w:rsidP="005241EB">
      <w:pPr>
        <w:pStyle w:val="Default"/>
        <w:numPr>
          <w:ilvl w:val="1"/>
          <w:numId w:val="11"/>
        </w:numPr>
        <w:jc w:val="both"/>
      </w:pPr>
      <w:r>
        <w:t>A</w:t>
      </w:r>
      <w:r w:rsidR="005241EB">
        <w:t xml:space="preserve">nalysis of the </w:t>
      </w:r>
      <w:r>
        <w:t xml:space="preserve">main findings of the </w:t>
      </w:r>
      <w:r w:rsidR="005241EB">
        <w:t>survey will be presented directly back by BMG at the meeting</w:t>
      </w:r>
    </w:p>
    <w:p w14:paraId="54496BE7" w14:textId="77777777" w:rsidR="006176F4" w:rsidRPr="00C77F90" w:rsidRDefault="006176F4" w:rsidP="006176F4">
      <w:pPr>
        <w:pStyle w:val="Default"/>
        <w:ind w:left="720"/>
        <w:jc w:val="both"/>
      </w:pPr>
    </w:p>
    <w:p w14:paraId="1FBD5AA8" w14:textId="77777777" w:rsidR="006176F4" w:rsidRPr="00C77F90" w:rsidRDefault="006176F4" w:rsidP="001C2441">
      <w:pPr>
        <w:pStyle w:val="Default"/>
        <w:numPr>
          <w:ilvl w:val="0"/>
          <w:numId w:val="5"/>
        </w:numPr>
        <w:jc w:val="both"/>
        <w:rPr>
          <w:b/>
        </w:rPr>
      </w:pPr>
      <w:r w:rsidRPr="00C77F90">
        <w:rPr>
          <w:b/>
        </w:rPr>
        <w:t>Overall Survey Headlines</w:t>
      </w:r>
    </w:p>
    <w:p w14:paraId="3E4B9B6D" w14:textId="77777777" w:rsidR="00CC1E09" w:rsidRPr="00C77F90" w:rsidRDefault="00CC1E09" w:rsidP="00CC1E09">
      <w:pPr>
        <w:pStyle w:val="Default"/>
        <w:jc w:val="both"/>
      </w:pPr>
    </w:p>
    <w:p w14:paraId="75966781" w14:textId="77777777" w:rsidR="00DD4A16" w:rsidRPr="00C77F90" w:rsidRDefault="00CC1E09" w:rsidP="005241EB">
      <w:pPr>
        <w:pStyle w:val="Default"/>
        <w:numPr>
          <w:ilvl w:val="1"/>
          <w:numId w:val="12"/>
        </w:numPr>
        <w:ind w:left="1418" w:hanging="709"/>
        <w:jc w:val="both"/>
      </w:pPr>
      <w:r w:rsidRPr="00C77F90">
        <w:t>The following offer</w:t>
      </w:r>
      <w:r w:rsidR="001C2441" w:rsidRPr="00C77F90">
        <w:t>s</w:t>
      </w:r>
      <w:r w:rsidRPr="00C77F90">
        <w:t xml:space="preserve"> a high</w:t>
      </w:r>
      <w:r w:rsidR="005077DB">
        <w:t>-</w:t>
      </w:r>
      <w:r w:rsidRPr="00C77F90">
        <w:t xml:space="preserve">level summary of the key findings derived from the </w:t>
      </w:r>
      <w:r w:rsidR="005C4BA7" w:rsidRPr="00C77F90">
        <w:t>201</w:t>
      </w:r>
      <w:r w:rsidR="005077DB">
        <w:t>9</w:t>
      </w:r>
      <w:r w:rsidR="005C4BA7" w:rsidRPr="00C77F90">
        <w:t xml:space="preserve"> </w:t>
      </w:r>
      <w:r w:rsidRPr="00C77F90">
        <w:t xml:space="preserve">survey undertaken during </w:t>
      </w:r>
      <w:r w:rsidR="005077DB">
        <w:t>February/March</w:t>
      </w:r>
      <w:r w:rsidRPr="00C77F90">
        <w:t xml:space="preserve"> 201</w:t>
      </w:r>
      <w:r w:rsidR="005077DB">
        <w:t>9</w:t>
      </w:r>
      <w:r w:rsidR="00CE3AB5" w:rsidRPr="00C77F90">
        <w:t xml:space="preserve">. </w:t>
      </w:r>
      <w:r w:rsidRPr="00C77F90">
        <w:t xml:space="preserve">A total of </w:t>
      </w:r>
      <w:r w:rsidR="005077DB">
        <w:t>157</w:t>
      </w:r>
      <w:r w:rsidRPr="00C77F90">
        <w:t xml:space="preserve"> res</w:t>
      </w:r>
      <w:r w:rsidR="001C2441" w:rsidRPr="00C77F90">
        <w:t xml:space="preserve">ponses were received, giving a </w:t>
      </w:r>
      <w:r w:rsidRPr="00C77F90">
        <w:t>response rate of 7</w:t>
      </w:r>
      <w:r w:rsidR="005077DB">
        <w:t>2</w:t>
      </w:r>
      <w:r w:rsidRPr="00C77F90">
        <w:t>%. This is a</w:t>
      </w:r>
      <w:r w:rsidR="000073C9">
        <w:t xml:space="preserve"> </w:t>
      </w:r>
      <w:r w:rsidR="005077DB">
        <w:t>decrease</w:t>
      </w:r>
      <w:r w:rsidRPr="00C77F90">
        <w:t xml:space="preserve"> on the rate recorded in 201</w:t>
      </w:r>
      <w:r w:rsidR="005077DB">
        <w:t xml:space="preserve">7 </w:t>
      </w:r>
      <w:r w:rsidRPr="00C77F90">
        <w:t>(7</w:t>
      </w:r>
      <w:r w:rsidR="005077DB">
        <w:t>8</w:t>
      </w:r>
      <w:r w:rsidRPr="00C77F90">
        <w:t xml:space="preserve">%). </w:t>
      </w:r>
    </w:p>
    <w:p w14:paraId="260DC7EF" w14:textId="77777777" w:rsidR="005D31F6" w:rsidRPr="00C77F90" w:rsidRDefault="005D31F6" w:rsidP="00CC1E09">
      <w:pPr>
        <w:pStyle w:val="Default"/>
        <w:jc w:val="both"/>
      </w:pPr>
    </w:p>
    <w:p w14:paraId="79BBF044" w14:textId="15BC096C" w:rsidR="005D31F6" w:rsidRDefault="005D31F6" w:rsidP="001C2441">
      <w:pPr>
        <w:pStyle w:val="Default"/>
        <w:numPr>
          <w:ilvl w:val="0"/>
          <w:numId w:val="3"/>
        </w:numPr>
        <w:ind w:left="1418" w:hanging="284"/>
        <w:jc w:val="both"/>
      </w:pPr>
      <w:r w:rsidRPr="00C77F90">
        <w:t xml:space="preserve">The HRA achieved </w:t>
      </w:r>
      <w:r w:rsidR="005077DB">
        <w:t>28</w:t>
      </w:r>
      <w:r w:rsidRPr="00C77F90">
        <w:t xml:space="preserve"> out of </w:t>
      </w:r>
      <w:r w:rsidR="005077DB">
        <w:t xml:space="preserve">50 </w:t>
      </w:r>
      <w:r w:rsidRPr="00C77F90">
        <w:t xml:space="preserve">results above the BMG benchmark and </w:t>
      </w:r>
      <w:r w:rsidR="00D12CC7">
        <w:t xml:space="preserve">out of the </w:t>
      </w:r>
      <w:r w:rsidR="004A6E41">
        <w:t xml:space="preserve">89 </w:t>
      </w:r>
      <w:r w:rsidR="00D12CC7">
        <w:t>comparable</w:t>
      </w:r>
      <w:r w:rsidR="004A6E41">
        <w:t xml:space="preserve"> year on year questions</w:t>
      </w:r>
      <w:r w:rsidR="00D12CC7">
        <w:t xml:space="preserve"> </w:t>
      </w:r>
      <w:r w:rsidR="005077DB">
        <w:t>5</w:t>
      </w:r>
      <w:r w:rsidRPr="00C77F90">
        <w:t xml:space="preserve"> improved </w:t>
      </w:r>
      <w:r w:rsidR="004A6E41">
        <w:t>38 had stayed the</w:t>
      </w:r>
      <w:r w:rsidRPr="00C77F90">
        <w:t xml:space="preserve"> same </w:t>
      </w:r>
      <w:r w:rsidR="00C34416" w:rsidRPr="00C77F90">
        <w:t>and</w:t>
      </w:r>
      <w:r w:rsidRPr="00C77F90">
        <w:t xml:space="preserve"> </w:t>
      </w:r>
      <w:r w:rsidR="005077DB">
        <w:t>46</w:t>
      </w:r>
      <w:r w:rsidRPr="00C77F90">
        <w:t xml:space="preserve"> had deteriorated since </w:t>
      </w:r>
      <w:r w:rsidR="00A5577B" w:rsidRPr="00C77F90">
        <w:t xml:space="preserve">the </w:t>
      </w:r>
      <w:r w:rsidR="004A6E41">
        <w:t>2017 survey</w:t>
      </w:r>
    </w:p>
    <w:p w14:paraId="39FD55BE" w14:textId="45F2E2CE" w:rsidR="0053799B" w:rsidRDefault="0053799B" w:rsidP="001C2441">
      <w:pPr>
        <w:pStyle w:val="Default"/>
        <w:numPr>
          <w:ilvl w:val="0"/>
          <w:numId w:val="3"/>
        </w:numPr>
        <w:ind w:left="1418" w:hanging="284"/>
        <w:jc w:val="both"/>
      </w:pPr>
      <w:r>
        <w:t xml:space="preserve">Least positive scores </w:t>
      </w:r>
      <w:r w:rsidR="004A6E41">
        <w:t xml:space="preserve">were the </w:t>
      </w:r>
      <w:r>
        <w:t>from R</w:t>
      </w:r>
      <w:r w:rsidR="004A6E41">
        <w:t>esearch Ethics</w:t>
      </w:r>
      <w:r>
        <w:t xml:space="preserve"> Service</w:t>
      </w:r>
      <w:r w:rsidR="00D12CC7">
        <w:t xml:space="preserve"> </w:t>
      </w:r>
      <w:r w:rsidR="004A6E41">
        <w:t xml:space="preserve">- </w:t>
      </w:r>
      <w:r w:rsidR="00D12CC7">
        <w:t xml:space="preserve">which has been a trend in each of the </w:t>
      </w:r>
      <w:r w:rsidR="004A6E41">
        <w:t xml:space="preserve">previous </w:t>
      </w:r>
      <w:r w:rsidR="00D12CC7">
        <w:t>surveys</w:t>
      </w:r>
      <w:r>
        <w:t xml:space="preserve"> – however generally str</w:t>
      </w:r>
      <w:r w:rsidR="00986533">
        <w:t>o</w:t>
      </w:r>
      <w:r>
        <w:t>ng scores from other functions within Approvals Directorate</w:t>
      </w:r>
      <w:r w:rsidR="00986533">
        <w:t xml:space="preserve"> and other Directorates</w:t>
      </w:r>
    </w:p>
    <w:p w14:paraId="46CF295F" w14:textId="77777777" w:rsidR="00037833" w:rsidRDefault="00037833" w:rsidP="00037833">
      <w:pPr>
        <w:pStyle w:val="Default"/>
        <w:numPr>
          <w:ilvl w:val="0"/>
          <w:numId w:val="3"/>
        </w:numPr>
        <w:ind w:left="1418" w:hanging="284"/>
        <w:jc w:val="both"/>
      </w:pPr>
      <w:r w:rsidRPr="00C77F90">
        <w:t>Overall ‘new starters’ and those at more senior levels were more positive in their responses</w:t>
      </w:r>
    </w:p>
    <w:p w14:paraId="14730911" w14:textId="77777777" w:rsidR="00037833" w:rsidRPr="00C77F90" w:rsidRDefault="00037833" w:rsidP="00037833">
      <w:pPr>
        <w:pStyle w:val="Default"/>
        <w:numPr>
          <w:ilvl w:val="0"/>
          <w:numId w:val="3"/>
        </w:numPr>
        <w:ind w:left="1418" w:hanging="284"/>
        <w:jc w:val="both"/>
      </w:pPr>
      <w:r>
        <w:t>Still many who did not wa</w:t>
      </w:r>
      <w:r w:rsidR="00E76D3B">
        <w:t>n</w:t>
      </w:r>
      <w:r>
        <w:t xml:space="preserve">t to state </w:t>
      </w:r>
      <w:r w:rsidR="00E76D3B">
        <w:t>their</w:t>
      </w:r>
      <w:r>
        <w:t xml:space="preserve"> directorate or office base</w:t>
      </w:r>
    </w:p>
    <w:p w14:paraId="1C2F85B4" w14:textId="2E23168F" w:rsidR="005D31F6" w:rsidRDefault="005D31F6" w:rsidP="001C2441">
      <w:pPr>
        <w:pStyle w:val="Default"/>
        <w:numPr>
          <w:ilvl w:val="0"/>
          <w:numId w:val="3"/>
        </w:numPr>
        <w:ind w:left="1418" w:hanging="284"/>
        <w:jc w:val="both"/>
      </w:pPr>
      <w:r w:rsidRPr="00C77F90">
        <w:t xml:space="preserve">Responses </w:t>
      </w:r>
      <w:r w:rsidR="0041532E">
        <w:t xml:space="preserve">were significantly more negative than in 2017 particularly around </w:t>
      </w:r>
      <w:r w:rsidR="004A6E41">
        <w:t>morale, ‘</w:t>
      </w:r>
      <w:r w:rsidR="0041532E">
        <w:t>speaking up’</w:t>
      </w:r>
      <w:r w:rsidR="00986533">
        <w:t xml:space="preserve"> and general job satisfaction</w:t>
      </w:r>
    </w:p>
    <w:p w14:paraId="66290A87" w14:textId="77777777" w:rsidR="00A8564E" w:rsidRDefault="00A8564E" w:rsidP="001C2441">
      <w:pPr>
        <w:pStyle w:val="Default"/>
        <w:numPr>
          <w:ilvl w:val="0"/>
          <w:numId w:val="3"/>
        </w:numPr>
        <w:ind w:left="1418" w:hanging="284"/>
        <w:jc w:val="both"/>
      </w:pPr>
      <w:r>
        <w:t>Respondents still felt they were able to offer an excellent service to their customers (up 5%)</w:t>
      </w:r>
    </w:p>
    <w:p w14:paraId="4F85C977" w14:textId="7F5E32BE" w:rsidR="00A8564E" w:rsidRPr="00C77F90" w:rsidRDefault="00A8564E" w:rsidP="001C2441">
      <w:pPr>
        <w:pStyle w:val="Default"/>
        <w:numPr>
          <w:ilvl w:val="0"/>
          <w:numId w:val="3"/>
        </w:numPr>
        <w:ind w:left="1418" w:hanging="284"/>
        <w:jc w:val="both"/>
      </w:pPr>
      <w:r>
        <w:t xml:space="preserve">8 out of 10 indicators around the management of change had decreased although understanding the need for change had increased and how well change is managed was still 15% better than </w:t>
      </w:r>
      <w:r w:rsidR="004A6E41">
        <w:t xml:space="preserve">the BMG </w:t>
      </w:r>
      <w:r>
        <w:t>benchmark</w:t>
      </w:r>
    </w:p>
    <w:p w14:paraId="5A8EADB3" w14:textId="77777777" w:rsidR="005D31F6" w:rsidRPr="00C77F90" w:rsidRDefault="009441AA" w:rsidP="001C2441">
      <w:pPr>
        <w:pStyle w:val="Default"/>
        <w:numPr>
          <w:ilvl w:val="0"/>
          <w:numId w:val="3"/>
        </w:numPr>
        <w:ind w:left="1418" w:hanging="284"/>
        <w:jc w:val="both"/>
      </w:pPr>
      <w:r w:rsidRPr="00C77F90">
        <w:t>Career development and pay were the characteristics that people were most concerned about improving</w:t>
      </w:r>
    </w:p>
    <w:p w14:paraId="2EAA9334" w14:textId="77777777" w:rsidR="000938D9" w:rsidRPr="00C77F90" w:rsidRDefault="00A8564E" w:rsidP="001C2441">
      <w:pPr>
        <w:pStyle w:val="Default"/>
        <w:numPr>
          <w:ilvl w:val="0"/>
          <w:numId w:val="3"/>
        </w:numPr>
        <w:ind w:left="1418" w:hanging="284"/>
        <w:jc w:val="both"/>
      </w:pPr>
      <w:r>
        <w:lastRenderedPageBreak/>
        <w:t>N</w:t>
      </w:r>
      <w:r w:rsidR="000938D9" w:rsidRPr="00C77F90">
        <w:t>ew question</w:t>
      </w:r>
      <w:r>
        <w:t xml:space="preserve">s around Equality and Diversity were introduced this year and whilst the </w:t>
      </w:r>
      <w:proofErr w:type="gramStart"/>
      <w:r>
        <w:t>vast majority</w:t>
      </w:r>
      <w:proofErr w:type="gramEnd"/>
      <w:r>
        <w:t xml:space="preserve"> (71%) felt the HRA was an inclusive place to work 24% felt that they weren’t respected in their role</w:t>
      </w:r>
    </w:p>
    <w:p w14:paraId="60DE104C" w14:textId="77777777" w:rsidR="00D00607" w:rsidRPr="00C77F90" w:rsidRDefault="00D00607" w:rsidP="001C2441">
      <w:pPr>
        <w:pStyle w:val="Default"/>
        <w:numPr>
          <w:ilvl w:val="0"/>
          <w:numId w:val="3"/>
        </w:numPr>
        <w:ind w:left="1418" w:hanging="284"/>
        <w:jc w:val="both"/>
      </w:pPr>
      <w:r w:rsidRPr="00C77F90">
        <w:t>Workload remains a</w:t>
      </w:r>
      <w:r w:rsidR="00A8564E">
        <w:t xml:space="preserve"> significant </w:t>
      </w:r>
      <w:r w:rsidRPr="00C77F90">
        <w:t>concern for many</w:t>
      </w:r>
    </w:p>
    <w:p w14:paraId="42242EB7" w14:textId="0F6DB3E6" w:rsidR="00D00607" w:rsidRPr="00C77F90" w:rsidRDefault="00FF41E4" w:rsidP="001C2441">
      <w:pPr>
        <w:pStyle w:val="Default"/>
        <w:numPr>
          <w:ilvl w:val="0"/>
          <w:numId w:val="3"/>
        </w:numPr>
        <w:ind w:left="1418" w:hanging="284"/>
        <w:jc w:val="both"/>
      </w:pPr>
      <w:r>
        <w:t>Within and a</w:t>
      </w:r>
      <w:r w:rsidR="00D00607" w:rsidRPr="00C77F90">
        <w:t xml:space="preserve">cross directorates and locations there were </w:t>
      </w:r>
      <w:proofErr w:type="gramStart"/>
      <w:r w:rsidR="00A8564E">
        <w:t>a number of</w:t>
      </w:r>
      <w:proofErr w:type="gramEnd"/>
      <w:r w:rsidR="00A8564E">
        <w:t xml:space="preserve"> significant variations</w:t>
      </w:r>
    </w:p>
    <w:p w14:paraId="01210D08" w14:textId="77777777" w:rsidR="00BE3409" w:rsidRDefault="00BE3409" w:rsidP="00BE3409">
      <w:pPr>
        <w:pStyle w:val="Default"/>
        <w:jc w:val="both"/>
      </w:pPr>
    </w:p>
    <w:p w14:paraId="5B60A016" w14:textId="77777777" w:rsidR="00BE3409" w:rsidRPr="00C77F90" w:rsidRDefault="00BE3409" w:rsidP="001C2441">
      <w:pPr>
        <w:pStyle w:val="Default"/>
        <w:numPr>
          <w:ilvl w:val="0"/>
          <w:numId w:val="5"/>
        </w:numPr>
        <w:jc w:val="both"/>
        <w:rPr>
          <w:b/>
        </w:rPr>
      </w:pPr>
      <w:r w:rsidRPr="00C77F90">
        <w:rPr>
          <w:b/>
        </w:rPr>
        <w:t>Progress against areas for improvement identified from 201</w:t>
      </w:r>
      <w:r w:rsidR="008448ED">
        <w:rPr>
          <w:b/>
        </w:rPr>
        <w:t>7</w:t>
      </w:r>
      <w:r w:rsidRPr="00C77F90">
        <w:rPr>
          <w:b/>
        </w:rPr>
        <w:t xml:space="preserve"> Survey</w:t>
      </w:r>
    </w:p>
    <w:p w14:paraId="24EA57D1" w14:textId="77777777" w:rsidR="00BE3409" w:rsidRPr="00C77F90" w:rsidRDefault="00BE3409" w:rsidP="00BE3409">
      <w:pPr>
        <w:pStyle w:val="Default"/>
        <w:jc w:val="both"/>
      </w:pPr>
    </w:p>
    <w:p w14:paraId="4D37AF03" w14:textId="77777777" w:rsidR="00BE3409" w:rsidRPr="00C77F90" w:rsidRDefault="00EC2BD3" w:rsidP="00986533">
      <w:pPr>
        <w:pStyle w:val="Default"/>
        <w:numPr>
          <w:ilvl w:val="1"/>
          <w:numId w:val="13"/>
        </w:numPr>
        <w:ind w:left="1276" w:hanging="567"/>
        <w:jc w:val="both"/>
      </w:pPr>
      <w:r w:rsidRPr="00C77F90">
        <w:t>Th</w:t>
      </w:r>
      <w:r w:rsidR="001C2441" w:rsidRPr="00C77F90">
        <w:t>is</w:t>
      </w:r>
      <w:r w:rsidRPr="00C77F90">
        <w:t xml:space="preserve"> meeting also presents an opportunity to reflect on progress made against </w:t>
      </w:r>
      <w:r w:rsidR="001C2441" w:rsidRPr="00C77F90">
        <w:t>201</w:t>
      </w:r>
      <w:r w:rsidR="00453893">
        <w:t>7</w:t>
      </w:r>
      <w:r w:rsidRPr="00C77F90">
        <w:t xml:space="preserve"> priorities. </w:t>
      </w:r>
    </w:p>
    <w:p w14:paraId="6C41E7DE" w14:textId="77777777" w:rsidR="00BE3409" w:rsidRPr="00C77F90" w:rsidRDefault="00BE3409" w:rsidP="00BE3409">
      <w:pPr>
        <w:pStyle w:val="Default"/>
        <w:jc w:val="both"/>
      </w:pPr>
    </w:p>
    <w:tbl>
      <w:tblPr>
        <w:tblStyle w:val="TableGrid"/>
        <w:tblW w:w="9355" w:type="dxa"/>
        <w:tblInd w:w="534" w:type="dxa"/>
        <w:tblLook w:val="04A0" w:firstRow="1" w:lastRow="0" w:firstColumn="1" w:lastColumn="0" w:noHBand="0" w:noVBand="1"/>
      </w:tblPr>
      <w:tblGrid>
        <w:gridCol w:w="3219"/>
        <w:gridCol w:w="1390"/>
        <w:gridCol w:w="4746"/>
      </w:tblGrid>
      <w:tr w:rsidR="003B19F4" w:rsidRPr="004F3166" w14:paraId="068E0F1F" w14:textId="77777777" w:rsidTr="00233487">
        <w:tc>
          <w:tcPr>
            <w:tcW w:w="3219" w:type="dxa"/>
            <w:shd w:val="clear" w:color="auto" w:fill="002060"/>
          </w:tcPr>
          <w:p w14:paraId="3769316D" w14:textId="77777777" w:rsidR="00F6009E" w:rsidRPr="004F3166" w:rsidRDefault="00F6009E" w:rsidP="00D85575">
            <w:pPr>
              <w:pStyle w:val="Default"/>
              <w:jc w:val="both"/>
              <w:rPr>
                <w:b/>
                <w:color w:val="FFFFFF" w:themeColor="background1"/>
              </w:rPr>
            </w:pPr>
            <w:r w:rsidRPr="004F3166">
              <w:rPr>
                <w:b/>
                <w:color w:val="FFFFFF" w:themeColor="background1"/>
              </w:rPr>
              <w:t>Area</w:t>
            </w:r>
          </w:p>
        </w:tc>
        <w:tc>
          <w:tcPr>
            <w:tcW w:w="1390" w:type="dxa"/>
            <w:shd w:val="clear" w:color="auto" w:fill="002060"/>
          </w:tcPr>
          <w:p w14:paraId="5999ED26" w14:textId="77777777" w:rsidR="00F6009E" w:rsidRPr="004F3166" w:rsidRDefault="00453893" w:rsidP="00916113">
            <w:pPr>
              <w:pStyle w:val="Default"/>
              <w:jc w:val="center"/>
              <w:rPr>
                <w:b/>
                <w:color w:val="FFFFFF" w:themeColor="background1"/>
              </w:rPr>
            </w:pPr>
            <w:r w:rsidRPr="004F3166">
              <w:rPr>
                <w:b/>
                <w:color w:val="FFFFFF" w:themeColor="background1"/>
              </w:rPr>
              <w:t xml:space="preserve">Change </w:t>
            </w:r>
          </w:p>
        </w:tc>
        <w:tc>
          <w:tcPr>
            <w:tcW w:w="4746" w:type="dxa"/>
            <w:shd w:val="clear" w:color="auto" w:fill="002060"/>
          </w:tcPr>
          <w:p w14:paraId="012BC0BF" w14:textId="77777777" w:rsidR="00F6009E" w:rsidRPr="004F3166" w:rsidRDefault="00453893" w:rsidP="00916113">
            <w:pPr>
              <w:pStyle w:val="Default"/>
              <w:jc w:val="center"/>
              <w:rPr>
                <w:b/>
                <w:color w:val="FFFFFF" w:themeColor="background1"/>
              </w:rPr>
            </w:pPr>
            <w:r w:rsidRPr="004F3166">
              <w:rPr>
                <w:b/>
                <w:color w:val="FFFFFF" w:themeColor="background1"/>
              </w:rPr>
              <w:t>Comment</w:t>
            </w:r>
          </w:p>
        </w:tc>
      </w:tr>
      <w:tr w:rsidR="0063170F" w:rsidRPr="004F3166" w14:paraId="68ED16FA" w14:textId="77777777" w:rsidTr="00233487">
        <w:tc>
          <w:tcPr>
            <w:tcW w:w="3219" w:type="dxa"/>
          </w:tcPr>
          <w:p w14:paraId="12E6C06D" w14:textId="77777777" w:rsidR="002B0841" w:rsidRPr="004F3166" w:rsidRDefault="00160364" w:rsidP="00AE3919">
            <w:pPr>
              <w:pStyle w:val="Default"/>
              <w:rPr>
                <w:color w:val="FF0000"/>
              </w:rPr>
            </w:pPr>
            <w:r w:rsidRPr="004F3166">
              <w:rPr>
                <w:color w:val="FF0000"/>
              </w:rPr>
              <w:t>HRA makes good u</w:t>
            </w:r>
            <w:r w:rsidR="00AE3919" w:rsidRPr="004F3166">
              <w:rPr>
                <w:color w:val="FF0000"/>
              </w:rPr>
              <w:t xml:space="preserve">se of </w:t>
            </w:r>
            <w:r w:rsidRPr="004F3166">
              <w:rPr>
                <w:color w:val="FF0000"/>
              </w:rPr>
              <w:t xml:space="preserve">my </w:t>
            </w:r>
            <w:r w:rsidR="00AE3919" w:rsidRPr="004F3166">
              <w:rPr>
                <w:color w:val="FF0000"/>
              </w:rPr>
              <w:t xml:space="preserve">skills and ability </w:t>
            </w:r>
          </w:p>
        </w:tc>
        <w:tc>
          <w:tcPr>
            <w:tcW w:w="1390" w:type="dxa"/>
          </w:tcPr>
          <w:p w14:paraId="3970E25C" w14:textId="77777777" w:rsidR="001E636C" w:rsidRPr="004F3166" w:rsidRDefault="00AE3919" w:rsidP="005B6B5F">
            <w:pPr>
              <w:pStyle w:val="Default"/>
              <w:jc w:val="center"/>
              <w:rPr>
                <w:b/>
                <w:color w:val="FF0000"/>
              </w:rPr>
            </w:pPr>
            <w:r w:rsidRPr="004F3166">
              <w:rPr>
                <w:b/>
                <w:color w:val="FF0000"/>
              </w:rPr>
              <w:sym w:font="Wingdings 3" w:char="F024"/>
            </w:r>
            <w:r w:rsidR="001E636C" w:rsidRPr="004F3166">
              <w:rPr>
                <w:b/>
                <w:color w:val="FF0000"/>
              </w:rPr>
              <w:t xml:space="preserve"> </w:t>
            </w:r>
          </w:p>
          <w:p w14:paraId="3AA8A5F1" w14:textId="77777777" w:rsidR="002B0841" w:rsidRPr="004F3166" w:rsidRDefault="001E636C" w:rsidP="005B6B5F">
            <w:pPr>
              <w:pStyle w:val="Default"/>
              <w:jc w:val="center"/>
              <w:rPr>
                <w:b/>
                <w:color w:val="FF0000"/>
              </w:rPr>
            </w:pPr>
            <w:r w:rsidRPr="004F3166">
              <w:rPr>
                <w:b/>
                <w:color w:val="FF0000"/>
              </w:rPr>
              <w:t>down 9%</w:t>
            </w:r>
          </w:p>
        </w:tc>
        <w:tc>
          <w:tcPr>
            <w:tcW w:w="4746" w:type="dxa"/>
          </w:tcPr>
          <w:p w14:paraId="72F2D548" w14:textId="7B99988B" w:rsidR="002B0841" w:rsidRPr="004F3166" w:rsidRDefault="0053799B" w:rsidP="00A227DE">
            <w:pPr>
              <w:pStyle w:val="Default"/>
              <w:rPr>
                <w:color w:val="auto"/>
              </w:rPr>
            </w:pPr>
            <w:r w:rsidRPr="004F3166">
              <w:rPr>
                <w:color w:val="auto"/>
              </w:rPr>
              <w:t>Primarily concern was expressed from those within the ‘REC Service’</w:t>
            </w:r>
            <w:r w:rsidR="00FF41E4" w:rsidRPr="004F3166">
              <w:t xml:space="preserve"> </w:t>
            </w:r>
            <w:r w:rsidR="00FF41E4" w:rsidRPr="004F3166">
              <w:rPr>
                <w:color w:val="auto"/>
              </w:rPr>
              <w:t>however the new structure has tried to take account of this with more roles requiring greater skills and expertise</w:t>
            </w:r>
          </w:p>
        </w:tc>
      </w:tr>
      <w:tr w:rsidR="0063170F" w:rsidRPr="004F3166" w14:paraId="1B4669FF" w14:textId="77777777" w:rsidTr="00233487">
        <w:tc>
          <w:tcPr>
            <w:tcW w:w="3219" w:type="dxa"/>
          </w:tcPr>
          <w:p w14:paraId="6A975D58" w14:textId="77777777" w:rsidR="002B0841" w:rsidRPr="004F3166" w:rsidRDefault="00AE3919" w:rsidP="00AE3919">
            <w:pPr>
              <w:pStyle w:val="Default"/>
              <w:rPr>
                <w:color w:val="00B050"/>
              </w:rPr>
            </w:pPr>
            <w:r w:rsidRPr="004F3166">
              <w:rPr>
                <w:color w:val="00B050"/>
              </w:rPr>
              <w:t>Senior Leaders</w:t>
            </w:r>
            <w:r w:rsidR="0041532E" w:rsidRPr="004F3166">
              <w:rPr>
                <w:color w:val="00B050"/>
              </w:rPr>
              <w:t xml:space="preserve"> (Executive Team)</w:t>
            </w:r>
            <w:r w:rsidRPr="004F3166">
              <w:rPr>
                <w:color w:val="00B050"/>
              </w:rPr>
              <w:t xml:space="preserve"> are approachable</w:t>
            </w:r>
          </w:p>
        </w:tc>
        <w:tc>
          <w:tcPr>
            <w:tcW w:w="1390" w:type="dxa"/>
          </w:tcPr>
          <w:p w14:paraId="4BE4E1B8" w14:textId="77777777" w:rsidR="001E636C" w:rsidRPr="004F3166" w:rsidRDefault="0063170F" w:rsidP="005B6B5F">
            <w:pPr>
              <w:pStyle w:val="Default"/>
              <w:jc w:val="center"/>
              <w:rPr>
                <w:b/>
                <w:color w:val="00B050"/>
              </w:rPr>
            </w:pPr>
            <w:r w:rsidRPr="004F3166">
              <w:rPr>
                <w:b/>
                <w:color w:val="00B050"/>
              </w:rPr>
              <w:sym w:font="Wingdings 3" w:char="F023"/>
            </w:r>
            <w:r w:rsidR="001E636C" w:rsidRPr="004F3166">
              <w:rPr>
                <w:b/>
                <w:color w:val="00B050"/>
              </w:rPr>
              <w:t xml:space="preserve"> </w:t>
            </w:r>
          </w:p>
          <w:p w14:paraId="26B42723" w14:textId="77777777" w:rsidR="002B0841" w:rsidRPr="004F3166" w:rsidRDefault="001E636C" w:rsidP="005B6B5F">
            <w:pPr>
              <w:pStyle w:val="Default"/>
              <w:jc w:val="center"/>
              <w:rPr>
                <w:b/>
                <w:color w:val="00B050"/>
              </w:rPr>
            </w:pPr>
            <w:r w:rsidRPr="004F3166">
              <w:rPr>
                <w:b/>
                <w:color w:val="00B050"/>
              </w:rPr>
              <w:t>up 19%</w:t>
            </w:r>
          </w:p>
        </w:tc>
        <w:tc>
          <w:tcPr>
            <w:tcW w:w="4746" w:type="dxa"/>
          </w:tcPr>
          <w:p w14:paraId="684E34A4" w14:textId="77777777" w:rsidR="002B0841" w:rsidRPr="004F3166" w:rsidRDefault="00630BE8" w:rsidP="005B6B5F">
            <w:pPr>
              <w:pStyle w:val="Default"/>
              <w:rPr>
                <w:color w:val="auto"/>
              </w:rPr>
            </w:pPr>
            <w:r w:rsidRPr="004F3166">
              <w:rPr>
                <w:color w:val="auto"/>
              </w:rPr>
              <w:t>Indicates generally positive experience when colleag</w:t>
            </w:r>
            <w:r w:rsidR="00994D30" w:rsidRPr="004F3166">
              <w:rPr>
                <w:color w:val="auto"/>
              </w:rPr>
              <w:t>u</w:t>
            </w:r>
            <w:r w:rsidRPr="004F3166">
              <w:rPr>
                <w:color w:val="auto"/>
              </w:rPr>
              <w:t xml:space="preserve">es interact with the </w:t>
            </w:r>
            <w:r w:rsidR="00994D30" w:rsidRPr="004F3166">
              <w:rPr>
                <w:color w:val="auto"/>
              </w:rPr>
              <w:t>Senior Leadership Team</w:t>
            </w:r>
          </w:p>
        </w:tc>
      </w:tr>
      <w:tr w:rsidR="00160364" w:rsidRPr="004F3166" w14:paraId="74460C43" w14:textId="77777777" w:rsidTr="00233487">
        <w:tc>
          <w:tcPr>
            <w:tcW w:w="3219" w:type="dxa"/>
          </w:tcPr>
          <w:p w14:paraId="775D1D1F" w14:textId="77777777" w:rsidR="00F6009E" w:rsidRPr="004F3166" w:rsidRDefault="00160364" w:rsidP="00AE3919">
            <w:pPr>
              <w:pStyle w:val="Default"/>
              <w:rPr>
                <w:color w:val="00B050"/>
              </w:rPr>
            </w:pPr>
            <w:r w:rsidRPr="004F3166">
              <w:rPr>
                <w:color w:val="00B050"/>
              </w:rPr>
              <w:t>View on e</w:t>
            </w:r>
            <w:r w:rsidR="00F6009E" w:rsidRPr="004F3166">
              <w:rPr>
                <w:color w:val="00B050"/>
              </w:rPr>
              <w:t>ffectiveness of Staff Forum</w:t>
            </w:r>
          </w:p>
        </w:tc>
        <w:tc>
          <w:tcPr>
            <w:tcW w:w="1390" w:type="dxa"/>
          </w:tcPr>
          <w:p w14:paraId="4A332506" w14:textId="77777777" w:rsidR="00160364" w:rsidRPr="004F3166" w:rsidRDefault="00160364" w:rsidP="00160364">
            <w:pPr>
              <w:pStyle w:val="Default"/>
              <w:jc w:val="center"/>
              <w:rPr>
                <w:b/>
                <w:color w:val="00B050"/>
              </w:rPr>
            </w:pPr>
            <w:r w:rsidRPr="004F3166">
              <w:rPr>
                <w:b/>
                <w:color w:val="00B050"/>
              </w:rPr>
              <w:sym w:font="Wingdings 3" w:char="F023"/>
            </w:r>
            <w:r w:rsidRPr="004F3166">
              <w:rPr>
                <w:b/>
                <w:color w:val="00B050"/>
              </w:rPr>
              <w:t xml:space="preserve"> </w:t>
            </w:r>
          </w:p>
          <w:p w14:paraId="27202D46" w14:textId="77777777" w:rsidR="00F6009E" w:rsidRPr="004F3166" w:rsidRDefault="00160364" w:rsidP="00160364">
            <w:pPr>
              <w:pStyle w:val="Default"/>
              <w:jc w:val="center"/>
              <w:rPr>
                <w:b/>
                <w:color w:val="00B050"/>
              </w:rPr>
            </w:pPr>
            <w:r w:rsidRPr="004F3166">
              <w:rPr>
                <w:b/>
                <w:color w:val="00B050"/>
              </w:rPr>
              <w:t>up 2%</w:t>
            </w:r>
          </w:p>
        </w:tc>
        <w:tc>
          <w:tcPr>
            <w:tcW w:w="4746" w:type="dxa"/>
          </w:tcPr>
          <w:p w14:paraId="1875A4F5" w14:textId="77777777" w:rsidR="00F6009E" w:rsidRPr="004F3166" w:rsidRDefault="00160364" w:rsidP="001C2441">
            <w:pPr>
              <w:pStyle w:val="Default"/>
              <w:rPr>
                <w:color w:val="auto"/>
              </w:rPr>
            </w:pPr>
            <w:r w:rsidRPr="004F3166">
              <w:rPr>
                <w:color w:val="auto"/>
              </w:rPr>
              <w:t>Though slight decline in knowing who reps were</w:t>
            </w:r>
          </w:p>
        </w:tc>
      </w:tr>
      <w:tr w:rsidR="001E636C" w:rsidRPr="004F3166" w14:paraId="6BE42DCA" w14:textId="77777777" w:rsidTr="00233487">
        <w:tc>
          <w:tcPr>
            <w:tcW w:w="3219" w:type="dxa"/>
          </w:tcPr>
          <w:p w14:paraId="3E516E8F" w14:textId="77777777" w:rsidR="001E636C" w:rsidRPr="004F3166" w:rsidRDefault="000504F8" w:rsidP="001E636C">
            <w:pPr>
              <w:pStyle w:val="Default"/>
            </w:pPr>
            <w:r w:rsidRPr="004F3166">
              <w:t xml:space="preserve">Opportunities for </w:t>
            </w:r>
            <w:r w:rsidR="001E636C" w:rsidRPr="004F3166">
              <w:t>Career development</w:t>
            </w:r>
          </w:p>
        </w:tc>
        <w:tc>
          <w:tcPr>
            <w:tcW w:w="1390" w:type="dxa"/>
          </w:tcPr>
          <w:p w14:paraId="550B467B" w14:textId="77777777" w:rsidR="001E636C" w:rsidRPr="004F3166" w:rsidRDefault="001E636C" w:rsidP="001E636C">
            <w:pPr>
              <w:pStyle w:val="Default"/>
              <w:jc w:val="center"/>
              <w:rPr>
                <w:b/>
              </w:rPr>
            </w:pPr>
            <w:r w:rsidRPr="004F3166">
              <w:rPr>
                <w:b/>
              </w:rPr>
              <w:sym w:font="Wingdings 3" w:char="F031"/>
            </w:r>
          </w:p>
        </w:tc>
        <w:tc>
          <w:tcPr>
            <w:tcW w:w="4746" w:type="dxa"/>
          </w:tcPr>
          <w:p w14:paraId="2C9BB10E" w14:textId="74AB9467" w:rsidR="001E636C" w:rsidRPr="004F3166" w:rsidRDefault="00160364" w:rsidP="001E636C">
            <w:pPr>
              <w:pStyle w:val="Default"/>
              <w:rPr>
                <w:color w:val="auto"/>
              </w:rPr>
            </w:pPr>
            <w:r w:rsidRPr="004F3166">
              <w:rPr>
                <w:color w:val="auto"/>
              </w:rPr>
              <w:t>Same score as 2017 (35%) remains the characteristic people would most like to improve in their job</w:t>
            </w:r>
            <w:r w:rsidR="00340F0B">
              <w:rPr>
                <w:color w:val="auto"/>
              </w:rPr>
              <w:t>.</w:t>
            </w:r>
            <w:r w:rsidR="00DE421D" w:rsidRPr="004F3166">
              <w:t xml:space="preserve"> </w:t>
            </w:r>
            <w:r w:rsidR="00340F0B">
              <w:t>A</w:t>
            </w:r>
            <w:r w:rsidR="00DE421D" w:rsidRPr="004F3166">
              <w:t xml:space="preserve">wareness of this feedback from previous years had been </w:t>
            </w:r>
            <w:proofErr w:type="gramStart"/>
            <w:r w:rsidR="00DE421D" w:rsidRPr="004F3166">
              <w:t>taken into account</w:t>
            </w:r>
            <w:proofErr w:type="gramEnd"/>
            <w:r w:rsidR="00DE421D" w:rsidRPr="004F3166">
              <w:t xml:space="preserve"> in new structures with more line management opportunities and more career structure</w:t>
            </w:r>
          </w:p>
        </w:tc>
      </w:tr>
      <w:tr w:rsidR="001E636C" w:rsidRPr="004F3166" w14:paraId="0E07F022" w14:textId="77777777" w:rsidTr="00233487">
        <w:tc>
          <w:tcPr>
            <w:tcW w:w="3219" w:type="dxa"/>
          </w:tcPr>
          <w:p w14:paraId="2BBD9811" w14:textId="77777777" w:rsidR="001E636C" w:rsidRPr="004F3166" w:rsidRDefault="001E636C" w:rsidP="001E636C">
            <w:pPr>
              <w:pStyle w:val="Default"/>
              <w:rPr>
                <w:color w:val="00B050"/>
              </w:rPr>
            </w:pPr>
            <w:r w:rsidRPr="004F3166">
              <w:rPr>
                <w:color w:val="00B050"/>
              </w:rPr>
              <w:t>Managing poor performance</w:t>
            </w:r>
          </w:p>
        </w:tc>
        <w:tc>
          <w:tcPr>
            <w:tcW w:w="1390" w:type="dxa"/>
          </w:tcPr>
          <w:p w14:paraId="237F9D6B" w14:textId="77777777" w:rsidR="001E636C" w:rsidRPr="004F3166" w:rsidRDefault="001E636C" w:rsidP="001E636C">
            <w:pPr>
              <w:pStyle w:val="Default"/>
              <w:jc w:val="center"/>
              <w:rPr>
                <w:b/>
                <w:color w:val="00B050"/>
              </w:rPr>
            </w:pPr>
            <w:r w:rsidRPr="004F3166">
              <w:rPr>
                <w:b/>
                <w:color w:val="00B050"/>
              </w:rPr>
              <w:sym w:font="Wingdings 3" w:char="F023"/>
            </w:r>
            <w:r w:rsidRPr="004F3166">
              <w:rPr>
                <w:b/>
                <w:color w:val="00B050"/>
              </w:rPr>
              <w:t xml:space="preserve"> </w:t>
            </w:r>
          </w:p>
          <w:p w14:paraId="71C6D228" w14:textId="77777777" w:rsidR="001E636C" w:rsidRPr="004F3166" w:rsidRDefault="001E636C" w:rsidP="001E636C">
            <w:pPr>
              <w:pStyle w:val="Default"/>
              <w:jc w:val="center"/>
              <w:rPr>
                <w:b/>
                <w:color w:val="00B050"/>
              </w:rPr>
            </w:pPr>
            <w:r w:rsidRPr="004F3166">
              <w:rPr>
                <w:b/>
                <w:color w:val="00B050"/>
              </w:rPr>
              <w:t>up 13%</w:t>
            </w:r>
          </w:p>
        </w:tc>
        <w:tc>
          <w:tcPr>
            <w:tcW w:w="4746" w:type="dxa"/>
          </w:tcPr>
          <w:p w14:paraId="737942E3" w14:textId="73420CF6" w:rsidR="001E636C" w:rsidRPr="004F3166" w:rsidRDefault="006450F7" w:rsidP="001E636C">
            <w:pPr>
              <w:pStyle w:val="Default"/>
              <w:rPr>
                <w:color w:val="auto"/>
              </w:rPr>
            </w:pPr>
            <w:r w:rsidRPr="004F3166">
              <w:rPr>
                <w:color w:val="auto"/>
              </w:rPr>
              <w:t>Difficult to ascertain what the specific causes are for this improvement</w:t>
            </w:r>
            <w:r w:rsidR="00DE421D" w:rsidRPr="004F3166">
              <w:rPr>
                <w:color w:val="auto"/>
              </w:rPr>
              <w:t xml:space="preserve"> though more support has been offered to line managers in the last 12 months</w:t>
            </w:r>
          </w:p>
        </w:tc>
      </w:tr>
      <w:tr w:rsidR="001E636C" w:rsidRPr="004F3166" w14:paraId="662470D5" w14:textId="77777777" w:rsidTr="00233487">
        <w:tc>
          <w:tcPr>
            <w:tcW w:w="3219" w:type="dxa"/>
          </w:tcPr>
          <w:p w14:paraId="619410F5" w14:textId="77777777" w:rsidR="001E636C" w:rsidRPr="004F3166" w:rsidRDefault="000504F8" w:rsidP="001E636C">
            <w:pPr>
              <w:pStyle w:val="Default"/>
              <w:rPr>
                <w:color w:val="FF0000"/>
              </w:rPr>
            </w:pPr>
            <w:r w:rsidRPr="004F3166">
              <w:rPr>
                <w:color w:val="FF0000"/>
              </w:rPr>
              <w:t>Having a m</w:t>
            </w:r>
            <w:r w:rsidR="001E636C" w:rsidRPr="004F3166">
              <w:rPr>
                <w:color w:val="FF0000"/>
              </w:rPr>
              <w:t>anageable workload</w:t>
            </w:r>
          </w:p>
        </w:tc>
        <w:tc>
          <w:tcPr>
            <w:tcW w:w="1390" w:type="dxa"/>
          </w:tcPr>
          <w:p w14:paraId="085B6139" w14:textId="77777777" w:rsidR="001E636C" w:rsidRPr="004F3166" w:rsidRDefault="001E636C" w:rsidP="001E636C">
            <w:pPr>
              <w:pStyle w:val="Default"/>
              <w:jc w:val="center"/>
              <w:rPr>
                <w:b/>
                <w:color w:val="FF0000"/>
              </w:rPr>
            </w:pPr>
            <w:r w:rsidRPr="004F3166">
              <w:rPr>
                <w:b/>
                <w:color w:val="FF0000"/>
              </w:rPr>
              <w:sym w:font="Wingdings 3" w:char="F024"/>
            </w:r>
            <w:r w:rsidRPr="004F3166">
              <w:rPr>
                <w:b/>
                <w:color w:val="FF0000"/>
              </w:rPr>
              <w:t xml:space="preserve"> </w:t>
            </w:r>
          </w:p>
          <w:p w14:paraId="34AD6F7F" w14:textId="77777777" w:rsidR="001E636C" w:rsidRPr="004F3166" w:rsidRDefault="001E636C" w:rsidP="001E636C">
            <w:pPr>
              <w:pStyle w:val="Default"/>
              <w:jc w:val="center"/>
              <w:rPr>
                <w:b/>
                <w:color w:val="FF0000"/>
              </w:rPr>
            </w:pPr>
            <w:r w:rsidRPr="004F3166">
              <w:rPr>
                <w:b/>
                <w:color w:val="FF0000"/>
              </w:rPr>
              <w:t>down 7%</w:t>
            </w:r>
          </w:p>
        </w:tc>
        <w:tc>
          <w:tcPr>
            <w:tcW w:w="4746" w:type="dxa"/>
          </w:tcPr>
          <w:p w14:paraId="7C9B1FEB" w14:textId="77777777" w:rsidR="001E636C" w:rsidRPr="004F3166" w:rsidRDefault="000504F8" w:rsidP="001E636C">
            <w:pPr>
              <w:pStyle w:val="Default"/>
              <w:rPr>
                <w:color w:val="auto"/>
              </w:rPr>
            </w:pPr>
            <w:r w:rsidRPr="004F3166">
              <w:rPr>
                <w:color w:val="auto"/>
              </w:rPr>
              <w:t>Though ability to have a good work life balance ha</w:t>
            </w:r>
            <w:r w:rsidR="0053799B" w:rsidRPr="004F3166">
              <w:rPr>
                <w:color w:val="auto"/>
              </w:rPr>
              <w:t>s</w:t>
            </w:r>
            <w:r w:rsidRPr="004F3166">
              <w:rPr>
                <w:color w:val="auto"/>
              </w:rPr>
              <w:t xml:space="preserve"> remained at 2017 levels</w:t>
            </w:r>
          </w:p>
        </w:tc>
      </w:tr>
      <w:tr w:rsidR="001E636C" w:rsidRPr="004F3166" w14:paraId="1CC240A1" w14:textId="77777777" w:rsidTr="00233487">
        <w:tc>
          <w:tcPr>
            <w:tcW w:w="3219" w:type="dxa"/>
          </w:tcPr>
          <w:p w14:paraId="1F097BF7" w14:textId="77777777" w:rsidR="001E636C" w:rsidRPr="004F3166" w:rsidRDefault="001E636C" w:rsidP="001E636C">
            <w:pPr>
              <w:pStyle w:val="Default"/>
              <w:rPr>
                <w:color w:val="00B050"/>
              </w:rPr>
            </w:pPr>
            <w:r w:rsidRPr="004F3166">
              <w:rPr>
                <w:color w:val="00B050"/>
              </w:rPr>
              <w:t>Reliability of IT</w:t>
            </w:r>
          </w:p>
        </w:tc>
        <w:tc>
          <w:tcPr>
            <w:tcW w:w="1390" w:type="dxa"/>
          </w:tcPr>
          <w:p w14:paraId="49E56B60" w14:textId="77777777" w:rsidR="001E636C" w:rsidRPr="004F3166" w:rsidRDefault="001E636C" w:rsidP="001E636C">
            <w:pPr>
              <w:pStyle w:val="Default"/>
              <w:jc w:val="center"/>
              <w:rPr>
                <w:b/>
                <w:color w:val="00B050"/>
              </w:rPr>
            </w:pPr>
            <w:r w:rsidRPr="004F3166">
              <w:rPr>
                <w:b/>
                <w:color w:val="00B050"/>
              </w:rPr>
              <w:sym w:font="Wingdings 3" w:char="F023"/>
            </w:r>
          </w:p>
          <w:p w14:paraId="01552802" w14:textId="77777777" w:rsidR="001E636C" w:rsidRPr="004F3166" w:rsidRDefault="001E636C" w:rsidP="001E636C">
            <w:pPr>
              <w:pStyle w:val="Default"/>
              <w:jc w:val="center"/>
              <w:rPr>
                <w:b/>
                <w:color w:val="00B050"/>
              </w:rPr>
            </w:pPr>
            <w:r w:rsidRPr="004F3166">
              <w:rPr>
                <w:b/>
                <w:color w:val="00B050"/>
              </w:rPr>
              <w:t>up 4%</w:t>
            </w:r>
          </w:p>
        </w:tc>
        <w:tc>
          <w:tcPr>
            <w:tcW w:w="4746" w:type="dxa"/>
          </w:tcPr>
          <w:p w14:paraId="3AEC77F2" w14:textId="77777777" w:rsidR="001E636C" w:rsidRPr="004F3166" w:rsidRDefault="00160364" w:rsidP="001E636C">
            <w:pPr>
              <w:pStyle w:val="Default"/>
              <w:rPr>
                <w:color w:val="auto"/>
              </w:rPr>
            </w:pPr>
            <w:r w:rsidRPr="004F3166">
              <w:rPr>
                <w:color w:val="auto"/>
              </w:rPr>
              <w:t>Significant investment in developing a better service has resulted in some improvement</w:t>
            </w:r>
          </w:p>
        </w:tc>
      </w:tr>
      <w:tr w:rsidR="001E636C" w:rsidRPr="004F3166" w14:paraId="70246B43" w14:textId="77777777" w:rsidTr="00233487">
        <w:tc>
          <w:tcPr>
            <w:tcW w:w="3219" w:type="dxa"/>
          </w:tcPr>
          <w:p w14:paraId="63362AE4" w14:textId="77777777" w:rsidR="001E636C" w:rsidRPr="004F3166" w:rsidRDefault="001E636C" w:rsidP="001E636C">
            <w:pPr>
              <w:pStyle w:val="Default"/>
              <w:rPr>
                <w:color w:val="FF0000"/>
              </w:rPr>
            </w:pPr>
            <w:r w:rsidRPr="004F3166">
              <w:rPr>
                <w:color w:val="FF0000"/>
              </w:rPr>
              <w:t>Looking for a job</w:t>
            </w:r>
            <w:r w:rsidR="000504F8" w:rsidRPr="004F3166">
              <w:rPr>
                <w:color w:val="FF0000"/>
              </w:rPr>
              <w:t xml:space="preserve"> in next 12 months</w:t>
            </w:r>
          </w:p>
        </w:tc>
        <w:tc>
          <w:tcPr>
            <w:tcW w:w="1390" w:type="dxa"/>
          </w:tcPr>
          <w:p w14:paraId="301854D4" w14:textId="77777777" w:rsidR="001E636C" w:rsidRPr="004F3166" w:rsidRDefault="001E636C" w:rsidP="001E636C">
            <w:pPr>
              <w:pStyle w:val="Default"/>
              <w:jc w:val="center"/>
              <w:rPr>
                <w:b/>
                <w:color w:val="FF0000"/>
              </w:rPr>
            </w:pPr>
            <w:r w:rsidRPr="004F3166">
              <w:rPr>
                <w:b/>
                <w:color w:val="FF0000"/>
              </w:rPr>
              <w:sym w:font="Wingdings 3" w:char="F024"/>
            </w:r>
            <w:r w:rsidRPr="004F3166">
              <w:rPr>
                <w:b/>
                <w:color w:val="FF0000"/>
              </w:rPr>
              <w:t xml:space="preserve"> </w:t>
            </w:r>
          </w:p>
          <w:p w14:paraId="307B275A" w14:textId="77777777" w:rsidR="001E636C" w:rsidRPr="004F3166" w:rsidRDefault="001E636C" w:rsidP="001E636C">
            <w:pPr>
              <w:pStyle w:val="Default"/>
              <w:jc w:val="center"/>
              <w:rPr>
                <w:b/>
                <w:color w:val="FF0000"/>
              </w:rPr>
            </w:pPr>
            <w:r w:rsidRPr="004F3166">
              <w:rPr>
                <w:b/>
                <w:color w:val="FF0000"/>
              </w:rPr>
              <w:t>up 10%</w:t>
            </w:r>
          </w:p>
        </w:tc>
        <w:tc>
          <w:tcPr>
            <w:tcW w:w="4746" w:type="dxa"/>
          </w:tcPr>
          <w:p w14:paraId="7FA17578" w14:textId="222EAACE" w:rsidR="001E636C" w:rsidRPr="004F3166" w:rsidRDefault="00994D30" w:rsidP="001E636C">
            <w:pPr>
              <w:pStyle w:val="Default"/>
              <w:rPr>
                <w:color w:val="auto"/>
              </w:rPr>
            </w:pPr>
            <w:r w:rsidRPr="004F3166">
              <w:rPr>
                <w:color w:val="auto"/>
              </w:rPr>
              <w:t>Probably a strong link with the changes that have taken place and the uncertainty that brings</w:t>
            </w:r>
            <w:r w:rsidR="00996AF2" w:rsidRPr="004F3166">
              <w:rPr>
                <w:color w:val="auto"/>
              </w:rPr>
              <w:t xml:space="preserve"> although it is hoped that when the new structure beds in there will be less inclination for people to look to leave</w:t>
            </w:r>
          </w:p>
        </w:tc>
      </w:tr>
      <w:tr w:rsidR="001E636C" w:rsidRPr="004F3166" w14:paraId="75E54D53" w14:textId="77777777" w:rsidTr="00233487">
        <w:tc>
          <w:tcPr>
            <w:tcW w:w="3219" w:type="dxa"/>
          </w:tcPr>
          <w:p w14:paraId="4033CE1E" w14:textId="77777777" w:rsidR="001E636C" w:rsidRPr="004F3166" w:rsidRDefault="001E636C" w:rsidP="001E636C">
            <w:pPr>
              <w:pStyle w:val="Default"/>
              <w:rPr>
                <w:color w:val="FF0000"/>
              </w:rPr>
            </w:pPr>
            <w:r w:rsidRPr="004F3166">
              <w:rPr>
                <w:color w:val="FF0000"/>
              </w:rPr>
              <w:t>Learning and Development</w:t>
            </w:r>
            <w:r w:rsidR="006C2AB6" w:rsidRPr="004F3166">
              <w:rPr>
                <w:color w:val="FF0000"/>
              </w:rPr>
              <w:t xml:space="preserve"> to do my job effectively </w:t>
            </w:r>
          </w:p>
        </w:tc>
        <w:tc>
          <w:tcPr>
            <w:tcW w:w="1390" w:type="dxa"/>
          </w:tcPr>
          <w:p w14:paraId="1E773A94" w14:textId="77777777" w:rsidR="001E636C" w:rsidRPr="004F3166" w:rsidRDefault="001E636C" w:rsidP="001E636C">
            <w:pPr>
              <w:pStyle w:val="Default"/>
              <w:jc w:val="center"/>
              <w:rPr>
                <w:b/>
                <w:color w:val="FF0000"/>
              </w:rPr>
            </w:pPr>
            <w:r w:rsidRPr="004F3166">
              <w:rPr>
                <w:b/>
                <w:color w:val="FF0000"/>
              </w:rPr>
              <w:sym w:font="Wingdings 3" w:char="F024"/>
            </w:r>
            <w:r w:rsidRPr="004F3166">
              <w:rPr>
                <w:b/>
                <w:color w:val="FF0000"/>
              </w:rPr>
              <w:t xml:space="preserve"> </w:t>
            </w:r>
          </w:p>
          <w:p w14:paraId="5F0F05E6" w14:textId="77777777" w:rsidR="001E636C" w:rsidRPr="004F3166" w:rsidRDefault="001E636C" w:rsidP="001E636C">
            <w:pPr>
              <w:pStyle w:val="Default"/>
              <w:jc w:val="center"/>
              <w:rPr>
                <w:b/>
                <w:color w:val="FF0000"/>
              </w:rPr>
            </w:pPr>
            <w:r w:rsidRPr="004F3166">
              <w:rPr>
                <w:b/>
                <w:color w:val="FF0000"/>
              </w:rPr>
              <w:t>down 6%</w:t>
            </w:r>
          </w:p>
        </w:tc>
        <w:tc>
          <w:tcPr>
            <w:tcW w:w="4746" w:type="dxa"/>
          </w:tcPr>
          <w:p w14:paraId="5E6222FE" w14:textId="3786CEAD" w:rsidR="001E636C" w:rsidRPr="004F3166" w:rsidRDefault="006C2AB6" w:rsidP="001E636C">
            <w:pPr>
              <w:pStyle w:val="Default"/>
              <w:rPr>
                <w:color w:val="auto"/>
              </w:rPr>
            </w:pPr>
            <w:r w:rsidRPr="004F3166">
              <w:rPr>
                <w:color w:val="auto"/>
              </w:rPr>
              <w:t>Lowest score was within Corporate Services (includes Finance and Policy) 48% compared to 58% for the whole organisation</w:t>
            </w:r>
            <w:r w:rsidR="00996AF2" w:rsidRPr="004F3166">
              <w:rPr>
                <w:color w:val="auto"/>
              </w:rPr>
              <w:t xml:space="preserve"> which represents a ‘buck’ in trend compared to the rest of the survey</w:t>
            </w:r>
          </w:p>
        </w:tc>
      </w:tr>
    </w:tbl>
    <w:p w14:paraId="78D46E4C" w14:textId="551E4E05" w:rsidR="001C2441" w:rsidRDefault="001C2441" w:rsidP="001C2441">
      <w:pPr>
        <w:pStyle w:val="Default"/>
        <w:jc w:val="both"/>
        <w:rPr>
          <w:color w:val="FF0000"/>
        </w:rPr>
      </w:pPr>
    </w:p>
    <w:p w14:paraId="5672A10D" w14:textId="54362341" w:rsidR="001C2441" w:rsidRDefault="001C2441" w:rsidP="001C2441">
      <w:pPr>
        <w:pStyle w:val="Default"/>
        <w:numPr>
          <w:ilvl w:val="0"/>
          <w:numId w:val="5"/>
        </w:numPr>
        <w:jc w:val="both"/>
        <w:rPr>
          <w:b/>
        </w:rPr>
      </w:pPr>
      <w:r w:rsidRPr="00C77F90">
        <w:rPr>
          <w:b/>
        </w:rPr>
        <w:lastRenderedPageBreak/>
        <w:t>Further detailed analysis</w:t>
      </w:r>
      <w:r w:rsidR="00A72984" w:rsidRPr="00C77F90">
        <w:rPr>
          <w:b/>
        </w:rPr>
        <w:t xml:space="preserve"> –</w:t>
      </w:r>
      <w:r w:rsidR="00C77F90">
        <w:rPr>
          <w:b/>
        </w:rPr>
        <w:t xml:space="preserve"> Lowest scoring areas and </w:t>
      </w:r>
      <w:r w:rsidR="00DC33A7">
        <w:rPr>
          <w:b/>
        </w:rPr>
        <w:t>those scoring lowest against the BMG benchmark</w:t>
      </w:r>
    </w:p>
    <w:p w14:paraId="06995986" w14:textId="77777777" w:rsidR="00AB069B" w:rsidRDefault="00AB069B" w:rsidP="00AB069B">
      <w:pPr>
        <w:pStyle w:val="Default"/>
        <w:ind w:left="720"/>
        <w:jc w:val="both"/>
        <w:rPr>
          <w:b/>
        </w:rPr>
      </w:pPr>
    </w:p>
    <w:p w14:paraId="2284B9A6" w14:textId="09A012BE" w:rsidR="001C2441" w:rsidRPr="00836F6C" w:rsidRDefault="00986533" w:rsidP="005D0782">
      <w:pPr>
        <w:pStyle w:val="Default"/>
        <w:numPr>
          <w:ilvl w:val="1"/>
          <w:numId w:val="14"/>
        </w:numPr>
        <w:ind w:left="1276" w:hanging="567"/>
        <w:jc w:val="both"/>
        <w:rPr>
          <w:b/>
        </w:rPr>
      </w:pPr>
      <w:r>
        <w:t xml:space="preserve">The focus for the remainder of the report is to consider response to the </w:t>
      </w:r>
      <w:r w:rsidR="00753C03">
        <w:t xml:space="preserve">lowest scoring areas and </w:t>
      </w:r>
      <w:r>
        <w:t xml:space="preserve">those with </w:t>
      </w:r>
      <w:r w:rsidR="00836F6C">
        <w:t>scored lowest against the BMG benchmarks.</w:t>
      </w:r>
    </w:p>
    <w:p w14:paraId="1126693D" w14:textId="77777777" w:rsidR="00836F6C" w:rsidRPr="00836F6C" w:rsidRDefault="00836F6C" w:rsidP="00836F6C">
      <w:pPr>
        <w:pStyle w:val="Default"/>
        <w:ind w:left="1276"/>
        <w:jc w:val="both"/>
        <w:rPr>
          <w:b/>
        </w:rPr>
      </w:pPr>
    </w:p>
    <w:p w14:paraId="58D2E69A" w14:textId="77777777" w:rsidR="00047FDD" w:rsidRDefault="00047FDD" w:rsidP="008500ED">
      <w:pPr>
        <w:pStyle w:val="Default"/>
        <w:jc w:val="center"/>
        <w:rPr>
          <w:b/>
        </w:rPr>
      </w:pPr>
      <w:r>
        <w:rPr>
          <w:b/>
          <w:noProof/>
        </w:rPr>
        <w:drawing>
          <wp:inline distT="0" distB="0" distL="0" distR="0" wp14:anchorId="1F3053D6" wp14:editId="1C0CF463">
            <wp:extent cx="4520867" cy="339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taAll_staff_presentation_Staff_survey_2019_1736_v1_animations - FINAL.jpg"/>
                    <pic:cNvPicPr/>
                  </pic:nvPicPr>
                  <pic:blipFill>
                    <a:blip r:embed="rId8">
                      <a:extLst>
                        <a:ext uri="{28A0092B-C50C-407E-A947-70E740481C1C}">
                          <a14:useLocalDpi xmlns:a14="http://schemas.microsoft.com/office/drawing/2010/main" val="0"/>
                        </a:ext>
                      </a:extLst>
                    </a:blip>
                    <a:stretch>
                      <a:fillRect/>
                    </a:stretch>
                  </pic:blipFill>
                  <pic:spPr>
                    <a:xfrm>
                      <a:off x="0" y="0"/>
                      <a:ext cx="4561176" cy="3421134"/>
                    </a:xfrm>
                    <a:prstGeom prst="rect">
                      <a:avLst/>
                    </a:prstGeom>
                  </pic:spPr>
                </pic:pic>
              </a:graphicData>
            </a:graphic>
          </wp:inline>
        </w:drawing>
      </w:r>
    </w:p>
    <w:p w14:paraId="2DE57EDC" w14:textId="77777777" w:rsidR="00047FDD" w:rsidRDefault="00047FDD" w:rsidP="00CC1E09">
      <w:pPr>
        <w:pStyle w:val="Default"/>
        <w:jc w:val="both"/>
        <w:rPr>
          <w:b/>
        </w:rPr>
      </w:pPr>
    </w:p>
    <w:p w14:paraId="58407A63" w14:textId="77777777" w:rsidR="00047FDD" w:rsidRDefault="00047FDD" w:rsidP="00CC1E09">
      <w:pPr>
        <w:pStyle w:val="Default"/>
        <w:jc w:val="both"/>
        <w:rPr>
          <w:b/>
        </w:rPr>
      </w:pPr>
    </w:p>
    <w:p w14:paraId="3CA41835" w14:textId="77777777" w:rsidR="00047FDD" w:rsidRDefault="00047FDD" w:rsidP="008500ED">
      <w:pPr>
        <w:pStyle w:val="Default"/>
        <w:jc w:val="center"/>
        <w:rPr>
          <w:b/>
        </w:rPr>
      </w:pPr>
      <w:r>
        <w:rPr>
          <w:b/>
          <w:noProof/>
        </w:rPr>
        <w:drawing>
          <wp:inline distT="0" distB="0" distL="0" distR="0" wp14:anchorId="380843EB" wp14:editId="302272ED">
            <wp:extent cx="4495468" cy="33718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 2.jpg"/>
                    <pic:cNvPicPr/>
                  </pic:nvPicPr>
                  <pic:blipFill>
                    <a:blip r:embed="rId9">
                      <a:extLst>
                        <a:ext uri="{28A0092B-C50C-407E-A947-70E740481C1C}">
                          <a14:useLocalDpi xmlns:a14="http://schemas.microsoft.com/office/drawing/2010/main" val="0"/>
                        </a:ext>
                      </a:extLst>
                    </a:blip>
                    <a:stretch>
                      <a:fillRect/>
                    </a:stretch>
                  </pic:blipFill>
                  <pic:spPr>
                    <a:xfrm>
                      <a:off x="0" y="0"/>
                      <a:ext cx="4553272" cy="3415206"/>
                    </a:xfrm>
                    <a:prstGeom prst="rect">
                      <a:avLst/>
                    </a:prstGeom>
                  </pic:spPr>
                </pic:pic>
              </a:graphicData>
            </a:graphic>
          </wp:inline>
        </w:drawing>
      </w:r>
    </w:p>
    <w:p w14:paraId="7E4186D6" w14:textId="77777777" w:rsidR="00047FDD" w:rsidRDefault="00047FDD" w:rsidP="00CC1E09">
      <w:pPr>
        <w:pStyle w:val="Default"/>
        <w:jc w:val="both"/>
        <w:rPr>
          <w:b/>
        </w:rPr>
      </w:pPr>
    </w:p>
    <w:p w14:paraId="32DEBAED" w14:textId="77777777" w:rsidR="00047FDD" w:rsidRDefault="00047FDD" w:rsidP="00CC1E09">
      <w:pPr>
        <w:pStyle w:val="Default"/>
        <w:jc w:val="both"/>
        <w:rPr>
          <w:b/>
        </w:rPr>
      </w:pPr>
    </w:p>
    <w:p w14:paraId="3291038C" w14:textId="77777777" w:rsidR="00CC1E09" w:rsidRDefault="00753C03" w:rsidP="009525AD">
      <w:pPr>
        <w:pStyle w:val="Default"/>
        <w:numPr>
          <w:ilvl w:val="1"/>
          <w:numId w:val="14"/>
        </w:numPr>
        <w:jc w:val="both"/>
      </w:pPr>
      <w:r w:rsidRPr="00753C03">
        <w:lastRenderedPageBreak/>
        <w:t>In</w:t>
      </w:r>
      <w:r>
        <w:rPr>
          <w:b/>
        </w:rPr>
        <w:t xml:space="preserve"> </w:t>
      </w:r>
      <w:r>
        <w:t>considering how best the organisation responds to these results it may be worth presenting them in the form of cause and effect model (see below)</w:t>
      </w:r>
    </w:p>
    <w:p w14:paraId="0041DD51" w14:textId="77541FEA" w:rsidR="00753C03" w:rsidRDefault="004A6E41" w:rsidP="00753C03">
      <w:pPr>
        <w:pStyle w:val="Default"/>
        <w:ind w:left="1080"/>
        <w:jc w:val="both"/>
      </w:pPr>
      <w:r>
        <w:rPr>
          <w:noProof/>
        </w:rPr>
        <w:drawing>
          <wp:inline distT="0" distB="0" distL="0" distR="0" wp14:anchorId="7159534F" wp14:editId="6EEC6A99">
            <wp:extent cx="5731510" cy="32238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use and effect v4.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79D41C87" w14:textId="77777777" w:rsidR="00753C03" w:rsidRDefault="00513705" w:rsidP="009525AD">
      <w:pPr>
        <w:pStyle w:val="Default"/>
        <w:numPr>
          <w:ilvl w:val="1"/>
          <w:numId w:val="14"/>
        </w:numPr>
        <w:tabs>
          <w:tab w:val="left" w:pos="1134"/>
        </w:tabs>
        <w:jc w:val="both"/>
      </w:pPr>
      <w:r>
        <w:t xml:space="preserve">If we use this model </w:t>
      </w:r>
      <w:proofErr w:type="gramStart"/>
      <w:r>
        <w:t>as a way to</w:t>
      </w:r>
      <w:proofErr w:type="gramEnd"/>
      <w:r>
        <w:t xml:space="preserve"> frame our thinking around how best to respond, logic suggests that we focus on the </w:t>
      </w:r>
      <w:r w:rsidR="00277ED9" w:rsidRPr="00277ED9">
        <w:rPr>
          <w:u w:val="single"/>
        </w:rPr>
        <w:t>main</w:t>
      </w:r>
      <w:r w:rsidR="00277ED9">
        <w:t xml:space="preserve"> </w:t>
      </w:r>
      <w:r>
        <w:t>causes which if successfully addressed should impact on the poor outcomes being experienced by sections of the organisation i.e. low job satisfaction, poor morale etc.</w:t>
      </w:r>
    </w:p>
    <w:p w14:paraId="59575869" w14:textId="77777777" w:rsidR="00513705" w:rsidRDefault="00513705" w:rsidP="00513705">
      <w:pPr>
        <w:pStyle w:val="Default"/>
        <w:ind w:left="1080"/>
        <w:jc w:val="both"/>
      </w:pPr>
    </w:p>
    <w:p w14:paraId="1F02C213" w14:textId="77777777" w:rsidR="00277ED9" w:rsidRDefault="00277ED9" w:rsidP="009525AD">
      <w:pPr>
        <w:pStyle w:val="Default"/>
        <w:numPr>
          <w:ilvl w:val="1"/>
          <w:numId w:val="14"/>
        </w:numPr>
        <w:jc w:val="both"/>
      </w:pPr>
      <w:r>
        <w:t>In terms of creating a plan that responds to these key ‘causes’ there would appear to be a number of logical steps that need to be followed</w:t>
      </w:r>
    </w:p>
    <w:p w14:paraId="47DC22A0" w14:textId="77777777" w:rsidR="00277ED9" w:rsidRDefault="00277ED9" w:rsidP="00277ED9">
      <w:pPr>
        <w:pStyle w:val="ListParagraph"/>
      </w:pPr>
    </w:p>
    <w:p w14:paraId="63293827" w14:textId="77777777" w:rsidR="00277ED9" w:rsidRDefault="00277ED9" w:rsidP="00AA695C">
      <w:pPr>
        <w:pStyle w:val="Default"/>
        <w:numPr>
          <w:ilvl w:val="0"/>
          <w:numId w:val="8"/>
        </w:numPr>
        <w:jc w:val="both"/>
      </w:pPr>
      <w:r>
        <w:t>Trying to understand more around the underlying factors that have influenced responses</w:t>
      </w:r>
    </w:p>
    <w:p w14:paraId="3F5C1CD0" w14:textId="77777777" w:rsidR="00277ED9" w:rsidRDefault="00277ED9" w:rsidP="00277ED9">
      <w:pPr>
        <w:pStyle w:val="ListParagraph"/>
        <w:spacing w:after="0" w:line="240" w:lineRule="auto"/>
      </w:pPr>
    </w:p>
    <w:p w14:paraId="4BCA3FF0" w14:textId="77777777" w:rsidR="00277ED9" w:rsidRDefault="00277ED9" w:rsidP="00AA695C">
      <w:pPr>
        <w:pStyle w:val="Default"/>
        <w:numPr>
          <w:ilvl w:val="0"/>
          <w:numId w:val="8"/>
        </w:numPr>
        <w:jc w:val="both"/>
      </w:pPr>
      <w:r>
        <w:t>Considering and agreeing mitigating actions (short, medium and longer term)</w:t>
      </w:r>
      <w:r w:rsidR="00AA695C">
        <w:t xml:space="preserve"> that will address these factors</w:t>
      </w:r>
    </w:p>
    <w:p w14:paraId="2903B501" w14:textId="77777777" w:rsidR="00277ED9" w:rsidRDefault="00277ED9" w:rsidP="00277ED9">
      <w:pPr>
        <w:pStyle w:val="ListParagraph"/>
        <w:spacing w:after="0" w:line="240" w:lineRule="auto"/>
      </w:pPr>
    </w:p>
    <w:p w14:paraId="0E43A089" w14:textId="77777777" w:rsidR="00277ED9" w:rsidRDefault="00AA695C" w:rsidP="00AA695C">
      <w:pPr>
        <w:pStyle w:val="Default"/>
        <w:numPr>
          <w:ilvl w:val="0"/>
          <w:numId w:val="8"/>
        </w:numPr>
        <w:jc w:val="both"/>
      </w:pPr>
      <w:r>
        <w:t xml:space="preserve">Putting in place monitoring activity to gauge impact of changes </w:t>
      </w:r>
    </w:p>
    <w:p w14:paraId="537271F3" w14:textId="75692455" w:rsidR="00753C03" w:rsidRDefault="00753C03" w:rsidP="00277ED9">
      <w:pPr>
        <w:pStyle w:val="Default"/>
        <w:jc w:val="both"/>
      </w:pPr>
    </w:p>
    <w:p w14:paraId="5DA3C6E4" w14:textId="6F11F5F6" w:rsidR="00340F0B" w:rsidRDefault="00340F0B" w:rsidP="00277ED9">
      <w:pPr>
        <w:pStyle w:val="Default"/>
        <w:jc w:val="both"/>
      </w:pPr>
    </w:p>
    <w:p w14:paraId="1F15D61B" w14:textId="23C3877A" w:rsidR="00340F0B" w:rsidRDefault="00340F0B" w:rsidP="00277ED9">
      <w:pPr>
        <w:pStyle w:val="Default"/>
        <w:jc w:val="both"/>
      </w:pPr>
    </w:p>
    <w:p w14:paraId="1F31199B" w14:textId="7FEFB39C" w:rsidR="00340F0B" w:rsidRDefault="00340F0B" w:rsidP="00277ED9">
      <w:pPr>
        <w:pStyle w:val="Default"/>
        <w:jc w:val="both"/>
      </w:pPr>
    </w:p>
    <w:p w14:paraId="29CA6062" w14:textId="77777777" w:rsidR="006C5D9C" w:rsidRDefault="006C5D9C" w:rsidP="00277ED9">
      <w:pPr>
        <w:pStyle w:val="Default"/>
        <w:jc w:val="both"/>
      </w:pPr>
    </w:p>
    <w:p w14:paraId="3295519A" w14:textId="7EC2576E" w:rsidR="00340F0B" w:rsidRDefault="00340F0B" w:rsidP="00277ED9">
      <w:pPr>
        <w:pStyle w:val="Default"/>
        <w:jc w:val="both"/>
      </w:pPr>
    </w:p>
    <w:p w14:paraId="00A10DE0" w14:textId="3D9E080B" w:rsidR="004A6E41" w:rsidRDefault="004A6E41" w:rsidP="00277ED9">
      <w:pPr>
        <w:pStyle w:val="Default"/>
        <w:jc w:val="both"/>
      </w:pPr>
    </w:p>
    <w:p w14:paraId="72A75447" w14:textId="18591BA3" w:rsidR="004A6E41" w:rsidRDefault="004A6E41" w:rsidP="00277ED9">
      <w:pPr>
        <w:pStyle w:val="Default"/>
        <w:jc w:val="both"/>
      </w:pPr>
    </w:p>
    <w:p w14:paraId="2D85E8CC" w14:textId="0540B6E0" w:rsidR="004A6E41" w:rsidRDefault="004A6E41" w:rsidP="00277ED9">
      <w:pPr>
        <w:pStyle w:val="Default"/>
        <w:jc w:val="both"/>
      </w:pPr>
    </w:p>
    <w:p w14:paraId="1EB45DE8" w14:textId="08835F68" w:rsidR="004A6E41" w:rsidRDefault="004A6E41" w:rsidP="00277ED9">
      <w:pPr>
        <w:pStyle w:val="Default"/>
        <w:jc w:val="both"/>
      </w:pPr>
    </w:p>
    <w:p w14:paraId="32EFCF41" w14:textId="0632FA5E" w:rsidR="004A6E41" w:rsidRDefault="004A6E41" w:rsidP="00277ED9">
      <w:pPr>
        <w:pStyle w:val="Default"/>
        <w:jc w:val="both"/>
      </w:pPr>
    </w:p>
    <w:p w14:paraId="6CBBA0DE" w14:textId="751751BE" w:rsidR="00C213AA" w:rsidRDefault="00C213AA" w:rsidP="00277ED9">
      <w:pPr>
        <w:pStyle w:val="Default"/>
        <w:jc w:val="both"/>
      </w:pPr>
    </w:p>
    <w:p w14:paraId="1AA7D1D9" w14:textId="77777777" w:rsidR="00C213AA" w:rsidRDefault="00C213AA" w:rsidP="00277ED9">
      <w:pPr>
        <w:pStyle w:val="Default"/>
        <w:jc w:val="both"/>
      </w:pPr>
    </w:p>
    <w:p w14:paraId="304A18DD" w14:textId="77777777" w:rsidR="00340F0B" w:rsidRDefault="00340F0B" w:rsidP="00277ED9">
      <w:pPr>
        <w:pStyle w:val="Default"/>
        <w:jc w:val="both"/>
      </w:pPr>
    </w:p>
    <w:p w14:paraId="688A4A5F" w14:textId="77777777" w:rsidR="00753C03" w:rsidRDefault="00AA695C" w:rsidP="0022161F">
      <w:pPr>
        <w:pStyle w:val="Default"/>
        <w:numPr>
          <w:ilvl w:val="0"/>
          <w:numId w:val="14"/>
        </w:numPr>
        <w:jc w:val="both"/>
      </w:pPr>
      <w:r w:rsidRPr="00AA695C">
        <w:rPr>
          <w:b/>
        </w:rPr>
        <w:lastRenderedPageBreak/>
        <w:t>Steps that have already been taken</w:t>
      </w:r>
      <w:r>
        <w:t xml:space="preserve"> </w:t>
      </w:r>
    </w:p>
    <w:p w14:paraId="1C540936" w14:textId="77777777" w:rsidR="00AA695C" w:rsidRDefault="00AA695C" w:rsidP="00277ED9">
      <w:pPr>
        <w:pStyle w:val="Default"/>
        <w:jc w:val="both"/>
      </w:pPr>
    </w:p>
    <w:tbl>
      <w:tblPr>
        <w:tblStyle w:val="TableGrid"/>
        <w:tblW w:w="0" w:type="auto"/>
        <w:tblInd w:w="392" w:type="dxa"/>
        <w:tblLook w:val="04A0" w:firstRow="1" w:lastRow="0" w:firstColumn="1" w:lastColumn="0" w:noHBand="0" w:noVBand="1"/>
      </w:tblPr>
      <w:tblGrid>
        <w:gridCol w:w="1917"/>
        <w:gridCol w:w="6707"/>
      </w:tblGrid>
      <w:tr w:rsidR="00C375D6" w:rsidRPr="00C375D6" w14:paraId="0B260EF1" w14:textId="77777777" w:rsidTr="00C375D6">
        <w:tc>
          <w:tcPr>
            <w:tcW w:w="8647" w:type="dxa"/>
            <w:gridSpan w:val="2"/>
            <w:shd w:val="clear" w:color="auto" w:fill="002060"/>
          </w:tcPr>
          <w:p w14:paraId="5EF22944" w14:textId="27F4374A" w:rsidR="00C375D6" w:rsidRPr="00C375D6" w:rsidRDefault="00C375D6" w:rsidP="00C375D6">
            <w:pPr>
              <w:pStyle w:val="Default"/>
              <w:jc w:val="center"/>
              <w:rPr>
                <w:color w:val="FFFFFF" w:themeColor="background1"/>
              </w:rPr>
            </w:pPr>
            <w:r w:rsidRPr="00C375D6">
              <w:rPr>
                <w:color w:val="FFFFFF" w:themeColor="background1"/>
              </w:rPr>
              <w:t xml:space="preserve">Fear of speaking up/feedback not </w:t>
            </w:r>
            <w:r w:rsidR="006C5D9C">
              <w:rPr>
                <w:color w:val="FFFFFF" w:themeColor="background1"/>
              </w:rPr>
              <w:t xml:space="preserve">being </w:t>
            </w:r>
            <w:r w:rsidRPr="00C375D6">
              <w:rPr>
                <w:color w:val="FFFFFF" w:themeColor="background1"/>
              </w:rPr>
              <w:t>listened to</w:t>
            </w:r>
            <w:r w:rsidR="006C5D9C">
              <w:rPr>
                <w:color w:val="FFFFFF" w:themeColor="background1"/>
              </w:rPr>
              <w:t xml:space="preserve"> or acted upon</w:t>
            </w:r>
          </w:p>
        </w:tc>
      </w:tr>
      <w:tr w:rsidR="00AA695C" w14:paraId="0A87C647" w14:textId="77777777" w:rsidTr="00AA695C">
        <w:trPr>
          <w:trHeight w:val="533"/>
        </w:trPr>
        <w:tc>
          <w:tcPr>
            <w:tcW w:w="1918" w:type="dxa"/>
          </w:tcPr>
          <w:p w14:paraId="4E17E2FB" w14:textId="77777777" w:rsidR="00AA695C" w:rsidRDefault="007E3335" w:rsidP="00AA695C">
            <w:pPr>
              <w:pStyle w:val="Default"/>
            </w:pPr>
            <w:r>
              <w:t>Understanding u</w:t>
            </w:r>
            <w:r w:rsidR="00AA695C">
              <w:t>nderlying factors</w:t>
            </w:r>
          </w:p>
        </w:tc>
        <w:tc>
          <w:tcPr>
            <w:tcW w:w="6729" w:type="dxa"/>
          </w:tcPr>
          <w:p w14:paraId="056B9034" w14:textId="21507F7B" w:rsidR="00AA695C" w:rsidRDefault="00B7573A" w:rsidP="00B7573A">
            <w:pPr>
              <w:pStyle w:val="Default"/>
            </w:pPr>
            <w:r>
              <w:t xml:space="preserve">The HRA has always striven to ensure that staff feel that they can actively engage in discussion and if necessary be challenging/questioning around areas of change that they or their colleagues are affected by. </w:t>
            </w:r>
            <w:r w:rsidR="002D7B7B">
              <w:t>In terms of feedback we are exploring the concept that the issue may be more around it not being acted upon</w:t>
            </w:r>
            <w:r w:rsidR="00A568A1">
              <w:t xml:space="preserve"> rather than not listened to</w:t>
            </w:r>
            <w:r w:rsidR="002D7B7B">
              <w:t xml:space="preserve"> – which may be for good reason or that </w:t>
            </w:r>
            <w:r w:rsidR="00A568A1">
              <w:t>it has been</w:t>
            </w:r>
            <w:r w:rsidR="001451CE">
              <w:t>,</w:t>
            </w:r>
            <w:r w:rsidR="00A568A1">
              <w:t xml:space="preserve"> but </w:t>
            </w:r>
            <w:r w:rsidR="002D7B7B">
              <w:t>the impact hasn’t been felt yet</w:t>
            </w:r>
          </w:p>
        </w:tc>
      </w:tr>
      <w:tr w:rsidR="00AA695C" w14:paraId="3F55DD8A" w14:textId="77777777" w:rsidTr="00AA695C">
        <w:tc>
          <w:tcPr>
            <w:tcW w:w="1918" w:type="dxa"/>
          </w:tcPr>
          <w:p w14:paraId="15CE4BCA" w14:textId="77777777" w:rsidR="00AA695C" w:rsidRDefault="00AA695C" w:rsidP="00277ED9">
            <w:pPr>
              <w:pStyle w:val="Default"/>
              <w:jc w:val="both"/>
            </w:pPr>
            <w:r>
              <w:t>Actions</w:t>
            </w:r>
          </w:p>
        </w:tc>
        <w:tc>
          <w:tcPr>
            <w:tcW w:w="6729" w:type="dxa"/>
          </w:tcPr>
          <w:p w14:paraId="263E4E7D" w14:textId="27CA6DDA" w:rsidR="00AA695C" w:rsidRDefault="00A568A1" w:rsidP="00277ED9">
            <w:pPr>
              <w:pStyle w:val="Default"/>
              <w:jc w:val="both"/>
            </w:pPr>
            <w:r>
              <w:t>C</w:t>
            </w:r>
            <w:r w:rsidR="00EF51C3">
              <w:t>hanges to the structure in the Approvals Directorate are intended to enable a more open and supportive system</w:t>
            </w:r>
            <w:r w:rsidR="002D7B7B">
              <w:t xml:space="preserve"> and across the HRA we are looking to improve how we respond to feedback to ensure there is a</w:t>
            </w:r>
            <w:r>
              <w:t xml:space="preserve"> better</w:t>
            </w:r>
            <w:r w:rsidR="002D7B7B">
              <w:t xml:space="preserve"> understanding on what actions have been taken as a result</w:t>
            </w:r>
            <w:r w:rsidR="001451CE">
              <w:t xml:space="preserve"> it.</w:t>
            </w:r>
          </w:p>
        </w:tc>
      </w:tr>
    </w:tbl>
    <w:p w14:paraId="5C20BF96" w14:textId="77777777" w:rsidR="00AA695C" w:rsidRDefault="00AA695C" w:rsidP="00277ED9">
      <w:pPr>
        <w:pStyle w:val="Default"/>
        <w:jc w:val="both"/>
      </w:pPr>
    </w:p>
    <w:p w14:paraId="6F62D021" w14:textId="77777777" w:rsidR="00AA695C" w:rsidRDefault="00AA695C" w:rsidP="00277ED9">
      <w:pPr>
        <w:pStyle w:val="Default"/>
        <w:jc w:val="both"/>
      </w:pPr>
    </w:p>
    <w:tbl>
      <w:tblPr>
        <w:tblStyle w:val="TableGrid"/>
        <w:tblW w:w="0" w:type="auto"/>
        <w:tblInd w:w="392" w:type="dxa"/>
        <w:tblLook w:val="04A0" w:firstRow="1" w:lastRow="0" w:firstColumn="1" w:lastColumn="0" w:noHBand="0" w:noVBand="1"/>
      </w:tblPr>
      <w:tblGrid>
        <w:gridCol w:w="1917"/>
        <w:gridCol w:w="6707"/>
      </w:tblGrid>
      <w:tr w:rsidR="00275162" w:rsidRPr="00C375D6" w14:paraId="3226297F" w14:textId="77777777" w:rsidTr="00E673D0">
        <w:tc>
          <w:tcPr>
            <w:tcW w:w="8647" w:type="dxa"/>
            <w:gridSpan w:val="2"/>
            <w:shd w:val="clear" w:color="auto" w:fill="002060"/>
          </w:tcPr>
          <w:p w14:paraId="3CD77EBF" w14:textId="77777777" w:rsidR="00275162" w:rsidRPr="00C375D6" w:rsidRDefault="00275162" w:rsidP="00E673D0">
            <w:pPr>
              <w:pStyle w:val="Default"/>
              <w:jc w:val="center"/>
              <w:rPr>
                <w:color w:val="FFFFFF" w:themeColor="background1"/>
              </w:rPr>
            </w:pPr>
            <w:r>
              <w:rPr>
                <w:color w:val="FFFFFF" w:themeColor="background1"/>
              </w:rPr>
              <w:t>Workload</w:t>
            </w:r>
          </w:p>
        </w:tc>
      </w:tr>
      <w:tr w:rsidR="00275162" w14:paraId="4AACED01" w14:textId="77777777" w:rsidTr="00E673D0">
        <w:trPr>
          <w:trHeight w:val="533"/>
        </w:trPr>
        <w:tc>
          <w:tcPr>
            <w:tcW w:w="1918" w:type="dxa"/>
          </w:tcPr>
          <w:p w14:paraId="7D12CB3E" w14:textId="77777777" w:rsidR="00275162" w:rsidRDefault="00275162" w:rsidP="00E673D0">
            <w:pPr>
              <w:pStyle w:val="Default"/>
            </w:pPr>
            <w:r>
              <w:t>Understanding underlying factors</w:t>
            </w:r>
          </w:p>
        </w:tc>
        <w:tc>
          <w:tcPr>
            <w:tcW w:w="6729" w:type="dxa"/>
          </w:tcPr>
          <w:p w14:paraId="550C0F1F" w14:textId="3BE98F83" w:rsidR="00275162" w:rsidRDefault="00275162" w:rsidP="00E673D0">
            <w:pPr>
              <w:pStyle w:val="Default"/>
              <w:jc w:val="both"/>
            </w:pPr>
            <w:r w:rsidRPr="00C77F90">
              <w:rPr>
                <w:rFonts w:eastAsia="Times New Roman" w:cstheme="minorHAnsi"/>
                <w:lang w:eastAsia="en-GB"/>
              </w:rPr>
              <w:t>Workload remains an issue</w:t>
            </w:r>
            <w:r>
              <w:rPr>
                <w:rFonts w:eastAsia="Times New Roman" w:cstheme="minorHAnsi"/>
                <w:lang w:eastAsia="en-GB"/>
              </w:rPr>
              <w:t>, particularly in the Approvals Directorate</w:t>
            </w:r>
            <w:r w:rsidRPr="00C77F90">
              <w:rPr>
                <w:rFonts w:eastAsia="Times New Roman" w:cstheme="minorHAnsi"/>
                <w:lang w:eastAsia="en-GB"/>
              </w:rPr>
              <w:t xml:space="preserve"> and is probably of most concern out of all the survey findings. The programme of change remains significant and touches all</w:t>
            </w:r>
            <w:r>
              <w:rPr>
                <w:rFonts w:eastAsia="Times New Roman" w:cstheme="minorHAnsi"/>
                <w:lang w:eastAsia="en-GB"/>
              </w:rPr>
              <w:t xml:space="preserve">. </w:t>
            </w:r>
            <w:r w:rsidR="00EF51C3">
              <w:rPr>
                <w:rFonts w:eastAsia="Times New Roman" w:cstheme="minorHAnsi"/>
                <w:lang w:eastAsia="en-GB"/>
              </w:rPr>
              <w:t xml:space="preserve">Furthermore, HRA was required to achieve significant savings from the change, whilst achieving no compulsory redundancies and minimising </w:t>
            </w:r>
            <w:r w:rsidR="000312B9">
              <w:rPr>
                <w:rFonts w:eastAsia="Times New Roman" w:cstheme="minorHAnsi"/>
                <w:lang w:eastAsia="en-GB"/>
              </w:rPr>
              <w:t xml:space="preserve">voluntary redundancies. Stretched budgets </w:t>
            </w:r>
            <w:r w:rsidR="00440B17">
              <w:rPr>
                <w:rFonts w:eastAsia="Times New Roman" w:cstheme="minorHAnsi"/>
                <w:lang w:eastAsia="en-GB"/>
              </w:rPr>
              <w:t xml:space="preserve">and prioritisation of other areas of work meant that some developments that could have reduced workloads could not be implemented in advance of the implementation of the new structures in the Approvals Directorate. </w:t>
            </w:r>
          </w:p>
        </w:tc>
      </w:tr>
      <w:tr w:rsidR="00275162" w14:paraId="4BDAF852" w14:textId="77777777" w:rsidTr="00E673D0">
        <w:tc>
          <w:tcPr>
            <w:tcW w:w="1918" w:type="dxa"/>
          </w:tcPr>
          <w:p w14:paraId="670D29E9" w14:textId="77777777" w:rsidR="00275162" w:rsidRDefault="00275162" w:rsidP="00E673D0">
            <w:pPr>
              <w:pStyle w:val="Default"/>
              <w:jc w:val="both"/>
            </w:pPr>
            <w:r>
              <w:t>Actions</w:t>
            </w:r>
          </w:p>
        </w:tc>
        <w:tc>
          <w:tcPr>
            <w:tcW w:w="6729" w:type="dxa"/>
          </w:tcPr>
          <w:p w14:paraId="7F0DB4B8" w14:textId="31088CB1" w:rsidR="00275162" w:rsidRDefault="00275162" w:rsidP="00E673D0">
            <w:pPr>
              <w:pStyle w:val="Default"/>
              <w:jc w:val="both"/>
            </w:pPr>
            <w:r>
              <w:rPr>
                <w:rFonts w:eastAsia="Times New Roman" w:cstheme="minorHAnsi"/>
                <w:lang w:eastAsia="en-GB"/>
              </w:rPr>
              <w:t xml:space="preserve">The SLT are actively engaged in looking at ways of taking out some of the stress as new structures and working practices bed in and the senior team within the Approvals directorate are working closely with staff on the concerns that have been expressed and are </w:t>
            </w:r>
            <w:r w:rsidR="00BB1C34">
              <w:rPr>
                <w:rFonts w:eastAsia="Times New Roman" w:cstheme="minorHAnsi"/>
                <w:lang w:eastAsia="en-GB"/>
              </w:rPr>
              <w:t>already implementing</w:t>
            </w:r>
            <w:r>
              <w:rPr>
                <w:rFonts w:eastAsia="Times New Roman" w:cstheme="minorHAnsi"/>
                <w:lang w:eastAsia="en-GB"/>
              </w:rPr>
              <w:t xml:space="preserve"> appropriate responses. </w:t>
            </w:r>
            <w:r w:rsidRPr="00C77F90">
              <w:rPr>
                <w:rFonts w:eastAsia="Times New Roman" w:cstheme="minorHAnsi"/>
                <w:lang w:eastAsia="en-GB"/>
              </w:rPr>
              <w:t>We are also looking at how we can more effectively support the physical and mental health and well-being</w:t>
            </w:r>
            <w:r>
              <w:rPr>
                <w:rFonts w:eastAsia="Times New Roman" w:cstheme="minorHAnsi"/>
                <w:lang w:eastAsia="en-GB"/>
              </w:rPr>
              <w:t xml:space="preserve"> of colleagues</w:t>
            </w:r>
            <w:r w:rsidRPr="00C77F90">
              <w:rPr>
                <w:rFonts w:eastAsia="Times New Roman" w:cstheme="minorHAnsi"/>
                <w:lang w:eastAsia="en-GB"/>
              </w:rPr>
              <w:t xml:space="preserve"> as well as developing a supportive L&amp;D programme that helps individuals build their own personal resilience and coping strategies.  </w:t>
            </w:r>
          </w:p>
        </w:tc>
      </w:tr>
    </w:tbl>
    <w:p w14:paraId="2A7536D6" w14:textId="77777777" w:rsidR="00753C03" w:rsidRDefault="00753C03" w:rsidP="00277ED9">
      <w:pPr>
        <w:pStyle w:val="Default"/>
        <w:jc w:val="both"/>
      </w:pPr>
    </w:p>
    <w:p w14:paraId="6DC5696F" w14:textId="77777777" w:rsidR="00B7573A" w:rsidRDefault="00B7573A" w:rsidP="00277ED9">
      <w:pPr>
        <w:pStyle w:val="Default"/>
        <w:jc w:val="both"/>
      </w:pPr>
    </w:p>
    <w:tbl>
      <w:tblPr>
        <w:tblStyle w:val="TableGrid"/>
        <w:tblW w:w="0" w:type="auto"/>
        <w:tblInd w:w="392" w:type="dxa"/>
        <w:tblLook w:val="04A0" w:firstRow="1" w:lastRow="0" w:firstColumn="1" w:lastColumn="0" w:noHBand="0" w:noVBand="1"/>
      </w:tblPr>
      <w:tblGrid>
        <w:gridCol w:w="1917"/>
        <w:gridCol w:w="6707"/>
      </w:tblGrid>
      <w:tr w:rsidR="00275162" w:rsidRPr="00C375D6" w14:paraId="1FAC20D8" w14:textId="77777777" w:rsidTr="00E673D0">
        <w:tc>
          <w:tcPr>
            <w:tcW w:w="8647" w:type="dxa"/>
            <w:gridSpan w:val="2"/>
            <w:shd w:val="clear" w:color="auto" w:fill="002060"/>
          </w:tcPr>
          <w:p w14:paraId="496AC248" w14:textId="77777777" w:rsidR="00275162" w:rsidRPr="00C375D6" w:rsidRDefault="00275162" w:rsidP="00E673D0">
            <w:pPr>
              <w:pStyle w:val="Default"/>
              <w:jc w:val="center"/>
              <w:rPr>
                <w:color w:val="FFFFFF" w:themeColor="background1"/>
              </w:rPr>
            </w:pPr>
            <w:r>
              <w:rPr>
                <w:color w:val="FFFFFF" w:themeColor="background1"/>
              </w:rPr>
              <w:t>Not making use of skills and abilities</w:t>
            </w:r>
          </w:p>
        </w:tc>
      </w:tr>
      <w:tr w:rsidR="00275162" w14:paraId="1679F14A" w14:textId="77777777" w:rsidTr="00E673D0">
        <w:trPr>
          <w:trHeight w:val="533"/>
        </w:trPr>
        <w:tc>
          <w:tcPr>
            <w:tcW w:w="1918" w:type="dxa"/>
          </w:tcPr>
          <w:p w14:paraId="2974CC65" w14:textId="77777777" w:rsidR="00275162" w:rsidRDefault="00275162" w:rsidP="00E673D0">
            <w:pPr>
              <w:pStyle w:val="Default"/>
            </w:pPr>
            <w:r>
              <w:t>Understanding underlying factors</w:t>
            </w:r>
          </w:p>
        </w:tc>
        <w:tc>
          <w:tcPr>
            <w:tcW w:w="6729" w:type="dxa"/>
          </w:tcPr>
          <w:p w14:paraId="00D214F0" w14:textId="5E3610EC" w:rsidR="00275162" w:rsidRDefault="006C5D9C" w:rsidP="00E673D0">
            <w:pPr>
              <w:pStyle w:val="Default"/>
              <w:jc w:val="both"/>
            </w:pPr>
            <w:r>
              <w:t>The response appears to be primarily from junior staff in the RES who have historically had no career structure and development opportunities</w:t>
            </w:r>
            <w:r w:rsidR="000960B2">
              <w:t>.</w:t>
            </w:r>
          </w:p>
        </w:tc>
      </w:tr>
      <w:tr w:rsidR="00275162" w14:paraId="2C49E821" w14:textId="77777777" w:rsidTr="00E673D0">
        <w:tc>
          <w:tcPr>
            <w:tcW w:w="1918" w:type="dxa"/>
          </w:tcPr>
          <w:p w14:paraId="5F2A5CE7" w14:textId="77777777" w:rsidR="00275162" w:rsidRDefault="00275162" w:rsidP="00E673D0">
            <w:pPr>
              <w:pStyle w:val="Default"/>
              <w:jc w:val="both"/>
            </w:pPr>
            <w:r>
              <w:t>Actions</w:t>
            </w:r>
          </w:p>
        </w:tc>
        <w:tc>
          <w:tcPr>
            <w:tcW w:w="6729" w:type="dxa"/>
          </w:tcPr>
          <w:p w14:paraId="773AF806" w14:textId="7CB8F8B0" w:rsidR="00275162" w:rsidRDefault="006C5D9C" w:rsidP="00E673D0">
            <w:pPr>
              <w:pStyle w:val="Default"/>
              <w:jc w:val="both"/>
            </w:pPr>
            <w:r>
              <w:t xml:space="preserve">The new </w:t>
            </w:r>
            <w:r w:rsidR="000230A0">
              <w:t xml:space="preserve">Approvals </w:t>
            </w:r>
            <w:r>
              <w:t xml:space="preserve">structure </w:t>
            </w:r>
            <w:r w:rsidR="000230A0">
              <w:t xml:space="preserve">will </w:t>
            </w:r>
            <w:r>
              <w:t>provide more career opportunities and greater exposure to research system to gain skills and expertise.</w:t>
            </w:r>
          </w:p>
        </w:tc>
      </w:tr>
    </w:tbl>
    <w:p w14:paraId="2A5B0DD6" w14:textId="77777777" w:rsidR="00275162" w:rsidRDefault="00275162" w:rsidP="00277ED9">
      <w:pPr>
        <w:pStyle w:val="Default"/>
        <w:jc w:val="both"/>
      </w:pPr>
    </w:p>
    <w:tbl>
      <w:tblPr>
        <w:tblStyle w:val="TableGrid"/>
        <w:tblW w:w="0" w:type="auto"/>
        <w:tblInd w:w="392" w:type="dxa"/>
        <w:tblLook w:val="04A0" w:firstRow="1" w:lastRow="0" w:firstColumn="1" w:lastColumn="0" w:noHBand="0" w:noVBand="1"/>
      </w:tblPr>
      <w:tblGrid>
        <w:gridCol w:w="1917"/>
        <w:gridCol w:w="6707"/>
      </w:tblGrid>
      <w:tr w:rsidR="00275162" w:rsidRPr="00C375D6" w14:paraId="4E258B13" w14:textId="77777777" w:rsidTr="00E673D0">
        <w:tc>
          <w:tcPr>
            <w:tcW w:w="8647" w:type="dxa"/>
            <w:gridSpan w:val="2"/>
            <w:shd w:val="clear" w:color="auto" w:fill="002060"/>
          </w:tcPr>
          <w:p w14:paraId="022E880A" w14:textId="77777777" w:rsidR="00275162" w:rsidRPr="00C375D6" w:rsidRDefault="00275162" w:rsidP="00E673D0">
            <w:pPr>
              <w:pStyle w:val="Default"/>
              <w:jc w:val="center"/>
              <w:rPr>
                <w:color w:val="FFFFFF" w:themeColor="background1"/>
              </w:rPr>
            </w:pPr>
            <w:r>
              <w:rPr>
                <w:color w:val="FFFFFF" w:themeColor="background1"/>
              </w:rPr>
              <w:lastRenderedPageBreak/>
              <w:t>Not having necessary L&amp;D to do my job</w:t>
            </w:r>
          </w:p>
        </w:tc>
      </w:tr>
      <w:tr w:rsidR="00275162" w14:paraId="27D2900E" w14:textId="77777777" w:rsidTr="00E673D0">
        <w:trPr>
          <w:trHeight w:val="533"/>
        </w:trPr>
        <w:tc>
          <w:tcPr>
            <w:tcW w:w="1918" w:type="dxa"/>
          </w:tcPr>
          <w:p w14:paraId="11552E86" w14:textId="77777777" w:rsidR="00275162" w:rsidRDefault="00275162" w:rsidP="00E673D0">
            <w:pPr>
              <w:pStyle w:val="Default"/>
            </w:pPr>
            <w:r>
              <w:t>Understanding underlying factors</w:t>
            </w:r>
          </w:p>
        </w:tc>
        <w:tc>
          <w:tcPr>
            <w:tcW w:w="6729" w:type="dxa"/>
          </w:tcPr>
          <w:p w14:paraId="0BE69443" w14:textId="6ED87371" w:rsidR="00275162" w:rsidRDefault="00E40B81" w:rsidP="00E673D0">
            <w:pPr>
              <w:pStyle w:val="Default"/>
              <w:jc w:val="both"/>
            </w:pPr>
            <w:r>
              <w:t xml:space="preserve">This </w:t>
            </w:r>
            <w:r w:rsidR="00C5731F">
              <w:t>appears to be less of an i</w:t>
            </w:r>
            <w:r>
              <w:t>ssue for Approvals in relation to actual job as lots of training is</w:t>
            </w:r>
            <w:r w:rsidR="00C5731F">
              <w:t>,</w:t>
            </w:r>
            <w:r>
              <w:t xml:space="preserve"> and will be</w:t>
            </w:r>
            <w:r w:rsidR="00C5731F">
              <w:t>,</w:t>
            </w:r>
            <w:r>
              <w:t xml:space="preserve"> given in house.</w:t>
            </w:r>
            <w:r w:rsidR="000960B2">
              <w:t xml:space="preserve"> </w:t>
            </w:r>
            <w:proofErr w:type="gramStart"/>
            <w:r w:rsidR="002D769D">
              <w:t>However</w:t>
            </w:r>
            <w:proofErr w:type="gramEnd"/>
            <w:r w:rsidR="002D769D">
              <w:t xml:space="preserve"> w</w:t>
            </w:r>
            <w:r w:rsidR="000960B2">
              <w:t>ithin Corporate Services there is a need to understand further what contributed towards the reduction in response compared to last year.</w:t>
            </w:r>
            <w:r>
              <w:t xml:space="preserve"> </w:t>
            </w:r>
            <w:r w:rsidR="00C5731F">
              <w:t>There is also perhaps a perception that the HRA need to</w:t>
            </w:r>
            <w:r>
              <w:t xml:space="preserve"> offer more L&amp;D for career</w:t>
            </w:r>
            <w:r w:rsidR="00C5731F">
              <w:t xml:space="preserve"> development</w:t>
            </w:r>
            <w:r>
              <w:t xml:space="preserve"> even if not directly relevant to their jo</w:t>
            </w:r>
            <w:r w:rsidR="00C5731F">
              <w:t>b</w:t>
            </w:r>
          </w:p>
        </w:tc>
      </w:tr>
      <w:tr w:rsidR="00275162" w14:paraId="509B9335" w14:textId="77777777" w:rsidTr="00E673D0">
        <w:tc>
          <w:tcPr>
            <w:tcW w:w="1918" w:type="dxa"/>
          </w:tcPr>
          <w:p w14:paraId="53ED2806" w14:textId="77777777" w:rsidR="00275162" w:rsidRDefault="00275162" w:rsidP="00E673D0">
            <w:pPr>
              <w:pStyle w:val="Default"/>
              <w:jc w:val="both"/>
            </w:pPr>
            <w:r>
              <w:t>Actions</w:t>
            </w:r>
          </w:p>
        </w:tc>
        <w:tc>
          <w:tcPr>
            <w:tcW w:w="6729" w:type="dxa"/>
          </w:tcPr>
          <w:p w14:paraId="4C255E32" w14:textId="1261DB5F" w:rsidR="00275162" w:rsidRDefault="00C5731F" w:rsidP="00E673D0">
            <w:pPr>
              <w:pStyle w:val="Default"/>
              <w:jc w:val="both"/>
            </w:pPr>
            <w:r>
              <w:t xml:space="preserve">An internal reference group has already been set up, which includes strong staff representation, which will act as a valuable source of feedback from staff. The HRA are also in the process of agreeing </w:t>
            </w:r>
            <w:proofErr w:type="gramStart"/>
            <w:r>
              <w:t>a number of</w:t>
            </w:r>
            <w:proofErr w:type="gramEnd"/>
            <w:r>
              <w:t xml:space="preserve"> days </w:t>
            </w:r>
            <w:r w:rsidR="005477E1">
              <w:t xml:space="preserve">flexible </w:t>
            </w:r>
            <w:r>
              <w:t xml:space="preserve">study leave for all staff as well as interest free loans for more expensive </w:t>
            </w:r>
            <w:r w:rsidR="005239B6">
              <w:t>forms of study</w:t>
            </w:r>
            <w:r w:rsidR="00A568A1">
              <w:t>. It is also worth noti</w:t>
            </w:r>
            <w:r w:rsidR="005477E1">
              <w:t>ng that significant work has been invested into the L&amp;D pages on the intranet (the Learning Zone) where staff have access to a raft of useful information and links to L&amp;D information and it’s the most visited set of pages (apart from the home page).</w:t>
            </w:r>
          </w:p>
        </w:tc>
      </w:tr>
    </w:tbl>
    <w:p w14:paraId="7B6B396F" w14:textId="77777777" w:rsidR="00275162" w:rsidRDefault="00275162" w:rsidP="00277ED9">
      <w:pPr>
        <w:pStyle w:val="Default"/>
        <w:jc w:val="both"/>
      </w:pPr>
    </w:p>
    <w:p w14:paraId="5B8747B7" w14:textId="2CFA40AE" w:rsidR="00275162" w:rsidRPr="004A6E41" w:rsidRDefault="004A6E41" w:rsidP="004A6E41">
      <w:pPr>
        <w:pStyle w:val="Default"/>
        <w:numPr>
          <w:ilvl w:val="1"/>
          <w:numId w:val="14"/>
        </w:numPr>
        <w:jc w:val="both"/>
        <w:rPr>
          <w:b/>
        </w:rPr>
      </w:pPr>
      <w:r w:rsidRPr="004A6E41">
        <w:rPr>
          <w:b/>
        </w:rPr>
        <w:t>Monitoring</w:t>
      </w:r>
      <w:r>
        <w:rPr>
          <w:b/>
        </w:rPr>
        <w:t xml:space="preserve"> </w:t>
      </w:r>
      <w:r w:rsidR="000230A0">
        <w:rPr>
          <w:b/>
        </w:rPr>
        <w:t>–</w:t>
      </w:r>
      <w:r>
        <w:rPr>
          <w:b/>
        </w:rPr>
        <w:t xml:space="preserve"> </w:t>
      </w:r>
      <w:r w:rsidR="000230A0">
        <w:t xml:space="preserve">The impact of projects/policies/activities developed </w:t>
      </w:r>
      <w:proofErr w:type="gramStart"/>
      <w:r w:rsidR="000230A0">
        <w:t>as a result of</w:t>
      </w:r>
      <w:proofErr w:type="gramEnd"/>
      <w:r w:rsidR="000230A0">
        <w:t xml:space="preserve"> the survey will be monitored through regular reporting to the Leadership Team. It is </w:t>
      </w:r>
      <w:r w:rsidR="00815CEC">
        <w:t xml:space="preserve">also </w:t>
      </w:r>
      <w:r w:rsidR="000230A0">
        <w:t>intended to carry out a series of ‘temperature’ checks i.e. short high</w:t>
      </w:r>
      <w:r w:rsidR="00815CEC">
        <w:t>-</w:t>
      </w:r>
      <w:r w:rsidR="000230A0">
        <w:t>level surveys via the intranet to review the ongoing experience</w:t>
      </w:r>
      <w:r w:rsidR="00815CEC">
        <w:t>/perception</w:t>
      </w:r>
      <w:r w:rsidR="000230A0">
        <w:t xml:space="preserve"> of staff in relation to these key issues. The Staff Forum and the Joint Negotiating Committee will also remain critical </w:t>
      </w:r>
      <w:r w:rsidR="00815CEC">
        <w:t>sources of information in gathering feedback.</w:t>
      </w:r>
    </w:p>
    <w:p w14:paraId="6FD72300" w14:textId="77777777" w:rsidR="0022161F" w:rsidRDefault="0022161F" w:rsidP="00277ED9">
      <w:pPr>
        <w:pStyle w:val="Default"/>
        <w:jc w:val="both"/>
        <w:rPr>
          <w:b/>
          <w:u w:val="single"/>
        </w:rPr>
      </w:pPr>
    </w:p>
    <w:p w14:paraId="1C924E9B" w14:textId="5CA439ED" w:rsidR="00275162" w:rsidRPr="00B7317D" w:rsidRDefault="00B7573A" w:rsidP="00B7317D">
      <w:pPr>
        <w:pStyle w:val="Default"/>
        <w:numPr>
          <w:ilvl w:val="0"/>
          <w:numId w:val="14"/>
        </w:numPr>
        <w:jc w:val="both"/>
        <w:rPr>
          <w:b/>
        </w:rPr>
      </w:pPr>
      <w:bookmarkStart w:id="0" w:name="_GoBack"/>
      <w:bookmarkEnd w:id="0"/>
      <w:r w:rsidRPr="00B7317D">
        <w:rPr>
          <w:b/>
        </w:rPr>
        <w:t>Conclusion</w:t>
      </w:r>
    </w:p>
    <w:p w14:paraId="33DE51CC" w14:textId="234F1B55" w:rsidR="00275162" w:rsidRDefault="00275162" w:rsidP="00277ED9">
      <w:pPr>
        <w:pStyle w:val="Default"/>
        <w:jc w:val="both"/>
      </w:pPr>
    </w:p>
    <w:p w14:paraId="2CD84460" w14:textId="7A73C907" w:rsidR="00B7317D" w:rsidRDefault="00F52BCE" w:rsidP="00B7317D">
      <w:pPr>
        <w:pStyle w:val="Default"/>
        <w:numPr>
          <w:ilvl w:val="1"/>
          <w:numId w:val="14"/>
        </w:numPr>
        <w:jc w:val="both"/>
      </w:pPr>
      <w:r>
        <w:t>The results of the 2019 survey are less positive than in previous years, however the timing and circumstances of when the survey was carried out undoubtedly had an impact on the outcome. Therefore</w:t>
      </w:r>
      <w:r w:rsidR="00FD198B">
        <w:t>,</w:t>
      </w:r>
      <w:r>
        <w:t xml:space="preserve"> the results were not </w:t>
      </w:r>
      <w:r w:rsidR="00FD198B">
        <w:t>surprising,</w:t>
      </w:r>
      <w:r>
        <w:t xml:space="preserve"> and it was </w:t>
      </w:r>
      <w:r w:rsidR="00FD198B">
        <w:t xml:space="preserve">still </w:t>
      </w:r>
      <w:r>
        <w:t xml:space="preserve">pleasing to see that they held up well in </w:t>
      </w:r>
      <w:proofErr w:type="gramStart"/>
      <w:r>
        <w:t>a number of</w:t>
      </w:r>
      <w:proofErr w:type="gramEnd"/>
      <w:r>
        <w:t xml:space="preserve"> areas and across a broad range of questions</w:t>
      </w:r>
      <w:r w:rsidR="003703D1">
        <w:t xml:space="preserve">. Notwithstanding </w:t>
      </w:r>
      <w:r w:rsidR="00FD198B">
        <w:t xml:space="preserve">this there is still much to consider in relation to the main root causes of the concerns expressed by staff and the senior leadership team is committed to working with colleagues across the HRA to ensure that the necessary and appropriate steps are taken to improve results in the next survey </w:t>
      </w:r>
    </w:p>
    <w:p w14:paraId="72F4CF81" w14:textId="77777777" w:rsidR="00F34528" w:rsidRPr="00C77F90" w:rsidRDefault="00F34528" w:rsidP="00F34528">
      <w:pPr>
        <w:pStyle w:val="Default"/>
        <w:ind w:left="1080"/>
        <w:rPr>
          <w:noProof/>
          <w:lang w:eastAsia="en-GB"/>
        </w:rPr>
      </w:pPr>
    </w:p>
    <w:p w14:paraId="34C9843F" w14:textId="77777777" w:rsidR="003D10DA" w:rsidRDefault="003D10DA" w:rsidP="003D10DA">
      <w:pPr>
        <w:pStyle w:val="Default"/>
        <w:rPr>
          <w:noProof/>
          <w:lang w:eastAsia="en-GB"/>
        </w:rPr>
      </w:pPr>
    </w:p>
    <w:p w14:paraId="31E32C72" w14:textId="77777777" w:rsidR="003D10DA" w:rsidRPr="003D10DA" w:rsidRDefault="003D10DA" w:rsidP="003D10DA">
      <w:pPr>
        <w:pStyle w:val="Default"/>
        <w:rPr>
          <w:b/>
          <w:noProof/>
          <w:lang w:eastAsia="en-GB"/>
        </w:rPr>
      </w:pPr>
      <w:r w:rsidRPr="003D10DA">
        <w:rPr>
          <w:b/>
          <w:noProof/>
          <w:lang w:eastAsia="en-GB"/>
        </w:rPr>
        <w:t>Ian Cook</w:t>
      </w:r>
    </w:p>
    <w:p w14:paraId="732CD6CB" w14:textId="77777777" w:rsidR="003D10DA" w:rsidRPr="003D10DA" w:rsidRDefault="003D10DA" w:rsidP="003D10DA">
      <w:pPr>
        <w:pStyle w:val="Default"/>
        <w:rPr>
          <w:b/>
          <w:noProof/>
          <w:lang w:eastAsia="en-GB"/>
        </w:rPr>
      </w:pPr>
      <w:r w:rsidRPr="003D10DA">
        <w:rPr>
          <w:b/>
          <w:noProof/>
          <w:lang w:eastAsia="en-GB"/>
        </w:rPr>
        <w:t xml:space="preserve">Director of Transformation and Corporate Services </w:t>
      </w:r>
    </w:p>
    <w:p w14:paraId="1A393198" w14:textId="77777777" w:rsidR="003D10DA" w:rsidRPr="003D10DA" w:rsidRDefault="009B14F3" w:rsidP="003D10DA">
      <w:pPr>
        <w:pStyle w:val="Default"/>
        <w:rPr>
          <w:b/>
          <w:noProof/>
          <w:lang w:eastAsia="en-GB"/>
        </w:rPr>
      </w:pPr>
      <w:r>
        <w:rPr>
          <w:b/>
          <w:noProof/>
          <w:lang w:eastAsia="en-GB"/>
        </w:rPr>
        <w:t>8</w:t>
      </w:r>
      <w:r w:rsidR="003D10DA" w:rsidRPr="003D10DA">
        <w:rPr>
          <w:b/>
          <w:noProof/>
          <w:lang w:eastAsia="en-GB"/>
        </w:rPr>
        <w:t xml:space="preserve"> </w:t>
      </w:r>
      <w:r>
        <w:rPr>
          <w:b/>
          <w:noProof/>
          <w:lang w:eastAsia="en-GB"/>
        </w:rPr>
        <w:t>May</w:t>
      </w:r>
      <w:r w:rsidR="003D10DA" w:rsidRPr="003D10DA">
        <w:rPr>
          <w:b/>
          <w:noProof/>
          <w:lang w:eastAsia="en-GB"/>
        </w:rPr>
        <w:t xml:space="preserve"> 201</w:t>
      </w:r>
      <w:r>
        <w:rPr>
          <w:b/>
          <w:noProof/>
          <w:lang w:eastAsia="en-GB"/>
        </w:rPr>
        <w:t>9</w:t>
      </w:r>
    </w:p>
    <w:sectPr w:rsidR="003D10DA" w:rsidRPr="003D10D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F7072" w14:textId="77777777" w:rsidR="006176F4" w:rsidRDefault="006176F4" w:rsidP="006176F4">
      <w:pPr>
        <w:spacing w:after="0" w:line="240" w:lineRule="auto"/>
      </w:pPr>
      <w:r>
        <w:separator/>
      </w:r>
    </w:p>
  </w:endnote>
  <w:endnote w:type="continuationSeparator" w:id="0">
    <w:p w14:paraId="482D96AF" w14:textId="77777777" w:rsidR="006176F4" w:rsidRDefault="006176F4" w:rsidP="00617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878FB" w14:textId="77777777" w:rsidR="006176F4" w:rsidRDefault="006176F4">
    <w:pPr>
      <w:pStyle w:val="Footer"/>
    </w:pPr>
    <w:r>
      <w:t>201</w:t>
    </w:r>
    <w:r w:rsidR="00CE05FC">
      <w:t>9</w:t>
    </w:r>
    <w:r>
      <w:t xml:space="preserve"> Staff Survey – Management Respons</w:t>
    </w:r>
    <w:r w:rsidR="00CE05FC">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85F00" w14:textId="77777777" w:rsidR="006176F4" w:rsidRDefault="006176F4" w:rsidP="006176F4">
      <w:pPr>
        <w:spacing w:after="0" w:line="240" w:lineRule="auto"/>
      </w:pPr>
      <w:r>
        <w:separator/>
      </w:r>
    </w:p>
  </w:footnote>
  <w:footnote w:type="continuationSeparator" w:id="0">
    <w:p w14:paraId="20D204E5" w14:textId="77777777" w:rsidR="006176F4" w:rsidRDefault="006176F4" w:rsidP="006176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A1AB7"/>
    <w:multiLevelType w:val="hybridMultilevel"/>
    <w:tmpl w:val="387E8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4798A"/>
    <w:multiLevelType w:val="hybridMultilevel"/>
    <w:tmpl w:val="E5822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D4CBB"/>
    <w:multiLevelType w:val="hybridMultilevel"/>
    <w:tmpl w:val="B470D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F13B8"/>
    <w:multiLevelType w:val="multilevel"/>
    <w:tmpl w:val="463867B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F715EA7"/>
    <w:multiLevelType w:val="multilevel"/>
    <w:tmpl w:val="0568C800"/>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042040B"/>
    <w:multiLevelType w:val="multilevel"/>
    <w:tmpl w:val="8FCE7DAA"/>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59010CE"/>
    <w:multiLevelType w:val="hybridMultilevel"/>
    <w:tmpl w:val="830CD09E"/>
    <w:lvl w:ilvl="0" w:tplc="E11459E0">
      <w:start w:val="4"/>
      <w:numFmt w:val="bullet"/>
      <w:lvlText w:val="-"/>
      <w:lvlJc w:val="left"/>
      <w:pPr>
        <w:ind w:left="1778" w:hanging="360"/>
      </w:pPr>
      <w:rPr>
        <w:rFonts w:ascii="Arial" w:eastAsiaTheme="minorHAnsi"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7" w15:restartNumberingAfterBreak="0">
    <w:nsid w:val="3ACD0EB4"/>
    <w:multiLevelType w:val="hybridMultilevel"/>
    <w:tmpl w:val="7AC2C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A42AF5"/>
    <w:multiLevelType w:val="multilevel"/>
    <w:tmpl w:val="B304125A"/>
    <w:lvl w:ilvl="0">
      <w:start w:val="4"/>
      <w:numFmt w:val="decimal"/>
      <w:lvlText w:val="%1."/>
      <w:lvlJc w:val="left"/>
      <w:pPr>
        <w:ind w:left="408" w:hanging="408"/>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3FC650ED"/>
    <w:multiLevelType w:val="multilevel"/>
    <w:tmpl w:val="D08E59F6"/>
    <w:lvl w:ilvl="0">
      <w:start w:val="1"/>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461719CB"/>
    <w:multiLevelType w:val="multilevel"/>
    <w:tmpl w:val="6EEA619C"/>
    <w:lvl w:ilvl="0">
      <w:start w:val="2"/>
      <w:numFmt w:val="decimal"/>
      <w:lvlText w:val="%1."/>
      <w:lvlJc w:val="left"/>
      <w:pPr>
        <w:ind w:left="408" w:hanging="408"/>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15:restartNumberingAfterBreak="0">
    <w:nsid w:val="497259B3"/>
    <w:multiLevelType w:val="hybridMultilevel"/>
    <w:tmpl w:val="7CA2BAEE"/>
    <w:lvl w:ilvl="0" w:tplc="4B62402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5A064F2"/>
    <w:multiLevelType w:val="multilevel"/>
    <w:tmpl w:val="A134E900"/>
    <w:lvl w:ilvl="0">
      <w:start w:val="1"/>
      <w:numFmt w:val="decimal"/>
      <w:lvlText w:val="%1."/>
      <w:lvlJc w:val="left"/>
      <w:pPr>
        <w:ind w:left="720" w:hanging="360"/>
      </w:pPr>
      <w:rPr>
        <w:rFonts w:hint="default"/>
        <w:b/>
      </w:rPr>
    </w:lvl>
    <w:lvl w:ilvl="1">
      <w:start w:val="1"/>
      <w:numFmt w:val="bullet"/>
      <w:lvlText w:val=""/>
      <w:lvlJc w:val="left"/>
      <w:pPr>
        <w:ind w:left="1080" w:hanging="720"/>
      </w:pPr>
      <w:rPr>
        <w:rFonts w:ascii="Symbol" w:hAnsi="Symbo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E0C6DC3"/>
    <w:multiLevelType w:val="multilevel"/>
    <w:tmpl w:val="C94CE53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7"/>
  </w:num>
  <w:num w:numId="4">
    <w:abstractNumId w:val="1"/>
  </w:num>
  <w:num w:numId="5">
    <w:abstractNumId w:val="12"/>
  </w:num>
  <w:num w:numId="6">
    <w:abstractNumId w:val="11"/>
  </w:num>
  <w:num w:numId="7">
    <w:abstractNumId w:val="13"/>
  </w:num>
  <w:num w:numId="8">
    <w:abstractNumId w:val="6"/>
  </w:num>
  <w:num w:numId="9">
    <w:abstractNumId w:val="4"/>
  </w:num>
  <w:num w:numId="10">
    <w:abstractNumId w:val="3"/>
  </w:num>
  <w:num w:numId="11">
    <w:abstractNumId w:val="9"/>
  </w:num>
  <w:num w:numId="12">
    <w:abstractNumId w:val="10"/>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E09"/>
    <w:rsid w:val="000073C9"/>
    <w:rsid w:val="000121CA"/>
    <w:rsid w:val="00013A3A"/>
    <w:rsid w:val="000230A0"/>
    <w:rsid w:val="000312B9"/>
    <w:rsid w:val="00031781"/>
    <w:rsid w:val="00033DBA"/>
    <w:rsid w:val="00037833"/>
    <w:rsid w:val="00047FDD"/>
    <w:rsid w:val="000504F8"/>
    <w:rsid w:val="000938D9"/>
    <w:rsid w:val="000960B2"/>
    <w:rsid w:val="000B1608"/>
    <w:rsid w:val="000C77A5"/>
    <w:rsid w:val="000F1D06"/>
    <w:rsid w:val="000F3E46"/>
    <w:rsid w:val="001451CE"/>
    <w:rsid w:val="00160364"/>
    <w:rsid w:val="00163639"/>
    <w:rsid w:val="00180D6E"/>
    <w:rsid w:val="001C2441"/>
    <w:rsid w:val="001E5D63"/>
    <w:rsid w:val="001E636C"/>
    <w:rsid w:val="001F3BF9"/>
    <w:rsid w:val="0021759C"/>
    <w:rsid w:val="0022161F"/>
    <w:rsid w:val="00224334"/>
    <w:rsid w:val="00233487"/>
    <w:rsid w:val="00261373"/>
    <w:rsid w:val="00275162"/>
    <w:rsid w:val="00277ED9"/>
    <w:rsid w:val="002A1850"/>
    <w:rsid w:val="002A25D1"/>
    <w:rsid w:val="002B0841"/>
    <w:rsid w:val="002D111D"/>
    <w:rsid w:val="002D769D"/>
    <w:rsid w:val="002D7B7B"/>
    <w:rsid w:val="002E0355"/>
    <w:rsid w:val="00302BC0"/>
    <w:rsid w:val="003069D4"/>
    <w:rsid w:val="00306BA0"/>
    <w:rsid w:val="00340F0B"/>
    <w:rsid w:val="00351F9D"/>
    <w:rsid w:val="003703D1"/>
    <w:rsid w:val="003A143E"/>
    <w:rsid w:val="003B19F4"/>
    <w:rsid w:val="003D10DA"/>
    <w:rsid w:val="0041532E"/>
    <w:rsid w:val="00427E03"/>
    <w:rsid w:val="004357D3"/>
    <w:rsid w:val="00436350"/>
    <w:rsid w:val="00440B17"/>
    <w:rsid w:val="00453893"/>
    <w:rsid w:val="004703D7"/>
    <w:rsid w:val="00483474"/>
    <w:rsid w:val="0049166E"/>
    <w:rsid w:val="004A6E41"/>
    <w:rsid w:val="004D045B"/>
    <w:rsid w:val="004D6B65"/>
    <w:rsid w:val="004D7A12"/>
    <w:rsid w:val="004E3F82"/>
    <w:rsid w:val="004E5A41"/>
    <w:rsid w:val="004F3166"/>
    <w:rsid w:val="00500A2A"/>
    <w:rsid w:val="0050498B"/>
    <w:rsid w:val="005077DB"/>
    <w:rsid w:val="00513705"/>
    <w:rsid w:val="005159BD"/>
    <w:rsid w:val="00520700"/>
    <w:rsid w:val="005239B6"/>
    <w:rsid w:val="005241EB"/>
    <w:rsid w:val="00534F93"/>
    <w:rsid w:val="0053799B"/>
    <w:rsid w:val="005477E1"/>
    <w:rsid w:val="00566FBF"/>
    <w:rsid w:val="00575578"/>
    <w:rsid w:val="00591DDD"/>
    <w:rsid w:val="00592E13"/>
    <w:rsid w:val="005A3C05"/>
    <w:rsid w:val="005B3D00"/>
    <w:rsid w:val="005C4BA7"/>
    <w:rsid w:val="005D31F6"/>
    <w:rsid w:val="005F58D3"/>
    <w:rsid w:val="0060503C"/>
    <w:rsid w:val="006176F4"/>
    <w:rsid w:val="00630BE8"/>
    <w:rsid w:val="0063170F"/>
    <w:rsid w:val="006450F7"/>
    <w:rsid w:val="00655488"/>
    <w:rsid w:val="00682E30"/>
    <w:rsid w:val="00686D1C"/>
    <w:rsid w:val="00697659"/>
    <w:rsid w:val="006A3A50"/>
    <w:rsid w:val="006B383D"/>
    <w:rsid w:val="006C2AB6"/>
    <w:rsid w:val="006C2E46"/>
    <w:rsid w:val="006C5D9C"/>
    <w:rsid w:val="006E358C"/>
    <w:rsid w:val="006E4C7F"/>
    <w:rsid w:val="006F7769"/>
    <w:rsid w:val="00705091"/>
    <w:rsid w:val="00737329"/>
    <w:rsid w:val="00753C03"/>
    <w:rsid w:val="007735E1"/>
    <w:rsid w:val="007A7D83"/>
    <w:rsid w:val="007D0142"/>
    <w:rsid w:val="007E3335"/>
    <w:rsid w:val="007F7E05"/>
    <w:rsid w:val="00815CEC"/>
    <w:rsid w:val="00836F6C"/>
    <w:rsid w:val="00837524"/>
    <w:rsid w:val="008448ED"/>
    <w:rsid w:val="008500ED"/>
    <w:rsid w:val="0085229A"/>
    <w:rsid w:val="008665A7"/>
    <w:rsid w:val="00866FC4"/>
    <w:rsid w:val="008742EE"/>
    <w:rsid w:val="00882A61"/>
    <w:rsid w:val="008A5DB2"/>
    <w:rsid w:val="008B4BC7"/>
    <w:rsid w:val="008D1B49"/>
    <w:rsid w:val="008E6D83"/>
    <w:rsid w:val="008F3F2C"/>
    <w:rsid w:val="008F4168"/>
    <w:rsid w:val="00916113"/>
    <w:rsid w:val="009441AA"/>
    <w:rsid w:val="009525AD"/>
    <w:rsid w:val="00974895"/>
    <w:rsid w:val="00986533"/>
    <w:rsid w:val="00994D30"/>
    <w:rsid w:val="00996AF2"/>
    <w:rsid w:val="009B14F3"/>
    <w:rsid w:val="009D1E89"/>
    <w:rsid w:val="009E25DA"/>
    <w:rsid w:val="009E752F"/>
    <w:rsid w:val="00A13628"/>
    <w:rsid w:val="00A227DE"/>
    <w:rsid w:val="00A46C0B"/>
    <w:rsid w:val="00A5577B"/>
    <w:rsid w:val="00A568A1"/>
    <w:rsid w:val="00A72779"/>
    <w:rsid w:val="00A72984"/>
    <w:rsid w:val="00A82865"/>
    <w:rsid w:val="00A8564E"/>
    <w:rsid w:val="00AA695C"/>
    <w:rsid w:val="00AB069B"/>
    <w:rsid w:val="00AC4BDF"/>
    <w:rsid w:val="00AD4F3E"/>
    <w:rsid w:val="00AE3919"/>
    <w:rsid w:val="00AE57ED"/>
    <w:rsid w:val="00B025CC"/>
    <w:rsid w:val="00B04B08"/>
    <w:rsid w:val="00B23D06"/>
    <w:rsid w:val="00B349AB"/>
    <w:rsid w:val="00B7317D"/>
    <w:rsid w:val="00B7573A"/>
    <w:rsid w:val="00B814A5"/>
    <w:rsid w:val="00B85D71"/>
    <w:rsid w:val="00B910A5"/>
    <w:rsid w:val="00B91360"/>
    <w:rsid w:val="00BB1C34"/>
    <w:rsid w:val="00BC5D8F"/>
    <w:rsid w:val="00BE3409"/>
    <w:rsid w:val="00BF2094"/>
    <w:rsid w:val="00C1238D"/>
    <w:rsid w:val="00C213AA"/>
    <w:rsid w:val="00C2768E"/>
    <w:rsid w:val="00C34416"/>
    <w:rsid w:val="00C375D6"/>
    <w:rsid w:val="00C5731F"/>
    <w:rsid w:val="00C665B2"/>
    <w:rsid w:val="00C765A5"/>
    <w:rsid w:val="00C77F90"/>
    <w:rsid w:val="00C90E23"/>
    <w:rsid w:val="00CC1E09"/>
    <w:rsid w:val="00CD5666"/>
    <w:rsid w:val="00CE05FC"/>
    <w:rsid w:val="00CE3AB5"/>
    <w:rsid w:val="00D00607"/>
    <w:rsid w:val="00D12CC7"/>
    <w:rsid w:val="00D14FB3"/>
    <w:rsid w:val="00D207F5"/>
    <w:rsid w:val="00D55320"/>
    <w:rsid w:val="00D645F3"/>
    <w:rsid w:val="00D9793C"/>
    <w:rsid w:val="00DB1297"/>
    <w:rsid w:val="00DC33A7"/>
    <w:rsid w:val="00DE421D"/>
    <w:rsid w:val="00E40B81"/>
    <w:rsid w:val="00E43C4C"/>
    <w:rsid w:val="00E76D3B"/>
    <w:rsid w:val="00EB1755"/>
    <w:rsid w:val="00EC2BD3"/>
    <w:rsid w:val="00ED49AB"/>
    <w:rsid w:val="00EE5EE1"/>
    <w:rsid w:val="00EF51C3"/>
    <w:rsid w:val="00F11497"/>
    <w:rsid w:val="00F34528"/>
    <w:rsid w:val="00F47374"/>
    <w:rsid w:val="00F51E4F"/>
    <w:rsid w:val="00F52BCE"/>
    <w:rsid w:val="00F6009E"/>
    <w:rsid w:val="00F80E0C"/>
    <w:rsid w:val="00FB2BD0"/>
    <w:rsid w:val="00FC0C38"/>
    <w:rsid w:val="00FD198B"/>
    <w:rsid w:val="00FD3C9A"/>
    <w:rsid w:val="00FF41E4"/>
    <w:rsid w:val="00FF4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908A0"/>
  <w15:docId w15:val="{974C5BF9-BD3D-4308-A6B3-366B122F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2EE"/>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1E0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C1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E09"/>
    <w:rPr>
      <w:rFonts w:ascii="Tahoma" w:hAnsi="Tahoma" w:cs="Tahoma"/>
      <w:sz w:val="16"/>
      <w:szCs w:val="16"/>
    </w:rPr>
  </w:style>
  <w:style w:type="table" w:styleId="TableGrid">
    <w:name w:val="Table Grid"/>
    <w:basedOn w:val="TableNormal"/>
    <w:uiPriority w:val="59"/>
    <w:rsid w:val="00BE3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682E30"/>
    <w:pPr>
      <w:spacing w:after="0" w:line="240" w:lineRule="auto"/>
    </w:pPr>
    <w:rPr>
      <w:rFonts w:ascii="Calibri" w:eastAsia="Times New Roman" w:hAnsi="Calibri" w:cs="Times New Roman"/>
      <w:lang w:val="en-US"/>
    </w:rPr>
  </w:style>
  <w:style w:type="paragraph" w:styleId="ListParagraph">
    <w:name w:val="List Paragraph"/>
    <w:basedOn w:val="Normal"/>
    <w:uiPriority w:val="34"/>
    <w:qFormat/>
    <w:rsid w:val="005C4BA7"/>
    <w:pPr>
      <w:ind w:left="720"/>
      <w:contextualSpacing/>
    </w:pPr>
  </w:style>
  <w:style w:type="paragraph" w:styleId="Header">
    <w:name w:val="header"/>
    <w:basedOn w:val="Normal"/>
    <w:link w:val="HeaderChar"/>
    <w:uiPriority w:val="99"/>
    <w:unhideWhenUsed/>
    <w:rsid w:val="00617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6F4"/>
    <w:rPr>
      <w:rFonts w:ascii="Arial" w:hAnsi="Arial"/>
    </w:rPr>
  </w:style>
  <w:style w:type="paragraph" w:styleId="Footer">
    <w:name w:val="footer"/>
    <w:basedOn w:val="Normal"/>
    <w:link w:val="FooterChar"/>
    <w:uiPriority w:val="99"/>
    <w:unhideWhenUsed/>
    <w:rsid w:val="00617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6F4"/>
    <w:rPr>
      <w:rFonts w:ascii="Arial" w:hAnsi="Arial"/>
    </w:rPr>
  </w:style>
  <w:style w:type="character" w:styleId="CommentReference">
    <w:name w:val="annotation reference"/>
    <w:basedOn w:val="DefaultParagraphFont"/>
    <w:uiPriority w:val="99"/>
    <w:semiHidden/>
    <w:unhideWhenUsed/>
    <w:rsid w:val="00ED49AB"/>
    <w:rPr>
      <w:sz w:val="16"/>
      <w:szCs w:val="16"/>
    </w:rPr>
  </w:style>
  <w:style w:type="paragraph" w:styleId="CommentText">
    <w:name w:val="annotation text"/>
    <w:basedOn w:val="Normal"/>
    <w:link w:val="CommentTextChar"/>
    <w:uiPriority w:val="99"/>
    <w:semiHidden/>
    <w:unhideWhenUsed/>
    <w:rsid w:val="00ED49AB"/>
    <w:pPr>
      <w:spacing w:line="240" w:lineRule="auto"/>
    </w:pPr>
    <w:rPr>
      <w:sz w:val="20"/>
      <w:szCs w:val="20"/>
    </w:rPr>
  </w:style>
  <w:style w:type="character" w:customStyle="1" w:styleId="CommentTextChar">
    <w:name w:val="Comment Text Char"/>
    <w:basedOn w:val="DefaultParagraphFont"/>
    <w:link w:val="CommentText"/>
    <w:uiPriority w:val="99"/>
    <w:semiHidden/>
    <w:rsid w:val="00ED49A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D49AB"/>
    <w:rPr>
      <w:b/>
      <w:bCs/>
    </w:rPr>
  </w:style>
  <w:style w:type="character" w:customStyle="1" w:styleId="CommentSubjectChar">
    <w:name w:val="Comment Subject Char"/>
    <w:basedOn w:val="CommentTextChar"/>
    <w:link w:val="CommentSubject"/>
    <w:uiPriority w:val="99"/>
    <w:semiHidden/>
    <w:rsid w:val="00ED49A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615474">
      <w:bodyDiv w:val="1"/>
      <w:marLeft w:val="0"/>
      <w:marRight w:val="0"/>
      <w:marTop w:val="0"/>
      <w:marBottom w:val="0"/>
      <w:divBdr>
        <w:top w:val="none" w:sz="0" w:space="0" w:color="auto"/>
        <w:left w:val="none" w:sz="0" w:space="0" w:color="auto"/>
        <w:bottom w:val="none" w:sz="0" w:space="0" w:color="auto"/>
        <w:right w:val="none" w:sz="0" w:space="0" w:color="auto"/>
      </w:divBdr>
    </w:div>
    <w:div w:id="164824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AC02E-5ADC-4C05-AAE0-11045BDBC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6</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Cook</dc:creator>
  <cp:lastModifiedBy>Ian cook</cp:lastModifiedBy>
  <cp:revision>27</cp:revision>
  <dcterms:created xsi:type="dcterms:W3CDTF">2019-05-09T05:14:00Z</dcterms:created>
  <dcterms:modified xsi:type="dcterms:W3CDTF">2019-05-09T08:29:00Z</dcterms:modified>
</cp:coreProperties>
</file>