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68314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83141" w:rsidP="006A06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151DBF" w:rsidRPr="00CC2DEF" w:rsidTr="00AE2C5E">
        <w:tc>
          <w:tcPr>
            <w:tcW w:w="2628" w:type="dxa"/>
          </w:tcPr>
          <w:p w:rsidR="00151DBF" w:rsidRPr="00CC2DEF" w:rsidRDefault="00151DBF" w:rsidP="00AE2C5E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Date of Meeting:</w:t>
            </w:r>
          </w:p>
          <w:p w:rsidR="00151DBF" w:rsidRPr="00CC2DEF" w:rsidRDefault="00151DBF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C2DEF" w:rsidRDefault="000E197F" w:rsidP="00363EC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D04B1" w:rsidRPr="00CC2D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May</w:t>
            </w:r>
            <w:r w:rsidR="00363EC9" w:rsidRPr="00CC2DEF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9</w:t>
            </w:r>
          </w:p>
        </w:tc>
      </w:tr>
      <w:tr w:rsidR="0000688A" w:rsidRPr="00CC2DEF" w:rsidTr="00151DBF">
        <w:tc>
          <w:tcPr>
            <w:tcW w:w="2628" w:type="dxa"/>
          </w:tcPr>
          <w:p w:rsidR="0000688A" w:rsidRPr="00CC2DEF" w:rsidRDefault="0000688A" w:rsidP="00C9006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Title of Paper:</w:t>
            </w:r>
          </w:p>
          <w:p w:rsidR="00C90060" w:rsidRPr="00CC2DEF" w:rsidRDefault="00C90060" w:rsidP="00C90060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C2DEF" w:rsidRDefault="00363EC9" w:rsidP="006B2B17">
            <w:pPr>
              <w:rPr>
                <w:rFonts w:cs="Arial"/>
              </w:rPr>
            </w:pPr>
            <w:r w:rsidRPr="00CC2DEF">
              <w:rPr>
                <w:rFonts w:cs="Arial"/>
              </w:rPr>
              <w:t>HRA Staff Survey 201</w:t>
            </w:r>
            <w:r w:rsidR="000E197F">
              <w:rPr>
                <w:rFonts w:cs="Arial"/>
              </w:rPr>
              <w:t>9</w:t>
            </w:r>
          </w:p>
        </w:tc>
      </w:tr>
      <w:tr w:rsidR="0082258E" w:rsidRPr="00CC2DEF" w:rsidTr="00310772">
        <w:trPr>
          <w:trHeight w:val="843"/>
        </w:trPr>
        <w:tc>
          <w:tcPr>
            <w:tcW w:w="2628" w:type="dxa"/>
          </w:tcPr>
          <w:p w:rsidR="0082258E" w:rsidRPr="00CC2DEF" w:rsidRDefault="0082258E" w:rsidP="00AE2C5E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Purpose of Paper:</w:t>
            </w:r>
          </w:p>
          <w:p w:rsidR="0082258E" w:rsidRPr="00CC2DEF" w:rsidRDefault="0082258E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683141" w:rsidRDefault="00683141" w:rsidP="00310772">
            <w:pPr>
              <w:rPr>
                <w:rFonts w:cs="Arial"/>
              </w:rPr>
            </w:pPr>
            <w:r>
              <w:rPr>
                <w:rFonts w:cs="Arial"/>
              </w:rPr>
              <w:t xml:space="preserve">The HRA Board will receive a presentation, </w:t>
            </w:r>
            <w:r>
              <w:rPr>
                <w:rFonts w:cs="Arial"/>
              </w:rPr>
              <w:t>from BMG research</w:t>
            </w:r>
            <w:r>
              <w:rPr>
                <w:rFonts w:cs="Arial"/>
              </w:rPr>
              <w:t>, of the HRA Staff Survey results for 2019 in its morning Board seminar. The Board will also discuss the management response to the survey and considered reflections from staff forum representatives.</w:t>
            </w:r>
          </w:p>
          <w:p w:rsidR="00683141" w:rsidRDefault="00683141" w:rsidP="00310772">
            <w:pPr>
              <w:rPr>
                <w:rFonts w:cs="Arial"/>
              </w:rPr>
            </w:pPr>
          </w:p>
          <w:p w:rsidR="00310772" w:rsidRPr="00CC2DEF" w:rsidRDefault="00683141" w:rsidP="00310772">
            <w:pPr>
              <w:rPr>
                <w:rFonts w:cs="Arial"/>
              </w:rPr>
            </w:pPr>
            <w:r>
              <w:rPr>
                <w:rFonts w:cs="Arial"/>
              </w:rPr>
              <w:t xml:space="preserve">The management response, representing </w:t>
            </w:r>
            <w:r w:rsidR="00310772">
              <w:rPr>
                <w:rFonts w:cs="Arial"/>
              </w:rPr>
              <w:t>further analysis of those results that were the least favourable and the suggested approach outlined by senior management in order to address them</w:t>
            </w:r>
            <w:r>
              <w:rPr>
                <w:rFonts w:cs="Arial"/>
              </w:rPr>
              <w:t>, is attached for information</w:t>
            </w:r>
            <w:proofErr w:type="gramStart"/>
            <w:r>
              <w:rPr>
                <w:rFonts w:cs="Arial"/>
              </w:rPr>
              <w:t xml:space="preserve">. </w:t>
            </w:r>
            <w:proofErr w:type="gramEnd"/>
            <w:r>
              <w:rPr>
                <w:rFonts w:cs="Arial"/>
              </w:rPr>
              <w:t xml:space="preserve">Any findings or actions from the morning Board seminar will be noted here also </w:t>
            </w:r>
            <w:r w:rsidR="00310772">
              <w:rPr>
                <w:rFonts w:cs="Arial"/>
              </w:rPr>
              <w:t>to further inform the developing action plan.</w:t>
            </w:r>
          </w:p>
          <w:p w:rsidR="0000688A" w:rsidRPr="00CC2DEF" w:rsidRDefault="0000688A" w:rsidP="006B2B17">
            <w:pPr>
              <w:rPr>
                <w:rFonts w:cs="Arial"/>
              </w:rPr>
            </w:pPr>
          </w:p>
        </w:tc>
      </w:tr>
      <w:tr w:rsidR="0082258E" w:rsidRPr="00CC2DEF" w:rsidTr="00151DBF">
        <w:tc>
          <w:tcPr>
            <w:tcW w:w="2628" w:type="dxa"/>
          </w:tcPr>
          <w:p w:rsidR="0082258E" w:rsidRPr="00CC2DEF" w:rsidRDefault="0082258E" w:rsidP="00AE2C5E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Reason for Submission:</w:t>
            </w:r>
          </w:p>
          <w:p w:rsidR="00C90060" w:rsidRPr="00CC2DEF" w:rsidRDefault="00C90060" w:rsidP="00AE2C5E">
            <w:pPr>
              <w:rPr>
                <w:rFonts w:cs="Arial"/>
                <w:b/>
              </w:rPr>
            </w:pPr>
          </w:p>
          <w:p w:rsidR="0082258E" w:rsidRPr="00CC2DEF" w:rsidRDefault="0082258E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Default="001D33CE" w:rsidP="00144864">
            <w:pPr>
              <w:rPr>
                <w:rFonts w:cs="Arial"/>
              </w:rPr>
            </w:pPr>
            <w:r w:rsidRPr="00CC2DEF">
              <w:rPr>
                <w:rFonts w:cs="Arial"/>
              </w:rPr>
              <w:t xml:space="preserve">The HRA carries out a staff survey each year to ensure that it has a comprehensive understanding of the views of its people, </w:t>
            </w:r>
            <w:proofErr w:type="gramStart"/>
            <w:r w:rsidRPr="00CC2DEF">
              <w:rPr>
                <w:rFonts w:cs="Arial"/>
              </w:rPr>
              <w:t>in order to</w:t>
            </w:r>
            <w:proofErr w:type="gramEnd"/>
            <w:r w:rsidRPr="00CC2DEF">
              <w:rPr>
                <w:rFonts w:cs="Arial"/>
              </w:rPr>
              <w:t xml:space="preserve"> maintain a high level of staff engagement, morale and job</w:t>
            </w:r>
            <w:r w:rsidR="00CC2DEF">
              <w:rPr>
                <w:rFonts w:cs="Arial"/>
              </w:rPr>
              <w:t xml:space="preserve"> </w:t>
            </w:r>
            <w:r w:rsidRPr="00CC2DEF">
              <w:rPr>
                <w:rFonts w:cs="Arial"/>
              </w:rPr>
              <w:t>satisfaction</w:t>
            </w:r>
            <w:r w:rsidR="00683141">
              <w:rPr>
                <w:rFonts w:cs="Arial"/>
              </w:rPr>
              <w:t>.</w:t>
            </w:r>
          </w:p>
          <w:p w:rsidR="00683141" w:rsidRPr="00CC2DEF" w:rsidRDefault="00683141" w:rsidP="00144864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C90060" w:rsidRPr="00CC2DEF" w:rsidTr="00151DBF">
        <w:tc>
          <w:tcPr>
            <w:tcW w:w="2628" w:type="dxa"/>
          </w:tcPr>
          <w:p w:rsidR="00C90060" w:rsidRPr="00CC2DEF" w:rsidRDefault="00C90060" w:rsidP="00C9006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Lead reviewer:</w:t>
            </w:r>
          </w:p>
          <w:p w:rsidR="00C90060" w:rsidRPr="00CC2DEF" w:rsidRDefault="00C90060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C2DEF" w:rsidRDefault="00BC6EC2" w:rsidP="00AE2C5E">
            <w:pPr>
              <w:rPr>
                <w:rFonts w:cs="Arial"/>
              </w:rPr>
            </w:pPr>
            <w:r>
              <w:rPr>
                <w:rFonts w:cs="Arial"/>
              </w:rPr>
              <w:t>Senior Leadership Team</w:t>
            </w:r>
          </w:p>
        </w:tc>
      </w:tr>
      <w:tr w:rsidR="0082258E" w:rsidRPr="00CC2DEF" w:rsidTr="00151DBF">
        <w:tc>
          <w:tcPr>
            <w:tcW w:w="2628" w:type="dxa"/>
          </w:tcPr>
          <w:p w:rsidR="0082258E" w:rsidRPr="00CC2DEF" w:rsidRDefault="0082258E" w:rsidP="00AE2C5E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Details:</w:t>
            </w:r>
          </w:p>
          <w:p w:rsidR="00C90060" w:rsidRPr="00CC2DEF" w:rsidRDefault="00C90060" w:rsidP="00AE2C5E">
            <w:pPr>
              <w:rPr>
                <w:rFonts w:cs="Arial"/>
                <w:b/>
              </w:rPr>
            </w:pPr>
          </w:p>
          <w:p w:rsidR="00C90060" w:rsidRPr="00CC2DEF" w:rsidRDefault="00C90060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CC2DEF" w:rsidRPr="00CC2DEF" w:rsidRDefault="00683141" w:rsidP="001D33CE">
            <w:pPr>
              <w:rPr>
                <w:rFonts w:cs="Arial"/>
              </w:rPr>
            </w:pPr>
            <w:r>
              <w:rPr>
                <w:rFonts w:cs="Arial"/>
              </w:rPr>
              <w:t>See paper</w:t>
            </w:r>
            <w:r w:rsidR="00310772">
              <w:rPr>
                <w:rFonts w:cs="Arial"/>
              </w:rPr>
              <w:t>.</w:t>
            </w:r>
          </w:p>
          <w:p w:rsidR="004931AF" w:rsidRPr="00CC2DEF" w:rsidRDefault="004931AF" w:rsidP="001D33CE">
            <w:pPr>
              <w:jc w:val="both"/>
              <w:rPr>
                <w:rFonts w:cs="Arial"/>
              </w:rPr>
            </w:pPr>
          </w:p>
        </w:tc>
      </w:tr>
      <w:tr w:rsidR="0000688A" w:rsidRPr="00CC2DEF" w:rsidTr="00151DBF">
        <w:tc>
          <w:tcPr>
            <w:tcW w:w="2628" w:type="dxa"/>
          </w:tcPr>
          <w:p w:rsidR="00C90060" w:rsidRPr="00CC2DEF" w:rsidRDefault="0000688A" w:rsidP="008006C2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Suitable for wider circulation?</w:t>
            </w:r>
            <w:r w:rsidR="008006C2" w:rsidRPr="00CC2DEF">
              <w:rPr>
                <w:rFonts w:cs="Arial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CC2DEF" w:rsidRDefault="00F0393C" w:rsidP="00B86C50">
            <w:pPr>
              <w:rPr>
                <w:rFonts w:cs="Arial"/>
              </w:rPr>
            </w:pPr>
            <w:r w:rsidRPr="00CC2DEF">
              <w:rPr>
                <w:rFonts w:cs="Arial"/>
              </w:rPr>
              <w:t xml:space="preserve"> Yes.</w:t>
            </w:r>
          </w:p>
        </w:tc>
      </w:tr>
      <w:tr w:rsidR="00C90060" w:rsidRPr="00CC2DEF" w:rsidTr="00151DBF">
        <w:tc>
          <w:tcPr>
            <w:tcW w:w="2628" w:type="dxa"/>
          </w:tcPr>
          <w:p w:rsidR="00C90060" w:rsidRPr="00CC2DEF" w:rsidRDefault="00C90060" w:rsidP="008006C2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Time required for item:</w:t>
            </w:r>
            <w:r w:rsidR="008006C2" w:rsidRPr="00CC2DEF">
              <w:rPr>
                <w:rFonts w:cs="Arial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CC2DEF" w:rsidRDefault="00BF48A7" w:rsidP="00B86C50">
            <w:pPr>
              <w:rPr>
                <w:rFonts w:cs="Arial"/>
              </w:rPr>
            </w:pPr>
            <w:r w:rsidRPr="00CC2DEF">
              <w:rPr>
                <w:rFonts w:cs="Arial"/>
              </w:rPr>
              <w:t>1</w:t>
            </w:r>
            <w:r w:rsidR="00683141">
              <w:rPr>
                <w:rFonts w:cs="Arial"/>
              </w:rPr>
              <w:t>0</w:t>
            </w:r>
            <w:r w:rsidRPr="00CC2DEF">
              <w:rPr>
                <w:rFonts w:cs="Arial"/>
              </w:rPr>
              <w:t xml:space="preserve"> </w:t>
            </w:r>
            <w:r w:rsidR="00F0393C" w:rsidRPr="00CC2DEF">
              <w:rPr>
                <w:rFonts w:cs="Arial"/>
              </w:rPr>
              <w:t>mins</w:t>
            </w:r>
          </w:p>
        </w:tc>
      </w:tr>
      <w:tr w:rsidR="00E93D47" w:rsidRPr="00CC2DEF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Recommendation / Proposed Actions:</w:t>
            </w:r>
          </w:p>
          <w:p w:rsidR="00E93D47" w:rsidRPr="00CC2DEF" w:rsidRDefault="00E93D47" w:rsidP="00BD0800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</w:p>
        </w:tc>
      </w:tr>
      <w:tr w:rsidR="00E93D47" w:rsidRPr="00CC2DEF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C2DEF" w:rsidRDefault="00253C09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Yes</w:t>
            </w:r>
          </w:p>
        </w:tc>
      </w:tr>
      <w:tr w:rsidR="008B043D" w:rsidRPr="00CC2DEF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C2DEF" w:rsidRDefault="008B043D" w:rsidP="00BD0800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C2DEF" w:rsidRDefault="008B043D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C2DEF" w:rsidRDefault="004E2270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Yes</w:t>
            </w:r>
          </w:p>
        </w:tc>
      </w:tr>
      <w:tr w:rsidR="00E93D47" w:rsidRPr="00CC2DEF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C2DEF" w:rsidRDefault="00E93D47" w:rsidP="00BD0800">
            <w:pPr>
              <w:rPr>
                <w:rFonts w:cs="Arial"/>
                <w:b/>
              </w:rPr>
            </w:pPr>
          </w:p>
          <w:p w:rsidR="00E93D47" w:rsidRPr="00CC2DEF" w:rsidRDefault="00E93D47" w:rsidP="00BD0800">
            <w:pPr>
              <w:rPr>
                <w:rFonts w:cs="Arial"/>
                <w:b/>
              </w:rPr>
            </w:pPr>
          </w:p>
          <w:p w:rsidR="00E93D47" w:rsidRPr="00CC2DEF" w:rsidRDefault="00E93D47" w:rsidP="00BD0800">
            <w:pPr>
              <w:rPr>
                <w:rFonts w:cs="Arial"/>
                <w:b/>
              </w:rPr>
            </w:pPr>
          </w:p>
        </w:tc>
      </w:tr>
      <w:tr w:rsidR="00151DBF" w:rsidRPr="00CC2DEF" w:rsidTr="00AE2C5E">
        <w:tc>
          <w:tcPr>
            <w:tcW w:w="2628" w:type="dxa"/>
          </w:tcPr>
          <w:p w:rsidR="00151DBF" w:rsidRPr="00CC2DEF" w:rsidRDefault="00151DBF" w:rsidP="00AE2C5E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Name:</w:t>
            </w:r>
          </w:p>
          <w:p w:rsidR="00151DBF" w:rsidRPr="00CC2DEF" w:rsidRDefault="00151DBF" w:rsidP="00AE2C5E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C2DEF" w:rsidRDefault="006E695A" w:rsidP="00AE2C5E">
            <w:pPr>
              <w:rPr>
                <w:rFonts w:cs="Arial"/>
              </w:rPr>
            </w:pPr>
            <w:r w:rsidRPr="00CC2DEF">
              <w:rPr>
                <w:rFonts w:cs="Arial"/>
              </w:rPr>
              <w:t>Ian Cook</w:t>
            </w:r>
          </w:p>
        </w:tc>
      </w:tr>
      <w:tr w:rsidR="00151DBF" w:rsidRPr="00CC2DEF" w:rsidTr="00AE2C5E">
        <w:tc>
          <w:tcPr>
            <w:tcW w:w="2628" w:type="dxa"/>
          </w:tcPr>
          <w:p w:rsidR="00151DBF" w:rsidRPr="00CC2DEF" w:rsidRDefault="00151DBF" w:rsidP="00C5051D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Job Title:</w:t>
            </w:r>
            <w:r w:rsidR="00C5051D" w:rsidRPr="00CC2DEF">
              <w:rPr>
                <w:rFonts w:cs="Arial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C2DEF" w:rsidRDefault="006E695A" w:rsidP="00AE2C5E">
            <w:pPr>
              <w:rPr>
                <w:rFonts w:cs="Arial"/>
              </w:rPr>
            </w:pPr>
            <w:r w:rsidRPr="00CC2DEF">
              <w:rPr>
                <w:rFonts w:cs="Arial"/>
              </w:rPr>
              <w:t xml:space="preserve">Director </w:t>
            </w:r>
            <w:r w:rsidR="00253C09" w:rsidRPr="00CC2DEF">
              <w:rPr>
                <w:rFonts w:cs="Arial"/>
              </w:rPr>
              <w:t xml:space="preserve">Transformation and </w:t>
            </w:r>
            <w:r w:rsidRPr="00CC2DEF">
              <w:rPr>
                <w:rFonts w:cs="Arial"/>
              </w:rPr>
              <w:t>Corporate Services</w:t>
            </w:r>
          </w:p>
        </w:tc>
      </w:tr>
      <w:tr w:rsidR="00151DBF" w:rsidRPr="00CC2DEF" w:rsidTr="00AE2C5E">
        <w:tc>
          <w:tcPr>
            <w:tcW w:w="2628" w:type="dxa"/>
          </w:tcPr>
          <w:p w:rsidR="00151DBF" w:rsidRPr="00CC2DEF" w:rsidRDefault="00151DBF" w:rsidP="00C5051D">
            <w:pPr>
              <w:rPr>
                <w:rFonts w:cs="Arial"/>
                <w:b/>
              </w:rPr>
            </w:pPr>
            <w:r w:rsidRPr="00CC2DEF">
              <w:rPr>
                <w:rFonts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C2DEF" w:rsidRDefault="00D97C7B" w:rsidP="00363EC9">
            <w:pPr>
              <w:rPr>
                <w:rFonts w:cs="Arial"/>
              </w:rPr>
            </w:pPr>
            <w:r>
              <w:rPr>
                <w:rFonts w:cs="Arial"/>
              </w:rPr>
              <w:t>9th</w:t>
            </w:r>
            <w:r w:rsidR="00253C09" w:rsidRPr="00CC2D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May</w:t>
            </w:r>
            <w:r w:rsidR="00363EC9" w:rsidRPr="00CC2DEF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9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Default="00C90060" w:rsidP="00C90060">
    <w:pPr>
      <w:pStyle w:val="Footer"/>
      <w:ind w:left="-142" w:firstLine="86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68314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C4C4355" wp14:editId="04BFDEE3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319"/>
    <w:multiLevelType w:val="hybridMultilevel"/>
    <w:tmpl w:val="493E50EE"/>
    <w:lvl w:ilvl="0" w:tplc="16F03E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B6A6C"/>
    <w:rsid w:val="000C027C"/>
    <w:rsid w:val="000C44EF"/>
    <w:rsid w:val="000C6B29"/>
    <w:rsid w:val="000D0F34"/>
    <w:rsid w:val="000D6A51"/>
    <w:rsid w:val="000E197F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33C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3C09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0772"/>
    <w:rsid w:val="0031367E"/>
    <w:rsid w:val="0032284B"/>
    <w:rsid w:val="0032598B"/>
    <w:rsid w:val="0033263A"/>
    <w:rsid w:val="00332F60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63EC9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3F7BB4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47F9"/>
    <w:rsid w:val="00475E0A"/>
    <w:rsid w:val="00477F03"/>
    <w:rsid w:val="004806AB"/>
    <w:rsid w:val="00482B2C"/>
    <w:rsid w:val="00491A07"/>
    <w:rsid w:val="004931AF"/>
    <w:rsid w:val="0049433E"/>
    <w:rsid w:val="004960CF"/>
    <w:rsid w:val="004968A5"/>
    <w:rsid w:val="004B078F"/>
    <w:rsid w:val="004B22B8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2C0A"/>
    <w:rsid w:val="00544B20"/>
    <w:rsid w:val="005476DE"/>
    <w:rsid w:val="00547B8B"/>
    <w:rsid w:val="0055463C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7F75"/>
    <w:rsid w:val="005E241C"/>
    <w:rsid w:val="005F4D7F"/>
    <w:rsid w:val="005F6511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141"/>
    <w:rsid w:val="00683C84"/>
    <w:rsid w:val="006A06D7"/>
    <w:rsid w:val="006A3631"/>
    <w:rsid w:val="006A7595"/>
    <w:rsid w:val="006B2B17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68A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22EF"/>
    <w:rsid w:val="00A732F1"/>
    <w:rsid w:val="00A73CFB"/>
    <w:rsid w:val="00A840DB"/>
    <w:rsid w:val="00A85692"/>
    <w:rsid w:val="00A86755"/>
    <w:rsid w:val="00A873B2"/>
    <w:rsid w:val="00A912C0"/>
    <w:rsid w:val="00A9292C"/>
    <w:rsid w:val="00A93966"/>
    <w:rsid w:val="00A95157"/>
    <w:rsid w:val="00AA288A"/>
    <w:rsid w:val="00AA5F0C"/>
    <w:rsid w:val="00AB7764"/>
    <w:rsid w:val="00AC2BA5"/>
    <w:rsid w:val="00AC3ED9"/>
    <w:rsid w:val="00AC7807"/>
    <w:rsid w:val="00AE1A8B"/>
    <w:rsid w:val="00AE500E"/>
    <w:rsid w:val="00AF2B98"/>
    <w:rsid w:val="00AF3C6E"/>
    <w:rsid w:val="00B101D8"/>
    <w:rsid w:val="00B1110F"/>
    <w:rsid w:val="00B12EAF"/>
    <w:rsid w:val="00B13FC0"/>
    <w:rsid w:val="00B16BC1"/>
    <w:rsid w:val="00B26844"/>
    <w:rsid w:val="00B35C41"/>
    <w:rsid w:val="00B371BD"/>
    <w:rsid w:val="00B42EAA"/>
    <w:rsid w:val="00B43424"/>
    <w:rsid w:val="00B463BC"/>
    <w:rsid w:val="00B50AE2"/>
    <w:rsid w:val="00B53863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C6EC2"/>
    <w:rsid w:val="00BF48A7"/>
    <w:rsid w:val="00BF5379"/>
    <w:rsid w:val="00C04153"/>
    <w:rsid w:val="00C15CC6"/>
    <w:rsid w:val="00C22E08"/>
    <w:rsid w:val="00C24C6C"/>
    <w:rsid w:val="00C265FE"/>
    <w:rsid w:val="00C330A2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12BC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28BD"/>
    <w:rsid w:val="00CA3A21"/>
    <w:rsid w:val="00CB16AC"/>
    <w:rsid w:val="00CB32FA"/>
    <w:rsid w:val="00CC2DEF"/>
    <w:rsid w:val="00CC7EC2"/>
    <w:rsid w:val="00CC7F68"/>
    <w:rsid w:val="00CD04B1"/>
    <w:rsid w:val="00CD103F"/>
    <w:rsid w:val="00CD6526"/>
    <w:rsid w:val="00CD7943"/>
    <w:rsid w:val="00CE51E2"/>
    <w:rsid w:val="00CE7EDE"/>
    <w:rsid w:val="00CF6E0E"/>
    <w:rsid w:val="00D05267"/>
    <w:rsid w:val="00D053C7"/>
    <w:rsid w:val="00D244E5"/>
    <w:rsid w:val="00D506D1"/>
    <w:rsid w:val="00D53754"/>
    <w:rsid w:val="00D556A7"/>
    <w:rsid w:val="00D605E8"/>
    <w:rsid w:val="00D63E02"/>
    <w:rsid w:val="00D64CB6"/>
    <w:rsid w:val="00D87EE4"/>
    <w:rsid w:val="00D97C7B"/>
    <w:rsid w:val="00DA1005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2E32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0075"/>
    <w:rsid w:val="00FF5B6E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D6571F"/>
  <w15:docId w15:val="{3FDE1A7F-752B-463B-AB3D-C5D0A4C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1D33CE"/>
    <w:pPr>
      <w:numPr>
        <w:numId w:val="1"/>
      </w:numPr>
      <w:spacing w:before="120" w:after="0" w:line="240" w:lineRule="auto"/>
      <w:jc w:val="both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C69D2-39C9-4CF2-A61D-A92DF21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Stephen Tebbutt</cp:lastModifiedBy>
  <cp:revision>3</cp:revision>
  <cp:lastPrinted>2013-01-08T15:55:00Z</cp:lastPrinted>
  <dcterms:created xsi:type="dcterms:W3CDTF">2019-05-09T08:34:00Z</dcterms:created>
  <dcterms:modified xsi:type="dcterms:W3CDTF">2019-05-09T09:22:00Z</dcterms:modified>
</cp:coreProperties>
</file>