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 xml:space="preserve">Key summary points from the </w:t>
      </w:r>
      <w:r w:rsidR="000F7ECD">
        <w:rPr>
          <w:rFonts w:cs="Arial"/>
          <w:b/>
          <w:sz w:val="28"/>
          <w:szCs w:val="28"/>
        </w:rPr>
        <w:t xml:space="preserve">HRA </w:t>
      </w:r>
      <w:r>
        <w:rPr>
          <w:rFonts w:cs="Arial"/>
          <w:b/>
          <w:sz w:val="28"/>
          <w:szCs w:val="28"/>
        </w:rPr>
        <w:t>Audit and Risk Committ</w:t>
      </w:r>
      <w:r w:rsidR="00382649">
        <w:rPr>
          <w:rFonts w:cs="Arial"/>
          <w:b/>
          <w:sz w:val="28"/>
          <w:szCs w:val="28"/>
        </w:rPr>
        <w:t>ee meeting held on</w:t>
      </w:r>
      <w:r w:rsidR="000F7ECD">
        <w:rPr>
          <w:rFonts w:cs="Arial"/>
          <w:b/>
          <w:sz w:val="28"/>
          <w:szCs w:val="28"/>
        </w:rPr>
        <w:t xml:space="preserve"> </w:t>
      </w:r>
      <w:r w:rsidR="003864F6">
        <w:rPr>
          <w:rFonts w:cs="Arial"/>
          <w:b/>
          <w:sz w:val="28"/>
          <w:szCs w:val="28"/>
        </w:rPr>
        <w:t>0</w:t>
      </w:r>
      <w:r w:rsidR="00AC3498">
        <w:rPr>
          <w:rFonts w:cs="Arial"/>
          <w:b/>
          <w:sz w:val="28"/>
          <w:szCs w:val="28"/>
        </w:rPr>
        <w:t>5 February 2019</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0E2CD1">
        <w:tc>
          <w:tcPr>
            <w:tcW w:w="1589"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335" w:type="dxa"/>
          </w:tcPr>
          <w:p w:rsidR="000E5951" w:rsidRPr="000E5951" w:rsidRDefault="00997614" w:rsidP="009C098E">
            <w:pPr>
              <w:shd w:val="clear" w:color="auto" w:fill="FBD4B4" w:themeFill="accent6" w:themeFillTint="66"/>
              <w:ind w:right="-46"/>
              <w:rPr>
                <w:rFonts w:cs="Arial"/>
                <w:b/>
                <w:szCs w:val="28"/>
              </w:rPr>
            </w:pPr>
            <w:r>
              <w:rPr>
                <w:rFonts w:cs="Arial"/>
                <w:b/>
                <w:szCs w:val="28"/>
              </w:rPr>
              <w:t>0</w:t>
            </w:r>
            <w:r w:rsidR="00AC3498">
              <w:rPr>
                <w:rFonts w:cs="Arial"/>
                <w:b/>
                <w:szCs w:val="28"/>
              </w:rPr>
              <w:t>5 February 2019, HRA London Centre, Skipton House</w:t>
            </w:r>
          </w:p>
          <w:p w:rsidR="000E5951" w:rsidRDefault="000E5951" w:rsidP="00917849">
            <w:pPr>
              <w:ind w:right="-46"/>
              <w:rPr>
                <w:rFonts w:cs="Arial"/>
                <w:szCs w:val="28"/>
              </w:rPr>
            </w:pPr>
          </w:p>
          <w:p w:rsidR="00AB4AAE" w:rsidRPr="009C098E" w:rsidRDefault="00997614" w:rsidP="009C098E">
            <w:pPr>
              <w:pStyle w:val="ListParagraph"/>
              <w:numPr>
                <w:ilvl w:val="0"/>
                <w:numId w:val="4"/>
              </w:numPr>
              <w:ind w:right="-46"/>
              <w:rPr>
                <w:rFonts w:cs="Arial"/>
                <w:szCs w:val="28"/>
              </w:rPr>
            </w:pPr>
            <w:r>
              <w:rPr>
                <w:rFonts w:cs="Arial"/>
                <w:szCs w:val="28"/>
              </w:rPr>
              <w:t>Q</w:t>
            </w:r>
            <w:r w:rsidR="001334A0">
              <w:rPr>
                <w:rFonts w:cs="Arial"/>
                <w:szCs w:val="28"/>
              </w:rPr>
              <w:t>uorate</w:t>
            </w:r>
          </w:p>
          <w:p w:rsidR="00524AC0" w:rsidRDefault="00917849" w:rsidP="00524AC0">
            <w:pPr>
              <w:pStyle w:val="ListParagraph"/>
              <w:numPr>
                <w:ilvl w:val="0"/>
                <w:numId w:val="4"/>
              </w:numPr>
              <w:ind w:right="-46"/>
              <w:rPr>
                <w:rFonts w:cs="Arial"/>
                <w:szCs w:val="28"/>
              </w:rPr>
            </w:pPr>
            <w:r w:rsidRPr="009C098E">
              <w:rPr>
                <w:rFonts w:cs="Arial"/>
                <w:szCs w:val="28"/>
              </w:rPr>
              <w:t xml:space="preserve">Attendance (membership) – </w:t>
            </w:r>
            <w:r w:rsidR="00997614">
              <w:rPr>
                <w:rFonts w:cs="Arial"/>
                <w:szCs w:val="28"/>
              </w:rPr>
              <w:t>4</w:t>
            </w:r>
            <w:r w:rsidRPr="009C098E">
              <w:rPr>
                <w:rFonts w:cs="Arial"/>
                <w:szCs w:val="28"/>
              </w:rPr>
              <w:t>/4</w:t>
            </w:r>
          </w:p>
          <w:p w:rsidR="00AC3498" w:rsidRDefault="00AC3498" w:rsidP="00524AC0">
            <w:pPr>
              <w:pStyle w:val="ListParagraph"/>
              <w:numPr>
                <w:ilvl w:val="0"/>
                <w:numId w:val="4"/>
              </w:numPr>
              <w:ind w:right="-46"/>
              <w:rPr>
                <w:rFonts w:cs="Arial"/>
                <w:szCs w:val="28"/>
              </w:rPr>
            </w:pPr>
            <w:r>
              <w:rPr>
                <w:rFonts w:cs="Arial"/>
                <w:szCs w:val="28"/>
              </w:rPr>
              <w:t>Welcome to Richard Cooper and Andrew George as new Audit &amp; Risk Committee members joining Graham Clarke and Marc Taylor</w:t>
            </w:r>
          </w:p>
          <w:p w:rsidR="000E5951" w:rsidRDefault="000E5951" w:rsidP="00851C09">
            <w:pPr>
              <w:ind w:right="-46"/>
              <w:rPr>
                <w:rFonts w:cs="Arial"/>
                <w:szCs w:val="28"/>
              </w:rPr>
            </w:pPr>
          </w:p>
        </w:tc>
      </w:tr>
      <w:tr w:rsidR="00F11009" w:rsidTr="000E2CD1">
        <w:trPr>
          <w:trHeight w:val="699"/>
        </w:trPr>
        <w:tc>
          <w:tcPr>
            <w:tcW w:w="1589" w:type="dxa"/>
            <w:vMerge w:val="restart"/>
            <w:shd w:val="clear" w:color="auto" w:fill="FBD4B4" w:themeFill="accent6" w:themeFillTint="66"/>
          </w:tcPr>
          <w:p w:rsidR="00F11009" w:rsidRDefault="00F11009" w:rsidP="001334A0">
            <w:pPr>
              <w:shd w:val="clear" w:color="auto" w:fill="FBD4B4" w:themeFill="accent6" w:themeFillTint="66"/>
              <w:ind w:right="-46"/>
              <w:rPr>
                <w:rFonts w:cs="Arial"/>
                <w:b/>
                <w:szCs w:val="28"/>
              </w:rPr>
            </w:pPr>
            <w:r>
              <w:rPr>
                <w:rFonts w:cs="Arial"/>
                <w:b/>
                <w:szCs w:val="28"/>
              </w:rPr>
              <w:t>KEY BUSINESS CONDUCTED</w:t>
            </w:r>
          </w:p>
          <w:p w:rsidR="00F11009" w:rsidRDefault="00F11009" w:rsidP="00AB4AAE">
            <w:pPr>
              <w:ind w:right="-46"/>
              <w:rPr>
                <w:rFonts w:cs="Arial"/>
                <w:szCs w:val="28"/>
              </w:rPr>
            </w:pPr>
          </w:p>
        </w:tc>
        <w:tc>
          <w:tcPr>
            <w:tcW w:w="8335" w:type="dxa"/>
          </w:tcPr>
          <w:p w:rsidR="00F11009" w:rsidRDefault="00AC3498" w:rsidP="009C098E">
            <w:pPr>
              <w:shd w:val="clear" w:color="auto" w:fill="FBD4B4" w:themeFill="accent6" w:themeFillTint="66"/>
              <w:rPr>
                <w:b/>
              </w:rPr>
            </w:pPr>
            <w:r>
              <w:rPr>
                <w:rFonts w:cs="Arial"/>
                <w:b/>
              </w:rPr>
              <w:t>Risk Deep Dive: Strategic Risk Register</w:t>
            </w:r>
          </w:p>
          <w:p w:rsidR="00F11009" w:rsidRDefault="00F11009" w:rsidP="00F96497"/>
          <w:p w:rsidR="00AC3498" w:rsidRDefault="00AC3498" w:rsidP="00AC3498">
            <w:r>
              <w:t xml:space="preserve">The Committee discussed the format of the register and agreed it would be beneficial to provide some clarification regarding the terminology to ensure everyone understands the information e.g. clarity on the different types of risk scores (inherent, residual, tolerance threshold). The Committee agreed an additional column detailing the current risk score and an understanding of how the threshold scores have been decided upon would also be beneficial. </w:t>
            </w:r>
          </w:p>
          <w:p w:rsidR="00AC3498" w:rsidRDefault="00AC3498" w:rsidP="00AC3498"/>
          <w:p w:rsidR="00AC3498" w:rsidRDefault="00AC3498" w:rsidP="00AC3498">
            <w:r>
              <w:t>The Committee agreed it would be helpful to understand how the strategic risk register links with the corporate risk register</w:t>
            </w:r>
            <w:r>
              <w:t xml:space="preserve">. </w:t>
            </w:r>
            <w:r>
              <w:t xml:space="preserve">The Committee agreed it would be beneficial to compare the risk scores, </w:t>
            </w:r>
            <w:proofErr w:type="gramStart"/>
            <w:r>
              <w:t>in particular the</w:t>
            </w:r>
            <w:proofErr w:type="gramEnd"/>
            <w:r>
              <w:t xml:space="preserve"> likelihood score, against other risks to ensure they appear consistent.</w:t>
            </w:r>
          </w:p>
          <w:p w:rsidR="00AC3498" w:rsidRDefault="00AC3498" w:rsidP="00AC3498"/>
          <w:p w:rsidR="00AC3498" w:rsidRDefault="00AC3498" w:rsidP="00AC3498">
            <w:r>
              <w:t>The Committee noted the risk relating to the regulation of social care (SR006) had been removed from the strategic register as the recent work conducted had allayed the HRA’s concerns to some extent.</w:t>
            </w:r>
          </w:p>
          <w:p w:rsidR="00F11009" w:rsidRPr="00DA67AA" w:rsidRDefault="00F11009" w:rsidP="00AC3498">
            <w:pPr>
              <w:autoSpaceDE w:val="0"/>
              <w:autoSpaceDN w:val="0"/>
              <w:adjustRightInd w:val="0"/>
              <w:rPr>
                <w:sz w:val="18"/>
              </w:rPr>
            </w:pPr>
          </w:p>
        </w:tc>
      </w:tr>
      <w:tr w:rsidR="00AC3498" w:rsidTr="000E2CD1">
        <w:trPr>
          <w:trHeight w:val="699"/>
        </w:trPr>
        <w:tc>
          <w:tcPr>
            <w:tcW w:w="1589" w:type="dxa"/>
            <w:vMerge/>
            <w:shd w:val="clear" w:color="auto" w:fill="FBD4B4" w:themeFill="accent6" w:themeFillTint="66"/>
          </w:tcPr>
          <w:p w:rsidR="00AC3498" w:rsidRDefault="00AC3498" w:rsidP="00AC3498">
            <w:pPr>
              <w:shd w:val="clear" w:color="auto" w:fill="FBD4B4" w:themeFill="accent6" w:themeFillTint="66"/>
              <w:ind w:right="-46"/>
              <w:rPr>
                <w:rFonts w:cs="Arial"/>
                <w:b/>
                <w:szCs w:val="28"/>
              </w:rPr>
            </w:pPr>
          </w:p>
        </w:tc>
        <w:tc>
          <w:tcPr>
            <w:tcW w:w="8335" w:type="dxa"/>
          </w:tcPr>
          <w:p w:rsidR="00AC3498" w:rsidRDefault="00AC3498" w:rsidP="00AC3498">
            <w:pPr>
              <w:shd w:val="clear" w:color="auto" w:fill="FBD4B4" w:themeFill="accent6" w:themeFillTint="66"/>
              <w:rPr>
                <w:b/>
              </w:rPr>
            </w:pPr>
            <w:r>
              <w:rPr>
                <w:b/>
              </w:rPr>
              <w:t xml:space="preserve">Corporate Risk Register Quarter </w:t>
            </w:r>
            <w:r>
              <w:rPr>
                <w:b/>
              </w:rPr>
              <w:t>3</w:t>
            </w:r>
            <w:r>
              <w:rPr>
                <w:b/>
              </w:rPr>
              <w:t xml:space="preserve"> 2017/18</w:t>
            </w:r>
          </w:p>
          <w:p w:rsidR="00AC3498" w:rsidRDefault="00AC3498" w:rsidP="00AC3498">
            <w:pPr>
              <w:rPr>
                <w:b/>
              </w:rPr>
            </w:pPr>
          </w:p>
          <w:p w:rsidR="00AC3498" w:rsidRDefault="00AC3498" w:rsidP="00AC3498">
            <w:pPr>
              <w:rPr>
                <w:rFonts w:cs="Arial"/>
              </w:rPr>
            </w:pPr>
            <w:r w:rsidRPr="00461688">
              <w:rPr>
                <w:rFonts w:cs="Arial"/>
              </w:rPr>
              <w:t xml:space="preserve">The Committee reviewed and noted the Corporate Risk Register for Quarter </w:t>
            </w:r>
            <w:r>
              <w:rPr>
                <w:rFonts w:cs="Arial"/>
              </w:rPr>
              <w:t>3</w:t>
            </w:r>
            <w:r w:rsidRPr="00461688">
              <w:rPr>
                <w:rFonts w:cs="Arial"/>
              </w:rPr>
              <w:t xml:space="preserve"> 2018/19</w:t>
            </w:r>
            <w:r>
              <w:rPr>
                <w:rFonts w:cs="Arial"/>
              </w:rPr>
              <w:t xml:space="preserve">. </w:t>
            </w:r>
          </w:p>
          <w:p w:rsidR="00AC3498" w:rsidRDefault="00AC3498" w:rsidP="00AC3498">
            <w:pPr>
              <w:rPr>
                <w:b/>
              </w:rPr>
            </w:pPr>
          </w:p>
        </w:tc>
      </w:tr>
      <w:tr w:rsidR="00AC3498" w:rsidTr="000E2CD1">
        <w:tc>
          <w:tcPr>
            <w:tcW w:w="1589" w:type="dxa"/>
            <w:vMerge/>
            <w:shd w:val="clear" w:color="auto" w:fill="FBD4B4" w:themeFill="accent6" w:themeFillTint="66"/>
          </w:tcPr>
          <w:p w:rsidR="00AC3498" w:rsidRDefault="00AC3498" w:rsidP="00AC3498">
            <w:pPr>
              <w:ind w:right="-46"/>
              <w:rPr>
                <w:rFonts w:cs="Arial"/>
                <w:szCs w:val="28"/>
              </w:rPr>
            </w:pPr>
          </w:p>
        </w:tc>
        <w:tc>
          <w:tcPr>
            <w:tcW w:w="8335" w:type="dxa"/>
          </w:tcPr>
          <w:p w:rsidR="00AC3498" w:rsidRDefault="00AC3498" w:rsidP="00AC3498">
            <w:pPr>
              <w:shd w:val="clear" w:color="auto" w:fill="FBD4B4" w:themeFill="accent6" w:themeFillTint="66"/>
              <w:rPr>
                <w:b/>
              </w:rPr>
            </w:pPr>
            <w:r>
              <w:rPr>
                <w:rFonts w:cs="Arial"/>
                <w:b/>
              </w:rPr>
              <w:t>Delivery of HRA HGIAS Audit Plan 2018/19</w:t>
            </w:r>
          </w:p>
          <w:p w:rsidR="00AC3498" w:rsidRDefault="00AC3498" w:rsidP="00AC3498">
            <w:pPr>
              <w:shd w:val="clear" w:color="auto" w:fill="FFFFFF" w:themeFill="background1"/>
              <w:rPr>
                <w:b/>
              </w:rPr>
            </w:pPr>
          </w:p>
          <w:p w:rsidR="00AC3498" w:rsidRPr="00997614" w:rsidRDefault="00AC3498" w:rsidP="00AC3498">
            <w:r w:rsidRPr="00997614">
              <w:t xml:space="preserve">The Committee noted </w:t>
            </w:r>
            <w:r w:rsidR="00191EF0">
              <w:t>t</w:t>
            </w:r>
            <w:r>
              <w:t>he plan</w:t>
            </w:r>
            <w:r w:rsidRPr="00997614">
              <w:t xml:space="preserve"> was on track</w:t>
            </w:r>
            <w:r>
              <w:t xml:space="preserve"> with </w:t>
            </w:r>
            <w:r w:rsidR="00191EF0">
              <w:t>one audits completed in Quarter 3</w:t>
            </w:r>
            <w:r>
              <w:t>.</w:t>
            </w:r>
            <w:r w:rsidRPr="00997614">
              <w:t xml:space="preserve"> </w:t>
            </w:r>
          </w:p>
          <w:p w:rsidR="00AC3498" w:rsidRDefault="00AC3498" w:rsidP="00AC3498">
            <w:pPr>
              <w:rPr>
                <w:u w:val="single"/>
              </w:rPr>
            </w:pPr>
          </w:p>
          <w:tbl>
            <w:tblPr>
              <w:tblStyle w:val="TableGrid"/>
              <w:tblW w:w="8109" w:type="dxa"/>
              <w:tblLook w:val="04A0" w:firstRow="1" w:lastRow="0" w:firstColumn="1" w:lastColumn="0" w:noHBand="0" w:noVBand="1"/>
            </w:tblPr>
            <w:tblGrid>
              <w:gridCol w:w="1439"/>
              <w:gridCol w:w="1282"/>
              <w:gridCol w:w="571"/>
              <w:gridCol w:w="571"/>
              <w:gridCol w:w="571"/>
              <w:gridCol w:w="3675"/>
            </w:tblGrid>
            <w:tr w:rsidR="00AC3498" w:rsidTr="00D64DDA">
              <w:tc>
                <w:tcPr>
                  <w:tcW w:w="1439" w:type="dxa"/>
                  <w:vMerge w:val="restart"/>
                  <w:tcBorders>
                    <w:top w:val="single" w:sz="4" w:space="0" w:color="auto"/>
                    <w:left w:val="single" w:sz="4" w:space="0" w:color="auto"/>
                    <w:bottom w:val="single" w:sz="4" w:space="0" w:color="auto"/>
                    <w:right w:val="single" w:sz="4" w:space="0" w:color="auto"/>
                  </w:tcBorders>
                  <w:hideMark/>
                </w:tcPr>
                <w:p w:rsidR="00AC3498" w:rsidRDefault="00AC3498" w:rsidP="00AC3498">
                  <w:pPr>
                    <w:rPr>
                      <w:b/>
                    </w:rPr>
                  </w:pPr>
                  <w:r>
                    <w:rPr>
                      <w:b/>
                    </w:rPr>
                    <w:t>Review</w:t>
                  </w:r>
                </w:p>
              </w:tc>
              <w:tc>
                <w:tcPr>
                  <w:tcW w:w="1282" w:type="dxa"/>
                  <w:vMerge w:val="restart"/>
                  <w:tcBorders>
                    <w:top w:val="single" w:sz="4" w:space="0" w:color="auto"/>
                    <w:left w:val="single" w:sz="4" w:space="0" w:color="auto"/>
                    <w:bottom w:val="single" w:sz="4" w:space="0" w:color="auto"/>
                    <w:right w:val="single" w:sz="4" w:space="0" w:color="auto"/>
                  </w:tcBorders>
                  <w:hideMark/>
                </w:tcPr>
                <w:p w:rsidR="00AC3498" w:rsidRDefault="00AC3498" w:rsidP="00AC3498">
                  <w:pPr>
                    <w:jc w:val="center"/>
                    <w:rPr>
                      <w:b/>
                    </w:rPr>
                  </w:pPr>
                  <w:r>
                    <w:rPr>
                      <w:b/>
                    </w:rPr>
                    <w:t>Assurance level</w:t>
                  </w:r>
                </w:p>
              </w:tc>
              <w:tc>
                <w:tcPr>
                  <w:tcW w:w="1713" w:type="dxa"/>
                  <w:gridSpan w:val="3"/>
                  <w:tcBorders>
                    <w:top w:val="single" w:sz="4" w:space="0" w:color="auto"/>
                    <w:left w:val="single" w:sz="4" w:space="0" w:color="auto"/>
                    <w:bottom w:val="single" w:sz="4" w:space="0" w:color="auto"/>
                    <w:right w:val="single" w:sz="4" w:space="0" w:color="auto"/>
                  </w:tcBorders>
                  <w:hideMark/>
                </w:tcPr>
                <w:p w:rsidR="00AC3498" w:rsidRDefault="00AC3498" w:rsidP="00AC3498">
                  <w:pPr>
                    <w:jc w:val="center"/>
                    <w:rPr>
                      <w:b/>
                    </w:rPr>
                  </w:pPr>
                  <w:r>
                    <w:rPr>
                      <w:b/>
                    </w:rPr>
                    <w:t>Findings</w:t>
                  </w:r>
                </w:p>
              </w:tc>
              <w:tc>
                <w:tcPr>
                  <w:tcW w:w="3675" w:type="dxa"/>
                  <w:vMerge w:val="restart"/>
                  <w:tcBorders>
                    <w:top w:val="single" w:sz="4" w:space="0" w:color="auto"/>
                    <w:left w:val="single" w:sz="4" w:space="0" w:color="auto"/>
                    <w:bottom w:val="single" w:sz="4" w:space="0" w:color="auto"/>
                    <w:right w:val="single" w:sz="4" w:space="0" w:color="auto"/>
                  </w:tcBorders>
                  <w:hideMark/>
                </w:tcPr>
                <w:p w:rsidR="00AC3498" w:rsidRDefault="00AC3498" w:rsidP="00AC3498">
                  <w:pPr>
                    <w:rPr>
                      <w:b/>
                    </w:rPr>
                  </w:pPr>
                  <w:r>
                    <w:rPr>
                      <w:b/>
                    </w:rPr>
                    <w:t>Comments</w:t>
                  </w:r>
                </w:p>
              </w:tc>
            </w:tr>
            <w:tr w:rsidR="00AC3498" w:rsidTr="00D64DDA">
              <w:tc>
                <w:tcPr>
                  <w:tcW w:w="0" w:type="auto"/>
                  <w:vMerge/>
                  <w:tcBorders>
                    <w:top w:val="single" w:sz="4" w:space="0" w:color="auto"/>
                    <w:left w:val="single" w:sz="4" w:space="0" w:color="auto"/>
                    <w:bottom w:val="single" w:sz="4" w:space="0" w:color="auto"/>
                    <w:right w:val="single" w:sz="4" w:space="0" w:color="auto"/>
                  </w:tcBorders>
                  <w:vAlign w:val="center"/>
                  <w:hideMark/>
                </w:tcPr>
                <w:p w:rsidR="00AC3498" w:rsidRDefault="00AC3498" w:rsidP="00AC349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498" w:rsidRDefault="00AC3498" w:rsidP="00AC3498">
                  <w:pPr>
                    <w:rPr>
                      <w:b/>
                    </w:rPr>
                  </w:pPr>
                </w:p>
              </w:tc>
              <w:tc>
                <w:tcPr>
                  <w:tcW w:w="571" w:type="dxa"/>
                  <w:tcBorders>
                    <w:top w:val="single" w:sz="4" w:space="0" w:color="auto"/>
                    <w:left w:val="single" w:sz="4" w:space="0" w:color="auto"/>
                    <w:bottom w:val="single" w:sz="4" w:space="0" w:color="auto"/>
                    <w:right w:val="single" w:sz="4" w:space="0" w:color="auto"/>
                  </w:tcBorders>
                  <w:hideMark/>
                </w:tcPr>
                <w:p w:rsidR="00AC3498" w:rsidRDefault="00AC3498" w:rsidP="00AC3498">
                  <w:pPr>
                    <w:jc w:val="center"/>
                    <w:rPr>
                      <w:b/>
                    </w:rPr>
                  </w:pPr>
                  <w:r>
                    <w:rPr>
                      <w:b/>
                    </w:rPr>
                    <w:t>H</w:t>
                  </w:r>
                </w:p>
              </w:tc>
              <w:tc>
                <w:tcPr>
                  <w:tcW w:w="571" w:type="dxa"/>
                  <w:tcBorders>
                    <w:top w:val="single" w:sz="4" w:space="0" w:color="auto"/>
                    <w:left w:val="single" w:sz="4" w:space="0" w:color="auto"/>
                    <w:bottom w:val="single" w:sz="4" w:space="0" w:color="auto"/>
                    <w:right w:val="single" w:sz="4" w:space="0" w:color="auto"/>
                  </w:tcBorders>
                  <w:hideMark/>
                </w:tcPr>
                <w:p w:rsidR="00AC3498" w:rsidRDefault="00AC3498" w:rsidP="00AC3498">
                  <w:pPr>
                    <w:jc w:val="center"/>
                    <w:rPr>
                      <w:b/>
                    </w:rPr>
                  </w:pPr>
                  <w:r>
                    <w:rPr>
                      <w:b/>
                    </w:rPr>
                    <w:t>M</w:t>
                  </w:r>
                </w:p>
              </w:tc>
              <w:tc>
                <w:tcPr>
                  <w:tcW w:w="571" w:type="dxa"/>
                  <w:tcBorders>
                    <w:top w:val="single" w:sz="4" w:space="0" w:color="auto"/>
                    <w:left w:val="single" w:sz="4" w:space="0" w:color="auto"/>
                    <w:bottom w:val="single" w:sz="4" w:space="0" w:color="auto"/>
                    <w:right w:val="single" w:sz="4" w:space="0" w:color="auto"/>
                  </w:tcBorders>
                  <w:hideMark/>
                </w:tcPr>
                <w:p w:rsidR="00AC3498" w:rsidRDefault="00AC3498" w:rsidP="00AC3498">
                  <w:pPr>
                    <w:jc w:val="center"/>
                    <w:rPr>
                      <w:b/>
                    </w:rPr>
                  </w:pPr>
                  <w:r>
                    <w:rPr>
                      <w:b/>
                    </w:rPr>
                    <w: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498" w:rsidRDefault="00AC3498" w:rsidP="00AC3498">
                  <w:pPr>
                    <w:rPr>
                      <w:b/>
                    </w:rPr>
                  </w:pPr>
                </w:p>
              </w:tc>
            </w:tr>
            <w:tr w:rsidR="00AC3498" w:rsidTr="00191EF0">
              <w:tc>
                <w:tcPr>
                  <w:tcW w:w="1439" w:type="dxa"/>
                  <w:tcBorders>
                    <w:top w:val="single" w:sz="4" w:space="0" w:color="auto"/>
                    <w:left w:val="single" w:sz="4" w:space="0" w:color="auto"/>
                    <w:bottom w:val="single" w:sz="4" w:space="0" w:color="auto"/>
                    <w:right w:val="single" w:sz="4" w:space="0" w:color="auto"/>
                  </w:tcBorders>
                </w:tcPr>
                <w:p w:rsidR="00AC3498" w:rsidRPr="00BF328D" w:rsidRDefault="00191EF0" w:rsidP="00AC3498">
                  <w:r>
                    <w:t>Strategic Financial Management</w:t>
                  </w:r>
                </w:p>
              </w:tc>
              <w:tc>
                <w:tcPr>
                  <w:tcW w:w="1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3498" w:rsidRDefault="00191EF0" w:rsidP="00AC3498">
                  <w:pPr>
                    <w:jc w:val="center"/>
                    <w:rPr>
                      <w:b/>
                    </w:rPr>
                  </w:pPr>
                  <w:r>
                    <w:rPr>
                      <w:b/>
                    </w:rPr>
                    <w:t>ADVISORY</w:t>
                  </w:r>
                </w:p>
              </w:tc>
              <w:tc>
                <w:tcPr>
                  <w:tcW w:w="571" w:type="dxa"/>
                  <w:tcBorders>
                    <w:top w:val="single" w:sz="4" w:space="0" w:color="auto"/>
                    <w:left w:val="single" w:sz="4" w:space="0" w:color="auto"/>
                    <w:bottom w:val="single" w:sz="4" w:space="0" w:color="auto"/>
                    <w:right w:val="single" w:sz="4" w:space="0" w:color="auto"/>
                  </w:tcBorders>
                </w:tcPr>
                <w:p w:rsidR="00AC3498" w:rsidRDefault="00191EF0" w:rsidP="00AC3498">
                  <w:pPr>
                    <w:jc w:val="center"/>
                  </w:pPr>
                  <w:r>
                    <w:t>N/A</w:t>
                  </w:r>
                </w:p>
              </w:tc>
              <w:tc>
                <w:tcPr>
                  <w:tcW w:w="571" w:type="dxa"/>
                  <w:tcBorders>
                    <w:top w:val="single" w:sz="4" w:space="0" w:color="auto"/>
                    <w:left w:val="single" w:sz="4" w:space="0" w:color="auto"/>
                    <w:bottom w:val="single" w:sz="4" w:space="0" w:color="auto"/>
                    <w:right w:val="single" w:sz="4" w:space="0" w:color="auto"/>
                  </w:tcBorders>
                </w:tcPr>
                <w:p w:rsidR="00AC3498" w:rsidRDefault="00191EF0" w:rsidP="00AC3498">
                  <w:pPr>
                    <w:jc w:val="center"/>
                  </w:pPr>
                  <w:r>
                    <w:t>N/A</w:t>
                  </w:r>
                </w:p>
              </w:tc>
              <w:tc>
                <w:tcPr>
                  <w:tcW w:w="571" w:type="dxa"/>
                  <w:tcBorders>
                    <w:top w:val="single" w:sz="4" w:space="0" w:color="auto"/>
                    <w:left w:val="single" w:sz="4" w:space="0" w:color="auto"/>
                    <w:bottom w:val="single" w:sz="4" w:space="0" w:color="auto"/>
                    <w:right w:val="single" w:sz="4" w:space="0" w:color="auto"/>
                  </w:tcBorders>
                </w:tcPr>
                <w:p w:rsidR="00AC3498" w:rsidRDefault="00191EF0" w:rsidP="00AC3498">
                  <w:pPr>
                    <w:jc w:val="center"/>
                  </w:pPr>
                  <w:r>
                    <w:t>N/A</w:t>
                  </w:r>
                </w:p>
              </w:tc>
              <w:tc>
                <w:tcPr>
                  <w:tcW w:w="3675" w:type="dxa"/>
                  <w:tcBorders>
                    <w:top w:val="single" w:sz="4" w:space="0" w:color="auto"/>
                    <w:left w:val="single" w:sz="4" w:space="0" w:color="auto"/>
                    <w:bottom w:val="single" w:sz="4" w:space="0" w:color="auto"/>
                    <w:right w:val="single" w:sz="4" w:space="0" w:color="auto"/>
                  </w:tcBorders>
                </w:tcPr>
                <w:p w:rsidR="00AC3498" w:rsidRDefault="00ED0084" w:rsidP="00191EF0">
                  <w:pPr>
                    <w:rPr>
                      <w:rStyle w:val="HeaderChar"/>
                    </w:rPr>
                  </w:pPr>
                  <w:r>
                    <w:rPr>
                      <w:rStyle w:val="HeaderChar"/>
                    </w:rPr>
                    <w:t>O</w:t>
                  </w:r>
                  <w:r w:rsidRPr="00912C6B">
                    <w:rPr>
                      <w:rStyle w:val="HeaderChar"/>
                    </w:rPr>
                    <w:t>verall, the HRA has effective strategic financial management processes in place to ensure it achieves its strategic objectives</w:t>
                  </w:r>
                </w:p>
                <w:p w:rsidR="00ED0084" w:rsidRPr="00BF328D" w:rsidRDefault="00ED0084" w:rsidP="00191EF0"/>
              </w:tc>
            </w:tr>
          </w:tbl>
          <w:p w:rsidR="00AC3498" w:rsidRDefault="00AC3498" w:rsidP="00AC3498">
            <w:pPr>
              <w:rPr>
                <w:i/>
                <w:sz w:val="18"/>
              </w:rPr>
            </w:pPr>
            <w:r>
              <w:rPr>
                <w:i/>
                <w:sz w:val="18"/>
              </w:rPr>
              <w:t>Substantial – the framework of governance, risk management and control is adequate &amp; effective</w:t>
            </w:r>
          </w:p>
          <w:p w:rsidR="00AC3498" w:rsidRDefault="00AC3498" w:rsidP="00AC3498">
            <w:pPr>
              <w:rPr>
                <w:i/>
                <w:sz w:val="18"/>
              </w:rPr>
            </w:pPr>
            <w:r>
              <w:rPr>
                <w:i/>
                <w:sz w:val="18"/>
              </w:rPr>
              <w:t>Moderate - some improvements are required to enhance the adequacy and effectiveness of the framework</w:t>
            </w:r>
          </w:p>
          <w:p w:rsidR="00AC3498" w:rsidRDefault="00AC3498" w:rsidP="00AC3498">
            <w:pPr>
              <w:rPr>
                <w:i/>
                <w:sz w:val="18"/>
              </w:rPr>
            </w:pPr>
            <w:r>
              <w:rPr>
                <w:i/>
                <w:sz w:val="18"/>
              </w:rPr>
              <w:t>Limited - significant weaknesses in the framework - it could be / could become inadequate and ineffective</w:t>
            </w:r>
          </w:p>
          <w:p w:rsidR="00AC3498" w:rsidRDefault="00AC3498" w:rsidP="00AC3498">
            <w:pPr>
              <w:rPr>
                <w:u w:val="single"/>
              </w:rPr>
            </w:pPr>
            <w:r>
              <w:rPr>
                <w:i/>
                <w:sz w:val="18"/>
              </w:rPr>
              <w:t>Unsatisfactory - fundamental weaknesses in the framework - it is inadequate and ineffective or is likely to fail</w:t>
            </w:r>
          </w:p>
          <w:p w:rsidR="00AC3498" w:rsidRPr="000F7ECD" w:rsidRDefault="00AC3498" w:rsidP="00ED0084">
            <w:pPr>
              <w:rPr>
                <w:u w:val="single"/>
              </w:rPr>
            </w:pPr>
          </w:p>
        </w:tc>
      </w:tr>
      <w:tr w:rsidR="00ED0084" w:rsidTr="000E2CD1">
        <w:tc>
          <w:tcPr>
            <w:tcW w:w="1589" w:type="dxa"/>
            <w:vMerge/>
            <w:shd w:val="clear" w:color="auto" w:fill="FBD4B4" w:themeFill="accent6" w:themeFillTint="66"/>
          </w:tcPr>
          <w:p w:rsidR="00ED0084" w:rsidRDefault="00ED0084" w:rsidP="00AC3498">
            <w:pPr>
              <w:ind w:right="-46"/>
              <w:rPr>
                <w:rFonts w:cs="Arial"/>
                <w:szCs w:val="28"/>
              </w:rPr>
            </w:pPr>
          </w:p>
        </w:tc>
        <w:tc>
          <w:tcPr>
            <w:tcW w:w="8335" w:type="dxa"/>
          </w:tcPr>
          <w:p w:rsidR="00ED0084" w:rsidRDefault="00ED0084" w:rsidP="00ED0084">
            <w:pPr>
              <w:shd w:val="clear" w:color="auto" w:fill="FBD4B4" w:themeFill="accent6" w:themeFillTint="66"/>
              <w:rPr>
                <w:b/>
              </w:rPr>
            </w:pPr>
            <w:r>
              <w:rPr>
                <w:rFonts w:cs="Arial"/>
                <w:b/>
              </w:rPr>
              <w:t>HRA HGIAS Audit Plan 2019/20</w:t>
            </w:r>
          </w:p>
          <w:p w:rsidR="00ED0084" w:rsidRDefault="00ED0084" w:rsidP="00ED0084">
            <w:pPr>
              <w:shd w:val="clear" w:color="auto" w:fill="FFFFFF" w:themeFill="background1"/>
              <w:rPr>
                <w:b/>
              </w:rPr>
            </w:pPr>
          </w:p>
          <w:p w:rsidR="00ED0084" w:rsidRDefault="00ED0084" w:rsidP="00ED0084">
            <w:r w:rsidRPr="00997614">
              <w:t xml:space="preserve">The Committee </w:t>
            </w:r>
            <w:r>
              <w:t>reviewed and approved the draft audit plan for 2019/20.</w:t>
            </w:r>
            <w:r w:rsidRPr="00997614">
              <w:t xml:space="preserve"> </w:t>
            </w:r>
          </w:p>
          <w:p w:rsidR="00ED0084" w:rsidRPr="00ED0084" w:rsidRDefault="00ED0084" w:rsidP="00ED0084"/>
        </w:tc>
      </w:tr>
      <w:tr w:rsidR="00AC3498" w:rsidTr="000E2CD1">
        <w:tc>
          <w:tcPr>
            <w:tcW w:w="1589" w:type="dxa"/>
            <w:vMerge/>
            <w:shd w:val="clear" w:color="auto" w:fill="FBD4B4" w:themeFill="accent6" w:themeFillTint="66"/>
          </w:tcPr>
          <w:p w:rsidR="00AC3498" w:rsidRDefault="00AC3498" w:rsidP="00AC3498">
            <w:pPr>
              <w:ind w:right="-46"/>
              <w:rPr>
                <w:rFonts w:cs="Arial"/>
                <w:szCs w:val="28"/>
              </w:rPr>
            </w:pPr>
          </w:p>
        </w:tc>
        <w:tc>
          <w:tcPr>
            <w:tcW w:w="8335" w:type="dxa"/>
          </w:tcPr>
          <w:p w:rsidR="00AC3498" w:rsidRDefault="00AC3498" w:rsidP="00AC3498">
            <w:pPr>
              <w:shd w:val="clear" w:color="auto" w:fill="FBD4B4" w:themeFill="accent6" w:themeFillTint="66"/>
              <w:rPr>
                <w:rFonts w:cs="Arial"/>
                <w:b/>
              </w:rPr>
            </w:pPr>
            <w:r>
              <w:rPr>
                <w:rFonts w:cs="Arial"/>
                <w:b/>
              </w:rPr>
              <w:t>HRA Assurance Mapping update</w:t>
            </w:r>
          </w:p>
          <w:p w:rsidR="00AC3498" w:rsidRDefault="00AC3498" w:rsidP="00AC3498">
            <w:pPr>
              <w:shd w:val="clear" w:color="auto" w:fill="FFFFFF" w:themeFill="background1"/>
              <w:rPr>
                <w:rFonts w:cs="Arial"/>
                <w:b/>
              </w:rPr>
            </w:pPr>
          </w:p>
          <w:p w:rsidR="00AC3498" w:rsidRDefault="001934AF" w:rsidP="00AC3498">
            <w:pPr>
              <w:shd w:val="clear" w:color="auto" w:fill="FFFFFF" w:themeFill="background1"/>
            </w:pPr>
            <w:r>
              <w:t xml:space="preserve">The Committee noted </w:t>
            </w:r>
            <w:r w:rsidR="00F9580E">
              <w:t xml:space="preserve">the </w:t>
            </w:r>
            <w:r w:rsidR="00F9580E">
              <w:t>recent assurance mapping work conducted, largely within the HRA Approvals Directorate</w:t>
            </w:r>
            <w:r w:rsidR="00F9580E">
              <w:t xml:space="preserve">, with </w:t>
            </w:r>
            <w:r w:rsidR="00F9580E">
              <w:t>the self-assessment checklist tested as part of the application validation under consideration process</w:t>
            </w:r>
            <w:r w:rsidR="00F9580E">
              <w:t xml:space="preserve">. The Committee noted the </w:t>
            </w:r>
            <w:r>
              <w:t>future assurance mapping worked planned for the remainder of 2019; Research Ethics Committee (REC) member categorisation, amendments, Confidentiality Advisory Group (CAG) processes, document control and records management.</w:t>
            </w:r>
          </w:p>
          <w:p w:rsidR="00F9580E" w:rsidRDefault="00F9580E" w:rsidP="00AC3498">
            <w:pPr>
              <w:shd w:val="clear" w:color="auto" w:fill="FFFFFF" w:themeFill="background1"/>
            </w:pPr>
          </w:p>
          <w:p w:rsidR="00F9580E" w:rsidRDefault="00F9580E" w:rsidP="00F9580E">
            <w:r>
              <w:t xml:space="preserve">The Committee agreed it would be useful to understand some of the work conducted in more detail in the future and a deep dive type presentation to highlight the value added by the assurance work on a </w:t>
            </w:r>
            <w:proofErr w:type="gramStart"/>
            <w:r>
              <w:t>particular area</w:t>
            </w:r>
            <w:proofErr w:type="gramEnd"/>
            <w:r>
              <w:t xml:space="preserve"> would be appropriate.</w:t>
            </w:r>
          </w:p>
          <w:p w:rsidR="00ED0084" w:rsidRDefault="00ED0084" w:rsidP="00AC3498">
            <w:pPr>
              <w:shd w:val="clear" w:color="auto" w:fill="FFFFFF" w:themeFill="background1"/>
              <w:rPr>
                <w:rFonts w:cs="Arial"/>
                <w:b/>
              </w:rPr>
            </w:pPr>
          </w:p>
        </w:tc>
      </w:tr>
      <w:tr w:rsidR="00AC3498" w:rsidTr="000E2CD1">
        <w:tc>
          <w:tcPr>
            <w:tcW w:w="1589" w:type="dxa"/>
            <w:vMerge/>
            <w:shd w:val="clear" w:color="auto" w:fill="FBD4B4" w:themeFill="accent6" w:themeFillTint="66"/>
          </w:tcPr>
          <w:p w:rsidR="00AC3498" w:rsidRDefault="00AC3498" w:rsidP="00AC3498">
            <w:pPr>
              <w:ind w:right="-46"/>
              <w:rPr>
                <w:rFonts w:cs="Arial"/>
                <w:szCs w:val="28"/>
              </w:rPr>
            </w:pPr>
          </w:p>
        </w:tc>
        <w:tc>
          <w:tcPr>
            <w:tcW w:w="8335" w:type="dxa"/>
          </w:tcPr>
          <w:p w:rsidR="00AC3498" w:rsidRDefault="00F9580E" w:rsidP="00AC3498">
            <w:pPr>
              <w:shd w:val="clear" w:color="auto" w:fill="FBD4B4" w:themeFill="accent6" w:themeFillTint="66"/>
              <w:rPr>
                <w:b/>
              </w:rPr>
            </w:pPr>
            <w:r>
              <w:rPr>
                <w:b/>
              </w:rPr>
              <w:t>Update on Brexit</w:t>
            </w:r>
          </w:p>
          <w:p w:rsidR="00AC3498" w:rsidRDefault="00AC3498" w:rsidP="00AC3498">
            <w:pPr>
              <w:rPr>
                <w:b/>
              </w:rPr>
            </w:pPr>
          </w:p>
          <w:p w:rsidR="00F9580E" w:rsidRPr="00F9580E" w:rsidRDefault="00F9580E" w:rsidP="00AC3498">
            <w:pPr>
              <w:pStyle w:val="Default"/>
              <w:rPr>
                <w:rFonts w:asciiTheme="minorHAnsi" w:hAnsiTheme="minorHAnsi" w:cstheme="minorHAnsi"/>
                <w:sz w:val="22"/>
                <w:szCs w:val="22"/>
              </w:rPr>
            </w:pPr>
            <w:r w:rsidRPr="00F9580E">
              <w:rPr>
                <w:rFonts w:asciiTheme="minorHAnsi" w:hAnsiTheme="minorHAnsi" w:cstheme="minorHAnsi"/>
                <w:sz w:val="22"/>
                <w:szCs w:val="22"/>
              </w:rPr>
              <w:t>The Committee noted the</w:t>
            </w:r>
            <w:r w:rsidRPr="00F9580E">
              <w:rPr>
                <w:rFonts w:asciiTheme="minorHAnsi" w:hAnsiTheme="minorHAnsi" w:cstheme="minorHAnsi"/>
                <w:sz w:val="22"/>
                <w:szCs w:val="22"/>
              </w:rPr>
              <w:t xml:space="preserve"> activity relating to Brexit was increasing with the HRA required to respond to an increasing number of requests from Government, largely in relation to scenario planning. </w:t>
            </w:r>
            <w:r w:rsidRPr="00F9580E">
              <w:rPr>
                <w:rFonts w:asciiTheme="minorHAnsi" w:hAnsiTheme="minorHAnsi" w:cstheme="minorHAnsi"/>
                <w:sz w:val="22"/>
                <w:szCs w:val="22"/>
              </w:rPr>
              <w:t>The Committee noted, to</w:t>
            </w:r>
            <w:r w:rsidRPr="00F9580E">
              <w:rPr>
                <w:rFonts w:asciiTheme="minorHAnsi" w:hAnsiTheme="minorHAnsi" w:cstheme="minorHAnsi"/>
                <w:sz w:val="22"/>
                <w:szCs w:val="22"/>
              </w:rPr>
              <w:t xml:space="preserve"> monitor the HRA’s Brexit readiness, weekly internal meetings of senior managers </w:t>
            </w:r>
            <w:r w:rsidRPr="00F9580E">
              <w:rPr>
                <w:rFonts w:asciiTheme="minorHAnsi" w:hAnsiTheme="minorHAnsi" w:cstheme="minorHAnsi"/>
                <w:sz w:val="22"/>
                <w:szCs w:val="22"/>
              </w:rPr>
              <w:t>were</w:t>
            </w:r>
            <w:r w:rsidRPr="00F9580E">
              <w:rPr>
                <w:rFonts w:asciiTheme="minorHAnsi" w:hAnsiTheme="minorHAnsi" w:cstheme="minorHAnsi"/>
                <w:sz w:val="22"/>
                <w:szCs w:val="22"/>
              </w:rPr>
              <w:t xml:space="preserve"> being held. </w:t>
            </w:r>
          </w:p>
          <w:p w:rsidR="00F9580E" w:rsidRDefault="00F9580E" w:rsidP="00AC3498">
            <w:pPr>
              <w:pStyle w:val="Default"/>
            </w:pPr>
          </w:p>
          <w:p w:rsidR="00F9580E" w:rsidRDefault="00F9580E" w:rsidP="00F9580E">
            <w:pPr>
              <w:rPr>
                <w:bCs/>
              </w:rPr>
            </w:pPr>
            <w:proofErr w:type="gramStart"/>
            <w:r>
              <w:t>In particular, the</w:t>
            </w:r>
            <w:proofErr w:type="gramEnd"/>
            <w:r>
              <w:t xml:space="preserve"> Committee discussed the implications of Brexit on the</w:t>
            </w:r>
            <w:r w:rsidRPr="00F9580E">
              <w:t xml:space="preserve"> </w:t>
            </w:r>
            <w:r w:rsidRPr="00F9580E">
              <w:rPr>
                <w:rFonts w:eastAsia="Times New Roman" w:cstheme="minorHAnsi"/>
                <w:bCs/>
                <w:lang w:eastAsia="en-GB"/>
              </w:rPr>
              <w:t>International Conference on Harmonisation Good Clinical Practice (ICH GCP)</w:t>
            </w:r>
            <w:r>
              <w:rPr>
                <w:rFonts w:eastAsia="Times New Roman" w:cstheme="minorHAnsi"/>
                <w:bCs/>
                <w:lang w:eastAsia="en-GB"/>
              </w:rPr>
              <w:t xml:space="preserve"> and data flows.</w:t>
            </w:r>
          </w:p>
          <w:p w:rsidR="00AC3498" w:rsidRPr="00520A87" w:rsidRDefault="00AC3498" w:rsidP="00AC3498">
            <w:pPr>
              <w:pStyle w:val="Default"/>
            </w:pPr>
          </w:p>
        </w:tc>
      </w:tr>
      <w:tr w:rsidR="00AC3498" w:rsidTr="00096C62">
        <w:tc>
          <w:tcPr>
            <w:tcW w:w="1589" w:type="dxa"/>
            <w:shd w:val="clear" w:color="auto" w:fill="FBD4B4" w:themeFill="accent6" w:themeFillTint="66"/>
          </w:tcPr>
          <w:p w:rsidR="00AC3498" w:rsidRPr="00A36BD7" w:rsidRDefault="00AC3498" w:rsidP="00AC3498">
            <w:pPr>
              <w:ind w:right="-46"/>
              <w:rPr>
                <w:rFonts w:cs="Arial"/>
                <w:b/>
                <w:szCs w:val="28"/>
              </w:rPr>
            </w:pPr>
            <w:r>
              <w:rPr>
                <w:rFonts w:cs="Arial"/>
                <w:b/>
                <w:szCs w:val="28"/>
              </w:rPr>
              <w:t>UPCOMING MEETING TOPICS</w:t>
            </w:r>
          </w:p>
          <w:p w:rsidR="00AC3498" w:rsidRDefault="00AC3498" w:rsidP="00AC3498">
            <w:pPr>
              <w:ind w:right="-46"/>
              <w:rPr>
                <w:rFonts w:cs="Arial"/>
                <w:szCs w:val="28"/>
              </w:rPr>
            </w:pPr>
          </w:p>
        </w:tc>
        <w:tc>
          <w:tcPr>
            <w:tcW w:w="8335" w:type="dxa"/>
          </w:tcPr>
          <w:p w:rsidR="00AC3498" w:rsidRDefault="00F9580E" w:rsidP="00AC3498">
            <w:pPr>
              <w:pStyle w:val="ListParagraph"/>
              <w:numPr>
                <w:ilvl w:val="0"/>
                <w:numId w:val="3"/>
              </w:numPr>
            </w:pPr>
            <w:r>
              <w:t xml:space="preserve">Approve final </w:t>
            </w:r>
            <w:r w:rsidR="00AC3498">
              <w:t>HRA Annual Assurance Plan</w:t>
            </w:r>
            <w:r>
              <w:t xml:space="preserve"> 2019-20</w:t>
            </w:r>
          </w:p>
          <w:p w:rsidR="00AC3498" w:rsidRDefault="00AC3498" w:rsidP="00AC3498">
            <w:pPr>
              <w:pStyle w:val="ListParagraph"/>
              <w:numPr>
                <w:ilvl w:val="0"/>
                <w:numId w:val="3"/>
              </w:numPr>
            </w:pPr>
            <w:r>
              <w:t>Review scheme of delegation</w:t>
            </w:r>
          </w:p>
          <w:p w:rsidR="00AC3498" w:rsidRPr="000648A8" w:rsidRDefault="00F9580E" w:rsidP="00AC3498">
            <w:pPr>
              <w:pStyle w:val="ListParagraph"/>
              <w:numPr>
                <w:ilvl w:val="0"/>
                <w:numId w:val="3"/>
              </w:numPr>
            </w:pPr>
            <w:r>
              <w:t>Review Quarter 4</w:t>
            </w:r>
            <w:r w:rsidR="00AC3498">
              <w:t xml:space="preserve"> </w:t>
            </w:r>
            <w:r w:rsidR="00AC3498" w:rsidRPr="000648A8">
              <w:t>Risk Register</w:t>
            </w:r>
          </w:p>
          <w:p w:rsidR="00AC3498" w:rsidRDefault="00AC3498" w:rsidP="00AC3498">
            <w:pPr>
              <w:pStyle w:val="ListParagraph"/>
              <w:numPr>
                <w:ilvl w:val="0"/>
                <w:numId w:val="3"/>
              </w:numPr>
            </w:pPr>
            <w:r w:rsidRPr="000648A8">
              <w:t>Review Assurance Mapping Framework</w:t>
            </w:r>
          </w:p>
          <w:p w:rsidR="00F9580E" w:rsidRPr="000648A8" w:rsidRDefault="00F9580E" w:rsidP="00AC3498">
            <w:pPr>
              <w:pStyle w:val="ListParagraph"/>
              <w:numPr>
                <w:ilvl w:val="0"/>
                <w:numId w:val="3"/>
              </w:numPr>
            </w:pPr>
            <w:r>
              <w:t>Deep dive topic – Transparency (to be confirmed)</w:t>
            </w:r>
          </w:p>
          <w:p w:rsidR="00AC3498" w:rsidRPr="00FB4A6E" w:rsidRDefault="00AC3498" w:rsidP="00AC3498">
            <w:pPr>
              <w:pStyle w:val="ListParagraph"/>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bookmarkStart w:id="0" w:name="_GoBack"/>
      <w:bookmarkEnd w:id="0"/>
    </w:p>
    <w:sectPr w:rsidR="00917849" w:rsidSect="000E22AB">
      <w:footerReference w:type="default" r:id="rId7"/>
      <w:headerReference w:type="first" r:id="rId8"/>
      <w:foot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9B" w:rsidRPr="00382649" w:rsidRDefault="006D5E36" w:rsidP="00374B9B">
    <w:pPr>
      <w:pStyle w:val="Footer"/>
      <w:rPr>
        <w:sz w:val="18"/>
      </w:rPr>
    </w:pPr>
    <w:r>
      <w:rPr>
        <w:sz w:val="18"/>
      </w:rPr>
      <w:t>2018</w:t>
    </w:r>
    <w:r w:rsidR="00F9580E">
      <w:rPr>
        <w:sz w:val="18"/>
      </w:rPr>
      <w:t>.02</w:t>
    </w:r>
    <w:r w:rsidR="00D06C3E">
      <w:rPr>
        <w:sz w:val="18"/>
      </w:rPr>
      <w:t>.0</w:t>
    </w:r>
    <w:r w:rsidR="00F9580E">
      <w:rPr>
        <w:sz w:val="18"/>
      </w:rPr>
      <w:t>5</w:t>
    </w:r>
    <w:r w:rsidR="00374B9B">
      <w:rPr>
        <w:sz w:val="18"/>
      </w:rPr>
      <w:t xml:space="preserve"> Audit and Risk Committee meeting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49" w:rsidRPr="00382649" w:rsidRDefault="00997614" w:rsidP="00382649">
    <w:pPr>
      <w:pStyle w:val="Footer"/>
      <w:rPr>
        <w:sz w:val="18"/>
      </w:rPr>
    </w:pPr>
    <w:r>
      <w:rPr>
        <w:sz w:val="18"/>
      </w:rPr>
      <w:t>201</w:t>
    </w:r>
    <w:r w:rsidR="00F9580E">
      <w:rPr>
        <w:sz w:val="18"/>
      </w:rPr>
      <w:t>9.02</w:t>
    </w:r>
    <w:r>
      <w:rPr>
        <w:sz w:val="18"/>
      </w:rPr>
      <w:t>.0</w:t>
    </w:r>
    <w:r w:rsidR="00F9580E">
      <w:rPr>
        <w:sz w:val="18"/>
      </w:rPr>
      <w:t>5</w:t>
    </w:r>
    <w:r w:rsidR="00382649">
      <w:rPr>
        <w:sz w:val="18"/>
      </w:rPr>
      <w:t xml:space="preserve"> Audit and Risk Committee meeting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1360C"/>
    <w:rsid w:val="00071D85"/>
    <w:rsid w:val="00096C62"/>
    <w:rsid w:val="000B5773"/>
    <w:rsid w:val="000E22AB"/>
    <w:rsid w:val="000E2CD1"/>
    <w:rsid w:val="000E5951"/>
    <w:rsid w:val="000F7ECD"/>
    <w:rsid w:val="00120731"/>
    <w:rsid w:val="001228DF"/>
    <w:rsid w:val="001334A0"/>
    <w:rsid w:val="00191EF0"/>
    <w:rsid w:val="001934AF"/>
    <w:rsid w:val="00215CFE"/>
    <w:rsid w:val="00245072"/>
    <w:rsid w:val="00252481"/>
    <w:rsid w:val="002A59FC"/>
    <w:rsid w:val="0032419A"/>
    <w:rsid w:val="00352AE4"/>
    <w:rsid w:val="00367375"/>
    <w:rsid w:val="00374B9B"/>
    <w:rsid w:val="00382649"/>
    <w:rsid w:val="003864F6"/>
    <w:rsid w:val="00416A35"/>
    <w:rsid w:val="00442B16"/>
    <w:rsid w:val="004D6DC9"/>
    <w:rsid w:val="00520A87"/>
    <w:rsid w:val="00524AC0"/>
    <w:rsid w:val="006B5B32"/>
    <w:rsid w:val="006D5E36"/>
    <w:rsid w:val="006E043F"/>
    <w:rsid w:val="0075434C"/>
    <w:rsid w:val="00851C09"/>
    <w:rsid w:val="00917849"/>
    <w:rsid w:val="0097136F"/>
    <w:rsid w:val="00997614"/>
    <w:rsid w:val="009C098E"/>
    <w:rsid w:val="009C0D4B"/>
    <w:rsid w:val="009C21A4"/>
    <w:rsid w:val="00A05A3D"/>
    <w:rsid w:val="00A36BD7"/>
    <w:rsid w:val="00A87B82"/>
    <w:rsid w:val="00AB4AAE"/>
    <w:rsid w:val="00AC3498"/>
    <w:rsid w:val="00B22404"/>
    <w:rsid w:val="00BF2A11"/>
    <w:rsid w:val="00BF328D"/>
    <w:rsid w:val="00C05EAF"/>
    <w:rsid w:val="00D06C3E"/>
    <w:rsid w:val="00D07DBF"/>
    <w:rsid w:val="00D3109F"/>
    <w:rsid w:val="00D64DDA"/>
    <w:rsid w:val="00D66EBF"/>
    <w:rsid w:val="00DA67AA"/>
    <w:rsid w:val="00E20B18"/>
    <w:rsid w:val="00E621F0"/>
    <w:rsid w:val="00EB35E3"/>
    <w:rsid w:val="00ED0084"/>
    <w:rsid w:val="00F11009"/>
    <w:rsid w:val="00F14976"/>
    <w:rsid w:val="00F56939"/>
    <w:rsid w:val="00F9580E"/>
    <w:rsid w:val="00F96497"/>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F80F"/>
  <w15:docId w15:val="{06C129BD-4752-4C58-9E7F-A878E90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qFormat/>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7447">
      <w:bodyDiv w:val="1"/>
      <w:marLeft w:val="0"/>
      <w:marRight w:val="0"/>
      <w:marTop w:val="0"/>
      <w:marBottom w:val="0"/>
      <w:divBdr>
        <w:top w:val="none" w:sz="0" w:space="0" w:color="auto"/>
        <w:left w:val="none" w:sz="0" w:space="0" w:color="auto"/>
        <w:bottom w:val="none" w:sz="0" w:space="0" w:color="auto"/>
        <w:right w:val="none" w:sz="0" w:space="0" w:color="auto"/>
      </w:divBdr>
    </w:div>
    <w:div w:id="855197853">
      <w:bodyDiv w:val="1"/>
      <w:marLeft w:val="0"/>
      <w:marRight w:val="0"/>
      <w:marTop w:val="0"/>
      <w:marBottom w:val="0"/>
      <w:divBdr>
        <w:top w:val="none" w:sz="0" w:space="0" w:color="auto"/>
        <w:left w:val="none" w:sz="0" w:space="0" w:color="auto"/>
        <w:bottom w:val="none" w:sz="0" w:space="0" w:color="auto"/>
        <w:right w:val="none" w:sz="0" w:space="0" w:color="auto"/>
      </w:divBdr>
    </w:div>
    <w:div w:id="1163738750">
      <w:bodyDiv w:val="1"/>
      <w:marLeft w:val="0"/>
      <w:marRight w:val="0"/>
      <w:marTop w:val="0"/>
      <w:marBottom w:val="0"/>
      <w:divBdr>
        <w:top w:val="none" w:sz="0" w:space="0" w:color="auto"/>
        <w:left w:val="none" w:sz="0" w:space="0" w:color="auto"/>
        <w:bottom w:val="none" w:sz="0" w:space="0" w:color="auto"/>
        <w:right w:val="none" w:sz="0" w:space="0" w:color="auto"/>
      </w:divBdr>
    </w:div>
    <w:div w:id="1243952572">
      <w:bodyDiv w:val="1"/>
      <w:marLeft w:val="0"/>
      <w:marRight w:val="0"/>
      <w:marTop w:val="0"/>
      <w:marBottom w:val="0"/>
      <w:divBdr>
        <w:top w:val="none" w:sz="0" w:space="0" w:color="auto"/>
        <w:left w:val="none" w:sz="0" w:space="0" w:color="auto"/>
        <w:bottom w:val="none" w:sz="0" w:space="0" w:color="auto"/>
        <w:right w:val="none" w:sz="0" w:space="0" w:color="auto"/>
      </w:divBdr>
    </w:div>
    <w:div w:id="1629777757">
      <w:bodyDiv w:val="1"/>
      <w:marLeft w:val="0"/>
      <w:marRight w:val="0"/>
      <w:marTop w:val="0"/>
      <w:marBottom w:val="0"/>
      <w:divBdr>
        <w:top w:val="none" w:sz="0" w:space="0" w:color="auto"/>
        <w:left w:val="none" w:sz="0" w:space="0" w:color="auto"/>
        <w:bottom w:val="none" w:sz="0" w:space="0" w:color="auto"/>
        <w:right w:val="none" w:sz="0" w:space="0" w:color="auto"/>
      </w:divBdr>
    </w:div>
    <w:div w:id="1845506632">
      <w:bodyDiv w:val="1"/>
      <w:marLeft w:val="0"/>
      <w:marRight w:val="0"/>
      <w:marTop w:val="0"/>
      <w:marBottom w:val="0"/>
      <w:divBdr>
        <w:top w:val="none" w:sz="0" w:space="0" w:color="auto"/>
        <w:left w:val="none" w:sz="0" w:space="0" w:color="auto"/>
        <w:bottom w:val="none" w:sz="0" w:space="0" w:color="auto"/>
        <w:right w:val="none" w:sz="0" w:space="0" w:color="auto"/>
      </w:divBdr>
    </w:div>
    <w:div w:id="21125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Stephen Tebbutt</cp:lastModifiedBy>
  <cp:revision>30</cp:revision>
  <dcterms:created xsi:type="dcterms:W3CDTF">2017-07-11T12:26:00Z</dcterms:created>
  <dcterms:modified xsi:type="dcterms:W3CDTF">2019-02-19T16:21:00Z</dcterms:modified>
</cp:coreProperties>
</file>