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184D" w14:textId="77777777" w:rsidR="00E34821" w:rsidRPr="00FF7CBA" w:rsidRDefault="00745FAD" w:rsidP="00E34821">
      <w:pPr>
        <w:pStyle w:val="NoSpacing"/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="00E34821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18542395" wp14:editId="6EE5BC34">
            <wp:extent cx="2447925" cy="479826"/>
            <wp:effectExtent l="19050" t="0" r="9525" b="0"/>
            <wp:docPr id="1" name="Picture 1" descr="Health Research Authority Nat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Research Authority Nat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7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B27A6" w14:textId="77777777" w:rsidR="00DF3EE3" w:rsidRDefault="00DF3EE3" w:rsidP="00DF3EE3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7BCF7CD" w14:textId="77777777" w:rsidR="00613941" w:rsidRPr="00DF3EE3" w:rsidRDefault="00613941" w:rsidP="00DF3EE3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Style w:val="TableGrid1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DF3EE3" w:rsidRPr="00DF3EE3" w14:paraId="6E9B9FCF" w14:textId="77777777" w:rsidTr="00AD76CF">
        <w:trPr>
          <w:trHeight w:val="386"/>
        </w:trPr>
        <w:tc>
          <w:tcPr>
            <w:tcW w:w="3420" w:type="dxa"/>
          </w:tcPr>
          <w:p w14:paraId="077B4DEA" w14:textId="77777777" w:rsidR="00DF3EE3" w:rsidRPr="00DF3EE3" w:rsidRDefault="00DF3EE3" w:rsidP="00DF3EE3">
            <w:pPr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DF3EE3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Agenda item:</w:t>
            </w:r>
          </w:p>
        </w:tc>
        <w:tc>
          <w:tcPr>
            <w:tcW w:w="1260" w:type="dxa"/>
          </w:tcPr>
          <w:p w14:paraId="2068C6B4" w14:textId="6056E06E" w:rsidR="00DF3EE3" w:rsidRPr="00DF3EE3" w:rsidRDefault="00492E23" w:rsidP="00DF3EE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10</w:t>
            </w:r>
          </w:p>
        </w:tc>
      </w:tr>
      <w:tr w:rsidR="00DF3EE3" w:rsidRPr="00DF3EE3" w14:paraId="76DB5F51" w14:textId="77777777" w:rsidTr="00DF3EE3">
        <w:tc>
          <w:tcPr>
            <w:tcW w:w="3420" w:type="dxa"/>
          </w:tcPr>
          <w:p w14:paraId="634EBFC8" w14:textId="77777777" w:rsidR="00DF3EE3" w:rsidRPr="00DF3EE3" w:rsidRDefault="00DF3EE3" w:rsidP="00DF3EE3">
            <w:pPr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DF3EE3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Attachment:</w:t>
            </w:r>
          </w:p>
        </w:tc>
        <w:tc>
          <w:tcPr>
            <w:tcW w:w="1260" w:type="dxa"/>
          </w:tcPr>
          <w:p w14:paraId="5F2057F6" w14:textId="41DF0F02" w:rsidR="00DF3EE3" w:rsidRPr="005E4465" w:rsidRDefault="00492E23" w:rsidP="00DF3EE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E</w:t>
            </w:r>
          </w:p>
        </w:tc>
      </w:tr>
    </w:tbl>
    <w:p w14:paraId="58E4964B" w14:textId="77777777" w:rsidR="00DF3EE3" w:rsidRPr="00DF3EE3" w:rsidRDefault="00DF3EE3" w:rsidP="00DF3EE3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54669C6D" w14:textId="77777777" w:rsidR="00DF3EE3" w:rsidRPr="00DF3EE3" w:rsidRDefault="00DF3EE3" w:rsidP="00DF3EE3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40"/>
          <w:szCs w:val="40"/>
          <w:lang w:eastAsia="en-US"/>
        </w:rPr>
      </w:pPr>
    </w:p>
    <w:p w14:paraId="7F8BF1FD" w14:textId="77777777" w:rsidR="00DF3EE3" w:rsidRPr="00DF3EE3" w:rsidRDefault="00DF3EE3" w:rsidP="00DF3EE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36CF626F" w14:textId="77777777" w:rsidR="00DF3EE3" w:rsidRPr="00DF3EE3" w:rsidRDefault="00DF3EE3" w:rsidP="00DF3EE3">
      <w:pPr>
        <w:jc w:val="center"/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</w:pPr>
      <w:r w:rsidRPr="00DF3EE3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 xml:space="preserve">HRA </w:t>
      </w:r>
      <w:r w:rsidR="00AD4685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>BOARD</w:t>
      </w:r>
      <w:r w:rsidR="00E93BF0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 xml:space="preserve"> </w:t>
      </w:r>
      <w:r w:rsidRPr="00DF3EE3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>COVER SHEET</w:t>
      </w:r>
    </w:p>
    <w:p w14:paraId="4D0008FA" w14:textId="77777777" w:rsidR="00DF3EE3" w:rsidRPr="00DF3EE3" w:rsidRDefault="00DF3EE3" w:rsidP="00DF3EE3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DF3EE3" w:rsidRPr="00DF3EE3" w14:paraId="60A556BB" w14:textId="77777777" w:rsidTr="00A5757C">
        <w:trPr>
          <w:trHeight w:val="491"/>
        </w:trPr>
        <w:tc>
          <w:tcPr>
            <w:tcW w:w="2628" w:type="dxa"/>
          </w:tcPr>
          <w:p w14:paraId="156531B2" w14:textId="77777777" w:rsidR="00DF3EE3" w:rsidRPr="00DF3EE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F3EE3">
              <w:rPr>
                <w:rFonts w:asciiTheme="minorHAnsi" w:eastAsiaTheme="minorHAnsi" w:hAnsiTheme="minorHAnsi" w:cstheme="minorHAnsi"/>
                <w:b/>
                <w:lang w:eastAsia="en-US"/>
              </w:rPr>
              <w:t>Date of Meeting:</w:t>
            </w:r>
          </w:p>
        </w:tc>
        <w:tc>
          <w:tcPr>
            <w:tcW w:w="6320" w:type="dxa"/>
            <w:shd w:val="clear" w:color="auto" w:fill="auto"/>
          </w:tcPr>
          <w:p w14:paraId="6822F3F8" w14:textId="77777777" w:rsidR="000B3916" w:rsidRDefault="00E41E0E" w:rsidP="00E75CD8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Leadership team</w:t>
            </w:r>
            <w:r w:rsidR="004B325B">
              <w:rPr>
                <w:rFonts w:asciiTheme="minorHAnsi" w:eastAsiaTheme="minorHAnsi" w:hAnsiTheme="minorHAnsi" w:cstheme="minorHAnsi"/>
                <w:lang w:eastAsia="en-US"/>
              </w:rPr>
              <w:t xml:space="preserve">: </w:t>
            </w:r>
            <w:r w:rsidR="00DE18C6">
              <w:rPr>
                <w:rFonts w:asciiTheme="minorHAnsi" w:eastAsiaTheme="minorHAnsi" w:hAnsiTheme="minorHAnsi" w:cstheme="minorHAnsi"/>
                <w:lang w:eastAsia="en-US"/>
              </w:rPr>
              <w:t xml:space="preserve"> 13</w:t>
            </w:r>
            <w:r w:rsidR="00DE18C6" w:rsidRPr="00DE18C6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th</w:t>
            </w:r>
            <w:r w:rsidR="00DE18C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9F1351">
              <w:rPr>
                <w:rFonts w:asciiTheme="minorHAnsi" w:eastAsiaTheme="minorHAnsi" w:hAnsiTheme="minorHAnsi" w:cstheme="minorHAnsi"/>
                <w:lang w:eastAsia="en-US"/>
              </w:rPr>
              <w:t>March</w:t>
            </w:r>
            <w:r w:rsidR="00DE18C6">
              <w:rPr>
                <w:rFonts w:asciiTheme="minorHAnsi" w:eastAsiaTheme="minorHAnsi" w:hAnsiTheme="minorHAnsi" w:cstheme="minorHAnsi"/>
                <w:lang w:eastAsia="en-US"/>
              </w:rPr>
              <w:t xml:space="preserve"> 2019</w:t>
            </w:r>
          </w:p>
          <w:p w14:paraId="66302917" w14:textId="42117313" w:rsidR="00492E23" w:rsidRPr="00A5757C" w:rsidRDefault="00492E23" w:rsidP="00E75CD8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HRA Board: 20</w:t>
            </w:r>
            <w:r w:rsidRPr="00492E23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March 2019</w:t>
            </w:r>
          </w:p>
        </w:tc>
      </w:tr>
    </w:tbl>
    <w:p w14:paraId="41FD3C0B" w14:textId="77777777" w:rsidR="00DF3EE3" w:rsidRPr="00DF3EE3" w:rsidRDefault="00DF3EE3" w:rsidP="00DF3EE3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DF3EE3" w:rsidRPr="00DF3EE3" w14:paraId="66021262" w14:textId="77777777" w:rsidTr="00DF3EE3">
        <w:tc>
          <w:tcPr>
            <w:tcW w:w="2628" w:type="dxa"/>
          </w:tcPr>
          <w:p w14:paraId="2AF5525B" w14:textId="77777777" w:rsidR="00DF3EE3" w:rsidRPr="00DF3EE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F3EE3">
              <w:rPr>
                <w:rFonts w:asciiTheme="minorHAnsi" w:eastAsiaTheme="minorHAnsi" w:hAnsiTheme="minorHAnsi" w:cstheme="minorHAnsi"/>
                <w:b/>
                <w:lang w:eastAsia="en-US"/>
              </w:rPr>
              <w:t>Title of Paper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320" w:type="dxa"/>
          </w:tcPr>
          <w:p w14:paraId="2065372A" w14:textId="4B0CBAAE" w:rsidR="00613941" w:rsidRPr="007B0F30" w:rsidRDefault="00DF3EE3" w:rsidP="003C0061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DF3EE3">
              <w:rPr>
                <w:rFonts w:asciiTheme="minorHAnsi" w:hAnsiTheme="minorHAnsi" w:cstheme="minorHAnsi"/>
              </w:rPr>
              <w:t>Financ</w:t>
            </w:r>
            <w:r w:rsidR="00E93BF0">
              <w:rPr>
                <w:rFonts w:asciiTheme="minorHAnsi" w:hAnsiTheme="minorHAnsi" w:cstheme="minorHAnsi"/>
              </w:rPr>
              <w:t>e</w:t>
            </w:r>
            <w:r w:rsidRPr="00DF3EE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AD76CF">
              <w:rPr>
                <w:rFonts w:asciiTheme="minorHAnsi" w:hAnsiTheme="minorHAnsi" w:cstheme="minorHAnsi"/>
              </w:rPr>
              <w:t xml:space="preserve">report </w:t>
            </w:r>
            <w:r w:rsidR="008D3436">
              <w:rPr>
                <w:rFonts w:asciiTheme="minorHAnsi" w:hAnsiTheme="minorHAnsi" w:cstheme="minorHAnsi"/>
              </w:rPr>
              <w:t xml:space="preserve"> -</w:t>
            </w:r>
            <w:proofErr w:type="gramEnd"/>
            <w:r w:rsidR="008D3436">
              <w:rPr>
                <w:rFonts w:asciiTheme="minorHAnsi" w:hAnsiTheme="minorHAnsi" w:cstheme="minorHAnsi"/>
              </w:rPr>
              <w:t xml:space="preserve"> </w:t>
            </w:r>
            <w:r w:rsidR="00A76C3F">
              <w:rPr>
                <w:rFonts w:asciiTheme="minorHAnsi" w:hAnsiTheme="minorHAnsi" w:cstheme="minorHAnsi"/>
              </w:rPr>
              <w:t xml:space="preserve">for the </w:t>
            </w:r>
            <w:r w:rsidR="009F1351">
              <w:rPr>
                <w:rFonts w:asciiTheme="minorHAnsi" w:hAnsiTheme="minorHAnsi" w:cstheme="minorHAnsi"/>
              </w:rPr>
              <w:t>10</w:t>
            </w:r>
            <w:r w:rsidR="00E93BF0">
              <w:rPr>
                <w:rFonts w:asciiTheme="minorHAnsi" w:hAnsiTheme="minorHAnsi" w:cstheme="minorHAnsi"/>
              </w:rPr>
              <w:t xml:space="preserve"> months </w:t>
            </w:r>
            <w:r w:rsidR="00757721">
              <w:rPr>
                <w:rFonts w:asciiTheme="minorHAnsi" w:hAnsiTheme="minorHAnsi" w:cstheme="minorHAnsi"/>
              </w:rPr>
              <w:t xml:space="preserve">ended </w:t>
            </w:r>
            <w:r w:rsidR="004B325B">
              <w:rPr>
                <w:rFonts w:asciiTheme="minorHAnsi" w:hAnsiTheme="minorHAnsi" w:cstheme="minorHAnsi"/>
              </w:rPr>
              <w:t>3</w:t>
            </w:r>
            <w:r w:rsidR="00CA23D6">
              <w:rPr>
                <w:rFonts w:asciiTheme="minorHAnsi" w:hAnsiTheme="minorHAnsi" w:cstheme="minorHAnsi"/>
              </w:rPr>
              <w:t xml:space="preserve">1 </w:t>
            </w:r>
            <w:r w:rsidR="009F1351">
              <w:rPr>
                <w:rFonts w:asciiTheme="minorHAnsi" w:hAnsiTheme="minorHAnsi" w:cstheme="minorHAnsi"/>
              </w:rPr>
              <w:t>January</w:t>
            </w:r>
            <w:r w:rsidR="00FA0CFC">
              <w:rPr>
                <w:rFonts w:asciiTheme="minorHAnsi" w:hAnsiTheme="minorHAnsi" w:cstheme="minorHAnsi"/>
              </w:rPr>
              <w:t xml:space="preserve"> 201</w:t>
            </w:r>
            <w:r w:rsidR="009F1351">
              <w:rPr>
                <w:rFonts w:asciiTheme="minorHAnsi" w:hAnsiTheme="minorHAnsi" w:cstheme="minorHAnsi"/>
              </w:rPr>
              <w:t>9</w:t>
            </w:r>
          </w:p>
        </w:tc>
      </w:tr>
      <w:tr w:rsidR="00DF3EE3" w:rsidRPr="00DF3EE3" w14:paraId="6DA65D52" w14:textId="77777777" w:rsidTr="00DF3EE3">
        <w:tc>
          <w:tcPr>
            <w:tcW w:w="2628" w:type="dxa"/>
          </w:tcPr>
          <w:p w14:paraId="7888286B" w14:textId="77777777" w:rsidR="00DF3EE3" w:rsidRPr="00DF3EE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F3EE3">
              <w:rPr>
                <w:rFonts w:asciiTheme="minorHAnsi" w:eastAsiaTheme="minorHAnsi" w:hAnsiTheme="minorHAnsi" w:cstheme="minorHAnsi"/>
                <w:b/>
                <w:lang w:eastAsia="en-US"/>
              </w:rPr>
              <w:t>Purpose of Paper:</w:t>
            </w:r>
          </w:p>
        </w:tc>
        <w:tc>
          <w:tcPr>
            <w:tcW w:w="6320" w:type="dxa"/>
          </w:tcPr>
          <w:p w14:paraId="1A838384" w14:textId="288B9E1F" w:rsidR="005F1D45" w:rsidRDefault="009F5C1B" w:rsidP="005F1D45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To </w:t>
            </w:r>
            <w:r w:rsidR="005F1D45">
              <w:rPr>
                <w:rFonts w:asciiTheme="minorHAnsi" w:eastAsiaTheme="minorHAnsi" w:hAnsiTheme="minorHAnsi" w:cstheme="minorHAnsi"/>
                <w:lang w:eastAsia="en-US"/>
              </w:rPr>
              <w:t xml:space="preserve">enable 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 xml:space="preserve">an </w:t>
            </w:r>
            <w:r w:rsidR="005F1D45" w:rsidRPr="005F1D45">
              <w:rPr>
                <w:rFonts w:asciiTheme="minorHAnsi" w:eastAsiaTheme="minorHAnsi" w:hAnsiTheme="minorHAnsi" w:cstheme="minorHAnsi"/>
                <w:lang w:eastAsia="en-US"/>
              </w:rPr>
              <w:t xml:space="preserve">informed understanding of our financial </w:t>
            </w:r>
            <w:r w:rsidR="00B07207" w:rsidRPr="005F1D45">
              <w:rPr>
                <w:rFonts w:asciiTheme="minorHAnsi" w:eastAsiaTheme="minorHAnsi" w:hAnsiTheme="minorHAnsi" w:cstheme="minorHAnsi"/>
                <w:lang w:eastAsia="en-US"/>
              </w:rPr>
              <w:t>performance</w:t>
            </w:r>
            <w:r w:rsidR="00DF3EE3" w:rsidRPr="005F1D4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A76C3F" w:rsidRPr="005F1D45">
              <w:rPr>
                <w:rFonts w:asciiTheme="minorHAnsi" w:eastAsiaTheme="minorHAnsi" w:hAnsiTheme="minorHAnsi" w:cstheme="minorHAnsi"/>
                <w:lang w:eastAsia="en-US"/>
              </w:rPr>
              <w:t xml:space="preserve">for the </w:t>
            </w:r>
            <w:r w:rsidR="00AA74D7">
              <w:rPr>
                <w:rFonts w:asciiTheme="minorHAnsi" w:eastAsiaTheme="minorHAnsi" w:hAnsiTheme="minorHAnsi" w:cstheme="minorHAnsi"/>
                <w:lang w:eastAsia="en-US"/>
              </w:rPr>
              <w:t xml:space="preserve">10 </w:t>
            </w:r>
            <w:r w:rsidR="00E93BF0">
              <w:rPr>
                <w:rFonts w:asciiTheme="minorHAnsi" w:eastAsiaTheme="minorHAnsi" w:hAnsiTheme="minorHAnsi" w:cstheme="minorHAnsi"/>
                <w:lang w:eastAsia="en-US"/>
              </w:rPr>
              <w:t>months</w:t>
            </w:r>
            <w:r w:rsidR="00882077">
              <w:rPr>
                <w:rFonts w:asciiTheme="minorHAnsi" w:eastAsiaTheme="minorHAnsi" w:hAnsiTheme="minorHAnsi" w:cstheme="minorHAnsi"/>
                <w:lang w:eastAsia="en-US"/>
              </w:rPr>
              <w:t xml:space="preserve"> to</w:t>
            </w:r>
            <w:r w:rsidR="00A76C3F" w:rsidRPr="005F1D4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4B325B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="00CA23D6">
              <w:rPr>
                <w:rFonts w:asciiTheme="minorHAnsi" w:eastAsiaTheme="minorHAnsi" w:hAnsiTheme="minorHAnsi" w:cstheme="minorHAnsi"/>
                <w:lang w:eastAsia="en-US"/>
              </w:rPr>
              <w:t xml:space="preserve">1 </w:t>
            </w:r>
            <w:r w:rsidR="00AA74D7">
              <w:rPr>
                <w:rFonts w:asciiTheme="minorHAnsi" w:eastAsiaTheme="minorHAnsi" w:hAnsiTheme="minorHAnsi" w:cstheme="minorHAnsi"/>
                <w:lang w:eastAsia="en-US"/>
              </w:rPr>
              <w:t>January 2019</w:t>
            </w:r>
            <w:r w:rsidR="00E25D78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</w:p>
          <w:p w14:paraId="42590F22" w14:textId="77777777" w:rsidR="00E93BF0" w:rsidRPr="005F1D45" w:rsidRDefault="005F1D45" w:rsidP="003119AE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To improve decision making by increasing financial literacy particularly in relation to </w:t>
            </w:r>
            <w:r w:rsidRPr="005F1D45">
              <w:rPr>
                <w:rFonts w:asciiTheme="minorHAnsi" w:eastAsiaTheme="minorHAnsi" w:hAnsiTheme="minorHAnsi" w:cstheme="minorHAnsi"/>
                <w:lang w:eastAsia="en-US"/>
              </w:rPr>
              <w:t>our 2018</w:t>
            </w:r>
            <w:r w:rsidR="00E25D78">
              <w:rPr>
                <w:rFonts w:asciiTheme="minorHAnsi" w:eastAsiaTheme="minorHAnsi" w:hAnsiTheme="minorHAnsi" w:cstheme="minorHAnsi"/>
                <w:lang w:eastAsia="en-US"/>
              </w:rPr>
              <w:t>/19</w:t>
            </w:r>
            <w:r w:rsidRPr="005F1D45">
              <w:rPr>
                <w:rFonts w:asciiTheme="minorHAnsi" w:eastAsiaTheme="minorHAnsi" w:hAnsiTheme="minorHAnsi" w:cstheme="minorHAnsi"/>
                <w:lang w:eastAsia="en-US"/>
              </w:rPr>
              <w:t xml:space="preserve"> financial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plan </w:t>
            </w:r>
            <w:r w:rsidRPr="005F1D45">
              <w:rPr>
                <w:rFonts w:asciiTheme="minorHAnsi" w:eastAsiaTheme="minorHAnsi" w:hAnsiTheme="minorHAnsi" w:cstheme="minorHAnsi"/>
                <w:lang w:eastAsia="en-US"/>
              </w:rPr>
              <w:t xml:space="preserve">and future financial strategy. </w:t>
            </w:r>
          </w:p>
        </w:tc>
      </w:tr>
      <w:tr w:rsidR="00DF3EE3" w:rsidRPr="00DF3EE3" w14:paraId="24D1B6DA" w14:textId="77777777" w:rsidTr="00EA6CFB">
        <w:trPr>
          <w:trHeight w:val="1660"/>
        </w:trPr>
        <w:tc>
          <w:tcPr>
            <w:tcW w:w="2628" w:type="dxa"/>
          </w:tcPr>
          <w:p w14:paraId="2257080E" w14:textId="77777777" w:rsidR="00DF3EE3" w:rsidRPr="00DF3EE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F3EE3">
              <w:rPr>
                <w:rFonts w:asciiTheme="minorHAnsi" w:eastAsiaTheme="minorHAnsi" w:hAnsiTheme="minorHAnsi" w:cstheme="minorHAnsi"/>
                <w:b/>
                <w:lang w:eastAsia="en-US"/>
              </w:rPr>
              <w:t>Reason for Submission:</w:t>
            </w:r>
          </w:p>
        </w:tc>
        <w:tc>
          <w:tcPr>
            <w:tcW w:w="6320" w:type="dxa"/>
          </w:tcPr>
          <w:p w14:paraId="7FDCBEE6" w14:textId="77777777" w:rsidR="000F7175" w:rsidRDefault="005F1D45" w:rsidP="00861399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The Board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>, Accounting Officer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and </w:t>
            </w:r>
            <w:r w:rsidR="00A76C3F">
              <w:rPr>
                <w:rFonts w:asciiTheme="minorHAnsi" w:eastAsiaTheme="minorHAnsi" w:hAnsiTheme="minorHAnsi" w:cstheme="minorHAnsi"/>
                <w:lang w:eastAsia="en-US"/>
              </w:rPr>
              <w:t xml:space="preserve">Leadership Team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have a key governance role 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r w:rsidR="00A76C3F">
              <w:rPr>
                <w:rFonts w:asciiTheme="minorHAnsi" w:eastAsiaTheme="minorHAnsi" w:hAnsiTheme="minorHAnsi" w:cstheme="minorHAnsi"/>
                <w:lang w:eastAsia="en-US"/>
              </w:rPr>
              <w:t xml:space="preserve"> the</w:t>
            </w:r>
            <w:r w:rsidR="004A176F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financial stewardship of the HRA. </w:t>
            </w:r>
          </w:p>
          <w:p w14:paraId="52947823" w14:textId="77777777" w:rsidR="00FA0CFC" w:rsidRPr="00731002" w:rsidRDefault="005F1D45" w:rsidP="00E93BF0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This report 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>supports this</w:t>
            </w:r>
            <w:r w:rsidR="00731002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E93BF0">
              <w:rPr>
                <w:rFonts w:asciiTheme="minorHAnsi" w:eastAsiaTheme="minorHAnsi" w:hAnsiTheme="minorHAnsi" w:cstheme="minorHAnsi"/>
                <w:lang w:eastAsia="en-US"/>
              </w:rPr>
              <w:t>aspect</w:t>
            </w:r>
            <w:r w:rsidR="00731002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>of the</w:t>
            </w:r>
            <w:r w:rsidR="00731002">
              <w:rPr>
                <w:rFonts w:asciiTheme="minorHAnsi" w:eastAsiaTheme="minorHAnsi" w:hAnsiTheme="minorHAnsi" w:cstheme="minorHAnsi"/>
                <w:lang w:eastAsia="en-US"/>
              </w:rPr>
              <w:t xml:space="preserve"> governance framework, providing the Board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>, Accounting Officer</w:t>
            </w:r>
            <w:r w:rsidR="00731002">
              <w:rPr>
                <w:rFonts w:asciiTheme="minorHAnsi" w:eastAsiaTheme="minorHAnsi" w:hAnsiTheme="minorHAnsi" w:cstheme="minorHAnsi"/>
                <w:lang w:eastAsia="en-US"/>
              </w:rPr>
              <w:t xml:space="preserve"> and senior management with essential financial information to inform strategy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>, inform</w:t>
            </w:r>
            <w:r w:rsidR="00731002">
              <w:rPr>
                <w:rFonts w:asciiTheme="minorHAnsi" w:eastAsiaTheme="minorHAnsi" w:hAnsiTheme="minorHAnsi" w:cstheme="minorHAnsi"/>
                <w:lang w:eastAsia="en-US"/>
              </w:rPr>
              <w:t xml:space="preserve"> decision making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 xml:space="preserve"> and ensure </w:t>
            </w:r>
            <w:r w:rsidR="00D07ECB">
              <w:rPr>
                <w:rFonts w:asciiTheme="minorHAnsi" w:eastAsiaTheme="minorHAnsi" w:hAnsiTheme="minorHAnsi" w:cstheme="minorHAnsi"/>
                <w:lang w:eastAsia="en-US"/>
              </w:rPr>
              <w:t>robust financial management</w:t>
            </w:r>
            <w:r w:rsidR="00731002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</w:p>
        </w:tc>
      </w:tr>
      <w:tr w:rsidR="00EB22E9" w:rsidRPr="00815443" w14:paraId="2248EF68" w14:textId="77777777" w:rsidTr="00DF3EE3">
        <w:tc>
          <w:tcPr>
            <w:tcW w:w="2628" w:type="dxa"/>
          </w:tcPr>
          <w:p w14:paraId="1C607E66" w14:textId="77777777" w:rsidR="00EB22E9" w:rsidRPr="00815443" w:rsidRDefault="00EB22E9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Lead Reviewer:</w:t>
            </w:r>
          </w:p>
        </w:tc>
        <w:tc>
          <w:tcPr>
            <w:tcW w:w="6320" w:type="dxa"/>
          </w:tcPr>
          <w:p w14:paraId="3CDDC12F" w14:textId="5A4F6362" w:rsidR="00EB22E9" w:rsidRPr="00815443" w:rsidRDefault="00EB22E9" w:rsidP="001677C5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F3EE3" w:rsidRPr="00815443" w14:paraId="4A62EA82" w14:textId="77777777" w:rsidTr="00DF3EE3">
        <w:tc>
          <w:tcPr>
            <w:tcW w:w="2628" w:type="dxa"/>
          </w:tcPr>
          <w:p w14:paraId="63153F9F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Details:</w:t>
            </w:r>
          </w:p>
        </w:tc>
        <w:tc>
          <w:tcPr>
            <w:tcW w:w="6320" w:type="dxa"/>
          </w:tcPr>
          <w:p w14:paraId="4136A49B" w14:textId="77777777" w:rsidR="00706F89" w:rsidRPr="00815443" w:rsidRDefault="00706F89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lang w:eastAsia="en-US"/>
              </w:rPr>
              <w:t>Main points to note:</w:t>
            </w:r>
          </w:p>
          <w:p w14:paraId="6855B316" w14:textId="77777777" w:rsidR="00105BD5" w:rsidRPr="00815443" w:rsidRDefault="0059723D" w:rsidP="00826FF2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No significant variances</w:t>
            </w:r>
            <w:r w:rsidRPr="0081544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9F6FA3" w:rsidRPr="00815443">
              <w:rPr>
                <w:rFonts w:asciiTheme="minorHAnsi" w:eastAsiaTheme="minorHAnsi" w:hAnsiTheme="minorHAnsi" w:cstheme="minorHAnsi"/>
                <w:lang w:eastAsia="en-US"/>
              </w:rPr>
              <w:t>on business as usual front line services</w:t>
            </w:r>
            <w:r w:rsidR="00105BD5" w:rsidRPr="00815443">
              <w:rPr>
                <w:rFonts w:asciiTheme="minorHAnsi" w:eastAsiaTheme="minorHAnsi" w:hAnsiTheme="minorHAnsi" w:cstheme="minorHAnsi"/>
                <w:lang w:eastAsia="en-US"/>
              </w:rPr>
              <w:t xml:space="preserve"> and KPIs being met</w:t>
            </w:r>
          </w:p>
          <w:p w14:paraId="3AC43898" w14:textId="38185124" w:rsidR="00105BD5" w:rsidRPr="00212539" w:rsidRDefault="004B325B" w:rsidP="00826FF2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P</w:t>
            </w:r>
            <w:r w:rsidR="00AA74D7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10</w:t>
            </w:r>
            <w:r w:rsidR="003C0061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reforecast</w:t>
            </w:r>
            <w:r w:rsidR="003C0061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predicts a balanced financial position</w:t>
            </w:r>
            <w:r w:rsidR="007C0159" w:rsidRPr="00212539">
              <w:rPr>
                <w:rFonts w:asciiTheme="minorHAnsi" w:eastAsiaTheme="minorHAnsi" w:hAnsiTheme="minorHAnsi" w:cstheme="minorHAnsi"/>
                <w:lang w:eastAsia="en-US"/>
              </w:rPr>
              <w:t>. Underspends on operational activities have been invested in r</w:t>
            </w:r>
            <w:r w:rsidR="00DE18C6" w:rsidRPr="00212539">
              <w:rPr>
                <w:rFonts w:asciiTheme="minorHAnsi" w:eastAsiaTheme="minorHAnsi" w:hAnsiTheme="minorHAnsi" w:cstheme="minorHAnsi"/>
                <w:lang w:eastAsia="en-US"/>
              </w:rPr>
              <w:t>eserves</w:t>
            </w:r>
            <w:r w:rsidR="007C0159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to meet strategic requirements and </w:t>
            </w:r>
            <w:r w:rsidR="00492E23">
              <w:rPr>
                <w:rFonts w:asciiTheme="minorHAnsi" w:eastAsiaTheme="minorHAnsi" w:hAnsiTheme="minorHAnsi" w:cstheme="minorHAnsi"/>
                <w:lang w:eastAsia="en-US"/>
              </w:rPr>
              <w:t xml:space="preserve">will </w:t>
            </w:r>
            <w:r w:rsidR="007C0159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cover </w:t>
            </w:r>
            <w:r w:rsidR="00D17A2A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existing </w:t>
            </w:r>
            <w:r w:rsidR="007C0159" w:rsidRPr="00212539">
              <w:rPr>
                <w:rFonts w:asciiTheme="minorHAnsi" w:eastAsiaTheme="minorHAnsi" w:hAnsiTheme="minorHAnsi" w:cstheme="minorHAnsi"/>
                <w:lang w:eastAsia="en-US"/>
              </w:rPr>
              <w:t>£</w:t>
            </w:r>
            <w:r w:rsidR="008B34FC" w:rsidRPr="00212539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  <w:r w:rsidR="007C0159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k </w:t>
            </w:r>
            <w:r w:rsidR="00042BFF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reserves </w:t>
            </w:r>
            <w:r w:rsidR="007C0159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budget pressure. </w:t>
            </w:r>
            <w:r w:rsidR="00DE18C6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105BD5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  <w:p w14:paraId="14BC04C0" w14:textId="4389E7A9" w:rsidR="004B325B" w:rsidRPr="00212539" w:rsidRDefault="00815443" w:rsidP="00826FF2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£500k 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>transition funding not anticipated to be fully utilized. £2</w:t>
            </w:r>
            <w:r w:rsidR="00D17A2A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5k underspend </w:t>
            </w:r>
            <w:r w:rsidR="00BE6E7E" w:rsidRPr="00212539">
              <w:rPr>
                <w:rFonts w:asciiTheme="minorHAnsi" w:eastAsiaTheme="minorHAnsi" w:hAnsiTheme="minorHAnsi" w:cstheme="minorHAnsi"/>
                <w:lang w:eastAsia="en-US"/>
              </w:rPr>
              <w:t>forecast. T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his will be firmed up once current organizational change process is </w:t>
            </w:r>
            <w:proofErr w:type="spellStart"/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>finalised</w:t>
            </w:r>
            <w:proofErr w:type="spellEnd"/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</w:p>
          <w:p w14:paraId="0C0EF1F3" w14:textId="0E37E977" w:rsidR="00181165" w:rsidRPr="00212539" w:rsidRDefault="00FA0CFC" w:rsidP="00212539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>Year to date</w:t>
            </w:r>
            <w:r w:rsidR="00181165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financial performance</w:t>
            </w:r>
            <w:r w:rsidR="00181165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950174" w:rsidRPr="00212539">
              <w:rPr>
                <w:rFonts w:asciiTheme="minorHAnsi" w:eastAsiaTheme="minorHAnsi" w:hAnsiTheme="minorHAnsi" w:cstheme="minorHAnsi"/>
                <w:lang w:eastAsia="en-US"/>
              </w:rPr>
              <w:t>reports a small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1677C5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under</w:t>
            </w:r>
            <w:r w:rsidR="00181165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spend</w:t>
            </w:r>
            <w:r w:rsidR="00181165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position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of </w:t>
            </w:r>
            <w:r w:rsidR="00DC16AF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£</w:t>
            </w:r>
            <w:r w:rsidR="00CA23D6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3</w:t>
            </w:r>
            <w:r w:rsidR="00AA74D7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8</w:t>
            </w:r>
            <w:r w:rsidR="005C7012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k</w:t>
            </w:r>
            <w:r w:rsidR="00DC16AF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(</w:t>
            </w:r>
            <w:r w:rsidR="00E41E0E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0.</w:t>
            </w:r>
            <w:r w:rsidR="00CA23D6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3</w:t>
            </w:r>
            <w:r w:rsidR="00E25D78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%)</w:t>
            </w:r>
            <w:r w:rsidR="00E25D78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(2017/18: </w:t>
            </w:r>
            <w:r w:rsidR="00181165" w:rsidRPr="00212539">
              <w:rPr>
                <w:rFonts w:asciiTheme="minorHAnsi" w:eastAsiaTheme="minorHAnsi" w:hAnsiTheme="minorHAnsi" w:cstheme="minorHAnsi"/>
                <w:lang w:eastAsia="en-US"/>
              </w:rPr>
              <w:t>£</w:t>
            </w:r>
            <w:r w:rsidR="00AA74D7" w:rsidRPr="00212539">
              <w:rPr>
                <w:rFonts w:asciiTheme="minorHAnsi" w:eastAsiaTheme="minorHAnsi" w:hAnsiTheme="minorHAnsi" w:cstheme="minorHAnsi"/>
                <w:lang w:eastAsia="en-US"/>
              </w:rPr>
              <w:t>61</w:t>
            </w:r>
            <w:r w:rsidR="00181165" w:rsidRPr="00212539">
              <w:rPr>
                <w:rFonts w:asciiTheme="minorHAnsi" w:eastAsiaTheme="minorHAnsi" w:hAnsiTheme="minorHAnsi" w:cstheme="minorHAnsi"/>
                <w:lang w:eastAsia="en-US"/>
              </w:rPr>
              <w:t>k (</w:t>
            </w:r>
            <w:r w:rsidR="001A26D2" w:rsidRPr="00212539">
              <w:rPr>
                <w:rFonts w:asciiTheme="minorHAnsi" w:eastAsiaTheme="minorHAnsi" w:hAnsiTheme="minorHAnsi" w:cstheme="minorHAnsi"/>
                <w:lang w:eastAsia="en-US"/>
              </w:rPr>
              <w:t>0.</w:t>
            </w:r>
            <w:r w:rsidR="00AA74D7" w:rsidRPr="00212539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  <w:r w:rsidR="00181165" w:rsidRPr="00212539">
              <w:rPr>
                <w:rFonts w:asciiTheme="minorHAnsi" w:eastAsiaTheme="minorHAnsi" w:hAnsiTheme="minorHAnsi" w:cstheme="minorHAnsi"/>
                <w:lang w:eastAsia="en-US"/>
              </w:rPr>
              <w:t>%)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on re</w:t>
            </w:r>
            <w:r w:rsidR="00181165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venue expenditure 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>a</w:t>
            </w:r>
            <w:r w:rsidR="00181165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nd </w:t>
            </w:r>
            <w:r w:rsidR="00101141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£</w:t>
            </w:r>
            <w:r w:rsidR="00307528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14</w:t>
            </w:r>
            <w:r w:rsidR="00E25D78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k (</w:t>
            </w:r>
            <w:r w:rsidR="007E0A62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0.8</w:t>
            </w:r>
            <w:r w:rsidR="00E25D78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%) </w:t>
            </w:r>
            <w:r w:rsidR="00E25D78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(2017/18 </w:t>
            </w:r>
            <w:r w:rsidR="00181165" w:rsidRPr="00212539">
              <w:rPr>
                <w:rFonts w:asciiTheme="minorHAnsi" w:eastAsiaTheme="minorHAnsi" w:hAnsiTheme="minorHAnsi" w:cstheme="minorHAnsi"/>
                <w:lang w:eastAsia="en-US"/>
              </w:rPr>
              <w:t>£</w:t>
            </w:r>
            <w:r w:rsidR="00307528" w:rsidRPr="00212539">
              <w:rPr>
                <w:rFonts w:asciiTheme="minorHAnsi" w:eastAsiaTheme="minorHAnsi" w:hAnsiTheme="minorHAnsi" w:cstheme="minorHAnsi"/>
                <w:lang w:eastAsia="en-US"/>
              </w:rPr>
              <w:t>110</w:t>
            </w:r>
            <w:r w:rsidR="00181165" w:rsidRPr="00212539">
              <w:rPr>
                <w:rFonts w:asciiTheme="minorHAnsi" w:eastAsiaTheme="minorHAnsi" w:hAnsiTheme="minorHAnsi" w:cstheme="minorHAnsi"/>
                <w:lang w:eastAsia="en-US"/>
              </w:rPr>
              <w:t>k (</w:t>
            </w:r>
            <w:r w:rsidR="00307528" w:rsidRPr="00212539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  <w:r w:rsidR="00BD7640" w:rsidRPr="00212539">
              <w:rPr>
                <w:rFonts w:asciiTheme="minorHAnsi" w:eastAsiaTheme="minorHAnsi" w:hAnsiTheme="minorHAnsi" w:cstheme="minorHAnsi"/>
                <w:lang w:eastAsia="en-US"/>
              </w:rPr>
              <w:t>%</w:t>
            </w:r>
            <w:r w:rsidR="00181165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) </w:t>
            </w:r>
            <w:r w:rsidR="00950174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underspend 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>o</w:t>
            </w:r>
            <w:r w:rsidR="00181165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n capital expenditure </w:t>
            </w:r>
          </w:p>
          <w:p w14:paraId="3464B398" w14:textId="7679D266" w:rsidR="00BE6E7E" w:rsidRDefault="00BE6E7E" w:rsidP="00BE6E7E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>High level financial</w:t>
            </w:r>
            <w:r w:rsidR="008654B1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p</w:t>
            </w:r>
            <w:r w:rsidR="003C0061" w:rsidRPr="00212539">
              <w:rPr>
                <w:rFonts w:asciiTheme="minorHAnsi" w:eastAsiaTheme="minorHAnsi" w:hAnsiTheme="minorHAnsi" w:cstheme="minorHAnsi"/>
                <w:lang w:eastAsia="en-US"/>
              </w:rPr>
              <w:t>lan</w:t>
            </w:r>
            <w:r w:rsidR="008654B1" w:rsidRPr="00212539">
              <w:rPr>
                <w:rFonts w:asciiTheme="minorHAnsi" w:eastAsiaTheme="minorHAnsi" w:hAnsiTheme="minorHAnsi" w:cstheme="minorHAnsi"/>
                <w:lang w:eastAsia="en-US"/>
              </w:rPr>
              <w:t>ning for</w:t>
            </w:r>
            <w:r w:rsidR="003C0061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3C0061"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2019/20</w:t>
            </w:r>
            <w:r w:rsidR="003C0061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212539">
              <w:rPr>
                <w:rFonts w:asciiTheme="minorHAnsi" w:eastAsiaTheme="minorHAnsi" w:hAnsiTheme="minorHAnsi" w:cstheme="minorHAnsi"/>
                <w:lang w:eastAsia="en-US"/>
              </w:rPr>
              <w:t>is complete and will be presented to the Board in March</w:t>
            </w:r>
            <w:r w:rsidR="000B3916"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r w:rsidR="007C0159" w:rsidRPr="00212539">
              <w:rPr>
                <w:rFonts w:asciiTheme="minorHAnsi" w:eastAsiaTheme="minorHAnsi" w:hAnsiTheme="minorHAnsi" w:cstheme="minorHAnsi"/>
                <w:lang w:eastAsia="en-US"/>
              </w:rPr>
              <w:t>Key assumptions and consideration of strategic requirements</w:t>
            </w:r>
            <w:r w:rsidR="007C0159" w:rsidRPr="00815443">
              <w:rPr>
                <w:rFonts w:asciiTheme="minorHAnsi" w:eastAsiaTheme="minorHAnsi" w:hAnsiTheme="minorHAnsi" w:cstheme="minorHAnsi"/>
                <w:lang w:eastAsia="en-US"/>
              </w:rPr>
              <w:t xml:space="preserve"> has been considered by SLT. Outline financial plan </w:t>
            </w:r>
            <w:r w:rsidR="00212539">
              <w:rPr>
                <w:rFonts w:asciiTheme="minorHAnsi" w:eastAsiaTheme="minorHAnsi" w:hAnsiTheme="minorHAnsi" w:cstheme="minorHAnsi"/>
                <w:lang w:eastAsia="en-US"/>
              </w:rPr>
              <w:t>was</w:t>
            </w:r>
            <w:r w:rsidR="007C0159" w:rsidRPr="00815443">
              <w:rPr>
                <w:rFonts w:asciiTheme="minorHAnsi" w:eastAsiaTheme="minorHAnsi" w:hAnsiTheme="minorHAnsi" w:cstheme="minorHAnsi"/>
                <w:lang w:eastAsia="en-US"/>
              </w:rPr>
              <w:t xml:space="preserve"> discussed at LT in February.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  <w:p w14:paraId="164AB087" w14:textId="77777777" w:rsidR="002C0638" w:rsidRPr="00815443" w:rsidRDefault="00181165" w:rsidP="00BE6E7E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lang w:eastAsia="en-US"/>
              </w:rPr>
              <w:t>The HRA continue</w:t>
            </w:r>
            <w:r w:rsidR="00950174" w:rsidRPr="00815443"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 w:rsidRPr="00815443">
              <w:rPr>
                <w:rFonts w:asciiTheme="minorHAnsi" w:eastAsiaTheme="minorHAnsi" w:hAnsiTheme="minorHAnsi" w:cstheme="minorHAnsi"/>
                <w:lang w:eastAsia="en-US"/>
              </w:rPr>
              <w:t xml:space="preserve"> to meet its regulatory requirements in paying invoices</w:t>
            </w:r>
            <w:r w:rsidR="00826FF2" w:rsidRPr="0081544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950174" w:rsidRPr="00815443">
              <w:rPr>
                <w:rFonts w:asciiTheme="minorHAnsi" w:eastAsiaTheme="minorHAnsi" w:hAnsiTheme="minorHAnsi" w:cstheme="minorHAnsi"/>
                <w:lang w:eastAsia="en-US"/>
              </w:rPr>
              <w:t>quickly.</w:t>
            </w:r>
            <w:r w:rsidR="00FF2551" w:rsidRPr="0081544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</w:tr>
      <w:tr w:rsidR="00DF3EE3" w:rsidRPr="00815443" w14:paraId="3B449CA4" w14:textId="77777777" w:rsidTr="00AF00BB">
        <w:trPr>
          <w:trHeight w:val="757"/>
        </w:trPr>
        <w:tc>
          <w:tcPr>
            <w:tcW w:w="2628" w:type="dxa"/>
          </w:tcPr>
          <w:p w14:paraId="4FCB514C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>Suitable for wider circulation?</w:t>
            </w:r>
          </w:p>
        </w:tc>
        <w:tc>
          <w:tcPr>
            <w:tcW w:w="6320" w:type="dxa"/>
          </w:tcPr>
          <w:p w14:paraId="45FAA2CE" w14:textId="77777777" w:rsidR="00AF00BB" w:rsidRPr="00815443" w:rsidRDefault="00210D21" w:rsidP="005B199F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Yes</w:t>
            </w:r>
            <w:r w:rsidR="00D07ECB"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EB22E9" w:rsidRPr="00815443" w14:paraId="4857EBF2" w14:textId="77777777" w:rsidTr="00AF00BB">
        <w:trPr>
          <w:trHeight w:val="287"/>
        </w:trPr>
        <w:tc>
          <w:tcPr>
            <w:tcW w:w="2628" w:type="dxa"/>
          </w:tcPr>
          <w:p w14:paraId="523A1752" w14:textId="77777777" w:rsidR="00EB22E9" w:rsidRPr="00815443" w:rsidRDefault="00EB22E9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Time required for item:</w:t>
            </w:r>
          </w:p>
        </w:tc>
        <w:tc>
          <w:tcPr>
            <w:tcW w:w="6320" w:type="dxa"/>
          </w:tcPr>
          <w:p w14:paraId="199D732B" w14:textId="77777777" w:rsidR="00EB22E9" w:rsidRPr="00815443" w:rsidRDefault="00EB22E9" w:rsidP="00933A84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1</w:t>
            </w:r>
            <w:r w:rsidR="00933A84"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0</w:t>
            </w: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minutes</w:t>
            </w:r>
          </w:p>
        </w:tc>
      </w:tr>
    </w:tbl>
    <w:p w14:paraId="70038D03" w14:textId="77777777" w:rsidR="00DF3EE3" w:rsidRPr="00815443" w:rsidRDefault="00DF3EE3" w:rsidP="00DF3EE3">
      <w:pPr>
        <w:spacing w:line="276" w:lineRule="auto"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leGrid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DF3EE3" w:rsidRPr="00815443" w14:paraId="4E5D3695" w14:textId="77777777" w:rsidTr="00DF3EE3">
        <w:tc>
          <w:tcPr>
            <w:tcW w:w="2628" w:type="dxa"/>
            <w:vMerge w:val="restart"/>
            <w:shd w:val="clear" w:color="auto" w:fill="D9D9D9" w:themeFill="background1" w:themeFillShade="D9"/>
          </w:tcPr>
          <w:p w14:paraId="53458DB8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Recommendation / Proposed Actions:</w:t>
            </w:r>
          </w:p>
          <w:p w14:paraId="2E5ABFC2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14:paraId="6A7B4F3D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14:paraId="179BC83B" w14:textId="77777777" w:rsidR="00DF3EE3" w:rsidRPr="00815443" w:rsidRDefault="00E4497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Yes</w:t>
            </w:r>
          </w:p>
        </w:tc>
      </w:tr>
      <w:tr w:rsidR="00DF3EE3" w:rsidRPr="00815443" w14:paraId="084FD701" w14:textId="77777777" w:rsidTr="00DF3EE3">
        <w:tc>
          <w:tcPr>
            <w:tcW w:w="2628" w:type="dxa"/>
            <w:vMerge/>
            <w:shd w:val="clear" w:color="auto" w:fill="D9D9D9" w:themeFill="background1" w:themeFillShade="D9"/>
          </w:tcPr>
          <w:p w14:paraId="6903BFFA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14:paraId="4FE8CF75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14:paraId="316B9C16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EB22E9" w:rsidRPr="00815443" w14:paraId="6D6B1CCB" w14:textId="77777777" w:rsidTr="00DF3EE3">
        <w:tc>
          <w:tcPr>
            <w:tcW w:w="2628" w:type="dxa"/>
            <w:vMerge/>
            <w:shd w:val="clear" w:color="auto" w:fill="D9D9D9" w:themeFill="background1" w:themeFillShade="D9"/>
          </w:tcPr>
          <w:p w14:paraId="79F80120" w14:textId="77777777" w:rsidR="00EB22E9" w:rsidRPr="00815443" w:rsidRDefault="00EB22E9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14:paraId="3A501892" w14:textId="77777777" w:rsidR="00EB22E9" w:rsidRPr="00815443" w:rsidRDefault="00EB22E9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14:paraId="2DCB5AE7" w14:textId="77777777" w:rsidR="00EB22E9" w:rsidRPr="00815443" w:rsidRDefault="00EB22E9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DF3EE3" w:rsidRPr="00815443" w14:paraId="4F735322" w14:textId="77777777" w:rsidTr="00DF3EE3">
        <w:tc>
          <w:tcPr>
            <w:tcW w:w="2628" w:type="dxa"/>
            <w:vMerge/>
            <w:shd w:val="clear" w:color="auto" w:fill="D9D9D9" w:themeFill="background1" w:themeFillShade="D9"/>
          </w:tcPr>
          <w:p w14:paraId="413C7F86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8F5012F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A3B492E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</w:tbl>
    <w:p w14:paraId="16492F13" w14:textId="77777777" w:rsidR="008506B4" w:rsidRPr="00815443" w:rsidRDefault="008506B4" w:rsidP="00DF3EE3">
      <w:pPr>
        <w:tabs>
          <w:tab w:val="left" w:pos="1980"/>
        </w:tabs>
        <w:rPr>
          <w:rFonts w:asciiTheme="minorHAnsi" w:eastAsiaTheme="minorHAnsi" w:hAnsiTheme="minorHAnsi" w:cstheme="minorHAnsi"/>
          <w:b/>
          <w:lang w:eastAsia="en-US"/>
        </w:rPr>
      </w:pPr>
    </w:p>
    <w:p w14:paraId="109F98B6" w14:textId="77777777" w:rsidR="00DF3EE3" w:rsidRPr="00815443" w:rsidRDefault="00DF3EE3" w:rsidP="00DF3EE3">
      <w:pPr>
        <w:tabs>
          <w:tab w:val="left" w:pos="1980"/>
        </w:tabs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DF3EE3" w:rsidRPr="00DF3EE3" w14:paraId="213A3E73" w14:textId="77777777" w:rsidTr="00DF3EE3">
        <w:tc>
          <w:tcPr>
            <w:tcW w:w="2628" w:type="dxa"/>
          </w:tcPr>
          <w:p w14:paraId="55B2496B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Name:</w:t>
            </w:r>
          </w:p>
        </w:tc>
        <w:tc>
          <w:tcPr>
            <w:tcW w:w="6320" w:type="dxa"/>
          </w:tcPr>
          <w:p w14:paraId="33B77CC4" w14:textId="77777777" w:rsidR="00DF3EE3" w:rsidRPr="00DF3EE3" w:rsidRDefault="004159BE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lang w:eastAsia="en-US"/>
              </w:rPr>
              <w:t>Karen Williams</w:t>
            </w:r>
            <w:r w:rsidR="000B3916" w:rsidRPr="00815443">
              <w:rPr>
                <w:rFonts w:asciiTheme="minorHAnsi" w:eastAsiaTheme="minorHAnsi" w:hAnsiTheme="minorHAnsi" w:cstheme="minorHAnsi"/>
                <w:lang w:eastAsia="en-US"/>
              </w:rPr>
              <w:t xml:space="preserve"> &amp; Sylvia Hazard</w:t>
            </w:r>
          </w:p>
        </w:tc>
      </w:tr>
      <w:tr w:rsidR="00DF3EE3" w:rsidRPr="00DF3EE3" w14:paraId="4C169AF9" w14:textId="77777777" w:rsidTr="00DF3EE3">
        <w:tc>
          <w:tcPr>
            <w:tcW w:w="2628" w:type="dxa"/>
          </w:tcPr>
          <w:p w14:paraId="527A940C" w14:textId="77777777" w:rsidR="00DF3EE3" w:rsidRPr="00DF3EE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F3EE3">
              <w:rPr>
                <w:rFonts w:asciiTheme="minorHAnsi" w:eastAsiaTheme="minorHAnsi" w:hAnsiTheme="minorHAnsi" w:cstheme="minorHAnsi"/>
                <w:b/>
                <w:lang w:eastAsia="en-US"/>
              </w:rPr>
              <w:t>Job Title:</w:t>
            </w:r>
          </w:p>
        </w:tc>
        <w:tc>
          <w:tcPr>
            <w:tcW w:w="6320" w:type="dxa"/>
          </w:tcPr>
          <w:p w14:paraId="438E7B22" w14:textId="77777777" w:rsidR="00DF3EE3" w:rsidRPr="00DF3EE3" w:rsidRDefault="00826FF2" w:rsidP="00BA069C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Director of Finance</w:t>
            </w:r>
            <w:r w:rsidR="00BA069C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="00184229">
              <w:rPr>
                <w:rFonts w:asciiTheme="minorHAnsi" w:eastAsiaTheme="minorHAnsi" w:hAnsiTheme="minorHAnsi" w:cstheme="minorHAnsi"/>
                <w:lang w:eastAsia="en-US"/>
              </w:rPr>
              <w:t xml:space="preserve"> P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rocurement</w:t>
            </w:r>
            <w:r w:rsidR="00184229">
              <w:rPr>
                <w:rFonts w:asciiTheme="minorHAnsi" w:eastAsiaTheme="minorHAnsi" w:hAnsiTheme="minorHAnsi" w:cstheme="minorHAnsi"/>
                <w:lang w:eastAsia="en-US"/>
              </w:rPr>
              <w:t xml:space="preserve"> and E</w:t>
            </w:r>
            <w:r w:rsidR="00BA069C">
              <w:rPr>
                <w:rFonts w:asciiTheme="minorHAnsi" w:eastAsiaTheme="minorHAnsi" w:hAnsiTheme="minorHAnsi" w:cstheme="minorHAnsi"/>
                <w:lang w:eastAsia="en-US"/>
              </w:rPr>
              <w:t>states</w:t>
            </w:r>
            <w:r w:rsidR="000B3916">
              <w:rPr>
                <w:rFonts w:asciiTheme="minorHAnsi" w:eastAsiaTheme="minorHAnsi" w:hAnsiTheme="minorHAnsi" w:cstheme="minorHAnsi"/>
                <w:lang w:eastAsia="en-US"/>
              </w:rPr>
              <w:t>, Deputy Director of Finance</w:t>
            </w:r>
          </w:p>
        </w:tc>
      </w:tr>
      <w:tr w:rsidR="00DF3EE3" w:rsidRPr="00DF3EE3" w14:paraId="1631A8BB" w14:textId="77777777" w:rsidTr="00DB6762">
        <w:tc>
          <w:tcPr>
            <w:tcW w:w="2628" w:type="dxa"/>
          </w:tcPr>
          <w:p w14:paraId="1A441136" w14:textId="77777777" w:rsidR="00DF3EE3" w:rsidRPr="00BD1346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D1346">
              <w:rPr>
                <w:rFonts w:asciiTheme="minorHAnsi" w:eastAsiaTheme="minorHAnsi" w:hAnsiTheme="minorHAnsi" w:cstheme="minorHAnsi"/>
                <w:b/>
                <w:lang w:eastAsia="en-US"/>
              </w:rPr>
              <w:t>Date:</w:t>
            </w:r>
          </w:p>
        </w:tc>
        <w:tc>
          <w:tcPr>
            <w:tcW w:w="6320" w:type="dxa"/>
            <w:shd w:val="clear" w:color="auto" w:fill="auto"/>
          </w:tcPr>
          <w:p w14:paraId="4054F46C" w14:textId="5568D9FE" w:rsidR="00DF3EE3" w:rsidRPr="00BD1346" w:rsidRDefault="00AA74D7" w:rsidP="002C39A0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22 February</w:t>
            </w:r>
            <w:r w:rsidR="00CA23D6" w:rsidRPr="007C0159">
              <w:rPr>
                <w:rFonts w:asciiTheme="minorHAnsi" w:eastAsiaTheme="minorHAnsi" w:hAnsiTheme="minorHAnsi" w:cstheme="minorHAnsi"/>
                <w:lang w:eastAsia="en-US"/>
              </w:rPr>
              <w:t xml:space="preserve"> 2019</w:t>
            </w:r>
          </w:p>
        </w:tc>
      </w:tr>
    </w:tbl>
    <w:p w14:paraId="0A22CB14" w14:textId="77777777" w:rsidR="00150CE4" w:rsidRDefault="00150CE4" w:rsidP="00AD76CF">
      <w:pPr>
        <w:rPr>
          <w:rFonts w:ascii="Arial" w:hAnsi="Arial" w:cs="Arial"/>
          <w:b/>
          <w:sz w:val="22"/>
          <w:szCs w:val="22"/>
        </w:rPr>
      </w:pPr>
    </w:p>
    <w:p w14:paraId="73D57A21" w14:textId="77777777" w:rsidR="001677C5" w:rsidRDefault="001677C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FBB4936" w14:textId="77777777" w:rsidR="006C7396" w:rsidRPr="0044673F" w:rsidRDefault="006C7396" w:rsidP="006C7396">
      <w:pPr>
        <w:rPr>
          <w:rFonts w:ascii="Arial" w:hAnsi="Arial" w:cs="Arial"/>
          <w:b/>
          <w:sz w:val="22"/>
          <w:szCs w:val="22"/>
        </w:rPr>
      </w:pPr>
      <w:r w:rsidRPr="0044673F">
        <w:rPr>
          <w:rFonts w:ascii="Arial" w:hAnsi="Arial" w:cs="Arial"/>
          <w:b/>
          <w:sz w:val="22"/>
          <w:szCs w:val="22"/>
        </w:rPr>
        <w:lastRenderedPageBreak/>
        <w:t xml:space="preserve">Finance Report - Financial Year </w:t>
      </w:r>
      <w:r w:rsidR="008D718A">
        <w:rPr>
          <w:rFonts w:ascii="Arial" w:hAnsi="Arial" w:cs="Arial"/>
          <w:b/>
          <w:sz w:val="22"/>
          <w:szCs w:val="22"/>
        </w:rPr>
        <w:t>2018</w:t>
      </w:r>
      <w:r w:rsidR="003B588A">
        <w:rPr>
          <w:rFonts w:ascii="Arial" w:hAnsi="Arial" w:cs="Arial"/>
          <w:b/>
          <w:sz w:val="22"/>
          <w:szCs w:val="22"/>
        </w:rPr>
        <w:t>/19</w:t>
      </w:r>
    </w:p>
    <w:p w14:paraId="2EF474F6" w14:textId="75AB49D0" w:rsidR="006C7396" w:rsidRDefault="006C7396" w:rsidP="006C7396">
      <w:pPr>
        <w:rPr>
          <w:rFonts w:ascii="Arial" w:hAnsi="Arial" w:cs="Arial"/>
          <w:b/>
          <w:sz w:val="22"/>
          <w:szCs w:val="22"/>
        </w:rPr>
      </w:pPr>
      <w:r w:rsidRPr="0044673F">
        <w:rPr>
          <w:rFonts w:ascii="Arial" w:hAnsi="Arial" w:cs="Arial"/>
          <w:b/>
          <w:sz w:val="22"/>
          <w:szCs w:val="22"/>
        </w:rPr>
        <w:t xml:space="preserve">Health Research Authority as at </w:t>
      </w:r>
      <w:r w:rsidR="001A26D2">
        <w:rPr>
          <w:rFonts w:ascii="Arial" w:hAnsi="Arial" w:cs="Arial"/>
          <w:b/>
          <w:sz w:val="22"/>
          <w:szCs w:val="22"/>
        </w:rPr>
        <w:t>3</w:t>
      </w:r>
      <w:r w:rsidR="00CA23D6">
        <w:rPr>
          <w:rFonts w:ascii="Arial" w:hAnsi="Arial" w:cs="Arial"/>
          <w:b/>
          <w:sz w:val="22"/>
          <w:szCs w:val="22"/>
        </w:rPr>
        <w:t xml:space="preserve">1 </w:t>
      </w:r>
      <w:r w:rsidR="00AA74D7">
        <w:rPr>
          <w:rFonts w:ascii="Arial" w:hAnsi="Arial" w:cs="Arial"/>
          <w:b/>
          <w:sz w:val="22"/>
          <w:szCs w:val="22"/>
        </w:rPr>
        <w:t>January 2019</w:t>
      </w:r>
    </w:p>
    <w:p w14:paraId="7337BAC2" w14:textId="77777777" w:rsidR="0067265E" w:rsidRDefault="0067265E" w:rsidP="00092A9E">
      <w:pPr>
        <w:rPr>
          <w:rFonts w:ascii="Arial" w:hAnsi="Arial" w:cs="Arial"/>
          <w:b/>
          <w:sz w:val="22"/>
          <w:szCs w:val="22"/>
        </w:rPr>
      </w:pPr>
    </w:p>
    <w:p w14:paraId="3C04A9ED" w14:textId="77777777" w:rsidR="00092A9E" w:rsidRDefault="00092A9E" w:rsidP="00092A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Executive Summary </w:t>
      </w:r>
      <w:r w:rsidR="007055AB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Headlines</w:t>
      </w:r>
    </w:p>
    <w:p w14:paraId="19F7AFE8" w14:textId="77777777" w:rsidR="0067265E" w:rsidRDefault="0067265E" w:rsidP="00092A9E">
      <w:pPr>
        <w:rPr>
          <w:rFonts w:ascii="Arial" w:hAnsi="Arial" w:cs="Arial"/>
          <w:b/>
          <w:sz w:val="22"/>
          <w:szCs w:val="22"/>
        </w:rPr>
      </w:pPr>
    </w:p>
    <w:p w14:paraId="4E2423B5" w14:textId="667A8B90" w:rsidR="00D1262E" w:rsidRPr="00596377" w:rsidRDefault="006C7396" w:rsidP="006C7396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96377">
        <w:rPr>
          <w:rFonts w:ascii="Arial" w:eastAsiaTheme="minorHAnsi" w:hAnsi="Arial" w:cs="Arial"/>
          <w:sz w:val="22"/>
          <w:szCs w:val="22"/>
          <w:lang w:eastAsia="en-US"/>
        </w:rPr>
        <w:t>The HRA</w:t>
      </w:r>
      <w:r w:rsidR="00D07ECB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0174" w:rsidRPr="00596377">
        <w:rPr>
          <w:rFonts w:ascii="Arial" w:eastAsiaTheme="minorHAnsi" w:hAnsi="Arial" w:cs="Arial"/>
          <w:sz w:val="22"/>
          <w:szCs w:val="22"/>
          <w:lang w:eastAsia="en-US"/>
        </w:rPr>
        <w:t>201</w:t>
      </w:r>
      <w:r w:rsidR="008D718A" w:rsidRPr="00596377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3B588A" w:rsidRPr="00596377">
        <w:rPr>
          <w:rFonts w:ascii="Arial" w:eastAsiaTheme="minorHAnsi" w:hAnsi="Arial" w:cs="Arial"/>
          <w:sz w:val="22"/>
          <w:szCs w:val="22"/>
          <w:lang w:eastAsia="en-US"/>
        </w:rPr>
        <w:t>/19</w:t>
      </w:r>
      <w:r w:rsidR="00950174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7ECB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outturn </w:t>
      </w:r>
      <w:r w:rsidR="008D718A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for the first </w:t>
      </w:r>
      <w:r w:rsidR="00AA74D7">
        <w:rPr>
          <w:rFonts w:ascii="Arial" w:eastAsiaTheme="minorHAnsi" w:hAnsi="Arial" w:cs="Arial"/>
          <w:sz w:val="22"/>
          <w:szCs w:val="22"/>
          <w:lang w:eastAsia="en-US"/>
        </w:rPr>
        <w:t>10</w:t>
      </w:r>
      <w:r w:rsidR="008D718A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months of the year </w:t>
      </w:r>
      <w:r w:rsidR="00D07ECB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was </w:t>
      </w:r>
      <w:r w:rsidR="00D07ECB"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>£</w:t>
      </w:r>
      <w:r w:rsidR="00AA74D7">
        <w:rPr>
          <w:rFonts w:ascii="Arial" w:eastAsiaTheme="minorHAnsi" w:hAnsi="Arial" w:cs="Arial"/>
          <w:b/>
          <w:sz w:val="22"/>
          <w:szCs w:val="22"/>
          <w:lang w:eastAsia="en-US"/>
        </w:rPr>
        <w:t>11,588</w:t>
      </w:r>
      <w:r w:rsidR="003B588A"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>k</w:t>
      </w:r>
      <w:r w:rsidR="00D07ECB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(201</w:t>
      </w:r>
      <w:r w:rsidR="008D718A" w:rsidRPr="00596377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3B588A" w:rsidRPr="00596377">
        <w:rPr>
          <w:rFonts w:ascii="Arial" w:eastAsiaTheme="minorHAnsi" w:hAnsi="Arial" w:cs="Arial"/>
          <w:sz w:val="22"/>
          <w:szCs w:val="22"/>
          <w:lang w:eastAsia="en-US"/>
        </w:rPr>
        <w:t>/18</w:t>
      </w:r>
      <w:r w:rsidR="00D07ECB" w:rsidRPr="00596377">
        <w:rPr>
          <w:rFonts w:ascii="Arial" w:eastAsiaTheme="minorHAnsi" w:hAnsi="Arial" w:cs="Arial"/>
          <w:sz w:val="22"/>
          <w:szCs w:val="22"/>
          <w:lang w:eastAsia="en-US"/>
        </w:rPr>
        <w:t>: £</w:t>
      </w:r>
      <w:r w:rsidR="00AA74D7">
        <w:rPr>
          <w:rFonts w:ascii="Arial" w:eastAsiaTheme="minorHAnsi" w:hAnsi="Arial" w:cs="Arial"/>
          <w:sz w:val="22"/>
          <w:szCs w:val="22"/>
          <w:lang w:eastAsia="en-US"/>
        </w:rPr>
        <w:t>10,367</w:t>
      </w:r>
      <w:r w:rsidR="003B588A" w:rsidRPr="00596377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D07ECB" w:rsidRPr="00596377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D07ECB" w:rsidRPr="007E0A6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and </w:t>
      </w:r>
      <w:r w:rsidR="00D07ECB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£</w:t>
      </w:r>
      <w:r w:rsidR="00307528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1,543</w:t>
      </w:r>
      <w:r w:rsidR="003119AE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k</w:t>
      </w:r>
      <w:r w:rsidR="008D718A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>(201</w:t>
      </w:r>
      <w:r w:rsidR="008D718A" w:rsidRPr="00307528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3B588A" w:rsidRPr="00307528">
        <w:rPr>
          <w:rFonts w:ascii="Arial" w:eastAsiaTheme="minorHAnsi" w:hAnsi="Arial" w:cs="Arial"/>
          <w:sz w:val="22"/>
          <w:szCs w:val="22"/>
          <w:lang w:eastAsia="en-US"/>
        </w:rPr>
        <w:t>/18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£</w:t>
      </w:r>
      <w:r w:rsidR="00307528" w:rsidRPr="00307528">
        <w:rPr>
          <w:rFonts w:ascii="Arial" w:eastAsiaTheme="minorHAnsi" w:hAnsi="Arial" w:cs="Arial"/>
          <w:sz w:val="22"/>
          <w:szCs w:val="22"/>
          <w:lang w:eastAsia="en-US"/>
        </w:rPr>
        <w:t>57</w:t>
      </w:r>
      <w:r w:rsidR="007E0A62" w:rsidRPr="00307528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3015EB" w:rsidRPr="00307528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>) capital. On revenue expenditure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th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>is represented a</w:t>
      </w:r>
      <w:r w:rsidR="0009061E" w:rsidRPr="00307528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12160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C16AF" w:rsidRPr="00307528">
        <w:rPr>
          <w:rFonts w:ascii="Arial" w:eastAsiaTheme="minorHAnsi" w:hAnsi="Arial" w:cs="Arial"/>
          <w:sz w:val="22"/>
          <w:szCs w:val="22"/>
          <w:lang w:eastAsia="en-US"/>
        </w:rPr>
        <w:t>underspend of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7ECB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£</w:t>
      </w:r>
      <w:r w:rsidR="00CA23D6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="00AA74D7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="00D07ECB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k</w:t>
      </w:r>
      <w:r w:rsidR="004C1D2E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="007C4AB8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CD4B7C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0.</w:t>
      </w:r>
      <w:r w:rsidR="00CA23D6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="004C1D2E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%</w:t>
      </w:r>
      <w:r w:rsidR="003B588A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(201</w:t>
      </w:r>
      <w:r w:rsidR="008D718A" w:rsidRPr="00307528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3B588A" w:rsidRPr="00307528">
        <w:rPr>
          <w:rFonts w:ascii="Arial" w:eastAsiaTheme="minorHAnsi" w:hAnsi="Arial" w:cs="Arial"/>
          <w:sz w:val="22"/>
          <w:szCs w:val="22"/>
          <w:lang w:eastAsia="en-US"/>
        </w:rPr>
        <w:t>/18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£</w:t>
      </w:r>
      <w:r w:rsidR="00AA74D7" w:rsidRPr="00307528">
        <w:rPr>
          <w:rFonts w:ascii="Arial" w:eastAsiaTheme="minorHAnsi" w:hAnsi="Arial" w:cs="Arial"/>
          <w:sz w:val="22"/>
          <w:szCs w:val="22"/>
          <w:lang w:eastAsia="en-US"/>
        </w:rPr>
        <w:t>61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1A26D2" w:rsidRPr="00307528">
        <w:rPr>
          <w:rFonts w:ascii="Arial" w:eastAsiaTheme="minorHAnsi" w:hAnsi="Arial" w:cs="Arial"/>
          <w:sz w:val="22"/>
          <w:szCs w:val="22"/>
          <w:lang w:eastAsia="en-US"/>
        </w:rPr>
        <w:t>0.</w:t>
      </w:r>
      <w:r w:rsidR="00AA74D7" w:rsidRPr="00307528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>%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and on capital expenditure a </w:t>
      </w:r>
      <w:r w:rsidR="004C1D2E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£</w:t>
      </w:r>
      <w:r w:rsidR="00307528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14</w:t>
      </w:r>
      <w:proofErr w:type="gramStart"/>
      <w:r w:rsidR="004C1D2E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k</w:t>
      </w:r>
      <w:r w:rsidR="00CE57A9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4C1D2E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proofErr w:type="gramEnd"/>
      <w:r w:rsidR="004C1D2E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3119AE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0.</w:t>
      </w:r>
      <w:r w:rsidR="00CE57A9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="004C1D2E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%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underspend (201</w:t>
      </w:r>
      <w:r w:rsidR="008D718A" w:rsidRPr="00307528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3B588A" w:rsidRPr="00307528">
        <w:rPr>
          <w:rFonts w:ascii="Arial" w:eastAsiaTheme="minorHAnsi" w:hAnsi="Arial" w:cs="Arial"/>
          <w:sz w:val="22"/>
          <w:szCs w:val="22"/>
          <w:lang w:eastAsia="en-US"/>
        </w:rPr>
        <w:t>/18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£</w:t>
      </w:r>
      <w:r w:rsidR="00307528" w:rsidRPr="00307528">
        <w:rPr>
          <w:rFonts w:ascii="Arial" w:eastAsiaTheme="minorHAnsi" w:hAnsi="Arial" w:cs="Arial"/>
          <w:sz w:val="22"/>
          <w:szCs w:val="22"/>
          <w:lang w:eastAsia="en-US"/>
        </w:rPr>
        <w:t>110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k, </w:t>
      </w:r>
      <w:r w:rsidR="00307528" w:rsidRPr="00307528">
        <w:rPr>
          <w:rFonts w:ascii="Arial" w:eastAsiaTheme="minorHAnsi" w:hAnsi="Arial" w:cs="Arial"/>
          <w:sz w:val="22"/>
          <w:szCs w:val="22"/>
          <w:lang w:eastAsia="en-US"/>
        </w:rPr>
        <w:t>16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>%).</w:t>
      </w:r>
      <w:r w:rsidR="004C1D2E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A0CFC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96377">
        <w:rPr>
          <w:rFonts w:ascii="Arial" w:eastAsiaTheme="minorHAnsi" w:hAnsi="Arial" w:cs="Arial"/>
          <w:sz w:val="22"/>
          <w:szCs w:val="22"/>
          <w:lang w:eastAsia="en-US"/>
        </w:rPr>
        <w:t xml:space="preserve">Increased expenditure compared to 2017/18 relates to </w:t>
      </w:r>
      <w:r w:rsidR="00BE6E7E">
        <w:rPr>
          <w:rFonts w:ascii="Arial" w:eastAsiaTheme="minorHAnsi" w:hAnsi="Arial" w:cs="Arial"/>
          <w:sz w:val="22"/>
          <w:szCs w:val="22"/>
          <w:lang w:eastAsia="en-US"/>
        </w:rPr>
        <w:t xml:space="preserve">investment in </w:t>
      </w:r>
      <w:r w:rsidR="00596377">
        <w:rPr>
          <w:rFonts w:ascii="Arial" w:eastAsiaTheme="minorHAnsi" w:hAnsi="Arial" w:cs="Arial"/>
          <w:sz w:val="22"/>
          <w:szCs w:val="22"/>
          <w:lang w:eastAsia="en-US"/>
        </w:rPr>
        <w:t>the research systems transformation programme</w:t>
      </w:r>
      <w:r w:rsidR="00212539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5963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B7ABB15" w14:textId="0A684511" w:rsidR="00E554BD" w:rsidRPr="00596377" w:rsidRDefault="0009061E" w:rsidP="00E554BD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>Forecast outturn</w:t>
      </w:r>
      <w:r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for the year </w:t>
      </w:r>
      <w:r w:rsidR="00F35892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is predicted to </w:t>
      </w:r>
      <w:r w:rsidR="00F35892" w:rsidRPr="00042BFF">
        <w:rPr>
          <w:rFonts w:ascii="Arial" w:eastAsiaTheme="minorHAnsi" w:hAnsi="Arial" w:cs="Arial"/>
          <w:sz w:val="22"/>
          <w:szCs w:val="22"/>
          <w:lang w:eastAsia="en-US"/>
        </w:rPr>
        <w:t>be</w:t>
      </w:r>
      <w:r w:rsidRPr="00042BF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A26D2"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>£</w:t>
      </w:r>
      <w:r w:rsidR="00706C3C"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>14</w:t>
      </w:r>
      <w:r w:rsidR="00042BFF"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="008B34FC"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>9</w:t>
      </w:r>
      <w:r w:rsidR="00042BFF"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>03</w:t>
      </w:r>
      <w:r w:rsidR="00706C3C"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>k</w:t>
      </w:r>
      <w:r w:rsidR="00C87C69" w:rsidRPr="00042BFF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042BFF">
        <w:rPr>
          <w:rFonts w:ascii="Arial" w:eastAsiaTheme="minorHAnsi" w:hAnsi="Arial" w:cs="Arial"/>
          <w:sz w:val="22"/>
          <w:szCs w:val="22"/>
          <w:lang w:eastAsia="en-US"/>
        </w:rPr>
        <w:t xml:space="preserve">£25k underspend relating to transition funding. All other activities are forecasting </w:t>
      </w:r>
      <w:r w:rsidRPr="00042BFF">
        <w:rPr>
          <w:rFonts w:ascii="Arial" w:eastAsiaTheme="minorHAnsi" w:hAnsi="Arial" w:cs="Arial"/>
          <w:sz w:val="22"/>
          <w:szCs w:val="22"/>
          <w:lang w:eastAsia="en-US"/>
        </w:rPr>
        <w:t>a breakeven</w:t>
      </w:r>
      <w:r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position for the HRA.</w:t>
      </w:r>
    </w:p>
    <w:p w14:paraId="0E67F6CA" w14:textId="77777777" w:rsidR="0009061E" w:rsidRPr="007C0159" w:rsidRDefault="0009061E" w:rsidP="001D3B92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Capital </w:t>
      </w:r>
      <w:r w:rsidR="00F35892"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>expenditure</w:t>
      </w:r>
      <w:r w:rsidR="00F35892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is</w:t>
      </w:r>
      <w:r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in line with expectations</w:t>
      </w:r>
      <w:r w:rsidR="005E3435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and confirmed resource allocation by DHSC</w:t>
      </w:r>
      <w:r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67265E" w:rsidRPr="00596377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apital and revenue classification </w:t>
      </w:r>
      <w:r w:rsidR="007C0159" w:rsidRPr="00596377">
        <w:rPr>
          <w:rFonts w:ascii="Arial" w:eastAsiaTheme="minorHAnsi" w:hAnsi="Arial" w:cs="Arial"/>
          <w:sz w:val="22"/>
          <w:szCs w:val="22"/>
          <w:lang w:eastAsia="en-US"/>
        </w:rPr>
        <w:t>has been</w:t>
      </w:r>
      <w:r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7265E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revised to reflect new </w:t>
      </w:r>
      <w:r w:rsidR="00F20144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approach to systems </w:t>
      </w:r>
      <w:r w:rsidR="0067265E" w:rsidRPr="00596377">
        <w:rPr>
          <w:rFonts w:ascii="Arial" w:eastAsiaTheme="minorHAnsi" w:hAnsi="Arial" w:cs="Arial"/>
          <w:sz w:val="22"/>
          <w:szCs w:val="22"/>
          <w:lang w:eastAsia="en-US"/>
        </w:rPr>
        <w:t>development</w:t>
      </w:r>
      <w:r w:rsidR="0067265E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96377">
        <w:rPr>
          <w:rFonts w:ascii="Arial" w:eastAsiaTheme="minorHAnsi" w:hAnsi="Arial" w:cs="Arial"/>
          <w:sz w:val="22"/>
          <w:szCs w:val="22"/>
          <w:lang w:eastAsia="en-US"/>
        </w:rPr>
        <w:t>A revenue to c</w:t>
      </w:r>
      <w:r w:rsidR="00CA23D6" w:rsidRPr="007C0159">
        <w:rPr>
          <w:rFonts w:ascii="Arial" w:eastAsiaTheme="minorHAnsi" w:hAnsi="Arial" w:cs="Arial"/>
          <w:sz w:val="22"/>
          <w:szCs w:val="22"/>
          <w:lang w:eastAsia="en-US"/>
        </w:rPr>
        <w:t>apital transfer has been undertaken in December to reflect this application.</w:t>
      </w:r>
    </w:p>
    <w:p w14:paraId="457354E9" w14:textId="5C1725CA" w:rsidR="000D2F24" w:rsidRDefault="00B325BB" w:rsidP="00B62D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Revenue f</w:t>
      </w:r>
      <w:r w:rsidR="00B62D6B">
        <w:rPr>
          <w:rFonts w:ascii="Arial" w:hAnsi="Arial" w:cs="Arial"/>
          <w:b/>
          <w:sz w:val="22"/>
          <w:szCs w:val="22"/>
        </w:rPr>
        <w:t xml:space="preserve">inancial performance </w:t>
      </w:r>
      <w:r w:rsidR="000D2F24">
        <w:rPr>
          <w:rFonts w:ascii="Arial" w:hAnsi="Arial" w:cs="Arial"/>
          <w:b/>
          <w:sz w:val="22"/>
          <w:szCs w:val="22"/>
        </w:rPr>
        <w:t>for</w:t>
      </w:r>
      <w:r w:rsidR="00B62D6B">
        <w:rPr>
          <w:rFonts w:ascii="Arial" w:hAnsi="Arial" w:cs="Arial"/>
          <w:b/>
          <w:sz w:val="22"/>
          <w:szCs w:val="22"/>
        </w:rPr>
        <w:t xml:space="preserve"> </w:t>
      </w:r>
      <w:r w:rsidR="000D2F24">
        <w:rPr>
          <w:rFonts w:ascii="Arial" w:hAnsi="Arial" w:cs="Arial"/>
          <w:b/>
          <w:sz w:val="22"/>
          <w:szCs w:val="22"/>
        </w:rPr>
        <w:t xml:space="preserve">the </w:t>
      </w:r>
      <w:r w:rsidR="00AA74D7">
        <w:rPr>
          <w:rFonts w:ascii="Arial" w:hAnsi="Arial" w:cs="Arial"/>
          <w:b/>
          <w:sz w:val="22"/>
          <w:szCs w:val="22"/>
        </w:rPr>
        <w:t>10</w:t>
      </w:r>
      <w:r w:rsidR="00C539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4139A">
        <w:rPr>
          <w:rFonts w:ascii="Arial" w:hAnsi="Arial" w:cs="Arial"/>
          <w:b/>
          <w:sz w:val="22"/>
          <w:szCs w:val="22"/>
        </w:rPr>
        <w:t>mths</w:t>
      </w:r>
      <w:proofErr w:type="spellEnd"/>
      <w:r w:rsidR="000D2F24">
        <w:rPr>
          <w:rFonts w:ascii="Arial" w:hAnsi="Arial" w:cs="Arial"/>
          <w:b/>
          <w:sz w:val="22"/>
          <w:szCs w:val="22"/>
        </w:rPr>
        <w:t xml:space="preserve">-ended </w:t>
      </w:r>
      <w:r w:rsidR="00810820">
        <w:rPr>
          <w:rFonts w:ascii="Arial" w:hAnsi="Arial" w:cs="Arial"/>
          <w:b/>
          <w:sz w:val="22"/>
          <w:szCs w:val="22"/>
        </w:rPr>
        <w:t>3</w:t>
      </w:r>
      <w:r w:rsidR="00CA23D6">
        <w:rPr>
          <w:rFonts w:ascii="Arial" w:hAnsi="Arial" w:cs="Arial"/>
          <w:b/>
          <w:sz w:val="22"/>
          <w:szCs w:val="22"/>
        </w:rPr>
        <w:t>1</w:t>
      </w:r>
      <w:r w:rsidR="00AA74D7">
        <w:rPr>
          <w:rFonts w:ascii="Arial" w:hAnsi="Arial" w:cs="Arial"/>
          <w:b/>
          <w:sz w:val="22"/>
          <w:szCs w:val="22"/>
        </w:rPr>
        <w:t>January 2019</w:t>
      </w:r>
    </w:p>
    <w:p w14:paraId="2F4CFEC4" w14:textId="77777777" w:rsidR="00042BFF" w:rsidRPr="00195D4C" w:rsidRDefault="00042BFF" w:rsidP="00B62D6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0" w:type="dxa"/>
        <w:tblInd w:w="108" w:type="dxa"/>
        <w:tblLook w:val="04A0" w:firstRow="1" w:lastRow="0" w:firstColumn="1" w:lastColumn="0" w:noHBand="0" w:noVBand="1"/>
      </w:tblPr>
      <w:tblGrid>
        <w:gridCol w:w="3515"/>
        <w:gridCol w:w="1443"/>
        <w:gridCol w:w="1127"/>
        <w:gridCol w:w="1127"/>
        <w:gridCol w:w="1050"/>
        <w:gridCol w:w="1228"/>
      </w:tblGrid>
      <w:tr w:rsidR="00AA74D7" w:rsidRPr="00AA74D7" w14:paraId="4588BC96" w14:textId="77777777" w:rsidTr="00AA74D7">
        <w:trPr>
          <w:trHeight w:val="64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7249216A" w14:textId="77777777" w:rsidR="00AA74D7" w:rsidRPr="00AA74D7" w:rsidRDefault="00AA74D7" w:rsidP="00AA74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7A93C901" w14:textId="77777777" w:rsidR="00AA74D7" w:rsidRPr="00AA74D7" w:rsidRDefault="00AA74D7" w:rsidP="00AA74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92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129321FA" w14:textId="77777777" w:rsidR="00AA74D7" w:rsidRPr="00AA74D7" w:rsidRDefault="00AA74D7" w:rsidP="00AA74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 Months ended 31 January 2019 (£'000)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18B3BFA" w14:textId="77777777" w:rsidR="00AA74D7" w:rsidRPr="00AA74D7" w:rsidRDefault="00AA74D7" w:rsidP="00AA74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74D7" w:rsidRPr="00AA74D7" w14:paraId="214D3B4B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29B7AD5F" w14:textId="77777777" w:rsidR="00AA74D7" w:rsidRPr="00AA74D7" w:rsidRDefault="00AA74D7" w:rsidP="00AA74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14:paraId="0682D80D" w14:textId="77777777" w:rsidR="00AA74D7" w:rsidRPr="00AA74D7" w:rsidRDefault="00AA74D7" w:rsidP="00AA74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2018/19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64A72996" w14:textId="77777777" w:rsidR="00AA74D7" w:rsidRPr="00AA74D7" w:rsidRDefault="00AA74D7" w:rsidP="00AA74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7BF3488A" w14:textId="77777777" w:rsidR="00AA74D7" w:rsidRPr="00AA74D7" w:rsidRDefault="00AA74D7" w:rsidP="00AA74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3F32C94C" w14:textId="77777777" w:rsidR="00AA74D7" w:rsidRPr="00AA74D7" w:rsidRDefault="00AA74D7" w:rsidP="00AA74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1A61497F" w14:textId="77777777" w:rsidR="00AA74D7" w:rsidRPr="00AA74D7" w:rsidRDefault="00AA74D7" w:rsidP="00AA74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A74D7" w:rsidRPr="00AA74D7" w14:paraId="0E5DF7BF" w14:textId="77777777" w:rsidTr="00AA74D7">
        <w:trPr>
          <w:trHeight w:val="844"/>
        </w:trPr>
        <w:tc>
          <w:tcPr>
            <w:tcW w:w="35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5B3D7"/>
            <w:vAlign w:val="center"/>
            <w:hideMark/>
          </w:tcPr>
          <w:p w14:paraId="2AE881E4" w14:textId="77777777" w:rsidR="00AA74D7" w:rsidRPr="00AA74D7" w:rsidRDefault="00AA74D7" w:rsidP="00AA74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Income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55ACD3"/>
            </w:tcBorders>
            <w:shd w:val="clear" w:color="000000" w:fill="95B3D7"/>
            <w:vAlign w:val="center"/>
            <w:hideMark/>
          </w:tcPr>
          <w:p w14:paraId="34CBD2E8" w14:textId="77777777" w:rsidR="00AA74D7" w:rsidRPr="00AA74D7" w:rsidRDefault="00AA74D7" w:rsidP="00AA74D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Latest Budget £'000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55ACD3"/>
            </w:tcBorders>
            <w:shd w:val="clear" w:color="000000" w:fill="95B3D7"/>
            <w:vAlign w:val="center"/>
            <w:hideMark/>
          </w:tcPr>
          <w:p w14:paraId="0A66E846" w14:textId="77777777" w:rsidR="00AA74D7" w:rsidRPr="00AA74D7" w:rsidRDefault="00AA74D7" w:rsidP="00AA74D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Budget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55ACD3"/>
            </w:tcBorders>
            <w:shd w:val="clear" w:color="000000" w:fill="95B3D7"/>
            <w:vAlign w:val="center"/>
            <w:hideMark/>
          </w:tcPr>
          <w:p w14:paraId="28E97EAD" w14:textId="77777777" w:rsidR="00AA74D7" w:rsidRPr="00AA74D7" w:rsidRDefault="00AA74D7" w:rsidP="00AA74D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Actual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20AD83FF" w14:textId="77777777" w:rsidR="00AA74D7" w:rsidRPr="00AA74D7" w:rsidRDefault="00AA74D7" w:rsidP="00AA74D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Variance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3BAD9C9D" w14:textId="77777777" w:rsidR="00AA74D7" w:rsidRPr="00AA74D7" w:rsidRDefault="00AA74D7" w:rsidP="00AA74D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Variance%</w:t>
            </w:r>
          </w:p>
        </w:tc>
      </w:tr>
      <w:tr w:rsidR="00AA74D7" w:rsidRPr="00AA74D7" w14:paraId="2E5BDF78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45F62384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 xml:space="preserve">Grant in Aid confirmed </w:t>
            </w:r>
            <w:proofErr w:type="spellStart"/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AfC</w:t>
            </w:r>
            <w:proofErr w:type="spellEnd"/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 xml:space="preserve"> increase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6396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12,483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22CC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10,111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B383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10,073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ACC4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9E91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-0.4%</w:t>
            </w:r>
          </w:p>
        </w:tc>
      </w:tr>
      <w:tr w:rsidR="00AA74D7" w:rsidRPr="00AA74D7" w14:paraId="16AF9CFF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1598BA51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Research systems Prog (revenue)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5FFD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26FB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3C42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77FD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C761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0.0%</w:t>
            </w:r>
          </w:p>
        </w:tc>
      </w:tr>
      <w:tr w:rsidR="00AA74D7" w:rsidRPr="00AA74D7" w14:paraId="548E16E0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6A26A46C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Transition Funding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AF81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D3C4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A8E6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36DB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3BFC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0.0%</w:t>
            </w:r>
          </w:p>
        </w:tc>
      </w:tr>
      <w:tr w:rsidR="00AA74D7" w:rsidRPr="00AA74D7" w14:paraId="38820F81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6A107187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HRA income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464D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ADEC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082E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B790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3AF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0.0%</w:t>
            </w:r>
          </w:p>
        </w:tc>
      </w:tr>
      <w:tr w:rsidR="00AA74D7" w:rsidRPr="00AA74D7" w14:paraId="69A9AA15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70999650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Non cash</w:t>
            </w:r>
            <w:proofErr w:type="gramEnd"/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 xml:space="preserve"> revenue resource limit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5BB8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87F8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2509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B258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BF46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0.0%</w:t>
            </w:r>
          </w:p>
        </w:tc>
      </w:tr>
      <w:tr w:rsidR="00AA74D7" w:rsidRPr="00AA74D7" w14:paraId="2DE72270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2CEED6AD" w14:textId="77777777" w:rsidR="00AA74D7" w:rsidRPr="00AA74D7" w:rsidRDefault="00AA74D7" w:rsidP="00AA74D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Total Income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61AE65AA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14,928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7A7F1B26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11,625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79416C53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11,587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5DE59F2A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4D180791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-0.3%</w:t>
            </w:r>
          </w:p>
        </w:tc>
      </w:tr>
      <w:tr w:rsidR="00AA74D7" w:rsidRPr="00AA74D7" w14:paraId="228FAB05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5B3D7"/>
            <w:vAlign w:val="center"/>
            <w:hideMark/>
          </w:tcPr>
          <w:p w14:paraId="1720F796" w14:textId="77777777" w:rsidR="00AA74D7" w:rsidRPr="00AA74D7" w:rsidRDefault="00AA74D7" w:rsidP="00AA74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55ACD3"/>
            </w:tcBorders>
            <w:shd w:val="clear" w:color="000000" w:fill="95B3D7"/>
            <w:vAlign w:val="center"/>
            <w:hideMark/>
          </w:tcPr>
          <w:p w14:paraId="66C6E140" w14:textId="77777777" w:rsidR="00AA74D7" w:rsidRPr="00AA74D7" w:rsidRDefault="00AA74D7" w:rsidP="00AA74D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Latest Budget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55ACD3"/>
            </w:tcBorders>
            <w:shd w:val="clear" w:color="000000" w:fill="95B3D7"/>
            <w:vAlign w:val="center"/>
            <w:hideMark/>
          </w:tcPr>
          <w:p w14:paraId="76BC3115" w14:textId="77777777" w:rsidR="00AA74D7" w:rsidRPr="00AA74D7" w:rsidRDefault="00AA74D7" w:rsidP="00AA74D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Budget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55ACD3"/>
            </w:tcBorders>
            <w:shd w:val="clear" w:color="000000" w:fill="95B3D7"/>
            <w:vAlign w:val="center"/>
            <w:hideMark/>
          </w:tcPr>
          <w:p w14:paraId="2CB3F4DB" w14:textId="77777777" w:rsidR="00AA74D7" w:rsidRPr="00AA74D7" w:rsidRDefault="00AA74D7" w:rsidP="00AA74D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Actual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0EC543B6" w14:textId="77777777" w:rsidR="00AA74D7" w:rsidRPr="00AA74D7" w:rsidRDefault="00AA74D7" w:rsidP="00AA74D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Variance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40C361E7" w14:textId="77777777" w:rsidR="00AA74D7" w:rsidRPr="00AA74D7" w:rsidRDefault="00AA74D7" w:rsidP="00AA74D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Variance</w:t>
            </w:r>
          </w:p>
        </w:tc>
      </w:tr>
      <w:tr w:rsidR="00AA74D7" w:rsidRPr="00AA74D7" w14:paraId="642FC68E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7CA098F5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Approvals - Operational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ED69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5,199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991B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4,306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0FB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4,280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4A9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0B63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-0.6%</w:t>
            </w:r>
          </w:p>
        </w:tc>
      </w:tr>
      <w:tr w:rsidR="00AA74D7" w:rsidRPr="00AA74D7" w14:paraId="203436EE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17E11D84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Approvals - Programme and Guidance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01F5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E5E6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6D9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EB0E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B54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-0.2%</w:t>
            </w:r>
          </w:p>
        </w:tc>
      </w:tr>
      <w:tr w:rsidR="00AA74D7" w:rsidRPr="00AA74D7" w14:paraId="4D419003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0E2C11E5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Approvals - Member Support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1F7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BE46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72B3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0CC0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05C7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-0.4%</w:t>
            </w:r>
          </w:p>
        </w:tc>
      </w:tr>
      <w:tr w:rsidR="00AA74D7" w:rsidRPr="00AA74D7" w14:paraId="3AA471A7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673EB26E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Research systems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2304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1,179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305C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671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A1FA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770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0.1%</w:t>
            </w:r>
          </w:p>
        </w:tc>
      </w:tr>
      <w:tr w:rsidR="00AA74D7" w:rsidRPr="00AA74D7" w14:paraId="40D52B16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51A8F5D3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Confidentiality Advisory Service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778B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EBCF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35A6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E5CA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50F8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-3.0%</w:t>
            </w:r>
          </w:p>
        </w:tc>
      </w:tr>
      <w:tr w:rsidR="00AA74D7" w:rsidRPr="00AA74D7" w14:paraId="44FD4A66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4CE2C189" w14:textId="77777777" w:rsidR="00AA74D7" w:rsidRPr="00AA74D7" w:rsidRDefault="00AA74D7" w:rsidP="00AA74D7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FFFFFF"/>
                <w:sz w:val="18"/>
                <w:szCs w:val="18"/>
              </w:rPr>
              <w:t>Total Services Expenditure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365F91"/>
            <w:noWrap/>
            <w:vAlign w:val="bottom"/>
            <w:hideMark/>
          </w:tcPr>
          <w:p w14:paraId="322776BE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FFFFFF"/>
                <w:sz w:val="22"/>
                <w:szCs w:val="22"/>
              </w:rPr>
              <w:t>7,922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365F91"/>
            <w:noWrap/>
            <w:vAlign w:val="bottom"/>
            <w:hideMark/>
          </w:tcPr>
          <w:p w14:paraId="2F0325ED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FFFFFF"/>
                <w:sz w:val="22"/>
                <w:szCs w:val="22"/>
              </w:rPr>
              <w:t>6,537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365F91"/>
            <w:noWrap/>
            <w:vAlign w:val="bottom"/>
            <w:hideMark/>
          </w:tcPr>
          <w:p w14:paraId="26D2B2D7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FFFFFF"/>
                <w:sz w:val="22"/>
                <w:szCs w:val="22"/>
              </w:rPr>
              <w:t>6,504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365F91"/>
            <w:noWrap/>
            <w:vAlign w:val="bottom"/>
            <w:hideMark/>
          </w:tcPr>
          <w:p w14:paraId="7C23AF5A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FFFFFF"/>
                <w:sz w:val="22"/>
                <w:szCs w:val="22"/>
              </w:rPr>
              <w:t>-34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365F91"/>
            <w:noWrap/>
            <w:vAlign w:val="bottom"/>
            <w:hideMark/>
          </w:tcPr>
          <w:p w14:paraId="000B1A51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FFFFFF"/>
                <w:sz w:val="22"/>
                <w:szCs w:val="22"/>
              </w:rPr>
              <w:t>-0.5%</w:t>
            </w:r>
          </w:p>
        </w:tc>
      </w:tr>
      <w:tr w:rsidR="00AA74D7" w:rsidRPr="00AA74D7" w14:paraId="74A384DD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441C1501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Chief Exec and Board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A8B3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8CA1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DFC4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55E4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F70C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-2.5%</w:t>
            </w:r>
          </w:p>
        </w:tc>
      </w:tr>
      <w:tr w:rsidR="00AA74D7" w:rsidRPr="00AA74D7" w14:paraId="6F766E1F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402CF5B7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Policy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8D2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3E0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5C11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F441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5A07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-2.0%</w:t>
            </w:r>
          </w:p>
        </w:tc>
      </w:tr>
      <w:tr w:rsidR="00AA74D7" w:rsidRPr="00AA74D7" w14:paraId="2CF478A1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2D6B8237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 xml:space="preserve">Governance </w:t>
            </w:r>
            <w:proofErr w:type="gramStart"/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inc.</w:t>
            </w:r>
            <w:proofErr w:type="spellEnd"/>
            <w:proofErr w:type="gramEnd"/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Quality)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41A3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D2E6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7C61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38E8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E171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0.9%</w:t>
            </w:r>
          </w:p>
        </w:tc>
      </w:tr>
      <w:tr w:rsidR="00AA74D7" w:rsidRPr="00AA74D7" w14:paraId="12EC6E05" w14:textId="77777777" w:rsidTr="00AA74D7">
        <w:trPr>
          <w:trHeight w:val="268"/>
        </w:trPr>
        <w:tc>
          <w:tcPr>
            <w:tcW w:w="3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39C48464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Training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CA3E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52B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187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16A5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972C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-1.4%</w:t>
            </w:r>
          </w:p>
        </w:tc>
      </w:tr>
      <w:tr w:rsidR="00AA74D7" w:rsidRPr="00AA74D7" w14:paraId="6BA7D4A6" w14:textId="77777777" w:rsidTr="00AA74D7">
        <w:trPr>
          <w:trHeight w:val="257"/>
        </w:trPr>
        <w:tc>
          <w:tcPr>
            <w:tcW w:w="354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13457309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 xml:space="preserve">Corporate Services </w:t>
            </w:r>
            <w:proofErr w:type="gramStart"/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  <w:proofErr w:type="gramEnd"/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 xml:space="preserve"> IT Services)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E31A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1,263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D8C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1,038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9C6C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1,051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CFE5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7D47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1.2%</w:t>
            </w:r>
          </w:p>
        </w:tc>
      </w:tr>
      <w:tr w:rsidR="00AA74D7" w:rsidRPr="00AA74D7" w14:paraId="73FC7EF6" w14:textId="77777777" w:rsidTr="00AA74D7">
        <w:trPr>
          <w:trHeight w:val="257"/>
        </w:trPr>
        <w:tc>
          <w:tcPr>
            <w:tcW w:w="354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2095C590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Transformation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F676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1,014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BD8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B22E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7D7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B7BC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0.9%</w:t>
            </w:r>
          </w:p>
        </w:tc>
      </w:tr>
      <w:tr w:rsidR="00AA74D7" w:rsidRPr="00AA74D7" w14:paraId="3DA03E6A" w14:textId="77777777" w:rsidTr="00AA74D7">
        <w:trPr>
          <w:trHeight w:val="257"/>
        </w:trPr>
        <w:tc>
          <w:tcPr>
            <w:tcW w:w="354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389F9123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Premises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C999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347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D577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F253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278E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0.1%</w:t>
            </w:r>
          </w:p>
        </w:tc>
      </w:tr>
      <w:tr w:rsidR="00AA74D7" w:rsidRPr="00AA74D7" w14:paraId="36B8C4BA" w14:textId="77777777" w:rsidTr="00AA74D7">
        <w:trPr>
          <w:trHeight w:val="257"/>
        </w:trPr>
        <w:tc>
          <w:tcPr>
            <w:tcW w:w="354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47873B74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Finance, Procurement &amp; Estates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ADE7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4BCF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3CB0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E269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B202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-1.2%</w:t>
            </w:r>
          </w:p>
        </w:tc>
      </w:tr>
      <w:tr w:rsidR="00AA74D7" w:rsidRPr="00AA74D7" w14:paraId="7B8FB856" w14:textId="77777777" w:rsidTr="00AA74D7">
        <w:trPr>
          <w:trHeight w:val="257"/>
        </w:trPr>
        <w:tc>
          <w:tcPr>
            <w:tcW w:w="354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695FF0C7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Reserves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0100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664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FFC8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C1A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7DE0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0.0%</w:t>
            </w:r>
          </w:p>
        </w:tc>
      </w:tr>
      <w:tr w:rsidR="00AA74D7" w:rsidRPr="00AA74D7" w14:paraId="47BECD56" w14:textId="77777777" w:rsidTr="00AA74D7">
        <w:trPr>
          <w:trHeight w:val="257"/>
        </w:trPr>
        <w:tc>
          <w:tcPr>
            <w:tcW w:w="354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539FC3C3" w14:textId="77777777" w:rsidR="00AA74D7" w:rsidRPr="00AA74D7" w:rsidRDefault="00AA74D7" w:rsidP="00AA7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D7">
              <w:rPr>
                <w:rFonts w:ascii="Arial" w:hAnsi="Arial" w:cs="Arial"/>
                <w:color w:val="000000"/>
                <w:sz w:val="18"/>
                <w:szCs w:val="18"/>
              </w:rPr>
              <w:t>Depreciation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E7E2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8CFC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8F1D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3721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E6E5" w14:textId="77777777" w:rsidR="00AA74D7" w:rsidRPr="00AA74D7" w:rsidRDefault="00AA74D7" w:rsidP="00AA7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4D7">
              <w:rPr>
                <w:rFonts w:ascii="Calibri" w:hAnsi="Calibri" w:cs="Calibri"/>
                <w:color w:val="000000"/>
                <w:sz w:val="22"/>
                <w:szCs w:val="22"/>
              </w:rPr>
              <w:t>0.0%</w:t>
            </w:r>
          </w:p>
        </w:tc>
      </w:tr>
      <w:tr w:rsidR="00AA74D7" w:rsidRPr="00AA74D7" w14:paraId="5946E139" w14:textId="77777777" w:rsidTr="00AA74D7">
        <w:trPr>
          <w:trHeight w:val="257"/>
        </w:trPr>
        <w:tc>
          <w:tcPr>
            <w:tcW w:w="354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7DD83687" w14:textId="77777777" w:rsidR="00AA74D7" w:rsidRPr="00AA74D7" w:rsidRDefault="00AA74D7" w:rsidP="00AA74D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Total Expenditure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6AB0D486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1CD5FFB5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11,625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58BF933A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11,588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487FF50E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6FE903E2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-0.3%</w:t>
            </w:r>
          </w:p>
        </w:tc>
      </w:tr>
      <w:tr w:rsidR="00AA74D7" w:rsidRPr="00AA74D7" w14:paraId="216D67C6" w14:textId="77777777" w:rsidTr="00AA74D7">
        <w:trPr>
          <w:trHeight w:val="257"/>
        </w:trPr>
        <w:tc>
          <w:tcPr>
            <w:tcW w:w="354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0F3B25BF" w14:textId="77777777" w:rsidR="00AA74D7" w:rsidRPr="00AA74D7" w:rsidRDefault="00AA74D7" w:rsidP="00AA74D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Surplus /Deficit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6B23C249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55E169AC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439FCEC4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64CC0287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0189E045" w14:textId="77777777" w:rsidR="00AA74D7" w:rsidRPr="00AA74D7" w:rsidRDefault="00AA74D7" w:rsidP="00AA74D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74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14:paraId="69236C15" w14:textId="77777777" w:rsidR="00706C3C" w:rsidRDefault="00706C3C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1BB829B4" w14:textId="77777777" w:rsidR="00706C3C" w:rsidRDefault="00706C3C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26C53745" w14:textId="0EF658C5" w:rsidR="001B0417" w:rsidRDefault="00E87F9E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F5159E">
        <w:rPr>
          <w:rFonts w:ascii="Arial" w:hAnsi="Arial" w:cs="Arial"/>
          <w:b/>
          <w:sz w:val="22"/>
          <w:szCs w:val="22"/>
        </w:rPr>
        <w:t>ighlight</w:t>
      </w:r>
      <w:r>
        <w:rPr>
          <w:rFonts w:ascii="Arial" w:hAnsi="Arial" w:cs="Arial"/>
          <w:b/>
          <w:sz w:val="22"/>
          <w:szCs w:val="22"/>
        </w:rPr>
        <w:t xml:space="preserve"> report</w:t>
      </w:r>
      <w:r w:rsidR="001B0417">
        <w:rPr>
          <w:rFonts w:ascii="Arial" w:hAnsi="Arial" w:cs="Arial"/>
          <w:b/>
          <w:sz w:val="22"/>
          <w:szCs w:val="22"/>
        </w:rPr>
        <w:t>:</w:t>
      </w:r>
    </w:p>
    <w:p w14:paraId="76E61892" w14:textId="715BA2F5" w:rsidR="003A2BEF" w:rsidRDefault="003A2BEF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Overall</w:t>
      </w:r>
    </w:p>
    <w:p w14:paraId="1305A9E5" w14:textId="77777777" w:rsidR="007B4C50" w:rsidRDefault="00C00CCF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previously reported, there are </w:t>
      </w:r>
      <w:r w:rsidRPr="00C00CCF">
        <w:rPr>
          <w:rFonts w:ascii="Arial" w:hAnsi="Arial" w:cs="Arial"/>
          <w:b/>
          <w:sz w:val="22"/>
          <w:szCs w:val="22"/>
        </w:rPr>
        <w:t>n</w:t>
      </w:r>
      <w:r w:rsidR="003A2BEF" w:rsidRPr="00E87F9E">
        <w:rPr>
          <w:rFonts w:ascii="Arial" w:hAnsi="Arial" w:cs="Arial"/>
          <w:b/>
          <w:sz w:val="22"/>
          <w:szCs w:val="22"/>
        </w:rPr>
        <w:t xml:space="preserve">o significant </w:t>
      </w:r>
      <w:r w:rsidR="00596377">
        <w:rPr>
          <w:rFonts w:ascii="Arial" w:hAnsi="Arial" w:cs="Arial"/>
          <w:b/>
          <w:sz w:val="22"/>
          <w:szCs w:val="22"/>
        </w:rPr>
        <w:t xml:space="preserve">financial </w:t>
      </w:r>
      <w:r w:rsidR="00212539">
        <w:rPr>
          <w:rFonts w:ascii="Arial" w:hAnsi="Arial" w:cs="Arial"/>
          <w:b/>
          <w:sz w:val="22"/>
          <w:szCs w:val="22"/>
        </w:rPr>
        <w:t>variances</w:t>
      </w:r>
      <w:r w:rsidR="003A2BEF" w:rsidRPr="003A2BEF">
        <w:rPr>
          <w:rFonts w:ascii="Arial" w:hAnsi="Arial" w:cs="Arial"/>
          <w:sz w:val="22"/>
          <w:szCs w:val="22"/>
        </w:rPr>
        <w:t xml:space="preserve"> </w:t>
      </w:r>
      <w:r w:rsidR="00455FF2">
        <w:rPr>
          <w:rFonts w:ascii="Arial" w:hAnsi="Arial" w:cs="Arial"/>
          <w:sz w:val="22"/>
          <w:szCs w:val="22"/>
        </w:rPr>
        <w:t>on</w:t>
      </w:r>
      <w:r w:rsidR="00E554BD">
        <w:rPr>
          <w:rFonts w:ascii="Arial" w:hAnsi="Arial" w:cs="Arial"/>
          <w:sz w:val="22"/>
          <w:szCs w:val="22"/>
        </w:rPr>
        <w:t xml:space="preserve"> business as usual activities</w:t>
      </w:r>
      <w:r w:rsidR="00596377">
        <w:rPr>
          <w:rFonts w:ascii="Arial" w:hAnsi="Arial" w:cs="Arial"/>
          <w:sz w:val="22"/>
          <w:szCs w:val="22"/>
        </w:rPr>
        <w:t xml:space="preserve"> </w:t>
      </w:r>
      <w:r w:rsidR="00212539">
        <w:rPr>
          <w:rFonts w:ascii="Arial" w:hAnsi="Arial" w:cs="Arial"/>
          <w:sz w:val="22"/>
          <w:szCs w:val="22"/>
        </w:rPr>
        <w:t xml:space="preserve">although budget pressure remains. </w:t>
      </w:r>
      <w:proofErr w:type="spellStart"/>
      <w:r w:rsidR="00212539">
        <w:rPr>
          <w:rFonts w:ascii="Arial" w:hAnsi="Arial" w:cs="Arial"/>
          <w:sz w:val="22"/>
          <w:szCs w:val="22"/>
        </w:rPr>
        <w:t>Finanical</w:t>
      </w:r>
      <w:proofErr w:type="spellEnd"/>
      <w:r w:rsidR="00212539">
        <w:rPr>
          <w:rFonts w:ascii="Arial" w:hAnsi="Arial" w:cs="Arial"/>
          <w:sz w:val="22"/>
          <w:szCs w:val="22"/>
        </w:rPr>
        <w:t xml:space="preserve"> management has benefited from </w:t>
      </w:r>
      <w:r w:rsidR="00596377">
        <w:rPr>
          <w:rFonts w:ascii="Arial" w:hAnsi="Arial" w:cs="Arial"/>
          <w:sz w:val="22"/>
          <w:szCs w:val="22"/>
        </w:rPr>
        <w:t>tight control of costs and budgets</w:t>
      </w:r>
      <w:r w:rsidR="0021253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12539">
        <w:rPr>
          <w:rFonts w:ascii="Arial" w:hAnsi="Arial" w:cs="Arial"/>
          <w:sz w:val="22"/>
          <w:szCs w:val="22"/>
        </w:rPr>
        <w:t>with  b</w:t>
      </w:r>
      <w:r w:rsidR="00596377">
        <w:rPr>
          <w:rFonts w:ascii="Arial" w:hAnsi="Arial" w:cs="Arial"/>
          <w:sz w:val="22"/>
          <w:szCs w:val="22"/>
        </w:rPr>
        <w:t>udget</w:t>
      </w:r>
      <w:proofErr w:type="gramEnd"/>
      <w:r w:rsidR="00596377">
        <w:rPr>
          <w:rFonts w:ascii="Arial" w:hAnsi="Arial" w:cs="Arial"/>
          <w:sz w:val="22"/>
          <w:szCs w:val="22"/>
        </w:rPr>
        <w:t xml:space="preserve"> managers support</w:t>
      </w:r>
      <w:r w:rsidR="00212539">
        <w:rPr>
          <w:rFonts w:ascii="Arial" w:hAnsi="Arial" w:cs="Arial"/>
          <w:sz w:val="22"/>
          <w:szCs w:val="22"/>
        </w:rPr>
        <w:t>ed</w:t>
      </w:r>
      <w:r w:rsidR="00596377">
        <w:rPr>
          <w:rFonts w:ascii="Arial" w:hAnsi="Arial" w:cs="Arial"/>
          <w:sz w:val="22"/>
          <w:szCs w:val="22"/>
        </w:rPr>
        <w:t xml:space="preserve"> </w:t>
      </w:r>
      <w:r w:rsidR="00212539">
        <w:rPr>
          <w:rFonts w:ascii="Arial" w:hAnsi="Arial" w:cs="Arial"/>
          <w:sz w:val="22"/>
          <w:szCs w:val="22"/>
        </w:rPr>
        <w:t>by</w:t>
      </w:r>
      <w:r w:rsidR="00042BFF">
        <w:rPr>
          <w:rFonts w:ascii="Arial" w:hAnsi="Arial" w:cs="Arial"/>
          <w:sz w:val="22"/>
          <w:szCs w:val="22"/>
        </w:rPr>
        <w:t xml:space="preserve"> finance colleagues </w:t>
      </w:r>
      <w:r w:rsidR="00596377">
        <w:rPr>
          <w:rFonts w:ascii="Arial" w:hAnsi="Arial" w:cs="Arial"/>
          <w:sz w:val="22"/>
          <w:szCs w:val="22"/>
        </w:rPr>
        <w:t>manag</w:t>
      </w:r>
      <w:r w:rsidR="00212539">
        <w:rPr>
          <w:rFonts w:ascii="Arial" w:hAnsi="Arial" w:cs="Arial"/>
          <w:sz w:val="22"/>
          <w:szCs w:val="22"/>
        </w:rPr>
        <w:t>ing the</w:t>
      </w:r>
      <w:r w:rsidR="00596377">
        <w:rPr>
          <w:rFonts w:ascii="Arial" w:hAnsi="Arial" w:cs="Arial"/>
          <w:sz w:val="22"/>
          <w:szCs w:val="22"/>
        </w:rPr>
        <w:t xml:space="preserve"> resources</w:t>
      </w:r>
      <w:r w:rsidR="00212539">
        <w:rPr>
          <w:rFonts w:ascii="Arial" w:hAnsi="Arial" w:cs="Arial"/>
          <w:sz w:val="22"/>
          <w:szCs w:val="22"/>
        </w:rPr>
        <w:t xml:space="preserve"> delegated to them</w:t>
      </w:r>
      <w:r w:rsidR="00596377">
        <w:rPr>
          <w:rFonts w:ascii="Arial" w:hAnsi="Arial" w:cs="Arial"/>
          <w:sz w:val="22"/>
          <w:szCs w:val="22"/>
        </w:rPr>
        <w:t xml:space="preserve"> carefully</w:t>
      </w:r>
      <w:r w:rsidR="00212539">
        <w:rPr>
          <w:rFonts w:ascii="Arial" w:hAnsi="Arial" w:cs="Arial"/>
          <w:sz w:val="22"/>
          <w:szCs w:val="22"/>
        </w:rPr>
        <w:t xml:space="preserve">, in line with </w:t>
      </w:r>
      <w:r w:rsidR="00596377">
        <w:rPr>
          <w:rFonts w:ascii="Arial" w:hAnsi="Arial" w:cs="Arial"/>
          <w:sz w:val="22"/>
          <w:szCs w:val="22"/>
        </w:rPr>
        <w:t xml:space="preserve">our statutory and strategic objectives. </w:t>
      </w:r>
      <w:r w:rsidR="001014E2">
        <w:rPr>
          <w:rFonts w:ascii="Arial" w:hAnsi="Arial" w:cs="Arial"/>
          <w:sz w:val="22"/>
          <w:szCs w:val="22"/>
        </w:rPr>
        <w:t xml:space="preserve">With a significant proportion of costs recurrent and committed, organisational change </w:t>
      </w:r>
      <w:proofErr w:type="spellStart"/>
      <w:r w:rsidR="001014E2">
        <w:rPr>
          <w:rFonts w:ascii="Arial" w:hAnsi="Arial" w:cs="Arial"/>
          <w:sz w:val="22"/>
          <w:szCs w:val="22"/>
        </w:rPr>
        <w:t>proesses</w:t>
      </w:r>
      <w:proofErr w:type="spellEnd"/>
      <w:r w:rsidR="001014E2">
        <w:rPr>
          <w:rFonts w:ascii="Arial" w:hAnsi="Arial" w:cs="Arial"/>
          <w:sz w:val="22"/>
          <w:szCs w:val="22"/>
        </w:rPr>
        <w:t xml:space="preserve"> throughout the HRA in 2017 – 2019 have helped reduce fixed costs to meet spending review requirements. Over £700k </w:t>
      </w:r>
      <w:r w:rsidR="00BE6E7E">
        <w:rPr>
          <w:rFonts w:ascii="Arial" w:hAnsi="Arial" w:cs="Arial"/>
          <w:sz w:val="22"/>
          <w:szCs w:val="22"/>
        </w:rPr>
        <w:t xml:space="preserve">(6%) </w:t>
      </w:r>
      <w:r w:rsidR="001014E2">
        <w:rPr>
          <w:rFonts w:ascii="Arial" w:hAnsi="Arial" w:cs="Arial"/>
          <w:sz w:val="22"/>
          <w:szCs w:val="22"/>
        </w:rPr>
        <w:t>economies have been achieved through these initiatives</w:t>
      </w:r>
      <w:r w:rsidR="00BE6E7E">
        <w:rPr>
          <w:rFonts w:ascii="Arial" w:hAnsi="Arial" w:cs="Arial"/>
          <w:sz w:val="22"/>
          <w:szCs w:val="22"/>
        </w:rPr>
        <w:t xml:space="preserve"> with an overall reduction in FTE </w:t>
      </w:r>
      <w:r w:rsidR="00BE6E7E" w:rsidRPr="00042BFF">
        <w:rPr>
          <w:rFonts w:ascii="Arial" w:hAnsi="Arial" w:cs="Arial"/>
          <w:sz w:val="22"/>
          <w:szCs w:val="22"/>
        </w:rPr>
        <w:t xml:space="preserve">of </w:t>
      </w:r>
      <w:r w:rsidR="007534AD" w:rsidRPr="00042BFF">
        <w:rPr>
          <w:rFonts w:ascii="Arial" w:hAnsi="Arial" w:cs="Arial"/>
          <w:sz w:val="22"/>
          <w:szCs w:val="22"/>
        </w:rPr>
        <w:t>20</w:t>
      </w:r>
      <w:r w:rsidR="00D17A2A">
        <w:rPr>
          <w:rFonts w:ascii="Arial" w:hAnsi="Arial" w:cs="Arial"/>
          <w:sz w:val="22"/>
          <w:szCs w:val="22"/>
        </w:rPr>
        <w:t xml:space="preserve"> (approx. 10%)</w:t>
      </w:r>
      <w:r w:rsidR="001014E2" w:rsidRPr="00042BFF">
        <w:rPr>
          <w:rFonts w:ascii="Arial" w:hAnsi="Arial" w:cs="Arial"/>
          <w:sz w:val="22"/>
          <w:szCs w:val="22"/>
        </w:rPr>
        <w:t>.</w:t>
      </w:r>
      <w:r w:rsidR="001014E2">
        <w:rPr>
          <w:rFonts w:ascii="Arial" w:hAnsi="Arial" w:cs="Arial"/>
          <w:sz w:val="22"/>
          <w:szCs w:val="22"/>
        </w:rPr>
        <w:t xml:space="preserve"> </w:t>
      </w:r>
    </w:p>
    <w:p w14:paraId="74499651" w14:textId="08D26F4D" w:rsidR="003A2BEF" w:rsidRDefault="001014E2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Despite these steps, l</w:t>
      </w:r>
      <w:r w:rsidR="0067265E">
        <w:rPr>
          <w:rFonts w:ascii="Arial" w:hAnsi="Arial" w:cs="Arial"/>
          <w:sz w:val="22"/>
          <w:szCs w:val="22"/>
        </w:rPr>
        <w:t xml:space="preserve">ong-term impact of tight fiscal environment </w:t>
      </w:r>
      <w:r w:rsidR="00C00CCF">
        <w:rPr>
          <w:rFonts w:ascii="Arial" w:hAnsi="Arial" w:cs="Arial"/>
          <w:sz w:val="22"/>
          <w:szCs w:val="22"/>
        </w:rPr>
        <w:t>remains</w:t>
      </w:r>
      <w:r w:rsidR="0067265E">
        <w:rPr>
          <w:rFonts w:ascii="Arial" w:hAnsi="Arial" w:cs="Arial"/>
          <w:sz w:val="22"/>
          <w:szCs w:val="22"/>
        </w:rPr>
        <w:t xml:space="preserve"> a concern</w:t>
      </w:r>
      <w:r w:rsidR="00BE6E7E">
        <w:rPr>
          <w:rFonts w:ascii="Arial" w:hAnsi="Arial" w:cs="Arial"/>
          <w:sz w:val="22"/>
          <w:szCs w:val="22"/>
        </w:rPr>
        <w:t xml:space="preserve"> with no ‘head-room’ in Grant </w:t>
      </w:r>
      <w:proofErr w:type="gramStart"/>
      <w:r w:rsidR="00BE6E7E">
        <w:rPr>
          <w:rFonts w:ascii="Arial" w:hAnsi="Arial" w:cs="Arial"/>
          <w:sz w:val="22"/>
          <w:szCs w:val="22"/>
        </w:rPr>
        <w:t>In</w:t>
      </w:r>
      <w:proofErr w:type="gramEnd"/>
      <w:r w:rsidR="00BE6E7E">
        <w:rPr>
          <w:rFonts w:ascii="Arial" w:hAnsi="Arial" w:cs="Arial"/>
          <w:sz w:val="22"/>
          <w:szCs w:val="22"/>
        </w:rPr>
        <w:t xml:space="preserve"> Aid funding to invest</w:t>
      </w:r>
      <w:r>
        <w:rPr>
          <w:rFonts w:ascii="Arial" w:hAnsi="Arial" w:cs="Arial"/>
          <w:sz w:val="22"/>
          <w:szCs w:val="22"/>
        </w:rPr>
        <w:t xml:space="preserve">. </w:t>
      </w:r>
      <w:r w:rsidR="00212539">
        <w:rPr>
          <w:rFonts w:ascii="Arial" w:hAnsi="Arial" w:cs="Arial"/>
          <w:sz w:val="22"/>
          <w:szCs w:val="22"/>
        </w:rPr>
        <w:t xml:space="preserve">Further streamlining and automating of processes </w:t>
      </w:r>
      <w:r w:rsidR="007B4C50">
        <w:rPr>
          <w:rFonts w:ascii="Arial" w:hAnsi="Arial" w:cs="Arial"/>
          <w:sz w:val="22"/>
          <w:szCs w:val="22"/>
        </w:rPr>
        <w:t>are key if we are to achieve our</w:t>
      </w:r>
      <w:r w:rsidR="00212539">
        <w:rPr>
          <w:rFonts w:ascii="Arial" w:hAnsi="Arial" w:cs="Arial"/>
          <w:sz w:val="22"/>
          <w:szCs w:val="22"/>
        </w:rPr>
        <w:t xml:space="preserve"> target operating model along with </w:t>
      </w:r>
      <w:r w:rsidR="007B4C50">
        <w:rPr>
          <w:rFonts w:ascii="Arial" w:hAnsi="Arial" w:cs="Arial"/>
          <w:sz w:val="22"/>
          <w:szCs w:val="22"/>
        </w:rPr>
        <w:t xml:space="preserve">continued </w:t>
      </w:r>
      <w:r w:rsidR="0021253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ost reduction </w:t>
      </w:r>
      <w:r w:rsidR="00212539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developing new sources of revenue to achieve a sustainable model for the future. </w:t>
      </w:r>
      <w:r w:rsidR="00CD5079">
        <w:rPr>
          <w:rFonts w:ascii="Arial" w:hAnsi="Arial" w:cs="Arial"/>
          <w:sz w:val="22"/>
          <w:szCs w:val="22"/>
        </w:rPr>
        <w:t xml:space="preserve"> </w:t>
      </w:r>
      <w:r w:rsidR="00D83E02">
        <w:rPr>
          <w:rFonts w:ascii="Arial" w:hAnsi="Arial" w:cs="Arial"/>
          <w:sz w:val="22"/>
          <w:szCs w:val="22"/>
        </w:rPr>
        <w:t xml:space="preserve"> </w:t>
      </w:r>
    </w:p>
    <w:p w14:paraId="4618963D" w14:textId="671D57B3" w:rsidR="00BE6E7E" w:rsidRDefault="00F932A5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F932A5">
        <w:rPr>
          <w:rFonts w:ascii="Arial" w:hAnsi="Arial" w:cs="Arial"/>
          <w:b/>
          <w:sz w:val="22"/>
          <w:szCs w:val="22"/>
        </w:rPr>
        <w:t>Transformation costs</w:t>
      </w:r>
      <w:r>
        <w:rPr>
          <w:rFonts w:ascii="Arial" w:hAnsi="Arial" w:cs="Arial"/>
          <w:sz w:val="22"/>
          <w:szCs w:val="22"/>
        </w:rPr>
        <w:t xml:space="preserve"> </w:t>
      </w:r>
      <w:r w:rsidRPr="00042BFF">
        <w:rPr>
          <w:rFonts w:ascii="Arial" w:hAnsi="Arial" w:cs="Arial"/>
          <w:sz w:val="22"/>
          <w:szCs w:val="22"/>
        </w:rPr>
        <w:t>include research systems replacement programme £</w:t>
      </w:r>
      <w:r w:rsidR="00C87C69" w:rsidRPr="00042BFF">
        <w:rPr>
          <w:rFonts w:ascii="Arial" w:hAnsi="Arial" w:cs="Arial"/>
          <w:sz w:val="22"/>
          <w:szCs w:val="22"/>
        </w:rPr>
        <w:t>2</w:t>
      </w:r>
      <w:r w:rsidRPr="00042BFF">
        <w:rPr>
          <w:rFonts w:ascii="Arial" w:hAnsi="Arial" w:cs="Arial"/>
          <w:sz w:val="22"/>
          <w:szCs w:val="22"/>
        </w:rPr>
        <w:t>,</w:t>
      </w:r>
      <w:r w:rsidR="00CA23D6" w:rsidRPr="00042BFF">
        <w:rPr>
          <w:rFonts w:ascii="Arial" w:hAnsi="Arial" w:cs="Arial"/>
          <w:sz w:val="22"/>
          <w:szCs w:val="22"/>
        </w:rPr>
        <w:t>00</w:t>
      </w:r>
      <w:r w:rsidRPr="00042BFF">
        <w:rPr>
          <w:rFonts w:ascii="Arial" w:hAnsi="Arial" w:cs="Arial"/>
          <w:sz w:val="22"/>
          <w:szCs w:val="22"/>
        </w:rPr>
        <w:t>2k</w:t>
      </w:r>
      <w:r w:rsidR="00596377" w:rsidRPr="00042BFF">
        <w:rPr>
          <w:rFonts w:ascii="Arial" w:hAnsi="Arial" w:cs="Arial"/>
          <w:sz w:val="22"/>
          <w:szCs w:val="22"/>
        </w:rPr>
        <w:t xml:space="preserve"> (£</w:t>
      </w:r>
      <w:r w:rsidR="00706C3C" w:rsidRPr="00042BFF">
        <w:rPr>
          <w:rFonts w:ascii="Arial" w:hAnsi="Arial" w:cs="Arial"/>
          <w:sz w:val="22"/>
          <w:szCs w:val="22"/>
        </w:rPr>
        <w:t>759</w:t>
      </w:r>
      <w:r w:rsidR="00596377" w:rsidRPr="00042BFF">
        <w:rPr>
          <w:rFonts w:ascii="Arial" w:hAnsi="Arial" w:cs="Arial"/>
          <w:sz w:val="22"/>
          <w:szCs w:val="22"/>
        </w:rPr>
        <w:t>k revenue; £</w:t>
      </w:r>
      <w:r w:rsidR="00706C3C" w:rsidRPr="00042BFF">
        <w:rPr>
          <w:rFonts w:ascii="Arial" w:hAnsi="Arial" w:cs="Arial"/>
          <w:sz w:val="22"/>
          <w:szCs w:val="22"/>
        </w:rPr>
        <w:t>1,243k</w:t>
      </w:r>
      <w:r w:rsidR="00596377" w:rsidRPr="00042BFF">
        <w:rPr>
          <w:rFonts w:ascii="Arial" w:hAnsi="Arial" w:cs="Arial"/>
          <w:sz w:val="22"/>
          <w:szCs w:val="22"/>
        </w:rPr>
        <w:t xml:space="preserve"> capital)</w:t>
      </w:r>
      <w:r w:rsidRPr="00042BFF">
        <w:rPr>
          <w:rFonts w:ascii="Arial" w:hAnsi="Arial" w:cs="Arial"/>
          <w:sz w:val="22"/>
          <w:szCs w:val="22"/>
        </w:rPr>
        <w:t xml:space="preserve">, future services programme </w:t>
      </w:r>
      <w:r w:rsidR="00BE6E7E" w:rsidRPr="00042BFF">
        <w:rPr>
          <w:rFonts w:ascii="Arial" w:hAnsi="Arial" w:cs="Arial"/>
          <w:sz w:val="22"/>
          <w:szCs w:val="22"/>
        </w:rPr>
        <w:t xml:space="preserve">(FSP) </w:t>
      </w:r>
      <w:r w:rsidRPr="00042BFF">
        <w:rPr>
          <w:rFonts w:ascii="Arial" w:hAnsi="Arial" w:cs="Arial"/>
          <w:sz w:val="22"/>
          <w:szCs w:val="22"/>
        </w:rPr>
        <w:t xml:space="preserve">(to replace our </w:t>
      </w:r>
      <w:r w:rsidR="0067265E" w:rsidRPr="00042BFF">
        <w:rPr>
          <w:rFonts w:ascii="Arial" w:hAnsi="Arial" w:cs="Arial"/>
          <w:sz w:val="22"/>
          <w:szCs w:val="22"/>
        </w:rPr>
        <w:t>ICT</w:t>
      </w:r>
      <w:r w:rsidR="00CF2146" w:rsidRPr="00042BFF">
        <w:rPr>
          <w:rFonts w:ascii="Arial" w:hAnsi="Arial" w:cs="Arial"/>
          <w:sz w:val="22"/>
          <w:szCs w:val="22"/>
        </w:rPr>
        <w:t xml:space="preserve"> infrastructure support</w:t>
      </w:r>
      <w:r w:rsidRPr="00042BFF">
        <w:rPr>
          <w:rFonts w:ascii="Arial" w:hAnsi="Arial" w:cs="Arial"/>
          <w:sz w:val="22"/>
          <w:szCs w:val="22"/>
        </w:rPr>
        <w:t xml:space="preserve"> contract</w:t>
      </w:r>
      <w:r w:rsidR="0067265E" w:rsidRPr="00042BFF">
        <w:rPr>
          <w:rFonts w:ascii="Arial" w:hAnsi="Arial" w:cs="Arial"/>
          <w:sz w:val="22"/>
          <w:szCs w:val="22"/>
        </w:rPr>
        <w:t xml:space="preserve"> and invest in Windows 10</w:t>
      </w:r>
      <w:r w:rsidRPr="00042BFF">
        <w:rPr>
          <w:rFonts w:ascii="Arial" w:hAnsi="Arial" w:cs="Arial"/>
          <w:sz w:val="22"/>
          <w:szCs w:val="22"/>
        </w:rPr>
        <w:t>) £192k</w:t>
      </w:r>
      <w:r>
        <w:rPr>
          <w:rFonts w:ascii="Arial" w:hAnsi="Arial" w:cs="Arial"/>
          <w:sz w:val="22"/>
          <w:szCs w:val="22"/>
        </w:rPr>
        <w:t xml:space="preserve"> and service improvement programme activity £</w:t>
      </w:r>
      <w:r w:rsidR="000A1033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 xml:space="preserve">k. </w:t>
      </w:r>
      <w:r w:rsidR="001014E2">
        <w:rPr>
          <w:rFonts w:ascii="Arial" w:hAnsi="Arial" w:cs="Arial"/>
          <w:sz w:val="22"/>
          <w:szCs w:val="22"/>
        </w:rPr>
        <w:t>E</w:t>
      </w:r>
      <w:r w:rsidR="00CD5079">
        <w:rPr>
          <w:rFonts w:ascii="Arial" w:hAnsi="Arial" w:cs="Arial"/>
          <w:sz w:val="22"/>
          <w:szCs w:val="22"/>
        </w:rPr>
        <w:t xml:space="preserve">xpenditure </w:t>
      </w:r>
      <w:r w:rsidR="001014E2">
        <w:rPr>
          <w:rFonts w:ascii="Arial" w:hAnsi="Arial" w:cs="Arial"/>
          <w:sz w:val="22"/>
          <w:szCs w:val="22"/>
        </w:rPr>
        <w:t>continues to be</w:t>
      </w:r>
      <w:r w:rsidR="00C87C69">
        <w:rPr>
          <w:rFonts w:ascii="Arial" w:hAnsi="Arial" w:cs="Arial"/>
          <w:sz w:val="22"/>
          <w:szCs w:val="22"/>
        </w:rPr>
        <w:t xml:space="preserve"> managed within budget</w:t>
      </w:r>
      <w:r w:rsidR="001014E2">
        <w:rPr>
          <w:rFonts w:ascii="Arial" w:hAnsi="Arial" w:cs="Arial"/>
          <w:sz w:val="22"/>
          <w:szCs w:val="22"/>
        </w:rPr>
        <w:t>. As previously reported bu</w:t>
      </w:r>
      <w:r w:rsidR="00C87C69">
        <w:rPr>
          <w:rFonts w:ascii="Arial" w:hAnsi="Arial" w:cs="Arial"/>
          <w:sz w:val="22"/>
          <w:szCs w:val="22"/>
        </w:rPr>
        <w:t xml:space="preserve">dget </w:t>
      </w:r>
      <w:r w:rsidR="00031CF6">
        <w:rPr>
          <w:rFonts w:ascii="Arial" w:hAnsi="Arial" w:cs="Arial"/>
          <w:sz w:val="22"/>
          <w:szCs w:val="22"/>
        </w:rPr>
        <w:t xml:space="preserve">pressure </w:t>
      </w:r>
      <w:r w:rsidR="003D466B">
        <w:rPr>
          <w:rFonts w:ascii="Arial" w:hAnsi="Arial" w:cs="Arial"/>
          <w:sz w:val="22"/>
          <w:szCs w:val="22"/>
        </w:rPr>
        <w:t>in research system replacement programme remans and is being managed through programme governance structure with oversight from HRA Board. Phase 2 of this programme is</w:t>
      </w:r>
      <w:r w:rsidR="001014E2">
        <w:rPr>
          <w:rFonts w:ascii="Arial" w:hAnsi="Arial" w:cs="Arial"/>
          <w:sz w:val="22"/>
          <w:szCs w:val="22"/>
        </w:rPr>
        <w:t xml:space="preserve"> </w:t>
      </w:r>
      <w:r w:rsidR="00C87C69">
        <w:rPr>
          <w:rFonts w:ascii="Arial" w:hAnsi="Arial" w:cs="Arial"/>
          <w:sz w:val="22"/>
          <w:szCs w:val="22"/>
        </w:rPr>
        <w:t xml:space="preserve">subject to a separate business case. </w:t>
      </w:r>
      <w:r w:rsidR="001014E2">
        <w:rPr>
          <w:rFonts w:ascii="Arial" w:hAnsi="Arial" w:cs="Arial"/>
          <w:sz w:val="22"/>
          <w:szCs w:val="22"/>
        </w:rPr>
        <w:t>F</w:t>
      </w:r>
      <w:r w:rsidR="00BE6E7E">
        <w:rPr>
          <w:rFonts w:ascii="Arial" w:hAnsi="Arial" w:cs="Arial"/>
          <w:sz w:val="22"/>
          <w:szCs w:val="22"/>
        </w:rPr>
        <w:t>SP</w:t>
      </w:r>
      <w:r w:rsidR="001014E2">
        <w:rPr>
          <w:rFonts w:ascii="Arial" w:hAnsi="Arial" w:cs="Arial"/>
          <w:sz w:val="22"/>
          <w:szCs w:val="22"/>
        </w:rPr>
        <w:t xml:space="preserve"> </w:t>
      </w:r>
      <w:r w:rsidR="00BE6E7E">
        <w:rPr>
          <w:rFonts w:ascii="Arial" w:hAnsi="Arial" w:cs="Arial"/>
          <w:sz w:val="22"/>
          <w:szCs w:val="22"/>
        </w:rPr>
        <w:t xml:space="preserve">and Windows 10 </w:t>
      </w:r>
      <w:r w:rsidR="001014E2">
        <w:rPr>
          <w:rFonts w:ascii="Arial" w:hAnsi="Arial" w:cs="Arial"/>
          <w:sz w:val="22"/>
          <w:szCs w:val="22"/>
        </w:rPr>
        <w:t xml:space="preserve">costs are predicted to be lower than planned this year </w:t>
      </w:r>
      <w:r w:rsidR="003D466B">
        <w:rPr>
          <w:rFonts w:ascii="Arial" w:hAnsi="Arial" w:cs="Arial"/>
          <w:sz w:val="22"/>
          <w:szCs w:val="22"/>
        </w:rPr>
        <w:t>(approx.</w:t>
      </w:r>
      <w:r w:rsidR="00AA74D7">
        <w:rPr>
          <w:rFonts w:ascii="Arial" w:hAnsi="Arial" w:cs="Arial"/>
          <w:sz w:val="22"/>
          <w:szCs w:val="22"/>
        </w:rPr>
        <w:t xml:space="preserve"> </w:t>
      </w:r>
      <w:r w:rsidR="003D466B">
        <w:rPr>
          <w:rFonts w:ascii="Arial" w:hAnsi="Arial" w:cs="Arial"/>
          <w:sz w:val="22"/>
          <w:szCs w:val="22"/>
        </w:rPr>
        <w:t xml:space="preserve">£50k) </w:t>
      </w:r>
      <w:r w:rsidR="001014E2">
        <w:rPr>
          <w:rFonts w:ascii="Arial" w:hAnsi="Arial" w:cs="Arial"/>
          <w:sz w:val="22"/>
          <w:szCs w:val="22"/>
        </w:rPr>
        <w:t xml:space="preserve">due to delay in getting the </w:t>
      </w:r>
      <w:r w:rsidR="00BE6E7E">
        <w:rPr>
          <w:rFonts w:ascii="Arial" w:hAnsi="Arial" w:cs="Arial"/>
          <w:sz w:val="22"/>
          <w:szCs w:val="22"/>
        </w:rPr>
        <w:t xml:space="preserve">FSP </w:t>
      </w:r>
      <w:r w:rsidR="001014E2">
        <w:rPr>
          <w:rFonts w:ascii="Arial" w:hAnsi="Arial" w:cs="Arial"/>
          <w:sz w:val="22"/>
          <w:szCs w:val="22"/>
        </w:rPr>
        <w:t xml:space="preserve">programme up and running. </w:t>
      </w:r>
      <w:r w:rsidR="007B4C50">
        <w:rPr>
          <w:rFonts w:ascii="Arial" w:hAnsi="Arial" w:cs="Arial"/>
          <w:sz w:val="22"/>
          <w:szCs w:val="22"/>
        </w:rPr>
        <w:t>F</w:t>
      </w:r>
      <w:r w:rsidR="003D466B">
        <w:rPr>
          <w:rFonts w:ascii="Arial" w:hAnsi="Arial" w:cs="Arial"/>
          <w:sz w:val="22"/>
          <w:szCs w:val="22"/>
        </w:rPr>
        <w:t>unding for this programme for next ye</w:t>
      </w:r>
      <w:r w:rsidR="007B4C50">
        <w:rPr>
          <w:rFonts w:ascii="Arial" w:hAnsi="Arial" w:cs="Arial"/>
          <w:sz w:val="22"/>
          <w:szCs w:val="22"/>
        </w:rPr>
        <w:t xml:space="preserve">ar </w:t>
      </w:r>
      <w:r w:rsidR="003D466B">
        <w:rPr>
          <w:rFonts w:ascii="Arial" w:hAnsi="Arial" w:cs="Arial"/>
          <w:sz w:val="22"/>
          <w:szCs w:val="22"/>
        </w:rPr>
        <w:t xml:space="preserve">are </w:t>
      </w:r>
      <w:proofErr w:type="spellStart"/>
      <w:r w:rsidR="003D466B">
        <w:rPr>
          <w:rFonts w:ascii="Arial" w:hAnsi="Arial" w:cs="Arial"/>
          <w:sz w:val="22"/>
          <w:szCs w:val="22"/>
        </w:rPr>
        <w:t>anticpated</w:t>
      </w:r>
      <w:proofErr w:type="spellEnd"/>
      <w:r w:rsidR="003D466B">
        <w:rPr>
          <w:rFonts w:ascii="Arial" w:hAnsi="Arial" w:cs="Arial"/>
          <w:sz w:val="22"/>
          <w:szCs w:val="22"/>
        </w:rPr>
        <w:t xml:space="preserve"> to be higher than previously estimated due to this year’s delay. </w:t>
      </w:r>
      <w:r w:rsidR="001014E2">
        <w:rPr>
          <w:rFonts w:ascii="Arial" w:hAnsi="Arial" w:cs="Arial"/>
          <w:sz w:val="22"/>
          <w:szCs w:val="22"/>
        </w:rPr>
        <w:t>HRA i</w:t>
      </w:r>
      <w:r w:rsidR="00503304">
        <w:rPr>
          <w:rFonts w:ascii="Arial" w:hAnsi="Arial" w:cs="Arial"/>
          <w:sz w:val="22"/>
          <w:szCs w:val="22"/>
        </w:rPr>
        <w:t xml:space="preserve">s represented on the FSP Board </w:t>
      </w:r>
      <w:r w:rsidR="001014E2">
        <w:rPr>
          <w:rFonts w:ascii="Arial" w:hAnsi="Arial" w:cs="Arial"/>
          <w:sz w:val="22"/>
          <w:szCs w:val="22"/>
        </w:rPr>
        <w:t>to ensure adequate due diligence is in place</w:t>
      </w:r>
      <w:r w:rsidR="00BE6E7E">
        <w:rPr>
          <w:rFonts w:ascii="Arial" w:hAnsi="Arial" w:cs="Arial"/>
          <w:sz w:val="22"/>
          <w:szCs w:val="22"/>
        </w:rPr>
        <w:t>.</w:t>
      </w:r>
    </w:p>
    <w:p w14:paraId="384882E5" w14:textId="77777777" w:rsidR="00455FF2" w:rsidRDefault="00C87C69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Savings achieved</w:t>
      </w:r>
      <w:r w:rsidR="009D5B01" w:rsidRPr="009D5B01">
        <w:rPr>
          <w:rFonts w:ascii="Arial" w:hAnsi="Arial" w:cs="Arial"/>
          <w:i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£397k recurrent savings have been achieved through activities initiated in</w:t>
      </w:r>
      <w:r w:rsidR="001014E2">
        <w:rPr>
          <w:rFonts w:ascii="Arial" w:hAnsi="Arial" w:cs="Arial"/>
          <w:sz w:val="22"/>
          <w:szCs w:val="22"/>
        </w:rPr>
        <w:t xml:space="preserve"> 2017/18. Further savings of £33</w:t>
      </w:r>
      <w:r>
        <w:rPr>
          <w:rFonts w:ascii="Arial" w:hAnsi="Arial" w:cs="Arial"/>
          <w:sz w:val="22"/>
          <w:szCs w:val="22"/>
        </w:rPr>
        <w:t>0k have been ring</w:t>
      </w:r>
      <w:r w:rsidR="0034527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fenced through 2018/19 activities</w:t>
      </w:r>
      <w:r w:rsidR="001014E2">
        <w:rPr>
          <w:rFonts w:ascii="Arial" w:hAnsi="Arial" w:cs="Arial"/>
          <w:sz w:val="22"/>
          <w:szCs w:val="22"/>
        </w:rPr>
        <w:t xml:space="preserve"> relating to organisational change</w:t>
      </w:r>
      <w:r>
        <w:rPr>
          <w:rFonts w:ascii="Arial" w:hAnsi="Arial" w:cs="Arial"/>
          <w:sz w:val="22"/>
          <w:szCs w:val="22"/>
        </w:rPr>
        <w:t xml:space="preserve">. </w:t>
      </w:r>
      <w:r w:rsidR="003D466B">
        <w:rPr>
          <w:rFonts w:ascii="Arial" w:hAnsi="Arial" w:cs="Arial"/>
          <w:sz w:val="22"/>
          <w:szCs w:val="22"/>
        </w:rPr>
        <w:t xml:space="preserve">HRA are also reviewing our </w:t>
      </w:r>
      <w:r w:rsidR="00BE6E7E">
        <w:rPr>
          <w:rFonts w:ascii="Arial" w:hAnsi="Arial" w:cs="Arial"/>
          <w:sz w:val="22"/>
          <w:szCs w:val="22"/>
        </w:rPr>
        <w:t xml:space="preserve">existing </w:t>
      </w:r>
      <w:r w:rsidR="003D466B">
        <w:rPr>
          <w:rFonts w:ascii="Arial" w:hAnsi="Arial" w:cs="Arial"/>
          <w:sz w:val="22"/>
          <w:szCs w:val="22"/>
        </w:rPr>
        <w:t xml:space="preserve">contractual arrangements to gain efficiencies and </w:t>
      </w:r>
      <w:proofErr w:type="spellStart"/>
      <w:r w:rsidR="003D466B">
        <w:rPr>
          <w:rFonts w:ascii="Arial" w:hAnsi="Arial" w:cs="Arial"/>
          <w:sz w:val="22"/>
          <w:szCs w:val="22"/>
        </w:rPr>
        <w:t>economes</w:t>
      </w:r>
      <w:proofErr w:type="spellEnd"/>
      <w:r w:rsidR="003D466B">
        <w:rPr>
          <w:rFonts w:ascii="Arial" w:hAnsi="Arial" w:cs="Arial"/>
          <w:sz w:val="22"/>
          <w:szCs w:val="22"/>
        </w:rPr>
        <w:t xml:space="preserve"> from commercial arrangements where contract terms permit. </w:t>
      </w:r>
    </w:p>
    <w:p w14:paraId="50D251C6" w14:textId="70FDEDB8" w:rsidR="00A946A5" w:rsidRPr="00A946A5" w:rsidRDefault="00A946A5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A946A5">
        <w:rPr>
          <w:rFonts w:ascii="Arial" w:hAnsi="Arial" w:cs="Arial"/>
          <w:b/>
          <w:sz w:val="22"/>
          <w:szCs w:val="22"/>
        </w:rPr>
        <w:t>Key variances:</w:t>
      </w:r>
    </w:p>
    <w:p w14:paraId="2F97F6D1" w14:textId="08F72306" w:rsidR="00345275" w:rsidRPr="00634E3E" w:rsidRDefault="00A94983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Approvals – </w:t>
      </w:r>
      <w:r w:rsidR="00AA74D7">
        <w:rPr>
          <w:rFonts w:ascii="Arial" w:hAnsi="Arial" w:cs="Arial"/>
          <w:b/>
          <w:sz w:val="22"/>
          <w:szCs w:val="22"/>
        </w:rPr>
        <w:t>Operational</w:t>
      </w:r>
      <w:r w:rsidR="00A946A5" w:rsidRPr="00A946A5">
        <w:rPr>
          <w:rFonts w:ascii="Arial" w:hAnsi="Arial" w:cs="Arial"/>
          <w:b/>
          <w:sz w:val="22"/>
          <w:szCs w:val="22"/>
        </w:rPr>
        <w:t>:</w:t>
      </w:r>
      <w:r w:rsidR="00A946A5">
        <w:rPr>
          <w:rFonts w:ascii="Arial" w:hAnsi="Arial" w:cs="Arial"/>
          <w:sz w:val="22"/>
          <w:szCs w:val="22"/>
        </w:rPr>
        <w:t xml:space="preserve"> £</w:t>
      </w:r>
      <w:r w:rsidR="00AA74D7">
        <w:rPr>
          <w:rFonts w:ascii="Arial" w:hAnsi="Arial" w:cs="Arial"/>
          <w:sz w:val="22"/>
          <w:szCs w:val="22"/>
        </w:rPr>
        <w:t>27</w:t>
      </w:r>
      <w:r w:rsidR="00A946A5">
        <w:rPr>
          <w:rFonts w:ascii="Arial" w:hAnsi="Arial" w:cs="Arial"/>
          <w:sz w:val="22"/>
          <w:szCs w:val="22"/>
        </w:rPr>
        <w:t xml:space="preserve">k, </w:t>
      </w:r>
      <w:r w:rsidR="00AA74D7">
        <w:rPr>
          <w:rFonts w:ascii="Arial" w:hAnsi="Arial" w:cs="Arial"/>
          <w:sz w:val="22"/>
          <w:szCs w:val="22"/>
        </w:rPr>
        <w:t>0.6</w:t>
      </w:r>
      <w:r w:rsidR="00A946A5">
        <w:rPr>
          <w:rFonts w:ascii="Arial" w:hAnsi="Arial" w:cs="Arial"/>
          <w:sz w:val="22"/>
          <w:szCs w:val="22"/>
        </w:rPr>
        <w:t xml:space="preserve">%. </w:t>
      </w:r>
      <w:r w:rsidR="00031CF6" w:rsidRPr="00360DD1">
        <w:rPr>
          <w:rFonts w:ascii="Arial" w:hAnsi="Arial" w:cs="Arial"/>
          <w:sz w:val="22"/>
          <w:szCs w:val="22"/>
        </w:rPr>
        <w:t>Current</w:t>
      </w:r>
      <w:r w:rsidRPr="00360DD1">
        <w:rPr>
          <w:rFonts w:ascii="Arial" w:hAnsi="Arial" w:cs="Arial"/>
          <w:sz w:val="22"/>
          <w:szCs w:val="22"/>
        </w:rPr>
        <w:t xml:space="preserve"> unders</w:t>
      </w:r>
      <w:r w:rsidR="00580C34" w:rsidRPr="00360DD1">
        <w:rPr>
          <w:rFonts w:ascii="Arial" w:hAnsi="Arial" w:cs="Arial"/>
          <w:sz w:val="22"/>
          <w:szCs w:val="22"/>
        </w:rPr>
        <w:t xml:space="preserve">pend relates </w:t>
      </w:r>
      <w:r w:rsidR="00634E3E" w:rsidRPr="00360DD1">
        <w:rPr>
          <w:rFonts w:ascii="Arial" w:hAnsi="Arial" w:cs="Arial"/>
          <w:sz w:val="22"/>
          <w:szCs w:val="22"/>
        </w:rPr>
        <w:t>to</w:t>
      </w:r>
      <w:r w:rsidRPr="00360DD1">
        <w:rPr>
          <w:rFonts w:ascii="Arial" w:hAnsi="Arial" w:cs="Arial"/>
          <w:sz w:val="22"/>
          <w:szCs w:val="22"/>
        </w:rPr>
        <w:t xml:space="preserve"> </w:t>
      </w:r>
      <w:r w:rsidR="00E82107" w:rsidRPr="00360DD1">
        <w:rPr>
          <w:rFonts w:ascii="Arial" w:hAnsi="Arial" w:cs="Arial"/>
          <w:sz w:val="22"/>
          <w:szCs w:val="22"/>
        </w:rPr>
        <w:t>non-</w:t>
      </w:r>
      <w:r w:rsidRPr="00360DD1">
        <w:rPr>
          <w:rFonts w:ascii="Arial" w:hAnsi="Arial" w:cs="Arial"/>
          <w:sz w:val="22"/>
          <w:szCs w:val="22"/>
        </w:rPr>
        <w:t xml:space="preserve">pay </w:t>
      </w:r>
      <w:r w:rsidR="00E82107" w:rsidRPr="00360DD1">
        <w:rPr>
          <w:rFonts w:ascii="Arial" w:hAnsi="Arial" w:cs="Arial"/>
          <w:sz w:val="22"/>
          <w:szCs w:val="22"/>
        </w:rPr>
        <w:t xml:space="preserve">travel </w:t>
      </w:r>
      <w:r w:rsidRPr="00360DD1">
        <w:rPr>
          <w:rFonts w:ascii="Arial" w:hAnsi="Arial" w:cs="Arial"/>
          <w:sz w:val="22"/>
          <w:szCs w:val="22"/>
        </w:rPr>
        <w:t>costs</w:t>
      </w:r>
      <w:r w:rsidR="00345275" w:rsidRPr="00360DD1">
        <w:rPr>
          <w:rFonts w:ascii="Arial" w:hAnsi="Arial" w:cs="Arial"/>
          <w:sz w:val="22"/>
          <w:szCs w:val="22"/>
        </w:rPr>
        <w:t xml:space="preserve">. </w:t>
      </w:r>
      <w:r w:rsidR="00E82107" w:rsidRPr="00360DD1">
        <w:rPr>
          <w:rFonts w:ascii="Arial" w:hAnsi="Arial" w:cs="Arial"/>
          <w:sz w:val="22"/>
          <w:szCs w:val="22"/>
        </w:rPr>
        <w:t xml:space="preserve">This underspend is expected to reduce </w:t>
      </w:r>
      <w:r w:rsidR="00360DD1" w:rsidRPr="00360DD1">
        <w:rPr>
          <w:rFonts w:ascii="Arial" w:hAnsi="Arial" w:cs="Arial"/>
          <w:sz w:val="22"/>
          <w:szCs w:val="22"/>
        </w:rPr>
        <w:t xml:space="preserve">due to increased team meetings/new process days </w:t>
      </w:r>
      <w:r w:rsidR="007B4C50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7B4C50">
        <w:rPr>
          <w:rFonts w:ascii="Arial" w:hAnsi="Arial" w:cs="Arial"/>
          <w:sz w:val="22"/>
          <w:szCs w:val="22"/>
        </w:rPr>
        <w:t>prepration</w:t>
      </w:r>
      <w:proofErr w:type="spellEnd"/>
      <w:r w:rsidR="00360DD1" w:rsidRPr="00360DD1">
        <w:rPr>
          <w:rFonts w:ascii="Arial" w:hAnsi="Arial" w:cs="Arial"/>
          <w:sz w:val="22"/>
          <w:szCs w:val="22"/>
        </w:rPr>
        <w:t xml:space="preserve"> </w:t>
      </w:r>
      <w:r w:rsidR="007B4C50">
        <w:rPr>
          <w:rFonts w:ascii="Arial" w:hAnsi="Arial" w:cs="Arial"/>
          <w:sz w:val="22"/>
          <w:szCs w:val="22"/>
        </w:rPr>
        <w:t xml:space="preserve">for </w:t>
      </w:r>
      <w:r w:rsidR="00C00CCF" w:rsidRPr="00360DD1">
        <w:rPr>
          <w:rFonts w:ascii="Arial" w:hAnsi="Arial" w:cs="Arial"/>
          <w:sz w:val="22"/>
          <w:szCs w:val="22"/>
        </w:rPr>
        <w:t>delivering the new integrated structure</w:t>
      </w:r>
      <w:r w:rsidR="004E362D" w:rsidRPr="00360DD1">
        <w:rPr>
          <w:rFonts w:ascii="Arial" w:hAnsi="Arial" w:cs="Arial"/>
          <w:sz w:val="22"/>
          <w:szCs w:val="22"/>
        </w:rPr>
        <w:t xml:space="preserve"> </w:t>
      </w:r>
      <w:r w:rsidR="007B4C50">
        <w:rPr>
          <w:rFonts w:ascii="Arial" w:hAnsi="Arial" w:cs="Arial"/>
          <w:sz w:val="22"/>
          <w:szCs w:val="22"/>
        </w:rPr>
        <w:t>from 1 April 2019</w:t>
      </w:r>
      <w:r w:rsidR="004E362D" w:rsidRPr="00360DD1">
        <w:rPr>
          <w:rFonts w:ascii="Arial" w:hAnsi="Arial" w:cs="Arial"/>
          <w:sz w:val="22"/>
          <w:szCs w:val="22"/>
        </w:rPr>
        <w:t>.</w:t>
      </w:r>
    </w:p>
    <w:p w14:paraId="73E47A40" w14:textId="22B1B642" w:rsidR="00A946A5" w:rsidRDefault="00AA74D7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Corporate </w:t>
      </w:r>
      <w:r w:rsidR="006962D1">
        <w:rPr>
          <w:rFonts w:ascii="Arial" w:hAnsi="Arial" w:cs="Arial"/>
          <w:b/>
          <w:sz w:val="22"/>
          <w:szCs w:val="22"/>
        </w:rPr>
        <w:t>Services (</w:t>
      </w:r>
      <w:proofErr w:type="spellStart"/>
      <w:r w:rsidR="006962D1">
        <w:rPr>
          <w:rFonts w:ascii="Arial" w:hAnsi="Arial" w:cs="Arial"/>
          <w:b/>
          <w:sz w:val="22"/>
          <w:szCs w:val="22"/>
        </w:rPr>
        <w:t>inc</w:t>
      </w:r>
      <w:proofErr w:type="spellEnd"/>
      <w:r w:rsidR="006962D1">
        <w:rPr>
          <w:rFonts w:ascii="Arial" w:hAnsi="Arial" w:cs="Arial"/>
          <w:b/>
          <w:sz w:val="22"/>
          <w:szCs w:val="22"/>
        </w:rPr>
        <w:t xml:space="preserve"> IT Services)</w:t>
      </w:r>
      <w:r w:rsidR="00482A94" w:rsidRPr="00482A94">
        <w:rPr>
          <w:rFonts w:ascii="Arial" w:hAnsi="Arial" w:cs="Arial"/>
          <w:b/>
          <w:sz w:val="22"/>
          <w:szCs w:val="22"/>
        </w:rPr>
        <w:t>:</w:t>
      </w:r>
      <w:r w:rsidR="00C00CCF">
        <w:rPr>
          <w:rFonts w:ascii="Arial" w:hAnsi="Arial" w:cs="Arial"/>
          <w:sz w:val="22"/>
          <w:szCs w:val="22"/>
        </w:rPr>
        <w:t xml:space="preserve"> £</w:t>
      </w:r>
      <w:r w:rsidR="004E362D">
        <w:rPr>
          <w:rFonts w:ascii="Arial" w:hAnsi="Arial" w:cs="Arial"/>
          <w:sz w:val="22"/>
          <w:szCs w:val="22"/>
        </w:rPr>
        <w:t>1</w:t>
      </w:r>
      <w:r w:rsidR="006962D1">
        <w:rPr>
          <w:rFonts w:ascii="Arial" w:hAnsi="Arial" w:cs="Arial"/>
          <w:sz w:val="22"/>
          <w:szCs w:val="22"/>
        </w:rPr>
        <w:t>3</w:t>
      </w:r>
      <w:r w:rsidR="00C00CCF">
        <w:rPr>
          <w:rFonts w:ascii="Arial" w:hAnsi="Arial" w:cs="Arial"/>
          <w:sz w:val="22"/>
          <w:szCs w:val="22"/>
        </w:rPr>
        <w:t>k, 1</w:t>
      </w:r>
      <w:r w:rsidR="00482A94">
        <w:rPr>
          <w:rFonts w:ascii="Arial" w:hAnsi="Arial" w:cs="Arial"/>
          <w:sz w:val="22"/>
          <w:szCs w:val="22"/>
        </w:rPr>
        <w:t>.</w:t>
      </w:r>
      <w:r w:rsidR="006962D1">
        <w:rPr>
          <w:rFonts w:ascii="Arial" w:hAnsi="Arial" w:cs="Arial"/>
          <w:sz w:val="22"/>
          <w:szCs w:val="22"/>
        </w:rPr>
        <w:t>2</w:t>
      </w:r>
      <w:r w:rsidR="00482A94">
        <w:rPr>
          <w:rFonts w:ascii="Arial" w:hAnsi="Arial" w:cs="Arial"/>
          <w:sz w:val="22"/>
          <w:szCs w:val="22"/>
        </w:rPr>
        <w:t>%</w:t>
      </w:r>
      <w:r w:rsidR="00C00CCF">
        <w:rPr>
          <w:rFonts w:ascii="Arial" w:hAnsi="Arial" w:cs="Arial"/>
          <w:sz w:val="22"/>
          <w:szCs w:val="22"/>
        </w:rPr>
        <w:t>.</w:t>
      </w:r>
      <w:r w:rsidR="00834E91" w:rsidRPr="00834E91">
        <w:rPr>
          <w:rFonts w:ascii="Arial" w:hAnsi="Arial" w:cs="Arial"/>
          <w:sz w:val="22"/>
          <w:szCs w:val="22"/>
        </w:rPr>
        <w:t xml:space="preserve"> </w:t>
      </w:r>
      <w:r w:rsidR="00C00CCF" w:rsidRPr="00360DD1">
        <w:rPr>
          <w:rFonts w:ascii="Arial" w:hAnsi="Arial" w:cs="Arial"/>
          <w:sz w:val="22"/>
          <w:szCs w:val="22"/>
        </w:rPr>
        <w:t>O</w:t>
      </w:r>
      <w:r w:rsidR="00634E3E" w:rsidRPr="00360DD1">
        <w:rPr>
          <w:rFonts w:ascii="Arial" w:hAnsi="Arial" w:cs="Arial"/>
          <w:sz w:val="22"/>
          <w:szCs w:val="22"/>
        </w:rPr>
        <w:t xml:space="preserve">verspend is due </w:t>
      </w:r>
      <w:r w:rsidR="00360DD1" w:rsidRPr="00360DD1">
        <w:rPr>
          <w:rFonts w:ascii="Arial" w:hAnsi="Arial" w:cs="Arial"/>
          <w:sz w:val="22"/>
          <w:szCs w:val="22"/>
        </w:rPr>
        <w:t>increased Open Service IT costs resulting from a correction to the re-charge mechanism in year.</w:t>
      </w:r>
      <w:r w:rsidR="000B58FC">
        <w:rPr>
          <w:rFonts w:ascii="Arial" w:hAnsi="Arial" w:cs="Arial"/>
          <w:sz w:val="22"/>
          <w:szCs w:val="22"/>
        </w:rPr>
        <w:t xml:space="preserve"> </w:t>
      </w:r>
    </w:p>
    <w:p w14:paraId="1F32F0A6" w14:textId="1459AE68" w:rsidR="00644946" w:rsidRPr="00E87F9E" w:rsidRDefault="00644946" w:rsidP="0064494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</w:t>
      </w:r>
      <w:r w:rsidR="003B588A">
        <w:rPr>
          <w:rFonts w:ascii="Arial" w:hAnsi="Arial" w:cs="Arial"/>
          <w:b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>: financial r</w:t>
      </w:r>
      <w:r w:rsidRPr="00E87F9E">
        <w:rPr>
          <w:rFonts w:ascii="Arial" w:hAnsi="Arial" w:cs="Arial"/>
          <w:b/>
          <w:sz w:val="22"/>
          <w:szCs w:val="22"/>
        </w:rPr>
        <w:t>isks:</w:t>
      </w:r>
    </w:p>
    <w:p w14:paraId="0046CC7A" w14:textId="77777777" w:rsidR="003B588A" w:rsidRDefault="00107AC8" w:rsidP="006F7BBA">
      <w:pPr>
        <w:pStyle w:val="ListParagraph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Complexity of r</w:t>
      </w:r>
      <w:r w:rsidR="009C621C">
        <w:rPr>
          <w:rFonts w:ascii="Arial" w:hAnsi="Arial" w:cs="Arial"/>
          <w:b/>
          <w:sz w:val="22"/>
          <w:szCs w:val="22"/>
        </w:rPr>
        <w:t xml:space="preserve">esearch systems, interoperability and Brexit </w:t>
      </w:r>
      <w:r w:rsidR="00345275" w:rsidRPr="00345275">
        <w:rPr>
          <w:rFonts w:ascii="Arial" w:hAnsi="Arial" w:cs="Arial"/>
          <w:sz w:val="22"/>
          <w:szCs w:val="22"/>
        </w:rPr>
        <w:t xml:space="preserve">present financial risk to the HRA. Costs associated with the current architecture may increase due to significant delivery risk, </w:t>
      </w:r>
      <w:r w:rsidR="00345275">
        <w:rPr>
          <w:rFonts w:ascii="Arial" w:hAnsi="Arial" w:cs="Arial"/>
          <w:sz w:val="22"/>
          <w:szCs w:val="22"/>
        </w:rPr>
        <w:t xml:space="preserve">creation of </w:t>
      </w:r>
      <w:r w:rsidR="00345275" w:rsidRPr="00345275">
        <w:rPr>
          <w:rFonts w:ascii="Arial" w:hAnsi="Arial" w:cs="Arial"/>
          <w:sz w:val="22"/>
          <w:szCs w:val="22"/>
        </w:rPr>
        <w:t xml:space="preserve">technical debt and </w:t>
      </w:r>
      <w:r w:rsidR="00345275">
        <w:rPr>
          <w:rFonts w:ascii="Arial" w:hAnsi="Arial" w:cs="Arial"/>
          <w:sz w:val="22"/>
          <w:szCs w:val="22"/>
        </w:rPr>
        <w:t xml:space="preserve">additional </w:t>
      </w:r>
      <w:r w:rsidR="00345275" w:rsidRPr="00345275">
        <w:rPr>
          <w:rFonts w:ascii="Arial" w:hAnsi="Arial" w:cs="Arial"/>
          <w:sz w:val="22"/>
          <w:szCs w:val="22"/>
        </w:rPr>
        <w:t xml:space="preserve">costs of parallel running. </w:t>
      </w:r>
      <w:r w:rsidR="009C5576">
        <w:rPr>
          <w:rFonts w:ascii="Arial" w:hAnsi="Arial" w:cs="Arial"/>
          <w:sz w:val="22"/>
          <w:szCs w:val="22"/>
        </w:rPr>
        <w:t xml:space="preserve">DHSC are aware of this risk and are working with the HRA to secure a funded solution. </w:t>
      </w:r>
      <w:r w:rsidR="006F7BBA">
        <w:rPr>
          <w:rFonts w:ascii="Arial" w:hAnsi="Arial" w:cs="Arial"/>
          <w:sz w:val="22"/>
          <w:szCs w:val="22"/>
        </w:rPr>
        <w:t xml:space="preserve"> </w:t>
      </w:r>
      <w:r w:rsidR="006F7BBA" w:rsidRPr="003B588A">
        <w:rPr>
          <w:rFonts w:ascii="Arial" w:hAnsi="Arial" w:cs="Arial"/>
          <w:sz w:val="22"/>
          <w:szCs w:val="22"/>
        </w:rPr>
        <w:t xml:space="preserve"> </w:t>
      </w:r>
    </w:p>
    <w:p w14:paraId="371F1254" w14:textId="77777777" w:rsidR="00F32D53" w:rsidRPr="003B588A" w:rsidRDefault="00F32D53" w:rsidP="00F32D53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14:paraId="3E0EE839" w14:textId="77777777" w:rsidR="00F32D53" w:rsidRDefault="00455FF2" w:rsidP="00F32D53">
      <w:pPr>
        <w:pStyle w:val="ListParagraph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F7BBA">
        <w:rPr>
          <w:rFonts w:ascii="Arial" w:hAnsi="Arial" w:cs="Arial"/>
          <w:b/>
          <w:sz w:val="22"/>
          <w:szCs w:val="22"/>
        </w:rPr>
        <w:t>Organisational and technological s</w:t>
      </w:r>
      <w:r w:rsidR="003B588A" w:rsidRPr="006F7BBA">
        <w:rPr>
          <w:rFonts w:ascii="Arial" w:hAnsi="Arial" w:cs="Arial"/>
          <w:b/>
          <w:sz w:val="22"/>
          <w:szCs w:val="22"/>
        </w:rPr>
        <w:t>ystem change</w:t>
      </w:r>
      <w:r w:rsidRPr="006F7BBA">
        <w:rPr>
          <w:rFonts w:ascii="Arial" w:hAnsi="Arial" w:cs="Arial"/>
          <w:b/>
          <w:sz w:val="22"/>
          <w:szCs w:val="22"/>
        </w:rPr>
        <w:t>s</w:t>
      </w:r>
      <w:r w:rsidR="003B588A" w:rsidRPr="006F7BBA">
        <w:rPr>
          <w:rFonts w:ascii="Arial" w:hAnsi="Arial" w:cs="Arial"/>
          <w:b/>
          <w:sz w:val="22"/>
          <w:szCs w:val="22"/>
        </w:rPr>
        <w:t xml:space="preserve"> </w:t>
      </w:r>
      <w:r w:rsidR="009C5576">
        <w:rPr>
          <w:rFonts w:ascii="Arial" w:hAnsi="Arial" w:cs="Arial"/>
          <w:b/>
          <w:sz w:val="22"/>
          <w:szCs w:val="22"/>
        </w:rPr>
        <w:t>have identified</w:t>
      </w:r>
      <w:r w:rsidR="003B588A" w:rsidRPr="006F7BBA">
        <w:rPr>
          <w:rFonts w:ascii="Arial" w:hAnsi="Arial" w:cs="Arial"/>
          <w:b/>
          <w:sz w:val="22"/>
          <w:szCs w:val="22"/>
        </w:rPr>
        <w:t xml:space="preserve"> </w:t>
      </w:r>
      <w:r w:rsidR="00E300B0">
        <w:rPr>
          <w:rFonts w:ascii="Arial" w:hAnsi="Arial" w:cs="Arial"/>
          <w:b/>
          <w:sz w:val="22"/>
          <w:szCs w:val="22"/>
        </w:rPr>
        <w:t>£7</w:t>
      </w:r>
      <w:r w:rsidR="00C91E8F" w:rsidRPr="006F7BBA">
        <w:rPr>
          <w:rFonts w:ascii="Arial" w:hAnsi="Arial" w:cs="Arial"/>
          <w:b/>
          <w:sz w:val="22"/>
          <w:szCs w:val="22"/>
        </w:rPr>
        <w:t>00k (</w:t>
      </w:r>
      <w:r w:rsidR="009C5576">
        <w:rPr>
          <w:rFonts w:ascii="Arial" w:hAnsi="Arial" w:cs="Arial"/>
          <w:b/>
          <w:sz w:val="22"/>
          <w:szCs w:val="22"/>
        </w:rPr>
        <w:t>approx.</w:t>
      </w:r>
      <w:r w:rsidR="00E300B0">
        <w:rPr>
          <w:rFonts w:ascii="Arial" w:hAnsi="Arial" w:cs="Arial"/>
          <w:b/>
          <w:sz w:val="22"/>
          <w:szCs w:val="22"/>
        </w:rPr>
        <w:t xml:space="preserve"> 6</w:t>
      </w:r>
      <w:r w:rsidR="00C91E8F" w:rsidRPr="006F7BBA">
        <w:rPr>
          <w:rFonts w:ascii="Arial" w:hAnsi="Arial" w:cs="Arial"/>
          <w:b/>
          <w:sz w:val="22"/>
          <w:szCs w:val="22"/>
        </w:rPr>
        <w:t xml:space="preserve">%) </w:t>
      </w:r>
      <w:r w:rsidR="003B588A" w:rsidRPr="006F7BBA">
        <w:rPr>
          <w:rFonts w:ascii="Arial" w:hAnsi="Arial" w:cs="Arial"/>
          <w:b/>
          <w:sz w:val="22"/>
          <w:szCs w:val="22"/>
        </w:rPr>
        <w:t>economies</w:t>
      </w:r>
      <w:r w:rsidR="003B588A" w:rsidRPr="006F7BBA">
        <w:rPr>
          <w:rFonts w:ascii="Arial" w:hAnsi="Arial" w:cs="Arial"/>
          <w:sz w:val="22"/>
          <w:szCs w:val="22"/>
        </w:rPr>
        <w:t xml:space="preserve"> to meet spending review requirements </w:t>
      </w:r>
      <w:r w:rsidR="00C91E8F" w:rsidRPr="006F7BBA">
        <w:rPr>
          <w:rFonts w:ascii="Arial" w:hAnsi="Arial" w:cs="Arial"/>
          <w:sz w:val="22"/>
          <w:szCs w:val="22"/>
        </w:rPr>
        <w:t>in 2019/20</w:t>
      </w:r>
      <w:r w:rsidR="00834E91">
        <w:rPr>
          <w:rFonts w:ascii="Arial" w:hAnsi="Arial" w:cs="Arial"/>
          <w:sz w:val="22"/>
          <w:szCs w:val="22"/>
        </w:rPr>
        <w:t xml:space="preserve">. </w:t>
      </w:r>
      <w:r w:rsidR="009C5576">
        <w:rPr>
          <w:rFonts w:ascii="Arial" w:hAnsi="Arial" w:cs="Arial"/>
          <w:sz w:val="22"/>
          <w:szCs w:val="22"/>
        </w:rPr>
        <w:t>Despite th</w:t>
      </w:r>
      <w:r w:rsidR="00815443">
        <w:rPr>
          <w:rFonts w:ascii="Arial" w:hAnsi="Arial" w:cs="Arial"/>
          <w:sz w:val="22"/>
          <w:szCs w:val="22"/>
        </w:rPr>
        <w:t xml:space="preserve">ese savings, cost increases arising from external </w:t>
      </w:r>
      <w:r w:rsidR="00F57970">
        <w:rPr>
          <w:rFonts w:ascii="Arial" w:hAnsi="Arial" w:cs="Arial"/>
          <w:sz w:val="22"/>
          <w:szCs w:val="22"/>
        </w:rPr>
        <w:t>environment</w:t>
      </w:r>
      <w:r w:rsidR="00815443">
        <w:rPr>
          <w:rFonts w:ascii="Arial" w:hAnsi="Arial" w:cs="Arial"/>
          <w:sz w:val="22"/>
          <w:szCs w:val="22"/>
        </w:rPr>
        <w:t xml:space="preserve"> (Agenda for Change 2018 terms and conditions; NHS Pensions Employers Contribution proposed increase</w:t>
      </w:r>
      <w:r w:rsidR="00F57970">
        <w:rPr>
          <w:rFonts w:ascii="Arial" w:hAnsi="Arial" w:cs="Arial"/>
          <w:sz w:val="22"/>
          <w:szCs w:val="22"/>
        </w:rPr>
        <w:t xml:space="preserve"> and F</w:t>
      </w:r>
      <w:r w:rsidR="005973C0">
        <w:rPr>
          <w:rFonts w:ascii="Arial" w:hAnsi="Arial" w:cs="Arial"/>
          <w:sz w:val="22"/>
          <w:szCs w:val="22"/>
        </w:rPr>
        <w:t>SP</w:t>
      </w:r>
      <w:r w:rsidR="00815443">
        <w:rPr>
          <w:rFonts w:ascii="Arial" w:hAnsi="Arial" w:cs="Arial"/>
          <w:sz w:val="22"/>
          <w:szCs w:val="22"/>
        </w:rPr>
        <w:t xml:space="preserve">) place further </w:t>
      </w:r>
      <w:r w:rsidR="00F57970">
        <w:rPr>
          <w:rFonts w:ascii="Arial" w:hAnsi="Arial" w:cs="Arial"/>
          <w:sz w:val="22"/>
          <w:szCs w:val="22"/>
        </w:rPr>
        <w:t xml:space="preserve">challenge on </w:t>
      </w:r>
      <w:r w:rsidR="00F57970">
        <w:rPr>
          <w:rFonts w:ascii="Arial" w:hAnsi="Arial" w:cs="Arial"/>
          <w:sz w:val="22"/>
          <w:szCs w:val="22"/>
        </w:rPr>
        <w:lastRenderedPageBreak/>
        <w:t xml:space="preserve">limited funds. These challenges will be discussed with DHSC finance to agree funding approach but remain a concern. </w:t>
      </w:r>
      <w:r w:rsidR="009C5576">
        <w:rPr>
          <w:rFonts w:ascii="Arial" w:hAnsi="Arial" w:cs="Arial"/>
          <w:sz w:val="22"/>
          <w:szCs w:val="22"/>
        </w:rPr>
        <w:t xml:space="preserve"> </w:t>
      </w:r>
    </w:p>
    <w:p w14:paraId="5CEFB469" w14:textId="77777777" w:rsidR="00F32D53" w:rsidRPr="00F32D53" w:rsidRDefault="00F32D53" w:rsidP="00F32D53">
      <w:pPr>
        <w:pStyle w:val="ListParagraph"/>
        <w:rPr>
          <w:rFonts w:ascii="Arial" w:hAnsi="Arial" w:cs="Arial"/>
          <w:sz w:val="22"/>
          <w:szCs w:val="22"/>
        </w:rPr>
      </w:pPr>
    </w:p>
    <w:p w14:paraId="72E91AF3" w14:textId="0FA71CDF" w:rsidR="00F32D53" w:rsidRDefault="00F32D53" w:rsidP="00F32D53">
      <w:pPr>
        <w:pStyle w:val="ListParagraph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32D53">
        <w:rPr>
          <w:rFonts w:ascii="Arial" w:hAnsi="Arial" w:cs="Arial"/>
          <w:b/>
          <w:sz w:val="22"/>
          <w:szCs w:val="22"/>
        </w:rPr>
        <w:t>Increasing pressure to deliver on transparency</w:t>
      </w:r>
      <w:r w:rsidRPr="00F32D53">
        <w:rPr>
          <w:rFonts w:ascii="Arial" w:hAnsi="Arial" w:cs="Arial"/>
          <w:sz w:val="22"/>
          <w:szCs w:val="22"/>
        </w:rPr>
        <w:t xml:space="preserve"> </w:t>
      </w:r>
      <w:r w:rsidRPr="00F32D53">
        <w:rPr>
          <w:rFonts w:ascii="Arial" w:hAnsi="Arial" w:cs="Arial"/>
          <w:b/>
          <w:sz w:val="22"/>
          <w:szCs w:val="22"/>
        </w:rPr>
        <w:t xml:space="preserve">remit </w:t>
      </w:r>
      <w:r w:rsidRPr="00F32D53">
        <w:rPr>
          <w:rFonts w:ascii="Arial" w:hAnsi="Arial" w:cs="Arial"/>
          <w:sz w:val="22"/>
          <w:szCs w:val="22"/>
        </w:rPr>
        <w:t xml:space="preserve">could place additional demands on already limited resources. Requirements are being reviewed with initial response to select committee report by the end of the calendar year.   </w:t>
      </w:r>
    </w:p>
    <w:p w14:paraId="73BBD150" w14:textId="77777777" w:rsidR="00F57970" w:rsidRPr="00F57970" w:rsidRDefault="00F57970" w:rsidP="00F57970">
      <w:pPr>
        <w:pStyle w:val="ListParagraph"/>
        <w:rPr>
          <w:rFonts w:ascii="Arial" w:hAnsi="Arial" w:cs="Arial"/>
          <w:sz w:val="22"/>
          <w:szCs w:val="22"/>
        </w:rPr>
      </w:pPr>
    </w:p>
    <w:p w14:paraId="0759DFC7" w14:textId="77777777" w:rsidR="00F57970" w:rsidRPr="00F32D53" w:rsidRDefault="00F57970" w:rsidP="00F32D53">
      <w:pPr>
        <w:pStyle w:val="ListParagraph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Estates strategy: </w:t>
      </w:r>
      <w:r>
        <w:rPr>
          <w:rFonts w:ascii="Arial" w:hAnsi="Arial" w:cs="Arial"/>
          <w:sz w:val="22"/>
          <w:szCs w:val="22"/>
        </w:rPr>
        <w:t xml:space="preserve">HRA is committed to working with government </w:t>
      </w:r>
      <w:proofErr w:type="spellStart"/>
      <w:r>
        <w:rPr>
          <w:rFonts w:ascii="Arial" w:hAnsi="Arial" w:cs="Arial"/>
          <w:sz w:val="22"/>
          <w:szCs w:val="22"/>
        </w:rPr>
        <w:t>intiatives</w:t>
      </w:r>
      <w:proofErr w:type="spellEnd"/>
      <w:r>
        <w:rPr>
          <w:rFonts w:ascii="Arial" w:hAnsi="Arial" w:cs="Arial"/>
          <w:sz w:val="22"/>
          <w:szCs w:val="22"/>
        </w:rPr>
        <w:t xml:space="preserve"> and with the health family to secure value to the exchequer and enable our estates strategy. Set up cost</w:t>
      </w:r>
      <w:r w:rsidR="005973C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associated with the London strategy agenda are currently subject to a DHSC business case. If this business case is not successful there is a risk that the associated costs of securing a new London location (Skipton House end of lease – 2021) will not be affordable.  </w:t>
      </w:r>
    </w:p>
    <w:p w14:paraId="7E1B36AF" w14:textId="77777777" w:rsidR="00B26BDC" w:rsidRDefault="00B26BDC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1DEA968F" w14:textId="5D4D350C" w:rsidR="00FF2551" w:rsidRPr="00471EAB" w:rsidRDefault="0050664B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</w:t>
      </w:r>
      <w:r w:rsidR="00891562">
        <w:rPr>
          <w:rFonts w:ascii="Arial" w:hAnsi="Arial" w:cs="Arial"/>
          <w:b/>
          <w:sz w:val="22"/>
          <w:szCs w:val="22"/>
        </w:rPr>
        <w:t xml:space="preserve"> costs </w:t>
      </w:r>
      <w:r>
        <w:rPr>
          <w:rFonts w:ascii="Arial" w:hAnsi="Arial" w:cs="Arial"/>
          <w:b/>
          <w:sz w:val="22"/>
          <w:szCs w:val="22"/>
        </w:rPr>
        <w:t>(</w:t>
      </w:r>
      <w:r w:rsidR="006962D1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mths</w:t>
      </w:r>
      <w:proofErr w:type="spellEnd"/>
      <w:r w:rsidR="000D2F24">
        <w:rPr>
          <w:rFonts w:ascii="Arial" w:hAnsi="Arial" w:cs="Arial"/>
          <w:b/>
          <w:sz w:val="22"/>
          <w:szCs w:val="22"/>
        </w:rPr>
        <w:t>-ended 3</w:t>
      </w:r>
      <w:r w:rsidR="004E362D">
        <w:rPr>
          <w:rFonts w:ascii="Arial" w:hAnsi="Arial" w:cs="Arial"/>
          <w:b/>
          <w:sz w:val="22"/>
          <w:szCs w:val="22"/>
        </w:rPr>
        <w:t>1</w:t>
      </w:r>
      <w:r w:rsidR="006962D1">
        <w:rPr>
          <w:rFonts w:ascii="Arial" w:hAnsi="Arial" w:cs="Arial"/>
          <w:b/>
          <w:sz w:val="22"/>
          <w:szCs w:val="22"/>
        </w:rPr>
        <w:t xml:space="preserve"> January 2019</w:t>
      </w:r>
      <w:r>
        <w:rPr>
          <w:rFonts w:ascii="Arial" w:hAnsi="Arial" w:cs="Arial"/>
          <w:b/>
          <w:sz w:val="22"/>
          <w:szCs w:val="22"/>
        </w:rPr>
        <w:t>)</w:t>
      </w:r>
    </w:p>
    <w:p w14:paraId="4B9EA771" w14:textId="389D9044" w:rsidR="00644946" w:rsidRDefault="006962D1" w:rsidP="0043174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962D1">
        <w:rPr>
          <w:noProof/>
        </w:rPr>
        <w:drawing>
          <wp:inline distT="0" distB="0" distL="0" distR="0" wp14:anchorId="755AFB33" wp14:editId="432A41A0">
            <wp:extent cx="6357620" cy="3895569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389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A328C" w14:textId="3B9CE550" w:rsidR="007534AD" w:rsidRDefault="00691DEA" w:rsidP="0043174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91DEA">
        <w:rPr>
          <w:rFonts w:ascii="Arial" w:hAnsi="Arial" w:cs="Arial"/>
          <w:b/>
          <w:sz w:val="22"/>
          <w:szCs w:val="22"/>
        </w:rPr>
        <w:t xml:space="preserve">Approvals: </w:t>
      </w:r>
      <w:r w:rsidR="009C5576">
        <w:rPr>
          <w:rFonts w:ascii="Arial" w:hAnsi="Arial" w:cs="Arial"/>
          <w:sz w:val="22"/>
          <w:szCs w:val="22"/>
        </w:rPr>
        <w:t xml:space="preserve">Currently costs are tracking </w:t>
      </w:r>
      <w:r w:rsidR="006962D1">
        <w:rPr>
          <w:rFonts w:ascii="Arial" w:hAnsi="Arial" w:cs="Arial"/>
          <w:sz w:val="22"/>
          <w:szCs w:val="22"/>
        </w:rPr>
        <w:t>roughly in line with</w:t>
      </w:r>
      <w:r w:rsidR="000E1D9C">
        <w:rPr>
          <w:rFonts w:ascii="Arial" w:hAnsi="Arial" w:cs="Arial"/>
          <w:sz w:val="22"/>
          <w:szCs w:val="22"/>
        </w:rPr>
        <w:t xml:space="preserve"> budget</w:t>
      </w:r>
      <w:r w:rsidR="006962D1">
        <w:rPr>
          <w:rFonts w:ascii="Arial" w:hAnsi="Arial" w:cs="Arial"/>
          <w:sz w:val="22"/>
          <w:szCs w:val="22"/>
        </w:rPr>
        <w:t xml:space="preserve"> </w:t>
      </w:r>
      <w:r w:rsidR="000E1D9C">
        <w:rPr>
          <w:rFonts w:ascii="Arial" w:hAnsi="Arial" w:cs="Arial"/>
          <w:sz w:val="22"/>
          <w:szCs w:val="22"/>
        </w:rPr>
        <w:t xml:space="preserve">at </w:t>
      </w:r>
      <w:r w:rsidR="006962D1">
        <w:rPr>
          <w:rFonts w:ascii="Arial" w:hAnsi="Arial" w:cs="Arial"/>
          <w:sz w:val="22"/>
          <w:szCs w:val="22"/>
        </w:rPr>
        <w:t>-</w:t>
      </w:r>
      <w:r w:rsidR="00D17A2A">
        <w:rPr>
          <w:rFonts w:ascii="Arial" w:hAnsi="Arial" w:cs="Arial"/>
          <w:sz w:val="22"/>
          <w:szCs w:val="22"/>
        </w:rPr>
        <w:t>£</w:t>
      </w:r>
      <w:r w:rsidR="006962D1">
        <w:rPr>
          <w:rFonts w:ascii="Arial" w:hAnsi="Arial" w:cs="Arial"/>
          <w:sz w:val="22"/>
          <w:szCs w:val="22"/>
        </w:rPr>
        <w:t>2</w:t>
      </w:r>
      <w:r w:rsidR="00D17A2A">
        <w:rPr>
          <w:rFonts w:ascii="Arial" w:hAnsi="Arial" w:cs="Arial"/>
          <w:sz w:val="22"/>
          <w:szCs w:val="22"/>
        </w:rPr>
        <w:t>k (0.</w:t>
      </w:r>
      <w:r w:rsidR="006962D1">
        <w:rPr>
          <w:rFonts w:ascii="Arial" w:hAnsi="Arial" w:cs="Arial"/>
          <w:sz w:val="22"/>
          <w:szCs w:val="22"/>
        </w:rPr>
        <w:t>04</w:t>
      </w:r>
      <w:r w:rsidR="00D17A2A">
        <w:rPr>
          <w:rFonts w:ascii="Arial" w:hAnsi="Arial" w:cs="Arial"/>
          <w:sz w:val="22"/>
          <w:szCs w:val="22"/>
        </w:rPr>
        <w:t xml:space="preserve">%) </w:t>
      </w:r>
      <w:r w:rsidR="000B58FC">
        <w:rPr>
          <w:rFonts w:ascii="Arial" w:hAnsi="Arial" w:cs="Arial"/>
          <w:sz w:val="22"/>
          <w:szCs w:val="22"/>
        </w:rPr>
        <w:t>as we</w:t>
      </w:r>
      <w:r w:rsidR="009C5576">
        <w:rPr>
          <w:rFonts w:ascii="Arial" w:hAnsi="Arial" w:cs="Arial"/>
          <w:sz w:val="22"/>
          <w:szCs w:val="22"/>
        </w:rPr>
        <w:t xml:space="preserve"> ensure sufficient capacity is in place to meet service levels </w:t>
      </w:r>
      <w:r w:rsidR="000B58FC">
        <w:rPr>
          <w:rFonts w:ascii="Arial" w:hAnsi="Arial" w:cs="Arial"/>
          <w:sz w:val="22"/>
          <w:szCs w:val="22"/>
        </w:rPr>
        <w:t xml:space="preserve">and deliver on </w:t>
      </w:r>
      <w:r w:rsidR="009C5576">
        <w:rPr>
          <w:rFonts w:ascii="Arial" w:hAnsi="Arial" w:cs="Arial"/>
          <w:sz w:val="22"/>
          <w:szCs w:val="22"/>
        </w:rPr>
        <w:t xml:space="preserve">organisational change </w:t>
      </w:r>
      <w:r w:rsidR="000B58FC">
        <w:rPr>
          <w:rFonts w:ascii="Arial" w:hAnsi="Arial" w:cs="Arial"/>
          <w:sz w:val="22"/>
          <w:szCs w:val="22"/>
        </w:rPr>
        <w:t xml:space="preserve">to achieve an integrated team. </w:t>
      </w:r>
      <w:r w:rsidR="00D17A2A">
        <w:rPr>
          <w:rFonts w:ascii="Arial" w:hAnsi="Arial" w:cs="Arial"/>
          <w:sz w:val="22"/>
          <w:szCs w:val="22"/>
        </w:rPr>
        <w:t>Organisationa</w:t>
      </w:r>
      <w:r w:rsidR="006962D1">
        <w:rPr>
          <w:rFonts w:ascii="Arial" w:hAnsi="Arial" w:cs="Arial"/>
          <w:sz w:val="22"/>
          <w:szCs w:val="22"/>
        </w:rPr>
        <w:t>l</w:t>
      </w:r>
      <w:r w:rsidR="00D17A2A">
        <w:rPr>
          <w:rFonts w:ascii="Arial" w:hAnsi="Arial" w:cs="Arial"/>
          <w:sz w:val="22"/>
          <w:szCs w:val="22"/>
        </w:rPr>
        <w:t xml:space="preserve"> change process has delivered agreed economies in line with our target operating model and will provide be implemented 1 April 2019. </w:t>
      </w:r>
    </w:p>
    <w:p w14:paraId="5559A5F8" w14:textId="0163298F" w:rsidR="00D17A2A" w:rsidRPr="0063120F" w:rsidRDefault="00D17A2A" w:rsidP="0043174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17A2A">
        <w:rPr>
          <w:rFonts w:ascii="Arial" w:hAnsi="Arial" w:cs="Arial"/>
          <w:b/>
          <w:sz w:val="22"/>
          <w:szCs w:val="22"/>
        </w:rPr>
        <w:t>Corporate Services</w:t>
      </w:r>
      <w:r>
        <w:rPr>
          <w:rFonts w:ascii="Arial" w:hAnsi="Arial" w:cs="Arial"/>
          <w:sz w:val="22"/>
          <w:szCs w:val="22"/>
        </w:rPr>
        <w:t>: £</w:t>
      </w:r>
      <w:r w:rsidR="006962D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k, (</w:t>
      </w:r>
      <w:r w:rsidR="006962D1">
        <w:rPr>
          <w:rFonts w:ascii="Arial" w:hAnsi="Arial" w:cs="Arial"/>
          <w:sz w:val="22"/>
          <w:szCs w:val="22"/>
        </w:rPr>
        <w:t>0.46</w:t>
      </w:r>
      <w:r>
        <w:rPr>
          <w:rFonts w:ascii="Arial" w:hAnsi="Arial" w:cs="Arial"/>
          <w:sz w:val="22"/>
          <w:szCs w:val="22"/>
        </w:rPr>
        <w:t xml:space="preserve">%) under budget. Underspend due to unfilled and redirected posts in the structure (particularly in central programme management office, </w:t>
      </w:r>
      <w:proofErr w:type="spellStart"/>
      <w:r>
        <w:rPr>
          <w:rFonts w:ascii="Arial" w:hAnsi="Arial" w:cs="Arial"/>
          <w:sz w:val="22"/>
          <w:szCs w:val="22"/>
        </w:rPr>
        <w:t>pmo</w:t>
      </w:r>
      <w:proofErr w:type="spellEnd"/>
      <w:r>
        <w:rPr>
          <w:rFonts w:ascii="Arial" w:hAnsi="Arial" w:cs="Arial"/>
          <w:sz w:val="22"/>
          <w:szCs w:val="22"/>
        </w:rPr>
        <w:t xml:space="preserve">). These changes, through natural turnover and internal secondment opportunities, are in line with our target operating model.  </w:t>
      </w:r>
    </w:p>
    <w:p w14:paraId="0DEC0809" w14:textId="18AF0709" w:rsidR="00B26BDC" w:rsidRDefault="00D475D3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EB3F0" wp14:editId="2A203326">
                <wp:simplePos x="0" y="0"/>
                <wp:positionH relativeFrom="column">
                  <wp:posOffset>3225800</wp:posOffset>
                </wp:positionH>
                <wp:positionV relativeFrom="paragraph">
                  <wp:posOffset>1737360</wp:posOffset>
                </wp:positionV>
                <wp:extent cx="30480" cy="0"/>
                <wp:effectExtent l="38100" t="76200" r="26670" b="95250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DA5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" o:spid="_x0000_s1026" type="#_x0000_t34" style="position:absolute;margin-left:254pt;margin-top:136.8pt;width: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" strokecolor="#4579b8 [3044]">
                <v:stroke endarrow="block"/>
              </v:shape>
            </w:pict>
          </mc:Fallback>
        </mc:AlternateContent>
      </w:r>
      <w:r w:rsidR="00D263A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E93CBB2" wp14:editId="55973E31">
            <wp:extent cx="6080760" cy="30422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304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132FE" w14:textId="00A18D32" w:rsidR="00B26BDC" w:rsidRDefault="00D475D3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475D3">
        <w:rPr>
          <w:rFonts w:ascii="Arial" w:hAnsi="Arial" w:cs="Arial"/>
          <w:sz w:val="22"/>
          <w:szCs w:val="22"/>
        </w:rPr>
        <w:t>Agency staff in Oct/Nov utilised to provide sufficient capacity to delivery operational services</w:t>
      </w:r>
      <w:r>
        <w:rPr>
          <w:rFonts w:ascii="Arial" w:hAnsi="Arial" w:cs="Arial"/>
          <w:sz w:val="22"/>
          <w:szCs w:val="22"/>
        </w:rPr>
        <w:t xml:space="preserve"> pushing establishment numbers slightly over plan. This additional resourcing was funded from in year underspends</w:t>
      </w:r>
      <w:r w:rsidRPr="00D475D3">
        <w:rPr>
          <w:rFonts w:ascii="Arial" w:hAnsi="Arial" w:cs="Arial"/>
          <w:sz w:val="22"/>
          <w:szCs w:val="22"/>
        </w:rPr>
        <w:t xml:space="preserve">. Reduction in December reflects some natural turnover </w:t>
      </w:r>
      <w:r>
        <w:rPr>
          <w:rFonts w:ascii="Arial" w:hAnsi="Arial" w:cs="Arial"/>
          <w:sz w:val="22"/>
          <w:szCs w:val="22"/>
        </w:rPr>
        <w:t xml:space="preserve">with staff leaving to take up opportunities in the health research sector combined with </w:t>
      </w:r>
      <w:r w:rsidRPr="00D475D3">
        <w:rPr>
          <w:rFonts w:ascii="Arial" w:hAnsi="Arial" w:cs="Arial"/>
          <w:sz w:val="22"/>
          <w:szCs w:val="22"/>
        </w:rPr>
        <w:t>lower agency numbers over the se</w:t>
      </w:r>
      <w:r w:rsidR="007B4C50">
        <w:rPr>
          <w:rFonts w:ascii="Arial" w:hAnsi="Arial" w:cs="Arial"/>
          <w:sz w:val="22"/>
          <w:szCs w:val="22"/>
        </w:rPr>
        <w:t>a</w:t>
      </w:r>
      <w:r w:rsidRPr="00D475D3">
        <w:rPr>
          <w:rFonts w:ascii="Arial" w:hAnsi="Arial" w:cs="Arial"/>
          <w:sz w:val="22"/>
          <w:szCs w:val="22"/>
        </w:rPr>
        <w:t xml:space="preserve">sonal period. </w:t>
      </w:r>
    </w:p>
    <w:p w14:paraId="50B26E76" w14:textId="1B63DDD9" w:rsidR="007B4C50" w:rsidRDefault="00124665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1428235" wp14:editId="1B65DAD1">
            <wp:extent cx="6357620" cy="4003040"/>
            <wp:effectExtent l="0" t="0" r="5080" b="1651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AD7FBD6-42EB-4170-9311-1FF62A927B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979BA8" w14:textId="3E7F96FC" w:rsidR="007B4C50" w:rsidRDefault="007B4C50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FD0067B" w14:textId="2A957AB8" w:rsidR="007B4C50" w:rsidRDefault="007B4C50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391BD1C" w14:textId="14F68340" w:rsidR="007B4C50" w:rsidRDefault="007B4C50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015E89E" w14:textId="77777777" w:rsidR="007B4C50" w:rsidRDefault="007B4C50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BD474C1" w14:textId="4A75B100" w:rsidR="00891562" w:rsidRDefault="007315DF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Non-staff costs</w:t>
      </w:r>
    </w:p>
    <w:p w14:paraId="2090066D" w14:textId="664E77ED" w:rsidR="00E300B0" w:rsidRDefault="007315DF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535185">
        <w:rPr>
          <w:rFonts w:ascii="Arial" w:hAnsi="Arial" w:cs="Arial"/>
          <w:b/>
          <w:sz w:val="22"/>
          <w:szCs w:val="22"/>
        </w:rPr>
        <w:t>No significant variances</w:t>
      </w:r>
      <w:r w:rsidRPr="007315DF">
        <w:rPr>
          <w:rFonts w:ascii="Arial" w:hAnsi="Arial" w:cs="Arial"/>
          <w:sz w:val="22"/>
          <w:szCs w:val="22"/>
        </w:rPr>
        <w:t xml:space="preserve"> to report at this stage of t</w:t>
      </w:r>
      <w:r w:rsidR="000670B2">
        <w:rPr>
          <w:rFonts w:ascii="Arial" w:hAnsi="Arial" w:cs="Arial"/>
          <w:sz w:val="22"/>
          <w:szCs w:val="22"/>
        </w:rPr>
        <w:t>h</w:t>
      </w:r>
      <w:r w:rsidRPr="007315DF">
        <w:rPr>
          <w:rFonts w:ascii="Arial" w:hAnsi="Arial" w:cs="Arial"/>
          <w:sz w:val="22"/>
          <w:szCs w:val="22"/>
        </w:rPr>
        <w:t>e year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053563E" w14:textId="77777777" w:rsidR="007315DF" w:rsidRPr="007315DF" w:rsidRDefault="00D56123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56123">
        <w:rPr>
          <w:rFonts w:ascii="Arial" w:hAnsi="Arial" w:cs="Arial"/>
          <w:b/>
          <w:sz w:val="22"/>
          <w:szCs w:val="22"/>
        </w:rPr>
        <w:t>Estates related costs</w:t>
      </w:r>
      <w:r>
        <w:rPr>
          <w:rFonts w:ascii="Arial" w:hAnsi="Arial" w:cs="Arial"/>
          <w:sz w:val="22"/>
          <w:szCs w:val="22"/>
        </w:rPr>
        <w:t xml:space="preserve"> </w:t>
      </w:r>
      <w:r w:rsidR="00A13ABB">
        <w:rPr>
          <w:rFonts w:ascii="Arial" w:hAnsi="Arial" w:cs="Arial"/>
          <w:sz w:val="22"/>
          <w:szCs w:val="22"/>
        </w:rPr>
        <w:t xml:space="preserve">– </w:t>
      </w:r>
      <w:r w:rsidR="00E300B0">
        <w:rPr>
          <w:rFonts w:ascii="Arial" w:hAnsi="Arial" w:cs="Arial"/>
          <w:sz w:val="22"/>
          <w:szCs w:val="22"/>
        </w:rPr>
        <w:t xml:space="preserve">lease re-gear and sub-lease </w:t>
      </w:r>
      <w:proofErr w:type="spellStart"/>
      <w:r w:rsidR="00E300B0">
        <w:rPr>
          <w:rFonts w:ascii="Arial" w:hAnsi="Arial" w:cs="Arial"/>
          <w:sz w:val="22"/>
          <w:szCs w:val="22"/>
        </w:rPr>
        <w:t>wi</w:t>
      </w:r>
      <w:r w:rsidR="00A13ABB">
        <w:rPr>
          <w:rFonts w:ascii="Arial" w:hAnsi="Arial" w:cs="Arial"/>
          <w:sz w:val="22"/>
          <w:szCs w:val="22"/>
        </w:rPr>
        <w:t>ith</w:t>
      </w:r>
      <w:proofErr w:type="spellEnd"/>
      <w:r w:rsidR="00A13ABB">
        <w:rPr>
          <w:rFonts w:ascii="Arial" w:hAnsi="Arial" w:cs="Arial"/>
          <w:sz w:val="22"/>
          <w:szCs w:val="22"/>
        </w:rPr>
        <w:t xml:space="preserve"> HS2 in our Manchester office </w:t>
      </w:r>
      <w:r w:rsidR="00E300B0">
        <w:rPr>
          <w:rFonts w:ascii="Arial" w:hAnsi="Arial" w:cs="Arial"/>
          <w:sz w:val="22"/>
          <w:szCs w:val="22"/>
        </w:rPr>
        <w:t xml:space="preserve">is nearing completion. Leases are expected to be signed in Qtr4 2018/19. </w:t>
      </w:r>
      <w:r w:rsidR="00A13ABB">
        <w:rPr>
          <w:rFonts w:ascii="Arial" w:hAnsi="Arial" w:cs="Arial"/>
          <w:sz w:val="22"/>
          <w:szCs w:val="22"/>
        </w:rPr>
        <w:t>This will provide approximately £20k cost sharing for 2019/20</w:t>
      </w:r>
      <w:r w:rsidR="005973C0">
        <w:rPr>
          <w:rFonts w:ascii="Arial" w:hAnsi="Arial" w:cs="Arial"/>
          <w:sz w:val="22"/>
          <w:szCs w:val="22"/>
        </w:rPr>
        <w:t xml:space="preserve"> together with accommodation certainty to 2023</w:t>
      </w:r>
      <w:r w:rsidR="00ED591B">
        <w:rPr>
          <w:rFonts w:ascii="Arial" w:hAnsi="Arial" w:cs="Arial"/>
          <w:sz w:val="22"/>
          <w:szCs w:val="22"/>
        </w:rPr>
        <w:t xml:space="preserve">. </w:t>
      </w:r>
      <w:r w:rsidR="00CF4B28">
        <w:rPr>
          <w:rFonts w:ascii="Arial" w:hAnsi="Arial" w:cs="Arial"/>
          <w:sz w:val="22"/>
          <w:szCs w:val="22"/>
        </w:rPr>
        <w:t xml:space="preserve"> </w:t>
      </w:r>
      <w:r w:rsidR="000B58FC">
        <w:rPr>
          <w:rFonts w:ascii="Arial" w:hAnsi="Arial" w:cs="Arial"/>
          <w:sz w:val="22"/>
          <w:szCs w:val="22"/>
        </w:rPr>
        <w:t xml:space="preserve">Skipton House costs are forecast to be £10k greater than budget due to a small revision in shared space allocation. </w:t>
      </w:r>
    </w:p>
    <w:p w14:paraId="28206FC7" w14:textId="4110B208" w:rsidR="00F32D53" w:rsidRPr="00D56123" w:rsidRDefault="00F32D53" w:rsidP="00F32D5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56123">
        <w:rPr>
          <w:rFonts w:ascii="Arial" w:hAnsi="Arial" w:cs="Arial"/>
          <w:b/>
          <w:sz w:val="22"/>
          <w:szCs w:val="22"/>
        </w:rPr>
        <w:t>Reserves</w:t>
      </w:r>
    </w:p>
    <w:p w14:paraId="7F6CE44E" w14:textId="2666FFD4" w:rsidR="00F32D53" w:rsidRPr="00634DB1" w:rsidRDefault="00F32D53" w:rsidP="00F32D5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34DB1">
        <w:rPr>
          <w:rFonts w:ascii="Arial" w:hAnsi="Arial" w:cs="Arial"/>
          <w:sz w:val="22"/>
          <w:szCs w:val="22"/>
        </w:rPr>
        <w:t xml:space="preserve">Our </w:t>
      </w:r>
      <w:r w:rsidRPr="00634DB1">
        <w:rPr>
          <w:rFonts w:ascii="Arial" w:hAnsi="Arial" w:cs="Arial"/>
          <w:b/>
          <w:sz w:val="22"/>
          <w:szCs w:val="22"/>
        </w:rPr>
        <w:t>GIA funded reserves</w:t>
      </w:r>
      <w:r w:rsidRPr="00634DB1">
        <w:rPr>
          <w:rFonts w:ascii="Arial" w:hAnsi="Arial" w:cs="Arial"/>
          <w:sz w:val="22"/>
          <w:szCs w:val="22"/>
        </w:rPr>
        <w:t xml:space="preserve"> programme have been revised to </w:t>
      </w:r>
      <w:r w:rsidRPr="00634DB1">
        <w:rPr>
          <w:rFonts w:ascii="Arial" w:hAnsi="Arial" w:cs="Arial"/>
          <w:b/>
          <w:sz w:val="22"/>
          <w:szCs w:val="22"/>
        </w:rPr>
        <w:t>£</w:t>
      </w:r>
      <w:r w:rsidR="00105BD5" w:rsidRPr="00634DB1">
        <w:rPr>
          <w:rFonts w:ascii="Arial" w:hAnsi="Arial" w:cs="Arial"/>
          <w:b/>
          <w:sz w:val="22"/>
          <w:szCs w:val="22"/>
        </w:rPr>
        <w:t>4</w:t>
      </w:r>
      <w:r w:rsidR="008B34FC" w:rsidRPr="00634DB1">
        <w:rPr>
          <w:rFonts w:ascii="Arial" w:hAnsi="Arial" w:cs="Arial"/>
          <w:b/>
          <w:sz w:val="22"/>
          <w:szCs w:val="22"/>
        </w:rPr>
        <w:t>24</w:t>
      </w:r>
      <w:r w:rsidRPr="00634DB1">
        <w:rPr>
          <w:rFonts w:ascii="Arial" w:hAnsi="Arial" w:cs="Arial"/>
          <w:b/>
          <w:sz w:val="22"/>
          <w:szCs w:val="22"/>
        </w:rPr>
        <w:t xml:space="preserve">k based on current knowledge. </w:t>
      </w:r>
      <w:r w:rsidRPr="00634DB1">
        <w:rPr>
          <w:rFonts w:ascii="Arial" w:hAnsi="Arial" w:cs="Arial"/>
          <w:sz w:val="22"/>
          <w:szCs w:val="22"/>
        </w:rPr>
        <w:t xml:space="preserve">This is in addition, to our fully funded </w:t>
      </w:r>
      <w:r w:rsidRPr="00634DB1">
        <w:rPr>
          <w:rFonts w:ascii="Arial" w:hAnsi="Arial" w:cs="Arial"/>
          <w:b/>
          <w:sz w:val="22"/>
          <w:szCs w:val="22"/>
        </w:rPr>
        <w:t>RS transformation programme, £2,002k</w:t>
      </w:r>
      <w:r w:rsidRPr="00634DB1">
        <w:rPr>
          <w:rFonts w:ascii="Arial" w:hAnsi="Arial" w:cs="Arial"/>
          <w:sz w:val="22"/>
          <w:szCs w:val="22"/>
        </w:rPr>
        <w:t xml:space="preserve"> (funded by DHSC Research funding and Brexit funding). </w:t>
      </w:r>
    </w:p>
    <w:p w14:paraId="0F7F7B53" w14:textId="7A64FF62" w:rsidR="00F32D53" w:rsidRDefault="00F32D53" w:rsidP="00F32D5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503304">
        <w:rPr>
          <w:rFonts w:ascii="Arial" w:hAnsi="Arial" w:cs="Arial"/>
          <w:b/>
          <w:sz w:val="22"/>
          <w:szCs w:val="22"/>
        </w:rPr>
        <w:t>£3</w:t>
      </w:r>
      <w:r w:rsidR="000670B2">
        <w:rPr>
          <w:rFonts w:ascii="Arial" w:hAnsi="Arial" w:cs="Arial"/>
          <w:b/>
          <w:sz w:val="22"/>
          <w:szCs w:val="22"/>
        </w:rPr>
        <w:t>54</w:t>
      </w:r>
      <w:r w:rsidRPr="00503304">
        <w:rPr>
          <w:rFonts w:ascii="Arial" w:hAnsi="Arial" w:cs="Arial"/>
          <w:b/>
          <w:sz w:val="22"/>
          <w:szCs w:val="22"/>
        </w:rPr>
        <w:t>k</w:t>
      </w:r>
      <w:r w:rsidRPr="00634DB1">
        <w:rPr>
          <w:rFonts w:ascii="Arial" w:hAnsi="Arial" w:cs="Arial"/>
          <w:sz w:val="22"/>
          <w:szCs w:val="22"/>
        </w:rPr>
        <w:t xml:space="preserve"> reserves have been funded to date and </w:t>
      </w:r>
      <w:r w:rsidRPr="00503304">
        <w:rPr>
          <w:rFonts w:ascii="Arial" w:hAnsi="Arial" w:cs="Arial"/>
          <w:b/>
          <w:sz w:val="22"/>
          <w:szCs w:val="22"/>
        </w:rPr>
        <w:t>£</w:t>
      </w:r>
      <w:r w:rsidR="000670B2">
        <w:rPr>
          <w:rFonts w:ascii="Arial" w:hAnsi="Arial" w:cs="Arial"/>
          <w:b/>
          <w:sz w:val="22"/>
          <w:szCs w:val="22"/>
        </w:rPr>
        <w:t>51</w:t>
      </w:r>
      <w:r w:rsidRPr="00503304">
        <w:rPr>
          <w:rFonts w:ascii="Arial" w:hAnsi="Arial" w:cs="Arial"/>
          <w:b/>
          <w:sz w:val="22"/>
          <w:szCs w:val="22"/>
        </w:rPr>
        <w:t>k</w:t>
      </w:r>
      <w:r w:rsidRPr="00634DB1">
        <w:rPr>
          <w:rFonts w:ascii="Arial" w:hAnsi="Arial" w:cs="Arial"/>
          <w:sz w:val="22"/>
          <w:szCs w:val="22"/>
        </w:rPr>
        <w:t xml:space="preserve"> funding remains unallocated in reserves pot, giving an unfunded budget pressure of </w:t>
      </w:r>
      <w:r w:rsidRPr="00503304">
        <w:rPr>
          <w:rFonts w:ascii="Arial" w:hAnsi="Arial" w:cs="Arial"/>
          <w:b/>
          <w:sz w:val="22"/>
          <w:szCs w:val="22"/>
        </w:rPr>
        <w:t>£</w:t>
      </w:r>
      <w:r w:rsidR="00B85576" w:rsidRPr="00503304">
        <w:rPr>
          <w:rFonts w:ascii="Arial" w:hAnsi="Arial" w:cs="Arial"/>
          <w:b/>
          <w:sz w:val="22"/>
          <w:szCs w:val="22"/>
        </w:rPr>
        <w:t>19</w:t>
      </w:r>
      <w:r w:rsidRPr="00503304">
        <w:rPr>
          <w:rFonts w:ascii="Arial" w:hAnsi="Arial" w:cs="Arial"/>
          <w:b/>
          <w:sz w:val="22"/>
          <w:szCs w:val="22"/>
        </w:rPr>
        <w:t>k</w:t>
      </w:r>
      <w:r w:rsidRPr="00634DB1">
        <w:rPr>
          <w:rFonts w:ascii="Arial" w:hAnsi="Arial" w:cs="Arial"/>
          <w:sz w:val="22"/>
          <w:szCs w:val="22"/>
        </w:rPr>
        <w:t>. Based on current spending, savings achieved to date and tight control of expenditure this funding gap is challenging but achievable.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2255844" w14:textId="6181532A" w:rsidR="00D475D3" w:rsidRDefault="000670B2" w:rsidP="006E30B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0670B2">
        <w:rPr>
          <w:noProof/>
        </w:rPr>
        <w:drawing>
          <wp:inline distT="0" distB="0" distL="0" distR="0" wp14:anchorId="0656A3D3" wp14:editId="6A08751A">
            <wp:extent cx="5928360" cy="3528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C3DD" w14:textId="7DB19EC8" w:rsidR="00757721" w:rsidRDefault="00195D4C" w:rsidP="006E30B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Capital expenditure</w:t>
      </w:r>
    </w:p>
    <w:p w14:paraId="0579B308" w14:textId="2AAC28AA" w:rsidR="000A4438" w:rsidRPr="008654B1" w:rsidRDefault="000A4438" w:rsidP="000A4438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Capital expenditure is tracking expectations with </w:t>
      </w:r>
      <w:r w:rsidR="00CD4F40">
        <w:rPr>
          <w:rFonts w:ascii="Arial" w:hAnsi="Arial" w:cs="Arial"/>
          <w:sz w:val="22"/>
          <w:szCs w:val="22"/>
        </w:rPr>
        <w:t xml:space="preserve">a small </w:t>
      </w:r>
      <w:r>
        <w:rPr>
          <w:rFonts w:ascii="Arial" w:hAnsi="Arial" w:cs="Arial"/>
          <w:sz w:val="22"/>
          <w:szCs w:val="22"/>
        </w:rPr>
        <w:t xml:space="preserve">variance </w:t>
      </w:r>
      <w:r w:rsidR="00CD4F40">
        <w:rPr>
          <w:rFonts w:ascii="Arial" w:hAnsi="Arial" w:cs="Arial"/>
          <w:sz w:val="22"/>
          <w:szCs w:val="22"/>
        </w:rPr>
        <w:t xml:space="preserve">at the </w:t>
      </w:r>
      <w:r w:rsidR="00307528">
        <w:rPr>
          <w:rFonts w:ascii="Arial" w:hAnsi="Arial" w:cs="Arial"/>
          <w:sz w:val="22"/>
          <w:szCs w:val="22"/>
        </w:rPr>
        <w:t>31 January</w:t>
      </w:r>
      <w:r w:rsidR="00CD4F40">
        <w:rPr>
          <w:rFonts w:ascii="Arial" w:hAnsi="Arial" w:cs="Arial"/>
          <w:sz w:val="22"/>
          <w:szCs w:val="22"/>
        </w:rPr>
        <w:t xml:space="preserve"> in relation to capitalised salaries, this is due to a </w:t>
      </w:r>
      <w:r w:rsidR="00105BD5">
        <w:rPr>
          <w:rFonts w:ascii="Arial" w:hAnsi="Arial" w:cs="Arial"/>
          <w:sz w:val="22"/>
          <w:szCs w:val="22"/>
        </w:rPr>
        <w:t>vacancy in the</w:t>
      </w:r>
      <w:r w:rsidR="00CD4F40">
        <w:rPr>
          <w:rFonts w:ascii="Arial" w:hAnsi="Arial" w:cs="Arial"/>
          <w:sz w:val="22"/>
          <w:szCs w:val="22"/>
        </w:rPr>
        <w:t xml:space="preserve"> Research Systems team</w:t>
      </w:r>
      <w:r w:rsidR="00105BD5">
        <w:rPr>
          <w:rFonts w:ascii="Arial" w:hAnsi="Arial" w:cs="Arial"/>
          <w:sz w:val="22"/>
          <w:szCs w:val="22"/>
        </w:rPr>
        <w:t xml:space="preserve"> treated as </w:t>
      </w:r>
      <w:r w:rsidR="00CD4F40">
        <w:rPr>
          <w:rFonts w:ascii="Arial" w:hAnsi="Arial" w:cs="Arial"/>
          <w:sz w:val="22"/>
          <w:szCs w:val="22"/>
        </w:rPr>
        <w:t>partly capital.</w:t>
      </w:r>
      <w:r w:rsidRPr="008654B1">
        <w:rPr>
          <w:rFonts w:ascii="Arial" w:hAnsi="Arial" w:cs="Arial"/>
          <w:sz w:val="22"/>
          <w:szCs w:val="22"/>
        </w:rPr>
        <w:t xml:space="preserve">  </w:t>
      </w:r>
    </w:p>
    <w:p w14:paraId="28D5E0CC" w14:textId="77777777" w:rsidR="000A4438" w:rsidRPr="008654B1" w:rsidRDefault="000A4438" w:rsidP="000A4438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654B1">
        <w:rPr>
          <w:rFonts w:ascii="Arial" w:hAnsi="Arial" w:cs="Arial"/>
          <w:sz w:val="22"/>
          <w:szCs w:val="22"/>
        </w:rPr>
        <w:t xml:space="preserve">Investment in </w:t>
      </w:r>
      <w:r w:rsidR="00105BD5">
        <w:rPr>
          <w:rFonts w:ascii="Arial" w:hAnsi="Arial" w:cs="Arial"/>
          <w:sz w:val="22"/>
          <w:szCs w:val="22"/>
        </w:rPr>
        <w:t xml:space="preserve">existing </w:t>
      </w:r>
      <w:r w:rsidRPr="008654B1">
        <w:rPr>
          <w:rFonts w:ascii="Arial" w:hAnsi="Arial" w:cs="Arial"/>
          <w:sz w:val="22"/>
          <w:szCs w:val="22"/>
        </w:rPr>
        <w:t>IRAS and HARP developments are in line with the budget, reflecting activity supporting the 28</w:t>
      </w:r>
      <w:r w:rsidRPr="008654B1">
        <w:rPr>
          <w:rFonts w:ascii="Arial" w:hAnsi="Arial" w:cs="Arial"/>
          <w:sz w:val="22"/>
          <w:szCs w:val="22"/>
          <w:vertAlign w:val="superscript"/>
        </w:rPr>
        <w:t>th</w:t>
      </w:r>
      <w:r w:rsidRPr="008654B1">
        <w:rPr>
          <w:rFonts w:ascii="Arial" w:hAnsi="Arial" w:cs="Arial"/>
          <w:sz w:val="22"/>
          <w:szCs w:val="22"/>
        </w:rPr>
        <w:t xml:space="preserve"> June IRAS release and </w:t>
      </w:r>
      <w:r w:rsidR="006B793E">
        <w:rPr>
          <w:rFonts w:ascii="Arial" w:hAnsi="Arial" w:cs="Arial"/>
          <w:sz w:val="22"/>
          <w:szCs w:val="22"/>
        </w:rPr>
        <w:t>required development in HARP (operational and technical)</w:t>
      </w:r>
      <w:r w:rsidRPr="008654B1">
        <w:rPr>
          <w:rFonts w:ascii="Arial" w:hAnsi="Arial" w:cs="Arial"/>
          <w:sz w:val="22"/>
          <w:szCs w:val="22"/>
        </w:rPr>
        <w:t xml:space="preserve">.  </w:t>
      </w:r>
      <w:r w:rsidR="008A125F">
        <w:rPr>
          <w:rFonts w:ascii="Arial" w:hAnsi="Arial" w:cs="Arial"/>
          <w:sz w:val="22"/>
          <w:szCs w:val="22"/>
        </w:rPr>
        <w:t>T</w:t>
      </w:r>
      <w:r w:rsidR="00A72868">
        <w:rPr>
          <w:rFonts w:ascii="Arial" w:hAnsi="Arial" w:cs="Arial"/>
          <w:sz w:val="22"/>
          <w:szCs w:val="22"/>
        </w:rPr>
        <w:t xml:space="preserve">he accounting treatment of the </w:t>
      </w:r>
      <w:r w:rsidR="00815443">
        <w:rPr>
          <w:rFonts w:ascii="Arial" w:hAnsi="Arial" w:cs="Arial"/>
          <w:sz w:val="22"/>
          <w:szCs w:val="22"/>
        </w:rPr>
        <w:t>costs of developing</w:t>
      </w:r>
      <w:r w:rsidR="00BD6153">
        <w:rPr>
          <w:rFonts w:ascii="Arial" w:hAnsi="Arial" w:cs="Arial"/>
          <w:sz w:val="22"/>
          <w:szCs w:val="22"/>
        </w:rPr>
        <w:t xml:space="preserve"> new IRA</w:t>
      </w:r>
      <w:r w:rsidR="00A72868">
        <w:rPr>
          <w:rFonts w:ascii="Arial" w:hAnsi="Arial" w:cs="Arial"/>
          <w:sz w:val="22"/>
          <w:szCs w:val="22"/>
        </w:rPr>
        <w:t>S</w:t>
      </w:r>
      <w:r w:rsidR="008A125F">
        <w:rPr>
          <w:rFonts w:ascii="Arial" w:hAnsi="Arial" w:cs="Arial"/>
          <w:sz w:val="22"/>
          <w:szCs w:val="22"/>
        </w:rPr>
        <w:t xml:space="preserve"> has </w:t>
      </w:r>
      <w:r w:rsidR="00815443">
        <w:rPr>
          <w:rFonts w:ascii="Arial" w:hAnsi="Arial" w:cs="Arial"/>
          <w:sz w:val="22"/>
          <w:szCs w:val="22"/>
        </w:rPr>
        <w:t xml:space="preserve">been established and reflected in the accounts for December. </w:t>
      </w:r>
    </w:p>
    <w:p w14:paraId="301DB000" w14:textId="4CDC148D" w:rsidR="000A4438" w:rsidRPr="008654B1" w:rsidRDefault="000A4438" w:rsidP="000A4438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654B1">
        <w:rPr>
          <w:rFonts w:ascii="Arial" w:hAnsi="Arial" w:cs="Arial"/>
          <w:sz w:val="22"/>
          <w:szCs w:val="22"/>
        </w:rPr>
        <w:t xml:space="preserve">There has been provision made within the programme for the </w:t>
      </w:r>
      <w:r w:rsidR="006B793E">
        <w:rPr>
          <w:rFonts w:ascii="Arial" w:hAnsi="Arial" w:cs="Arial"/>
          <w:sz w:val="22"/>
          <w:szCs w:val="22"/>
        </w:rPr>
        <w:t>capital element of</w:t>
      </w:r>
      <w:r w:rsidRPr="008654B1">
        <w:rPr>
          <w:rFonts w:ascii="Arial" w:hAnsi="Arial" w:cs="Arial"/>
          <w:sz w:val="22"/>
          <w:szCs w:val="22"/>
        </w:rPr>
        <w:t xml:space="preserve"> Future Services Programme, and also </w:t>
      </w:r>
      <w:r w:rsidR="006B793E">
        <w:rPr>
          <w:rFonts w:ascii="Arial" w:hAnsi="Arial" w:cs="Arial"/>
          <w:sz w:val="22"/>
          <w:szCs w:val="22"/>
        </w:rPr>
        <w:t xml:space="preserve">our annual rolling replacement programme for </w:t>
      </w:r>
      <w:r w:rsidRPr="008654B1">
        <w:rPr>
          <w:rFonts w:ascii="Arial" w:hAnsi="Arial" w:cs="Arial"/>
          <w:sz w:val="22"/>
          <w:szCs w:val="22"/>
        </w:rPr>
        <w:t>laptop</w:t>
      </w:r>
      <w:r w:rsidR="006B793E">
        <w:rPr>
          <w:rFonts w:ascii="Arial" w:hAnsi="Arial" w:cs="Arial"/>
          <w:sz w:val="22"/>
          <w:szCs w:val="22"/>
        </w:rPr>
        <w:t>. A</w:t>
      </w:r>
      <w:r w:rsidR="00CE57A9">
        <w:rPr>
          <w:rFonts w:ascii="Arial" w:hAnsi="Arial" w:cs="Arial"/>
          <w:sz w:val="22"/>
          <w:szCs w:val="22"/>
        </w:rPr>
        <w:t xml:space="preserve">n additional 70 laptops have been procured </w:t>
      </w:r>
      <w:r w:rsidR="006B793E">
        <w:rPr>
          <w:rFonts w:ascii="Arial" w:hAnsi="Arial" w:cs="Arial"/>
          <w:sz w:val="22"/>
          <w:szCs w:val="22"/>
        </w:rPr>
        <w:t>to ensure our IT estate is able to receive a Windows 10 build</w:t>
      </w:r>
      <w:r w:rsidR="00F60231">
        <w:rPr>
          <w:rFonts w:ascii="Arial" w:hAnsi="Arial" w:cs="Arial"/>
          <w:sz w:val="22"/>
          <w:szCs w:val="22"/>
        </w:rPr>
        <w:t>.</w:t>
      </w:r>
      <w:r w:rsidR="00CE57A9">
        <w:rPr>
          <w:rFonts w:ascii="Arial" w:hAnsi="Arial" w:cs="Arial"/>
          <w:sz w:val="22"/>
          <w:szCs w:val="22"/>
        </w:rPr>
        <w:t xml:space="preserve"> </w:t>
      </w:r>
      <w:r w:rsidR="00CD4F40">
        <w:rPr>
          <w:rFonts w:ascii="Arial" w:hAnsi="Arial" w:cs="Arial"/>
          <w:sz w:val="22"/>
          <w:szCs w:val="22"/>
        </w:rPr>
        <w:t xml:space="preserve">To meet the </w:t>
      </w:r>
      <w:r w:rsidR="00CD4F40">
        <w:rPr>
          <w:rFonts w:ascii="Arial" w:hAnsi="Arial" w:cs="Arial"/>
          <w:sz w:val="22"/>
          <w:szCs w:val="22"/>
        </w:rPr>
        <w:lastRenderedPageBreak/>
        <w:t xml:space="preserve">Windows 10 requirement we have also sourced </w:t>
      </w:r>
      <w:r w:rsidR="00105BD5">
        <w:rPr>
          <w:rFonts w:ascii="Arial" w:hAnsi="Arial" w:cs="Arial"/>
          <w:sz w:val="22"/>
          <w:szCs w:val="22"/>
        </w:rPr>
        <w:t>up to 40</w:t>
      </w:r>
      <w:r w:rsidR="00CD4F40">
        <w:rPr>
          <w:rFonts w:ascii="Arial" w:hAnsi="Arial" w:cs="Arial"/>
          <w:sz w:val="22"/>
          <w:szCs w:val="22"/>
        </w:rPr>
        <w:t xml:space="preserve"> second hand laptops from </w:t>
      </w:r>
      <w:proofErr w:type="gramStart"/>
      <w:r w:rsidR="00CD4F40">
        <w:rPr>
          <w:rFonts w:ascii="Arial" w:hAnsi="Arial" w:cs="Arial"/>
          <w:sz w:val="22"/>
          <w:szCs w:val="22"/>
        </w:rPr>
        <w:t xml:space="preserve">DHSC </w:t>
      </w:r>
      <w:r w:rsidR="00CD4F40" w:rsidRPr="008654B1">
        <w:rPr>
          <w:rFonts w:ascii="Arial" w:hAnsi="Arial" w:cs="Arial"/>
          <w:sz w:val="22"/>
          <w:szCs w:val="22"/>
        </w:rPr>
        <w:t xml:space="preserve"> </w:t>
      </w:r>
      <w:r w:rsidR="00CD4F40">
        <w:rPr>
          <w:rFonts w:ascii="Arial" w:hAnsi="Arial" w:cs="Arial"/>
          <w:sz w:val="22"/>
          <w:szCs w:val="22"/>
        </w:rPr>
        <w:t>(</w:t>
      </w:r>
      <w:proofErr w:type="gramEnd"/>
      <w:r w:rsidR="00CD4F40">
        <w:rPr>
          <w:rFonts w:ascii="Arial" w:hAnsi="Arial" w:cs="Arial"/>
          <w:sz w:val="22"/>
          <w:szCs w:val="22"/>
        </w:rPr>
        <w:t>£112.50/unit</w:t>
      </w:r>
      <w:r w:rsidR="00105BD5">
        <w:rPr>
          <w:rFonts w:ascii="Arial" w:hAnsi="Arial" w:cs="Arial"/>
          <w:sz w:val="22"/>
          <w:szCs w:val="22"/>
        </w:rPr>
        <w:t>; £4,500</w:t>
      </w:r>
      <w:r w:rsidR="00CD4F40">
        <w:rPr>
          <w:rFonts w:ascii="Arial" w:hAnsi="Arial" w:cs="Arial"/>
          <w:sz w:val="22"/>
          <w:szCs w:val="22"/>
        </w:rPr>
        <w:t>)</w:t>
      </w:r>
      <w:r w:rsidR="00815443">
        <w:rPr>
          <w:rFonts w:ascii="Arial" w:hAnsi="Arial" w:cs="Arial"/>
          <w:sz w:val="22"/>
          <w:szCs w:val="22"/>
        </w:rPr>
        <w:t xml:space="preserve">. </w:t>
      </w:r>
    </w:p>
    <w:tbl>
      <w:tblPr>
        <w:tblW w:w="8540" w:type="dxa"/>
        <w:tblInd w:w="118" w:type="dxa"/>
        <w:tblLook w:val="04A0" w:firstRow="1" w:lastRow="0" w:firstColumn="1" w:lastColumn="0" w:noHBand="0" w:noVBand="1"/>
      </w:tblPr>
      <w:tblGrid>
        <w:gridCol w:w="3320"/>
        <w:gridCol w:w="260"/>
        <w:gridCol w:w="1340"/>
        <w:gridCol w:w="1180"/>
        <w:gridCol w:w="1180"/>
        <w:gridCol w:w="1260"/>
      </w:tblGrid>
      <w:tr w:rsidR="008C3F49" w:rsidRPr="008C3F49" w14:paraId="6F540D30" w14:textId="77777777" w:rsidTr="008C3F49">
        <w:trPr>
          <w:trHeight w:val="528"/>
        </w:trPr>
        <w:tc>
          <w:tcPr>
            <w:tcW w:w="33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24AEF813" w14:textId="77777777" w:rsidR="008C3F49" w:rsidRPr="008C3F49" w:rsidRDefault="008C3F49" w:rsidP="008C3F4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Plan initiative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A8DF" w14:textId="77777777" w:rsidR="008C3F49" w:rsidRPr="008C3F49" w:rsidRDefault="008C3F49" w:rsidP="008C3F4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41AE6727" w14:textId="77777777" w:rsidR="008C3F49" w:rsidRPr="008C3F49" w:rsidRDefault="008C3F49" w:rsidP="008C3F4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2018/19 plan full year</w:t>
            </w:r>
          </w:p>
        </w:tc>
        <w:tc>
          <w:tcPr>
            <w:tcW w:w="1180" w:type="dxa"/>
            <w:tcBorders>
              <w:top w:val="single" w:sz="8" w:space="0" w:color="FFFFFF"/>
              <w:left w:val="nil"/>
              <w:bottom w:val="nil"/>
              <w:right w:val="single" w:sz="8" w:space="0" w:color="F2F2F2"/>
            </w:tcBorders>
            <w:shd w:val="clear" w:color="000000" w:fill="95B3D7"/>
            <w:vAlign w:val="center"/>
            <w:hideMark/>
          </w:tcPr>
          <w:p w14:paraId="5AB80B79" w14:textId="77777777" w:rsidR="008C3F49" w:rsidRPr="008C3F49" w:rsidRDefault="008C3F49" w:rsidP="008C3F4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2018/19 budget </w:t>
            </w:r>
            <w:proofErr w:type="spellStart"/>
            <w:r w:rsidRPr="008C3F4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ytd</w:t>
            </w:r>
            <w:proofErr w:type="spellEnd"/>
          </w:p>
        </w:tc>
        <w:tc>
          <w:tcPr>
            <w:tcW w:w="1180" w:type="dxa"/>
            <w:tcBorders>
              <w:top w:val="single" w:sz="8" w:space="0" w:color="FFFFFF"/>
              <w:left w:val="nil"/>
              <w:bottom w:val="nil"/>
              <w:right w:val="single" w:sz="8" w:space="0" w:color="F2F2F2"/>
            </w:tcBorders>
            <w:shd w:val="clear" w:color="000000" w:fill="95B3D7"/>
            <w:vAlign w:val="center"/>
            <w:hideMark/>
          </w:tcPr>
          <w:p w14:paraId="619D05A9" w14:textId="77777777" w:rsidR="008C3F49" w:rsidRPr="008C3F49" w:rsidRDefault="008C3F49" w:rsidP="008C3F4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2018/19 actual </w:t>
            </w:r>
            <w:proofErr w:type="spellStart"/>
            <w:r w:rsidRPr="008C3F4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ytd</w:t>
            </w:r>
            <w:proofErr w:type="spellEnd"/>
          </w:p>
        </w:tc>
        <w:tc>
          <w:tcPr>
            <w:tcW w:w="1260" w:type="dxa"/>
            <w:tcBorders>
              <w:top w:val="single" w:sz="8" w:space="0" w:color="FFFFFF"/>
              <w:left w:val="nil"/>
              <w:bottom w:val="nil"/>
              <w:right w:val="single" w:sz="8" w:space="0" w:color="F2F2F2"/>
            </w:tcBorders>
            <w:shd w:val="clear" w:color="000000" w:fill="95B3D7"/>
            <w:vAlign w:val="center"/>
            <w:hideMark/>
          </w:tcPr>
          <w:p w14:paraId="5FEF0307" w14:textId="77777777" w:rsidR="008C3F49" w:rsidRPr="008C3F49" w:rsidRDefault="008C3F49" w:rsidP="008C3F4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2018/19 variance </w:t>
            </w:r>
            <w:proofErr w:type="spellStart"/>
            <w:r w:rsidRPr="008C3F4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ytd</w:t>
            </w:r>
            <w:proofErr w:type="spellEnd"/>
          </w:p>
        </w:tc>
      </w:tr>
      <w:tr w:rsidR="008C3F49" w:rsidRPr="008C3F49" w14:paraId="7056FE20" w14:textId="77777777" w:rsidTr="008C3F49">
        <w:trPr>
          <w:trHeight w:val="300"/>
        </w:trPr>
        <w:tc>
          <w:tcPr>
            <w:tcW w:w="33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8AEEFD" w14:textId="77777777" w:rsidR="008C3F49" w:rsidRPr="008C3F49" w:rsidRDefault="008C3F49" w:rsidP="008C3F4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1FD4" w14:textId="77777777" w:rsidR="008C3F49" w:rsidRPr="008C3F49" w:rsidRDefault="008C3F49" w:rsidP="008C3F4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4874B92B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£000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40F08674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£000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6662F631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£000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7D8B9EC6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£000</w:t>
            </w:r>
          </w:p>
        </w:tc>
      </w:tr>
      <w:tr w:rsidR="008C3F49" w:rsidRPr="008C3F49" w14:paraId="10F11EEB" w14:textId="77777777" w:rsidTr="008C3F4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45FF68D" w14:textId="77777777" w:rsidR="008C3F49" w:rsidRPr="008C3F49" w:rsidRDefault="008C3F49" w:rsidP="008C3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HARP Developments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72D7" w14:textId="77777777" w:rsidR="008C3F49" w:rsidRPr="008C3F49" w:rsidRDefault="008C3F49" w:rsidP="008C3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77C6000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97B94D3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5094A2A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06F17CF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C3F49" w:rsidRPr="008C3F49" w14:paraId="29788010" w14:textId="77777777" w:rsidTr="008C3F4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D3BD220" w14:textId="77777777" w:rsidR="008C3F49" w:rsidRPr="008C3F49" w:rsidRDefault="008C3F49" w:rsidP="008C3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IRAS Developments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C44E" w14:textId="77777777" w:rsidR="008C3F49" w:rsidRPr="008C3F49" w:rsidRDefault="008C3F49" w:rsidP="008C3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48FC465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1,312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A6E2B49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1,223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F7F6C21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1,223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6641B4E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C3F49" w:rsidRPr="008C3F49" w14:paraId="3928C81F" w14:textId="77777777" w:rsidTr="008C3F49">
        <w:trPr>
          <w:trHeight w:val="288"/>
        </w:trPr>
        <w:tc>
          <w:tcPr>
            <w:tcW w:w="33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0ED5C1E7" w14:textId="77777777" w:rsidR="008C3F49" w:rsidRPr="008C3F49" w:rsidRDefault="008C3F49" w:rsidP="008C3F4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BGO Contract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7776" w14:textId="77777777" w:rsidR="008C3F49" w:rsidRPr="008C3F49" w:rsidRDefault="008C3F49" w:rsidP="008C3F4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76FFBAB6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1,527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4BAAD7F2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1,403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742B3441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1,403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38809D8C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</w:p>
        </w:tc>
      </w:tr>
      <w:tr w:rsidR="008C3F49" w:rsidRPr="008C3F49" w14:paraId="4032E79B" w14:textId="77777777" w:rsidTr="008C3F4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C9212F1" w14:textId="77777777" w:rsidR="008C3F49" w:rsidRPr="008C3F49" w:rsidRDefault="008C3F49" w:rsidP="008C3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IS Team – capitalised salaries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A4E8" w14:textId="77777777" w:rsidR="008C3F49" w:rsidRPr="008C3F49" w:rsidRDefault="008C3F49" w:rsidP="008C3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9DC2DC6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ED4E870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8E5CC8E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2E54272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-14</w:t>
            </w:r>
          </w:p>
        </w:tc>
      </w:tr>
      <w:tr w:rsidR="008C3F49" w:rsidRPr="008C3F49" w14:paraId="70E059CC" w14:textId="77777777" w:rsidTr="008C3F49">
        <w:trPr>
          <w:trHeight w:val="480"/>
        </w:trPr>
        <w:tc>
          <w:tcPr>
            <w:tcW w:w="33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7BEBF721" w14:textId="77777777" w:rsidR="008C3F49" w:rsidRPr="008C3F49" w:rsidRDefault="008C3F49" w:rsidP="008C3F4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BGO Contract and Capitalised salaries position as at 30 June 2018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9451" w14:textId="77777777" w:rsidR="008C3F49" w:rsidRPr="008C3F49" w:rsidRDefault="008C3F49" w:rsidP="008C3F4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616AAD7B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1,633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548E4184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1,492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70744C20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1,477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38996C66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-14</w:t>
            </w:r>
          </w:p>
        </w:tc>
      </w:tr>
      <w:tr w:rsidR="008C3F49" w:rsidRPr="008C3F49" w14:paraId="19C3383C" w14:textId="77777777" w:rsidTr="008C3F4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9E1D1A8" w14:textId="77777777" w:rsidR="008C3F49" w:rsidRPr="008C3F49" w:rsidRDefault="008C3F49" w:rsidP="008C3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Future Services Programme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FF43" w14:textId="77777777" w:rsidR="008C3F49" w:rsidRPr="008C3F49" w:rsidRDefault="008C3F49" w:rsidP="008C3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7317006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EA38958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2D8D5C7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38E00D9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C3F49" w:rsidRPr="008C3F49" w14:paraId="155153BF" w14:textId="77777777" w:rsidTr="008C3F4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151207F" w14:textId="77777777" w:rsidR="008C3F49" w:rsidRPr="008C3F49" w:rsidRDefault="008C3F49" w:rsidP="008C3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 xml:space="preserve">ICT infrastructure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AC03" w14:textId="77777777" w:rsidR="008C3F49" w:rsidRPr="008C3F49" w:rsidRDefault="008C3F49" w:rsidP="008C3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4CBBCF0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71C38D3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0BCD763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79FB78D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C3F49" w:rsidRPr="008C3F49" w14:paraId="11A3454F" w14:textId="77777777" w:rsidTr="008C3F4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C0690B7" w14:textId="77777777" w:rsidR="008C3F49" w:rsidRPr="008C3F49" w:rsidRDefault="008C3F49" w:rsidP="008C3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CRM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9D83" w14:textId="77777777" w:rsidR="008C3F49" w:rsidRPr="008C3F49" w:rsidRDefault="008C3F49" w:rsidP="008C3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DA98D20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C97B2A2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2ACB88F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7311945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F4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C3F49" w:rsidRPr="008C3F49" w14:paraId="726FD9CA" w14:textId="77777777" w:rsidTr="008C3F49">
        <w:trPr>
          <w:trHeight w:val="288"/>
        </w:trPr>
        <w:tc>
          <w:tcPr>
            <w:tcW w:w="33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3FA6A7FD" w14:textId="77777777" w:rsidR="008C3F49" w:rsidRPr="008C3F49" w:rsidRDefault="008C3F49" w:rsidP="008C3F4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 Capital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68E7" w14:textId="77777777" w:rsidR="008C3F49" w:rsidRPr="008C3F49" w:rsidRDefault="008C3F49" w:rsidP="008C3F4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20D05783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1,790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73B9FE26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1,558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4157F589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1,543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66735AD0" w14:textId="77777777" w:rsidR="008C3F49" w:rsidRPr="008C3F49" w:rsidRDefault="008C3F49" w:rsidP="008C3F49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3F4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-14</w:t>
            </w:r>
          </w:p>
        </w:tc>
      </w:tr>
    </w:tbl>
    <w:p w14:paraId="7DF5CB2F" w14:textId="7F196448" w:rsidR="00ED591B" w:rsidRPr="00757721" w:rsidRDefault="00ED591B" w:rsidP="006E30B3">
      <w:pPr>
        <w:spacing w:after="200" w:line="276" w:lineRule="auto"/>
        <w:rPr>
          <w:noProof/>
        </w:rPr>
      </w:pPr>
      <w:bookmarkStart w:id="0" w:name="_GoBack"/>
      <w:bookmarkEnd w:id="0"/>
    </w:p>
    <w:p w14:paraId="5980CC73" w14:textId="77777777" w:rsidR="00DD6897" w:rsidRDefault="00192D07" w:rsidP="00951DD0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8654B1">
        <w:rPr>
          <w:rFonts w:ascii="Arial" w:hAnsi="Arial" w:cs="Arial"/>
          <w:b/>
          <w:sz w:val="22"/>
          <w:szCs w:val="22"/>
        </w:rPr>
        <w:t>B</w:t>
      </w:r>
      <w:r w:rsidR="00DD6897" w:rsidRPr="008654B1">
        <w:rPr>
          <w:rFonts w:ascii="Arial" w:hAnsi="Arial" w:cs="Arial"/>
          <w:b/>
          <w:sz w:val="22"/>
          <w:szCs w:val="22"/>
        </w:rPr>
        <w:t>etter payments performance</w:t>
      </w:r>
      <w:r w:rsidR="00996C5F">
        <w:rPr>
          <w:rFonts w:ascii="Arial" w:hAnsi="Arial" w:cs="Arial"/>
          <w:b/>
          <w:sz w:val="22"/>
          <w:szCs w:val="22"/>
        </w:rPr>
        <w:t xml:space="preserve"> </w:t>
      </w:r>
    </w:p>
    <w:p w14:paraId="3D3033B7" w14:textId="77777777" w:rsidR="0035681C" w:rsidRDefault="0035681C" w:rsidP="00951DD0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HRA has continued to meet the duty to pay 95% of invoices in 30 days, also maintaining the internal stretched target of paying 60% of suppliers in 10 days.</w:t>
      </w:r>
      <w:r w:rsidR="00643F97">
        <w:rPr>
          <w:rFonts w:ascii="Arial" w:hAnsi="Arial" w:cs="Arial"/>
          <w:sz w:val="22"/>
          <w:szCs w:val="22"/>
        </w:rPr>
        <w:t xml:space="preserve">  </w:t>
      </w:r>
    </w:p>
    <w:p w14:paraId="7D3CC872" w14:textId="77777777" w:rsidR="00CF2146" w:rsidRPr="0035681C" w:rsidRDefault="00CF2146" w:rsidP="00951DD0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1FE2BCDF" w14:textId="77777777" w:rsidR="0035681C" w:rsidRDefault="0035681C" w:rsidP="00951DD0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5218" w:type="dxa"/>
        <w:jc w:val="center"/>
        <w:tblLook w:val="04A0" w:firstRow="1" w:lastRow="0" w:firstColumn="1" w:lastColumn="0" w:noHBand="0" w:noVBand="1"/>
      </w:tblPr>
      <w:tblGrid>
        <w:gridCol w:w="2916"/>
        <w:gridCol w:w="982"/>
        <w:gridCol w:w="1320"/>
      </w:tblGrid>
      <w:tr w:rsidR="00736CB7" w:rsidRPr="00236B2E" w14:paraId="767F9533" w14:textId="77777777" w:rsidTr="00C80EBC">
        <w:trPr>
          <w:trHeight w:val="537"/>
          <w:jc w:val="center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46970" w14:textId="77777777" w:rsidR="00736CB7" w:rsidRPr="00236B2E" w:rsidRDefault="00736CB7" w:rsidP="00655157">
            <w:pPr>
              <w:rPr>
                <w:rFonts w:ascii="Calibri" w:hAnsi="Calibri" w:cs="Calibri"/>
                <w:color w:val="000000"/>
              </w:rPr>
            </w:pPr>
            <w:r w:rsidRPr="00236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4FDD0E6" w14:textId="77777777" w:rsidR="00736CB7" w:rsidRPr="00C80EBC" w:rsidRDefault="00736CB7" w:rsidP="00655157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C80EB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843A78D" w14:textId="77777777" w:rsidR="00736CB7" w:rsidRPr="00C80EBC" w:rsidRDefault="00736CB7" w:rsidP="00C80EBC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C80EB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Value (£)</w:t>
            </w:r>
          </w:p>
        </w:tc>
      </w:tr>
      <w:tr w:rsidR="00707D4B" w:rsidRPr="00236B2E" w14:paraId="1F4471A1" w14:textId="77777777" w:rsidTr="00C80EBC">
        <w:trPr>
          <w:trHeight w:val="315"/>
          <w:jc w:val="center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BC296" w14:textId="77777777" w:rsidR="00707D4B" w:rsidRDefault="00707D4B" w:rsidP="00707D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Benchmark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4AE1C" w14:textId="77777777" w:rsidR="00707D4B" w:rsidRPr="00C80EBC" w:rsidRDefault="00707D4B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80EBC">
              <w:rPr>
                <w:rFonts w:ascii="Calibri" w:hAnsi="Calibri" w:cs="Calibri"/>
                <w:b/>
                <w:sz w:val="22"/>
                <w:szCs w:val="22"/>
              </w:rPr>
              <w:t>95%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85C2A" w14:textId="77777777" w:rsidR="00707D4B" w:rsidRPr="00C80EBC" w:rsidRDefault="00707D4B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80EBC">
              <w:rPr>
                <w:rFonts w:ascii="Calibri" w:hAnsi="Calibri" w:cs="Calibri"/>
                <w:b/>
                <w:sz w:val="22"/>
                <w:szCs w:val="22"/>
              </w:rPr>
              <w:t>95%</w:t>
            </w:r>
          </w:p>
        </w:tc>
      </w:tr>
      <w:tr w:rsidR="008623B1" w:rsidRPr="00236B2E" w14:paraId="656E7C21" w14:textId="77777777" w:rsidTr="00C80EBC">
        <w:trPr>
          <w:trHeight w:val="315"/>
          <w:jc w:val="center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F413" w14:textId="77777777" w:rsidR="008623B1" w:rsidRPr="008654B1" w:rsidRDefault="008623B1" w:rsidP="00707D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4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2018/19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346C" w14:textId="77777777" w:rsidR="008623B1" w:rsidRPr="008654B1" w:rsidRDefault="008623B1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654B1">
              <w:rPr>
                <w:rFonts w:ascii="Calibri" w:hAnsi="Calibri" w:cs="Calibri"/>
                <w:b/>
                <w:sz w:val="22"/>
                <w:szCs w:val="22"/>
              </w:rPr>
              <w:t>99%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703ED" w14:textId="77777777" w:rsidR="008623B1" w:rsidRPr="008654B1" w:rsidRDefault="008623B1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654B1">
              <w:rPr>
                <w:rFonts w:ascii="Calibri" w:hAnsi="Calibri" w:cs="Calibri"/>
                <w:b/>
                <w:sz w:val="22"/>
                <w:szCs w:val="22"/>
              </w:rPr>
              <w:t>100%</w:t>
            </w:r>
          </w:p>
        </w:tc>
      </w:tr>
      <w:tr w:rsidR="004A71FD" w:rsidRPr="00236B2E" w14:paraId="72DF1A0E" w14:textId="77777777" w:rsidTr="00C80EBC">
        <w:trPr>
          <w:trHeight w:val="315"/>
          <w:jc w:val="center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E071" w14:textId="77777777" w:rsidR="004A71FD" w:rsidRDefault="004A71FD" w:rsidP="00707D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B42D0" w14:textId="77777777" w:rsidR="004A71FD" w:rsidRPr="00C80EBC" w:rsidRDefault="00126C0D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98%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F17C0" w14:textId="77777777" w:rsidR="004A71FD" w:rsidRPr="00C80EBC" w:rsidRDefault="00126C0D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98%</w:t>
            </w:r>
          </w:p>
        </w:tc>
      </w:tr>
      <w:tr w:rsidR="00736CB7" w:rsidRPr="00236B2E" w14:paraId="370895FE" w14:textId="77777777" w:rsidTr="00C80EBC">
        <w:trPr>
          <w:trHeight w:val="315"/>
          <w:jc w:val="center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78E48" w14:textId="77777777" w:rsidR="00736CB7" w:rsidRPr="00236B2E" w:rsidRDefault="00707D4B" w:rsidP="00707D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2016/17</w:t>
            </w:r>
            <w:r w:rsidR="00736CB7" w:rsidRPr="00236B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6274" w14:textId="77777777" w:rsidR="00736CB7" w:rsidRPr="00C80EBC" w:rsidRDefault="00482FAD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80EBC">
              <w:rPr>
                <w:rFonts w:ascii="Calibri" w:hAnsi="Calibri" w:cs="Calibri"/>
                <w:b/>
                <w:sz w:val="22"/>
                <w:szCs w:val="22"/>
              </w:rPr>
              <w:t>98%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FF78C" w14:textId="77777777" w:rsidR="00736CB7" w:rsidRPr="00C80EBC" w:rsidRDefault="00482FAD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80EBC">
              <w:rPr>
                <w:rFonts w:ascii="Calibri" w:hAnsi="Calibri" w:cs="Calibri"/>
                <w:b/>
                <w:sz w:val="22"/>
                <w:szCs w:val="22"/>
              </w:rPr>
              <w:t>98%</w:t>
            </w:r>
          </w:p>
        </w:tc>
      </w:tr>
    </w:tbl>
    <w:p w14:paraId="5F6F0CD6" w14:textId="77777777" w:rsidR="004D4BF4" w:rsidRDefault="004D4BF4" w:rsidP="00DD6897">
      <w:pPr>
        <w:rPr>
          <w:rFonts w:ascii="Arial" w:hAnsi="Arial" w:cs="Arial"/>
          <w:sz w:val="22"/>
          <w:szCs w:val="22"/>
        </w:rPr>
      </w:pPr>
    </w:p>
    <w:p w14:paraId="424C463C" w14:textId="77777777" w:rsidR="000A4438" w:rsidRDefault="000A4438" w:rsidP="0028079F">
      <w:pPr>
        <w:jc w:val="both"/>
        <w:rPr>
          <w:rFonts w:ascii="Arial" w:hAnsi="Arial" w:cs="Arial"/>
          <w:b/>
          <w:sz w:val="22"/>
          <w:szCs w:val="22"/>
        </w:rPr>
      </w:pPr>
    </w:p>
    <w:p w14:paraId="032F3322" w14:textId="77777777" w:rsidR="0028079F" w:rsidRPr="00106232" w:rsidRDefault="0028079F" w:rsidP="0028079F">
      <w:pPr>
        <w:jc w:val="both"/>
        <w:rPr>
          <w:rFonts w:ascii="Arial" w:hAnsi="Arial" w:cs="Arial"/>
          <w:b/>
          <w:sz w:val="22"/>
          <w:szCs w:val="22"/>
        </w:rPr>
      </w:pPr>
      <w:r w:rsidRPr="00106232">
        <w:rPr>
          <w:rFonts w:ascii="Arial" w:hAnsi="Arial" w:cs="Arial"/>
          <w:b/>
          <w:sz w:val="22"/>
          <w:szCs w:val="22"/>
        </w:rPr>
        <w:t>Recommendations</w:t>
      </w:r>
    </w:p>
    <w:p w14:paraId="44C94FD5" w14:textId="768417EF" w:rsidR="00192D07" w:rsidRDefault="00105BD5" w:rsidP="00192D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 team</w:t>
      </w:r>
      <w:r w:rsidR="00D211BF" w:rsidRPr="00106232">
        <w:rPr>
          <w:rFonts w:ascii="Arial" w:hAnsi="Arial" w:cs="Arial"/>
          <w:sz w:val="22"/>
          <w:szCs w:val="22"/>
        </w:rPr>
        <w:t xml:space="preserve"> </w:t>
      </w:r>
      <w:r w:rsidR="00DF39E7" w:rsidRPr="00106232">
        <w:rPr>
          <w:rFonts w:ascii="Arial" w:hAnsi="Arial" w:cs="Arial"/>
          <w:sz w:val="22"/>
          <w:szCs w:val="22"/>
        </w:rPr>
        <w:t xml:space="preserve">is asked to </w:t>
      </w:r>
      <w:r w:rsidR="004A32AC">
        <w:rPr>
          <w:rFonts w:ascii="Arial" w:hAnsi="Arial" w:cs="Arial"/>
          <w:sz w:val="22"/>
          <w:szCs w:val="22"/>
        </w:rPr>
        <w:t>review and approve</w:t>
      </w:r>
      <w:r w:rsidR="001C4432" w:rsidRPr="00106232">
        <w:rPr>
          <w:rFonts w:ascii="Arial" w:hAnsi="Arial" w:cs="Arial"/>
          <w:sz w:val="22"/>
          <w:szCs w:val="22"/>
        </w:rPr>
        <w:t xml:space="preserve"> </w:t>
      </w:r>
      <w:r w:rsidR="00B40EA9" w:rsidRPr="00106232">
        <w:rPr>
          <w:rFonts w:ascii="Arial" w:hAnsi="Arial" w:cs="Arial"/>
          <w:sz w:val="22"/>
          <w:szCs w:val="22"/>
        </w:rPr>
        <w:t xml:space="preserve">the </w:t>
      </w:r>
      <w:r w:rsidR="004A71FD">
        <w:rPr>
          <w:rFonts w:ascii="Arial" w:hAnsi="Arial" w:cs="Arial"/>
          <w:sz w:val="22"/>
          <w:szCs w:val="22"/>
        </w:rPr>
        <w:t xml:space="preserve">finance report for the </w:t>
      </w:r>
      <w:r w:rsidR="000670B2">
        <w:rPr>
          <w:rFonts w:ascii="Arial" w:hAnsi="Arial" w:cs="Arial"/>
          <w:sz w:val="22"/>
          <w:szCs w:val="22"/>
        </w:rPr>
        <w:t>10</w:t>
      </w:r>
      <w:r w:rsidR="00CF2146">
        <w:rPr>
          <w:rFonts w:ascii="Arial" w:hAnsi="Arial" w:cs="Arial"/>
          <w:sz w:val="22"/>
          <w:szCs w:val="22"/>
        </w:rPr>
        <w:t xml:space="preserve"> </w:t>
      </w:r>
      <w:r w:rsidR="004A71FD">
        <w:rPr>
          <w:rFonts w:ascii="Arial" w:hAnsi="Arial" w:cs="Arial"/>
          <w:sz w:val="22"/>
          <w:szCs w:val="22"/>
        </w:rPr>
        <w:t xml:space="preserve">months </w:t>
      </w:r>
      <w:r w:rsidR="00FD5EB4">
        <w:rPr>
          <w:rFonts w:ascii="Arial" w:hAnsi="Arial" w:cs="Arial"/>
          <w:sz w:val="22"/>
          <w:szCs w:val="22"/>
        </w:rPr>
        <w:t>to</w:t>
      </w:r>
      <w:r w:rsidR="00804976">
        <w:rPr>
          <w:rFonts w:ascii="Arial" w:hAnsi="Arial" w:cs="Arial"/>
          <w:sz w:val="22"/>
          <w:szCs w:val="22"/>
        </w:rPr>
        <w:t xml:space="preserve"> 3</w:t>
      </w:r>
      <w:r w:rsidR="00525850">
        <w:rPr>
          <w:rFonts w:ascii="Arial" w:hAnsi="Arial" w:cs="Arial"/>
          <w:sz w:val="22"/>
          <w:szCs w:val="22"/>
        </w:rPr>
        <w:t xml:space="preserve">1 </w:t>
      </w:r>
      <w:r w:rsidR="000670B2">
        <w:rPr>
          <w:rFonts w:ascii="Arial" w:hAnsi="Arial" w:cs="Arial"/>
          <w:sz w:val="22"/>
          <w:szCs w:val="22"/>
        </w:rPr>
        <w:t>January</w:t>
      </w:r>
      <w:r w:rsidR="00525850">
        <w:rPr>
          <w:rFonts w:ascii="Arial" w:hAnsi="Arial" w:cs="Arial"/>
          <w:sz w:val="22"/>
          <w:szCs w:val="22"/>
        </w:rPr>
        <w:t xml:space="preserve"> </w:t>
      </w:r>
      <w:r w:rsidR="00804976">
        <w:rPr>
          <w:rFonts w:ascii="Arial" w:hAnsi="Arial" w:cs="Arial"/>
          <w:sz w:val="22"/>
          <w:szCs w:val="22"/>
        </w:rPr>
        <w:t>201</w:t>
      </w:r>
      <w:r w:rsidR="000670B2">
        <w:rPr>
          <w:rFonts w:ascii="Arial" w:hAnsi="Arial" w:cs="Arial"/>
          <w:sz w:val="22"/>
          <w:szCs w:val="22"/>
        </w:rPr>
        <w:t>9</w:t>
      </w:r>
      <w:r w:rsidR="00804976">
        <w:rPr>
          <w:rFonts w:ascii="Arial" w:hAnsi="Arial" w:cs="Arial"/>
          <w:sz w:val="22"/>
          <w:szCs w:val="22"/>
        </w:rPr>
        <w:t>.</w:t>
      </w:r>
      <w:r w:rsidR="00FD5EB4">
        <w:rPr>
          <w:rFonts w:ascii="Arial" w:hAnsi="Arial" w:cs="Arial"/>
          <w:sz w:val="22"/>
          <w:szCs w:val="22"/>
        </w:rPr>
        <w:t xml:space="preserve"> </w:t>
      </w:r>
    </w:p>
    <w:p w14:paraId="7A0865DC" w14:textId="77777777" w:rsidR="00CC740F" w:rsidRDefault="00CC740F" w:rsidP="00B40E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F38A4B4" w14:textId="77777777" w:rsidR="00B40EA9" w:rsidRPr="00B40EA9" w:rsidRDefault="000A4438" w:rsidP="00B40EA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Sylvia Hazard and </w:t>
      </w:r>
      <w:r w:rsidR="00192D07">
        <w:rPr>
          <w:rFonts w:ascii="Arial" w:hAnsi="Arial" w:cs="Arial"/>
          <w:b/>
          <w:sz w:val="22"/>
          <w:szCs w:val="22"/>
        </w:rPr>
        <w:t>Karen Williams</w:t>
      </w:r>
    </w:p>
    <w:p w14:paraId="2B1369EE" w14:textId="77777777" w:rsidR="00B40EA9" w:rsidRPr="00B40EA9" w:rsidRDefault="000A4438" w:rsidP="00B40EA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Deputy Director of Finance and </w:t>
      </w:r>
      <w:r w:rsidR="0004137A">
        <w:rPr>
          <w:rFonts w:ascii="Arial" w:hAnsi="Arial" w:cs="Arial"/>
          <w:b/>
          <w:sz w:val="22"/>
          <w:szCs w:val="22"/>
        </w:rPr>
        <w:t xml:space="preserve">Director of </w:t>
      </w:r>
      <w:r w:rsidR="00B40EA9" w:rsidRPr="00B40EA9">
        <w:rPr>
          <w:rFonts w:ascii="Arial" w:hAnsi="Arial" w:cs="Arial"/>
          <w:b/>
          <w:sz w:val="22"/>
          <w:szCs w:val="22"/>
        </w:rPr>
        <w:t>Finance</w:t>
      </w:r>
      <w:r w:rsidR="00B34A94">
        <w:rPr>
          <w:rFonts w:ascii="Arial" w:hAnsi="Arial" w:cs="Arial"/>
          <w:b/>
          <w:sz w:val="22"/>
          <w:szCs w:val="22"/>
        </w:rPr>
        <w:t xml:space="preserve">, </w:t>
      </w:r>
      <w:r w:rsidR="00E73495">
        <w:rPr>
          <w:rFonts w:ascii="Arial" w:hAnsi="Arial" w:cs="Arial"/>
          <w:b/>
          <w:sz w:val="22"/>
          <w:szCs w:val="22"/>
        </w:rPr>
        <w:t>Procurement</w:t>
      </w:r>
      <w:r w:rsidR="00B34A94">
        <w:rPr>
          <w:rFonts w:ascii="Arial" w:hAnsi="Arial" w:cs="Arial"/>
          <w:b/>
          <w:sz w:val="22"/>
          <w:szCs w:val="22"/>
        </w:rPr>
        <w:t xml:space="preserve"> and Estates</w:t>
      </w:r>
    </w:p>
    <w:p w14:paraId="22D38F74" w14:textId="59864CF9" w:rsidR="008568A2" w:rsidRDefault="000670B2" w:rsidP="0080497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proofErr w:type="gramStart"/>
      <w:r w:rsidRPr="000670B2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2256D">
        <w:rPr>
          <w:rFonts w:ascii="Arial" w:hAnsi="Arial" w:cs="Arial"/>
          <w:b/>
          <w:sz w:val="22"/>
          <w:szCs w:val="22"/>
        </w:rPr>
        <w:t xml:space="preserve"> February</w:t>
      </w:r>
      <w:proofErr w:type="gramEnd"/>
      <w:r w:rsidR="00525850">
        <w:rPr>
          <w:rFonts w:ascii="Arial" w:hAnsi="Arial" w:cs="Arial"/>
          <w:b/>
          <w:sz w:val="22"/>
          <w:szCs w:val="22"/>
        </w:rPr>
        <w:t xml:space="preserve"> 2019</w:t>
      </w:r>
    </w:p>
    <w:p w14:paraId="29330D43" w14:textId="77777777" w:rsidR="00F60231" w:rsidRDefault="00F60231" w:rsidP="00804976">
      <w:pPr>
        <w:spacing w:line="276" w:lineRule="auto"/>
        <w:rPr>
          <w:rFonts w:ascii="Arial" w:hAnsi="Arial" w:cs="Arial"/>
          <w:b/>
          <w:sz w:val="22"/>
          <w:szCs w:val="22"/>
        </w:rPr>
        <w:sectPr w:rsidR="00F60231" w:rsidSect="00105BD5">
          <w:headerReference w:type="default" r:id="rId13"/>
          <w:footerReference w:type="default" r:id="rId14"/>
          <w:pgSz w:w="11906" w:h="16838"/>
          <w:pgMar w:top="720" w:right="902" w:bottom="709" w:left="992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3113"/>
        <w:gridCol w:w="1629"/>
        <w:gridCol w:w="847"/>
        <w:gridCol w:w="847"/>
        <w:gridCol w:w="848"/>
        <w:gridCol w:w="848"/>
        <w:gridCol w:w="848"/>
        <w:gridCol w:w="848"/>
        <w:gridCol w:w="848"/>
        <w:gridCol w:w="851"/>
        <w:gridCol w:w="851"/>
        <w:gridCol w:w="851"/>
        <w:gridCol w:w="851"/>
        <w:gridCol w:w="256"/>
        <w:gridCol w:w="851"/>
      </w:tblGrid>
      <w:tr w:rsidR="00F60231" w:rsidRPr="00F60231" w14:paraId="6D128561" w14:textId="77777777" w:rsidTr="0076747C">
        <w:trPr>
          <w:trHeight w:val="375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9F0E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Health Research Authority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C2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434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129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2B7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C94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85AD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072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931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AC4D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D51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F2BB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B0D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64AC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E20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0231" w:rsidRPr="00F60231" w14:paraId="69445F3B" w14:textId="77777777" w:rsidTr="0076747C">
        <w:trPr>
          <w:trHeight w:val="375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BBB7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2018-19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67D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C55F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9E6F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E8C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2B8D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883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084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E17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2DA8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4BF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221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6F0D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FD1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47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0231" w:rsidRPr="00F60231" w14:paraId="05A705F6" w14:textId="77777777" w:rsidTr="0076747C">
        <w:trPr>
          <w:trHeight w:val="375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3C23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Annual Cash Flow Profile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58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B46E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B62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E57C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8331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AAAC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40FC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56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F5B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94FE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9A54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25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778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94A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0231" w:rsidRPr="00F60231" w14:paraId="49457391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728D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704D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152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1E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1D3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C25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502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C0E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7A5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261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E2BF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A18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F13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B84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163F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26EF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0231" w:rsidRPr="00F60231" w14:paraId="54D984F2" w14:textId="77777777" w:rsidTr="0076747C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D26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0C0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A63C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08CB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01AD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30F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B1B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B8B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E1ED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29B3" w14:textId="77777777" w:rsidR="00F60231" w:rsidRPr="00F60231" w:rsidRDefault="00F60231" w:rsidP="00F602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161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5FC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FA3B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9854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A1C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881D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0231" w:rsidRPr="00F60231" w14:paraId="638BE3E0" w14:textId="77777777" w:rsidTr="0076747C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0B8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5584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A57D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Apr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5BB2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56062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Jun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F433A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Jul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E7AE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Aug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CF5D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Sep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CB66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Oct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8CCC4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Nov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44455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Dec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E5582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Jan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33E4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Feb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9F9A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8E6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87C0D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F60231" w:rsidRPr="00F60231" w14:paraId="0B6BDBC3" w14:textId="77777777" w:rsidTr="0076747C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EA7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5B6E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£'000s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4508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14F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931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85B4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407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6C5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7EF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2533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C9FB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5B5A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7C3D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0368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7F0E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0080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0231" w:rsidRPr="00F60231" w14:paraId="52AAD2F5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703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0373D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Opening Balance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3F4A7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D8E2C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41037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EECD7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0CC4C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A516F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2D04A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D6CDE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4D27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1,663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A961A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D417B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5E3F4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1,148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BA12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0162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957</w:t>
            </w:r>
          </w:p>
        </w:tc>
      </w:tr>
      <w:tr w:rsidR="00F60231" w:rsidRPr="00F60231" w14:paraId="4B32551B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F058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5D0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8F2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0BE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BDD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815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2B0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E8F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066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599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A3EF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FCDC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79A3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2379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E12E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DE0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</w:tr>
      <w:tr w:rsidR="00F60231" w:rsidRPr="00F60231" w14:paraId="496B354E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DAE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BD10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Receipts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C1B0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6396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6BD9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556C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F829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1443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203C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8C17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3694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BF02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7149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B40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984B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717A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</w:tr>
      <w:tr w:rsidR="00F60231" w:rsidRPr="00F60231" w14:paraId="171C5D84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BEF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2C41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Debtors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E007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4A95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E808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53B2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B6DF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4F5F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B87E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9078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0523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FCBD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9D26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A761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EF49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7C18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</w:tr>
      <w:tr w:rsidR="00F60231" w:rsidRPr="00F60231" w14:paraId="112E9D26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5EA8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8145E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Revenue cash limit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42F9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28B8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E1A7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9018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CD0C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784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CAFE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5C86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E3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4EB2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C93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5B42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1,392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D43D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D2CB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13,742</w:t>
            </w:r>
          </w:p>
        </w:tc>
      </w:tr>
      <w:tr w:rsidR="00F60231" w:rsidRPr="00F60231" w14:paraId="19D57E20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87C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7E5DC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Capital cash limit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EE3B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27F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8F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C9D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81CC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1B2B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12F7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7F79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1475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BA2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4222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F99B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1,090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79CA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02FD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1,790</w:t>
            </w:r>
          </w:p>
        </w:tc>
      </w:tr>
      <w:tr w:rsidR="00F60231" w:rsidRPr="00F60231" w14:paraId="2A6DDE99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5FC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B1A1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Additional Cash allocation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415D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6D5E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8E2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7AA8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6EF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E88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FCC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7BA4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2D81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748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F72B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1931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4E35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2630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F60231" w:rsidRPr="00F60231" w14:paraId="1FFCAA80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6148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EEDB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Receipts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3062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9FDDD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1,017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CCE18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B3B26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1,462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8DEC6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1,460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70DB9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1,098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64A19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57D65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1,314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85D24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F291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B58E7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E608C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2,601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BCDE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5A9B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16,658</w:t>
            </w:r>
          </w:p>
        </w:tc>
      </w:tr>
      <w:tr w:rsidR="00F60231" w:rsidRPr="00F60231" w14:paraId="0F370D82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13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18D0E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2F8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EE9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DDB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8F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E7E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370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C9C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A0EB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2CDE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FDCB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109E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35E4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6A61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0380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</w:tr>
      <w:tr w:rsidR="00F60231" w:rsidRPr="00F60231" w14:paraId="5E475968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FD0E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F135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Payments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400B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ABE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A8D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2FC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D4D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3E41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11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DAEE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B04E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83FE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7113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E2E2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D10A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5DC6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60231" w:rsidRPr="00F60231" w14:paraId="21923ABC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DADF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2930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Staff - payroll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2A50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36CD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13FE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AFA0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3104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4084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0589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1CBA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021C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AD49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9D71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BC50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1,318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EBE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8C61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9,498</w:t>
            </w:r>
          </w:p>
        </w:tc>
      </w:tr>
      <w:tr w:rsidR="00F60231" w:rsidRPr="00F60231" w14:paraId="4768945F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B71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1D9EC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EB3B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25A1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5A3E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4AC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86C1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60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EA2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6B1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A03B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4E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5A38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EA31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1717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BD86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0231" w:rsidRPr="00F60231" w14:paraId="679D320F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E06C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55E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Revenue payments  through SBS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F0AF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2FC9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ED11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5DC0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478C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938F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BCA7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522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140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6B0E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EAE1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77B5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168D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D0BF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4,687</w:t>
            </w:r>
          </w:p>
        </w:tc>
      </w:tr>
      <w:tr w:rsidR="00F60231" w:rsidRPr="00F60231" w14:paraId="0CD95931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614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0BD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Capital payments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783D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AD27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87B6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2316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842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B9CB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74F9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1EDE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FD26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4DC1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D2BC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462B" w14:textId="77777777" w:rsidR="00F60231" w:rsidRPr="00F60231" w:rsidRDefault="00F60231" w:rsidP="00F602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D197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4BFA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1,582</w:t>
            </w:r>
          </w:p>
        </w:tc>
      </w:tr>
      <w:tr w:rsidR="00F60231" w:rsidRPr="00F60231" w14:paraId="7B8D4AE1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561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670D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Bank Transfers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4E7E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968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0F7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F88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EA1E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688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BE8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702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4E9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39E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D8C4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911F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3BC2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8F17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60231" w:rsidRPr="00F60231" w14:paraId="34785F1B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9EA8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99C3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270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F5CE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DDDE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550E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7E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55E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D72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222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047D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E13C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B2F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2E8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1DA7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3CC7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60231" w:rsidRPr="00F60231" w14:paraId="14406FE2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D39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D216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808A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B133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CD9BB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9AFFB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0E9E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9315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667D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6B6BB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CFE4C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485B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9E093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911E4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166F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5DCD" w14:textId="77777777" w:rsidR="00F60231" w:rsidRPr="00F60231" w:rsidRDefault="00F60231" w:rsidP="00F602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60231" w:rsidRPr="00F60231" w14:paraId="29FBD38E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F5D1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2F5B2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Payments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86BEE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16120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7F665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45E93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1E18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5FC1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2B34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C5DA9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1CD52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EB416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1,569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F55AE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DC10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1,901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225D" w14:textId="77777777" w:rsidR="00F60231" w:rsidRPr="00F60231" w:rsidRDefault="00F60231" w:rsidP="00F60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0760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15,768</w:t>
            </w:r>
          </w:p>
        </w:tc>
      </w:tr>
      <w:tr w:rsidR="00F60231" w:rsidRPr="00F60231" w14:paraId="37F74AA0" w14:textId="77777777" w:rsidTr="0076747C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4B8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4D148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9A3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E867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8A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185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C244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9A92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B438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B8BD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EFD3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17DF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6B8E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DA25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605B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75A0" w14:textId="77777777" w:rsidR="00F60231" w:rsidRPr="00F60231" w:rsidRDefault="00F60231" w:rsidP="00F602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0231" w:rsidRPr="00F60231" w14:paraId="66F5956C" w14:textId="77777777" w:rsidTr="0076747C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B40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88E6" w14:textId="77777777" w:rsidR="00F60231" w:rsidRPr="00F60231" w:rsidRDefault="00F60231" w:rsidP="00F602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Closing Balance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A070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BF46F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CF0A9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1,459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94EEC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1,901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5912B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2,330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F0BDE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7170B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1,471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BE134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1,663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B6A6B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1,555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859B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1,135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85303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1,148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593C7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1,848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EC2C" w14:textId="77777777" w:rsidR="00F60231" w:rsidRPr="00F60231" w:rsidRDefault="00F60231" w:rsidP="00F602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B1446" w14:textId="77777777" w:rsidR="00F60231" w:rsidRPr="00F60231" w:rsidRDefault="00F60231" w:rsidP="00F602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02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1,848</w:t>
            </w:r>
          </w:p>
        </w:tc>
      </w:tr>
    </w:tbl>
    <w:p w14:paraId="767241D3" w14:textId="77777777" w:rsidR="00F60231" w:rsidRDefault="00F60231" w:rsidP="007674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F60231" w:rsidSect="00F60231">
      <w:pgSz w:w="16838" w:h="11906" w:orient="landscape"/>
      <w:pgMar w:top="902" w:right="709" w:bottom="99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4A1E" w14:textId="77777777" w:rsidR="00212539" w:rsidRDefault="00212539" w:rsidP="00412C00">
      <w:r>
        <w:separator/>
      </w:r>
    </w:p>
  </w:endnote>
  <w:endnote w:type="continuationSeparator" w:id="0">
    <w:p w14:paraId="644607C6" w14:textId="77777777" w:rsidR="00212539" w:rsidRDefault="00212539" w:rsidP="0041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866406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16"/>
      </w:rPr>
    </w:sdtEndPr>
    <w:sdtContent>
      <w:p w14:paraId="142A3860" w14:textId="09EC69D1" w:rsidR="00212539" w:rsidRPr="00195D4C" w:rsidRDefault="00212539">
        <w:pPr>
          <w:pStyle w:val="Footer"/>
          <w:jc w:val="center"/>
          <w:rPr>
            <w:rFonts w:ascii="Arial" w:hAnsi="Arial"/>
            <w:sz w:val="16"/>
          </w:rPr>
        </w:pPr>
        <w:r w:rsidRPr="00195D4C">
          <w:rPr>
            <w:rFonts w:ascii="Arial" w:hAnsi="Arial"/>
            <w:sz w:val="16"/>
          </w:rPr>
          <w:fldChar w:fldCharType="begin"/>
        </w:r>
        <w:r w:rsidRPr="00195D4C">
          <w:rPr>
            <w:rFonts w:ascii="Arial" w:hAnsi="Arial"/>
            <w:sz w:val="16"/>
          </w:rPr>
          <w:instrText xml:space="preserve"> PAGE   \* MERGEFORMAT </w:instrText>
        </w:r>
        <w:r w:rsidRPr="00195D4C">
          <w:rPr>
            <w:rFonts w:ascii="Arial" w:hAnsi="Arial"/>
            <w:sz w:val="16"/>
          </w:rPr>
          <w:fldChar w:fldCharType="separate"/>
        </w:r>
        <w:r w:rsidR="00492E23">
          <w:rPr>
            <w:rFonts w:ascii="Arial" w:hAnsi="Arial"/>
            <w:noProof/>
            <w:sz w:val="16"/>
          </w:rPr>
          <w:t>9</w:t>
        </w:r>
        <w:r w:rsidRPr="00195D4C">
          <w:rPr>
            <w:rFonts w:ascii="Arial" w:hAnsi="Arial"/>
            <w:noProof/>
            <w:sz w:val="16"/>
          </w:rPr>
          <w:fldChar w:fldCharType="end"/>
        </w:r>
      </w:p>
    </w:sdtContent>
  </w:sdt>
  <w:p w14:paraId="32C16C41" w14:textId="77777777" w:rsidR="00212539" w:rsidRDefault="00212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80BF" w14:textId="77777777" w:rsidR="00212539" w:rsidRDefault="00212539" w:rsidP="00412C00">
      <w:r>
        <w:separator/>
      </w:r>
    </w:p>
  </w:footnote>
  <w:footnote w:type="continuationSeparator" w:id="0">
    <w:p w14:paraId="34D8A1B4" w14:textId="77777777" w:rsidR="00212539" w:rsidRDefault="00212539" w:rsidP="0041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2991350"/>
      <w:docPartObj>
        <w:docPartGallery w:val="Watermarks"/>
        <w:docPartUnique/>
      </w:docPartObj>
    </w:sdtPr>
    <w:sdtEndPr/>
    <w:sdtContent>
      <w:p w14:paraId="7252D249" w14:textId="77777777" w:rsidR="00212539" w:rsidRDefault="00492E23">
        <w:pPr>
          <w:pStyle w:val="Header"/>
        </w:pPr>
        <w:r>
          <w:rPr>
            <w:noProof/>
            <w:lang w:val="en-US" w:eastAsia="zh-TW"/>
          </w:rPr>
          <w:pict w14:anchorId="41FFED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938"/>
    <w:multiLevelType w:val="hybridMultilevel"/>
    <w:tmpl w:val="061E21A0"/>
    <w:lvl w:ilvl="0" w:tplc="080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22" w:hanging="360"/>
      </w:pPr>
      <w:rPr>
        <w:rFonts w:ascii="Wingdings" w:hAnsi="Wingdings" w:hint="default"/>
      </w:rPr>
    </w:lvl>
  </w:abstractNum>
  <w:abstractNum w:abstractNumId="1" w15:restartNumberingAfterBreak="0">
    <w:nsid w:val="0AD70165"/>
    <w:multiLevelType w:val="hybridMultilevel"/>
    <w:tmpl w:val="A270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1220"/>
    <w:multiLevelType w:val="hybridMultilevel"/>
    <w:tmpl w:val="97F2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860"/>
    <w:multiLevelType w:val="hybridMultilevel"/>
    <w:tmpl w:val="F038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D7E0D"/>
    <w:multiLevelType w:val="hybridMultilevel"/>
    <w:tmpl w:val="05FE46A6"/>
    <w:lvl w:ilvl="0" w:tplc="95E01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75CF"/>
    <w:multiLevelType w:val="hybridMultilevel"/>
    <w:tmpl w:val="099E7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7536"/>
    <w:multiLevelType w:val="hybridMultilevel"/>
    <w:tmpl w:val="3D44C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A1FB2"/>
    <w:multiLevelType w:val="hybridMultilevel"/>
    <w:tmpl w:val="457641A2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64D2251"/>
    <w:multiLevelType w:val="hybridMultilevel"/>
    <w:tmpl w:val="B5620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567E2"/>
    <w:multiLevelType w:val="hybridMultilevel"/>
    <w:tmpl w:val="30D0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C6BD8"/>
    <w:multiLevelType w:val="hybridMultilevel"/>
    <w:tmpl w:val="FFE826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0A123E"/>
    <w:multiLevelType w:val="hybridMultilevel"/>
    <w:tmpl w:val="B3520682"/>
    <w:lvl w:ilvl="0" w:tplc="7FDA3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A48B0"/>
    <w:multiLevelType w:val="hybridMultilevel"/>
    <w:tmpl w:val="AE3260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4B2432F"/>
    <w:multiLevelType w:val="hybridMultilevel"/>
    <w:tmpl w:val="F0208A20"/>
    <w:lvl w:ilvl="0" w:tplc="934E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00DFC">
      <w:numFmt w:val="none"/>
      <w:lvlText w:val=""/>
      <w:lvlJc w:val="left"/>
      <w:pPr>
        <w:tabs>
          <w:tab w:val="num" w:pos="360"/>
        </w:tabs>
      </w:pPr>
    </w:lvl>
    <w:lvl w:ilvl="2" w:tplc="DCD80F4E">
      <w:numFmt w:val="none"/>
      <w:lvlText w:val=""/>
      <w:lvlJc w:val="left"/>
      <w:pPr>
        <w:tabs>
          <w:tab w:val="num" w:pos="360"/>
        </w:tabs>
      </w:pPr>
    </w:lvl>
    <w:lvl w:ilvl="3" w:tplc="96E698B2">
      <w:numFmt w:val="none"/>
      <w:lvlText w:val=""/>
      <w:lvlJc w:val="left"/>
      <w:pPr>
        <w:tabs>
          <w:tab w:val="num" w:pos="360"/>
        </w:tabs>
      </w:pPr>
    </w:lvl>
    <w:lvl w:ilvl="4" w:tplc="54AA915A">
      <w:numFmt w:val="none"/>
      <w:lvlText w:val=""/>
      <w:lvlJc w:val="left"/>
      <w:pPr>
        <w:tabs>
          <w:tab w:val="num" w:pos="360"/>
        </w:tabs>
      </w:pPr>
    </w:lvl>
    <w:lvl w:ilvl="5" w:tplc="A57ADD74">
      <w:numFmt w:val="none"/>
      <w:lvlText w:val=""/>
      <w:lvlJc w:val="left"/>
      <w:pPr>
        <w:tabs>
          <w:tab w:val="num" w:pos="360"/>
        </w:tabs>
      </w:pPr>
    </w:lvl>
    <w:lvl w:ilvl="6" w:tplc="5330EEEE">
      <w:numFmt w:val="none"/>
      <w:lvlText w:val=""/>
      <w:lvlJc w:val="left"/>
      <w:pPr>
        <w:tabs>
          <w:tab w:val="num" w:pos="360"/>
        </w:tabs>
      </w:pPr>
    </w:lvl>
    <w:lvl w:ilvl="7" w:tplc="A7586E4E">
      <w:numFmt w:val="none"/>
      <w:lvlText w:val=""/>
      <w:lvlJc w:val="left"/>
      <w:pPr>
        <w:tabs>
          <w:tab w:val="num" w:pos="360"/>
        </w:tabs>
      </w:pPr>
    </w:lvl>
    <w:lvl w:ilvl="8" w:tplc="30BC2D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B171A2E"/>
    <w:multiLevelType w:val="hybridMultilevel"/>
    <w:tmpl w:val="2C5085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F31E4"/>
    <w:multiLevelType w:val="hybridMultilevel"/>
    <w:tmpl w:val="826C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A5566"/>
    <w:multiLevelType w:val="hybridMultilevel"/>
    <w:tmpl w:val="E54E8C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2365D63"/>
    <w:multiLevelType w:val="hybridMultilevel"/>
    <w:tmpl w:val="95D4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F6A05"/>
    <w:multiLevelType w:val="hybridMultilevel"/>
    <w:tmpl w:val="39887D2C"/>
    <w:lvl w:ilvl="0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 w15:restartNumberingAfterBreak="0">
    <w:nsid w:val="431F332B"/>
    <w:multiLevelType w:val="hybridMultilevel"/>
    <w:tmpl w:val="AA46A9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02ABC"/>
    <w:multiLevelType w:val="hybridMultilevel"/>
    <w:tmpl w:val="B00C5BE0"/>
    <w:lvl w:ilvl="0" w:tplc="45041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14036"/>
    <w:multiLevelType w:val="hybridMultilevel"/>
    <w:tmpl w:val="17E0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449AB"/>
    <w:multiLevelType w:val="hybridMultilevel"/>
    <w:tmpl w:val="B6C8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095C"/>
    <w:multiLevelType w:val="hybridMultilevel"/>
    <w:tmpl w:val="573E4722"/>
    <w:lvl w:ilvl="0" w:tplc="5240B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194781"/>
    <w:multiLevelType w:val="hybridMultilevel"/>
    <w:tmpl w:val="A77000F0"/>
    <w:lvl w:ilvl="0" w:tplc="A950D3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5A7B"/>
    <w:multiLevelType w:val="hybridMultilevel"/>
    <w:tmpl w:val="CEC2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6605D"/>
    <w:multiLevelType w:val="hybridMultilevel"/>
    <w:tmpl w:val="388E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938FD"/>
    <w:multiLevelType w:val="hybridMultilevel"/>
    <w:tmpl w:val="F37A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4674"/>
    <w:multiLevelType w:val="hybridMultilevel"/>
    <w:tmpl w:val="1804CAD8"/>
    <w:lvl w:ilvl="0" w:tplc="926A7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D2685"/>
    <w:multiLevelType w:val="hybridMultilevel"/>
    <w:tmpl w:val="7AD6D538"/>
    <w:lvl w:ilvl="0" w:tplc="0CF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476AF"/>
    <w:multiLevelType w:val="hybridMultilevel"/>
    <w:tmpl w:val="F9469464"/>
    <w:lvl w:ilvl="0" w:tplc="52DA0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62F38"/>
    <w:multiLevelType w:val="hybridMultilevel"/>
    <w:tmpl w:val="6E24EA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4080E"/>
    <w:multiLevelType w:val="hybridMultilevel"/>
    <w:tmpl w:val="E306FFB0"/>
    <w:lvl w:ilvl="0" w:tplc="53BE23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64615"/>
    <w:multiLevelType w:val="hybridMultilevel"/>
    <w:tmpl w:val="C3B47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3675D"/>
    <w:multiLevelType w:val="hybridMultilevel"/>
    <w:tmpl w:val="3EAA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60BED"/>
    <w:multiLevelType w:val="hybridMultilevel"/>
    <w:tmpl w:val="47B2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D4B64"/>
    <w:multiLevelType w:val="hybridMultilevel"/>
    <w:tmpl w:val="D5E68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74158"/>
    <w:multiLevelType w:val="hybridMultilevel"/>
    <w:tmpl w:val="23D4F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D6FD7"/>
    <w:multiLevelType w:val="hybridMultilevel"/>
    <w:tmpl w:val="E5C0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12D61"/>
    <w:multiLevelType w:val="hybridMultilevel"/>
    <w:tmpl w:val="9DA8E69E"/>
    <w:lvl w:ilvl="0" w:tplc="BE7C1C0E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1" w:tplc="F4A61D0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D23C2"/>
    <w:multiLevelType w:val="hybridMultilevel"/>
    <w:tmpl w:val="573A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71EE1"/>
    <w:multiLevelType w:val="hybridMultilevel"/>
    <w:tmpl w:val="8E6A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F064A"/>
    <w:multiLevelType w:val="hybridMultilevel"/>
    <w:tmpl w:val="A49205EC"/>
    <w:lvl w:ilvl="0" w:tplc="19BE0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13"/>
  </w:num>
  <w:num w:numId="4">
    <w:abstractNumId w:val="41"/>
  </w:num>
  <w:num w:numId="5">
    <w:abstractNumId w:val="26"/>
  </w:num>
  <w:num w:numId="6">
    <w:abstractNumId w:val="5"/>
  </w:num>
  <w:num w:numId="7">
    <w:abstractNumId w:val="6"/>
  </w:num>
  <w:num w:numId="8">
    <w:abstractNumId w:val="33"/>
  </w:num>
  <w:num w:numId="9">
    <w:abstractNumId w:val="19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8"/>
  </w:num>
  <w:num w:numId="15">
    <w:abstractNumId w:val="3"/>
  </w:num>
  <w:num w:numId="16">
    <w:abstractNumId w:val="34"/>
  </w:num>
  <w:num w:numId="17">
    <w:abstractNumId w:val="39"/>
  </w:num>
  <w:num w:numId="18">
    <w:abstractNumId w:val="28"/>
  </w:num>
  <w:num w:numId="19">
    <w:abstractNumId w:val="20"/>
  </w:num>
  <w:num w:numId="20">
    <w:abstractNumId w:val="30"/>
  </w:num>
  <w:num w:numId="21">
    <w:abstractNumId w:val="29"/>
  </w:num>
  <w:num w:numId="22">
    <w:abstractNumId w:val="11"/>
  </w:num>
  <w:num w:numId="23">
    <w:abstractNumId w:val="24"/>
  </w:num>
  <w:num w:numId="24">
    <w:abstractNumId w:val="38"/>
  </w:num>
  <w:num w:numId="25">
    <w:abstractNumId w:val="35"/>
  </w:num>
  <w:num w:numId="26">
    <w:abstractNumId w:val="15"/>
  </w:num>
  <w:num w:numId="27">
    <w:abstractNumId w:val="27"/>
  </w:num>
  <w:num w:numId="28">
    <w:abstractNumId w:val="42"/>
  </w:num>
  <w:num w:numId="29">
    <w:abstractNumId w:val="23"/>
  </w:num>
  <w:num w:numId="30">
    <w:abstractNumId w:val="31"/>
  </w:num>
  <w:num w:numId="31">
    <w:abstractNumId w:val="16"/>
  </w:num>
  <w:num w:numId="32">
    <w:abstractNumId w:val="25"/>
  </w:num>
  <w:num w:numId="33">
    <w:abstractNumId w:val="1"/>
  </w:num>
  <w:num w:numId="34">
    <w:abstractNumId w:val="36"/>
  </w:num>
  <w:num w:numId="35">
    <w:abstractNumId w:val="9"/>
  </w:num>
  <w:num w:numId="36">
    <w:abstractNumId w:val="22"/>
  </w:num>
  <w:num w:numId="37">
    <w:abstractNumId w:val="10"/>
  </w:num>
  <w:num w:numId="38">
    <w:abstractNumId w:val="17"/>
  </w:num>
  <w:num w:numId="39">
    <w:abstractNumId w:val="21"/>
  </w:num>
  <w:num w:numId="40">
    <w:abstractNumId w:val="8"/>
  </w:num>
  <w:num w:numId="41">
    <w:abstractNumId w:val="40"/>
  </w:num>
  <w:num w:numId="42">
    <w:abstractNumId w:val="3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21"/>
    <w:rsid w:val="00002E5F"/>
    <w:rsid w:val="00004C4F"/>
    <w:rsid w:val="0000631A"/>
    <w:rsid w:val="00006A45"/>
    <w:rsid w:val="00006BA4"/>
    <w:rsid w:val="00007DD1"/>
    <w:rsid w:val="00011FDF"/>
    <w:rsid w:val="00012A71"/>
    <w:rsid w:val="000140FE"/>
    <w:rsid w:val="00015048"/>
    <w:rsid w:val="00015D1D"/>
    <w:rsid w:val="0001646D"/>
    <w:rsid w:val="00016856"/>
    <w:rsid w:val="00017760"/>
    <w:rsid w:val="000200FA"/>
    <w:rsid w:val="00020E2E"/>
    <w:rsid w:val="000217E9"/>
    <w:rsid w:val="00021ABB"/>
    <w:rsid w:val="00022301"/>
    <w:rsid w:val="000228BD"/>
    <w:rsid w:val="0002376C"/>
    <w:rsid w:val="000239F7"/>
    <w:rsid w:val="0002461E"/>
    <w:rsid w:val="00024BC8"/>
    <w:rsid w:val="000256C9"/>
    <w:rsid w:val="000271F4"/>
    <w:rsid w:val="00030167"/>
    <w:rsid w:val="00031CF6"/>
    <w:rsid w:val="00032034"/>
    <w:rsid w:val="0003250E"/>
    <w:rsid w:val="00033BC9"/>
    <w:rsid w:val="00033FF1"/>
    <w:rsid w:val="00034A25"/>
    <w:rsid w:val="00034D0F"/>
    <w:rsid w:val="00035367"/>
    <w:rsid w:val="0003758C"/>
    <w:rsid w:val="00037838"/>
    <w:rsid w:val="00040F35"/>
    <w:rsid w:val="0004137A"/>
    <w:rsid w:val="00042A65"/>
    <w:rsid w:val="00042BFF"/>
    <w:rsid w:val="0004366E"/>
    <w:rsid w:val="0004442F"/>
    <w:rsid w:val="00044467"/>
    <w:rsid w:val="0004446C"/>
    <w:rsid w:val="00044D07"/>
    <w:rsid w:val="00045648"/>
    <w:rsid w:val="00047960"/>
    <w:rsid w:val="00052048"/>
    <w:rsid w:val="0005228C"/>
    <w:rsid w:val="00053090"/>
    <w:rsid w:val="00054430"/>
    <w:rsid w:val="000550DF"/>
    <w:rsid w:val="00055303"/>
    <w:rsid w:val="00055506"/>
    <w:rsid w:val="00056576"/>
    <w:rsid w:val="0006158F"/>
    <w:rsid w:val="00062DFD"/>
    <w:rsid w:val="0006430C"/>
    <w:rsid w:val="000658EF"/>
    <w:rsid w:val="0006597A"/>
    <w:rsid w:val="00065E53"/>
    <w:rsid w:val="00066196"/>
    <w:rsid w:val="000670B2"/>
    <w:rsid w:val="0006732B"/>
    <w:rsid w:val="00070A74"/>
    <w:rsid w:val="000719DD"/>
    <w:rsid w:val="00072739"/>
    <w:rsid w:val="00075A82"/>
    <w:rsid w:val="00076DE4"/>
    <w:rsid w:val="000776EB"/>
    <w:rsid w:val="0008641C"/>
    <w:rsid w:val="0008642A"/>
    <w:rsid w:val="00086661"/>
    <w:rsid w:val="00086665"/>
    <w:rsid w:val="000868B4"/>
    <w:rsid w:val="00087B0A"/>
    <w:rsid w:val="0009061E"/>
    <w:rsid w:val="00090AC3"/>
    <w:rsid w:val="00091B76"/>
    <w:rsid w:val="00091F54"/>
    <w:rsid w:val="00092A9E"/>
    <w:rsid w:val="000949D1"/>
    <w:rsid w:val="000958EB"/>
    <w:rsid w:val="0009591A"/>
    <w:rsid w:val="00096422"/>
    <w:rsid w:val="0009793E"/>
    <w:rsid w:val="000A0F37"/>
    <w:rsid w:val="000A1033"/>
    <w:rsid w:val="000A4438"/>
    <w:rsid w:val="000A469D"/>
    <w:rsid w:val="000A5374"/>
    <w:rsid w:val="000B1B00"/>
    <w:rsid w:val="000B2EF8"/>
    <w:rsid w:val="000B3916"/>
    <w:rsid w:val="000B483A"/>
    <w:rsid w:val="000B58FC"/>
    <w:rsid w:val="000B6660"/>
    <w:rsid w:val="000B79E8"/>
    <w:rsid w:val="000C0ACC"/>
    <w:rsid w:val="000C1D47"/>
    <w:rsid w:val="000C1DF1"/>
    <w:rsid w:val="000C29D5"/>
    <w:rsid w:val="000C43BE"/>
    <w:rsid w:val="000C5914"/>
    <w:rsid w:val="000C6150"/>
    <w:rsid w:val="000C6D92"/>
    <w:rsid w:val="000D0C92"/>
    <w:rsid w:val="000D1E92"/>
    <w:rsid w:val="000D2212"/>
    <w:rsid w:val="000D2990"/>
    <w:rsid w:val="000D2D89"/>
    <w:rsid w:val="000D2F24"/>
    <w:rsid w:val="000D3D3A"/>
    <w:rsid w:val="000D3DBD"/>
    <w:rsid w:val="000D4339"/>
    <w:rsid w:val="000D4449"/>
    <w:rsid w:val="000D471E"/>
    <w:rsid w:val="000D47A6"/>
    <w:rsid w:val="000D5B3D"/>
    <w:rsid w:val="000D6B10"/>
    <w:rsid w:val="000D6E69"/>
    <w:rsid w:val="000D711F"/>
    <w:rsid w:val="000D7316"/>
    <w:rsid w:val="000E0B72"/>
    <w:rsid w:val="000E1D9C"/>
    <w:rsid w:val="000E2B98"/>
    <w:rsid w:val="000E66A4"/>
    <w:rsid w:val="000E694D"/>
    <w:rsid w:val="000E771A"/>
    <w:rsid w:val="000E7FD2"/>
    <w:rsid w:val="000F0C7B"/>
    <w:rsid w:val="000F15BA"/>
    <w:rsid w:val="000F27AB"/>
    <w:rsid w:val="000F2E5B"/>
    <w:rsid w:val="000F4DF3"/>
    <w:rsid w:val="000F612E"/>
    <w:rsid w:val="000F669F"/>
    <w:rsid w:val="000F6915"/>
    <w:rsid w:val="000F7175"/>
    <w:rsid w:val="000F71C0"/>
    <w:rsid w:val="00101141"/>
    <w:rsid w:val="001014E2"/>
    <w:rsid w:val="0010188D"/>
    <w:rsid w:val="00105649"/>
    <w:rsid w:val="00105927"/>
    <w:rsid w:val="001059BA"/>
    <w:rsid w:val="00105BD5"/>
    <w:rsid w:val="00106106"/>
    <w:rsid w:val="00106232"/>
    <w:rsid w:val="00107767"/>
    <w:rsid w:val="00107AC8"/>
    <w:rsid w:val="00111951"/>
    <w:rsid w:val="0011341B"/>
    <w:rsid w:val="001138E6"/>
    <w:rsid w:val="0011557E"/>
    <w:rsid w:val="00115E84"/>
    <w:rsid w:val="00116098"/>
    <w:rsid w:val="001166D1"/>
    <w:rsid w:val="0012160E"/>
    <w:rsid w:val="00122DA1"/>
    <w:rsid w:val="00123FF0"/>
    <w:rsid w:val="00124665"/>
    <w:rsid w:val="00124893"/>
    <w:rsid w:val="00124AA3"/>
    <w:rsid w:val="00124E28"/>
    <w:rsid w:val="0012597C"/>
    <w:rsid w:val="00126C0D"/>
    <w:rsid w:val="00127B75"/>
    <w:rsid w:val="00127C34"/>
    <w:rsid w:val="00130783"/>
    <w:rsid w:val="0013209A"/>
    <w:rsid w:val="00132DB0"/>
    <w:rsid w:val="001339A4"/>
    <w:rsid w:val="00135C17"/>
    <w:rsid w:val="00136DAB"/>
    <w:rsid w:val="0013718B"/>
    <w:rsid w:val="001415A5"/>
    <w:rsid w:val="00143347"/>
    <w:rsid w:val="00143415"/>
    <w:rsid w:val="00143E29"/>
    <w:rsid w:val="00145DEA"/>
    <w:rsid w:val="001504B0"/>
    <w:rsid w:val="00150CE4"/>
    <w:rsid w:val="001516FA"/>
    <w:rsid w:val="00151DD3"/>
    <w:rsid w:val="001528FE"/>
    <w:rsid w:val="0015351D"/>
    <w:rsid w:val="00153A62"/>
    <w:rsid w:val="00153E82"/>
    <w:rsid w:val="001540D4"/>
    <w:rsid w:val="00154A27"/>
    <w:rsid w:val="00154E36"/>
    <w:rsid w:val="00156315"/>
    <w:rsid w:val="0016044C"/>
    <w:rsid w:val="001609ED"/>
    <w:rsid w:val="00160F9B"/>
    <w:rsid w:val="0016158F"/>
    <w:rsid w:val="00161C29"/>
    <w:rsid w:val="00162CB2"/>
    <w:rsid w:val="00163364"/>
    <w:rsid w:val="00163A5A"/>
    <w:rsid w:val="00165567"/>
    <w:rsid w:val="00165D47"/>
    <w:rsid w:val="001677C5"/>
    <w:rsid w:val="001679C3"/>
    <w:rsid w:val="00167A33"/>
    <w:rsid w:val="00167B08"/>
    <w:rsid w:val="00167EFA"/>
    <w:rsid w:val="00171C23"/>
    <w:rsid w:val="00172061"/>
    <w:rsid w:val="001721FC"/>
    <w:rsid w:val="00172DD0"/>
    <w:rsid w:val="00176649"/>
    <w:rsid w:val="00181165"/>
    <w:rsid w:val="00181BB8"/>
    <w:rsid w:val="00182577"/>
    <w:rsid w:val="00182D5E"/>
    <w:rsid w:val="001839DD"/>
    <w:rsid w:val="00184229"/>
    <w:rsid w:val="00185C18"/>
    <w:rsid w:val="0018609F"/>
    <w:rsid w:val="00186CEF"/>
    <w:rsid w:val="00187F7B"/>
    <w:rsid w:val="0019002F"/>
    <w:rsid w:val="001924BC"/>
    <w:rsid w:val="00192D07"/>
    <w:rsid w:val="001931DA"/>
    <w:rsid w:val="00194497"/>
    <w:rsid w:val="00194AB0"/>
    <w:rsid w:val="00194FFE"/>
    <w:rsid w:val="00195D4C"/>
    <w:rsid w:val="001965A9"/>
    <w:rsid w:val="001A01D0"/>
    <w:rsid w:val="001A1F7B"/>
    <w:rsid w:val="001A2303"/>
    <w:rsid w:val="001A26D2"/>
    <w:rsid w:val="001A387F"/>
    <w:rsid w:val="001A6027"/>
    <w:rsid w:val="001A7ECD"/>
    <w:rsid w:val="001B0417"/>
    <w:rsid w:val="001B0713"/>
    <w:rsid w:val="001B085C"/>
    <w:rsid w:val="001B0CA4"/>
    <w:rsid w:val="001B12BA"/>
    <w:rsid w:val="001B18B7"/>
    <w:rsid w:val="001B1E04"/>
    <w:rsid w:val="001B3CD0"/>
    <w:rsid w:val="001B4F9E"/>
    <w:rsid w:val="001B52B4"/>
    <w:rsid w:val="001B669B"/>
    <w:rsid w:val="001B686D"/>
    <w:rsid w:val="001C2AB3"/>
    <w:rsid w:val="001C2FF9"/>
    <w:rsid w:val="001C4432"/>
    <w:rsid w:val="001C63CB"/>
    <w:rsid w:val="001C6861"/>
    <w:rsid w:val="001C6A8A"/>
    <w:rsid w:val="001C6C26"/>
    <w:rsid w:val="001D039E"/>
    <w:rsid w:val="001D083E"/>
    <w:rsid w:val="001D1C69"/>
    <w:rsid w:val="001D3B92"/>
    <w:rsid w:val="001D5F0F"/>
    <w:rsid w:val="001D646D"/>
    <w:rsid w:val="001D6A8C"/>
    <w:rsid w:val="001D6D12"/>
    <w:rsid w:val="001D76BF"/>
    <w:rsid w:val="001E1F42"/>
    <w:rsid w:val="001E2FDD"/>
    <w:rsid w:val="001E4B23"/>
    <w:rsid w:val="001E4F94"/>
    <w:rsid w:val="001E5CAA"/>
    <w:rsid w:val="001E5DDC"/>
    <w:rsid w:val="001E7EB7"/>
    <w:rsid w:val="001F0FB2"/>
    <w:rsid w:val="001F316E"/>
    <w:rsid w:val="001F321D"/>
    <w:rsid w:val="001F5929"/>
    <w:rsid w:val="001F7421"/>
    <w:rsid w:val="00201909"/>
    <w:rsid w:val="00204E97"/>
    <w:rsid w:val="0020685D"/>
    <w:rsid w:val="002071FA"/>
    <w:rsid w:val="0020721C"/>
    <w:rsid w:val="00210D21"/>
    <w:rsid w:val="00210E3A"/>
    <w:rsid w:val="00212539"/>
    <w:rsid w:val="002132A1"/>
    <w:rsid w:val="002132BF"/>
    <w:rsid w:val="00215482"/>
    <w:rsid w:val="00215D81"/>
    <w:rsid w:val="00217F4F"/>
    <w:rsid w:val="002220C8"/>
    <w:rsid w:val="002228B6"/>
    <w:rsid w:val="00222CFA"/>
    <w:rsid w:val="00222E1A"/>
    <w:rsid w:val="0022372A"/>
    <w:rsid w:val="00225904"/>
    <w:rsid w:val="002260C0"/>
    <w:rsid w:val="00226834"/>
    <w:rsid w:val="002279D6"/>
    <w:rsid w:val="002303C6"/>
    <w:rsid w:val="00232B6B"/>
    <w:rsid w:val="0023394B"/>
    <w:rsid w:val="00234F1A"/>
    <w:rsid w:val="00236B2E"/>
    <w:rsid w:val="00237BF3"/>
    <w:rsid w:val="00237F3F"/>
    <w:rsid w:val="00240842"/>
    <w:rsid w:val="00240999"/>
    <w:rsid w:val="00241A21"/>
    <w:rsid w:val="002436F9"/>
    <w:rsid w:val="00243A93"/>
    <w:rsid w:val="002441AD"/>
    <w:rsid w:val="00244AB6"/>
    <w:rsid w:val="002450FB"/>
    <w:rsid w:val="0024691C"/>
    <w:rsid w:val="0024697B"/>
    <w:rsid w:val="002472C7"/>
    <w:rsid w:val="0025092F"/>
    <w:rsid w:val="002510CE"/>
    <w:rsid w:val="00252EDF"/>
    <w:rsid w:val="0025337B"/>
    <w:rsid w:val="0025472D"/>
    <w:rsid w:val="00254D93"/>
    <w:rsid w:val="0025538B"/>
    <w:rsid w:val="00255578"/>
    <w:rsid w:val="002557B3"/>
    <w:rsid w:val="002559B6"/>
    <w:rsid w:val="002570C1"/>
    <w:rsid w:val="002574E5"/>
    <w:rsid w:val="00257827"/>
    <w:rsid w:val="00257A11"/>
    <w:rsid w:val="00262B57"/>
    <w:rsid w:val="00262D70"/>
    <w:rsid w:val="00264356"/>
    <w:rsid w:val="00265C5D"/>
    <w:rsid w:val="002672C3"/>
    <w:rsid w:val="002675C3"/>
    <w:rsid w:val="00271399"/>
    <w:rsid w:val="0027173D"/>
    <w:rsid w:val="002717B1"/>
    <w:rsid w:val="00271847"/>
    <w:rsid w:val="00272143"/>
    <w:rsid w:val="00272AA5"/>
    <w:rsid w:val="00272C4C"/>
    <w:rsid w:val="00273148"/>
    <w:rsid w:val="00273479"/>
    <w:rsid w:val="00273C65"/>
    <w:rsid w:val="00274232"/>
    <w:rsid w:val="00275BC6"/>
    <w:rsid w:val="00277DB0"/>
    <w:rsid w:val="002801F4"/>
    <w:rsid w:val="0028079F"/>
    <w:rsid w:val="002823E9"/>
    <w:rsid w:val="00285E21"/>
    <w:rsid w:val="00286591"/>
    <w:rsid w:val="00286A07"/>
    <w:rsid w:val="00286A74"/>
    <w:rsid w:val="00286AF0"/>
    <w:rsid w:val="00286BA4"/>
    <w:rsid w:val="002905D6"/>
    <w:rsid w:val="00290CF7"/>
    <w:rsid w:val="002914D3"/>
    <w:rsid w:val="0029266C"/>
    <w:rsid w:val="00292E08"/>
    <w:rsid w:val="00297100"/>
    <w:rsid w:val="002974DC"/>
    <w:rsid w:val="002A13D0"/>
    <w:rsid w:val="002A56A3"/>
    <w:rsid w:val="002A6EF8"/>
    <w:rsid w:val="002A77E4"/>
    <w:rsid w:val="002B0554"/>
    <w:rsid w:val="002B1ABB"/>
    <w:rsid w:val="002B2061"/>
    <w:rsid w:val="002B2EAA"/>
    <w:rsid w:val="002B32BC"/>
    <w:rsid w:val="002B3AF7"/>
    <w:rsid w:val="002B3BD5"/>
    <w:rsid w:val="002B41B5"/>
    <w:rsid w:val="002B41F8"/>
    <w:rsid w:val="002B587B"/>
    <w:rsid w:val="002B67AD"/>
    <w:rsid w:val="002B6BA1"/>
    <w:rsid w:val="002B72F1"/>
    <w:rsid w:val="002B7A58"/>
    <w:rsid w:val="002C0638"/>
    <w:rsid w:val="002C274E"/>
    <w:rsid w:val="002C31D0"/>
    <w:rsid w:val="002C390E"/>
    <w:rsid w:val="002C39A0"/>
    <w:rsid w:val="002C5578"/>
    <w:rsid w:val="002D1079"/>
    <w:rsid w:val="002D19A0"/>
    <w:rsid w:val="002D2375"/>
    <w:rsid w:val="002D25C2"/>
    <w:rsid w:val="002D34F7"/>
    <w:rsid w:val="002D3762"/>
    <w:rsid w:val="002D3FD2"/>
    <w:rsid w:val="002D4299"/>
    <w:rsid w:val="002E0613"/>
    <w:rsid w:val="002E210F"/>
    <w:rsid w:val="002E2A25"/>
    <w:rsid w:val="002E2D66"/>
    <w:rsid w:val="002E3A3E"/>
    <w:rsid w:val="002E488E"/>
    <w:rsid w:val="002E5567"/>
    <w:rsid w:val="002E5EDF"/>
    <w:rsid w:val="002E68D4"/>
    <w:rsid w:val="002E7A27"/>
    <w:rsid w:val="002E7DBF"/>
    <w:rsid w:val="002F0239"/>
    <w:rsid w:val="002F0DFF"/>
    <w:rsid w:val="002F2264"/>
    <w:rsid w:val="002F3A55"/>
    <w:rsid w:val="002F4277"/>
    <w:rsid w:val="002F5E6A"/>
    <w:rsid w:val="002F75F6"/>
    <w:rsid w:val="003001BE"/>
    <w:rsid w:val="003015EB"/>
    <w:rsid w:val="00301714"/>
    <w:rsid w:val="00301D79"/>
    <w:rsid w:val="003047AB"/>
    <w:rsid w:val="00305DE9"/>
    <w:rsid w:val="00306328"/>
    <w:rsid w:val="00306F9F"/>
    <w:rsid w:val="00307528"/>
    <w:rsid w:val="0030786C"/>
    <w:rsid w:val="003078FC"/>
    <w:rsid w:val="00307E54"/>
    <w:rsid w:val="00307FB7"/>
    <w:rsid w:val="00310095"/>
    <w:rsid w:val="00310852"/>
    <w:rsid w:val="00311080"/>
    <w:rsid w:val="003119AE"/>
    <w:rsid w:val="00312045"/>
    <w:rsid w:val="00313F03"/>
    <w:rsid w:val="00314BDB"/>
    <w:rsid w:val="0031502B"/>
    <w:rsid w:val="00315375"/>
    <w:rsid w:val="0031644E"/>
    <w:rsid w:val="00316468"/>
    <w:rsid w:val="00316BE4"/>
    <w:rsid w:val="003171A7"/>
    <w:rsid w:val="003179D5"/>
    <w:rsid w:val="00320F7E"/>
    <w:rsid w:val="00322070"/>
    <w:rsid w:val="00323ABE"/>
    <w:rsid w:val="003310E3"/>
    <w:rsid w:val="00331BF9"/>
    <w:rsid w:val="00333010"/>
    <w:rsid w:val="0033373F"/>
    <w:rsid w:val="003339C3"/>
    <w:rsid w:val="003342CA"/>
    <w:rsid w:val="003373AF"/>
    <w:rsid w:val="003374E1"/>
    <w:rsid w:val="003440AC"/>
    <w:rsid w:val="00344274"/>
    <w:rsid w:val="00344985"/>
    <w:rsid w:val="003449ED"/>
    <w:rsid w:val="003450BD"/>
    <w:rsid w:val="00345275"/>
    <w:rsid w:val="00354EC4"/>
    <w:rsid w:val="00356041"/>
    <w:rsid w:val="003562A2"/>
    <w:rsid w:val="0035681C"/>
    <w:rsid w:val="00357BF3"/>
    <w:rsid w:val="00360238"/>
    <w:rsid w:val="00360DD1"/>
    <w:rsid w:val="00361367"/>
    <w:rsid w:val="00361479"/>
    <w:rsid w:val="00364482"/>
    <w:rsid w:val="00366C8F"/>
    <w:rsid w:val="00367080"/>
    <w:rsid w:val="00375EE1"/>
    <w:rsid w:val="003764E7"/>
    <w:rsid w:val="003771DA"/>
    <w:rsid w:val="003837D4"/>
    <w:rsid w:val="00386586"/>
    <w:rsid w:val="00386AD1"/>
    <w:rsid w:val="00386ED9"/>
    <w:rsid w:val="0039070C"/>
    <w:rsid w:val="003914C4"/>
    <w:rsid w:val="0039154E"/>
    <w:rsid w:val="00391CF2"/>
    <w:rsid w:val="00392A4F"/>
    <w:rsid w:val="00392D76"/>
    <w:rsid w:val="003930D4"/>
    <w:rsid w:val="00393BEC"/>
    <w:rsid w:val="00395C0A"/>
    <w:rsid w:val="00395FF4"/>
    <w:rsid w:val="0039756E"/>
    <w:rsid w:val="003A1D2D"/>
    <w:rsid w:val="003A2BEF"/>
    <w:rsid w:val="003A3805"/>
    <w:rsid w:val="003A41AE"/>
    <w:rsid w:val="003A42A7"/>
    <w:rsid w:val="003A4D87"/>
    <w:rsid w:val="003B135C"/>
    <w:rsid w:val="003B2F1E"/>
    <w:rsid w:val="003B2F87"/>
    <w:rsid w:val="003B588A"/>
    <w:rsid w:val="003B711A"/>
    <w:rsid w:val="003C0061"/>
    <w:rsid w:val="003C0EA6"/>
    <w:rsid w:val="003C121B"/>
    <w:rsid w:val="003C1D2F"/>
    <w:rsid w:val="003C2211"/>
    <w:rsid w:val="003C483B"/>
    <w:rsid w:val="003C64BE"/>
    <w:rsid w:val="003C6EBD"/>
    <w:rsid w:val="003D17A0"/>
    <w:rsid w:val="003D18BA"/>
    <w:rsid w:val="003D211B"/>
    <w:rsid w:val="003D2D79"/>
    <w:rsid w:val="003D3D7D"/>
    <w:rsid w:val="003D449D"/>
    <w:rsid w:val="003D466B"/>
    <w:rsid w:val="003D4747"/>
    <w:rsid w:val="003D54A5"/>
    <w:rsid w:val="003D5874"/>
    <w:rsid w:val="003D7055"/>
    <w:rsid w:val="003D7263"/>
    <w:rsid w:val="003D76E0"/>
    <w:rsid w:val="003E0E56"/>
    <w:rsid w:val="003E2D72"/>
    <w:rsid w:val="003E2F76"/>
    <w:rsid w:val="003E3D23"/>
    <w:rsid w:val="003E70FC"/>
    <w:rsid w:val="003F3BB4"/>
    <w:rsid w:val="003F4D92"/>
    <w:rsid w:val="003F57C1"/>
    <w:rsid w:val="003F65D9"/>
    <w:rsid w:val="00401265"/>
    <w:rsid w:val="00403E01"/>
    <w:rsid w:val="00405763"/>
    <w:rsid w:val="00406C23"/>
    <w:rsid w:val="0040751E"/>
    <w:rsid w:val="00411FE9"/>
    <w:rsid w:val="00412C00"/>
    <w:rsid w:val="00412F67"/>
    <w:rsid w:val="00413148"/>
    <w:rsid w:val="00413357"/>
    <w:rsid w:val="004159BE"/>
    <w:rsid w:val="00416EA8"/>
    <w:rsid w:val="0042029E"/>
    <w:rsid w:val="00421288"/>
    <w:rsid w:val="0042146B"/>
    <w:rsid w:val="004226F6"/>
    <w:rsid w:val="00422BCD"/>
    <w:rsid w:val="00423AEF"/>
    <w:rsid w:val="00425BAC"/>
    <w:rsid w:val="00425DFA"/>
    <w:rsid w:val="004308A8"/>
    <w:rsid w:val="00430D14"/>
    <w:rsid w:val="0043174B"/>
    <w:rsid w:val="00431F96"/>
    <w:rsid w:val="0043266E"/>
    <w:rsid w:val="00435640"/>
    <w:rsid w:val="004365C6"/>
    <w:rsid w:val="0043662D"/>
    <w:rsid w:val="004405C3"/>
    <w:rsid w:val="00440BCB"/>
    <w:rsid w:val="00441C97"/>
    <w:rsid w:val="00442D4D"/>
    <w:rsid w:val="004458A7"/>
    <w:rsid w:val="00445C3C"/>
    <w:rsid w:val="0044673F"/>
    <w:rsid w:val="00447C0C"/>
    <w:rsid w:val="00447D56"/>
    <w:rsid w:val="00450E4B"/>
    <w:rsid w:val="004516BD"/>
    <w:rsid w:val="00453EFB"/>
    <w:rsid w:val="00454254"/>
    <w:rsid w:val="00455FF2"/>
    <w:rsid w:val="00461A11"/>
    <w:rsid w:val="00461E1B"/>
    <w:rsid w:val="004639EE"/>
    <w:rsid w:val="00467605"/>
    <w:rsid w:val="00467624"/>
    <w:rsid w:val="00467649"/>
    <w:rsid w:val="0047014D"/>
    <w:rsid w:val="004703C6"/>
    <w:rsid w:val="004704FD"/>
    <w:rsid w:val="00470CB0"/>
    <w:rsid w:val="0047125F"/>
    <w:rsid w:val="004717CC"/>
    <w:rsid w:val="00471EAB"/>
    <w:rsid w:val="0047213E"/>
    <w:rsid w:val="00474415"/>
    <w:rsid w:val="004802BC"/>
    <w:rsid w:val="004805B0"/>
    <w:rsid w:val="00480953"/>
    <w:rsid w:val="004818C1"/>
    <w:rsid w:val="00482A94"/>
    <w:rsid w:val="00482DF3"/>
    <w:rsid w:val="00482FAD"/>
    <w:rsid w:val="004835A1"/>
    <w:rsid w:val="0048441C"/>
    <w:rsid w:val="00484837"/>
    <w:rsid w:val="0048525C"/>
    <w:rsid w:val="00485908"/>
    <w:rsid w:val="00486466"/>
    <w:rsid w:val="0048687E"/>
    <w:rsid w:val="00486E8F"/>
    <w:rsid w:val="004912DB"/>
    <w:rsid w:val="004916BD"/>
    <w:rsid w:val="00492E23"/>
    <w:rsid w:val="004959F4"/>
    <w:rsid w:val="00497F63"/>
    <w:rsid w:val="004A0539"/>
    <w:rsid w:val="004A176F"/>
    <w:rsid w:val="004A1994"/>
    <w:rsid w:val="004A250F"/>
    <w:rsid w:val="004A26E0"/>
    <w:rsid w:val="004A32AC"/>
    <w:rsid w:val="004A71FD"/>
    <w:rsid w:val="004B1A43"/>
    <w:rsid w:val="004B1C3A"/>
    <w:rsid w:val="004B249E"/>
    <w:rsid w:val="004B325B"/>
    <w:rsid w:val="004B455E"/>
    <w:rsid w:val="004B5487"/>
    <w:rsid w:val="004B57FB"/>
    <w:rsid w:val="004B5BD8"/>
    <w:rsid w:val="004B5C87"/>
    <w:rsid w:val="004B6C9A"/>
    <w:rsid w:val="004C1D2E"/>
    <w:rsid w:val="004C3A2F"/>
    <w:rsid w:val="004C536A"/>
    <w:rsid w:val="004C5CF8"/>
    <w:rsid w:val="004C68B2"/>
    <w:rsid w:val="004C6AF2"/>
    <w:rsid w:val="004C7812"/>
    <w:rsid w:val="004D1652"/>
    <w:rsid w:val="004D2387"/>
    <w:rsid w:val="004D3744"/>
    <w:rsid w:val="004D46E5"/>
    <w:rsid w:val="004D4716"/>
    <w:rsid w:val="004D48AE"/>
    <w:rsid w:val="004D4BF4"/>
    <w:rsid w:val="004D5ABD"/>
    <w:rsid w:val="004D61B7"/>
    <w:rsid w:val="004D66B0"/>
    <w:rsid w:val="004E0021"/>
    <w:rsid w:val="004E06FA"/>
    <w:rsid w:val="004E0E9D"/>
    <w:rsid w:val="004E11C1"/>
    <w:rsid w:val="004E25D4"/>
    <w:rsid w:val="004E2AEC"/>
    <w:rsid w:val="004E362D"/>
    <w:rsid w:val="004E3AAD"/>
    <w:rsid w:val="004E73A6"/>
    <w:rsid w:val="004E7908"/>
    <w:rsid w:val="004F1024"/>
    <w:rsid w:val="004F1E1A"/>
    <w:rsid w:val="004F3A45"/>
    <w:rsid w:val="004F4030"/>
    <w:rsid w:val="004F646F"/>
    <w:rsid w:val="005001D2"/>
    <w:rsid w:val="005009CA"/>
    <w:rsid w:val="00500E52"/>
    <w:rsid w:val="005030CD"/>
    <w:rsid w:val="00503304"/>
    <w:rsid w:val="0050587F"/>
    <w:rsid w:val="005064E8"/>
    <w:rsid w:val="0050664B"/>
    <w:rsid w:val="00506D7B"/>
    <w:rsid w:val="00511110"/>
    <w:rsid w:val="005113A0"/>
    <w:rsid w:val="00513000"/>
    <w:rsid w:val="00513557"/>
    <w:rsid w:val="005137D7"/>
    <w:rsid w:val="005147D8"/>
    <w:rsid w:val="00516D7F"/>
    <w:rsid w:val="005200F4"/>
    <w:rsid w:val="0052112F"/>
    <w:rsid w:val="00525850"/>
    <w:rsid w:val="00527E7A"/>
    <w:rsid w:val="00527EDD"/>
    <w:rsid w:val="00527EE9"/>
    <w:rsid w:val="0053026B"/>
    <w:rsid w:val="00530ADB"/>
    <w:rsid w:val="00534292"/>
    <w:rsid w:val="0053517D"/>
    <w:rsid w:val="00535185"/>
    <w:rsid w:val="005365DC"/>
    <w:rsid w:val="005373EA"/>
    <w:rsid w:val="00537B13"/>
    <w:rsid w:val="00537CC2"/>
    <w:rsid w:val="00540FAA"/>
    <w:rsid w:val="00542880"/>
    <w:rsid w:val="00542A77"/>
    <w:rsid w:val="005431F7"/>
    <w:rsid w:val="0054372F"/>
    <w:rsid w:val="00543FAF"/>
    <w:rsid w:val="00544EF0"/>
    <w:rsid w:val="00546E81"/>
    <w:rsid w:val="005477F2"/>
    <w:rsid w:val="00552D9B"/>
    <w:rsid w:val="005536F5"/>
    <w:rsid w:val="00553DC5"/>
    <w:rsid w:val="00553F42"/>
    <w:rsid w:val="0055512B"/>
    <w:rsid w:val="00560E95"/>
    <w:rsid w:val="00560F8E"/>
    <w:rsid w:val="00561B03"/>
    <w:rsid w:val="00562279"/>
    <w:rsid w:val="00563BB5"/>
    <w:rsid w:val="0056428E"/>
    <w:rsid w:val="005642DD"/>
    <w:rsid w:val="005645DC"/>
    <w:rsid w:val="00564FF5"/>
    <w:rsid w:val="0057009C"/>
    <w:rsid w:val="00574331"/>
    <w:rsid w:val="005743EE"/>
    <w:rsid w:val="00575567"/>
    <w:rsid w:val="00575DD6"/>
    <w:rsid w:val="00577406"/>
    <w:rsid w:val="00577CC7"/>
    <w:rsid w:val="00580C34"/>
    <w:rsid w:val="005810CF"/>
    <w:rsid w:val="005819B0"/>
    <w:rsid w:val="00581EF9"/>
    <w:rsid w:val="005836C1"/>
    <w:rsid w:val="0058476E"/>
    <w:rsid w:val="00584F18"/>
    <w:rsid w:val="00585FFC"/>
    <w:rsid w:val="00590197"/>
    <w:rsid w:val="0059044A"/>
    <w:rsid w:val="00590D64"/>
    <w:rsid w:val="00592E36"/>
    <w:rsid w:val="00592F9B"/>
    <w:rsid w:val="00593C76"/>
    <w:rsid w:val="00594040"/>
    <w:rsid w:val="00594AE3"/>
    <w:rsid w:val="00596377"/>
    <w:rsid w:val="00596556"/>
    <w:rsid w:val="0059723D"/>
    <w:rsid w:val="005973C0"/>
    <w:rsid w:val="00597AF4"/>
    <w:rsid w:val="005A096F"/>
    <w:rsid w:val="005A2A17"/>
    <w:rsid w:val="005A3E19"/>
    <w:rsid w:val="005B0FDB"/>
    <w:rsid w:val="005B16B1"/>
    <w:rsid w:val="005B199F"/>
    <w:rsid w:val="005B2CF0"/>
    <w:rsid w:val="005B2ED3"/>
    <w:rsid w:val="005B3EAA"/>
    <w:rsid w:val="005B60D5"/>
    <w:rsid w:val="005B62D4"/>
    <w:rsid w:val="005B664E"/>
    <w:rsid w:val="005C0C86"/>
    <w:rsid w:val="005C0DAE"/>
    <w:rsid w:val="005C11A4"/>
    <w:rsid w:val="005C163A"/>
    <w:rsid w:val="005C22E6"/>
    <w:rsid w:val="005C269A"/>
    <w:rsid w:val="005C3262"/>
    <w:rsid w:val="005C34A2"/>
    <w:rsid w:val="005C4B0A"/>
    <w:rsid w:val="005C652A"/>
    <w:rsid w:val="005C6E51"/>
    <w:rsid w:val="005C7012"/>
    <w:rsid w:val="005C7229"/>
    <w:rsid w:val="005C76AA"/>
    <w:rsid w:val="005D36D6"/>
    <w:rsid w:val="005D3876"/>
    <w:rsid w:val="005D3904"/>
    <w:rsid w:val="005E07FE"/>
    <w:rsid w:val="005E103E"/>
    <w:rsid w:val="005E10A2"/>
    <w:rsid w:val="005E3435"/>
    <w:rsid w:val="005E4465"/>
    <w:rsid w:val="005E5369"/>
    <w:rsid w:val="005E6832"/>
    <w:rsid w:val="005E6B5C"/>
    <w:rsid w:val="005E6D18"/>
    <w:rsid w:val="005E6E81"/>
    <w:rsid w:val="005E715B"/>
    <w:rsid w:val="005F05D0"/>
    <w:rsid w:val="005F1D45"/>
    <w:rsid w:val="005F2504"/>
    <w:rsid w:val="005F5FBB"/>
    <w:rsid w:val="005F6484"/>
    <w:rsid w:val="006006D4"/>
    <w:rsid w:val="0060330C"/>
    <w:rsid w:val="0060429E"/>
    <w:rsid w:val="0060431A"/>
    <w:rsid w:val="006054C2"/>
    <w:rsid w:val="00605553"/>
    <w:rsid w:val="0060575A"/>
    <w:rsid w:val="006059DC"/>
    <w:rsid w:val="00605A97"/>
    <w:rsid w:val="00606CBA"/>
    <w:rsid w:val="006102C2"/>
    <w:rsid w:val="00611CA8"/>
    <w:rsid w:val="006120D4"/>
    <w:rsid w:val="0061231A"/>
    <w:rsid w:val="00612681"/>
    <w:rsid w:val="00613941"/>
    <w:rsid w:val="00615A53"/>
    <w:rsid w:val="00616C9F"/>
    <w:rsid w:val="00622610"/>
    <w:rsid w:val="00623DCB"/>
    <w:rsid w:val="00624CA0"/>
    <w:rsid w:val="0062568C"/>
    <w:rsid w:val="006256EB"/>
    <w:rsid w:val="006273CF"/>
    <w:rsid w:val="00627FC3"/>
    <w:rsid w:val="0063120F"/>
    <w:rsid w:val="0063161D"/>
    <w:rsid w:val="00631A38"/>
    <w:rsid w:val="00632BED"/>
    <w:rsid w:val="00633529"/>
    <w:rsid w:val="00633BB4"/>
    <w:rsid w:val="00634D6C"/>
    <w:rsid w:val="00634DB1"/>
    <w:rsid w:val="00634E33"/>
    <w:rsid w:val="00634E3E"/>
    <w:rsid w:val="00635141"/>
    <w:rsid w:val="00635AA6"/>
    <w:rsid w:val="00635B3F"/>
    <w:rsid w:val="00636D90"/>
    <w:rsid w:val="00637E98"/>
    <w:rsid w:val="0064012C"/>
    <w:rsid w:val="00641123"/>
    <w:rsid w:val="00642455"/>
    <w:rsid w:val="00643128"/>
    <w:rsid w:val="00643927"/>
    <w:rsid w:val="00643F97"/>
    <w:rsid w:val="00643FCA"/>
    <w:rsid w:val="00644946"/>
    <w:rsid w:val="00645669"/>
    <w:rsid w:val="00646BC4"/>
    <w:rsid w:val="0064750A"/>
    <w:rsid w:val="00647D7D"/>
    <w:rsid w:val="00651D47"/>
    <w:rsid w:val="00652DA7"/>
    <w:rsid w:val="00653687"/>
    <w:rsid w:val="00655157"/>
    <w:rsid w:val="006562DE"/>
    <w:rsid w:val="00661E0A"/>
    <w:rsid w:val="0066437D"/>
    <w:rsid w:val="00665A34"/>
    <w:rsid w:val="00667AA6"/>
    <w:rsid w:val="0067132A"/>
    <w:rsid w:val="0067265E"/>
    <w:rsid w:val="00673ADE"/>
    <w:rsid w:val="00681394"/>
    <w:rsid w:val="006843BB"/>
    <w:rsid w:val="006846BA"/>
    <w:rsid w:val="00684B3B"/>
    <w:rsid w:val="006856A4"/>
    <w:rsid w:val="006874A4"/>
    <w:rsid w:val="0068754E"/>
    <w:rsid w:val="006908F4"/>
    <w:rsid w:val="00691DEA"/>
    <w:rsid w:val="006935C1"/>
    <w:rsid w:val="006941E3"/>
    <w:rsid w:val="00694679"/>
    <w:rsid w:val="006962D1"/>
    <w:rsid w:val="00696B24"/>
    <w:rsid w:val="00696F60"/>
    <w:rsid w:val="00697117"/>
    <w:rsid w:val="0069728E"/>
    <w:rsid w:val="006976EC"/>
    <w:rsid w:val="0069790D"/>
    <w:rsid w:val="006A08E2"/>
    <w:rsid w:val="006A19BA"/>
    <w:rsid w:val="006A2367"/>
    <w:rsid w:val="006A2789"/>
    <w:rsid w:val="006A2923"/>
    <w:rsid w:val="006A29F0"/>
    <w:rsid w:val="006A2EF1"/>
    <w:rsid w:val="006A4B31"/>
    <w:rsid w:val="006A67BA"/>
    <w:rsid w:val="006A71A9"/>
    <w:rsid w:val="006A777C"/>
    <w:rsid w:val="006B165D"/>
    <w:rsid w:val="006B17CD"/>
    <w:rsid w:val="006B19F1"/>
    <w:rsid w:val="006B2E3C"/>
    <w:rsid w:val="006B3D92"/>
    <w:rsid w:val="006B421B"/>
    <w:rsid w:val="006B44B5"/>
    <w:rsid w:val="006B5109"/>
    <w:rsid w:val="006B6BFC"/>
    <w:rsid w:val="006B7149"/>
    <w:rsid w:val="006B7621"/>
    <w:rsid w:val="006B78E4"/>
    <w:rsid w:val="006B793E"/>
    <w:rsid w:val="006B7A85"/>
    <w:rsid w:val="006C20DB"/>
    <w:rsid w:val="006C26D7"/>
    <w:rsid w:val="006C31A4"/>
    <w:rsid w:val="006C4EA9"/>
    <w:rsid w:val="006C5107"/>
    <w:rsid w:val="006C6D07"/>
    <w:rsid w:val="006C7344"/>
    <w:rsid w:val="006C7396"/>
    <w:rsid w:val="006D14D3"/>
    <w:rsid w:val="006D3824"/>
    <w:rsid w:val="006D3E2A"/>
    <w:rsid w:val="006E24B3"/>
    <w:rsid w:val="006E30B3"/>
    <w:rsid w:val="006E46EB"/>
    <w:rsid w:val="006E5CB4"/>
    <w:rsid w:val="006E76DC"/>
    <w:rsid w:val="006E7D8D"/>
    <w:rsid w:val="006F05D4"/>
    <w:rsid w:val="006F15BD"/>
    <w:rsid w:val="006F24A4"/>
    <w:rsid w:val="006F2974"/>
    <w:rsid w:val="006F2E59"/>
    <w:rsid w:val="006F304D"/>
    <w:rsid w:val="006F3E2E"/>
    <w:rsid w:val="006F53B9"/>
    <w:rsid w:val="006F7BBA"/>
    <w:rsid w:val="007006FE"/>
    <w:rsid w:val="007024E6"/>
    <w:rsid w:val="0070253B"/>
    <w:rsid w:val="00703BA7"/>
    <w:rsid w:val="00704323"/>
    <w:rsid w:val="007053F1"/>
    <w:rsid w:val="007055AB"/>
    <w:rsid w:val="00705761"/>
    <w:rsid w:val="00706C3C"/>
    <w:rsid w:val="00706F89"/>
    <w:rsid w:val="00707D4B"/>
    <w:rsid w:val="007136E5"/>
    <w:rsid w:val="0071467F"/>
    <w:rsid w:val="00714994"/>
    <w:rsid w:val="00714DBE"/>
    <w:rsid w:val="00714E4B"/>
    <w:rsid w:val="00715EA6"/>
    <w:rsid w:val="007162EA"/>
    <w:rsid w:val="00716AC4"/>
    <w:rsid w:val="007228B1"/>
    <w:rsid w:val="0072331F"/>
    <w:rsid w:val="00724C5B"/>
    <w:rsid w:val="00725AA5"/>
    <w:rsid w:val="00725C43"/>
    <w:rsid w:val="00727F62"/>
    <w:rsid w:val="00730EE3"/>
    <w:rsid w:val="00731002"/>
    <w:rsid w:val="007315DF"/>
    <w:rsid w:val="007326AA"/>
    <w:rsid w:val="00732803"/>
    <w:rsid w:val="0073375C"/>
    <w:rsid w:val="00734C42"/>
    <w:rsid w:val="0073688F"/>
    <w:rsid w:val="00736CB7"/>
    <w:rsid w:val="00736D5A"/>
    <w:rsid w:val="00740CAA"/>
    <w:rsid w:val="007414C0"/>
    <w:rsid w:val="00741D41"/>
    <w:rsid w:val="00743670"/>
    <w:rsid w:val="0074522C"/>
    <w:rsid w:val="00745E47"/>
    <w:rsid w:val="00745FAD"/>
    <w:rsid w:val="00747756"/>
    <w:rsid w:val="00750654"/>
    <w:rsid w:val="0075125F"/>
    <w:rsid w:val="007517B3"/>
    <w:rsid w:val="007521C3"/>
    <w:rsid w:val="00752B9D"/>
    <w:rsid w:val="00752D8E"/>
    <w:rsid w:val="007534AD"/>
    <w:rsid w:val="00754060"/>
    <w:rsid w:val="00754ACE"/>
    <w:rsid w:val="00755465"/>
    <w:rsid w:val="00755468"/>
    <w:rsid w:val="007561D4"/>
    <w:rsid w:val="0075647E"/>
    <w:rsid w:val="00756C30"/>
    <w:rsid w:val="007570C3"/>
    <w:rsid w:val="00757721"/>
    <w:rsid w:val="00757DC4"/>
    <w:rsid w:val="00761B9E"/>
    <w:rsid w:val="0076244F"/>
    <w:rsid w:val="00762DFB"/>
    <w:rsid w:val="0076311E"/>
    <w:rsid w:val="00765609"/>
    <w:rsid w:val="00766455"/>
    <w:rsid w:val="0076747C"/>
    <w:rsid w:val="007719C1"/>
    <w:rsid w:val="00771ADD"/>
    <w:rsid w:val="0077211A"/>
    <w:rsid w:val="00772701"/>
    <w:rsid w:val="00773FB5"/>
    <w:rsid w:val="00774CB5"/>
    <w:rsid w:val="00774E04"/>
    <w:rsid w:val="007750D1"/>
    <w:rsid w:val="00776D15"/>
    <w:rsid w:val="00781179"/>
    <w:rsid w:val="007813E1"/>
    <w:rsid w:val="007817C4"/>
    <w:rsid w:val="00781D5C"/>
    <w:rsid w:val="0078207C"/>
    <w:rsid w:val="007844D7"/>
    <w:rsid w:val="00784B55"/>
    <w:rsid w:val="00785D39"/>
    <w:rsid w:val="007876D3"/>
    <w:rsid w:val="007913AA"/>
    <w:rsid w:val="00792336"/>
    <w:rsid w:val="00793A2C"/>
    <w:rsid w:val="00794745"/>
    <w:rsid w:val="007948D4"/>
    <w:rsid w:val="00795F56"/>
    <w:rsid w:val="00796309"/>
    <w:rsid w:val="007A03AB"/>
    <w:rsid w:val="007A1E4C"/>
    <w:rsid w:val="007A3B4E"/>
    <w:rsid w:val="007A585B"/>
    <w:rsid w:val="007A5B29"/>
    <w:rsid w:val="007A7AB7"/>
    <w:rsid w:val="007B0DBE"/>
    <w:rsid w:val="007B0F30"/>
    <w:rsid w:val="007B31F5"/>
    <w:rsid w:val="007B3FE3"/>
    <w:rsid w:val="007B4C50"/>
    <w:rsid w:val="007B50A8"/>
    <w:rsid w:val="007B5BC7"/>
    <w:rsid w:val="007B759B"/>
    <w:rsid w:val="007B7FEB"/>
    <w:rsid w:val="007C0159"/>
    <w:rsid w:val="007C18FD"/>
    <w:rsid w:val="007C1E31"/>
    <w:rsid w:val="007C3356"/>
    <w:rsid w:val="007C4AB8"/>
    <w:rsid w:val="007C4EA5"/>
    <w:rsid w:val="007C5117"/>
    <w:rsid w:val="007C542A"/>
    <w:rsid w:val="007C55A4"/>
    <w:rsid w:val="007C5F95"/>
    <w:rsid w:val="007C66A5"/>
    <w:rsid w:val="007C7418"/>
    <w:rsid w:val="007D0BF0"/>
    <w:rsid w:val="007D0D17"/>
    <w:rsid w:val="007D138D"/>
    <w:rsid w:val="007D460A"/>
    <w:rsid w:val="007D4817"/>
    <w:rsid w:val="007D5E35"/>
    <w:rsid w:val="007D6292"/>
    <w:rsid w:val="007E017B"/>
    <w:rsid w:val="007E0A62"/>
    <w:rsid w:val="007E1B04"/>
    <w:rsid w:val="007E40A4"/>
    <w:rsid w:val="007E7C69"/>
    <w:rsid w:val="007F0DB5"/>
    <w:rsid w:val="007F4552"/>
    <w:rsid w:val="007F458D"/>
    <w:rsid w:val="0080199A"/>
    <w:rsid w:val="008034CE"/>
    <w:rsid w:val="00803D4B"/>
    <w:rsid w:val="008042F3"/>
    <w:rsid w:val="00804976"/>
    <w:rsid w:val="008053CB"/>
    <w:rsid w:val="00806DA2"/>
    <w:rsid w:val="00807387"/>
    <w:rsid w:val="008078C8"/>
    <w:rsid w:val="00807CE9"/>
    <w:rsid w:val="00810820"/>
    <w:rsid w:val="00811F22"/>
    <w:rsid w:val="00812EC2"/>
    <w:rsid w:val="00814606"/>
    <w:rsid w:val="00814DFD"/>
    <w:rsid w:val="00815443"/>
    <w:rsid w:val="00820091"/>
    <w:rsid w:val="00820C02"/>
    <w:rsid w:val="00820EBD"/>
    <w:rsid w:val="008232B7"/>
    <w:rsid w:val="008235F9"/>
    <w:rsid w:val="00826265"/>
    <w:rsid w:val="00826DA8"/>
    <w:rsid w:val="00826F20"/>
    <w:rsid w:val="00826FF2"/>
    <w:rsid w:val="00831566"/>
    <w:rsid w:val="00831A14"/>
    <w:rsid w:val="00832373"/>
    <w:rsid w:val="00832B7D"/>
    <w:rsid w:val="00833D9C"/>
    <w:rsid w:val="00834604"/>
    <w:rsid w:val="00834D31"/>
    <w:rsid w:val="00834DF7"/>
    <w:rsid w:val="00834E91"/>
    <w:rsid w:val="00835AD1"/>
    <w:rsid w:val="00841354"/>
    <w:rsid w:val="00841ADE"/>
    <w:rsid w:val="00843435"/>
    <w:rsid w:val="00844B51"/>
    <w:rsid w:val="00847B26"/>
    <w:rsid w:val="008506B4"/>
    <w:rsid w:val="00850AB1"/>
    <w:rsid w:val="00852088"/>
    <w:rsid w:val="00853914"/>
    <w:rsid w:val="008568A2"/>
    <w:rsid w:val="00857E94"/>
    <w:rsid w:val="00861399"/>
    <w:rsid w:val="008618C5"/>
    <w:rsid w:val="00861C72"/>
    <w:rsid w:val="008623B1"/>
    <w:rsid w:val="00863125"/>
    <w:rsid w:val="008654B1"/>
    <w:rsid w:val="0086656B"/>
    <w:rsid w:val="0086694E"/>
    <w:rsid w:val="008704C8"/>
    <w:rsid w:val="00871912"/>
    <w:rsid w:val="008724A1"/>
    <w:rsid w:val="00872522"/>
    <w:rsid w:val="00872F97"/>
    <w:rsid w:val="0087383E"/>
    <w:rsid w:val="00877858"/>
    <w:rsid w:val="008810C2"/>
    <w:rsid w:val="0088126E"/>
    <w:rsid w:val="00881798"/>
    <w:rsid w:val="00881A60"/>
    <w:rsid w:val="00882077"/>
    <w:rsid w:val="00882591"/>
    <w:rsid w:val="0088350C"/>
    <w:rsid w:val="00885376"/>
    <w:rsid w:val="00885A96"/>
    <w:rsid w:val="0088730C"/>
    <w:rsid w:val="008876BF"/>
    <w:rsid w:val="00890D27"/>
    <w:rsid w:val="00891562"/>
    <w:rsid w:val="008960CE"/>
    <w:rsid w:val="0089642A"/>
    <w:rsid w:val="008A0B50"/>
    <w:rsid w:val="008A125F"/>
    <w:rsid w:val="008A2D27"/>
    <w:rsid w:val="008A31A7"/>
    <w:rsid w:val="008A730E"/>
    <w:rsid w:val="008A7910"/>
    <w:rsid w:val="008A7B94"/>
    <w:rsid w:val="008B07C2"/>
    <w:rsid w:val="008B34FC"/>
    <w:rsid w:val="008B46D1"/>
    <w:rsid w:val="008B5028"/>
    <w:rsid w:val="008B5C1A"/>
    <w:rsid w:val="008B70B1"/>
    <w:rsid w:val="008B77EA"/>
    <w:rsid w:val="008C049E"/>
    <w:rsid w:val="008C0981"/>
    <w:rsid w:val="008C1699"/>
    <w:rsid w:val="008C3DB3"/>
    <w:rsid w:val="008C3F0F"/>
    <w:rsid w:val="008C3F49"/>
    <w:rsid w:val="008C4753"/>
    <w:rsid w:val="008C50D7"/>
    <w:rsid w:val="008C6ADC"/>
    <w:rsid w:val="008D1162"/>
    <w:rsid w:val="008D1704"/>
    <w:rsid w:val="008D2A86"/>
    <w:rsid w:val="008D3436"/>
    <w:rsid w:val="008D3E73"/>
    <w:rsid w:val="008D435D"/>
    <w:rsid w:val="008D4CC9"/>
    <w:rsid w:val="008D5822"/>
    <w:rsid w:val="008D718A"/>
    <w:rsid w:val="008E0624"/>
    <w:rsid w:val="008E3207"/>
    <w:rsid w:val="008E34B5"/>
    <w:rsid w:val="008E3EC7"/>
    <w:rsid w:val="008E4FF4"/>
    <w:rsid w:val="008E5A03"/>
    <w:rsid w:val="008E77EB"/>
    <w:rsid w:val="008E7A72"/>
    <w:rsid w:val="008F04FA"/>
    <w:rsid w:val="008F0929"/>
    <w:rsid w:val="008F0991"/>
    <w:rsid w:val="008F0A10"/>
    <w:rsid w:val="008F0FD5"/>
    <w:rsid w:val="008F1582"/>
    <w:rsid w:val="008F54E1"/>
    <w:rsid w:val="008F55FE"/>
    <w:rsid w:val="008F5D54"/>
    <w:rsid w:val="008F7158"/>
    <w:rsid w:val="008F7981"/>
    <w:rsid w:val="00904386"/>
    <w:rsid w:val="0090472C"/>
    <w:rsid w:val="00905E9B"/>
    <w:rsid w:val="00907BC3"/>
    <w:rsid w:val="00910362"/>
    <w:rsid w:val="009115E5"/>
    <w:rsid w:val="00911928"/>
    <w:rsid w:val="0091291C"/>
    <w:rsid w:val="009139B5"/>
    <w:rsid w:val="00913DA9"/>
    <w:rsid w:val="00920A51"/>
    <w:rsid w:val="00920BAC"/>
    <w:rsid w:val="00921CE5"/>
    <w:rsid w:val="00923A03"/>
    <w:rsid w:val="00923BAA"/>
    <w:rsid w:val="00926CE5"/>
    <w:rsid w:val="00927590"/>
    <w:rsid w:val="00930CA5"/>
    <w:rsid w:val="009312AC"/>
    <w:rsid w:val="00931495"/>
    <w:rsid w:val="00933A84"/>
    <w:rsid w:val="00933B61"/>
    <w:rsid w:val="00934001"/>
    <w:rsid w:val="00935E33"/>
    <w:rsid w:val="00936A58"/>
    <w:rsid w:val="0093732D"/>
    <w:rsid w:val="009413A8"/>
    <w:rsid w:val="00941C34"/>
    <w:rsid w:val="00942D3B"/>
    <w:rsid w:val="009440A7"/>
    <w:rsid w:val="00945749"/>
    <w:rsid w:val="00945882"/>
    <w:rsid w:val="00950174"/>
    <w:rsid w:val="009509FD"/>
    <w:rsid w:val="00951DD0"/>
    <w:rsid w:val="00953D5A"/>
    <w:rsid w:val="00953F8E"/>
    <w:rsid w:val="00954A12"/>
    <w:rsid w:val="0095771A"/>
    <w:rsid w:val="00960BE2"/>
    <w:rsid w:val="00960E89"/>
    <w:rsid w:val="00964464"/>
    <w:rsid w:val="00964491"/>
    <w:rsid w:val="00964CE2"/>
    <w:rsid w:val="00965A39"/>
    <w:rsid w:val="009704EF"/>
    <w:rsid w:val="009748F9"/>
    <w:rsid w:val="00975FCA"/>
    <w:rsid w:val="0097609F"/>
    <w:rsid w:val="00976999"/>
    <w:rsid w:val="00976B43"/>
    <w:rsid w:val="00976C78"/>
    <w:rsid w:val="009804CC"/>
    <w:rsid w:val="00981DAC"/>
    <w:rsid w:val="00981E48"/>
    <w:rsid w:val="00983569"/>
    <w:rsid w:val="00984611"/>
    <w:rsid w:val="00985214"/>
    <w:rsid w:val="00986583"/>
    <w:rsid w:val="00987F84"/>
    <w:rsid w:val="009911D1"/>
    <w:rsid w:val="00991AF4"/>
    <w:rsid w:val="0099281F"/>
    <w:rsid w:val="00992ACA"/>
    <w:rsid w:val="00994215"/>
    <w:rsid w:val="0099485D"/>
    <w:rsid w:val="00994B77"/>
    <w:rsid w:val="00996AC5"/>
    <w:rsid w:val="00996BCF"/>
    <w:rsid w:val="00996C5F"/>
    <w:rsid w:val="00996DD6"/>
    <w:rsid w:val="009972EE"/>
    <w:rsid w:val="009A0D3D"/>
    <w:rsid w:val="009A24E9"/>
    <w:rsid w:val="009A430F"/>
    <w:rsid w:val="009A5782"/>
    <w:rsid w:val="009A5789"/>
    <w:rsid w:val="009A6EA9"/>
    <w:rsid w:val="009A7B0C"/>
    <w:rsid w:val="009B0129"/>
    <w:rsid w:val="009B0708"/>
    <w:rsid w:val="009B097E"/>
    <w:rsid w:val="009B163D"/>
    <w:rsid w:val="009B1C6A"/>
    <w:rsid w:val="009B2F1B"/>
    <w:rsid w:val="009B3468"/>
    <w:rsid w:val="009B4C8D"/>
    <w:rsid w:val="009B5B5B"/>
    <w:rsid w:val="009B5D7F"/>
    <w:rsid w:val="009B64AA"/>
    <w:rsid w:val="009B73F7"/>
    <w:rsid w:val="009C0D17"/>
    <w:rsid w:val="009C19DA"/>
    <w:rsid w:val="009C23E7"/>
    <w:rsid w:val="009C2F88"/>
    <w:rsid w:val="009C423A"/>
    <w:rsid w:val="009C5546"/>
    <w:rsid w:val="009C5576"/>
    <w:rsid w:val="009C594C"/>
    <w:rsid w:val="009C5E6B"/>
    <w:rsid w:val="009C621C"/>
    <w:rsid w:val="009C6E35"/>
    <w:rsid w:val="009C7573"/>
    <w:rsid w:val="009D1B59"/>
    <w:rsid w:val="009D2B26"/>
    <w:rsid w:val="009D2B6A"/>
    <w:rsid w:val="009D48D2"/>
    <w:rsid w:val="009D5B01"/>
    <w:rsid w:val="009D60C8"/>
    <w:rsid w:val="009D724D"/>
    <w:rsid w:val="009E0DB1"/>
    <w:rsid w:val="009E0E2F"/>
    <w:rsid w:val="009E101F"/>
    <w:rsid w:val="009E110B"/>
    <w:rsid w:val="009E14D7"/>
    <w:rsid w:val="009E1B54"/>
    <w:rsid w:val="009E247C"/>
    <w:rsid w:val="009E2CCC"/>
    <w:rsid w:val="009E3915"/>
    <w:rsid w:val="009E4963"/>
    <w:rsid w:val="009E5B29"/>
    <w:rsid w:val="009E6647"/>
    <w:rsid w:val="009E68F8"/>
    <w:rsid w:val="009E6D54"/>
    <w:rsid w:val="009F0FA3"/>
    <w:rsid w:val="009F1351"/>
    <w:rsid w:val="009F3FB3"/>
    <w:rsid w:val="009F4292"/>
    <w:rsid w:val="009F5BD4"/>
    <w:rsid w:val="009F5C1B"/>
    <w:rsid w:val="009F6FA3"/>
    <w:rsid w:val="00A0085E"/>
    <w:rsid w:val="00A00A5D"/>
    <w:rsid w:val="00A015C8"/>
    <w:rsid w:val="00A028DA"/>
    <w:rsid w:val="00A0358D"/>
    <w:rsid w:val="00A04714"/>
    <w:rsid w:val="00A04F66"/>
    <w:rsid w:val="00A05E1F"/>
    <w:rsid w:val="00A06507"/>
    <w:rsid w:val="00A070BC"/>
    <w:rsid w:val="00A07739"/>
    <w:rsid w:val="00A112B2"/>
    <w:rsid w:val="00A1300C"/>
    <w:rsid w:val="00A13ABB"/>
    <w:rsid w:val="00A149D1"/>
    <w:rsid w:val="00A14A2E"/>
    <w:rsid w:val="00A17BBC"/>
    <w:rsid w:val="00A17F6D"/>
    <w:rsid w:val="00A214E8"/>
    <w:rsid w:val="00A215F7"/>
    <w:rsid w:val="00A21BF0"/>
    <w:rsid w:val="00A22A03"/>
    <w:rsid w:val="00A22F4D"/>
    <w:rsid w:val="00A24A1B"/>
    <w:rsid w:val="00A270E8"/>
    <w:rsid w:val="00A27959"/>
    <w:rsid w:val="00A30B13"/>
    <w:rsid w:val="00A30E2F"/>
    <w:rsid w:val="00A30F13"/>
    <w:rsid w:val="00A310F0"/>
    <w:rsid w:val="00A314BE"/>
    <w:rsid w:val="00A4139A"/>
    <w:rsid w:val="00A422D8"/>
    <w:rsid w:val="00A454CF"/>
    <w:rsid w:val="00A46CA2"/>
    <w:rsid w:val="00A505A6"/>
    <w:rsid w:val="00A50B6F"/>
    <w:rsid w:val="00A51056"/>
    <w:rsid w:val="00A514BB"/>
    <w:rsid w:val="00A51B6C"/>
    <w:rsid w:val="00A52ADF"/>
    <w:rsid w:val="00A52BD1"/>
    <w:rsid w:val="00A53CE8"/>
    <w:rsid w:val="00A54C50"/>
    <w:rsid w:val="00A56559"/>
    <w:rsid w:val="00A566EC"/>
    <w:rsid w:val="00A56AA7"/>
    <w:rsid w:val="00A5757C"/>
    <w:rsid w:val="00A57A74"/>
    <w:rsid w:val="00A6115B"/>
    <w:rsid w:val="00A6201C"/>
    <w:rsid w:val="00A64613"/>
    <w:rsid w:val="00A65E0D"/>
    <w:rsid w:val="00A6685A"/>
    <w:rsid w:val="00A70357"/>
    <w:rsid w:val="00A71600"/>
    <w:rsid w:val="00A7163B"/>
    <w:rsid w:val="00A72531"/>
    <w:rsid w:val="00A72868"/>
    <w:rsid w:val="00A74E5F"/>
    <w:rsid w:val="00A75048"/>
    <w:rsid w:val="00A7506A"/>
    <w:rsid w:val="00A76C3F"/>
    <w:rsid w:val="00A7799B"/>
    <w:rsid w:val="00A80169"/>
    <w:rsid w:val="00A86A0C"/>
    <w:rsid w:val="00A86E7C"/>
    <w:rsid w:val="00A86F0C"/>
    <w:rsid w:val="00A87591"/>
    <w:rsid w:val="00A87E86"/>
    <w:rsid w:val="00A91714"/>
    <w:rsid w:val="00A946A5"/>
    <w:rsid w:val="00A94983"/>
    <w:rsid w:val="00AA06F0"/>
    <w:rsid w:val="00AA2997"/>
    <w:rsid w:val="00AA4127"/>
    <w:rsid w:val="00AA57D2"/>
    <w:rsid w:val="00AA636C"/>
    <w:rsid w:val="00AA70A4"/>
    <w:rsid w:val="00AA74D7"/>
    <w:rsid w:val="00AB0B20"/>
    <w:rsid w:val="00AB1230"/>
    <w:rsid w:val="00AB474C"/>
    <w:rsid w:val="00AB5E74"/>
    <w:rsid w:val="00AB60D0"/>
    <w:rsid w:val="00AB76F7"/>
    <w:rsid w:val="00AC163C"/>
    <w:rsid w:val="00AC26DF"/>
    <w:rsid w:val="00AC3A67"/>
    <w:rsid w:val="00AC3DE8"/>
    <w:rsid w:val="00AC4AAD"/>
    <w:rsid w:val="00AC4D15"/>
    <w:rsid w:val="00AC7ABB"/>
    <w:rsid w:val="00AD0886"/>
    <w:rsid w:val="00AD22E4"/>
    <w:rsid w:val="00AD27CB"/>
    <w:rsid w:val="00AD2BAF"/>
    <w:rsid w:val="00AD3BDF"/>
    <w:rsid w:val="00AD400C"/>
    <w:rsid w:val="00AD43D2"/>
    <w:rsid w:val="00AD4685"/>
    <w:rsid w:val="00AD69BC"/>
    <w:rsid w:val="00AD74C8"/>
    <w:rsid w:val="00AD76CF"/>
    <w:rsid w:val="00AD7838"/>
    <w:rsid w:val="00AE0798"/>
    <w:rsid w:val="00AE1B24"/>
    <w:rsid w:val="00AE22B5"/>
    <w:rsid w:val="00AE298D"/>
    <w:rsid w:val="00AE42CA"/>
    <w:rsid w:val="00AE471C"/>
    <w:rsid w:val="00AE63A6"/>
    <w:rsid w:val="00AE78EA"/>
    <w:rsid w:val="00AF00BB"/>
    <w:rsid w:val="00AF02C5"/>
    <w:rsid w:val="00AF0718"/>
    <w:rsid w:val="00AF07FE"/>
    <w:rsid w:val="00AF2EE1"/>
    <w:rsid w:val="00AF30AD"/>
    <w:rsid w:val="00AF3266"/>
    <w:rsid w:val="00AF37DF"/>
    <w:rsid w:val="00AF6932"/>
    <w:rsid w:val="00B01C8A"/>
    <w:rsid w:val="00B01D16"/>
    <w:rsid w:val="00B01FC4"/>
    <w:rsid w:val="00B02375"/>
    <w:rsid w:val="00B02726"/>
    <w:rsid w:val="00B0474A"/>
    <w:rsid w:val="00B04A89"/>
    <w:rsid w:val="00B04C6C"/>
    <w:rsid w:val="00B0504F"/>
    <w:rsid w:val="00B06515"/>
    <w:rsid w:val="00B06977"/>
    <w:rsid w:val="00B06AFA"/>
    <w:rsid w:val="00B06BAE"/>
    <w:rsid w:val="00B07207"/>
    <w:rsid w:val="00B076D7"/>
    <w:rsid w:val="00B07E4C"/>
    <w:rsid w:val="00B1174F"/>
    <w:rsid w:val="00B12846"/>
    <w:rsid w:val="00B134B9"/>
    <w:rsid w:val="00B14ACE"/>
    <w:rsid w:val="00B14BF6"/>
    <w:rsid w:val="00B1511E"/>
    <w:rsid w:val="00B17169"/>
    <w:rsid w:val="00B2011F"/>
    <w:rsid w:val="00B21BB6"/>
    <w:rsid w:val="00B25826"/>
    <w:rsid w:val="00B26BDC"/>
    <w:rsid w:val="00B26EFB"/>
    <w:rsid w:val="00B27E7E"/>
    <w:rsid w:val="00B30A18"/>
    <w:rsid w:val="00B3182C"/>
    <w:rsid w:val="00B325BB"/>
    <w:rsid w:val="00B3402D"/>
    <w:rsid w:val="00B34A94"/>
    <w:rsid w:val="00B40A76"/>
    <w:rsid w:val="00B40EA9"/>
    <w:rsid w:val="00B41C51"/>
    <w:rsid w:val="00B43093"/>
    <w:rsid w:val="00B430A1"/>
    <w:rsid w:val="00B43880"/>
    <w:rsid w:val="00B440D7"/>
    <w:rsid w:val="00B445AE"/>
    <w:rsid w:val="00B4473B"/>
    <w:rsid w:val="00B44CC0"/>
    <w:rsid w:val="00B45307"/>
    <w:rsid w:val="00B45965"/>
    <w:rsid w:val="00B465A2"/>
    <w:rsid w:val="00B47337"/>
    <w:rsid w:val="00B51F80"/>
    <w:rsid w:val="00B5494A"/>
    <w:rsid w:val="00B55417"/>
    <w:rsid w:val="00B5541D"/>
    <w:rsid w:val="00B55ECA"/>
    <w:rsid w:val="00B603BD"/>
    <w:rsid w:val="00B61983"/>
    <w:rsid w:val="00B62D6B"/>
    <w:rsid w:val="00B6318B"/>
    <w:rsid w:val="00B63E39"/>
    <w:rsid w:val="00B65461"/>
    <w:rsid w:val="00B654E3"/>
    <w:rsid w:val="00B7000D"/>
    <w:rsid w:val="00B7154A"/>
    <w:rsid w:val="00B72C94"/>
    <w:rsid w:val="00B734B9"/>
    <w:rsid w:val="00B7516A"/>
    <w:rsid w:val="00B7584B"/>
    <w:rsid w:val="00B75EB4"/>
    <w:rsid w:val="00B77D99"/>
    <w:rsid w:val="00B803BF"/>
    <w:rsid w:val="00B80995"/>
    <w:rsid w:val="00B80F37"/>
    <w:rsid w:val="00B81659"/>
    <w:rsid w:val="00B84968"/>
    <w:rsid w:val="00B85394"/>
    <w:rsid w:val="00B85576"/>
    <w:rsid w:val="00B85A40"/>
    <w:rsid w:val="00B908C3"/>
    <w:rsid w:val="00B90EA0"/>
    <w:rsid w:val="00B91162"/>
    <w:rsid w:val="00B91545"/>
    <w:rsid w:val="00B91D33"/>
    <w:rsid w:val="00B9257E"/>
    <w:rsid w:val="00B93553"/>
    <w:rsid w:val="00B9445F"/>
    <w:rsid w:val="00B95374"/>
    <w:rsid w:val="00BA0253"/>
    <w:rsid w:val="00BA069C"/>
    <w:rsid w:val="00BA20DF"/>
    <w:rsid w:val="00BA2A8B"/>
    <w:rsid w:val="00BA2F41"/>
    <w:rsid w:val="00BA3A5A"/>
    <w:rsid w:val="00BA4988"/>
    <w:rsid w:val="00BA60A6"/>
    <w:rsid w:val="00BA72BF"/>
    <w:rsid w:val="00BB25EF"/>
    <w:rsid w:val="00BB2B8A"/>
    <w:rsid w:val="00BB2F36"/>
    <w:rsid w:val="00BB4161"/>
    <w:rsid w:val="00BB55C4"/>
    <w:rsid w:val="00BB6714"/>
    <w:rsid w:val="00BB6BFD"/>
    <w:rsid w:val="00BB7F83"/>
    <w:rsid w:val="00BC000F"/>
    <w:rsid w:val="00BC027A"/>
    <w:rsid w:val="00BC0710"/>
    <w:rsid w:val="00BC0D6A"/>
    <w:rsid w:val="00BC2C46"/>
    <w:rsid w:val="00BC4C58"/>
    <w:rsid w:val="00BC7822"/>
    <w:rsid w:val="00BD1346"/>
    <w:rsid w:val="00BD2534"/>
    <w:rsid w:val="00BD6153"/>
    <w:rsid w:val="00BD6CA6"/>
    <w:rsid w:val="00BD6E9A"/>
    <w:rsid w:val="00BD7640"/>
    <w:rsid w:val="00BD7646"/>
    <w:rsid w:val="00BE0E5C"/>
    <w:rsid w:val="00BE123E"/>
    <w:rsid w:val="00BE168E"/>
    <w:rsid w:val="00BE55C5"/>
    <w:rsid w:val="00BE6E7E"/>
    <w:rsid w:val="00BE7BB7"/>
    <w:rsid w:val="00BF0ED2"/>
    <w:rsid w:val="00BF1DC1"/>
    <w:rsid w:val="00BF2643"/>
    <w:rsid w:val="00BF31D1"/>
    <w:rsid w:val="00BF52A4"/>
    <w:rsid w:val="00BF58DB"/>
    <w:rsid w:val="00BF70C0"/>
    <w:rsid w:val="00BF73B6"/>
    <w:rsid w:val="00BF7AC1"/>
    <w:rsid w:val="00C00CCF"/>
    <w:rsid w:val="00C041A3"/>
    <w:rsid w:val="00C04A23"/>
    <w:rsid w:val="00C055A9"/>
    <w:rsid w:val="00C0614D"/>
    <w:rsid w:val="00C07718"/>
    <w:rsid w:val="00C101BA"/>
    <w:rsid w:val="00C1038A"/>
    <w:rsid w:val="00C1071F"/>
    <w:rsid w:val="00C11CD4"/>
    <w:rsid w:val="00C11D27"/>
    <w:rsid w:val="00C123FF"/>
    <w:rsid w:val="00C129B5"/>
    <w:rsid w:val="00C13499"/>
    <w:rsid w:val="00C13B78"/>
    <w:rsid w:val="00C147AD"/>
    <w:rsid w:val="00C15155"/>
    <w:rsid w:val="00C20315"/>
    <w:rsid w:val="00C2170D"/>
    <w:rsid w:val="00C21991"/>
    <w:rsid w:val="00C2256D"/>
    <w:rsid w:val="00C2265B"/>
    <w:rsid w:val="00C24725"/>
    <w:rsid w:val="00C247A6"/>
    <w:rsid w:val="00C2538D"/>
    <w:rsid w:val="00C25B34"/>
    <w:rsid w:val="00C25D57"/>
    <w:rsid w:val="00C277CF"/>
    <w:rsid w:val="00C3142C"/>
    <w:rsid w:val="00C31944"/>
    <w:rsid w:val="00C33305"/>
    <w:rsid w:val="00C33B76"/>
    <w:rsid w:val="00C369E4"/>
    <w:rsid w:val="00C409A5"/>
    <w:rsid w:val="00C40EA7"/>
    <w:rsid w:val="00C40FC4"/>
    <w:rsid w:val="00C42136"/>
    <w:rsid w:val="00C42404"/>
    <w:rsid w:val="00C45ED2"/>
    <w:rsid w:val="00C46F55"/>
    <w:rsid w:val="00C4745A"/>
    <w:rsid w:val="00C4787B"/>
    <w:rsid w:val="00C51E87"/>
    <w:rsid w:val="00C52506"/>
    <w:rsid w:val="00C53927"/>
    <w:rsid w:val="00C53CE3"/>
    <w:rsid w:val="00C54498"/>
    <w:rsid w:val="00C550A2"/>
    <w:rsid w:val="00C56469"/>
    <w:rsid w:val="00C60C6D"/>
    <w:rsid w:val="00C61657"/>
    <w:rsid w:val="00C62877"/>
    <w:rsid w:val="00C62D4B"/>
    <w:rsid w:val="00C62E72"/>
    <w:rsid w:val="00C64441"/>
    <w:rsid w:val="00C64C09"/>
    <w:rsid w:val="00C67B11"/>
    <w:rsid w:val="00C70F53"/>
    <w:rsid w:val="00C71064"/>
    <w:rsid w:val="00C71DF6"/>
    <w:rsid w:val="00C722B6"/>
    <w:rsid w:val="00C73B95"/>
    <w:rsid w:val="00C755B1"/>
    <w:rsid w:val="00C75C3C"/>
    <w:rsid w:val="00C76FF6"/>
    <w:rsid w:val="00C7794C"/>
    <w:rsid w:val="00C8038E"/>
    <w:rsid w:val="00C80EBC"/>
    <w:rsid w:val="00C82BA9"/>
    <w:rsid w:val="00C875DA"/>
    <w:rsid w:val="00C87C69"/>
    <w:rsid w:val="00C87EEE"/>
    <w:rsid w:val="00C91DE9"/>
    <w:rsid w:val="00C91E8F"/>
    <w:rsid w:val="00C91F12"/>
    <w:rsid w:val="00C9206F"/>
    <w:rsid w:val="00C92EC3"/>
    <w:rsid w:val="00C931C3"/>
    <w:rsid w:val="00C95A63"/>
    <w:rsid w:val="00CA11B0"/>
    <w:rsid w:val="00CA15E0"/>
    <w:rsid w:val="00CA2311"/>
    <w:rsid w:val="00CA23D6"/>
    <w:rsid w:val="00CA31C0"/>
    <w:rsid w:val="00CA3C40"/>
    <w:rsid w:val="00CA4004"/>
    <w:rsid w:val="00CA50D9"/>
    <w:rsid w:val="00CA57A5"/>
    <w:rsid w:val="00CB024E"/>
    <w:rsid w:val="00CB08D8"/>
    <w:rsid w:val="00CB16E6"/>
    <w:rsid w:val="00CB2751"/>
    <w:rsid w:val="00CB29C4"/>
    <w:rsid w:val="00CB307C"/>
    <w:rsid w:val="00CB3CF6"/>
    <w:rsid w:val="00CB3D94"/>
    <w:rsid w:val="00CB464D"/>
    <w:rsid w:val="00CB49D6"/>
    <w:rsid w:val="00CB4D31"/>
    <w:rsid w:val="00CB5121"/>
    <w:rsid w:val="00CB5436"/>
    <w:rsid w:val="00CB67F3"/>
    <w:rsid w:val="00CB79FE"/>
    <w:rsid w:val="00CC0121"/>
    <w:rsid w:val="00CC740F"/>
    <w:rsid w:val="00CC757F"/>
    <w:rsid w:val="00CC7BEE"/>
    <w:rsid w:val="00CD439E"/>
    <w:rsid w:val="00CD4B7C"/>
    <w:rsid w:val="00CD4F40"/>
    <w:rsid w:val="00CD5079"/>
    <w:rsid w:val="00CD540D"/>
    <w:rsid w:val="00CD5D5C"/>
    <w:rsid w:val="00CD7E6D"/>
    <w:rsid w:val="00CE1147"/>
    <w:rsid w:val="00CE23F1"/>
    <w:rsid w:val="00CE2BA7"/>
    <w:rsid w:val="00CE4D6A"/>
    <w:rsid w:val="00CE57A9"/>
    <w:rsid w:val="00CE6394"/>
    <w:rsid w:val="00CE7343"/>
    <w:rsid w:val="00CF2087"/>
    <w:rsid w:val="00CF2146"/>
    <w:rsid w:val="00CF3EC2"/>
    <w:rsid w:val="00CF4B28"/>
    <w:rsid w:val="00CF52CC"/>
    <w:rsid w:val="00D0015F"/>
    <w:rsid w:val="00D0058C"/>
    <w:rsid w:val="00D01165"/>
    <w:rsid w:val="00D05DE8"/>
    <w:rsid w:val="00D070F4"/>
    <w:rsid w:val="00D076C3"/>
    <w:rsid w:val="00D07ECB"/>
    <w:rsid w:val="00D11734"/>
    <w:rsid w:val="00D1262E"/>
    <w:rsid w:val="00D1288F"/>
    <w:rsid w:val="00D144B8"/>
    <w:rsid w:val="00D15B33"/>
    <w:rsid w:val="00D15B88"/>
    <w:rsid w:val="00D15F0D"/>
    <w:rsid w:val="00D17A2A"/>
    <w:rsid w:val="00D17E9C"/>
    <w:rsid w:val="00D2020A"/>
    <w:rsid w:val="00D205DE"/>
    <w:rsid w:val="00D211BF"/>
    <w:rsid w:val="00D23AF7"/>
    <w:rsid w:val="00D24894"/>
    <w:rsid w:val="00D263A4"/>
    <w:rsid w:val="00D30586"/>
    <w:rsid w:val="00D31211"/>
    <w:rsid w:val="00D33070"/>
    <w:rsid w:val="00D33CFD"/>
    <w:rsid w:val="00D36331"/>
    <w:rsid w:val="00D363C2"/>
    <w:rsid w:val="00D363E9"/>
    <w:rsid w:val="00D37596"/>
    <w:rsid w:val="00D37753"/>
    <w:rsid w:val="00D427CB"/>
    <w:rsid w:val="00D428E3"/>
    <w:rsid w:val="00D429DF"/>
    <w:rsid w:val="00D42DDE"/>
    <w:rsid w:val="00D46677"/>
    <w:rsid w:val="00D475D3"/>
    <w:rsid w:val="00D4764A"/>
    <w:rsid w:val="00D50BFA"/>
    <w:rsid w:val="00D51DEC"/>
    <w:rsid w:val="00D52847"/>
    <w:rsid w:val="00D552C4"/>
    <w:rsid w:val="00D55330"/>
    <w:rsid w:val="00D55E1F"/>
    <w:rsid w:val="00D55F0C"/>
    <w:rsid w:val="00D56123"/>
    <w:rsid w:val="00D6177B"/>
    <w:rsid w:val="00D62F91"/>
    <w:rsid w:val="00D64655"/>
    <w:rsid w:val="00D6518F"/>
    <w:rsid w:val="00D65E0A"/>
    <w:rsid w:val="00D66419"/>
    <w:rsid w:val="00D70E0C"/>
    <w:rsid w:val="00D71CFA"/>
    <w:rsid w:val="00D750FE"/>
    <w:rsid w:val="00D7554B"/>
    <w:rsid w:val="00D75573"/>
    <w:rsid w:val="00D76367"/>
    <w:rsid w:val="00D773F0"/>
    <w:rsid w:val="00D8022B"/>
    <w:rsid w:val="00D809B7"/>
    <w:rsid w:val="00D814C2"/>
    <w:rsid w:val="00D81504"/>
    <w:rsid w:val="00D831E5"/>
    <w:rsid w:val="00D83E02"/>
    <w:rsid w:val="00D84685"/>
    <w:rsid w:val="00D84750"/>
    <w:rsid w:val="00D849A3"/>
    <w:rsid w:val="00D87321"/>
    <w:rsid w:val="00D9051B"/>
    <w:rsid w:val="00D925D5"/>
    <w:rsid w:val="00D95040"/>
    <w:rsid w:val="00D954B1"/>
    <w:rsid w:val="00D972E5"/>
    <w:rsid w:val="00D9761D"/>
    <w:rsid w:val="00DA595A"/>
    <w:rsid w:val="00DA70FE"/>
    <w:rsid w:val="00DA7186"/>
    <w:rsid w:val="00DA7558"/>
    <w:rsid w:val="00DA758A"/>
    <w:rsid w:val="00DA7DA5"/>
    <w:rsid w:val="00DB0F73"/>
    <w:rsid w:val="00DB1038"/>
    <w:rsid w:val="00DB1BB3"/>
    <w:rsid w:val="00DB1FC5"/>
    <w:rsid w:val="00DB275A"/>
    <w:rsid w:val="00DB368B"/>
    <w:rsid w:val="00DB3CAC"/>
    <w:rsid w:val="00DB4864"/>
    <w:rsid w:val="00DB51E0"/>
    <w:rsid w:val="00DB5E04"/>
    <w:rsid w:val="00DB6762"/>
    <w:rsid w:val="00DC096C"/>
    <w:rsid w:val="00DC0E07"/>
    <w:rsid w:val="00DC16AF"/>
    <w:rsid w:val="00DC397D"/>
    <w:rsid w:val="00DC3F3F"/>
    <w:rsid w:val="00DC4E09"/>
    <w:rsid w:val="00DC50A1"/>
    <w:rsid w:val="00DD0225"/>
    <w:rsid w:val="00DD07C9"/>
    <w:rsid w:val="00DD2D40"/>
    <w:rsid w:val="00DD302A"/>
    <w:rsid w:val="00DD34C9"/>
    <w:rsid w:val="00DD4FE0"/>
    <w:rsid w:val="00DD64AD"/>
    <w:rsid w:val="00DD6897"/>
    <w:rsid w:val="00DD6AFF"/>
    <w:rsid w:val="00DD6D45"/>
    <w:rsid w:val="00DE0EEE"/>
    <w:rsid w:val="00DE18C6"/>
    <w:rsid w:val="00DE33D0"/>
    <w:rsid w:val="00DE38D6"/>
    <w:rsid w:val="00DE3B1C"/>
    <w:rsid w:val="00DE659B"/>
    <w:rsid w:val="00DE6E33"/>
    <w:rsid w:val="00DE7664"/>
    <w:rsid w:val="00DF00CA"/>
    <w:rsid w:val="00DF0843"/>
    <w:rsid w:val="00DF0A25"/>
    <w:rsid w:val="00DF1AD3"/>
    <w:rsid w:val="00DF39E7"/>
    <w:rsid w:val="00DF3EE3"/>
    <w:rsid w:val="00DF4039"/>
    <w:rsid w:val="00DF44EE"/>
    <w:rsid w:val="00DF46BD"/>
    <w:rsid w:val="00DF4C69"/>
    <w:rsid w:val="00DF4D40"/>
    <w:rsid w:val="00E00739"/>
    <w:rsid w:val="00E011DA"/>
    <w:rsid w:val="00E0146C"/>
    <w:rsid w:val="00E01D6B"/>
    <w:rsid w:val="00E02E6F"/>
    <w:rsid w:val="00E02F42"/>
    <w:rsid w:val="00E0364F"/>
    <w:rsid w:val="00E0502E"/>
    <w:rsid w:val="00E05C45"/>
    <w:rsid w:val="00E070F4"/>
    <w:rsid w:val="00E07A37"/>
    <w:rsid w:val="00E10273"/>
    <w:rsid w:val="00E13AF5"/>
    <w:rsid w:val="00E13E6E"/>
    <w:rsid w:val="00E14583"/>
    <w:rsid w:val="00E16DE6"/>
    <w:rsid w:val="00E16EDD"/>
    <w:rsid w:val="00E173B7"/>
    <w:rsid w:val="00E17F22"/>
    <w:rsid w:val="00E20831"/>
    <w:rsid w:val="00E21205"/>
    <w:rsid w:val="00E214E9"/>
    <w:rsid w:val="00E23DA3"/>
    <w:rsid w:val="00E25D78"/>
    <w:rsid w:val="00E27207"/>
    <w:rsid w:val="00E300B0"/>
    <w:rsid w:val="00E31839"/>
    <w:rsid w:val="00E31CA4"/>
    <w:rsid w:val="00E32CA3"/>
    <w:rsid w:val="00E32EB6"/>
    <w:rsid w:val="00E34821"/>
    <w:rsid w:val="00E350FE"/>
    <w:rsid w:val="00E36926"/>
    <w:rsid w:val="00E41E0E"/>
    <w:rsid w:val="00E426E0"/>
    <w:rsid w:val="00E44973"/>
    <w:rsid w:val="00E4531A"/>
    <w:rsid w:val="00E470AC"/>
    <w:rsid w:val="00E475D3"/>
    <w:rsid w:val="00E47B5B"/>
    <w:rsid w:val="00E50E55"/>
    <w:rsid w:val="00E51F68"/>
    <w:rsid w:val="00E5214C"/>
    <w:rsid w:val="00E531BD"/>
    <w:rsid w:val="00E5355C"/>
    <w:rsid w:val="00E53B49"/>
    <w:rsid w:val="00E53DE1"/>
    <w:rsid w:val="00E54475"/>
    <w:rsid w:val="00E550F2"/>
    <w:rsid w:val="00E554BD"/>
    <w:rsid w:val="00E56B7E"/>
    <w:rsid w:val="00E575FA"/>
    <w:rsid w:val="00E601B0"/>
    <w:rsid w:val="00E61AA4"/>
    <w:rsid w:val="00E62B58"/>
    <w:rsid w:val="00E6328C"/>
    <w:rsid w:val="00E63F79"/>
    <w:rsid w:val="00E6420E"/>
    <w:rsid w:val="00E64294"/>
    <w:rsid w:val="00E655FF"/>
    <w:rsid w:val="00E67747"/>
    <w:rsid w:val="00E70FE6"/>
    <w:rsid w:val="00E71109"/>
    <w:rsid w:val="00E713F5"/>
    <w:rsid w:val="00E717FB"/>
    <w:rsid w:val="00E72B98"/>
    <w:rsid w:val="00E73495"/>
    <w:rsid w:val="00E74373"/>
    <w:rsid w:val="00E75225"/>
    <w:rsid w:val="00E75517"/>
    <w:rsid w:val="00E75CD8"/>
    <w:rsid w:val="00E82107"/>
    <w:rsid w:val="00E825C5"/>
    <w:rsid w:val="00E82711"/>
    <w:rsid w:val="00E82962"/>
    <w:rsid w:val="00E82F54"/>
    <w:rsid w:val="00E83993"/>
    <w:rsid w:val="00E8417B"/>
    <w:rsid w:val="00E84ADF"/>
    <w:rsid w:val="00E85298"/>
    <w:rsid w:val="00E86E88"/>
    <w:rsid w:val="00E87571"/>
    <w:rsid w:val="00E87F9E"/>
    <w:rsid w:val="00E9014E"/>
    <w:rsid w:val="00E904C3"/>
    <w:rsid w:val="00E936D1"/>
    <w:rsid w:val="00E93BF0"/>
    <w:rsid w:val="00E93E08"/>
    <w:rsid w:val="00E977B4"/>
    <w:rsid w:val="00E97EB3"/>
    <w:rsid w:val="00EA0507"/>
    <w:rsid w:val="00EA10AB"/>
    <w:rsid w:val="00EA20B2"/>
    <w:rsid w:val="00EA4491"/>
    <w:rsid w:val="00EA5177"/>
    <w:rsid w:val="00EA580D"/>
    <w:rsid w:val="00EA6CFB"/>
    <w:rsid w:val="00EA77E1"/>
    <w:rsid w:val="00EB048A"/>
    <w:rsid w:val="00EB148B"/>
    <w:rsid w:val="00EB22E9"/>
    <w:rsid w:val="00EB2F49"/>
    <w:rsid w:val="00EB3C17"/>
    <w:rsid w:val="00EB4116"/>
    <w:rsid w:val="00EB4F32"/>
    <w:rsid w:val="00EB55F2"/>
    <w:rsid w:val="00EC0486"/>
    <w:rsid w:val="00EC2525"/>
    <w:rsid w:val="00EC2EBA"/>
    <w:rsid w:val="00EC64D7"/>
    <w:rsid w:val="00ED1A56"/>
    <w:rsid w:val="00ED2E3E"/>
    <w:rsid w:val="00ED591B"/>
    <w:rsid w:val="00ED59E0"/>
    <w:rsid w:val="00ED6F79"/>
    <w:rsid w:val="00ED7806"/>
    <w:rsid w:val="00EE0578"/>
    <w:rsid w:val="00EE12A9"/>
    <w:rsid w:val="00EE5E42"/>
    <w:rsid w:val="00EE6EE0"/>
    <w:rsid w:val="00EE76E6"/>
    <w:rsid w:val="00EE7DB5"/>
    <w:rsid w:val="00EE7DB7"/>
    <w:rsid w:val="00EF010F"/>
    <w:rsid w:val="00EF0952"/>
    <w:rsid w:val="00EF0A73"/>
    <w:rsid w:val="00EF2180"/>
    <w:rsid w:val="00EF27D7"/>
    <w:rsid w:val="00EF4A75"/>
    <w:rsid w:val="00EF6841"/>
    <w:rsid w:val="00F004E6"/>
    <w:rsid w:val="00F00ED6"/>
    <w:rsid w:val="00F01035"/>
    <w:rsid w:val="00F01AF7"/>
    <w:rsid w:val="00F02709"/>
    <w:rsid w:val="00F03703"/>
    <w:rsid w:val="00F03CDB"/>
    <w:rsid w:val="00F0408B"/>
    <w:rsid w:val="00F04163"/>
    <w:rsid w:val="00F041C9"/>
    <w:rsid w:val="00F053C9"/>
    <w:rsid w:val="00F06479"/>
    <w:rsid w:val="00F1107F"/>
    <w:rsid w:val="00F1414F"/>
    <w:rsid w:val="00F14D16"/>
    <w:rsid w:val="00F15412"/>
    <w:rsid w:val="00F16278"/>
    <w:rsid w:val="00F16FCE"/>
    <w:rsid w:val="00F17BDD"/>
    <w:rsid w:val="00F20144"/>
    <w:rsid w:val="00F22918"/>
    <w:rsid w:val="00F22EB1"/>
    <w:rsid w:val="00F24686"/>
    <w:rsid w:val="00F2632D"/>
    <w:rsid w:val="00F273CB"/>
    <w:rsid w:val="00F30718"/>
    <w:rsid w:val="00F317A0"/>
    <w:rsid w:val="00F31B10"/>
    <w:rsid w:val="00F32D53"/>
    <w:rsid w:val="00F3391E"/>
    <w:rsid w:val="00F35892"/>
    <w:rsid w:val="00F361EE"/>
    <w:rsid w:val="00F408D6"/>
    <w:rsid w:val="00F415A3"/>
    <w:rsid w:val="00F42033"/>
    <w:rsid w:val="00F433DF"/>
    <w:rsid w:val="00F44362"/>
    <w:rsid w:val="00F44579"/>
    <w:rsid w:val="00F473D7"/>
    <w:rsid w:val="00F5045F"/>
    <w:rsid w:val="00F5159E"/>
    <w:rsid w:val="00F51731"/>
    <w:rsid w:val="00F52687"/>
    <w:rsid w:val="00F52F54"/>
    <w:rsid w:val="00F5434A"/>
    <w:rsid w:val="00F55B42"/>
    <w:rsid w:val="00F56A77"/>
    <w:rsid w:val="00F5706D"/>
    <w:rsid w:val="00F576C4"/>
    <w:rsid w:val="00F57970"/>
    <w:rsid w:val="00F60231"/>
    <w:rsid w:val="00F60486"/>
    <w:rsid w:val="00F62B36"/>
    <w:rsid w:val="00F63339"/>
    <w:rsid w:val="00F64C33"/>
    <w:rsid w:val="00F67D05"/>
    <w:rsid w:val="00F70CFF"/>
    <w:rsid w:val="00F70F38"/>
    <w:rsid w:val="00F73DAD"/>
    <w:rsid w:val="00F74DCE"/>
    <w:rsid w:val="00F75344"/>
    <w:rsid w:val="00F75DB2"/>
    <w:rsid w:val="00F76E6A"/>
    <w:rsid w:val="00F77351"/>
    <w:rsid w:val="00F8062D"/>
    <w:rsid w:val="00F83F39"/>
    <w:rsid w:val="00F8505C"/>
    <w:rsid w:val="00F85086"/>
    <w:rsid w:val="00F86186"/>
    <w:rsid w:val="00F868C0"/>
    <w:rsid w:val="00F90317"/>
    <w:rsid w:val="00F90A9E"/>
    <w:rsid w:val="00F90C53"/>
    <w:rsid w:val="00F921CF"/>
    <w:rsid w:val="00F932A5"/>
    <w:rsid w:val="00F93B7E"/>
    <w:rsid w:val="00F95106"/>
    <w:rsid w:val="00F961F3"/>
    <w:rsid w:val="00FA0BBA"/>
    <w:rsid w:val="00FA0CFC"/>
    <w:rsid w:val="00FA1EAD"/>
    <w:rsid w:val="00FA1F5F"/>
    <w:rsid w:val="00FA2858"/>
    <w:rsid w:val="00FA3044"/>
    <w:rsid w:val="00FA37D5"/>
    <w:rsid w:val="00FA39CD"/>
    <w:rsid w:val="00FA3ABD"/>
    <w:rsid w:val="00FA3EAB"/>
    <w:rsid w:val="00FA507A"/>
    <w:rsid w:val="00FA6968"/>
    <w:rsid w:val="00FA6D17"/>
    <w:rsid w:val="00FA74EF"/>
    <w:rsid w:val="00FA7D4D"/>
    <w:rsid w:val="00FB0C18"/>
    <w:rsid w:val="00FB4480"/>
    <w:rsid w:val="00FB56CC"/>
    <w:rsid w:val="00FB71AF"/>
    <w:rsid w:val="00FC4C3F"/>
    <w:rsid w:val="00FC6782"/>
    <w:rsid w:val="00FC6EBF"/>
    <w:rsid w:val="00FD0AE5"/>
    <w:rsid w:val="00FD22AD"/>
    <w:rsid w:val="00FD451A"/>
    <w:rsid w:val="00FD47B4"/>
    <w:rsid w:val="00FD5EB4"/>
    <w:rsid w:val="00FE11E3"/>
    <w:rsid w:val="00FE3A8F"/>
    <w:rsid w:val="00FE71FF"/>
    <w:rsid w:val="00FE7B25"/>
    <w:rsid w:val="00FF0EB3"/>
    <w:rsid w:val="00FF2551"/>
    <w:rsid w:val="00FF25A5"/>
    <w:rsid w:val="00FF2AC6"/>
    <w:rsid w:val="00FF2BB3"/>
    <w:rsid w:val="00FF481A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75E4F2"/>
  <w15:docId w15:val="{F8BCB6F4-BF47-4A96-A88E-532B96F3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4821"/>
    <w:pPr>
      <w:overflowPunct w:val="0"/>
      <w:autoSpaceDE w:val="0"/>
      <w:autoSpaceDN w:val="0"/>
      <w:adjustRightInd w:val="0"/>
      <w:spacing w:before="120" w:after="120"/>
      <w:ind w:left="2520"/>
      <w:textAlignment w:val="baseline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34821"/>
    <w:rPr>
      <w:rFonts w:ascii="Arial" w:eastAsia="Times New Roman" w:hAnsi="Arial" w:cs="Arial"/>
      <w:lang w:eastAsia="en-GB"/>
    </w:rPr>
  </w:style>
  <w:style w:type="paragraph" w:styleId="NoSpacing">
    <w:name w:val="No Spacing"/>
    <w:uiPriority w:val="99"/>
    <w:qFormat/>
    <w:rsid w:val="00E3482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2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C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E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F3E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C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2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C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A86A0C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7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A7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9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9F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B1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WTE</a:t>
            </a:r>
            <a:r>
              <a:rPr lang="en-GB" baseline="0"/>
              <a:t> by employment type from Jan 2018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'Summary tables'!$A$5</c:f>
              <c:strCache>
                <c:ptCount val="1"/>
                <c:pt idx="0">
                  <c:v>Permanent WTE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'Summary tables'!$B$4:$N$4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</c:strRef>
          </c:cat>
          <c:val>
            <c:numRef>
              <c:f>'Summary tables'!$B$5:$N$5</c:f>
              <c:numCache>
                <c:formatCode>General</c:formatCode>
                <c:ptCount val="13"/>
                <c:pt idx="0">
                  <c:v>192.26</c:v>
                </c:pt>
                <c:pt idx="1">
                  <c:v>189.85</c:v>
                </c:pt>
                <c:pt idx="2">
                  <c:v>186.72</c:v>
                </c:pt>
                <c:pt idx="3">
                  <c:v>186.72</c:v>
                </c:pt>
                <c:pt idx="4">
                  <c:v>190.92</c:v>
                </c:pt>
                <c:pt idx="5">
                  <c:v>190.92</c:v>
                </c:pt>
                <c:pt idx="6">
                  <c:v>190.91</c:v>
                </c:pt>
                <c:pt idx="7">
                  <c:v>191.41</c:v>
                </c:pt>
                <c:pt idx="8">
                  <c:v>191.49</c:v>
                </c:pt>
                <c:pt idx="9">
                  <c:v>191.49</c:v>
                </c:pt>
                <c:pt idx="10">
                  <c:v>190.49</c:v>
                </c:pt>
                <c:pt idx="11">
                  <c:v>187.75</c:v>
                </c:pt>
                <c:pt idx="12">
                  <c:v>183.75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1-47C4-BE9E-D16505281016}"/>
            </c:ext>
          </c:extLst>
        </c:ser>
        <c:ser>
          <c:idx val="1"/>
          <c:order val="1"/>
          <c:tx>
            <c:strRef>
              <c:f>'Summary tables'!$A$6</c:f>
              <c:strCache>
                <c:ptCount val="1"/>
                <c:pt idx="0">
                  <c:v>Fixed term WTE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'Summary tables'!$B$4:$N$4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</c:strRef>
          </c:cat>
          <c:val>
            <c:numRef>
              <c:f>'Summary tables'!$B$6:$N$6</c:f>
              <c:numCache>
                <c:formatCode>General</c:formatCode>
                <c:ptCount val="13"/>
                <c:pt idx="0">
                  <c:v>15.8</c:v>
                </c:pt>
                <c:pt idx="1">
                  <c:v>14</c:v>
                </c:pt>
                <c:pt idx="2">
                  <c:v>18</c:v>
                </c:pt>
                <c:pt idx="3">
                  <c:v>18</c:v>
                </c:pt>
                <c:pt idx="4">
                  <c:v>12</c:v>
                </c:pt>
                <c:pt idx="5">
                  <c:v>12</c:v>
                </c:pt>
                <c:pt idx="6">
                  <c:v>12.6</c:v>
                </c:pt>
                <c:pt idx="7">
                  <c:v>13.6</c:v>
                </c:pt>
                <c:pt idx="8">
                  <c:v>13.49</c:v>
                </c:pt>
                <c:pt idx="9">
                  <c:v>13.49</c:v>
                </c:pt>
                <c:pt idx="10">
                  <c:v>13.49</c:v>
                </c:pt>
                <c:pt idx="11">
                  <c:v>13.49</c:v>
                </c:pt>
                <c:pt idx="12">
                  <c:v>10.49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F1-47C4-BE9E-D16505281016}"/>
            </c:ext>
          </c:extLst>
        </c:ser>
        <c:ser>
          <c:idx val="2"/>
          <c:order val="2"/>
          <c:tx>
            <c:strRef>
              <c:f>'Summary tables'!$A$7</c:f>
              <c:strCache>
                <c:ptCount val="1"/>
                <c:pt idx="0">
                  <c:v>Bank WTE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'Summary tables'!$B$4:$N$4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</c:strRef>
          </c:cat>
          <c:val>
            <c:numRef>
              <c:f>'Summary tables'!$B$7:$N$7</c:f>
              <c:numCache>
                <c:formatCode>General</c:formatCode>
                <c:ptCount val="13"/>
                <c:pt idx="0">
                  <c:v>0.6</c:v>
                </c:pt>
                <c:pt idx="1">
                  <c:v>0.6</c:v>
                </c:pt>
                <c:pt idx="2">
                  <c:v>0.6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2.2000000000000002</c:v>
                </c:pt>
                <c:pt idx="7">
                  <c:v>1.6</c:v>
                </c:pt>
                <c:pt idx="8">
                  <c:v>2</c:v>
                </c:pt>
                <c:pt idx="9">
                  <c:v>2.2999999999999998</c:v>
                </c:pt>
                <c:pt idx="10">
                  <c:v>2.21</c:v>
                </c:pt>
                <c:pt idx="11">
                  <c:v>1.83</c:v>
                </c:pt>
                <c:pt idx="12">
                  <c:v>1.95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F1-47C4-BE9E-D16505281016}"/>
            </c:ext>
          </c:extLst>
        </c:ser>
        <c:ser>
          <c:idx val="4"/>
          <c:order val="4"/>
          <c:tx>
            <c:strRef>
              <c:f>'Summary tables'!$A$9</c:f>
              <c:strCache>
                <c:ptCount val="1"/>
                <c:pt idx="0">
                  <c:v>Agency WTE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'Summary tables'!$B$4:$N$4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</c:strRef>
          </c:cat>
          <c:val>
            <c:numRef>
              <c:f>'Summary tables'!$B$9:$N$9</c:f>
              <c:numCache>
                <c:formatCode>General</c:formatCode>
                <c:ptCount val="13"/>
                <c:pt idx="0">
                  <c:v>6.75</c:v>
                </c:pt>
                <c:pt idx="1">
                  <c:v>10.65</c:v>
                </c:pt>
                <c:pt idx="2">
                  <c:v>12.03</c:v>
                </c:pt>
                <c:pt idx="3" formatCode="0.00">
                  <c:v>9.08</c:v>
                </c:pt>
                <c:pt idx="4" formatCode="0.00">
                  <c:v>12.65</c:v>
                </c:pt>
                <c:pt idx="5" formatCode="0.00">
                  <c:v>12.65</c:v>
                </c:pt>
                <c:pt idx="6" formatCode="0.00">
                  <c:v>9.7750000000000004</c:v>
                </c:pt>
                <c:pt idx="7" formatCode="0.00">
                  <c:v>8.8506666666666653</c:v>
                </c:pt>
                <c:pt idx="8" formatCode="0.00">
                  <c:v>9.9266666666666659</c:v>
                </c:pt>
                <c:pt idx="9" formatCode="0.00">
                  <c:v>11.7</c:v>
                </c:pt>
                <c:pt idx="10" formatCode="0.00">
                  <c:v>11.872000000000002</c:v>
                </c:pt>
                <c:pt idx="11" formatCode="0.00">
                  <c:v>8.98</c:v>
                </c:pt>
                <c:pt idx="12" formatCode="0.00">
                  <c:v>9.69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F1-47C4-BE9E-D16505281016}"/>
            </c:ext>
          </c:extLst>
        </c:ser>
        <c:ser>
          <c:idx val="5"/>
          <c:order val="5"/>
          <c:tx>
            <c:strRef>
              <c:f>'Summary tables'!$A$10</c:f>
              <c:strCache>
                <c:ptCount val="1"/>
                <c:pt idx="0">
                  <c:v>Secondees WTE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'Summary tables'!$B$4:$N$4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</c:strRef>
          </c:cat>
          <c:val>
            <c:numRef>
              <c:f>'Summary tables'!$B$10:$N$10</c:f>
              <c:numCache>
                <c:formatCode>General</c:formatCode>
                <c:ptCount val="13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1.3</c:v>
                </c:pt>
                <c:pt idx="9">
                  <c:v>1.8</c:v>
                </c:pt>
                <c:pt idx="10">
                  <c:v>1.8</c:v>
                </c:pt>
                <c:pt idx="11">
                  <c:v>1.8</c:v>
                </c:pt>
                <c:pt idx="12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F1-47C4-BE9E-D165052810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9077096"/>
        <c:axId val="569069552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'Summary tables'!$A$8</c15:sqref>
                        </c15:formulaRef>
                      </c:ext>
                    </c:extLst>
                    <c:strCache>
                      <c:ptCount val="1"/>
                      <c:pt idx="0">
                        <c:v>Total via Payroll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'Summary tables'!$B$4:$N$4</c15:sqref>
                        </c15:formulaRef>
                      </c:ext>
                    </c:extLst>
                    <c:strCache>
                      <c:ptCount val="13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  <c:pt idx="12">
                        <c:v>Jan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'Summary tables'!$B$8:$N$8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208.66</c:v>
                      </c:pt>
                      <c:pt idx="1">
                        <c:v>204.45</c:v>
                      </c:pt>
                      <c:pt idx="2">
                        <c:v>205.32</c:v>
                      </c:pt>
                      <c:pt idx="3">
                        <c:v>205.72</c:v>
                      </c:pt>
                      <c:pt idx="4">
                        <c:v>203.92</c:v>
                      </c:pt>
                      <c:pt idx="5">
                        <c:v>203.92</c:v>
                      </c:pt>
                      <c:pt idx="6">
                        <c:v>205.70999999999998</c:v>
                      </c:pt>
                      <c:pt idx="7">
                        <c:v>206.60999999999999</c:v>
                      </c:pt>
                      <c:pt idx="8">
                        <c:v>206.98000000000002</c:v>
                      </c:pt>
                      <c:pt idx="9">
                        <c:v>207.28000000000003</c:v>
                      </c:pt>
                      <c:pt idx="10">
                        <c:v>206.19000000000003</c:v>
                      </c:pt>
                      <c:pt idx="11">
                        <c:v>203.07000000000002</c:v>
                      </c:pt>
                      <c:pt idx="12">
                        <c:v>196.19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B0F1-47C4-BE9E-D16505281016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'Summary tables'!$A$11</c15:sqref>
                        </c15:formulaRef>
                      </c:ext>
                    </c:extLst>
                    <c:strCache>
                      <c:ptCount val="1"/>
                      <c:pt idx="0">
                        <c:v>Total Actual WTE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'Summary tables'!$B$4:$N$4</c15:sqref>
                        </c15:formulaRef>
                      </c:ext>
                    </c:extLst>
                    <c:strCache>
                      <c:ptCount val="13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  <c:pt idx="12">
                        <c:v>Jan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'Summary tables'!$B$11:$N$11</c15:sqref>
                        </c15:formulaRef>
                      </c:ext>
                    </c:extLst>
                    <c:numCache>
                      <c:formatCode>0.00</c:formatCode>
                      <c:ptCount val="13"/>
                      <c:pt idx="0">
                        <c:v>216.21</c:v>
                      </c:pt>
                      <c:pt idx="1">
                        <c:v>215.9</c:v>
                      </c:pt>
                      <c:pt idx="2">
                        <c:v>218.15</c:v>
                      </c:pt>
                      <c:pt idx="3">
                        <c:v>215.60000000000002</c:v>
                      </c:pt>
                      <c:pt idx="4">
                        <c:v>217.37</c:v>
                      </c:pt>
                      <c:pt idx="5">
                        <c:v>217.37</c:v>
                      </c:pt>
                      <c:pt idx="6">
                        <c:v>216.285</c:v>
                      </c:pt>
                      <c:pt idx="7">
                        <c:v>216.26066666666665</c:v>
                      </c:pt>
                      <c:pt idx="8">
                        <c:v>218.20666666666671</c:v>
                      </c:pt>
                      <c:pt idx="9">
                        <c:v>220.78000000000003</c:v>
                      </c:pt>
                      <c:pt idx="10">
                        <c:v>219.86200000000005</c:v>
                      </c:pt>
                      <c:pt idx="11">
                        <c:v>213.85000000000002</c:v>
                      </c:pt>
                      <c:pt idx="12">
                        <c:v>207.68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0F1-47C4-BE9E-D16505281016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'Summary tables'!$A$12</c15:sqref>
                        </c15:formulaRef>
                      </c:ext>
                    </c:extLst>
                    <c:strCache>
                      <c:ptCount val="1"/>
                      <c:pt idx="0">
                        <c:v>Total Budget WTE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'Summary tables'!$B$4:$N$4</c15:sqref>
                        </c15:formulaRef>
                      </c:ext>
                    </c:extLst>
                    <c:strCache>
                      <c:ptCount val="13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  <c:pt idx="12">
                        <c:v>Jan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'Summary tables'!$B$12:$N$12</c15:sqref>
                        </c15:formulaRef>
                      </c:ext>
                    </c:extLst>
                    <c:numCache>
                      <c:formatCode>0.00</c:formatCode>
                      <c:ptCount val="13"/>
                      <c:pt idx="0" formatCode="General">
                        <c:v>219.2</c:v>
                      </c:pt>
                      <c:pt idx="1">
                        <c:v>220.2</c:v>
                      </c:pt>
                      <c:pt idx="2">
                        <c:v>221.2</c:v>
                      </c:pt>
                      <c:pt idx="3">
                        <c:v>223.51</c:v>
                      </c:pt>
                      <c:pt idx="4">
                        <c:v>223.51</c:v>
                      </c:pt>
                      <c:pt idx="5">
                        <c:v>223.51</c:v>
                      </c:pt>
                      <c:pt idx="6">
                        <c:v>222.5</c:v>
                      </c:pt>
                      <c:pt idx="7">
                        <c:v>221.8</c:v>
                      </c:pt>
                      <c:pt idx="8">
                        <c:v>220.6</c:v>
                      </c:pt>
                      <c:pt idx="9">
                        <c:v>220.6</c:v>
                      </c:pt>
                      <c:pt idx="10">
                        <c:v>220.6</c:v>
                      </c:pt>
                      <c:pt idx="11">
                        <c:v>220.6</c:v>
                      </c:pt>
                      <c:pt idx="12">
                        <c:v>220.6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B0F1-47C4-BE9E-D16505281016}"/>
                  </c:ext>
                </c:extLst>
              </c15:ser>
            </c15:filteredBarSeries>
          </c:ext>
        </c:extLst>
      </c:barChart>
      <c:catAx>
        <c:axId val="569077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069552"/>
        <c:crosses val="autoZero"/>
        <c:auto val="1"/>
        <c:lblAlgn val="ctr"/>
        <c:lblOffset val="100"/>
        <c:noMultiLvlLbl val="0"/>
      </c:catAx>
      <c:valAx>
        <c:axId val="56906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0770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154153570309884"/>
          <c:y val="0.12744481158605175"/>
          <c:w val="0.15020257324465267"/>
          <c:h val="0.26684247486142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C856-D1CC-4D0F-8F0C-80611707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Corrigan</dc:creator>
  <cp:lastModifiedBy>Karen Williams</cp:lastModifiedBy>
  <cp:revision>3</cp:revision>
  <cp:lastPrinted>2015-04-24T15:52:00Z</cp:lastPrinted>
  <dcterms:created xsi:type="dcterms:W3CDTF">2019-03-14T12:11:00Z</dcterms:created>
  <dcterms:modified xsi:type="dcterms:W3CDTF">2019-03-14T12:16:00Z</dcterms:modified>
</cp:coreProperties>
</file>