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972" w:rsidRDefault="00673F34" w:rsidP="00AB5972">
      <w:pPr>
        <w:ind w:right="-46"/>
        <w:jc w:val="center"/>
        <w:rPr>
          <w:rFonts w:cs="Arial"/>
          <w:b/>
          <w:sz w:val="28"/>
          <w:szCs w:val="28"/>
        </w:rPr>
      </w:pPr>
      <w:r>
        <w:rPr>
          <w:rFonts w:cs="Arial"/>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5046133</wp:posOffset>
                </wp:positionH>
                <wp:positionV relativeFrom="paragraph">
                  <wp:posOffset>185208</wp:posOffset>
                </wp:positionV>
                <wp:extent cx="687917" cy="474134"/>
                <wp:effectExtent l="0" t="0" r="17145" b="21590"/>
                <wp:wrapNone/>
                <wp:docPr id="2" name="Text Box 2"/>
                <wp:cNvGraphicFramePr/>
                <a:graphic xmlns:a="http://schemas.openxmlformats.org/drawingml/2006/main">
                  <a:graphicData uri="http://schemas.microsoft.com/office/word/2010/wordprocessingShape">
                    <wps:wsp>
                      <wps:cNvSpPr txBox="1"/>
                      <wps:spPr>
                        <a:xfrm>
                          <a:off x="0" y="0"/>
                          <a:ext cx="687917" cy="474134"/>
                        </a:xfrm>
                        <a:prstGeom prst="rect">
                          <a:avLst/>
                        </a:prstGeom>
                        <a:solidFill>
                          <a:schemeClr val="lt1"/>
                        </a:solidFill>
                        <a:ln w="6350">
                          <a:solidFill>
                            <a:prstClr val="black"/>
                          </a:solidFill>
                        </a:ln>
                      </wps:spPr>
                      <wps:txbx>
                        <w:txbxContent>
                          <w:p w:rsidR="00673F34" w:rsidRPr="00673F34" w:rsidRDefault="00673F34">
                            <w:pPr>
                              <w:rPr>
                                <w:b/>
                                <w:sz w:val="44"/>
                              </w:rPr>
                            </w:pPr>
                            <w:r w:rsidRPr="00673F34">
                              <w:rPr>
                                <w:b/>
                                <w:sz w:val="44"/>
                              </w:rPr>
                              <w:t>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35pt;margin-top:14.6pt;width:54.15pt;height:3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" fillcolor="white [3201]" strokeweight=".5pt">
                <v:textbox>
                  <w:txbxContent>
                    <w:p w:rsidR="00673F34" w:rsidRPr="00673F34" w:rsidRDefault="00673F34">
                      <w:pPr>
                        <w:rPr>
                          <w:b/>
                          <w:sz w:val="44"/>
                        </w:rPr>
                      </w:pPr>
                      <w:r w:rsidRPr="00673F34">
                        <w:rPr>
                          <w:b/>
                          <w:sz w:val="44"/>
                        </w:rPr>
                        <w:t>3A</w:t>
                      </w:r>
                    </w:p>
                  </w:txbxContent>
                </v:textbox>
              </v:shape>
            </w:pict>
          </mc:Fallback>
        </mc:AlternateContent>
      </w:r>
      <w:r w:rsidR="00AB5972">
        <w:rPr>
          <w:rFonts w:cs="Arial"/>
          <w:b/>
          <w:sz w:val="28"/>
          <w:szCs w:val="28"/>
        </w:rPr>
        <w:t>HEALTH RESEARCH AUTHORITY</w:t>
      </w:r>
    </w:p>
    <w:p w:rsidR="00AB5972" w:rsidRDefault="00B0392C" w:rsidP="00AB5972">
      <w:pPr>
        <w:ind w:right="-46"/>
        <w:jc w:val="center"/>
        <w:rPr>
          <w:rFonts w:cs="Arial"/>
          <w:b/>
          <w:sz w:val="28"/>
          <w:szCs w:val="28"/>
        </w:rPr>
      </w:pPr>
      <w:r>
        <w:rPr>
          <w:rFonts w:cs="Arial"/>
          <w:b/>
          <w:sz w:val="28"/>
          <w:szCs w:val="28"/>
        </w:rPr>
        <w:t>BOARD</w:t>
      </w:r>
      <w:r w:rsidR="00AB5972">
        <w:rPr>
          <w:rFonts w:cs="Arial"/>
          <w:b/>
          <w:sz w:val="28"/>
          <w:szCs w:val="28"/>
        </w:rPr>
        <w:t xml:space="preserve"> MEETING</w:t>
      </w:r>
    </w:p>
    <w:p w:rsidR="00CA528B" w:rsidRDefault="00CA528B" w:rsidP="00AB5972">
      <w:pPr>
        <w:ind w:right="-46"/>
        <w:jc w:val="center"/>
        <w:rPr>
          <w:rFonts w:cs="Arial"/>
          <w:b/>
          <w:sz w:val="28"/>
          <w:szCs w:val="28"/>
        </w:rPr>
      </w:pPr>
    </w:p>
    <w:p w:rsidR="0056698A" w:rsidRDefault="0056698A" w:rsidP="00AB5972">
      <w:pPr>
        <w:ind w:right="-46"/>
        <w:jc w:val="center"/>
        <w:rPr>
          <w:rFonts w:cs="Arial"/>
          <w:b/>
          <w:sz w:val="28"/>
          <w:szCs w:val="28"/>
        </w:rPr>
      </w:pPr>
      <w:r>
        <w:rPr>
          <w:rFonts w:cs="Arial"/>
          <w:b/>
          <w:sz w:val="28"/>
          <w:szCs w:val="28"/>
        </w:rPr>
        <w:t xml:space="preserve">PART </w:t>
      </w:r>
      <w:r w:rsidR="006B4938">
        <w:rPr>
          <w:rFonts w:cs="Arial"/>
          <w:b/>
          <w:sz w:val="28"/>
          <w:szCs w:val="28"/>
        </w:rPr>
        <w:t>1</w:t>
      </w:r>
      <w:r w:rsidR="000D465B">
        <w:rPr>
          <w:rFonts w:cs="Arial"/>
          <w:b/>
          <w:sz w:val="28"/>
          <w:szCs w:val="28"/>
        </w:rPr>
        <w:t xml:space="preserve"> – </w:t>
      </w:r>
      <w:r w:rsidR="006B4938">
        <w:rPr>
          <w:rFonts w:cs="Arial"/>
          <w:b/>
          <w:sz w:val="28"/>
          <w:szCs w:val="28"/>
        </w:rPr>
        <w:t>PUBLIC</w:t>
      </w:r>
      <w:r w:rsidR="000D465B">
        <w:rPr>
          <w:rFonts w:cs="Arial"/>
          <w:b/>
          <w:sz w:val="28"/>
          <w:szCs w:val="28"/>
        </w:rPr>
        <w:t xml:space="preserve"> SESSION</w:t>
      </w:r>
    </w:p>
    <w:p w:rsidR="00AB5972" w:rsidRDefault="00AB5972" w:rsidP="00AB5972">
      <w:pPr>
        <w:ind w:right="-188"/>
        <w:jc w:val="center"/>
        <w:rPr>
          <w:rFonts w:cs="Arial"/>
          <w:b/>
          <w:sz w:val="28"/>
          <w:szCs w:val="28"/>
        </w:rPr>
      </w:pPr>
      <w:bookmarkStart w:id="0" w:name="_GoBack"/>
      <w:bookmarkEnd w:id="0"/>
    </w:p>
    <w:p w:rsidR="0010538B" w:rsidRPr="00C84360" w:rsidRDefault="0010538B" w:rsidP="0010538B">
      <w:pPr>
        <w:ind w:right="-188"/>
        <w:jc w:val="center"/>
        <w:rPr>
          <w:rFonts w:cs="Arial"/>
          <w:b/>
          <w:sz w:val="28"/>
          <w:szCs w:val="28"/>
        </w:rPr>
      </w:pPr>
      <w:r>
        <w:rPr>
          <w:rFonts w:cs="Arial"/>
          <w:b/>
          <w:sz w:val="28"/>
          <w:szCs w:val="28"/>
        </w:rPr>
        <w:t xml:space="preserve">Draft </w:t>
      </w:r>
      <w:r w:rsidRPr="00C84360">
        <w:rPr>
          <w:rFonts w:cs="Arial"/>
          <w:b/>
          <w:sz w:val="28"/>
          <w:szCs w:val="28"/>
        </w:rPr>
        <w:t>Minutes of the Health Research Authority</w:t>
      </w:r>
      <w:r>
        <w:rPr>
          <w:rFonts w:cs="Arial"/>
          <w:b/>
          <w:sz w:val="28"/>
          <w:szCs w:val="28"/>
        </w:rPr>
        <w:t xml:space="preserve"> (HRA)</w:t>
      </w:r>
      <w:r w:rsidRPr="00C84360">
        <w:rPr>
          <w:rFonts w:cs="Arial"/>
          <w:b/>
          <w:sz w:val="28"/>
          <w:szCs w:val="28"/>
        </w:rPr>
        <w:t xml:space="preserve"> </w:t>
      </w:r>
      <w:r w:rsidRPr="00AF29A8">
        <w:rPr>
          <w:rFonts w:cs="Arial"/>
          <w:b/>
          <w:sz w:val="28"/>
          <w:szCs w:val="28"/>
        </w:rPr>
        <w:t xml:space="preserve">Board </w:t>
      </w:r>
      <w:r>
        <w:rPr>
          <w:rFonts w:cs="Arial"/>
          <w:b/>
          <w:sz w:val="28"/>
          <w:szCs w:val="28"/>
        </w:rPr>
        <w:t>meeting</w:t>
      </w:r>
      <w:r w:rsidRPr="00C84360">
        <w:rPr>
          <w:rFonts w:cs="Arial"/>
          <w:b/>
          <w:sz w:val="28"/>
          <w:szCs w:val="28"/>
        </w:rPr>
        <w:t xml:space="preserve">, held on </w:t>
      </w:r>
      <w:r w:rsidR="00A216D8">
        <w:rPr>
          <w:rFonts w:cs="Arial"/>
          <w:b/>
          <w:sz w:val="28"/>
          <w:szCs w:val="28"/>
        </w:rPr>
        <w:t>23 January 2019</w:t>
      </w:r>
      <w:r w:rsidR="00D25DCA">
        <w:rPr>
          <w:rFonts w:cs="Arial"/>
          <w:b/>
          <w:sz w:val="28"/>
          <w:szCs w:val="28"/>
        </w:rPr>
        <w:t xml:space="preserve"> </w:t>
      </w:r>
      <w:r w:rsidR="00FA3CCA">
        <w:rPr>
          <w:rFonts w:cs="Arial"/>
          <w:b/>
          <w:sz w:val="28"/>
          <w:szCs w:val="28"/>
        </w:rPr>
        <w:t xml:space="preserve">at </w:t>
      </w:r>
      <w:r w:rsidR="006365BC" w:rsidRPr="00A216D8">
        <w:rPr>
          <w:rFonts w:cs="Arial"/>
          <w:b/>
          <w:sz w:val="28"/>
          <w:szCs w:val="28"/>
        </w:rPr>
        <w:t xml:space="preserve">the </w:t>
      </w:r>
      <w:r w:rsidR="00A216D8" w:rsidRPr="00A216D8">
        <w:rPr>
          <w:b/>
          <w:sz w:val="28"/>
          <w:szCs w:val="28"/>
        </w:rPr>
        <w:t>London HRA Centre, Skipton House, 80 London Road, London, SE1 6LH</w:t>
      </w:r>
    </w:p>
    <w:p w:rsidR="00052A81" w:rsidRDefault="00052A81"/>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397"/>
        <w:gridCol w:w="1039"/>
      </w:tblGrid>
      <w:tr w:rsidR="00AB5972" w:rsidRPr="001657FC" w:rsidTr="003A4715">
        <w:tc>
          <w:tcPr>
            <w:tcW w:w="8356" w:type="dxa"/>
            <w:gridSpan w:val="2"/>
            <w:shd w:val="clear" w:color="auto" w:fill="D9D9D9"/>
          </w:tcPr>
          <w:p w:rsidR="00AB5972" w:rsidRPr="001657FC" w:rsidRDefault="00AB5972" w:rsidP="00DE5765">
            <w:pPr>
              <w:rPr>
                <w:rFonts w:cs="Arial"/>
                <w:b/>
              </w:rPr>
            </w:pPr>
            <w:r w:rsidRPr="001657FC">
              <w:rPr>
                <w:rFonts w:cs="Arial"/>
                <w:b/>
              </w:rPr>
              <w:t>Present</w:t>
            </w:r>
          </w:p>
        </w:tc>
        <w:tc>
          <w:tcPr>
            <w:tcW w:w="1039" w:type="dxa"/>
            <w:shd w:val="clear" w:color="auto" w:fill="D9D9D9"/>
          </w:tcPr>
          <w:p w:rsidR="00AB5972" w:rsidRPr="001657FC" w:rsidRDefault="00AB5972" w:rsidP="00DE5765">
            <w:pPr>
              <w:jc w:val="center"/>
              <w:rPr>
                <w:rFonts w:cs="Arial"/>
                <w:b/>
              </w:rPr>
            </w:pPr>
            <w:r w:rsidRPr="001657FC">
              <w:rPr>
                <w:rFonts w:cs="Arial"/>
                <w:b/>
              </w:rPr>
              <w:t>Initials</w:t>
            </w:r>
          </w:p>
        </w:tc>
      </w:tr>
      <w:tr w:rsidR="00AB5972" w:rsidRPr="000F74E6" w:rsidTr="00712645">
        <w:tc>
          <w:tcPr>
            <w:tcW w:w="8356" w:type="dxa"/>
            <w:gridSpan w:val="2"/>
            <w:tcBorders>
              <w:bottom w:val="single" w:sz="4" w:space="0" w:color="auto"/>
            </w:tcBorders>
            <w:shd w:val="clear" w:color="auto" w:fill="auto"/>
          </w:tcPr>
          <w:p w:rsidR="00046CB0" w:rsidRPr="00C9462A" w:rsidRDefault="00046CB0" w:rsidP="00046CB0">
            <w:pPr>
              <w:rPr>
                <w:highlight w:val="yellow"/>
              </w:rPr>
            </w:pPr>
          </w:p>
          <w:p w:rsidR="00CE3E6B" w:rsidRPr="00E91A2F" w:rsidRDefault="00CE3E6B" w:rsidP="00CE3E6B">
            <w:pPr>
              <w:rPr>
                <w:rFonts w:cs="Arial"/>
                <w:i/>
              </w:rPr>
            </w:pPr>
            <w:r w:rsidRPr="00E91A2F">
              <w:rPr>
                <w:rFonts w:cs="Arial"/>
                <w:i/>
              </w:rPr>
              <w:t>HRA Non-Executive and Executive Directors</w:t>
            </w:r>
          </w:p>
          <w:p w:rsidR="00ED23FC" w:rsidRPr="00E91A2F" w:rsidRDefault="00ED23FC" w:rsidP="00CE3E6B">
            <w:pPr>
              <w:rPr>
                <w:rFonts w:cs="Arial"/>
                <w:i/>
              </w:rPr>
            </w:pPr>
          </w:p>
          <w:p w:rsidR="004B0EE6" w:rsidRPr="00BB0FD1" w:rsidRDefault="004B0EE6" w:rsidP="00B24D55">
            <w:pPr>
              <w:rPr>
                <w:rFonts w:cs="Arial"/>
              </w:rPr>
            </w:pPr>
            <w:r w:rsidRPr="00BB0FD1">
              <w:rPr>
                <w:rFonts w:cs="Arial"/>
              </w:rPr>
              <w:t>Teresa Allen</w:t>
            </w:r>
            <w:r w:rsidRPr="00BB0FD1">
              <w:rPr>
                <w:rFonts w:cs="Arial"/>
              </w:rPr>
              <w:tab/>
            </w:r>
            <w:r w:rsidRPr="00BB0FD1">
              <w:rPr>
                <w:rFonts w:cs="Arial"/>
              </w:rPr>
              <w:tab/>
            </w:r>
            <w:r w:rsidRPr="00BB0FD1">
              <w:rPr>
                <w:rFonts w:cs="Arial"/>
              </w:rPr>
              <w:tab/>
            </w:r>
            <w:r w:rsidR="00AE5815">
              <w:rPr>
                <w:rFonts w:cs="Arial"/>
              </w:rPr>
              <w:tab/>
            </w:r>
            <w:r w:rsidRPr="00BB0FD1">
              <w:rPr>
                <w:rFonts w:cs="Arial"/>
              </w:rPr>
              <w:t>Chief Executive</w:t>
            </w:r>
          </w:p>
          <w:p w:rsidR="009C437F" w:rsidRPr="00BB0FD1" w:rsidRDefault="009C437F" w:rsidP="00CE3E6B">
            <w:pPr>
              <w:rPr>
                <w:rFonts w:cs="Arial"/>
              </w:rPr>
            </w:pPr>
            <w:r w:rsidRPr="00BB0FD1">
              <w:rPr>
                <w:rFonts w:cs="Arial"/>
              </w:rPr>
              <w:t>Graham Clarke</w:t>
            </w:r>
            <w:r w:rsidRPr="00BB0FD1">
              <w:rPr>
                <w:rFonts w:cs="Arial"/>
              </w:rPr>
              <w:tab/>
            </w:r>
            <w:r w:rsidRPr="00BB0FD1">
              <w:rPr>
                <w:rFonts w:cs="Arial"/>
              </w:rPr>
              <w:tab/>
            </w:r>
            <w:r w:rsidRPr="00BB0FD1">
              <w:rPr>
                <w:rFonts w:cs="Arial"/>
              </w:rPr>
              <w:tab/>
            </w:r>
            <w:r w:rsidR="00AE5815">
              <w:rPr>
                <w:rFonts w:cs="Arial"/>
              </w:rPr>
              <w:tab/>
            </w:r>
            <w:r w:rsidRPr="00BB0FD1">
              <w:rPr>
                <w:rFonts w:cs="Arial"/>
              </w:rPr>
              <w:t xml:space="preserve">Non-Executive Director </w:t>
            </w:r>
          </w:p>
          <w:p w:rsidR="00635C5C" w:rsidRPr="00BB0FD1" w:rsidRDefault="00635C5C" w:rsidP="00CE3E6B">
            <w:pPr>
              <w:rPr>
                <w:rFonts w:cs="Arial"/>
              </w:rPr>
            </w:pPr>
            <w:r w:rsidRPr="00BB0FD1">
              <w:rPr>
                <w:rFonts w:cs="Arial"/>
              </w:rPr>
              <w:t>Ian Cook</w:t>
            </w:r>
            <w:r w:rsidRPr="00BB0FD1">
              <w:rPr>
                <w:rFonts w:cs="Arial"/>
              </w:rPr>
              <w:tab/>
            </w:r>
            <w:r w:rsidRPr="00BB0FD1">
              <w:rPr>
                <w:rFonts w:cs="Arial"/>
              </w:rPr>
              <w:tab/>
            </w:r>
            <w:r w:rsidRPr="00BB0FD1">
              <w:rPr>
                <w:rFonts w:cs="Arial"/>
              </w:rPr>
              <w:tab/>
            </w:r>
            <w:r w:rsidR="00AE5815">
              <w:rPr>
                <w:rFonts w:cs="Arial"/>
              </w:rPr>
              <w:tab/>
            </w:r>
            <w:r w:rsidRPr="00BB0FD1">
              <w:rPr>
                <w:rFonts w:cs="Arial"/>
              </w:rPr>
              <w:t xml:space="preserve">Director of </w:t>
            </w:r>
            <w:r w:rsidR="00417899" w:rsidRPr="00BB0FD1">
              <w:rPr>
                <w:rFonts w:cs="Arial"/>
              </w:rPr>
              <w:t xml:space="preserve">Transformation and </w:t>
            </w:r>
            <w:r w:rsidRPr="00BB0FD1">
              <w:rPr>
                <w:rFonts w:cs="Arial"/>
              </w:rPr>
              <w:t>Corporate Services</w:t>
            </w:r>
          </w:p>
          <w:p w:rsidR="00A216D8" w:rsidRDefault="00AE5815" w:rsidP="00A216D8">
            <w:pPr>
              <w:rPr>
                <w:rFonts w:cs="Arial"/>
              </w:rPr>
            </w:pPr>
            <w:r>
              <w:rPr>
                <w:rFonts w:cs="Arial"/>
              </w:rPr>
              <w:t xml:space="preserve">Professor </w:t>
            </w:r>
            <w:r w:rsidR="00A216D8">
              <w:rPr>
                <w:rFonts w:cs="Arial"/>
              </w:rPr>
              <w:t>Andrew George</w:t>
            </w:r>
            <w:r w:rsidR="00A216D8" w:rsidRPr="00BB0FD1">
              <w:rPr>
                <w:rFonts w:cs="Arial"/>
              </w:rPr>
              <w:tab/>
            </w:r>
            <w:r>
              <w:rPr>
                <w:rFonts w:cs="Arial"/>
              </w:rPr>
              <w:tab/>
            </w:r>
            <w:r w:rsidR="00A216D8" w:rsidRPr="00BB0FD1">
              <w:rPr>
                <w:rFonts w:cs="Arial"/>
              </w:rPr>
              <w:t xml:space="preserve">Non-Executive Director </w:t>
            </w:r>
            <w:r w:rsidR="00A216D8" w:rsidRPr="00BB0FD1">
              <w:rPr>
                <w:rFonts w:cs="Arial"/>
              </w:rPr>
              <w:tab/>
            </w:r>
          </w:p>
          <w:p w:rsidR="00A216D8" w:rsidRDefault="00AE5815" w:rsidP="00CE3E6B">
            <w:pPr>
              <w:rPr>
                <w:rFonts w:cs="Arial"/>
              </w:rPr>
            </w:pPr>
            <w:r>
              <w:rPr>
                <w:rFonts w:cs="Arial"/>
              </w:rPr>
              <w:t xml:space="preserve">Dr </w:t>
            </w:r>
            <w:r w:rsidR="00A216D8">
              <w:rPr>
                <w:rFonts w:cs="Arial"/>
              </w:rPr>
              <w:t>Nicole Mather</w:t>
            </w:r>
            <w:r w:rsidR="00A216D8">
              <w:rPr>
                <w:rFonts w:cs="Arial"/>
              </w:rPr>
              <w:tab/>
            </w:r>
            <w:r w:rsidR="00A216D8">
              <w:rPr>
                <w:rFonts w:cs="Arial"/>
              </w:rPr>
              <w:tab/>
            </w:r>
            <w:r>
              <w:rPr>
                <w:rFonts w:cs="Arial"/>
              </w:rPr>
              <w:tab/>
            </w:r>
            <w:r w:rsidR="00A216D8">
              <w:rPr>
                <w:rFonts w:cs="Arial"/>
              </w:rPr>
              <w:t>Non-Executive Director</w:t>
            </w:r>
          </w:p>
          <w:p w:rsidR="00CE3E6B" w:rsidRPr="00BB0FD1" w:rsidRDefault="00AE5815" w:rsidP="00CE3E6B">
            <w:pPr>
              <w:rPr>
                <w:rFonts w:cs="Arial"/>
              </w:rPr>
            </w:pPr>
            <w:r>
              <w:rPr>
                <w:rFonts w:cs="Arial"/>
              </w:rPr>
              <w:t xml:space="preserve">Professor Sir Jonathan Montgomery </w:t>
            </w:r>
            <w:r>
              <w:rPr>
                <w:rFonts w:cs="Arial"/>
              </w:rPr>
              <w:tab/>
            </w:r>
            <w:r w:rsidR="00CE3E6B" w:rsidRPr="00BB0FD1">
              <w:rPr>
                <w:rFonts w:cs="Arial"/>
              </w:rPr>
              <w:t>Chair</w:t>
            </w:r>
          </w:p>
          <w:p w:rsidR="00D25DCA" w:rsidRPr="00BB0FD1" w:rsidRDefault="00D25DCA" w:rsidP="00CE3E6B">
            <w:pPr>
              <w:rPr>
                <w:rFonts w:cs="Arial"/>
              </w:rPr>
            </w:pPr>
            <w:r w:rsidRPr="00BB0FD1">
              <w:rPr>
                <w:rFonts w:cs="Arial"/>
              </w:rPr>
              <w:t>Karen Williams</w:t>
            </w:r>
            <w:r w:rsidRPr="00BB0FD1">
              <w:rPr>
                <w:rFonts w:cs="Arial"/>
              </w:rPr>
              <w:tab/>
            </w:r>
            <w:r w:rsidRPr="00BB0FD1">
              <w:rPr>
                <w:rFonts w:cs="Arial"/>
              </w:rPr>
              <w:tab/>
            </w:r>
            <w:r w:rsidRPr="00BB0FD1">
              <w:rPr>
                <w:rFonts w:cs="Arial"/>
              </w:rPr>
              <w:tab/>
            </w:r>
            <w:r w:rsidR="00AE5815">
              <w:rPr>
                <w:rFonts w:cs="Arial"/>
              </w:rPr>
              <w:tab/>
            </w:r>
            <w:r w:rsidRPr="00BB0FD1">
              <w:rPr>
                <w:rFonts w:cs="Arial"/>
              </w:rPr>
              <w:t>Director of Finance, Procurement and Estates</w:t>
            </w:r>
          </w:p>
          <w:p w:rsidR="00CE3E6B" w:rsidRPr="00BB0FD1" w:rsidRDefault="00CE3E6B" w:rsidP="00CE3E6B">
            <w:pPr>
              <w:rPr>
                <w:rFonts w:cs="Arial"/>
                <w:i/>
              </w:rPr>
            </w:pPr>
          </w:p>
          <w:p w:rsidR="00CE3E6B" w:rsidRPr="00BB0FD1" w:rsidRDefault="00CE3E6B" w:rsidP="00CE3E6B">
            <w:pPr>
              <w:rPr>
                <w:rFonts w:cs="Arial"/>
                <w:i/>
              </w:rPr>
            </w:pPr>
            <w:r w:rsidRPr="00BB0FD1">
              <w:rPr>
                <w:rFonts w:cs="Arial"/>
                <w:i/>
              </w:rPr>
              <w:t xml:space="preserve">HRA Directors who attend the Board </w:t>
            </w:r>
          </w:p>
          <w:p w:rsidR="008F3768" w:rsidRPr="00BB0FD1" w:rsidRDefault="00AE5815" w:rsidP="008F3768">
            <w:pPr>
              <w:rPr>
                <w:rFonts w:cs="Arial"/>
                <w:i/>
              </w:rPr>
            </w:pPr>
            <w:r>
              <w:rPr>
                <w:rFonts w:cs="Arial"/>
              </w:rPr>
              <w:t xml:space="preserve">Dr </w:t>
            </w:r>
            <w:r w:rsidR="008F3768">
              <w:rPr>
                <w:rFonts w:cs="Arial"/>
              </w:rPr>
              <w:t>Janet Messer</w:t>
            </w:r>
            <w:r w:rsidR="008F3768">
              <w:rPr>
                <w:rFonts w:cs="Arial"/>
              </w:rPr>
              <w:tab/>
            </w:r>
            <w:r w:rsidR="008F3768">
              <w:rPr>
                <w:rFonts w:cs="Arial"/>
              </w:rPr>
              <w:tab/>
            </w:r>
            <w:r w:rsidR="008F3768">
              <w:rPr>
                <w:rFonts w:cs="Arial"/>
              </w:rPr>
              <w:tab/>
              <w:t>Director of Approvals Service</w:t>
            </w:r>
            <w:r w:rsidR="008F3768" w:rsidRPr="00BB0FD1">
              <w:rPr>
                <w:rFonts w:cs="Arial"/>
              </w:rPr>
              <w:tab/>
            </w:r>
          </w:p>
          <w:p w:rsidR="00803610" w:rsidRDefault="00803610" w:rsidP="008E0413">
            <w:pPr>
              <w:rPr>
                <w:rFonts w:cs="Arial"/>
              </w:rPr>
            </w:pPr>
            <w:r w:rsidRPr="00BB0FD1">
              <w:rPr>
                <w:rFonts w:cs="Arial"/>
              </w:rPr>
              <w:t>Juliet Tizzard</w:t>
            </w:r>
            <w:r w:rsidRPr="00BB0FD1">
              <w:rPr>
                <w:rFonts w:cs="Arial"/>
              </w:rPr>
              <w:tab/>
            </w:r>
            <w:r w:rsidRPr="00BB0FD1">
              <w:rPr>
                <w:rFonts w:cs="Arial"/>
              </w:rPr>
              <w:tab/>
            </w:r>
            <w:r w:rsidRPr="00BB0FD1">
              <w:rPr>
                <w:rFonts w:cs="Arial"/>
              </w:rPr>
              <w:tab/>
            </w:r>
            <w:r w:rsidR="00AE5815">
              <w:rPr>
                <w:rFonts w:cs="Arial"/>
              </w:rPr>
              <w:tab/>
            </w:r>
            <w:r w:rsidRPr="00BB0FD1">
              <w:rPr>
                <w:rFonts w:cs="Arial"/>
              </w:rPr>
              <w:t>Director of Policy</w:t>
            </w:r>
          </w:p>
          <w:p w:rsidR="00E21FAF" w:rsidRPr="00C9462A" w:rsidRDefault="00E21FAF" w:rsidP="00615D73">
            <w:pPr>
              <w:rPr>
                <w:rFonts w:cs="Arial"/>
                <w:highlight w:val="yellow"/>
              </w:rPr>
            </w:pPr>
          </w:p>
        </w:tc>
        <w:tc>
          <w:tcPr>
            <w:tcW w:w="1039" w:type="dxa"/>
            <w:tcBorders>
              <w:bottom w:val="single" w:sz="4" w:space="0" w:color="auto"/>
            </w:tcBorders>
            <w:shd w:val="clear" w:color="auto" w:fill="auto"/>
          </w:tcPr>
          <w:p w:rsidR="00AB5972" w:rsidRPr="00C9462A" w:rsidRDefault="00AB5972" w:rsidP="00DE5765">
            <w:pPr>
              <w:jc w:val="center"/>
              <w:rPr>
                <w:rFonts w:cs="Arial"/>
                <w:b/>
                <w:highlight w:val="yellow"/>
              </w:rPr>
            </w:pPr>
          </w:p>
          <w:p w:rsidR="000070D4" w:rsidRPr="00C9462A" w:rsidRDefault="000070D4" w:rsidP="005D6CDE">
            <w:pPr>
              <w:jc w:val="center"/>
              <w:rPr>
                <w:rFonts w:cs="Arial"/>
                <w:highlight w:val="yellow"/>
              </w:rPr>
            </w:pPr>
          </w:p>
          <w:p w:rsidR="003A73D2" w:rsidRPr="00C9462A" w:rsidRDefault="003A73D2" w:rsidP="005D6CDE">
            <w:pPr>
              <w:jc w:val="center"/>
              <w:rPr>
                <w:rFonts w:cs="Arial"/>
                <w:highlight w:val="yellow"/>
              </w:rPr>
            </w:pPr>
          </w:p>
          <w:p w:rsidR="004B0EE6" w:rsidRDefault="004B0EE6" w:rsidP="005D6CDE">
            <w:pPr>
              <w:jc w:val="center"/>
              <w:rPr>
                <w:rFonts w:cs="Arial"/>
              </w:rPr>
            </w:pPr>
            <w:r>
              <w:rPr>
                <w:rFonts w:cs="Arial"/>
              </w:rPr>
              <w:t>TA</w:t>
            </w:r>
          </w:p>
          <w:p w:rsidR="009C437F" w:rsidRDefault="009C437F" w:rsidP="005D6CDE">
            <w:pPr>
              <w:jc w:val="center"/>
              <w:rPr>
                <w:rFonts w:cs="Arial"/>
              </w:rPr>
            </w:pPr>
            <w:r>
              <w:rPr>
                <w:rFonts w:cs="Arial"/>
              </w:rPr>
              <w:t>GC</w:t>
            </w:r>
          </w:p>
          <w:p w:rsidR="00635C5C" w:rsidRDefault="00B24D55" w:rsidP="005D6CDE">
            <w:pPr>
              <w:jc w:val="center"/>
              <w:rPr>
                <w:rFonts w:cs="Arial"/>
              </w:rPr>
            </w:pPr>
            <w:r>
              <w:rPr>
                <w:rFonts w:cs="Arial"/>
              </w:rPr>
              <w:t>I</w:t>
            </w:r>
            <w:r w:rsidR="00635C5C" w:rsidRPr="00E91A2F">
              <w:rPr>
                <w:rFonts w:cs="Arial"/>
              </w:rPr>
              <w:t>C</w:t>
            </w:r>
          </w:p>
          <w:p w:rsidR="00920946" w:rsidRDefault="00A216D8" w:rsidP="005D6CDE">
            <w:pPr>
              <w:jc w:val="center"/>
              <w:rPr>
                <w:rFonts w:cs="Arial"/>
              </w:rPr>
            </w:pPr>
            <w:r>
              <w:rPr>
                <w:rFonts w:cs="Arial"/>
              </w:rPr>
              <w:t>AG</w:t>
            </w:r>
          </w:p>
          <w:p w:rsidR="004E1AAE" w:rsidRDefault="00A216D8" w:rsidP="005D6CDE">
            <w:pPr>
              <w:jc w:val="center"/>
              <w:rPr>
                <w:rFonts w:cs="Arial"/>
              </w:rPr>
            </w:pPr>
            <w:r>
              <w:rPr>
                <w:rFonts w:cs="Arial"/>
              </w:rPr>
              <w:t>NM</w:t>
            </w:r>
          </w:p>
          <w:p w:rsidR="00CE3E6B" w:rsidRDefault="00CE3E6B" w:rsidP="005D6CDE">
            <w:pPr>
              <w:jc w:val="center"/>
              <w:rPr>
                <w:rFonts w:cs="Arial"/>
              </w:rPr>
            </w:pPr>
            <w:r w:rsidRPr="00E91A2F">
              <w:rPr>
                <w:rFonts w:cs="Arial"/>
              </w:rPr>
              <w:t>JM</w:t>
            </w:r>
            <w:r w:rsidR="00552590" w:rsidRPr="00E91A2F">
              <w:rPr>
                <w:rFonts w:cs="Arial"/>
              </w:rPr>
              <w:t>o</w:t>
            </w:r>
          </w:p>
          <w:p w:rsidR="00CE3E6B" w:rsidRDefault="00D25DCA" w:rsidP="005D6CDE">
            <w:pPr>
              <w:jc w:val="center"/>
              <w:rPr>
                <w:rFonts w:cs="Arial"/>
              </w:rPr>
            </w:pPr>
            <w:r>
              <w:rPr>
                <w:rFonts w:cs="Arial"/>
              </w:rPr>
              <w:t>KW</w:t>
            </w:r>
          </w:p>
          <w:p w:rsidR="00702354" w:rsidRDefault="00702354" w:rsidP="005D6CDE">
            <w:pPr>
              <w:jc w:val="center"/>
              <w:rPr>
                <w:rFonts w:cs="Arial"/>
              </w:rPr>
            </w:pPr>
          </w:p>
          <w:p w:rsidR="00D2191C" w:rsidRDefault="00D2191C" w:rsidP="005D6CDE">
            <w:pPr>
              <w:jc w:val="center"/>
              <w:rPr>
                <w:rFonts w:cs="Arial"/>
              </w:rPr>
            </w:pPr>
          </w:p>
          <w:p w:rsidR="008F3768" w:rsidRDefault="008F3768" w:rsidP="005D6CDE">
            <w:pPr>
              <w:jc w:val="center"/>
              <w:rPr>
                <w:rFonts w:cs="Arial"/>
              </w:rPr>
            </w:pPr>
            <w:r>
              <w:rPr>
                <w:rFonts w:cs="Arial"/>
              </w:rPr>
              <w:t>JMe</w:t>
            </w:r>
          </w:p>
          <w:p w:rsidR="00803610" w:rsidRPr="00C9462A" w:rsidRDefault="00803610" w:rsidP="005D6CDE">
            <w:pPr>
              <w:jc w:val="center"/>
              <w:rPr>
                <w:rFonts w:cs="Arial"/>
                <w:highlight w:val="yellow"/>
              </w:rPr>
            </w:pPr>
            <w:r>
              <w:rPr>
                <w:rFonts w:cs="Arial"/>
              </w:rPr>
              <w:t>JT</w:t>
            </w:r>
          </w:p>
          <w:p w:rsidR="00635C5C" w:rsidRPr="00C9462A" w:rsidRDefault="00635C5C" w:rsidP="00615D73">
            <w:pPr>
              <w:jc w:val="center"/>
              <w:rPr>
                <w:rFonts w:cs="Arial"/>
                <w:highlight w:val="yellow"/>
              </w:rPr>
            </w:pPr>
          </w:p>
        </w:tc>
      </w:tr>
      <w:tr w:rsidR="00712645" w:rsidRPr="000F74E6" w:rsidTr="00712645">
        <w:tc>
          <w:tcPr>
            <w:tcW w:w="8356" w:type="dxa"/>
            <w:gridSpan w:val="2"/>
            <w:tcBorders>
              <w:bottom w:val="single" w:sz="4" w:space="0" w:color="auto"/>
            </w:tcBorders>
            <w:shd w:val="clear" w:color="auto" w:fill="D9D9D9" w:themeFill="background1" w:themeFillShade="D9"/>
          </w:tcPr>
          <w:p w:rsidR="00712645" w:rsidRPr="00712645" w:rsidRDefault="00712645" w:rsidP="00046CB0">
            <w:pPr>
              <w:rPr>
                <w:b/>
              </w:rPr>
            </w:pPr>
            <w:r w:rsidRPr="00712645">
              <w:rPr>
                <w:b/>
              </w:rPr>
              <w:t>In attendance</w:t>
            </w:r>
          </w:p>
        </w:tc>
        <w:tc>
          <w:tcPr>
            <w:tcW w:w="1039" w:type="dxa"/>
            <w:tcBorders>
              <w:bottom w:val="single" w:sz="4" w:space="0" w:color="auto"/>
            </w:tcBorders>
            <w:shd w:val="clear" w:color="auto" w:fill="D9D9D9" w:themeFill="background1" w:themeFillShade="D9"/>
          </w:tcPr>
          <w:p w:rsidR="00712645" w:rsidRPr="000F74E6" w:rsidRDefault="00712645" w:rsidP="00DE5765">
            <w:pPr>
              <w:jc w:val="center"/>
              <w:rPr>
                <w:rFonts w:cs="Arial"/>
                <w:b/>
              </w:rPr>
            </w:pPr>
          </w:p>
        </w:tc>
      </w:tr>
      <w:tr w:rsidR="00712645" w:rsidRPr="000F74E6" w:rsidTr="009A0FF9">
        <w:tc>
          <w:tcPr>
            <w:tcW w:w="8356" w:type="dxa"/>
            <w:gridSpan w:val="2"/>
            <w:tcBorders>
              <w:bottom w:val="single" w:sz="4" w:space="0" w:color="auto"/>
            </w:tcBorders>
            <w:shd w:val="clear" w:color="auto" w:fill="auto"/>
          </w:tcPr>
          <w:p w:rsidR="00712645" w:rsidRPr="006365BC" w:rsidRDefault="00712645" w:rsidP="00046CB0"/>
          <w:p w:rsidR="00237F9D" w:rsidRPr="00DB4E58" w:rsidRDefault="00237F9D" w:rsidP="00237F9D">
            <w:pPr>
              <w:rPr>
                <w:i/>
              </w:rPr>
            </w:pPr>
            <w:r w:rsidRPr="00C571BC">
              <w:t>Bill Davidson</w:t>
            </w:r>
            <w:r w:rsidRPr="00C571BC">
              <w:tab/>
            </w:r>
            <w:r w:rsidRPr="00C571BC">
              <w:tab/>
            </w:r>
            <w:r w:rsidRPr="00C571BC">
              <w:tab/>
              <w:t>Joint Head of Policy</w:t>
            </w:r>
            <w:r w:rsidR="00DB4E58">
              <w:tab/>
            </w:r>
            <w:r w:rsidR="00DB4E58">
              <w:tab/>
            </w:r>
            <w:r w:rsidR="00DB4E58">
              <w:rPr>
                <w:i/>
              </w:rPr>
              <w:t>(in part, item 9 only)</w:t>
            </w:r>
          </w:p>
          <w:p w:rsidR="006365BC" w:rsidRPr="00C571BC" w:rsidRDefault="006365BC" w:rsidP="00046CB0">
            <w:r w:rsidRPr="00C571BC">
              <w:t>Stephen Tebbutt</w:t>
            </w:r>
            <w:r w:rsidRPr="00C571BC">
              <w:tab/>
            </w:r>
            <w:r w:rsidRPr="00C571BC">
              <w:tab/>
              <w:t>Head of Corporate Governance &amp; Risk</w:t>
            </w:r>
          </w:p>
          <w:p w:rsidR="00C571BC" w:rsidRPr="00452775" w:rsidRDefault="00C571BC" w:rsidP="00237F9D">
            <w:pPr>
              <w:rPr>
                <w:highlight w:val="yellow"/>
              </w:rPr>
            </w:pPr>
          </w:p>
        </w:tc>
        <w:tc>
          <w:tcPr>
            <w:tcW w:w="1039" w:type="dxa"/>
            <w:tcBorders>
              <w:bottom w:val="single" w:sz="4" w:space="0" w:color="auto"/>
            </w:tcBorders>
            <w:shd w:val="clear" w:color="auto" w:fill="auto"/>
          </w:tcPr>
          <w:p w:rsidR="00984899" w:rsidRDefault="00984899" w:rsidP="00225D1B">
            <w:pPr>
              <w:jc w:val="center"/>
              <w:rPr>
                <w:rFonts w:cs="Arial"/>
              </w:rPr>
            </w:pPr>
          </w:p>
          <w:p w:rsidR="00237F9D" w:rsidRDefault="00237F9D" w:rsidP="006365BC">
            <w:pPr>
              <w:jc w:val="center"/>
              <w:rPr>
                <w:rFonts w:cs="Arial"/>
              </w:rPr>
            </w:pPr>
            <w:r>
              <w:rPr>
                <w:rFonts w:cs="Arial"/>
              </w:rPr>
              <w:t>BD</w:t>
            </w:r>
          </w:p>
          <w:p w:rsidR="008E0413" w:rsidRDefault="006365BC" w:rsidP="006365BC">
            <w:pPr>
              <w:jc w:val="center"/>
              <w:rPr>
                <w:rFonts w:cs="Arial"/>
              </w:rPr>
            </w:pPr>
            <w:r>
              <w:rPr>
                <w:rFonts w:cs="Arial"/>
              </w:rPr>
              <w:t>ST</w:t>
            </w:r>
          </w:p>
          <w:p w:rsidR="00C571BC" w:rsidRPr="009A6689" w:rsidRDefault="00C571BC" w:rsidP="006365BC">
            <w:pPr>
              <w:jc w:val="center"/>
              <w:rPr>
                <w:rFonts w:cs="Arial"/>
              </w:rPr>
            </w:pPr>
          </w:p>
        </w:tc>
      </w:tr>
      <w:tr w:rsidR="004D3862" w:rsidRPr="000F74E6" w:rsidTr="009F5AF1">
        <w:tc>
          <w:tcPr>
            <w:tcW w:w="9395" w:type="dxa"/>
            <w:gridSpan w:val="3"/>
            <w:tcBorders>
              <w:bottom w:val="single" w:sz="4" w:space="0" w:color="auto"/>
            </w:tcBorders>
            <w:shd w:val="clear" w:color="auto" w:fill="D9D9D9" w:themeFill="background1" w:themeFillShade="D9"/>
          </w:tcPr>
          <w:p w:rsidR="004D3862" w:rsidRPr="00E24303" w:rsidRDefault="004D3862" w:rsidP="004D3862">
            <w:pPr>
              <w:rPr>
                <w:rFonts w:cs="Arial"/>
              </w:rPr>
            </w:pPr>
            <w:r w:rsidRPr="00E24303">
              <w:rPr>
                <w:rFonts w:cs="Arial"/>
                <w:b/>
              </w:rPr>
              <w:t>Observers</w:t>
            </w:r>
          </w:p>
        </w:tc>
      </w:tr>
      <w:tr w:rsidR="005A67E6" w:rsidRPr="000F74E6" w:rsidTr="00AE1D87">
        <w:tc>
          <w:tcPr>
            <w:tcW w:w="9395" w:type="dxa"/>
            <w:gridSpan w:val="3"/>
            <w:tcBorders>
              <w:bottom w:val="single" w:sz="4" w:space="0" w:color="auto"/>
            </w:tcBorders>
            <w:shd w:val="clear" w:color="auto" w:fill="auto"/>
          </w:tcPr>
          <w:p w:rsidR="00576B29" w:rsidRDefault="00576B29" w:rsidP="00D53410">
            <w:pPr>
              <w:rPr>
                <w:rFonts w:cs="Arial"/>
              </w:rPr>
            </w:pPr>
          </w:p>
          <w:p w:rsidR="00C571BC" w:rsidRDefault="00C571BC" w:rsidP="00D53410">
            <w:pPr>
              <w:rPr>
                <w:rFonts w:cs="Arial"/>
              </w:rPr>
            </w:pPr>
            <w:r>
              <w:rPr>
                <w:rFonts w:cs="Arial"/>
              </w:rPr>
              <w:t>Christine Holmes, DHSC</w:t>
            </w:r>
          </w:p>
          <w:p w:rsidR="00D9619F" w:rsidRPr="00E24303" w:rsidRDefault="00D9619F" w:rsidP="00A216D8">
            <w:pPr>
              <w:rPr>
                <w:rFonts w:cs="Arial"/>
              </w:rPr>
            </w:pPr>
          </w:p>
        </w:tc>
      </w:tr>
      <w:tr w:rsidR="004722F7" w:rsidRPr="001657FC" w:rsidTr="003A4715">
        <w:trPr>
          <w:trHeight w:val="295"/>
        </w:trPr>
        <w:tc>
          <w:tcPr>
            <w:tcW w:w="959" w:type="dxa"/>
            <w:tcBorders>
              <w:bottom w:val="single" w:sz="4" w:space="0" w:color="auto"/>
            </w:tcBorders>
            <w:shd w:val="clear" w:color="auto" w:fill="D9D9D9"/>
          </w:tcPr>
          <w:p w:rsidR="004722F7" w:rsidRPr="001657FC" w:rsidRDefault="004722F7" w:rsidP="00DE5765">
            <w:pPr>
              <w:jc w:val="center"/>
              <w:rPr>
                <w:rFonts w:cs="Arial"/>
                <w:b/>
              </w:rPr>
            </w:pPr>
            <w:r w:rsidRPr="001657FC">
              <w:rPr>
                <w:rFonts w:cs="Arial"/>
                <w:b/>
              </w:rPr>
              <w:t>Item</w:t>
            </w:r>
          </w:p>
        </w:tc>
        <w:tc>
          <w:tcPr>
            <w:tcW w:w="7397" w:type="dxa"/>
            <w:tcBorders>
              <w:bottom w:val="single" w:sz="4" w:space="0" w:color="auto"/>
            </w:tcBorders>
            <w:shd w:val="clear" w:color="auto" w:fill="D9D9D9"/>
          </w:tcPr>
          <w:p w:rsidR="004722F7" w:rsidRPr="001657FC" w:rsidRDefault="004722F7" w:rsidP="00DE5765">
            <w:pPr>
              <w:rPr>
                <w:rFonts w:cs="Arial"/>
                <w:b/>
              </w:rPr>
            </w:pPr>
            <w:r w:rsidRPr="001657FC">
              <w:rPr>
                <w:rFonts w:cs="Arial"/>
                <w:b/>
              </w:rPr>
              <w:t>Item details</w:t>
            </w:r>
          </w:p>
        </w:tc>
        <w:tc>
          <w:tcPr>
            <w:tcW w:w="1039" w:type="dxa"/>
            <w:tcBorders>
              <w:bottom w:val="single" w:sz="4" w:space="0" w:color="auto"/>
            </w:tcBorders>
            <w:shd w:val="clear" w:color="auto" w:fill="D9D9D9"/>
          </w:tcPr>
          <w:p w:rsidR="004722F7" w:rsidRPr="001657FC" w:rsidRDefault="004722F7" w:rsidP="00DE5765">
            <w:pPr>
              <w:jc w:val="center"/>
              <w:rPr>
                <w:rFonts w:cs="Arial"/>
                <w:b/>
              </w:rPr>
            </w:pPr>
            <w:r w:rsidRPr="001657FC">
              <w:rPr>
                <w:rFonts w:cs="Arial"/>
                <w:b/>
              </w:rPr>
              <w:t>Action</w:t>
            </w:r>
          </w:p>
        </w:tc>
      </w:tr>
      <w:tr w:rsidR="000F3960" w:rsidRPr="001657FC" w:rsidTr="003A4715">
        <w:trPr>
          <w:trHeight w:val="295"/>
        </w:trPr>
        <w:tc>
          <w:tcPr>
            <w:tcW w:w="959" w:type="dxa"/>
            <w:shd w:val="clear" w:color="auto" w:fill="auto"/>
          </w:tcPr>
          <w:p w:rsidR="000F3960" w:rsidRPr="00E91A2F" w:rsidRDefault="000F3960" w:rsidP="00B205DF">
            <w:pPr>
              <w:numPr>
                <w:ilvl w:val="0"/>
                <w:numId w:val="1"/>
              </w:numPr>
              <w:rPr>
                <w:rFonts w:cs="Arial"/>
                <w:b/>
              </w:rPr>
            </w:pPr>
          </w:p>
        </w:tc>
        <w:tc>
          <w:tcPr>
            <w:tcW w:w="7397" w:type="dxa"/>
            <w:shd w:val="clear" w:color="auto" w:fill="auto"/>
          </w:tcPr>
          <w:p w:rsidR="00920946" w:rsidRPr="00A72DCD" w:rsidRDefault="00A72DCD" w:rsidP="00A72DCD">
            <w:pPr>
              <w:rPr>
                <w:rFonts w:cs="Arial"/>
                <w:b/>
              </w:rPr>
            </w:pPr>
            <w:r w:rsidRPr="00A72DCD">
              <w:rPr>
                <w:rFonts w:cs="Arial"/>
                <w:b/>
              </w:rPr>
              <w:t>Welcome and introductions</w:t>
            </w:r>
          </w:p>
          <w:p w:rsidR="00A72DCD" w:rsidRDefault="00A72DCD" w:rsidP="00A72DCD">
            <w:pPr>
              <w:rPr>
                <w:rFonts w:cs="Arial"/>
              </w:rPr>
            </w:pPr>
          </w:p>
          <w:p w:rsidR="00A72DCD" w:rsidRDefault="00D9580B" w:rsidP="00A72DCD">
            <w:pPr>
              <w:rPr>
                <w:rFonts w:cs="Arial"/>
              </w:rPr>
            </w:pPr>
            <w:r>
              <w:rPr>
                <w:rFonts w:cs="Arial"/>
              </w:rPr>
              <w:t>JMo welcomed AG and NM to their first HRA Board meeting as new Non-Executive Directors (NEDs). JMo confirmed HRA staff had been informed of the new appointments via HRA News with a public announcement to be made tomorrow on the HRA website. JMo advised the third new NED would be announced shortly.</w:t>
            </w:r>
          </w:p>
          <w:p w:rsidR="00D9580B" w:rsidRPr="00702354" w:rsidRDefault="00D9580B" w:rsidP="00A72DCD">
            <w:pPr>
              <w:rPr>
                <w:rFonts w:cs="Arial"/>
              </w:rPr>
            </w:pPr>
          </w:p>
        </w:tc>
        <w:tc>
          <w:tcPr>
            <w:tcW w:w="1039" w:type="dxa"/>
            <w:shd w:val="clear" w:color="auto" w:fill="auto"/>
          </w:tcPr>
          <w:p w:rsidR="000F3960" w:rsidRPr="001657FC" w:rsidRDefault="000F3960" w:rsidP="00DE5765">
            <w:pPr>
              <w:jc w:val="center"/>
              <w:rPr>
                <w:rFonts w:cs="Arial"/>
                <w:b/>
              </w:rPr>
            </w:pPr>
          </w:p>
        </w:tc>
      </w:tr>
      <w:tr w:rsidR="00A72DCD" w:rsidRPr="001657FC" w:rsidTr="003A4715">
        <w:trPr>
          <w:trHeight w:val="295"/>
        </w:trPr>
        <w:tc>
          <w:tcPr>
            <w:tcW w:w="959" w:type="dxa"/>
            <w:shd w:val="clear" w:color="auto" w:fill="auto"/>
          </w:tcPr>
          <w:p w:rsidR="00A72DCD" w:rsidRPr="00E91A2F" w:rsidRDefault="00A72DCD" w:rsidP="00B205DF">
            <w:pPr>
              <w:numPr>
                <w:ilvl w:val="0"/>
                <w:numId w:val="1"/>
              </w:numPr>
              <w:rPr>
                <w:rFonts w:cs="Arial"/>
                <w:b/>
              </w:rPr>
            </w:pPr>
          </w:p>
        </w:tc>
        <w:tc>
          <w:tcPr>
            <w:tcW w:w="7397" w:type="dxa"/>
            <w:shd w:val="clear" w:color="auto" w:fill="auto"/>
          </w:tcPr>
          <w:p w:rsidR="00A72DCD" w:rsidRDefault="00A72DCD" w:rsidP="00A72DCD">
            <w:pPr>
              <w:rPr>
                <w:rFonts w:cs="Arial"/>
                <w:b/>
              </w:rPr>
            </w:pPr>
            <w:r>
              <w:rPr>
                <w:rFonts w:cs="Arial"/>
                <w:b/>
              </w:rPr>
              <w:t>Apologies</w:t>
            </w:r>
          </w:p>
          <w:p w:rsidR="00A72DCD" w:rsidRDefault="00A72DCD" w:rsidP="00A72DCD">
            <w:pPr>
              <w:rPr>
                <w:rFonts w:cs="Arial"/>
                <w:b/>
              </w:rPr>
            </w:pPr>
          </w:p>
          <w:p w:rsidR="00A72DCD" w:rsidRPr="004F3984" w:rsidRDefault="00A72DCD" w:rsidP="00A72DCD">
            <w:pPr>
              <w:rPr>
                <w:rFonts w:cs="Arial"/>
              </w:rPr>
            </w:pPr>
            <w:r w:rsidRPr="004F3984">
              <w:rPr>
                <w:rFonts w:cs="Arial"/>
              </w:rPr>
              <w:t>None</w:t>
            </w:r>
            <w:r>
              <w:rPr>
                <w:rFonts w:cs="Arial"/>
              </w:rPr>
              <w:t xml:space="preserve"> to note</w:t>
            </w:r>
          </w:p>
          <w:p w:rsidR="00A72DCD" w:rsidRDefault="00A72DCD" w:rsidP="00706F51">
            <w:pPr>
              <w:rPr>
                <w:rFonts w:cs="Arial"/>
                <w:b/>
              </w:rPr>
            </w:pPr>
          </w:p>
        </w:tc>
        <w:tc>
          <w:tcPr>
            <w:tcW w:w="1039" w:type="dxa"/>
            <w:shd w:val="clear" w:color="auto" w:fill="auto"/>
          </w:tcPr>
          <w:p w:rsidR="00A72DCD" w:rsidRPr="001657FC" w:rsidRDefault="00A72DCD" w:rsidP="00DE5765">
            <w:pPr>
              <w:jc w:val="center"/>
              <w:rPr>
                <w:rFonts w:cs="Arial"/>
                <w:b/>
              </w:rPr>
            </w:pPr>
          </w:p>
        </w:tc>
      </w:tr>
      <w:tr w:rsidR="000F3960" w:rsidRPr="001657FC" w:rsidTr="003A4715">
        <w:trPr>
          <w:trHeight w:val="295"/>
        </w:trPr>
        <w:tc>
          <w:tcPr>
            <w:tcW w:w="959" w:type="dxa"/>
            <w:shd w:val="clear" w:color="auto" w:fill="auto"/>
          </w:tcPr>
          <w:p w:rsidR="000F3960" w:rsidRPr="001657FC" w:rsidRDefault="000F3960" w:rsidP="00B205DF">
            <w:pPr>
              <w:numPr>
                <w:ilvl w:val="0"/>
                <w:numId w:val="1"/>
              </w:numPr>
              <w:rPr>
                <w:rFonts w:cs="Arial"/>
                <w:b/>
              </w:rPr>
            </w:pPr>
          </w:p>
        </w:tc>
        <w:tc>
          <w:tcPr>
            <w:tcW w:w="7397" w:type="dxa"/>
            <w:shd w:val="clear" w:color="auto" w:fill="auto"/>
          </w:tcPr>
          <w:p w:rsidR="000F3960" w:rsidRDefault="000F3960" w:rsidP="006C1268">
            <w:pPr>
              <w:rPr>
                <w:rFonts w:cs="Arial"/>
                <w:b/>
              </w:rPr>
            </w:pPr>
            <w:r w:rsidRPr="00EE0650">
              <w:rPr>
                <w:rFonts w:cs="Arial"/>
                <w:b/>
              </w:rPr>
              <w:t>Conflicts of interest</w:t>
            </w:r>
          </w:p>
          <w:p w:rsidR="000F3960" w:rsidRDefault="000F3960" w:rsidP="006C1268">
            <w:pPr>
              <w:rPr>
                <w:rFonts w:cs="Arial"/>
                <w:b/>
              </w:rPr>
            </w:pPr>
          </w:p>
          <w:p w:rsidR="00DE4F4E" w:rsidRDefault="00494320" w:rsidP="00706F51">
            <w:pPr>
              <w:rPr>
                <w:rFonts w:cs="Arial"/>
              </w:rPr>
            </w:pPr>
            <w:r>
              <w:rPr>
                <w:rFonts w:cs="Arial"/>
              </w:rPr>
              <w:lastRenderedPageBreak/>
              <w:t>None to note</w:t>
            </w:r>
            <w:r w:rsidR="00D9580B">
              <w:rPr>
                <w:rFonts w:cs="Arial"/>
              </w:rPr>
              <w:t>. The Board noted the new NEDs would need to complete a declaration of interest form in due course. Any declarations would be published on the HRA website.</w:t>
            </w:r>
          </w:p>
          <w:p w:rsidR="00494320" w:rsidRPr="00326203" w:rsidRDefault="00494320" w:rsidP="00706F51">
            <w:pPr>
              <w:rPr>
                <w:rFonts w:cs="Arial"/>
              </w:rPr>
            </w:pPr>
          </w:p>
        </w:tc>
        <w:tc>
          <w:tcPr>
            <w:tcW w:w="1039" w:type="dxa"/>
            <w:shd w:val="clear" w:color="auto" w:fill="auto"/>
          </w:tcPr>
          <w:p w:rsidR="000F3960" w:rsidRPr="001657FC" w:rsidRDefault="000F3960" w:rsidP="00DE5765">
            <w:pPr>
              <w:jc w:val="center"/>
              <w:rPr>
                <w:rFonts w:cs="Arial"/>
                <w:b/>
              </w:rPr>
            </w:pPr>
          </w:p>
        </w:tc>
      </w:tr>
      <w:tr w:rsidR="000F3960" w:rsidRPr="001657FC" w:rsidTr="003A4715">
        <w:trPr>
          <w:trHeight w:val="295"/>
        </w:trPr>
        <w:tc>
          <w:tcPr>
            <w:tcW w:w="959" w:type="dxa"/>
            <w:shd w:val="clear" w:color="auto" w:fill="auto"/>
          </w:tcPr>
          <w:p w:rsidR="000F3960" w:rsidRPr="001657FC" w:rsidRDefault="000F3960" w:rsidP="00B205DF">
            <w:pPr>
              <w:numPr>
                <w:ilvl w:val="0"/>
                <w:numId w:val="1"/>
              </w:numPr>
              <w:rPr>
                <w:rFonts w:cs="Arial"/>
                <w:b/>
              </w:rPr>
            </w:pPr>
          </w:p>
        </w:tc>
        <w:tc>
          <w:tcPr>
            <w:tcW w:w="7397" w:type="dxa"/>
            <w:shd w:val="clear" w:color="auto" w:fill="auto"/>
          </w:tcPr>
          <w:p w:rsidR="000F3960" w:rsidRPr="00EE0650" w:rsidRDefault="000F3960" w:rsidP="006C1268">
            <w:pPr>
              <w:rPr>
                <w:rFonts w:cs="Arial"/>
                <w:b/>
              </w:rPr>
            </w:pPr>
            <w:r w:rsidRPr="00EE0650">
              <w:rPr>
                <w:rFonts w:cs="Arial"/>
                <w:b/>
              </w:rPr>
              <w:t>Minutes of last meeting</w:t>
            </w:r>
          </w:p>
          <w:p w:rsidR="000F3960" w:rsidRDefault="000F3960" w:rsidP="006C1268">
            <w:pPr>
              <w:rPr>
                <w:rFonts w:cs="Arial"/>
                <w:b/>
              </w:rPr>
            </w:pPr>
          </w:p>
          <w:p w:rsidR="00B24D55" w:rsidRPr="00313C4E" w:rsidRDefault="000F3960" w:rsidP="00AA66AB">
            <w:pPr>
              <w:rPr>
                <w:rFonts w:cs="Arial"/>
              </w:rPr>
            </w:pPr>
            <w:r w:rsidRPr="000F3960">
              <w:rPr>
                <w:rFonts w:cs="Arial"/>
              </w:rPr>
              <w:t>The Board agreed the minutes of the last meeting were a true and accurate rep</w:t>
            </w:r>
            <w:r w:rsidRPr="00313C4E">
              <w:rPr>
                <w:rFonts w:cs="Arial"/>
              </w:rPr>
              <w:t>resentation o</w:t>
            </w:r>
            <w:r w:rsidR="00313C4E" w:rsidRPr="00313C4E">
              <w:rPr>
                <w:rFonts w:cs="Arial"/>
              </w:rPr>
              <w:t>f the matters discussed with</w:t>
            </w:r>
            <w:r w:rsidR="00D25DCA">
              <w:rPr>
                <w:rFonts w:cs="Arial"/>
              </w:rPr>
              <w:t>out amendment.</w:t>
            </w:r>
          </w:p>
          <w:p w:rsidR="0074243A" w:rsidRPr="00D25DCA" w:rsidRDefault="0074243A" w:rsidP="00D25DCA">
            <w:pPr>
              <w:rPr>
                <w:rFonts w:cs="Arial"/>
                <w:i/>
              </w:rPr>
            </w:pPr>
          </w:p>
        </w:tc>
        <w:tc>
          <w:tcPr>
            <w:tcW w:w="1039" w:type="dxa"/>
            <w:shd w:val="clear" w:color="auto" w:fill="auto"/>
          </w:tcPr>
          <w:p w:rsidR="000F3960" w:rsidRPr="001657FC" w:rsidRDefault="000F3960" w:rsidP="00DE5765">
            <w:pPr>
              <w:jc w:val="center"/>
              <w:rPr>
                <w:rFonts w:cs="Arial"/>
                <w:b/>
              </w:rPr>
            </w:pPr>
          </w:p>
        </w:tc>
      </w:tr>
      <w:tr w:rsidR="00884116" w:rsidRPr="001657FC" w:rsidTr="003A4715">
        <w:trPr>
          <w:trHeight w:val="295"/>
        </w:trPr>
        <w:tc>
          <w:tcPr>
            <w:tcW w:w="959" w:type="dxa"/>
            <w:shd w:val="clear" w:color="auto" w:fill="auto"/>
          </w:tcPr>
          <w:p w:rsidR="00884116" w:rsidRPr="001657FC" w:rsidRDefault="00884116" w:rsidP="00B205DF">
            <w:pPr>
              <w:numPr>
                <w:ilvl w:val="0"/>
                <w:numId w:val="1"/>
              </w:numPr>
              <w:rPr>
                <w:rFonts w:cs="Arial"/>
                <w:b/>
              </w:rPr>
            </w:pPr>
          </w:p>
        </w:tc>
        <w:tc>
          <w:tcPr>
            <w:tcW w:w="7397" w:type="dxa"/>
            <w:shd w:val="clear" w:color="auto" w:fill="auto"/>
          </w:tcPr>
          <w:p w:rsidR="00470D4B" w:rsidRDefault="00D078B9" w:rsidP="00785DFA">
            <w:pPr>
              <w:pStyle w:val="Default"/>
              <w:rPr>
                <w:b/>
                <w:sz w:val="22"/>
              </w:rPr>
            </w:pPr>
            <w:r>
              <w:rPr>
                <w:b/>
                <w:sz w:val="22"/>
              </w:rPr>
              <w:t>Matters arising</w:t>
            </w:r>
          </w:p>
          <w:p w:rsidR="00C571BC" w:rsidRPr="00C571BC" w:rsidRDefault="00C571BC" w:rsidP="00C571BC">
            <w:pPr>
              <w:jc w:val="right"/>
              <w:rPr>
                <w:rFonts w:cs="Arial"/>
                <w:b/>
                <w:i/>
              </w:rPr>
            </w:pPr>
          </w:p>
          <w:p w:rsidR="009952CE" w:rsidRDefault="009952CE" w:rsidP="009952CE">
            <w:pPr>
              <w:rPr>
                <w:rFonts w:cs="Arial"/>
                <w:color w:val="FF0000"/>
              </w:rPr>
            </w:pPr>
            <w:r w:rsidRPr="009952CE">
              <w:rPr>
                <w:rFonts w:cs="Arial"/>
                <w:u w:val="single"/>
              </w:rPr>
              <w:t>Terms of reference of Transparency Forum and Collaboration and Development</w:t>
            </w:r>
            <w:r w:rsidRPr="009952CE">
              <w:rPr>
                <w:rFonts w:cs="Arial"/>
              </w:rPr>
              <w:t xml:space="preserve"> </w:t>
            </w:r>
          </w:p>
          <w:p w:rsidR="009952CE" w:rsidRPr="009952CE" w:rsidRDefault="009952CE" w:rsidP="009952CE">
            <w:pPr>
              <w:rPr>
                <w:rFonts w:cs="Arial"/>
              </w:rPr>
            </w:pPr>
            <w:r w:rsidRPr="009952CE">
              <w:rPr>
                <w:rFonts w:cs="Arial"/>
              </w:rPr>
              <w:t>The Board noted these would be considered at the following meeting.</w:t>
            </w:r>
          </w:p>
          <w:p w:rsidR="00534629" w:rsidRPr="00D078B9" w:rsidRDefault="00534629" w:rsidP="009952CE"/>
        </w:tc>
        <w:tc>
          <w:tcPr>
            <w:tcW w:w="1039" w:type="dxa"/>
            <w:shd w:val="clear" w:color="auto" w:fill="auto"/>
          </w:tcPr>
          <w:p w:rsidR="00770091" w:rsidRDefault="00770091" w:rsidP="0099460C">
            <w:pPr>
              <w:jc w:val="center"/>
              <w:rPr>
                <w:rFonts w:cs="Arial"/>
                <w:b/>
              </w:rPr>
            </w:pPr>
          </w:p>
          <w:p w:rsidR="00E24303" w:rsidRDefault="00E24303" w:rsidP="007F0CDC">
            <w:pPr>
              <w:jc w:val="center"/>
              <w:rPr>
                <w:rFonts w:cs="Arial"/>
                <w:b/>
              </w:rPr>
            </w:pPr>
          </w:p>
          <w:p w:rsidR="00C571BC" w:rsidRPr="001657FC" w:rsidRDefault="00C571BC" w:rsidP="00A216D8">
            <w:pPr>
              <w:jc w:val="center"/>
              <w:rPr>
                <w:rFonts w:cs="Arial"/>
                <w:b/>
              </w:rPr>
            </w:pPr>
          </w:p>
        </w:tc>
      </w:tr>
      <w:tr w:rsidR="00912A60" w:rsidRPr="001657FC" w:rsidTr="003A4715">
        <w:trPr>
          <w:trHeight w:val="295"/>
        </w:trPr>
        <w:tc>
          <w:tcPr>
            <w:tcW w:w="959" w:type="dxa"/>
            <w:shd w:val="clear" w:color="auto" w:fill="auto"/>
          </w:tcPr>
          <w:p w:rsidR="00912A60" w:rsidRPr="00970EAE" w:rsidRDefault="00912A60" w:rsidP="00970EAE">
            <w:pPr>
              <w:numPr>
                <w:ilvl w:val="0"/>
                <w:numId w:val="1"/>
              </w:numPr>
              <w:rPr>
                <w:rFonts w:cs="Arial"/>
              </w:rPr>
            </w:pPr>
          </w:p>
        </w:tc>
        <w:tc>
          <w:tcPr>
            <w:tcW w:w="7397" w:type="dxa"/>
            <w:shd w:val="clear" w:color="auto" w:fill="auto"/>
          </w:tcPr>
          <w:p w:rsidR="008446BA" w:rsidRPr="00970EAE" w:rsidRDefault="00034DBB" w:rsidP="00970EAE">
            <w:pPr>
              <w:pStyle w:val="Addressee"/>
              <w:rPr>
                <w:rFonts w:eastAsia="Times New Roman"/>
                <w:b/>
              </w:rPr>
            </w:pPr>
            <w:r w:rsidRPr="00970EAE">
              <w:rPr>
                <w:rFonts w:eastAsia="Times New Roman"/>
                <w:b/>
              </w:rPr>
              <w:t>Update from Chair</w:t>
            </w:r>
          </w:p>
          <w:p w:rsidR="00E7392D" w:rsidRPr="00970EAE" w:rsidRDefault="00E7392D" w:rsidP="00970EAE">
            <w:pPr>
              <w:pStyle w:val="Addressee"/>
              <w:rPr>
                <w:rFonts w:eastAsia="Times New Roman"/>
              </w:rPr>
            </w:pPr>
          </w:p>
          <w:p w:rsidR="00E468A7" w:rsidRPr="00970EAE" w:rsidRDefault="00E468A7" w:rsidP="00970EAE">
            <w:pPr>
              <w:pStyle w:val="Addressee"/>
              <w:rPr>
                <w:u w:val="single"/>
              </w:rPr>
            </w:pPr>
            <w:r w:rsidRPr="00970EAE">
              <w:rPr>
                <w:u w:val="single"/>
              </w:rPr>
              <w:t>Appointment of new NEDs</w:t>
            </w:r>
          </w:p>
          <w:p w:rsidR="00E468A7" w:rsidRPr="00970EAE" w:rsidRDefault="00E468A7" w:rsidP="00970EAE">
            <w:pPr>
              <w:pStyle w:val="Addressee"/>
            </w:pPr>
            <w:r w:rsidRPr="00970EAE">
              <w:t>JMo welcomed the appointment of the new NEDs and thanked CH and her colleagues at DHSC for their part in the appointment process.</w:t>
            </w:r>
          </w:p>
          <w:p w:rsidR="00E468A7" w:rsidRPr="00970EAE" w:rsidRDefault="00E468A7" w:rsidP="00970EAE">
            <w:pPr>
              <w:pStyle w:val="Addressee"/>
            </w:pPr>
          </w:p>
          <w:p w:rsidR="00E468A7" w:rsidRPr="00970EAE" w:rsidRDefault="00E468A7" w:rsidP="00970EAE">
            <w:pPr>
              <w:pStyle w:val="Addressee"/>
              <w:rPr>
                <w:u w:val="single"/>
              </w:rPr>
            </w:pPr>
            <w:r w:rsidRPr="00970EAE">
              <w:rPr>
                <w:u w:val="single"/>
              </w:rPr>
              <w:t>Chair Elect Oxford University Hospitals NHS Foundation Trust</w:t>
            </w:r>
          </w:p>
          <w:p w:rsidR="00970EAE" w:rsidRDefault="00E468A7" w:rsidP="00970EAE">
            <w:pPr>
              <w:pStyle w:val="Addressee"/>
              <w:rPr>
                <w:b/>
              </w:rPr>
            </w:pPr>
            <w:r w:rsidRPr="00970EAE">
              <w:t xml:space="preserve">The Board offered its congratulations to JMo for his </w:t>
            </w:r>
            <w:r w:rsidR="00970EAE" w:rsidRPr="00970EAE">
              <w:t xml:space="preserve">upcoming appointment as Chair of the Oxford University Hospitals NHS Foundation Trust. JMo advised he would start in this position from 01 April 2019 but would continue as HRA Chair in the interim whilst a replacement Chair is recruited for the HRA. The Board noted the recruitment campaign will begin in the near future and any interested </w:t>
            </w:r>
            <w:r w:rsidR="00970EAE" w:rsidRPr="008C205F">
              <w:t>individuals should</w:t>
            </w:r>
            <w:r w:rsidR="00970EAE" w:rsidRPr="00970EAE">
              <w:t xml:space="preserve"> contact JMo, TA or Dr Louise Wood, Director of Science, Research and Evidence, Department of Health and Social Care</w:t>
            </w:r>
            <w:r w:rsidR="00970EAE">
              <w:rPr>
                <w:b/>
              </w:rPr>
              <w:t>.</w:t>
            </w:r>
          </w:p>
          <w:p w:rsidR="008C205F" w:rsidRPr="00970EAE" w:rsidRDefault="008C205F" w:rsidP="00970EAE">
            <w:pPr>
              <w:pStyle w:val="Addressee"/>
            </w:pPr>
          </w:p>
          <w:p w:rsidR="008C205F" w:rsidRDefault="008C205F" w:rsidP="008C205F">
            <w:pPr>
              <w:pStyle w:val="Addressee"/>
              <w:rPr>
                <w:u w:val="single"/>
              </w:rPr>
            </w:pPr>
            <w:r>
              <w:rPr>
                <w:u w:val="single"/>
              </w:rPr>
              <w:t>New Year’s Honours</w:t>
            </w:r>
          </w:p>
          <w:p w:rsidR="008C205F" w:rsidRPr="008C205F" w:rsidRDefault="008C205F" w:rsidP="008C205F">
            <w:pPr>
              <w:pStyle w:val="Addressee"/>
            </w:pPr>
            <w:r>
              <w:t>The Board offered its congratulations to JMo on his recent Knighthood for services to Bioethics and Healthcare Law.</w:t>
            </w:r>
          </w:p>
          <w:p w:rsidR="00E468A7" w:rsidRPr="00970EAE" w:rsidRDefault="00E468A7" w:rsidP="00970EAE">
            <w:pPr>
              <w:pStyle w:val="Addressee"/>
            </w:pPr>
          </w:p>
          <w:p w:rsidR="00534629" w:rsidRPr="00970EAE" w:rsidRDefault="00E468A7" w:rsidP="00970EAE">
            <w:pPr>
              <w:pStyle w:val="Addressee"/>
              <w:rPr>
                <w:rFonts w:eastAsia="Times New Roman"/>
                <w:u w:val="single"/>
              </w:rPr>
            </w:pPr>
            <w:r w:rsidRPr="00970EAE">
              <w:rPr>
                <w:u w:val="single"/>
              </w:rPr>
              <w:t>Parliamentary Under Secretary of State for Health</w:t>
            </w:r>
          </w:p>
          <w:p w:rsidR="00E468A7" w:rsidRPr="00970EAE" w:rsidRDefault="00E468A7" w:rsidP="00970EAE">
            <w:pPr>
              <w:pStyle w:val="Addressee"/>
              <w:rPr>
                <w:rFonts w:eastAsia="Times New Roman"/>
              </w:rPr>
            </w:pPr>
            <w:r w:rsidRPr="00970EAE">
              <w:rPr>
                <w:rFonts w:eastAsia="Times New Roman"/>
              </w:rPr>
              <w:t>The Board noted the appointment of the Baroness Blackwood of North Oxford as Lord O’Shaughnessy’s replacement.</w:t>
            </w:r>
          </w:p>
          <w:p w:rsidR="00E468A7" w:rsidRPr="00970EAE" w:rsidRDefault="00E468A7" w:rsidP="00970EAE">
            <w:pPr>
              <w:pStyle w:val="Addressee"/>
              <w:rPr>
                <w:rFonts w:eastAsia="Times New Roman"/>
              </w:rPr>
            </w:pPr>
          </w:p>
          <w:p w:rsidR="00534629" w:rsidRPr="00970EAE" w:rsidRDefault="00E468A7" w:rsidP="00970EAE">
            <w:pPr>
              <w:pStyle w:val="Addressee"/>
              <w:rPr>
                <w:u w:val="single"/>
              </w:rPr>
            </w:pPr>
            <w:r w:rsidRPr="00970EAE">
              <w:rPr>
                <w:u w:val="single"/>
              </w:rPr>
              <w:t>Health Group Internal Audit Service (HGIAS) Strategic financial planning audit</w:t>
            </w:r>
          </w:p>
          <w:p w:rsidR="00E468A7" w:rsidRPr="00970EAE" w:rsidRDefault="00E468A7" w:rsidP="00970EAE">
            <w:pPr>
              <w:pStyle w:val="Addressee"/>
            </w:pPr>
            <w:r w:rsidRPr="00970EAE">
              <w:t>JMo advised he had held conversations with the HGIAS auditors regarding the strategic financial planning audit with the report to be considered at the next HRA Audit &amp; Risk Committee meeting.</w:t>
            </w:r>
          </w:p>
          <w:p w:rsidR="00E468A7" w:rsidRDefault="00E468A7" w:rsidP="00970EAE">
            <w:pPr>
              <w:pStyle w:val="Addressee"/>
            </w:pPr>
          </w:p>
          <w:p w:rsidR="00970EAE" w:rsidRPr="00970EAE" w:rsidRDefault="00970EAE" w:rsidP="00970EAE">
            <w:pPr>
              <w:pStyle w:val="Addressee"/>
              <w:rPr>
                <w:u w:val="single"/>
              </w:rPr>
            </w:pPr>
            <w:r w:rsidRPr="00970EAE">
              <w:rPr>
                <w:u w:val="single"/>
              </w:rPr>
              <w:t>HRA Research Ethics Committee Chairs’ Day</w:t>
            </w:r>
          </w:p>
          <w:p w:rsidR="00970EAE" w:rsidRPr="00970EAE" w:rsidRDefault="00970EAE" w:rsidP="00970EAE">
            <w:pPr>
              <w:pStyle w:val="Addressee"/>
            </w:pPr>
            <w:r>
              <w:t xml:space="preserve">The Board noted the event had been held on 05 December 2018 with considerable support for the proposed direction of travel.  </w:t>
            </w:r>
          </w:p>
          <w:p w:rsidR="00E468A7" w:rsidRPr="00970EAE" w:rsidRDefault="00E468A7" w:rsidP="00970EAE">
            <w:pPr>
              <w:pStyle w:val="Addressee"/>
            </w:pPr>
          </w:p>
          <w:p w:rsidR="00970EAE" w:rsidRPr="00970EAE" w:rsidRDefault="00970EAE" w:rsidP="00970EAE">
            <w:pPr>
              <w:pStyle w:val="Addressee"/>
              <w:rPr>
                <w:u w:val="single"/>
              </w:rPr>
            </w:pPr>
            <w:r w:rsidRPr="00970EAE">
              <w:rPr>
                <w:u w:val="single"/>
              </w:rPr>
              <w:t>Patient data and data-driven technologies in healthcare</w:t>
            </w:r>
          </w:p>
          <w:p w:rsidR="00534629" w:rsidRDefault="00970EAE" w:rsidP="00970EAE">
            <w:pPr>
              <w:pStyle w:val="Addressee"/>
            </w:pPr>
            <w:r>
              <w:t xml:space="preserve">JMo highlighted the report from the Academy of Medical Sciences </w:t>
            </w:r>
            <w:r w:rsidR="00C87141">
              <w:t xml:space="preserve">which </w:t>
            </w:r>
            <w:r>
              <w:t xml:space="preserve">had been </w:t>
            </w:r>
            <w:r w:rsidR="00C87141">
              <w:t>released at the end of 2018.</w:t>
            </w:r>
          </w:p>
          <w:p w:rsidR="00C87141" w:rsidRDefault="00C87141" w:rsidP="00970EAE">
            <w:pPr>
              <w:pStyle w:val="Addressee"/>
            </w:pPr>
          </w:p>
          <w:p w:rsidR="00C87141" w:rsidRPr="008C205F" w:rsidRDefault="00C87141" w:rsidP="008C205F">
            <w:pPr>
              <w:pStyle w:val="Addressee"/>
              <w:spacing w:before="0" w:after="0" w:line="240" w:lineRule="auto"/>
              <w:rPr>
                <w:u w:val="single"/>
              </w:rPr>
            </w:pPr>
            <w:r w:rsidRPr="008C205F">
              <w:rPr>
                <w:u w:val="single"/>
              </w:rPr>
              <w:t>Social Contract for use of Genomics Data</w:t>
            </w:r>
          </w:p>
          <w:p w:rsidR="008C205F" w:rsidRDefault="00C87141" w:rsidP="008C205F">
            <w:pPr>
              <w:pStyle w:val="Addressee"/>
              <w:spacing w:before="0" w:after="0" w:line="240" w:lineRule="auto"/>
            </w:pPr>
            <w:r>
              <w:lastRenderedPageBreak/>
              <w:t>JMo advised he had attended a summit held by Genomics England</w:t>
            </w:r>
            <w:r w:rsidR="008C205F">
              <w:t xml:space="preserve"> to support the consideration of what the public think about the future of genomic medicine in the NHS.</w:t>
            </w:r>
          </w:p>
          <w:p w:rsidR="00C87141" w:rsidRDefault="00C87141" w:rsidP="00970EAE">
            <w:pPr>
              <w:pStyle w:val="Addressee"/>
            </w:pPr>
          </w:p>
          <w:p w:rsidR="008C205F" w:rsidRDefault="008C205F" w:rsidP="00970EAE">
            <w:pPr>
              <w:pStyle w:val="Addressee"/>
              <w:rPr>
                <w:u w:val="single"/>
              </w:rPr>
            </w:pPr>
            <w:r>
              <w:rPr>
                <w:u w:val="single"/>
              </w:rPr>
              <w:t>National Data Guardian Conference</w:t>
            </w:r>
          </w:p>
          <w:p w:rsidR="008C205F" w:rsidRPr="008C205F" w:rsidRDefault="008C205F" w:rsidP="00970EAE">
            <w:pPr>
              <w:pStyle w:val="Addressee"/>
            </w:pPr>
            <w:r>
              <w:t>The Board noted JMo is due to speak at the event on 11 March 2019.</w:t>
            </w:r>
          </w:p>
          <w:p w:rsidR="00534629" w:rsidRPr="00970EAE" w:rsidRDefault="00534629" w:rsidP="00970EAE">
            <w:pPr>
              <w:pStyle w:val="Addressee"/>
              <w:rPr>
                <w:rFonts w:eastAsia="Times New Roman"/>
              </w:rPr>
            </w:pPr>
          </w:p>
        </w:tc>
        <w:tc>
          <w:tcPr>
            <w:tcW w:w="1039" w:type="dxa"/>
            <w:shd w:val="clear" w:color="auto" w:fill="auto"/>
          </w:tcPr>
          <w:p w:rsidR="00912A60" w:rsidRPr="001657FC" w:rsidRDefault="00912A60" w:rsidP="00DE5765">
            <w:pPr>
              <w:jc w:val="center"/>
              <w:rPr>
                <w:rFonts w:cs="Arial"/>
                <w:b/>
              </w:rPr>
            </w:pPr>
          </w:p>
        </w:tc>
      </w:tr>
      <w:tr w:rsidR="00906225" w:rsidRPr="001657FC" w:rsidTr="003A4715">
        <w:trPr>
          <w:trHeight w:val="295"/>
        </w:trPr>
        <w:tc>
          <w:tcPr>
            <w:tcW w:w="959" w:type="dxa"/>
            <w:shd w:val="clear" w:color="auto" w:fill="auto"/>
          </w:tcPr>
          <w:p w:rsidR="00906225" w:rsidRPr="001657FC" w:rsidRDefault="00906225" w:rsidP="00B205DF">
            <w:pPr>
              <w:numPr>
                <w:ilvl w:val="0"/>
                <w:numId w:val="1"/>
              </w:numPr>
              <w:rPr>
                <w:rFonts w:cs="Arial"/>
                <w:b/>
              </w:rPr>
            </w:pPr>
          </w:p>
        </w:tc>
        <w:tc>
          <w:tcPr>
            <w:tcW w:w="7397" w:type="dxa"/>
            <w:shd w:val="clear" w:color="auto" w:fill="auto"/>
          </w:tcPr>
          <w:p w:rsidR="00920946" w:rsidRPr="00292CB0" w:rsidRDefault="00034DBB" w:rsidP="00292CB0">
            <w:pPr>
              <w:rPr>
                <w:rFonts w:cs="Arial"/>
                <w:b/>
              </w:rPr>
            </w:pPr>
            <w:r w:rsidRPr="00292CB0">
              <w:rPr>
                <w:rFonts w:cs="Arial"/>
                <w:b/>
              </w:rPr>
              <w:t>Update from Chief Executive</w:t>
            </w:r>
          </w:p>
          <w:p w:rsidR="00292CB0" w:rsidRPr="00292CB0" w:rsidRDefault="00292CB0" w:rsidP="00292CB0">
            <w:pPr>
              <w:rPr>
                <w:rFonts w:cs="Arial"/>
              </w:rPr>
            </w:pPr>
          </w:p>
          <w:p w:rsidR="00292CB0" w:rsidRDefault="00292CB0" w:rsidP="00292CB0">
            <w:pPr>
              <w:rPr>
                <w:rFonts w:cs="Arial"/>
              </w:rPr>
            </w:pPr>
            <w:r w:rsidRPr="00292CB0">
              <w:rPr>
                <w:rFonts w:cs="Arial"/>
              </w:rPr>
              <w:t>The following update from TA was tabled at the meeting:</w:t>
            </w:r>
          </w:p>
          <w:p w:rsidR="00292CB0" w:rsidRPr="00292CB0" w:rsidRDefault="00292CB0" w:rsidP="00292CB0">
            <w:pPr>
              <w:rPr>
                <w:rFonts w:cs="Arial"/>
              </w:rPr>
            </w:pPr>
          </w:p>
          <w:p w:rsidR="00292CB0" w:rsidRPr="00292CB0" w:rsidRDefault="00292CB0" w:rsidP="00292CB0">
            <w:pPr>
              <w:pStyle w:val="ListParagraph"/>
              <w:numPr>
                <w:ilvl w:val="0"/>
                <w:numId w:val="15"/>
              </w:numPr>
              <w:rPr>
                <w:rFonts w:asciiTheme="minorHAnsi" w:hAnsiTheme="minorHAnsi" w:cs="Arial"/>
              </w:rPr>
            </w:pPr>
            <w:r w:rsidRPr="00292CB0">
              <w:rPr>
                <w:rFonts w:asciiTheme="minorHAnsi" w:hAnsiTheme="minorHAnsi" w:cs="Arial"/>
              </w:rPr>
              <w:t>There has been significant activity over the last few weeks including fine-tuning the business case for the next phase of the New IRAS platform development.  This has involved activity by all of the executive team to check correspondence with DHSC and members of the DH Finance team as well as dialogue with MHRA and other parties to ensure alignment around messaging.  It is our current understanding that the DH finance team are now considering this as one of a number of bids against the Brexit funds for progression.  The next stage will be to ensure that the briefings are available for Ministerial consideration and further engagement with the government procurement team.</w:t>
            </w:r>
          </w:p>
          <w:p w:rsidR="00292CB0" w:rsidRPr="00292CB0" w:rsidRDefault="00292CB0" w:rsidP="00292CB0">
            <w:pPr>
              <w:pStyle w:val="ListParagraph"/>
              <w:rPr>
                <w:rFonts w:asciiTheme="minorHAnsi" w:hAnsiTheme="minorHAnsi" w:cs="Arial"/>
              </w:rPr>
            </w:pPr>
          </w:p>
          <w:p w:rsidR="00292CB0" w:rsidRPr="00292CB0" w:rsidRDefault="00292CB0" w:rsidP="00292CB0">
            <w:pPr>
              <w:pStyle w:val="ListParagraph"/>
              <w:numPr>
                <w:ilvl w:val="0"/>
                <w:numId w:val="15"/>
              </w:numPr>
              <w:rPr>
                <w:rFonts w:asciiTheme="minorHAnsi" w:hAnsiTheme="minorHAnsi" w:cs="Arial"/>
              </w:rPr>
            </w:pPr>
            <w:r w:rsidRPr="00292CB0">
              <w:rPr>
                <w:rFonts w:asciiTheme="minorHAnsi" w:hAnsiTheme="minorHAnsi" w:cs="Arial"/>
              </w:rPr>
              <w:t>Business Planning is now fully underway for 2019.  The work plan for 2019 has been pulled together this year by the Senior Leadership Team to ensure that the priorities are aligned to our strategic aims and our reduced grant in aid funding.  Our reduced reserves position will now severely limit our capacity to take on additional work now and this has been reflected in our risk register.  Our primary aim is to maintain momentum on change initiatives which will realise tangible benefits. While this has been painful, staff and managers have been constructive and creative.</w:t>
            </w:r>
          </w:p>
          <w:p w:rsidR="00292CB0" w:rsidRPr="00292CB0" w:rsidRDefault="00292CB0" w:rsidP="00292CB0">
            <w:pPr>
              <w:pStyle w:val="ListParagraph"/>
              <w:rPr>
                <w:rFonts w:asciiTheme="minorHAnsi" w:hAnsiTheme="minorHAnsi" w:cs="Arial"/>
              </w:rPr>
            </w:pPr>
          </w:p>
          <w:p w:rsidR="00292CB0" w:rsidRPr="00292CB0" w:rsidRDefault="00292CB0" w:rsidP="00292CB0">
            <w:pPr>
              <w:pStyle w:val="ListParagraph"/>
              <w:numPr>
                <w:ilvl w:val="0"/>
                <w:numId w:val="15"/>
              </w:numPr>
              <w:rPr>
                <w:rFonts w:asciiTheme="minorHAnsi" w:hAnsiTheme="minorHAnsi" w:cs="Arial"/>
              </w:rPr>
            </w:pPr>
            <w:r w:rsidRPr="00292CB0">
              <w:rPr>
                <w:rFonts w:asciiTheme="minorHAnsi" w:hAnsiTheme="minorHAnsi" w:cs="Arial"/>
              </w:rPr>
              <w:t>We have now stood up a weekly Brexit group to reflect on the anticipated increase in briefing requests to align to the DHSC business continuity work.  For the HRA the primary area of activity remains the preparatory work for the forthcoming changes to the Clinical Trials Regulations through our Combined Ways of Working pilot with MHRA.  We have assessed other Brexit impacts and this allows us to keep a watching brief.  Our work to date is relevant for both a deal and a no deal outcome and our mitigation is to ensure that whatever the outcome that our approvals process is being developed so that the UK remains competitive and we continue to work towards the ambitions outlined in the Life Sciences Strategy for the placement of Clinical Trials.</w:t>
            </w:r>
          </w:p>
          <w:p w:rsidR="00292CB0" w:rsidRPr="00292CB0" w:rsidRDefault="00292CB0" w:rsidP="00292CB0">
            <w:pPr>
              <w:pStyle w:val="ListParagraph"/>
              <w:rPr>
                <w:rFonts w:asciiTheme="minorHAnsi" w:hAnsiTheme="minorHAnsi" w:cs="Arial"/>
              </w:rPr>
            </w:pPr>
          </w:p>
          <w:p w:rsidR="00292CB0" w:rsidRPr="00292CB0" w:rsidRDefault="00292CB0" w:rsidP="00292CB0">
            <w:pPr>
              <w:pStyle w:val="ListParagraph"/>
              <w:numPr>
                <w:ilvl w:val="0"/>
                <w:numId w:val="15"/>
              </w:numPr>
              <w:rPr>
                <w:rFonts w:asciiTheme="minorHAnsi" w:hAnsiTheme="minorHAnsi" w:cs="Arial"/>
              </w:rPr>
            </w:pPr>
            <w:r w:rsidRPr="00292CB0">
              <w:rPr>
                <w:rFonts w:asciiTheme="minorHAnsi" w:hAnsiTheme="minorHAnsi" w:cs="Arial"/>
              </w:rPr>
              <w:t xml:space="preserve">Restructuring activity across the HRA to deliver a fully integrated team in the Approvals Directorate affecting over 140 members of staff has continued at pace and all staff have been informed which roles they have been allocated to in the new structure.  This has been a considerable piece of work as part of our service improvement programme and has invested significant investment from both staff and Managers alike.  The ultimate objective is a single team all working towards a common goal of a more efficient service to research </w:t>
            </w:r>
            <w:r w:rsidRPr="00292CB0">
              <w:rPr>
                <w:rFonts w:asciiTheme="minorHAnsi" w:hAnsiTheme="minorHAnsi" w:cs="Arial"/>
              </w:rPr>
              <w:lastRenderedPageBreak/>
              <w:t>applicants.</w:t>
            </w:r>
          </w:p>
          <w:p w:rsidR="00292CB0" w:rsidRPr="00292CB0" w:rsidRDefault="00292CB0" w:rsidP="00292CB0">
            <w:pPr>
              <w:pStyle w:val="ListParagraph"/>
              <w:rPr>
                <w:rFonts w:asciiTheme="minorHAnsi" w:hAnsiTheme="minorHAnsi" w:cs="Arial"/>
              </w:rPr>
            </w:pPr>
          </w:p>
          <w:p w:rsidR="00292CB0" w:rsidRPr="00292CB0" w:rsidRDefault="00292CB0" w:rsidP="00292CB0">
            <w:pPr>
              <w:pStyle w:val="ListParagraph"/>
              <w:numPr>
                <w:ilvl w:val="0"/>
                <w:numId w:val="15"/>
              </w:numPr>
              <w:rPr>
                <w:rFonts w:asciiTheme="minorHAnsi" w:hAnsiTheme="minorHAnsi" w:cs="Arial"/>
              </w:rPr>
            </w:pPr>
            <w:r w:rsidRPr="00292CB0">
              <w:rPr>
                <w:rFonts w:asciiTheme="minorHAnsi" w:hAnsiTheme="minorHAnsi" w:cs="Arial"/>
              </w:rPr>
              <w:t xml:space="preserve">Restructuring activity within the Policy team is also progressing with close alignment to the approvals re-structure to ensure that staff can consider options across the HRA.   </w:t>
            </w:r>
          </w:p>
          <w:p w:rsidR="00292CB0" w:rsidRPr="00292CB0" w:rsidRDefault="00292CB0" w:rsidP="00292CB0">
            <w:pPr>
              <w:pStyle w:val="ListParagraph"/>
              <w:rPr>
                <w:rFonts w:asciiTheme="minorHAnsi" w:hAnsiTheme="minorHAnsi" w:cs="Arial"/>
              </w:rPr>
            </w:pPr>
          </w:p>
          <w:p w:rsidR="00292CB0" w:rsidRPr="00292CB0" w:rsidRDefault="00292CB0" w:rsidP="00292CB0">
            <w:pPr>
              <w:pStyle w:val="ListParagraph"/>
              <w:numPr>
                <w:ilvl w:val="0"/>
                <w:numId w:val="15"/>
              </w:numPr>
              <w:rPr>
                <w:rFonts w:asciiTheme="minorHAnsi" w:hAnsiTheme="minorHAnsi" w:cs="Arial"/>
              </w:rPr>
            </w:pPr>
            <w:r w:rsidRPr="00292CB0">
              <w:rPr>
                <w:rFonts w:asciiTheme="minorHAnsi" w:hAnsiTheme="minorHAnsi" w:cs="Arial"/>
              </w:rPr>
              <w:t xml:space="preserve">We have also now started a pre-consultation stage of discussions with staff in the Research Systems team.  It is critical that we provide staff with some clarity around their roles as soon as is practically possible but the success of the business case is critical in determining exactly what posts we need and what we can afford as we transition away from the support provided by the </w:t>
            </w:r>
            <w:proofErr w:type="spellStart"/>
            <w:r w:rsidRPr="00292CB0">
              <w:rPr>
                <w:rFonts w:asciiTheme="minorHAnsi" w:hAnsiTheme="minorHAnsi" w:cs="Arial"/>
              </w:rPr>
              <w:t>Pega</w:t>
            </w:r>
            <w:proofErr w:type="spellEnd"/>
            <w:r w:rsidRPr="00292CB0">
              <w:rPr>
                <w:rFonts w:asciiTheme="minorHAnsi" w:hAnsiTheme="minorHAnsi" w:cs="Arial"/>
              </w:rPr>
              <w:t xml:space="preserve"> team to a new more sustainable way of working.  A small transitional team will be needed over the coming weeks as we start the handover process.</w:t>
            </w:r>
          </w:p>
          <w:p w:rsidR="00292CB0" w:rsidRPr="00292CB0" w:rsidRDefault="00292CB0" w:rsidP="00292CB0">
            <w:pPr>
              <w:pStyle w:val="ListParagraph"/>
              <w:rPr>
                <w:rFonts w:asciiTheme="minorHAnsi" w:hAnsiTheme="minorHAnsi" w:cs="Arial"/>
              </w:rPr>
            </w:pPr>
          </w:p>
          <w:p w:rsidR="00292CB0" w:rsidRPr="00292CB0" w:rsidRDefault="00292CB0" w:rsidP="00292CB0">
            <w:pPr>
              <w:pStyle w:val="ListParagraph"/>
              <w:numPr>
                <w:ilvl w:val="0"/>
                <w:numId w:val="15"/>
              </w:numPr>
              <w:rPr>
                <w:rFonts w:asciiTheme="minorHAnsi" w:hAnsiTheme="minorHAnsi" w:cs="Arial"/>
              </w:rPr>
            </w:pPr>
            <w:r w:rsidRPr="00292CB0">
              <w:rPr>
                <w:rFonts w:asciiTheme="minorHAnsi" w:hAnsiTheme="minorHAnsi" w:cs="Arial"/>
              </w:rPr>
              <w:t>During December we held our National Chairs day with a focus on Data and Artificial Intelligence in addition to workshop discussions around Mental Health Research, Social Media and What adds value at Research Ethics Committees.  The feedback obtained from these sessions together with feedback provided during the Director visits to the Ethics Committees during the last 12 months will be used to inform the new ways of working by the integrated approvals structure to reduce the burden of work on our volunteers and create discussion points for things we could be doing differently to speed up administrative processes.</w:t>
            </w:r>
          </w:p>
          <w:p w:rsidR="00292CB0" w:rsidRPr="00292CB0" w:rsidRDefault="00292CB0" w:rsidP="00292CB0">
            <w:pPr>
              <w:pStyle w:val="ListParagraph"/>
              <w:rPr>
                <w:rFonts w:asciiTheme="minorHAnsi" w:hAnsiTheme="minorHAnsi" w:cs="Arial"/>
              </w:rPr>
            </w:pPr>
          </w:p>
          <w:p w:rsidR="00292CB0" w:rsidRPr="00292CB0" w:rsidRDefault="00292CB0" w:rsidP="00292CB0">
            <w:pPr>
              <w:pStyle w:val="ListParagraph"/>
              <w:numPr>
                <w:ilvl w:val="0"/>
                <w:numId w:val="15"/>
              </w:numPr>
              <w:rPr>
                <w:rFonts w:asciiTheme="minorHAnsi" w:hAnsiTheme="minorHAnsi" w:cs="Arial"/>
              </w:rPr>
            </w:pPr>
            <w:r w:rsidRPr="00292CB0">
              <w:rPr>
                <w:rFonts w:asciiTheme="minorHAnsi" w:hAnsiTheme="minorHAnsi" w:cs="Arial"/>
              </w:rPr>
              <w:t>The planning work is also underway for our staff survey which we plan to issue during February and will share with the board as soon as the results are available.</w:t>
            </w:r>
          </w:p>
          <w:p w:rsidR="00292CB0" w:rsidRPr="00292CB0" w:rsidRDefault="00292CB0" w:rsidP="00292CB0">
            <w:pPr>
              <w:pStyle w:val="ListParagraph"/>
              <w:rPr>
                <w:rFonts w:asciiTheme="minorHAnsi" w:hAnsiTheme="minorHAnsi" w:cs="Arial"/>
              </w:rPr>
            </w:pPr>
          </w:p>
          <w:p w:rsidR="00292CB0" w:rsidRDefault="00292CB0" w:rsidP="00292CB0">
            <w:pPr>
              <w:rPr>
                <w:rFonts w:cs="Arial"/>
                <w:b/>
              </w:rPr>
            </w:pPr>
            <w:r w:rsidRPr="00292CB0">
              <w:rPr>
                <w:rFonts w:cs="Arial"/>
                <w:b/>
              </w:rPr>
              <w:t>Key Stakeholder Meetings</w:t>
            </w:r>
          </w:p>
          <w:p w:rsidR="00292CB0" w:rsidRPr="00292CB0" w:rsidRDefault="00292CB0" w:rsidP="00292CB0">
            <w:pPr>
              <w:rPr>
                <w:rFonts w:cs="Arial"/>
                <w:b/>
              </w:rPr>
            </w:pPr>
          </w:p>
          <w:tbl>
            <w:tblPr>
              <w:tblStyle w:val="TableGrid"/>
              <w:tblW w:w="0" w:type="auto"/>
              <w:tblInd w:w="29" w:type="dxa"/>
              <w:tblLayout w:type="fixed"/>
              <w:tblLook w:val="04A0" w:firstRow="1" w:lastRow="0" w:firstColumn="1" w:lastColumn="0" w:noHBand="0" w:noVBand="1"/>
            </w:tblPr>
            <w:tblGrid>
              <w:gridCol w:w="2573"/>
              <w:gridCol w:w="4514"/>
            </w:tblGrid>
            <w:tr w:rsidR="00292CB0" w:rsidRPr="00292CB0" w:rsidTr="00292CB0">
              <w:tc>
                <w:tcPr>
                  <w:tcW w:w="2573" w:type="dxa"/>
                </w:tcPr>
                <w:p w:rsidR="00292CB0" w:rsidRPr="00292CB0" w:rsidRDefault="00292CB0" w:rsidP="00292CB0">
                  <w:pPr>
                    <w:rPr>
                      <w:rFonts w:cs="Arial"/>
                      <w:b/>
                    </w:rPr>
                  </w:pPr>
                  <w:r w:rsidRPr="00292CB0">
                    <w:rPr>
                      <w:rFonts w:cs="Arial"/>
                      <w:b/>
                    </w:rPr>
                    <w:t>Meeting with:</w:t>
                  </w:r>
                </w:p>
              </w:tc>
              <w:tc>
                <w:tcPr>
                  <w:tcW w:w="4514" w:type="dxa"/>
                </w:tcPr>
                <w:p w:rsidR="00292CB0" w:rsidRPr="00292CB0" w:rsidRDefault="00292CB0" w:rsidP="00292CB0">
                  <w:pPr>
                    <w:rPr>
                      <w:rFonts w:cs="Arial"/>
                      <w:b/>
                    </w:rPr>
                  </w:pPr>
                  <w:r w:rsidRPr="00292CB0">
                    <w:rPr>
                      <w:rFonts w:cs="Arial"/>
                      <w:b/>
                    </w:rPr>
                    <w:t>Purpose of the Meeting</w:t>
                  </w:r>
                </w:p>
              </w:tc>
            </w:tr>
            <w:tr w:rsidR="00292CB0" w:rsidRPr="00292CB0" w:rsidTr="00292CB0">
              <w:tc>
                <w:tcPr>
                  <w:tcW w:w="2573" w:type="dxa"/>
                </w:tcPr>
                <w:p w:rsidR="00292CB0" w:rsidRPr="00292CB0" w:rsidRDefault="00292CB0" w:rsidP="00292CB0">
                  <w:pPr>
                    <w:rPr>
                      <w:rFonts w:cs="Arial"/>
                    </w:rPr>
                  </w:pPr>
                  <w:r w:rsidRPr="00292CB0">
                    <w:rPr>
                      <w:rFonts w:cs="Arial"/>
                    </w:rPr>
                    <w:t>IQVIA</w:t>
                  </w:r>
                </w:p>
                <w:p w:rsidR="00292CB0" w:rsidRPr="00292CB0" w:rsidRDefault="00292CB0" w:rsidP="00292CB0">
                  <w:pPr>
                    <w:rPr>
                      <w:rFonts w:cs="Arial"/>
                    </w:rPr>
                  </w:pPr>
                </w:p>
              </w:tc>
              <w:tc>
                <w:tcPr>
                  <w:tcW w:w="4514" w:type="dxa"/>
                </w:tcPr>
                <w:p w:rsidR="00292CB0" w:rsidRDefault="00292CB0" w:rsidP="00292CB0">
                  <w:pPr>
                    <w:rPr>
                      <w:rFonts w:cs="Arial"/>
                    </w:rPr>
                  </w:pPr>
                  <w:r w:rsidRPr="00292CB0">
                    <w:rPr>
                      <w:rFonts w:cs="Arial"/>
                    </w:rPr>
                    <w:t>To discuss the actions that HRA needs to take to support the concept of High Throughput Clinical Trials centres</w:t>
                  </w:r>
                  <w:r>
                    <w:rPr>
                      <w:rFonts w:cs="Arial"/>
                    </w:rPr>
                    <w:t>.</w:t>
                  </w:r>
                </w:p>
                <w:p w:rsidR="00292CB0" w:rsidRPr="00292CB0" w:rsidRDefault="00292CB0" w:rsidP="00292CB0">
                  <w:pPr>
                    <w:rPr>
                      <w:rFonts w:cs="Arial"/>
                    </w:rPr>
                  </w:pPr>
                </w:p>
                <w:p w:rsidR="00292CB0" w:rsidRDefault="00292CB0" w:rsidP="00292CB0">
                  <w:pPr>
                    <w:rPr>
                      <w:rFonts w:cs="Arial"/>
                    </w:rPr>
                  </w:pPr>
                  <w:r w:rsidRPr="00292CB0">
                    <w:rPr>
                      <w:rFonts w:cs="Arial"/>
                    </w:rPr>
                    <w:t>To discuss impact of the new costing models being applied and areas which might need to be adapted</w:t>
                  </w:r>
                  <w:r>
                    <w:rPr>
                      <w:rFonts w:cs="Arial"/>
                    </w:rPr>
                    <w:t>.</w:t>
                  </w:r>
                </w:p>
                <w:p w:rsidR="00292CB0" w:rsidRPr="00292CB0" w:rsidRDefault="00292CB0" w:rsidP="00292CB0">
                  <w:pPr>
                    <w:rPr>
                      <w:rFonts w:cs="Arial"/>
                    </w:rPr>
                  </w:pPr>
                </w:p>
              </w:tc>
            </w:tr>
            <w:tr w:rsidR="00292CB0" w:rsidRPr="00292CB0" w:rsidTr="00292CB0">
              <w:tc>
                <w:tcPr>
                  <w:tcW w:w="2573" w:type="dxa"/>
                </w:tcPr>
                <w:p w:rsidR="00292CB0" w:rsidRPr="00292CB0" w:rsidRDefault="00292CB0" w:rsidP="00292CB0">
                  <w:pPr>
                    <w:rPr>
                      <w:rFonts w:cs="Arial"/>
                    </w:rPr>
                  </w:pPr>
                  <w:r w:rsidRPr="00292CB0">
                    <w:rPr>
                      <w:rFonts w:cs="Arial"/>
                    </w:rPr>
                    <w:t xml:space="preserve">Kerry Chant, CMO NSW, Australia </w:t>
                  </w:r>
                </w:p>
                <w:p w:rsidR="00292CB0" w:rsidRPr="00292CB0" w:rsidRDefault="00292CB0" w:rsidP="00292CB0">
                  <w:pPr>
                    <w:rPr>
                      <w:rFonts w:cs="Arial"/>
                    </w:rPr>
                  </w:pPr>
                </w:p>
              </w:tc>
              <w:tc>
                <w:tcPr>
                  <w:tcW w:w="4514" w:type="dxa"/>
                </w:tcPr>
                <w:p w:rsidR="00292CB0" w:rsidRDefault="00292CB0" w:rsidP="00292CB0">
                  <w:pPr>
                    <w:rPr>
                      <w:rFonts w:cs="Arial"/>
                    </w:rPr>
                  </w:pPr>
                  <w:r w:rsidRPr="00292CB0">
                    <w:rPr>
                      <w:rFonts w:cs="Arial"/>
                    </w:rPr>
                    <w:t>To share insights and areas of potential best practise into the regulatory models being applied to research in the UK and across New South Wales</w:t>
                  </w:r>
                  <w:r>
                    <w:rPr>
                      <w:rFonts w:cs="Arial"/>
                    </w:rPr>
                    <w:t>.</w:t>
                  </w:r>
                </w:p>
                <w:p w:rsidR="00292CB0" w:rsidRPr="00292CB0" w:rsidRDefault="00292CB0" w:rsidP="00292CB0">
                  <w:pPr>
                    <w:rPr>
                      <w:rFonts w:cs="Arial"/>
                    </w:rPr>
                  </w:pPr>
                </w:p>
              </w:tc>
            </w:tr>
            <w:tr w:rsidR="00292CB0" w:rsidRPr="00292CB0" w:rsidTr="00292CB0">
              <w:tc>
                <w:tcPr>
                  <w:tcW w:w="2573" w:type="dxa"/>
                </w:tcPr>
                <w:p w:rsidR="00292CB0" w:rsidRPr="00292CB0" w:rsidRDefault="00292CB0" w:rsidP="00292CB0">
                  <w:pPr>
                    <w:rPr>
                      <w:rFonts w:cs="Arial"/>
                    </w:rPr>
                  </w:pPr>
                  <w:r w:rsidRPr="00292CB0">
                    <w:rPr>
                      <w:rFonts w:cs="Arial"/>
                    </w:rPr>
                    <w:t>Sir Norman Lamb</w:t>
                  </w:r>
                </w:p>
                <w:p w:rsidR="00292CB0" w:rsidRPr="00292CB0" w:rsidRDefault="00292CB0" w:rsidP="00292CB0">
                  <w:pPr>
                    <w:rPr>
                      <w:rFonts w:cs="Arial"/>
                    </w:rPr>
                  </w:pPr>
                </w:p>
              </w:tc>
              <w:tc>
                <w:tcPr>
                  <w:tcW w:w="4514" w:type="dxa"/>
                </w:tcPr>
                <w:p w:rsidR="00292CB0" w:rsidRDefault="00292CB0" w:rsidP="00292CB0">
                  <w:pPr>
                    <w:rPr>
                      <w:rFonts w:cs="Arial"/>
                    </w:rPr>
                  </w:pPr>
                  <w:r w:rsidRPr="00292CB0">
                    <w:rPr>
                      <w:rFonts w:cs="Arial"/>
                    </w:rPr>
                    <w:t>To outline the HRA response to the Select Committee enquiry into research integrity</w:t>
                  </w:r>
                  <w:r>
                    <w:rPr>
                      <w:rFonts w:cs="Arial"/>
                    </w:rPr>
                    <w:t>.</w:t>
                  </w:r>
                </w:p>
                <w:p w:rsidR="00292CB0" w:rsidRPr="00292CB0" w:rsidRDefault="00292CB0" w:rsidP="00292CB0">
                  <w:pPr>
                    <w:rPr>
                      <w:rFonts w:cs="Arial"/>
                    </w:rPr>
                  </w:pPr>
                </w:p>
              </w:tc>
            </w:tr>
            <w:tr w:rsidR="00292CB0" w:rsidRPr="00292CB0" w:rsidTr="00292CB0">
              <w:tc>
                <w:tcPr>
                  <w:tcW w:w="2573" w:type="dxa"/>
                </w:tcPr>
                <w:p w:rsidR="00292CB0" w:rsidRPr="00292CB0" w:rsidRDefault="00292CB0" w:rsidP="00292CB0">
                  <w:pPr>
                    <w:rPr>
                      <w:rFonts w:cs="Arial"/>
                    </w:rPr>
                  </w:pPr>
                  <w:r w:rsidRPr="00292CB0">
                    <w:rPr>
                      <w:rFonts w:cs="Arial"/>
                    </w:rPr>
                    <w:t>1</w:t>
                  </w:r>
                  <w:r>
                    <w:rPr>
                      <w:rFonts w:cs="Arial"/>
                    </w:rPr>
                    <w:t xml:space="preserve"> </w:t>
                  </w:r>
                  <w:r w:rsidRPr="00292CB0">
                    <w:rPr>
                      <w:rFonts w:cs="Arial"/>
                    </w:rPr>
                    <w:t>Allan Marriott Smith CEO HTA and Peter Thompson CEO HFEA</w:t>
                  </w:r>
                </w:p>
                <w:p w:rsidR="00292CB0" w:rsidRPr="00292CB0" w:rsidRDefault="00292CB0" w:rsidP="00292CB0">
                  <w:pPr>
                    <w:rPr>
                      <w:rFonts w:cs="Arial"/>
                    </w:rPr>
                  </w:pPr>
                </w:p>
                <w:p w:rsidR="00292CB0" w:rsidRPr="00292CB0" w:rsidRDefault="00292CB0" w:rsidP="00292CB0">
                  <w:pPr>
                    <w:rPr>
                      <w:rFonts w:cs="Arial"/>
                    </w:rPr>
                  </w:pPr>
                  <w:r w:rsidRPr="00292CB0">
                    <w:rPr>
                      <w:rFonts w:cs="Arial"/>
                    </w:rPr>
                    <w:t>2</w:t>
                  </w:r>
                  <w:r>
                    <w:rPr>
                      <w:rFonts w:cs="Arial"/>
                    </w:rPr>
                    <w:t xml:space="preserve"> </w:t>
                  </w:r>
                  <w:r w:rsidRPr="00292CB0">
                    <w:rPr>
                      <w:rFonts w:cs="Arial"/>
                    </w:rPr>
                    <w:t>Matt Cooper NIHR</w:t>
                  </w:r>
                </w:p>
                <w:p w:rsidR="00292CB0" w:rsidRDefault="00292CB0" w:rsidP="00292CB0">
                  <w:pPr>
                    <w:rPr>
                      <w:rFonts w:cs="Arial"/>
                    </w:rPr>
                  </w:pPr>
                  <w:r w:rsidRPr="00292CB0">
                    <w:rPr>
                      <w:rFonts w:cs="Arial"/>
                    </w:rPr>
                    <w:t>3</w:t>
                  </w:r>
                  <w:r>
                    <w:rPr>
                      <w:rFonts w:cs="Arial"/>
                    </w:rPr>
                    <w:t xml:space="preserve"> </w:t>
                  </w:r>
                  <w:r w:rsidRPr="00292CB0">
                    <w:rPr>
                      <w:rFonts w:cs="Arial"/>
                    </w:rPr>
                    <w:t xml:space="preserve">Aisling </w:t>
                  </w:r>
                  <w:proofErr w:type="spellStart"/>
                  <w:r w:rsidRPr="00292CB0">
                    <w:rPr>
                      <w:rFonts w:cs="Arial"/>
                    </w:rPr>
                    <w:t>Burnard</w:t>
                  </w:r>
                  <w:proofErr w:type="spellEnd"/>
                  <w:r w:rsidRPr="00292CB0">
                    <w:rPr>
                      <w:rFonts w:cs="Arial"/>
                    </w:rPr>
                    <w:t xml:space="preserve"> AMRC</w:t>
                  </w:r>
                </w:p>
                <w:p w:rsidR="00292CB0" w:rsidRPr="00292CB0" w:rsidRDefault="00292CB0" w:rsidP="00292CB0">
                  <w:pPr>
                    <w:rPr>
                      <w:rFonts w:cs="Arial"/>
                    </w:rPr>
                  </w:pPr>
                </w:p>
              </w:tc>
              <w:tc>
                <w:tcPr>
                  <w:tcW w:w="4514" w:type="dxa"/>
                </w:tcPr>
                <w:p w:rsidR="00292CB0" w:rsidRPr="00292CB0" w:rsidRDefault="00292CB0" w:rsidP="00292CB0">
                  <w:pPr>
                    <w:rPr>
                      <w:rFonts w:cs="Arial"/>
                    </w:rPr>
                  </w:pPr>
                  <w:r w:rsidRPr="00292CB0">
                    <w:rPr>
                      <w:rFonts w:cs="Arial"/>
                    </w:rPr>
                    <w:lastRenderedPageBreak/>
                    <w:t>Regular catch up meetings to share interests and keep each other informed about wider regulatory sector</w:t>
                  </w:r>
                  <w:r>
                    <w:rPr>
                      <w:rFonts w:cs="Arial"/>
                    </w:rPr>
                    <w:t>.</w:t>
                  </w:r>
                </w:p>
              </w:tc>
            </w:tr>
            <w:tr w:rsidR="00292CB0" w:rsidRPr="00292CB0" w:rsidTr="00292CB0">
              <w:tc>
                <w:tcPr>
                  <w:tcW w:w="2573" w:type="dxa"/>
                </w:tcPr>
                <w:p w:rsidR="00292CB0" w:rsidRDefault="00292CB0" w:rsidP="00292CB0">
                  <w:pPr>
                    <w:rPr>
                      <w:rFonts w:cs="Arial"/>
                    </w:rPr>
                  </w:pPr>
                  <w:r w:rsidRPr="00292CB0">
                    <w:rPr>
                      <w:rFonts w:cs="Arial"/>
                    </w:rPr>
                    <w:t xml:space="preserve">Philippa Williams NHS Leadership Academy </w:t>
                  </w:r>
                </w:p>
                <w:p w:rsidR="00292CB0" w:rsidRPr="00292CB0" w:rsidRDefault="00292CB0" w:rsidP="00292CB0">
                  <w:pPr>
                    <w:rPr>
                      <w:rFonts w:cs="Arial"/>
                    </w:rPr>
                  </w:pPr>
                </w:p>
              </w:tc>
              <w:tc>
                <w:tcPr>
                  <w:tcW w:w="4514" w:type="dxa"/>
                </w:tcPr>
                <w:p w:rsidR="00292CB0" w:rsidRPr="00292CB0" w:rsidRDefault="00292CB0" w:rsidP="00292CB0">
                  <w:pPr>
                    <w:rPr>
                      <w:rFonts w:cs="Arial"/>
                    </w:rPr>
                  </w:pPr>
                  <w:r w:rsidRPr="00292CB0">
                    <w:rPr>
                      <w:rFonts w:cs="Arial"/>
                    </w:rPr>
                    <w:t>Personal coaching session</w:t>
                  </w:r>
                  <w:r>
                    <w:rPr>
                      <w:rFonts w:cs="Arial"/>
                    </w:rPr>
                    <w:t>.</w:t>
                  </w:r>
                </w:p>
              </w:tc>
            </w:tr>
            <w:tr w:rsidR="00292CB0" w:rsidRPr="00292CB0" w:rsidTr="00292CB0">
              <w:tc>
                <w:tcPr>
                  <w:tcW w:w="2573" w:type="dxa"/>
                </w:tcPr>
                <w:p w:rsidR="00292CB0" w:rsidRPr="00292CB0" w:rsidRDefault="00292CB0" w:rsidP="00292CB0">
                  <w:pPr>
                    <w:rPr>
                      <w:rFonts w:cs="Arial"/>
                    </w:rPr>
                  </w:pPr>
                  <w:r w:rsidRPr="00292CB0">
                    <w:rPr>
                      <w:rFonts w:cs="Arial"/>
                    </w:rPr>
                    <w:t xml:space="preserve">James </w:t>
                  </w:r>
                  <w:proofErr w:type="spellStart"/>
                  <w:r w:rsidRPr="00292CB0">
                    <w:rPr>
                      <w:rFonts w:cs="Arial"/>
                    </w:rPr>
                    <w:t>Mucklow</w:t>
                  </w:r>
                  <w:proofErr w:type="spellEnd"/>
                  <w:r w:rsidRPr="00292CB0">
                    <w:rPr>
                      <w:rFonts w:cs="Arial"/>
                    </w:rPr>
                    <w:t xml:space="preserve"> and Paul Heaviside</w:t>
                  </w:r>
                </w:p>
                <w:p w:rsidR="00292CB0" w:rsidRPr="00292CB0" w:rsidRDefault="00292CB0" w:rsidP="00292CB0">
                  <w:pPr>
                    <w:rPr>
                      <w:rFonts w:cs="Arial"/>
                    </w:rPr>
                  </w:pPr>
                  <w:r w:rsidRPr="00292CB0">
                    <w:rPr>
                      <w:rFonts w:cs="Arial"/>
                    </w:rPr>
                    <w:t>PA consulting</w:t>
                  </w:r>
                </w:p>
              </w:tc>
              <w:tc>
                <w:tcPr>
                  <w:tcW w:w="4514" w:type="dxa"/>
                </w:tcPr>
                <w:p w:rsidR="00292CB0" w:rsidRDefault="00292CB0" w:rsidP="00292CB0">
                  <w:pPr>
                    <w:rPr>
                      <w:rFonts w:cs="Arial"/>
                    </w:rPr>
                  </w:pPr>
                  <w:r w:rsidRPr="00292CB0">
                    <w:rPr>
                      <w:rFonts w:cs="Arial"/>
                    </w:rPr>
                    <w:t xml:space="preserve">PA consulting has been updating the work that </w:t>
                  </w:r>
                  <w:r>
                    <w:rPr>
                      <w:rFonts w:cs="Arial"/>
                    </w:rPr>
                    <w:t>it conducted i</w:t>
                  </w:r>
                  <w:r w:rsidRPr="00292CB0">
                    <w:rPr>
                      <w:rFonts w:cs="Arial"/>
                    </w:rPr>
                    <w:t>n 2017 reviewing HRA Research Systems –this was one of a series of interviews to inform their update review</w:t>
                  </w:r>
                  <w:r>
                    <w:rPr>
                      <w:rFonts w:cs="Arial"/>
                    </w:rPr>
                    <w:t>.</w:t>
                  </w:r>
                </w:p>
                <w:p w:rsidR="00292CB0" w:rsidRDefault="00292CB0" w:rsidP="00292CB0">
                  <w:pPr>
                    <w:rPr>
                      <w:rFonts w:cs="Arial"/>
                    </w:rPr>
                  </w:pPr>
                </w:p>
                <w:p w:rsidR="00292CB0" w:rsidRDefault="00292CB0" w:rsidP="00292CB0">
                  <w:pPr>
                    <w:rPr>
                      <w:rFonts w:cs="Arial"/>
                    </w:rPr>
                  </w:pPr>
                  <w:r>
                    <w:rPr>
                      <w:rFonts w:cs="Arial"/>
                    </w:rPr>
                    <w:t xml:space="preserve">TA confirmed the report, once finalised, would be shared with the Board. </w:t>
                  </w:r>
                </w:p>
                <w:p w:rsidR="00292CB0" w:rsidRPr="00292CB0" w:rsidRDefault="00292CB0" w:rsidP="00292CB0">
                  <w:pPr>
                    <w:rPr>
                      <w:rFonts w:cs="Arial"/>
                    </w:rPr>
                  </w:pPr>
                </w:p>
              </w:tc>
            </w:tr>
            <w:tr w:rsidR="00292CB0" w:rsidRPr="00292CB0" w:rsidTr="00292CB0">
              <w:tc>
                <w:tcPr>
                  <w:tcW w:w="2573" w:type="dxa"/>
                </w:tcPr>
                <w:p w:rsidR="00292CB0" w:rsidRPr="00292CB0" w:rsidRDefault="00292CB0" w:rsidP="00292CB0">
                  <w:pPr>
                    <w:rPr>
                      <w:rFonts w:cs="Arial"/>
                    </w:rPr>
                  </w:pPr>
                  <w:r w:rsidRPr="00292CB0">
                    <w:rPr>
                      <w:rFonts w:cs="Arial"/>
                    </w:rPr>
                    <w:t>REC meetings</w:t>
                  </w:r>
                </w:p>
                <w:p w:rsidR="00292CB0" w:rsidRPr="00292CB0" w:rsidRDefault="00292CB0" w:rsidP="00292CB0">
                  <w:pPr>
                    <w:rPr>
                      <w:rFonts w:cs="Arial"/>
                    </w:rPr>
                  </w:pPr>
                  <w:r w:rsidRPr="00292CB0">
                    <w:rPr>
                      <w:rFonts w:cs="Arial"/>
                    </w:rPr>
                    <w:t>Greater Manchester Central (North West)</w:t>
                  </w:r>
                </w:p>
                <w:p w:rsidR="00292CB0" w:rsidRDefault="00292CB0" w:rsidP="00292CB0">
                  <w:pPr>
                    <w:rPr>
                      <w:rFonts w:cs="Arial"/>
                    </w:rPr>
                  </w:pPr>
                  <w:r w:rsidRPr="00292CB0">
                    <w:rPr>
                      <w:rFonts w:cs="Arial"/>
                    </w:rPr>
                    <w:t>Harrow</w:t>
                  </w:r>
                </w:p>
                <w:p w:rsidR="00292CB0" w:rsidRPr="00292CB0" w:rsidRDefault="00292CB0" w:rsidP="00292CB0">
                  <w:pPr>
                    <w:rPr>
                      <w:rFonts w:cs="Arial"/>
                    </w:rPr>
                  </w:pPr>
                </w:p>
              </w:tc>
              <w:tc>
                <w:tcPr>
                  <w:tcW w:w="4514" w:type="dxa"/>
                </w:tcPr>
                <w:p w:rsidR="00292CB0" w:rsidRPr="00292CB0" w:rsidRDefault="00292CB0" w:rsidP="00292CB0">
                  <w:pPr>
                    <w:rPr>
                      <w:rFonts w:cs="Arial"/>
                    </w:rPr>
                  </w:pPr>
                  <w:r w:rsidRPr="00292CB0">
                    <w:rPr>
                      <w:rFonts w:cs="Arial"/>
                    </w:rPr>
                    <w:t>To observe REC meeting and collect feedback from members that HRA should consider to make it easier for members</w:t>
                  </w:r>
                </w:p>
              </w:tc>
            </w:tr>
            <w:tr w:rsidR="00292CB0" w:rsidRPr="00292CB0" w:rsidTr="00292CB0">
              <w:tc>
                <w:tcPr>
                  <w:tcW w:w="2573" w:type="dxa"/>
                </w:tcPr>
                <w:p w:rsidR="00292CB0" w:rsidRDefault="00292CB0" w:rsidP="00292CB0">
                  <w:pPr>
                    <w:rPr>
                      <w:rFonts w:cs="Arial"/>
                    </w:rPr>
                  </w:pPr>
                  <w:r w:rsidRPr="00292CB0">
                    <w:rPr>
                      <w:rFonts w:cs="Arial"/>
                    </w:rPr>
                    <w:t>ALB CEO meeting with Secretary of State for Health</w:t>
                  </w:r>
                </w:p>
                <w:p w:rsidR="00292CB0" w:rsidRPr="00292CB0" w:rsidRDefault="00292CB0" w:rsidP="00292CB0">
                  <w:pPr>
                    <w:rPr>
                      <w:rFonts w:cs="Arial"/>
                    </w:rPr>
                  </w:pPr>
                </w:p>
              </w:tc>
              <w:tc>
                <w:tcPr>
                  <w:tcW w:w="4514" w:type="dxa"/>
                </w:tcPr>
                <w:p w:rsidR="00292CB0" w:rsidRPr="00292CB0" w:rsidRDefault="00292CB0" w:rsidP="00292CB0">
                  <w:pPr>
                    <w:rPr>
                      <w:rFonts w:cs="Arial"/>
                    </w:rPr>
                  </w:pPr>
                  <w:r w:rsidRPr="00292CB0">
                    <w:rPr>
                      <w:rFonts w:cs="Arial"/>
                    </w:rPr>
                    <w:t>To discuss ALB Brexit readiness</w:t>
                  </w:r>
                </w:p>
              </w:tc>
            </w:tr>
            <w:tr w:rsidR="00292CB0" w:rsidRPr="00292CB0" w:rsidTr="00292CB0">
              <w:tc>
                <w:tcPr>
                  <w:tcW w:w="2573" w:type="dxa"/>
                </w:tcPr>
                <w:p w:rsidR="00292CB0" w:rsidRPr="00292CB0" w:rsidRDefault="00292CB0" w:rsidP="00292CB0">
                  <w:pPr>
                    <w:rPr>
                      <w:rFonts w:cs="Arial"/>
                    </w:rPr>
                  </w:pPr>
                  <w:r w:rsidRPr="00292CB0">
                    <w:rPr>
                      <w:rFonts w:cs="Arial"/>
                    </w:rPr>
                    <w:t>Joint National Committee</w:t>
                  </w:r>
                </w:p>
                <w:p w:rsidR="00292CB0" w:rsidRPr="00292CB0" w:rsidRDefault="00292CB0" w:rsidP="00292CB0">
                  <w:pPr>
                    <w:rPr>
                      <w:rFonts w:cs="Arial"/>
                    </w:rPr>
                  </w:pPr>
                </w:p>
              </w:tc>
              <w:tc>
                <w:tcPr>
                  <w:tcW w:w="4514" w:type="dxa"/>
                </w:tcPr>
                <w:p w:rsidR="00292CB0" w:rsidRDefault="00292CB0" w:rsidP="00292CB0">
                  <w:pPr>
                    <w:rPr>
                      <w:rFonts w:cs="Arial"/>
                    </w:rPr>
                  </w:pPr>
                  <w:r w:rsidRPr="00292CB0">
                    <w:rPr>
                      <w:rFonts w:cs="Arial"/>
                    </w:rPr>
                    <w:t>Quarterly meeting with Unison and Management in Practise to discuss policies and changes impacting on staff</w:t>
                  </w:r>
                </w:p>
                <w:p w:rsidR="00292CB0" w:rsidRPr="00292CB0" w:rsidRDefault="00292CB0" w:rsidP="00292CB0">
                  <w:pPr>
                    <w:rPr>
                      <w:rFonts w:cs="Arial"/>
                    </w:rPr>
                  </w:pPr>
                </w:p>
              </w:tc>
            </w:tr>
            <w:tr w:rsidR="00292CB0" w:rsidRPr="00292CB0" w:rsidTr="00292CB0">
              <w:tc>
                <w:tcPr>
                  <w:tcW w:w="2573" w:type="dxa"/>
                </w:tcPr>
                <w:p w:rsidR="00292CB0" w:rsidRPr="00292CB0" w:rsidRDefault="00292CB0" w:rsidP="00292CB0">
                  <w:pPr>
                    <w:rPr>
                      <w:rFonts w:cs="Arial"/>
                    </w:rPr>
                  </w:pPr>
                  <w:r w:rsidRPr="00292CB0">
                    <w:rPr>
                      <w:rFonts w:cs="Arial"/>
                    </w:rPr>
                    <w:t>CEO Development days at NHS Leadership Academy</w:t>
                  </w:r>
                </w:p>
              </w:tc>
              <w:tc>
                <w:tcPr>
                  <w:tcW w:w="4514" w:type="dxa"/>
                </w:tcPr>
                <w:p w:rsidR="00292CB0" w:rsidRDefault="00292CB0" w:rsidP="00292CB0">
                  <w:pPr>
                    <w:rPr>
                      <w:rFonts w:cs="Arial"/>
                    </w:rPr>
                  </w:pPr>
                  <w:r w:rsidRPr="00292CB0">
                    <w:rPr>
                      <w:rFonts w:cs="Arial"/>
                    </w:rPr>
                    <w:t>Quarterly development session for NHS &amp; Care system CEOs</w:t>
                  </w:r>
                </w:p>
                <w:p w:rsidR="00292CB0" w:rsidRPr="00292CB0" w:rsidRDefault="00292CB0" w:rsidP="00292CB0">
                  <w:pPr>
                    <w:rPr>
                      <w:rFonts w:cs="Arial"/>
                    </w:rPr>
                  </w:pPr>
                </w:p>
              </w:tc>
            </w:tr>
          </w:tbl>
          <w:p w:rsidR="00534629" w:rsidRPr="00292CB0" w:rsidRDefault="00534629" w:rsidP="00292CB0"/>
          <w:p w:rsidR="00E7392D" w:rsidRPr="00292CB0" w:rsidRDefault="00E7392D" w:rsidP="00292CB0">
            <w:pPr>
              <w:jc w:val="both"/>
              <w:rPr>
                <w:rFonts w:cs="Arial"/>
              </w:rPr>
            </w:pPr>
          </w:p>
        </w:tc>
        <w:tc>
          <w:tcPr>
            <w:tcW w:w="1039" w:type="dxa"/>
            <w:shd w:val="clear" w:color="auto" w:fill="auto"/>
          </w:tcPr>
          <w:p w:rsidR="00835249" w:rsidRDefault="00835249" w:rsidP="0025289B">
            <w:pPr>
              <w:jc w:val="center"/>
              <w:rPr>
                <w:rFonts w:cs="Arial"/>
                <w:b/>
              </w:rPr>
            </w:pPr>
          </w:p>
          <w:p w:rsidR="00E24303" w:rsidRDefault="00E24303" w:rsidP="0025289B">
            <w:pPr>
              <w:jc w:val="center"/>
              <w:rPr>
                <w:rFonts w:cs="Arial"/>
                <w:b/>
              </w:rPr>
            </w:pPr>
          </w:p>
          <w:p w:rsidR="00E24303" w:rsidRDefault="00E24303" w:rsidP="0025289B">
            <w:pPr>
              <w:jc w:val="center"/>
              <w:rPr>
                <w:rFonts w:cs="Arial"/>
                <w:b/>
              </w:rPr>
            </w:pPr>
          </w:p>
        </w:tc>
      </w:tr>
      <w:tr w:rsidR="00F27CAD" w:rsidRPr="001657FC" w:rsidTr="003A4715">
        <w:trPr>
          <w:trHeight w:val="295"/>
        </w:trPr>
        <w:tc>
          <w:tcPr>
            <w:tcW w:w="959" w:type="dxa"/>
            <w:shd w:val="clear" w:color="auto" w:fill="auto"/>
          </w:tcPr>
          <w:p w:rsidR="00F27CAD" w:rsidRPr="008446BA" w:rsidRDefault="00F27CAD" w:rsidP="00B205DF">
            <w:pPr>
              <w:numPr>
                <w:ilvl w:val="0"/>
                <w:numId w:val="1"/>
              </w:numPr>
              <w:rPr>
                <w:rFonts w:cs="Arial"/>
                <w:b/>
              </w:rPr>
            </w:pPr>
          </w:p>
        </w:tc>
        <w:tc>
          <w:tcPr>
            <w:tcW w:w="7397" w:type="dxa"/>
            <w:shd w:val="clear" w:color="auto" w:fill="auto"/>
          </w:tcPr>
          <w:p w:rsidR="000E11DF" w:rsidRPr="00292CB0" w:rsidRDefault="000E11DF" w:rsidP="00292CB0">
            <w:pPr>
              <w:rPr>
                <w:rFonts w:cstheme="minorHAnsi"/>
                <w:b/>
              </w:rPr>
            </w:pPr>
            <w:r w:rsidRPr="00292CB0">
              <w:rPr>
                <w:rFonts w:cstheme="minorHAnsi"/>
                <w:b/>
              </w:rPr>
              <w:t>HRA Directorate update</w:t>
            </w:r>
          </w:p>
          <w:p w:rsidR="007C71A1" w:rsidRDefault="007C71A1" w:rsidP="00292CB0">
            <w:pPr>
              <w:rPr>
                <w:rFonts w:cstheme="minorHAnsi"/>
                <w:b/>
              </w:rPr>
            </w:pPr>
          </w:p>
          <w:p w:rsidR="00292CB0" w:rsidRDefault="00292CB0" w:rsidP="00292CB0">
            <w:pPr>
              <w:rPr>
                <w:rFonts w:cs="Arial"/>
              </w:rPr>
            </w:pPr>
            <w:r w:rsidRPr="00292CB0">
              <w:rPr>
                <w:rFonts w:cs="Arial"/>
              </w:rPr>
              <w:t>The following update from</w:t>
            </w:r>
            <w:r>
              <w:rPr>
                <w:rFonts w:cs="Arial"/>
              </w:rPr>
              <w:t xml:space="preserve"> the HRA Directors</w:t>
            </w:r>
            <w:r w:rsidRPr="00292CB0">
              <w:rPr>
                <w:rFonts w:cs="Arial"/>
              </w:rPr>
              <w:t xml:space="preserve"> was tabled at the meeting:</w:t>
            </w:r>
          </w:p>
          <w:p w:rsidR="00292CB0" w:rsidRDefault="00292CB0" w:rsidP="00292CB0">
            <w:pPr>
              <w:rPr>
                <w:rFonts w:cstheme="minorHAnsi"/>
                <w:b/>
              </w:rPr>
            </w:pPr>
          </w:p>
          <w:p w:rsidR="00292CB0" w:rsidRPr="00292CB0" w:rsidRDefault="00292CB0" w:rsidP="00292CB0">
            <w:pPr>
              <w:rPr>
                <w:rFonts w:cs="Arial"/>
                <w:b/>
                <w:u w:val="single"/>
              </w:rPr>
            </w:pPr>
            <w:r w:rsidRPr="00292CB0">
              <w:rPr>
                <w:rFonts w:cs="Arial"/>
                <w:b/>
                <w:u w:val="single"/>
              </w:rPr>
              <w:t>Approvals Directorate</w:t>
            </w:r>
          </w:p>
          <w:p w:rsidR="00292CB0" w:rsidRPr="00292CB0" w:rsidRDefault="00292CB0" w:rsidP="00292CB0">
            <w:pPr>
              <w:rPr>
                <w:rFonts w:cs="Arial"/>
                <w:b/>
              </w:rPr>
            </w:pPr>
          </w:p>
          <w:p w:rsidR="00292CB0" w:rsidRPr="00292CB0" w:rsidRDefault="00292CB0" w:rsidP="00292CB0">
            <w:pPr>
              <w:rPr>
                <w:rFonts w:cs="Arial"/>
                <w:b/>
              </w:rPr>
            </w:pPr>
            <w:r w:rsidRPr="00292CB0">
              <w:rPr>
                <w:rFonts w:cs="Arial"/>
                <w:b/>
              </w:rPr>
              <w:t xml:space="preserve">Approvals Service </w:t>
            </w:r>
          </w:p>
          <w:p w:rsidR="00292CB0" w:rsidRPr="00292CB0" w:rsidRDefault="00292CB0" w:rsidP="00292CB0">
            <w:pPr>
              <w:rPr>
                <w:rFonts w:cs="Arial"/>
              </w:rPr>
            </w:pPr>
          </w:p>
          <w:p w:rsidR="00292CB0" w:rsidRPr="00292CB0" w:rsidRDefault="00292CB0" w:rsidP="00292CB0">
            <w:pPr>
              <w:rPr>
                <w:rFonts w:cs="Arial"/>
              </w:rPr>
            </w:pPr>
            <w:r w:rsidRPr="00292CB0">
              <w:rPr>
                <w:rFonts w:cs="Arial"/>
              </w:rPr>
              <w:t>The new post of Deputy Director of Approvals Service has been appointed to. Jonathan Fennelly-Barnwell, previously Head of Collaboration &amp; Development, started on 1 January. He will deputise for the Director across all areas of the directorate.</w:t>
            </w:r>
          </w:p>
          <w:p w:rsidR="00292CB0" w:rsidRPr="00292CB0" w:rsidRDefault="00292CB0" w:rsidP="00292CB0">
            <w:pPr>
              <w:rPr>
                <w:rFonts w:cs="Arial"/>
              </w:rPr>
            </w:pPr>
          </w:p>
          <w:p w:rsidR="00292CB0" w:rsidRPr="00292CB0" w:rsidRDefault="00292CB0" w:rsidP="00292CB0">
            <w:pPr>
              <w:rPr>
                <w:rFonts w:cs="Arial"/>
                <w:b/>
              </w:rPr>
            </w:pPr>
            <w:r w:rsidRPr="00292CB0">
              <w:rPr>
                <w:rFonts w:cs="Arial"/>
                <w:b/>
              </w:rPr>
              <w:t>HRA Approval</w:t>
            </w:r>
          </w:p>
          <w:p w:rsidR="00292CB0" w:rsidRPr="00292CB0" w:rsidRDefault="00292CB0" w:rsidP="00292CB0">
            <w:pPr>
              <w:rPr>
                <w:rFonts w:cs="Arial"/>
                <w:b/>
              </w:rPr>
            </w:pPr>
          </w:p>
          <w:p w:rsidR="00292CB0" w:rsidRPr="00292CB0" w:rsidRDefault="00292CB0" w:rsidP="00292CB0">
            <w:pPr>
              <w:rPr>
                <w:rFonts w:cs="Arial"/>
              </w:rPr>
            </w:pPr>
            <w:r w:rsidRPr="00292CB0">
              <w:rPr>
                <w:rFonts w:cs="Arial"/>
              </w:rPr>
              <w:t xml:space="preserve">We have completed the allocation process for all staff in the new Approvals Operations and Approvals Support divisions within the directorate. All staff were informed on 21 January as planned. As planned we were able to meet a small number of requests for voluntary redundancy as part of the process. We </w:t>
            </w:r>
            <w:r w:rsidRPr="00292CB0">
              <w:rPr>
                <w:rFonts w:cs="Arial"/>
              </w:rPr>
              <w:lastRenderedPageBreak/>
              <w:t>did not have to make any compulsory redundancies.</w:t>
            </w:r>
          </w:p>
          <w:p w:rsidR="00292CB0" w:rsidRPr="00292CB0" w:rsidRDefault="00292CB0" w:rsidP="00292CB0">
            <w:pPr>
              <w:rPr>
                <w:rFonts w:cs="Arial"/>
              </w:rPr>
            </w:pPr>
          </w:p>
          <w:p w:rsidR="00292CB0" w:rsidRPr="00292CB0" w:rsidRDefault="00292CB0" w:rsidP="00292CB0">
            <w:pPr>
              <w:rPr>
                <w:rFonts w:cs="Arial"/>
              </w:rPr>
            </w:pPr>
            <w:r w:rsidRPr="00292CB0">
              <w:rPr>
                <w:rFonts w:cs="Arial"/>
              </w:rPr>
              <w:t xml:space="preserve">I am particularly grateful to Chris Cannaby, Head of the new Approvals Operations division and Ann Tunley, Head of the new Approvals Support Division, who have travelled the country interviewing over 100 staff, with support from our HR team and other managers. Steph Macpherson and Charlotte Allen marked all the assessments. We kept the team small to ensure fairness and consistency. This has been a significant task which has been admirably coordinated by Jonathan Fennelly-Barnwell supported by Traci Pollitt. </w:t>
            </w:r>
          </w:p>
          <w:p w:rsidR="00292CB0" w:rsidRPr="00292CB0" w:rsidRDefault="00292CB0" w:rsidP="00292CB0">
            <w:pPr>
              <w:rPr>
                <w:rFonts w:cs="Arial"/>
              </w:rPr>
            </w:pPr>
          </w:p>
          <w:p w:rsidR="00292CB0" w:rsidRPr="00292CB0" w:rsidRDefault="00292CB0" w:rsidP="00292CB0">
            <w:pPr>
              <w:rPr>
                <w:rFonts w:cs="Arial"/>
              </w:rPr>
            </w:pPr>
            <w:r w:rsidRPr="00292CB0">
              <w:rPr>
                <w:rFonts w:cs="Arial"/>
              </w:rPr>
              <w:t>We plan to implement the new structure from the beginning of April, and have a programme in place to manage the handover of tasks and the implementation of new work activities. Dedicated training days have been scheduled, to include team-building.</w:t>
            </w:r>
          </w:p>
          <w:p w:rsidR="00292CB0" w:rsidRPr="00292CB0" w:rsidRDefault="00292CB0" w:rsidP="00292CB0">
            <w:pPr>
              <w:rPr>
                <w:rFonts w:cs="Arial"/>
              </w:rPr>
            </w:pPr>
          </w:p>
          <w:p w:rsidR="00292CB0" w:rsidRPr="00292CB0" w:rsidRDefault="00292CB0" w:rsidP="00292CB0">
            <w:pPr>
              <w:rPr>
                <w:rFonts w:cs="Arial"/>
              </w:rPr>
            </w:pPr>
            <w:r w:rsidRPr="00292CB0">
              <w:rPr>
                <w:rFonts w:cs="Arial"/>
              </w:rPr>
              <w:t>We have liaised closely with colleagues in Wales throughout this process as they have gone through a mirror process with their teams. This will allow the teams across England and Wales to follow the same work instructions and processes.</w:t>
            </w:r>
          </w:p>
          <w:p w:rsidR="00292CB0" w:rsidRPr="00292CB0" w:rsidRDefault="00292CB0" w:rsidP="00292CB0">
            <w:pPr>
              <w:rPr>
                <w:rFonts w:cs="Arial"/>
              </w:rPr>
            </w:pPr>
          </w:p>
          <w:p w:rsidR="00292CB0" w:rsidRPr="00292CB0" w:rsidRDefault="00292CB0" w:rsidP="00292CB0">
            <w:pPr>
              <w:rPr>
                <w:rFonts w:cs="Arial"/>
              </w:rPr>
            </w:pPr>
            <w:r w:rsidRPr="00292CB0">
              <w:rPr>
                <w:rFonts w:cs="Arial"/>
              </w:rPr>
              <w:t>Performance has remained excellent throughout this process, due to the commitment of the teams and we continue to be grateful to them for engaging productively in the process.</w:t>
            </w:r>
          </w:p>
          <w:p w:rsidR="00292CB0" w:rsidRPr="00292CB0" w:rsidRDefault="00292CB0" w:rsidP="00292CB0">
            <w:pPr>
              <w:rPr>
                <w:rFonts w:cs="Arial"/>
              </w:rPr>
            </w:pPr>
          </w:p>
          <w:p w:rsidR="00292CB0" w:rsidRPr="00292CB0" w:rsidRDefault="00292CB0" w:rsidP="00292CB0">
            <w:pPr>
              <w:rPr>
                <w:rFonts w:cs="Arial"/>
                <w:b/>
              </w:rPr>
            </w:pPr>
            <w:r w:rsidRPr="00292CB0">
              <w:rPr>
                <w:rFonts w:cs="Arial"/>
                <w:b/>
              </w:rPr>
              <w:t>Technical Assurance</w:t>
            </w:r>
          </w:p>
          <w:p w:rsidR="00292CB0" w:rsidRPr="00292CB0" w:rsidRDefault="00292CB0" w:rsidP="00292CB0">
            <w:pPr>
              <w:rPr>
                <w:rFonts w:cs="Arial"/>
                <w:b/>
              </w:rPr>
            </w:pPr>
          </w:p>
          <w:p w:rsidR="00292CB0" w:rsidRPr="00292CB0" w:rsidRDefault="00292CB0" w:rsidP="00292CB0">
            <w:pPr>
              <w:rPr>
                <w:rFonts w:cs="Arial"/>
              </w:rPr>
            </w:pPr>
            <w:r w:rsidRPr="00292CB0">
              <w:rPr>
                <w:rFonts w:cs="Arial"/>
              </w:rPr>
              <w:t>The roll-out of radiation technical assurance continues with a steady flow of applications. Although we expected a time lag from launch in October to the arrival of applications for pharmacy technical assurance, the number of applications is disappointingly low. We are discussing the timing of these applications as we are concerned that applicants are worried that pharmacy assurance might delay approval, and do not appreciate the benefit in terms of reduction of delay at site set-up.</w:t>
            </w:r>
          </w:p>
          <w:p w:rsidR="00292CB0" w:rsidRPr="00292CB0" w:rsidRDefault="00292CB0" w:rsidP="00292CB0">
            <w:pPr>
              <w:rPr>
                <w:rFonts w:cs="Arial"/>
              </w:rPr>
            </w:pPr>
          </w:p>
          <w:p w:rsidR="00292CB0" w:rsidRPr="00292CB0" w:rsidRDefault="00292CB0" w:rsidP="00292CB0">
            <w:pPr>
              <w:rPr>
                <w:rFonts w:cs="Arial"/>
                <w:b/>
              </w:rPr>
            </w:pPr>
            <w:r w:rsidRPr="00292CB0">
              <w:rPr>
                <w:rFonts w:cs="Arial"/>
                <w:b/>
              </w:rPr>
              <w:t>Confidentiality Advice Team</w:t>
            </w:r>
          </w:p>
          <w:p w:rsidR="00292CB0" w:rsidRPr="00292CB0" w:rsidRDefault="00292CB0" w:rsidP="00292CB0">
            <w:pPr>
              <w:rPr>
                <w:rFonts w:cs="Arial"/>
                <w:b/>
              </w:rPr>
            </w:pPr>
          </w:p>
          <w:p w:rsidR="00292CB0" w:rsidRPr="00292CB0" w:rsidRDefault="00292CB0" w:rsidP="00292CB0">
            <w:pPr>
              <w:rPr>
                <w:rFonts w:cs="Arial"/>
              </w:rPr>
            </w:pPr>
            <w:r w:rsidRPr="00292CB0">
              <w:rPr>
                <w:rFonts w:cs="Arial"/>
              </w:rPr>
              <w:t>We continue to engage closely with NHS Digital, Public Health England, Clinical Practice Research Datalink, and Medical Research Council to streamline and align our processes.</w:t>
            </w:r>
          </w:p>
          <w:p w:rsidR="00292CB0" w:rsidRPr="00292CB0" w:rsidRDefault="00292CB0" w:rsidP="00292CB0">
            <w:pPr>
              <w:rPr>
                <w:rFonts w:cs="Arial"/>
              </w:rPr>
            </w:pPr>
            <w:r w:rsidRPr="00292CB0">
              <w:rPr>
                <w:rFonts w:cs="Arial"/>
              </w:rPr>
              <w:t xml:space="preserve"> </w:t>
            </w:r>
          </w:p>
          <w:p w:rsidR="00292CB0" w:rsidRPr="00292CB0" w:rsidRDefault="00292CB0" w:rsidP="00292CB0">
            <w:pPr>
              <w:rPr>
                <w:rFonts w:cs="Arial"/>
              </w:rPr>
            </w:pPr>
            <w:r w:rsidRPr="00292CB0">
              <w:rPr>
                <w:rFonts w:cs="Arial"/>
              </w:rPr>
              <w:t xml:space="preserve">Natasha Dunkley maintains close links with the National Data Guardian’s office. A new Act </w:t>
            </w:r>
            <w:r w:rsidRPr="00292CB0">
              <w:rPr>
                <w:rFonts w:cs="Arial"/>
                <w:i/>
              </w:rPr>
              <w:t>Health and Social Care (National Data Guardian) Act 2018</w:t>
            </w:r>
            <w:r w:rsidRPr="00292CB0">
              <w:rPr>
                <w:rFonts w:cs="Arial"/>
              </w:rPr>
              <w:t xml:space="preserve"> to place the National Data Guardian on a statutory footing was published 20 December 2018. However, it is not yet in effect until new regulations are laid via statutory instrument.</w:t>
            </w:r>
          </w:p>
          <w:p w:rsidR="00292CB0" w:rsidRPr="00292CB0" w:rsidRDefault="00292CB0" w:rsidP="00292CB0">
            <w:pPr>
              <w:rPr>
                <w:rFonts w:cs="Arial"/>
              </w:rPr>
            </w:pPr>
          </w:p>
          <w:p w:rsidR="00292CB0" w:rsidRPr="00292CB0" w:rsidRDefault="00292CB0" w:rsidP="00292CB0">
            <w:pPr>
              <w:rPr>
                <w:rFonts w:cs="Arial"/>
                <w:b/>
              </w:rPr>
            </w:pPr>
            <w:r w:rsidRPr="00292CB0">
              <w:rPr>
                <w:rFonts w:cs="Arial"/>
                <w:b/>
              </w:rPr>
              <w:t>Programme activities</w:t>
            </w:r>
          </w:p>
          <w:p w:rsidR="00292CB0" w:rsidRPr="00292CB0" w:rsidRDefault="00292CB0" w:rsidP="00292CB0">
            <w:pPr>
              <w:rPr>
                <w:rFonts w:cs="Arial"/>
                <w:b/>
              </w:rPr>
            </w:pPr>
          </w:p>
          <w:p w:rsidR="00292CB0" w:rsidRPr="00292CB0" w:rsidRDefault="00292CB0" w:rsidP="00292CB0">
            <w:pPr>
              <w:rPr>
                <w:rFonts w:eastAsia="Times New Roman" w:cs="Arial"/>
              </w:rPr>
            </w:pPr>
            <w:r w:rsidRPr="00292CB0">
              <w:rPr>
                <w:rFonts w:eastAsia="Times New Roman" w:cs="Arial"/>
              </w:rPr>
              <w:t xml:space="preserve">The HRA and MHRA have been piloting a more streamlined process for the submission and review of applications to run clinical trials in the UK. The process aligns with the requirements of the future EU Clinical Trial Regulation and therefore will help to prepare the UK for a future regulatory landscape.  The pilot is progressing well, and we are receiving positive survey responses from </w:t>
            </w:r>
            <w:r w:rsidRPr="00292CB0">
              <w:rPr>
                <w:rFonts w:eastAsia="Times New Roman" w:cs="Arial"/>
              </w:rPr>
              <w:lastRenderedPageBreak/>
              <w:t>applicants to help us refine the process, and we continue to develop templates and guidance to support applicants.</w:t>
            </w:r>
          </w:p>
          <w:p w:rsidR="00292CB0" w:rsidRPr="00292CB0" w:rsidRDefault="00292CB0" w:rsidP="00292CB0">
            <w:pPr>
              <w:rPr>
                <w:rFonts w:eastAsia="Times New Roman" w:cs="Arial"/>
              </w:rPr>
            </w:pPr>
          </w:p>
          <w:p w:rsidR="00292CB0" w:rsidRPr="00292CB0" w:rsidRDefault="00292CB0" w:rsidP="00292CB0">
            <w:pPr>
              <w:rPr>
                <w:rFonts w:eastAsia="Times New Roman" w:cs="Arial"/>
              </w:rPr>
            </w:pPr>
            <w:r w:rsidRPr="00292CB0">
              <w:rPr>
                <w:rFonts w:eastAsia="Times New Roman" w:cs="Arial"/>
              </w:rPr>
              <w:t>Work is now well underway to build the application, interfaces and workflow to support this new process. We have built the application on a new IRAS platform, which is based on the future EU Clinical Trial Information System, and are working on electronic interfaces to the HRA’s and MHRA’s case management systems. A plan for careful testing and roll out is being developed with MHRA.</w:t>
            </w:r>
          </w:p>
          <w:p w:rsidR="00292CB0" w:rsidRPr="00292CB0" w:rsidRDefault="00292CB0" w:rsidP="00292CB0">
            <w:pPr>
              <w:rPr>
                <w:rFonts w:eastAsia="Times New Roman" w:cs="Arial"/>
              </w:rPr>
            </w:pPr>
          </w:p>
          <w:p w:rsidR="00292CB0" w:rsidRPr="00292CB0" w:rsidRDefault="00292CB0" w:rsidP="00292CB0">
            <w:pPr>
              <w:rPr>
                <w:rFonts w:cs="Arial"/>
              </w:rPr>
            </w:pPr>
            <w:r w:rsidRPr="00292CB0">
              <w:rPr>
                <w:rFonts w:cs="Arial"/>
              </w:rPr>
              <w:t>GDPR continues to take up a lot of resource across the team in updating resources and advising the research community. We continue to receive positive feedback on our approach and support to the community. Staff have been asked to present on GDPR at meetings in Brussels and San Francisco.</w:t>
            </w:r>
          </w:p>
          <w:p w:rsidR="00292CB0" w:rsidRPr="00292CB0" w:rsidRDefault="00292CB0" w:rsidP="00292CB0">
            <w:pPr>
              <w:rPr>
                <w:rFonts w:cs="Arial"/>
              </w:rPr>
            </w:pPr>
          </w:p>
          <w:p w:rsidR="00292CB0" w:rsidRPr="00292CB0" w:rsidRDefault="00292CB0" w:rsidP="00292CB0">
            <w:pPr>
              <w:rPr>
                <w:rFonts w:cs="Arial"/>
              </w:rPr>
            </w:pPr>
            <w:r w:rsidRPr="00292CB0">
              <w:rPr>
                <w:rFonts w:cs="Arial"/>
              </w:rPr>
              <w:t>Work with UK colleagues, led by Mary Cubitt, to further coordinate and streamline arrangements across the four nations continues productively. We have agreed collectively that in the summer we will implement a single template for a Local Information Pack for use between sponsor and site. This builds on the templates tested in HRA/HCRW Approval in England and Wales, and will replace the Site-Specific Information (SSI) Forms in use in Scotland and Northern Ireland. This will provide an interim stage towards integration into new IRAS in due course.</w:t>
            </w:r>
          </w:p>
          <w:p w:rsidR="00292CB0" w:rsidRPr="00292CB0" w:rsidRDefault="00292CB0" w:rsidP="00292CB0">
            <w:pPr>
              <w:rPr>
                <w:rFonts w:cs="Arial"/>
              </w:rPr>
            </w:pPr>
          </w:p>
          <w:p w:rsidR="00292CB0" w:rsidRPr="00292CB0" w:rsidRDefault="00292CB0" w:rsidP="00292CB0">
            <w:pPr>
              <w:rPr>
                <w:rFonts w:cs="Arial"/>
              </w:rPr>
            </w:pPr>
            <w:r w:rsidRPr="00292CB0">
              <w:rPr>
                <w:rFonts w:cs="Arial"/>
              </w:rPr>
              <w:t xml:space="preserve">We continue to support the programme led by NHS England and the NIHR Clinical Research Network relating to Excess Treatment Costs and commercial contract research. </w:t>
            </w:r>
          </w:p>
          <w:p w:rsidR="00292CB0" w:rsidRPr="00292CB0" w:rsidRDefault="00292CB0" w:rsidP="00292CB0">
            <w:pPr>
              <w:rPr>
                <w:rFonts w:cs="Arial"/>
              </w:rPr>
            </w:pPr>
          </w:p>
          <w:p w:rsidR="00292CB0" w:rsidRPr="00292CB0" w:rsidRDefault="00292CB0" w:rsidP="00292CB0">
            <w:pPr>
              <w:rPr>
                <w:rFonts w:cs="Arial"/>
                <w:b/>
              </w:rPr>
            </w:pPr>
            <w:r w:rsidRPr="00292CB0">
              <w:rPr>
                <w:rFonts w:cs="Arial"/>
                <w:b/>
              </w:rPr>
              <w:t>Learning and Development</w:t>
            </w:r>
          </w:p>
          <w:p w:rsidR="00292CB0" w:rsidRPr="00292CB0" w:rsidRDefault="00292CB0" w:rsidP="00292CB0">
            <w:pPr>
              <w:rPr>
                <w:rFonts w:cs="Arial"/>
                <w:b/>
              </w:rPr>
            </w:pPr>
          </w:p>
          <w:p w:rsidR="00292CB0" w:rsidRPr="00292CB0" w:rsidRDefault="00292CB0" w:rsidP="00292CB0">
            <w:pPr>
              <w:rPr>
                <w:rFonts w:eastAsia="Times New Roman" w:cs="Arial"/>
              </w:rPr>
            </w:pPr>
            <w:r w:rsidRPr="00292CB0">
              <w:rPr>
                <w:rFonts w:eastAsia="Times New Roman" w:cs="Arial"/>
              </w:rPr>
              <w:t>We had a very productive annual National Chairs’ Day in December, which included workshops exploring the value of REC review, considering social media in research and discussing mental health research.</w:t>
            </w:r>
          </w:p>
          <w:p w:rsidR="00292CB0" w:rsidRPr="00292CB0" w:rsidRDefault="00292CB0" w:rsidP="00292CB0">
            <w:pPr>
              <w:rPr>
                <w:rFonts w:eastAsia="Times New Roman" w:cs="Arial"/>
              </w:rPr>
            </w:pPr>
          </w:p>
          <w:p w:rsidR="00292CB0" w:rsidRPr="00292CB0" w:rsidRDefault="00292CB0" w:rsidP="00292CB0">
            <w:pPr>
              <w:rPr>
                <w:rFonts w:eastAsia="Times New Roman" w:cs="Arial"/>
              </w:rPr>
            </w:pPr>
            <w:r w:rsidRPr="00292CB0">
              <w:rPr>
                <w:rFonts w:eastAsia="Times New Roman" w:cs="Arial"/>
              </w:rPr>
              <w:t xml:space="preserve">The new Learning Management System was launched in December and is accessed from the HRA website. This follows considerable work from the training team led by Jane Thompson, ensuring that this brand new product provides an intuitive system for staff, volunteer members and the research community. It is suitable for use with mobiles, tablets and computers. We will now be able to grow the range of different types of resources and learning materials available. Our collaboration with others means that we will balance providing materials that others can use or signpost to, with drawing on resources developed by others. </w:t>
            </w:r>
          </w:p>
          <w:p w:rsidR="00292CB0" w:rsidRPr="00292CB0" w:rsidRDefault="00292CB0" w:rsidP="00292CB0">
            <w:pPr>
              <w:rPr>
                <w:rFonts w:eastAsia="Times New Roman" w:cs="Arial"/>
              </w:rPr>
            </w:pPr>
          </w:p>
          <w:p w:rsidR="00292CB0" w:rsidRPr="00292CB0" w:rsidRDefault="00292CB0" w:rsidP="00292CB0">
            <w:pPr>
              <w:rPr>
                <w:rFonts w:eastAsia="Times New Roman" w:cs="Arial"/>
              </w:rPr>
            </w:pPr>
            <w:r w:rsidRPr="00292CB0">
              <w:rPr>
                <w:rFonts w:eastAsia="Times New Roman" w:cs="Arial"/>
              </w:rPr>
              <w:t>The guidance team and learning team are working with the Human Tissue Authority (HTA) to expand our human tissue e-learning module to include more information about establishing and overseeing research tissue banks.</w:t>
            </w:r>
          </w:p>
          <w:p w:rsidR="00292CB0" w:rsidRPr="00292CB0" w:rsidRDefault="00292CB0" w:rsidP="00292CB0">
            <w:pPr>
              <w:rPr>
                <w:rFonts w:eastAsia="Times New Roman" w:cs="Arial"/>
              </w:rPr>
            </w:pPr>
          </w:p>
          <w:p w:rsidR="00292CB0" w:rsidRPr="00292CB0" w:rsidRDefault="00292CB0" w:rsidP="00292CB0">
            <w:pPr>
              <w:rPr>
                <w:rFonts w:eastAsia="Times New Roman" w:cs="Arial"/>
                <w:b/>
              </w:rPr>
            </w:pPr>
            <w:r w:rsidRPr="00292CB0">
              <w:rPr>
                <w:rFonts w:eastAsia="Times New Roman" w:cs="Arial"/>
                <w:b/>
              </w:rPr>
              <w:t xml:space="preserve">Guidance and Advice </w:t>
            </w:r>
          </w:p>
          <w:p w:rsidR="00292CB0" w:rsidRPr="00292CB0" w:rsidRDefault="00292CB0" w:rsidP="00292CB0">
            <w:pPr>
              <w:rPr>
                <w:rFonts w:eastAsia="Times New Roman" w:cs="Arial"/>
                <w:b/>
              </w:rPr>
            </w:pPr>
          </w:p>
          <w:p w:rsidR="00292CB0" w:rsidRPr="00292CB0" w:rsidRDefault="00292CB0" w:rsidP="00292CB0">
            <w:pPr>
              <w:rPr>
                <w:rFonts w:eastAsia="Times New Roman" w:cs="Arial"/>
              </w:rPr>
            </w:pPr>
            <w:r w:rsidRPr="00292CB0">
              <w:rPr>
                <w:rFonts w:eastAsia="Times New Roman" w:cs="Arial"/>
              </w:rPr>
              <w:t xml:space="preserve">The customer support workstream of the Service Improvement Programme continues to be developed. This includes consideration of the value of </w:t>
            </w:r>
            <w:r w:rsidRPr="00292CB0">
              <w:rPr>
                <w:rFonts w:eastAsia="Times New Roman" w:cs="Arial"/>
              </w:rPr>
              <w:lastRenderedPageBreak/>
              <w:t>implementing Customer Relationship Management software.</w:t>
            </w:r>
          </w:p>
          <w:p w:rsidR="00292CB0" w:rsidRPr="00292CB0" w:rsidRDefault="00292CB0" w:rsidP="00292CB0">
            <w:pPr>
              <w:rPr>
                <w:rFonts w:eastAsia="Times New Roman" w:cs="Arial"/>
              </w:rPr>
            </w:pPr>
          </w:p>
          <w:p w:rsidR="00292CB0" w:rsidRPr="00292CB0" w:rsidRDefault="00292CB0" w:rsidP="00292CB0">
            <w:pPr>
              <w:rPr>
                <w:rFonts w:eastAsia="Times New Roman" w:cs="Arial"/>
              </w:rPr>
            </w:pPr>
            <w:r w:rsidRPr="00292CB0">
              <w:rPr>
                <w:rFonts w:eastAsia="Times New Roman" w:cs="Arial"/>
              </w:rPr>
              <w:t>Initial meetings have been held with the devices team from the Medicines and Healthcare products Regulatory Agency (MHRA) to support dissemination of guidance to the research community in relation to changes in regulation of medical devices.</w:t>
            </w:r>
          </w:p>
          <w:p w:rsidR="00292CB0" w:rsidRPr="00292CB0" w:rsidRDefault="00292CB0" w:rsidP="00292CB0">
            <w:pPr>
              <w:rPr>
                <w:rFonts w:eastAsia="Times New Roman" w:cs="Arial"/>
              </w:rPr>
            </w:pPr>
          </w:p>
          <w:p w:rsidR="00292CB0" w:rsidRPr="00292CB0" w:rsidRDefault="00292CB0" w:rsidP="00292CB0">
            <w:pPr>
              <w:rPr>
                <w:rFonts w:eastAsia="Times New Roman" w:cs="Arial"/>
              </w:rPr>
            </w:pPr>
            <w:r w:rsidRPr="00292CB0">
              <w:rPr>
                <w:rFonts w:eastAsia="Times New Roman" w:cs="Arial"/>
              </w:rPr>
              <w:t>With the radiation professional community we have issued updated guidance on the definition of research exposures to radiation, to address an area of long-standing confusion.</w:t>
            </w:r>
          </w:p>
          <w:p w:rsidR="00292CB0" w:rsidRPr="00292CB0" w:rsidRDefault="00292CB0" w:rsidP="00292CB0">
            <w:pPr>
              <w:rPr>
                <w:rFonts w:eastAsia="Times New Roman" w:cs="Arial"/>
              </w:rPr>
            </w:pPr>
          </w:p>
          <w:p w:rsidR="00292CB0" w:rsidRPr="00292CB0" w:rsidRDefault="00292CB0" w:rsidP="00292CB0">
            <w:pPr>
              <w:rPr>
                <w:rFonts w:eastAsia="Times New Roman" w:cs="Arial"/>
              </w:rPr>
            </w:pPr>
            <w:r w:rsidRPr="00292CB0">
              <w:rPr>
                <w:rFonts w:eastAsia="Times New Roman" w:cs="Arial"/>
              </w:rPr>
              <w:t>The guidance team are working with the communications team to ensure that we take a planned approach to making our website compatible with new regulations applying to public sector websites. The new requirements mean that we need to move away from downloadable files for material that is for online use. This provides an opportunity to review our extensive library of guidance and plan for updates, reformatting for web presentation or removal. We have identified a number of files that the HRA has developed as templates for the research community to use, for example standard emails for research sites to use with sponsors, and model contracts for use between sponsors and sites. These would be impossible for third parties to use if provided in web format. We have reviewed these and confirmed that as these are not intended for online use, they are outside the scope of these new regulations. In future it may be possible to support direct communication between sponsors and sites on some of these matters through further development of new IRAS, funding permitting.</w:t>
            </w:r>
          </w:p>
          <w:p w:rsidR="00292CB0" w:rsidRPr="00292CB0" w:rsidRDefault="00292CB0" w:rsidP="00292CB0">
            <w:pPr>
              <w:rPr>
                <w:rFonts w:eastAsia="Times New Roman" w:cs="Arial"/>
              </w:rPr>
            </w:pPr>
          </w:p>
          <w:p w:rsidR="00292CB0" w:rsidRPr="00292CB0" w:rsidRDefault="00292CB0" w:rsidP="00292CB0">
            <w:pPr>
              <w:rPr>
                <w:rFonts w:eastAsia="Times New Roman" w:cs="Arial"/>
              </w:rPr>
            </w:pPr>
            <w:r w:rsidRPr="00292CB0">
              <w:rPr>
                <w:rFonts w:eastAsia="Times New Roman" w:cs="Arial"/>
              </w:rPr>
              <w:t>Sue Bourne, Head of Guidance &amp; Advice is also Chair of the IRAS Partners. This group has been developing communications plans for new IRAS, and taking forward user acceptance testing and feedback as functionality is developed.</w:t>
            </w:r>
          </w:p>
          <w:p w:rsidR="00292CB0" w:rsidRPr="00292CB0" w:rsidRDefault="00292CB0" w:rsidP="00292CB0">
            <w:pPr>
              <w:rPr>
                <w:rFonts w:eastAsia="Times New Roman" w:cs="Arial"/>
              </w:rPr>
            </w:pPr>
          </w:p>
          <w:p w:rsidR="00292CB0" w:rsidRPr="00292CB0" w:rsidRDefault="00292CB0" w:rsidP="00292CB0">
            <w:pPr>
              <w:rPr>
                <w:rFonts w:eastAsia="Times New Roman" w:cs="Arial"/>
                <w:b/>
              </w:rPr>
            </w:pPr>
            <w:r w:rsidRPr="00292CB0">
              <w:rPr>
                <w:rFonts w:eastAsia="Times New Roman" w:cs="Arial"/>
                <w:b/>
              </w:rPr>
              <w:t>Collaboration &amp; Development</w:t>
            </w:r>
          </w:p>
          <w:p w:rsidR="00292CB0" w:rsidRPr="00292CB0" w:rsidRDefault="00292CB0" w:rsidP="00292CB0">
            <w:pPr>
              <w:rPr>
                <w:rFonts w:eastAsia="Times New Roman" w:cs="Arial"/>
                <w:b/>
              </w:rPr>
            </w:pPr>
          </w:p>
          <w:p w:rsidR="00292CB0" w:rsidRPr="00292CB0" w:rsidRDefault="00292CB0" w:rsidP="00292CB0">
            <w:pPr>
              <w:rPr>
                <w:rFonts w:eastAsia="Times New Roman" w:cs="Arial"/>
              </w:rPr>
            </w:pPr>
            <w:r w:rsidRPr="00292CB0">
              <w:rPr>
                <w:rFonts w:eastAsia="Times New Roman" w:cs="Arial"/>
              </w:rPr>
              <w:t xml:space="preserve">Following consultation with staff, we have confirmed that the Collaboration &amp; Development team will be disbanded. Many of the engagement and development activities will be taken forward by the Policy Team and its new staff. </w:t>
            </w:r>
          </w:p>
          <w:p w:rsidR="00292CB0" w:rsidRPr="00292CB0" w:rsidRDefault="00292CB0" w:rsidP="00292CB0">
            <w:pPr>
              <w:rPr>
                <w:rFonts w:eastAsia="Times New Roman" w:cs="Arial"/>
              </w:rPr>
            </w:pPr>
          </w:p>
          <w:p w:rsidR="00292CB0" w:rsidRPr="00292CB0" w:rsidRDefault="00292CB0" w:rsidP="00292CB0">
            <w:pPr>
              <w:rPr>
                <w:rFonts w:eastAsia="Times New Roman" w:cs="Arial"/>
              </w:rPr>
            </w:pPr>
            <w:r w:rsidRPr="00292CB0">
              <w:rPr>
                <w:rFonts w:eastAsia="Times New Roman" w:cs="Arial"/>
              </w:rPr>
              <w:t xml:space="preserve">We are grateful to the team: Jonathan </w:t>
            </w:r>
            <w:proofErr w:type="spellStart"/>
            <w:r w:rsidRPr="00292CB0">
              <w:rPr>
                <w:rFonts w:eastAsia="Times New Roman" w:cs="Arial"/>
              </w:rPr>
              <w:t>Fennelly-Barnwell</w:t>
            </w:r>
            <w:proofErr w:type="spellEnd"/>
            <w:r w:rsidRPr="00292CB0">
              <w:rPr>
                <w:rFonts w:eastAsia="Times New Roman" w:cs="Arial"/>
              </w:rPr>
              <w:t xml:space="preserve">, Will </w:t>
            </w:r>
            <w:proofErr w:type="spellStart"/>
            <w:r w:rsidRPr="00292CB0">
              <w:rPr>
                <w:rFonts w:eastAsia="Times New Roman" w:cs="Arial"/>
              </w:rPr>
              <w:t>Navaie</w:t>
            </w:r>
            <w:proofErr w:type="spellEnd"/>
            <w:r w:rsidRPr="00292CB0">
              <w:rPr>
                <w:rFonts w:eastAsia="Times New Roman" w:cs="Arial"/>
              </w:rPr>
              <w:t xml:space="preserve"> and Nicola </w:t>
            </w:r>
            <w:proofErr w:type="spellStart"/>
            <w:r w:rsidRPr="00292CB0">
              <w:rPr>
                <w:rFonts w:eastAsia="Times New Roman" w:cs="Arial"/>
              </w:rPr>
              <w:t>Gilzeane</w:t>
            </w:r>
            <w:proofErr w:type="spellEnd"/>
            <w:r w:rsidRPr="00292CB0">
              <w:rPr>
                <w:rFonts w:eastAsia="Times New Roman" w:cs="Arial"/>
              </w:rPr>
              <w:t>, for all their work in this team. It has played a crucial part in the development of HRA Approval and related projects, has driven much of the early engagement undertaken by HRA when it was first established, provided crucial hand-holding support to researchers undertaking novel and complex projects, and has enhanced the reputation of the HRA through key collaborations, such as with Genomics England.</w:t>
            </w:r>
          </w:p>
          <w:p w:rsidR="00292CB0" w:rsidRPr="00292CB0" w:rsidRDefault="00292CB0" w:rsidP="00292CB0">
            <w:pPr>
              <w:rPr>
                <w:rFonts w:eastAsia="Times New Roman" w:cs="Arial"/>
              </w:rPr>
            </w:pPr>
            <w:r w:rsidRPr="00292CB0">
              <w:rPr>
                <w:rFonts w:eastAsia="Times New Roman" w:cs="Arial"/>
              </w:rPr>
              <w:t>We are delighted that both Will and Nicola are appointed to new roles in the policy team, and Jonathan has been appointed to the new role of Deputy Director Approvals Service.</w:t>
            </w:r>
          </w:p>
          <w:p w:rsidR="00292CB0" w:rsidRPr="00292CB0" w:rsidRDefault="00292CB0" w:rsidP="00292CB0">
            <w:pPr>
              <w:rPr>
                <w:rFonts w:eastAsia="Times New Roman" w:cs="Arial"/>
              </w:rPr>
            </w:pPr>
          </w:p>
          <w:p w:rsidR="00292CB0" w:rsidRPr="00292CB0" w:rsidRDefault="00292CB0" w:rsidP="00292CB0">
            <w:pPr>
              <w:rPr>
                <w:rFonts w:cs="Arial"/>
                <w:b/>
              </w:rPr>
            </w:pPr>
            <w:r w:rsidRPr="00292CB0">
              <w:rPr>
                <w:rFonts w:cs="Arial"/>
                <w:b/>
              </w:rPr>
              <w:t>Janet Messer external meetings/visits</w:t>
            </w:r>
          </w:p>
          <w:p w:rsidR="00292CB0" w:rsidRPr="00292CB0" w:rsidRDefault="00292CB0" w:rsidP="00292CB0">
            <w:pPr>
              <w:rPr>
                <w:rFonts w:cs="Arial"/>
                <w:b/>
              </w:rPr>
            </w:pPr>
          </w:p>
          <w:p w:rsidR="00292CB0" w:rsidRPr="00292CB0" w:rsidRDefault="00292CB0" w:rsidP="00292CB0">
            <w:pPr>
              <w:pStyle w:val="ListParagraph"/>
              <w:numPr>
                <w:ilvl w:val="0"/>
                <w:numId w:val="13"/>
              </w:numPr>
              <w:ind w:left="714" w:hanging="357"/>
              <w:rPr>
                <w:rFonts w:asciiTheme="minorHAnsi" w:hAnsiTheme="minorHAnsi" w:cs="Arial"/>
              </w:rPr>
            </w:pPr>
            <w:r w:rsidRPr="00292CB0">
              <w:rPr>
                <w:rFonts w:asciiTheme="minorHAnsi" w:hAnsiTheme="minorHAnsi" w:cs="Arial"/>
              </w:rPr>
              <w:t>Presentation to NHS-HE Forum on GDPR</w:t>
            </w:r>
          </w:p>
          <w:p w:rsidR="00292CB0" w:rsidRPr="00292CB0" w:rsidRDefault="00292CB0" w:rsidP="00292CB0">
            <w:pPr>
              <w:pStyle w:val="ListParagraph"/>
              <w:numPr>
                <w:ilvl w:val="0"/>
                <w:numId w:val="13"/>
              </w:numPr>
              <w:ind w:left="714" w:hanging="357"/>
              <w:rPr>
                <w:rFonts w:asciiTheme="minorHAnsi" w:hAnsiTheme="minorHAnsi" w:cs="Arial"/>
              </w:rPr>
            </w:pPr>
            <w:r w:rsidRPr="00292CB0">
              <w:rPr>
                <w:rFonts w:asciiTheme="minorHAnsi" w:hAnsiTheme="minorHAnsi" w:cs="Arial"/>
              </w:rPr>
              <w:lastRenderedPageBreak/>
              <w:t>Four nations’ policy meeting</w:t>
            </w:r>
          </w:p>
          <w:p w:rsidR="00292CB0" w:rsidRPr="00292CB0" w:rsidRDefault="00292CB0" w:rsidP="00292CB0">
            <w:pPr>
              <w:pStyle w:val="ListParagraph"/>
              <w:numPr>
                <w:ilvl w:val="0"/>
                <w:numId w:val="13"/>
              </w:numPr>
              <w:ind w:left="714" w:hanging="357"/>
              <w:rPr>
                <w:rFonts w:asciiTheme="minorHAnsi" w:hAnsiTheme="minorHAnsi" w:cs="Arial"/>
              </w:rPr>
            </w:pPr>
            <w:r w:rsidRPr="00292CB0">
              <w:rPr>
                <w:rFonts w:asciiTheme="minorHAnsi" w:hAnsiTheme="minorHAnsi" w:cs="Arial"/>
              </w:rPr>
              <w:t>NHS Digital Research Advisory Group streamlining working group</w:t>
            </w:r>
          </w:p>
          <w:p w:rsidR="00292CB0" w:rsidRPr="00292CB0" w:rsidRDefault="00292CB0" w:rsidP="00292CB0">
            <w:pPr>
              <w:pStyle w:val="ListParagraph"/>
              <w:numPr>
                <w:ilvl w:val="0"/>
                <w:numId w:val="13"/>
              </w:numPr>
              <w:ind w:left="714" w:hanging="357"/>
              <w:rPr>
                <w:rFonts w:asciiTheme="minorHAnsi" w:hAnsiTheme="minorHAnsi" w:cs="Arial"/>
              </w:rPr>
            </w:pPr>
            <w:r w:rsidRPr="00292CB0">
              <w:rPr>
                <w:rFonts w:asciiTheme="minorHAnsi" w:hAnsiTheme="minorHAnsi" w:cs="Arial"/>
              </w:rPr>
              <w:t>MHRA/RES project group and MHRA clinical trials programme board</w:t>
            </w:r>
          </w:p>
          <w:p w:rsidR="00292CB0" w:rsidRPr="00292CB0" w:rsidRDefault="00292CB0" w:rsidP="00292CB0">
            <w:pPr>
              <w:pStyle w:val="ListParagraph"/>
              <w:numPr>
                <w:ilvl w:val="0"/>
                <w:numId w:val="13"/>
              </w:numPr>
              <w:ind w:left="714" w:hanging="357"/>
              <w:rPr>
                <w:rFonts w:asciiTheme="minorHAnsi" w:hAnsiTheme="minorHAnsi" w:cs="Arial"/>
              </w:rPr>
            </w:pPr>
            <w:r w:rsidRPr="00292CB0">
              <w:rPr>
                <w:rFonts w:asciiTheme="minorHAnsi" w:hAnsiTheme="minorHAnsi" w:cs="Arial"/>
              </w:rPr>
              <w:t>Annual National Research Ethics Committee Chairs’ Day</w:t>
            </w:r>
          </w:p>
          <w:p w:rsidR="00292CB0" w:rsidRPr="00292CB0" w:rsidRDefault="00292CB0" w:rsidP="00292CB0">
            <w:pPr>
              <w:pStyle w:val="ListParagraph"/>
              <w:numPr>
                <w:ilvl w:val="0"/>
                <w:numId w:val="13"/>
              </w:numPr>
              <w:ind w:left="714" w:hanging="357"/>
              <w:rPr>
                <w:rFonts w:asciiTheme="minorHAnsi" w:hAnsiTheme="minorHAnsi" w:cs="Arial"/>
              </w:rPr>
            </w:pPr>
            <w:r w:rsidRPr="00292CB0">
              <w:rPr>
                <w:rFonts w:asciiTheme="minorHAnsi" w:hAnsiTheme="minorHAnsi" w:cs="Arial"/>
              </w:rPr>
              <w:t>Meeting with Kerry Chant, Chief Health Officer, New South Wales</w:t>
            </w:r>
          </w:p>
          <w:p w:rsidR="00292CB0" w:rsidRPr="00292CB0" w:rsidRDefault="00292CB0" w:rsidP="00292CB0">
            <w:pPr>
              <w:rPr>
                <w:rFonts w:cs="Arial"/>
                <w:b/>
                <w:u w:val="single"/>
              </w:rPr>
            </w:pPr>
          </w:p>
          <w:p w:rsidR="00292CB0" w:rsidRPr="00292CB0" w:rsidRDefault="00292CB0" w:rsidP="00292CB0">
            <w:pPr>
              <w:rPr>
                <w:rFonts w:cs="Arial"/>
                <w:b/>
                <w:u w:val="single"/>
              </w:rPr>
            </w:pPr>
            <w:r w:rsidRPr="00292CB0">
              <w:rPr>
                <w:rFonts w:cs="Arial"/>
                <w:b/>
                <w:u w:val="single"/>
              </w:rPr>
              <w:t xml:space="preserve">Policy Directorate </w:t>
            </w:r>
          </w:p>
          <w:p w:rsidR="00292CB0" w:rsidRPr="00292CB0" w:rsidRDefault="00292CB0" w:rsidP="00292CB0">
            <w:pPr>
              <w:rPr>
                <w:rFonts w:cs="Arial"/>
              </w:rPr>
            </w:pPr>
          </w:p>
          <w:p w:rsidR="00292CB0" w:rsidRPr="00292CB0" w:rsidRDefault="00292CB0" w:rsidP="00292CB0">
            <w:pPr>
              <w:pStyle w:val="Heading3"/>
              <w:spacing w:before="0"/>
              <w:rPr>
                <w:rFonts w:asciiTheme="minorHAnsi" w:hAnsiTheme="minorHAnsi" w:cs="Arial"/>
                <w:color w:val="auto"/>
              </w:rPr>
            </w:pPr>
            <w:r w:rsidRPr="00292CB0">
              <w:rPr>
                <w:rFonts w:asciiTheme="minorHAnsi" w:hAnsiTheme="minorHAnsi" w:cs="Arial"/>
                <w:color w:val="auto"/>
              </w:rPr>
              <w:t>Data-driven healthcare technologies</w:t>
            </w:r>
          </w:p>
          <w:p w:rsidR="00292CB0" w:rsidRPr="00292CB0" w:rsidRDefault="00292CB0" w:rsidP="00292CB0">
            <w:pPr>
              <w:rPr>
                <w:rFonts w:cs="Arial"/>
              </w:rPr>
            </w:pPr>
          </w:p>
          <w:p w:rsidR="00292CB0" w:rsidRPr="00292CB0" w:rsidRDefault="00292CB0" w:rsidP="00292CB0">
            <w:pPr>
              <w:rPr>
                <w:rFonts w:cs="Arial"/>
              </w:rPr>
            </w:pPr>
            <w:r w:rsidRPr="00292CB0">
              <w:rPr>
                <w:rFonts w:cs="Arial"/>
              </w:rPr>
              <w:t>Our focus in this area of work is on building awareness of the appropriate approvals for the development of data-driven healthcare technologies and ensuring regulators are aligned. We are running a small workshop with Understanding Patient Data at the end of the January to discuss with fellow regulators how best to advise developers and researchers at the early stage of development both about what approvals they will need for a data-driven device and how to access and use patient data lawfully. At the same time, we are leading on developing revised guidance and new website materials, which will be ready for the publication of the revised DHSC Code of conduct on data-driven healthcare technology.</w:t>
            </w:r>
          </w:p>
          <w:p w:rsidR="00292CB0" w:rsidRPr="00292CB0" w:rsidRDefault="00292CB0" w:rsidP="00292CB0">
            <w:pPr>
              <w:rPr>
                <w:rFonts w:cs="Arial"/>
              </w:rPr>
            </w:pPr>
          </w:p>
          <w:p w:rsidR="00292CB0" w:rsidRPr="00292CB0" w:rsidRDefault="00292CB0" w:rsidP="00292CB0">
            <w:pPr>
              <w:pStyle w:val="Heading3"/>
              <w:spacing w:before="0"/>
              <w:rPr>
                <w:rFonts w:asciiTheme="minorHAnsi" w:hAnsiTheme="minorHAnsi" w:cs="Arial"/>
                <w:color w:val="auto"/>
              </w:rPr>
            </w:pPr>
            <w:r w:rsidRPr="00292CB0">
              <w:rPr>
                <w:rFonts w:asciiTheme="minorHAnsi" w:hAnsiTheme="minorHAnsi" w:cs="Arial"/>
                <w:color w:val="auto"/>
              </w:rPr>
              <w:t>Research transparency</w:t>
            </w:r>
          </w:p>
          <w:p w:rsidR="00292CB0" w:rsidRPr="00292CB0" w:rsidRDefault="00292CB0" w:rsidP="00292CB0">
            <w:pPr>
              <w:rPr>
                <w:rFonts w:cs="Arial"/>
              </w:rPr>
            </w:pPr>
          </w:p>
          <w:p w:rsidR="00292CB0" w:rsidRPr="00292CB0" w:rsidRDefault="00292CB0" w:rsidP="00292CB0">
            <w:pPr>
              <w:rPr>
                <w:rFonts w:cs="Arial"/>
              </w:rPr>
            </w:pPr>
            <w:r w:rsidRPr="00292CB0">
              <w:rPr>
                <w:rFonts w:cs="Arial"/>
              </w:rPr>
              <w:t xml:space="preserve">Following the publication of the House of Commons Science and Technology Committee report on clinical trials transparency in October, we had a productive meeting with the chair of the committee, </w:t>
            </w:r>
            <w:proofErr w:type="spellStart"/>
            <w:r w:rsidRPr="00292CB0">
              <w:rPr>
                <w:rFonts w:cs="Arial"/>
              </w:rPr>
              <w:t>Rt</w:t>
            </w:r>
            <w:proofErr w:type="spellEnd"/>
            <w:r w:rsidRPr="00292CB0">
              <w:rPr>
                <w:rFonts w:cs="Arial"/>
              </w:rPr>
              <w:t xml:space="preserve"> Hon Norman Lamb MP in December. We </w:t>
            </w:r>
            <w:hyperlink r:id="rId8" w:history="1">
              <w:r w:rsidRPr="00292CB0">
                <w:rPr>
                  <w:rStyle w:val="Hyperlink"/>
                  <w:rFonts w:cs="Arial"/>
                </w:rPr>
                <w:t>published the results</w:t>
              </w:r>
            </w:hyperlink>
            <w:r w:rsidRPr="00292CB0">
              <w:rPr>
                <w:rFonts w:cs="Arial"/>
              </w:rPr>
              <w:t xml:space="preserve"> of our survey of awareness and understanding of transparency amongst researchers, sponsors and others. The findings have given us useful insights into how to pitch information, what terminology to use what obstacles we need to address.</w:t>
            </w:r>
          </w:p>
          <w:p w:rsidR="00292CB0" w:rsidRPr="00292CB0" w:rsidRDefault="00292CB0" w:rsidP="00292CB0">
            <w:pPr>
              <w:rPr>
                <w:rFonts w:cs="Arial"/>
              </w:rPr>
            </w:pPr>
          </w:p>
          <w:p w:rsidR="00292CB0" w:rsidRPr="00292CB0" w:rsidRDefault="00292CB0" w:rsidP="00292CB0">
            <w:pPr>
              <w:pStyle w:val="Heading3"/>
              <w:spacing w:before="0"/>
              <w:rPr>
                <w:rFonts w:asciiTheme="minorHAnsi" w:hAnsiTheme="minorHAnsi" w:cs="Arial"/>
                <w:color w:val="auto"/>
              </w:rPr>
            </w:pPr>
            <w:r w:rsidRPr="00292CB0">
              <w:rPr>
                <w:rFonts w:asciiTheme="minorHAnsi" w:hAnsiTheme="minorHAnsi" w:cs="Arial"/>
                <w:color w:val="auto"/>
              </w:rPr>
              <w:t>Policy and engagement team</w:t>
            </w:r>
          </w:p>
          <w:p w:rsidR="00292CB0" w:rsidRPr="00292CB0" w:rsidRDefault="00292CB0" w:rsidP="00292CB0">
            <w:pPr>
              <w:rPr>
                <w:rFonts w:cs="Arial"/>
              </w:rPr>
            </w:pPr>
          </w:p>
          <w:p w:rsidR="00292CB0" w:rsidRPr="00292CB0" w:rsidRDefault="00292CB0" w:rsidP="00292CB0">
            <w:pPr>
              <w:rPr>
                <w:rFonts w:cs="Arial"/>
              </w:rPr>
            </w:pPr>
            <w:r w:rsidRPr="00292CB0">
              <w:rPr>
                <w:rFonts w:cs="Arial"/>
              </w:rPr>
              <w:t>In the autumn, we ran a consultation with staff in the Policy and Collaboration &amp; Development teams on a proposed new staff structure within the Policy directorate. Following useful feedback from staff, we have announced a new structure and are current recruiting to posts in what will be a new Policy and Engagement team from 1 April. With an integrated team of both policy and external engagement staff and increased capacity at band 7, we will be able to enhance our strategic engagement, raise the profile of our policy work and make better use of the data we hold.</w:t>
            </w:r>
          </w:p>
          <w:p w:rsidR="00292CB0" w:rsidRPr="00292CB0" w:rsidRDefault="00292CB0" w:rsidP="00292CB0">
            <w:pPr>
              <w:rPr>
                <w:rFonts w:cs="Arial"/>
              </w:rPr>
            </w:pPr>
          </w:p>
          <w:p w:rsidR="00292CB0" w:rsidRPr="00292CB0" w:rsidRDefault="00292CB0" w:rsidP="00292CB0">
            <w:pPr>
              <w:rPr>
                <w:rFonts w:cs="Arial"/>
                <w:b/>
                <w:u w:val="single"/>
              </w:rPr>
            </w:pPr>
            <w:r w:rsidRPr="00292CB0">
              <w:rPr>
                <w:rFonts w:cs="Arial"/>
                <w:b/>
                <w:u w:val="single"/>
              </w:rPr>
              <w:t>Corporate Services</w:t>
            </w:r>
          </w:p>
          <w:p w:rsidR="00292CB0" w:rsidRPr="00292CB0" w:rsidRDefault="00292CB0" w:rsidP="00292CB0">
            <w:pPr>
              <w:rPr>
                <w:rFonts w:cs="Arial"/>
                <w:b/>
              </w:rPr>
            </w:pPr>
          </w:p>
          <w:p w:rsidR="00292CB0" w:rsidRPr="00292CB0" w:rsidRDefault="00292CB0" w:rsidP="00292CB0">
            <w:pPr>
              <w:rPr>
                <w:rFonts w:cs="Arial"/>
                <w:b/>
              </w:rPr>
            </w:pPr>
            <w:r w:rsidRPr="00292CB0">
              <w:rPr>
                <w:rFonts w:cs="Arial"/>
                <w:b/>
              </w:rPr>
              <w:t>Public Involvement</w:t>
            </w:r>
          </w:p>
          <w:p w:rsidR="00292CB0" w:rsidRPr="00292CB0" w:rsidRDefault="00292CB0" w:rsidP="00292CB0">
            <w:pPr>
              <w:rPr>
                <w:rFonts w:cs="Arial"/>
                <w:b/>
              </w:rPr>
            </w:pPr>
          </w:p>
          <w:p w:rsidR="00292CB0" w:rsidRPr="00292CB0" w:rsidRDefault="00292CB0" w:rsidP="00292CB0">
            <w:pPr>
              <w:rPr>
                <w:rFonts w:cs="Arial"/>
              </w:rPr>
            </w:pPr>
            <w:r w:rsidRPr="00292CB0">
              <w:rPr>
                <w:rFonts w:cs="Arial"/>
              </w:rPr>
              <w:t xml:space="preserve">Public Involvement in Ethical Review (PIER) programme: work is now focussed mainly on the work to define expectations for public involvement for applicants for Approval. An initial draft is being developed through the Programme Board and then a task and finish group of REC Chairs / Vice Chairs and public contributors for completion by the end of March. Public involvement was a key them in the workshop on the key elements of ethical review at the national REC </w:t>
            </w:r>
            <w:r w:rsidRPr="00292CB0">
              <w:rPr>
                <w:rFonts w:cs="Arial"/>
              </w:rPr>
              <w:lastRenderedPageBreak/>
              <w:t>Chairs’ Day in December. A Four Nations Public Involvement group has been set up and is contributing to the work on expectations. And a case study has been published on the HRA website with the first of a series of blog posts to reflect on using the guidance</w:t>
            </w:r>
          </w:p>
          <w:p w:rsidR="00292CB0" w:rsidRPr="00292CB0" w:rsidRDefault="00292CB0" w:rsidP="00292CB0">
            <w:pPr>
              <w:rPr>
                <w:rFonts w:cs="Arial"/>
              </w:rPr>
            </w:pPr>
          </w:p>
          <w:p w:rsidR="00292CB0" w:rsidRPr="00292CB0" w:rsidRDefault="00292CB0" w:rsidP="00292CB0">
            <w:pPr>
              <w:rPr>
                <w:rFonts w:cs="Arial"/>
              </w:rPr>
            </w:pPr>
            <w:r w:rsidRPr="00292CB0">
              <w:rPr>
                <w:rFonts w:cs="Arial"/>
              </w:rPr>
              <w:t>The Ethics of Public Involvement in Research Design (EPIRD) project, co-funded by NIHR-INVOLVE, is making good progress towards the production of a “prototype” simple and widely accessible guidance document by the end of March. Further work will be done from April with INVOLVE to develop that into a web-based “guide” and to write papers for publication on the project</w:t>
            </w:r>
          </w:p>
          <w:p w:rsidR="00292CB0" w:rsidRPr="00292CB0" w:rsidRDefault="00292CB0" w:rsidP="00292CB0">
            <w:pPr>
              <w:rPr>
                <w:rFonts w:cs="Arial"/>
              </w:rPr>
            </w:pPr>
          </w:p>
          <w:p w:rsidR="00292CB0" w:rsidRPr="00292CB0" w:rsidRDefault="00292CB0" w:rsidP="00292CB0">
            <w:pPr>
              <w:pStyle w:val="ListParagraph"/>
              <w:numPr>
                <w:ilvl w:val="0"/>
                <w:numId w:val="16"/>
              </w:numPr>
              <w:contextualSpacing w:val="0"/>
              <w:rPr>
                <w:rFonts w:asciiTheme="minorHAnsi" w:hAnsiTheme="minorHAnsi" w:cs="Arial"/>
              </w:rPr>
            </w:pPr>
            <w:r w:rsidRPr="00292CB0">
              <w:rPr>
                <w:rFonts w:asciiTheme="minorHAnsi" w:hAnsiTheme="minorHAnsi" w:cs="Arial"/>
              </w:rPr>
              <w:t>The Test Beds for the public involvement in ethical review guidance will soon reach the end of the test period and have been approached to set up telephone interviews for feedback on the guidance and its application. Initial results from an analysis of HARP / IRAS data on the impact of the guidance are expected to be available in February / March along with those from the Test Beds</w:t>
            </w:r>
          </w:p>
          <w:p w:rsidR="00292CB0" w:rsidRPr="00292CB0" w:rsidRDefault="00292CB0" w:rsidP="00292CB0">
            <w:pPr>
              <w:pStyle w:val="ListParagraph"/>
              <w:numPr>
                <w:ilvl w:val="0"/>
                <w:numId w:val="16"/>
              </w:numPr>
              <w:contextualSpacing w:val="0"/>
              <w:rPr>
                <w:rFonts w:asciiTheme="minorHAnsi" w:hAnsiTheme="minorHAnsi" w:cs="Arial"/>
              </w:rPr>
            </w:pPr>
            <w:r w:rsidRPr="00292CB0">
              <w:rPr>
                <w:rFonts w:asciiTheme="minorHAnsi" w:hAnsiTheme="minorHAnsi" w:cs="Arial"/>
              </w:rPr>
              <w:t>An application for the HRA to join the international collaboration Patient Focused Medicines Development has been submitted and is expected to be confirmed by the end of March</w:t>
            </w:r>
          </w:p>
          <w:p w:rsidR="00292CB0" w:rsidRPr="00292CB0" w:rsidRDefault="00292CB0" w:rsidP="00292CB0">
            <w:pPr>
              <w:pStyle w:val="ListParagraph"/>
              <w:numPr>
                <w:ilvl w:val="0"/>
                <w:numId w:val="16"/>
              </w:numPr>
              <w:contextualSpacing w:val="0"/>
              <w:rPr>
                <w:rFonts w:asciiTheme="minorHAnsi" w:hAnsiTheme="minorHAnsi" w:cs="Arial"/>
              </w:rPr>
            </w:pPr>
            <w:r w:rsidRPr="00292CB0">
              <w:rPr>
                <w:rFonts w:asciiTheme="minorHAnsi" w:hAnsiTheme="minorHAnsi" w:cs="Arial"/>
              </w:rPr>
              <w:t>Guidance on roles and responsibilities for public co-applicants in research has been produced in collaboration with INVOLVE and the NHS R&amp;D Forum and will be published at the end of January</w:t>
            </w:r>
          </w:p>
          <w:p w:rsidR="00292CB0" w:rsidRPr="00292CB0" w:rsidRDefault="00292CB0" w:rsidP="00292CB0">
            <w:pPr>
              <w:pStyle w:val="ListParagraph"/>
              <w:rPr>
                <w:rFonts w:asciiTheme="minorHAnsi" w:hAnsiTheme="minorHAnsi" w:cs="Arial"/>
              </w:rPr>
            </w:pPr>
          </w:p>
          <w:p w:rsidR="00292CB0" w:rsidRPr="00292CB0" w:rsidRDefault="00292CB0" w:rsidP="00292CB0">
            <w:pPr>
              <w:tabs>
                <w:tab w:val="left" w:pos="426"/>
              </w:tabs>
              <w:contextualSpacing/>
              <w:rPr>
                <w:rFonts w:eastAsia="Times New Roman" w:cs="Arial"/>
              </w:rPr>
            </w:pPr>
            <w:r w:rsidRPr="00292CB0">
              <w:rPr>
                <w:rFonts w:eastAsia="Times New Roman" w:cs="Arial"/>
                <w:b/>
              </w:rPr>
              <w:t>Programme Office</w:t>
            </w:r>
          </w:p>
          <w:p w:rsidR="00292CB0" w:rsidRPr="00292CB0" w:rsidRDefault="00292CB0" w:rsidP="00292CB0">
            <w:pPr>
              <w:tabs>
                <w:tab w:val="left" w:pos="426"/>
              </w:tabs>
              <w:contextualSpacing/>
              <w:rPr>
                <w:rFonts w:eastAsia="Times New Roman" w:cs="Arial"/>
              </w:rPr>
            </w:pPr>
          </w:p>
          <w:p w:rsidR="00292CB0" w:rsidRPr="00292CB0" w:rsidRDefault="00292CB0" w:rsidP="00292CB0">
            <w:pPr>
              <w:tabs>
                <w:tab w:val="left" w:pos="426"/>
              </w:tabs>
              <w:contextualSpacing/>
              <w:rPr>
                <w:rFonts w:eastAsia="Times New Roman" w:cs="Arial"/>
              </w:rPr>
            </w:pPr>
            <w:r w:rsidRPr="00292CB0">
              <w:rPr>
                <w:rFonts w:eastAsia="Times New Roman" w:cs="Arial"/>
              </w:rPr>
              <w:t>The 2018/2019 portfolio dashboard is being updated each month and is being used to report the status of programmes and projects at to the Transformation Board and Leadership Team Meeting.</w:t>
            </w:r>
          </w:p>
          <w:p w:rsidR="00292CB0" w:rsidRPr="00292CB0" w:rsidRDefault="00292CB0" w:rsidP="00292CB0">
            <w:pPr>
              <w:tabs>
                <w:tab w:val="left" w:pos="426"/>
              </w:tabs>
              <w:contextualSpacing/>
              <w:rPr>
                <w:rFonts w:eastAsia="Times New Roman" w:cs="Arial"/>
              </w:rPr>
            </w:pPr>
          </w:p>
          <w:p w:rsidR="00292CB0" w:rsidRPr="00292CB0" w:rsidRDefault="00292CB0" w:rsidP="00292CB0">
            <w:pPr>
              <w:tabs>
                <w:tab w:val="left" w:pos="426"/>
              </w:tabs>
              <w:contextualSpacing/>
              <w:rPr>
                <w:rFonts w:eastAsia="Times New Roman" w:cs="Arial"/>
              </w:rPr>
            </w:pPr>
            <w:r w:rsidRPr="00292CB0">
              <w:rPr>
                <w:rFonts w:eastAsia="Times New Roman" w:cs="Arial"/>
              </w:rPr>
              <w:t>Benefits are being reported and reviewed each month at the Leadership Team meeting.  Additional benefits and baselines have been established e.g. Transparency. A Balanced Scorecard template has been developed that brings together system wide and HRA programmes and benefits.  This uses the system wide involvement map that helps to identify blockages to feed into the business planning process.</w:t>
            </w:r>
          </w:p>
          <w:p w:rsidR="00292CB0" w:rsidRPr="00292CB0" w:rsidRDefault="00292CB0" w:rsidP="00292CB0">
            <w:pPr>
              <w:tabs>
                <w:tab w:val="left" w:pos="426"/>
              </w:tabs>
              <w:contextualSpacing/>
              <w:rPr>
                <w:rFonts w:eastAsia="Times New Roman" w:cs="Arial"/>
              </w:rPr>
            </w:pPr>
          </w:p>
          <w:p w:rsidR="00292CB0" w:rsidRPr="00292CB0" w:rsidRDefault="00292CB0" w:rsidP="00292CB0">
            <w:pPr>
              <w:tabs>
                <w:tab w:val="left" w:pos="426"/>
              </w:tabs>
              <w:contextualSpacing/>
              <w:rPr>
                <w:rFonts w:eastAsia="Times New Roman" w:cs="Arial"/>
              </w:rPr>
            </w:pPr>
            <w:r w:rsidRPr="00292CB0">
              <w:rPr>
                <w:rFonts w:eastAsia="Times New Roman" w:cs="Arial"/>
              </w:rPr>
              <w:t>Sessions on Benefits Realisation, Planning and Why Project Fail have been planned and will be delivered by the Project Delivery Capability Manager from DHSC and a webinar on Project Management at HRA has been created and is in the process of being published.</w:t>
            </w:r>
          </w:p>
          <w:p w:rsidR="00292CB0" w:rsidRPr="00292CB0" w:rsidRDefault="00292CB0" w:rsidP="00292CB0">
            <w:pPr>
              <w:tabs>
                <w:tab w:val="left" w:pos="426"/>
              </w:tabs>
              <w:contextualSpacing/>
              <w:rPr>
                <w:rFonts w:eastAsia="Times New Roman" w:cs="Arial"/>
              </w:rPr>
            </w:pPr>
          </w:p>
          <w:p w:rsidR="00292CB0" w:rsidRPr="00292CB0" w:rsidRDefault="00292CB0" w:rsidP="00292CB0">
            <w:pPr>
              <w:tabs>
                <w:tab w:val="left" w:pos="426"/>
              </w:tabs>
              <w:contextualSpacing/>
              <w:rPr>
                <w:rFonts w:eastAsia="Times New Roman" w:cs="Arial"/>
              </w:rPr>
            </w:pPr>
            <w:r w:rsidRPr="00292CB0">
              <w:rPr>
                <w:rFonts w:eastAsia="Times New Roman" w:cs="Arial"/>
              </w:rPr>
              <w:t>Attended and contributed to the NHS Project Delivery Capability Framework Workshop (led by HEE) that is developing a standard set of project delivery job descriptions and career pathways in the NHS.</w:t>
            </w:r>
          </w:p>
          <w:p w:rsidR="00292CB0" w:rsidRPr="00292CB0" w:rsidRDefault="00292CB0" w:rsidP="00292CB0">
            <w:pPr>
              <w:rPr>
                <w:rFonts w:cs="Arial"/>
              </w:rPr>
            </w:pPr>
          </w:p>
          <w:p w:rsidR="00292CB0" w:rsidRPr="00292CB0" w:rsidRDefault="00292CB0" w:rsidP="00292CB0">
            <w:pPr>
              <w:rPr>
                <w:rFonts w:cs="Arial"/>
                <w:b/>
              </w:rPr>
            </w:pPr>
            <w:r w:rsidRPr="00292CB0">
              <w:rPr>
                <w:rFonts w:cs="Arial"/>
                <w:b/>
              </w:rPr>
              <w:t>Communications</w:t>
            </w:r>
          </w:p>
          <w:p w:rsidR="00292CB0" w:rsidRPr="00292CB0" w:rsidRDefault="00292CB0" w:rsidP="00292CB0">
            <w:pPr>
              <w:rPr>
                <w:rFonts w:cs="Arial"/>
                <w:b/>
              </w:rPr>
            </w:pPr>
          </w:p>
          <w:p w:rsidR="00292CB0" w:rsidRPr="00292CB0" w:rsidRDefault="00292CB0" w:rsidP="00292CB0">
            <w:pPr>
              <w:rPr>
                <w:rFonts w:cs="Arial"/>
              </w:rPr>
            </w:pPr>
            <w:r w:rsidRPr="00292CB0">
              <w:rPr>
                <w:rFonts w:cs="Arial"/>
              </w:rPr>
              <w:t xml:space="preserve">The comms team has produced a new section on the HRA website which collates and distils the sections of guidance issued by DHSC, ICO and others on actions health professionals should take to prepare for a no deal Brexit and which are most relevant for researchers, sponsors and funders. </w:t>
            </w:r>
          </w:p>
          <w:p w:rsidR="00292CB0" w:rsidRPr="00292CB0" w:rsidRDefault="00292CB0" w:rsidP="00292CB0">
            <w:pPr>
              <w:rPr>
                <w:rFonts w:cs="Arial"/>
              </w:rPr>
            </w:pPr>
          </w:p>
          <w:p w:rsidR="00292CB0" w:rsidRPr="00292CB0" w:rsidRDefault="00292CB0" w:rsidP="00292CB0">
            <w:pPr>
              <w:rPr>
                <w:rFonts w:cs="Arial"/>
              </w:rPr>
            </w:pPr>
            <w:r w:rsidRPr="00292CB0">
              <w:rPr>
                <w:rFonts w:cs="Arial"/>
              </w:rPr>
              <w:t>Recent high-performing news stories on the HRA website and social media included a blog from Teresa Allen on the NHS Long Term Plan, a piece from Janet Messer on our role in the 100,000 Genomes project and particularly a blog from Jonathan on the AMS’ principles for data driven research which was roundly praised by that organisation.</w:t>
            </w:r>
          </w:p>
          <w:p w:rsidR="00292CB0" w:rsidRPr="00292CB0" w:rsidRDefault="00292CB0" w:rsidP="00292CB0">
            <w:pPr>
              <w:rPr>
                <w:rFonts w:cs="Arial"/>
              </w:rPr>
            </w:pPr>
          </w:p>
          <w:p w:rsidR="00292CB0" w:rsidRPr="00292CB0" w:rsidRDefault="00292CB0" w:rsidP="00292CB0">
            <w:pPr>
              <w:rPr>
                <w:rFonts w:cs="Arial"/>
              </w:rPr>
            </w:pPr>
            <w:r w:rsidRPr="00292CB0">
              <w:rPr>
                <w:rFonts w:cs="Arial"/>
              </w:rPr>
              <w:t>The team is in the process of developing a new internal communications strategy to increase staff engagement across the HRA and complement the recent focus on wellbeing. This work is informed by a new cross-organisational group of ‘comms champions’. Alongside this programme, the team is reprocuring the hosting and maintenance of the HRA intranet.</w:t>
            </w:r>
          </w:p>
          <w:p w:rsidR="00292CB0" w:rsidRPr="00292CB0" w:rsidRDefault="00292CB0" w:rsidP="00292CB0">
            <w:pPr>
              <w:rPr>
                <w:rFonts w:cs="Arial"/>
              </w:rPr>
            </w:pPr>
          </w:p>
          <w:p w:rsidR="00292CB0" w:rsidRPr="00292CB0" w:rsidRDefault="00292CB0" w:rsidP="00292CB0">
            <w:pPr>
              <w:rPr>
                <w:rFonts w:cs="Arial"/>
              </w:rPr>
            </w:pPr>
            <w:r w:rsidRPr="00292CB0">
              <w:rPr>
                <w:rFonts w:cs="Arial"/>
              </w:rPr>
              <w:t>The team is currently recruiting a new Communications Manager to replace Dave Murphy who leaves on 25 January, and received a strong field of applicants</w:t>
            </w:r>
          </w:p>
          <w:p w:rsidR="00292CB0" w:rsidRPr="00292CB0" w:rsidRDefault="00292CB0" w:rsidP="00292CB0">
            <w:pPr>
              <w:rPr>
                <w:rFonts w:cs="Arial"/>
              </w:rPr>
            </w:pPr>
          </w:p>
          <w:p w:rsidR="00292CB0" w:rsidRPr="00292CB0" w:rsidRDefault="00292CB0" w:rsidP="00292CB0">
            <w:pPr>
              <w:rPr>
                <w:rFonts w:cs="Arial"/>
                <w:b/>
              </w:rPr>
            </w:pPr>
            <w:r w:rsidRPr="00292CB0">
              <w:rPr>
                <w:rFonts w:cs="Arial"/>
                <w:b/>
              </w:rPr>
              <w:t>Research Systems</w:t>
            </w:r>
          </w:p>
          <w:p w:rsidR="00292CB0" w:rsidRPr="00292CB0" w:rsidRDefault="00292CB0" w:rsidP="00292CB0">
            <w:pPr>
              <w:rPr>
                <w:rFonts w:cs="Arial"/>
                <w:b/>
              </w:rPr>
            </w:pPr>
          </w:p>
          <w:p w:rsidR="00292CB0" w:rsidRPr="00292CB0" w:rsidRDefault="00292CB0" w:rsidP="00292CB0">
            <w:pPr>
              <w:rPr>
                <w:rFonts w:cs="Arial"/>
              </w:rPr>
            </w:pPr>
            <w:r w:rsidRPr="00292CB0">
              <w:rPr>
                <w:rFonts w:cs="Arial"/>
              </w:rPr>
              <w:t>Organisational Change ‘pre-consultation’ commenced on Monday 14 January and will complete on 28 January. The whole process is aimed to be complete by 31 March.</w:t>
            </w:r>
          </w:p>
          <w:p w:rsidR="00292CB0" w:rsidRPr="00292CB0" w:rsidRDefault="00292CB0" w:rsidP="00292CB0">
            <w:pPr>
              <w:rPr>
                <w:rFonts w:cs="Arial"/>
              </w:rPr>
            </w:pPr>
          </w:p>
          <w:p w:rsidR="00292CB0" w:rsidRPr="00292CB0" w:rsidRDefault="00292CB0" w:rsidP="00292CB0">
            <w:pPr>
              <w:rPr>
                <w:rFonts w:cs="Arial"/>
              </w:rPr>
            </w:pPr>
            <w:r w:rsidRPr="00292CB0">
              <w:rPr>
                <w:rFonts w:cs="Arial"/>
              </w:rPr>
              <w:t xml:space="preserve">The Deputy Director RS has been liaising further with BGO Software on the negotiation of the +1 to the contract 2019/20. This is expected to be concluded during February and will realise savings on original costs to be confirmed next month. </w:t>
            </w:r>
          </w:p>
          <w:p w:rsidR="00292CB0" w:rsidRPr="00292CB0" w:rsidRDefault="00292CB0" w:rsidP="00292CB0">
            <w:pPr>
              <w:rPr>
                <w:rFonts w:cs="Arial"/>
              </w:rPr>
            </w:pPr>
          </w:p>
          <w:p w:rsidR="00292CB0" w:rsidRPr="00292CB0" w:rsidRDefault="00292CB0" w:rsidP="00292CB0">
            <w:pPr>
              <w:rPr>
                <w:rFonts w:cs="Arial"/>
              </w:rPr>
            </w:pPr>
            <w:r w:rsidRPr="00292CB0">
              <w:rPr>
                <w:rFonts w:cs="Arial"/>
              </w:rPr>
              <w:t xml:space="preserve">The team continues to maintain IRAS and HARP on the bespoke platform with 100% availability. Work is continuing in partnership with </w:t>
            </w:r>
            <w:proofErr w:type="spellStart"/>
            <w:r w:rsidRPr="00292CB0">
              <w:rPr>
                <w:rFonts w:cs="Arial"/>
              </w:rPr>
              <w:t>Pegasystems</w:t>
            </w:r>
            <w:proofErr w:type="spellEnd"/>
            <w:r w:rsidRPr="00292CB0">
              <w:rPr>
                <w:rFonts w:cs="Arial"/>
              </w:rPr>
              <w:t xml:space="preserve"> a more detailed report on progress is presented as Part 2 item to this meeting.</w:t>
            </w:r>
          </w:p>
          <w:p w:rsidR="00292CB0" w:rsidRDefault="00292CB0" w:rsidP="00292CB0">
            <w:pPr>
              <w:rPr>
                <w:rFonts w:cs="Arial"/>
              </w:rPr>
            </w:pPr>
          </w:p>
          <w:p w:rsidR="007C5053" w:rsidRPr="007C5053" w:rsidRDefault="007C5053" w:rsidP="007C5053">
            <w:pPr>
              <w:rPr>
                <w:b/>
              </w:rPr>
            </w:pPr>
            <w:r w:rsidRPr="007C5053">
              <w:rPr>
                <w:b/>
              </w:rPr>
              <w:t>Staff survey</w:t>
            </w:r>
          </w:p>
          <w:p w:rsidR="007C5053" w:rsidRDefault="007C5053" w:rsidP="00292CB0">
            <w:pPr>
              <w:rPr>
                <w:rFonts w:cs="Arial"/>
              </w:rPr>
            </w:pPr>
            <w:r>
              <w:t xml:space="preserve">IC confirmed the staff survey would commence on 04 February 2019 with results due by end of March 2019. </w:t>
            </w:r>
          </w:p>
          <w:p w:rsidR="007C5053" w:rsidRPr="00292CB0" w:rsidRDefault="007C5053" w:rsidP="00292CB0">
            <w:pPr>
              <w:rPr>
                <w:rFonts w:cs="Arial"/>
              </w:rPr>
            </w:pPr>
          </w:p>
          <w:p w:rsidR="00292CB0" w:rsidRPr="00292CB0" w:rsidRDefault="00292CB0" w:rsidP="00292CB0">
            <w:pPr>
              <w:rPr>
                <w:rFonts w:cs="Arial"/>
                <w:b/>
              </w:rPr>
            </w:pPr>
            <w:r w:rsidRPr="00292CB0">
              <w:rPr>
                <w:rFonts w:cs="Arial"/>
                <w:b/>
              </w:rPr>
              <w:t>IT Service</w:t>
            </w:r>
          </w:p>
          <w:p w:rsidR="00292CB0" w:rsidRPr="00292CB0" w:rsidRDefault="00292CB0" w:rsidP="00292CB0">
            <w:pPr>
              <w:rPr>
                <w:rFonts w:cs="Arial"/>
                <w:b/>
              </w:rPr>
            </w:pPr>
          </w:p>
          <w:p w:rsidR="00292CB0" w:rsidRPr="00292CB0" w:rsidRDefault="00292CB0" w:rsidP="00292CB0">
            <w:pPr>
              <w:rPr>
                <w:rFonts w:cs="Arial"/>
              </w:rPr>
            </w:pPr>
            <w:r w:rsidRPr="00292CB0">
              <w:rPr>
                <w:rFonts w:cs="Arial"/>
              </w:rPr>
              <w:t>The new IT Service Manager, Tim Shaw, joined HRA on 7 January and replaces Mark Hill whose fixed term contract ends in January. The IT Team have written an item for ‘You said, we did’ which will be circulated by Comms before the next staff survey starts.</w:t>
            </w:r>
          </w:p>
          <w:p w:rsidR="00292CB0" w:rsidRPr="00292CB0" w:rsidRDefault="00292CB0" w:rsidP="00292CB0">
            <w:pPr>
              <w:rPr>
                <w:rFonts w:cs="Arial"/>
              </w:rPr>
            </w:pPr>
            <w:r w:rsidRPr="00292CB0">
              <w:rPr>
                <w:rFonts w:cs="Arial"/>
              </w:rPr>
              <w:t>Work on the Future Services Programme is continuing.</w:t>
            </w:r>
          </w:p>
          <w:p w:rsidR="00292CB0" w:rsidRPr="00292CB0" w:rsidRDefault="00292CB0" w:rsidP="00292CB0">
            <w:pPr>
              <w:rPr>
                <w:rFonts w:cs="Arial"/>
              </w:rPr>
            </w:pPr>
          </w:p>
          <w:p w:rsidR="00292CB0" w:rsidRPr="00292CB0" w:rsidRDefault="00292CB0" w:rsidP="00292CB0">
            <w:pPr>
              <w:rPr>
                <w:rFonts w:cs="Arial"/>
                <w:b/>
                <w:u w:val="single"/>
              </w:rPr>
            </w:pPr>
            <w:r w:rsidRPr="00292CB0">
              <w:rPr>
                <w:rFonts w:cs="Arial"/>
                <w:b/>
                <w:u w:val="single"/>
              </w:rPr>
              <w:t>Finance Directorate including Corporate Secretariat</w:t>
            </w:r>
          </w:p>
          <w:p w:rsidR="00292CB0" w:rsidRPr="00292CB0" w:rsidRDefault="00292CB0" w:rsidP="00292CB0">
            <w:pPr>
              <w:rPr>
                <w:rFonts w:cs="Arial"/>
                <w:b/>
              </w:rPr>
            </w:pPr>
          </w:p>
          <w:p w:rsidR="00292CB0" w:rsidRPr="00292CB0" w:rsidRDefault="00292CB0" w:rsidP="00292CB0">
            <w:pPr>
              <w:rPr>
                <w:rFonts w:cs="Arial"/>
                <w:b/>
              </w:rPr>
            </w:pPr>
            <w:r w:rsidRPr="00292CB0">
              <w:rPr>
                <w:rFonts w:cs="Arial"/>
                <w:b/>
              </w:rPr>
              <w:t>Financial Planning</w:t>
            </w:r>
          </w:p>
          <w:p w:rsidR="00292CB0" w:rsidRPr="00292CB0" w:rsidRDefault="00292CB0" w:rsidP="00292CB0">
            <w:pPr>
              <w:rPr>
                <w:rFonts w:cs="Arial"/>
                <w:b/>
              </w:rPr>
            </w:pPr>
          </w:p>
          <w:p w:rsidR="00292CB0" w:rsidRPr="00292CB0" w:rsidRDefault="00292CB0" w:rsidP="00292CB0">
            <w:pPr>
              <w:rPr>
                <w:rFonts w:cs="Arial"/>
              </w:rPr>
            </w:pPr>
            <w:r w:rsidRPr="00292CB0">
              <w:rPr>
                <w:rFonts w:cs="Arial"/>
              </w:rPr>
              <w:t xml:space="preserve">High-level financial plans have been developed for 2019/20 to inform the strategic planning process. </w:t>
            </w:r>
          </w:p>
          <w:p w:rsidR="00292CB0" w:rsidRPr="00292CB0" w:rsidRDefault="00292CB0" w:rsidP="00292CB0">
            <w:pPr>
              <w:rPr>
                <w:rFonts w:cs="Arial"/>
              </w:rPr>
            </w:pPr>
          </w:p>
          <w:p w:rsidR="00292CB0" w:rsidRPr="00292CB0" w:rsidRDefault="00292CB0" w:rsidP="00292CB0">
            <w:pPr>
              <w:rPr>
                <w:rFonts w:cs="Arial"/>
                <w:b/>
              </w:rPr>
            </w:pPr>
            <w:r w:rsidRPr="00292CB0">
              <w:rPr>
                <w:rFonts w:cs="Arial"/>
                <w:b/>
              </w:rPr>
              <w:t xml:space="preserve">Key financial drivers </w:t>
            </w:r>
            <w:r w:rsidRPr="00292CB0">
              <w:rPr>
                <w:rFonts w:cs="Arial"/>
              </w:rPr>
              <w:t>for 2019/20 include</w:t>
            </w:r>
            <w:r w:rsidRPr="00292CB0">
              <w:rPr>
                <w:rFonts w:cs="Arial"/>
                <w:b/>
              </w:rPr>
              <w:t>:</w:t>
            </w:r>
          </w:p>
          <w:p w:rsidR="00292CB0" w:rsidRPr="00292CB0" w:rsidRDefault="00292CB0" w:rsidP="00292CB0">
            <w:pPr>
              <w:pStyle w:val="ListParagraph"/>
              <w:numPr>
                <w:ilvl w:val="0"/>
                <w:numId w:val="17"/>
              </w:numPr>
              <w:rPr>
                <w:rFonts w:asciiTheme="minorHAnsi" w:hAnsiTheme="minorHAnsi" w:cs="Arial"/>
              </w:rPr>
            </w:pPr>
            <w:r w:rsidRPr="00292CB0">
              <w:rPr>
                <w:rFonts w:asciiTheme="minorHAnsi" w:hAnsiTheme="minorHAnsi" w:cs="Arial"/>
              </w:rPr>
              <w:lastRenderedPageBreak/>
              <w:t xml:space="preserve">Grant in aid funding is based on the current spending review allocations (£100k reduction, 4% in real terms), </w:t>
            </w:r>
          </w:p>
          <w:p w:rsidR="00292CB0" w:rsidRPr="00292CB0" w:rsidRDefault="00292CB0" w:rsidP="00292CB0">
            <w:pPr>
              <w:pStyle w:val="ListParagraph"/>
              <w:numPr>
                <w:ilvl w:val="0"/>
                <w:numId w:val="17"/>
              </w:numPr>
              <w:rPr>
                <w:rFonts w:asciiTheme="minorHAnsi" w:hAnsiTheme="minorHAnsi" w:cs="Arial"/>
              </w:rPr>
            </w:pPr>
            <w:r w:rsidRPr="00292CB0">
              <w:rPr>
                <w:rFonts w:asciiTheme="minorHAnsi" w:hAnsiTheme="minorHAnsi" w:cs="Arial"/>
              </w:rPr>
              <w:t>Cost pressures from new Agenda for Change terms and conditions (2018 contract) will be met by DHSC (excluding 1% pay uplifts)</w:t>
            </w:r>
          </w:p>
          <w:p w:rsidR="00292CB0" w:rsidRPr="00292CB0" w:rsidRDefault="00292CB0" w:rsidP="00292CB0">
            <w:pPr>
              <w:pStyle w:val="ListParagraph"/>
              <w:numPr>
                <w:ilvl w:val="0"/>
                <w:numId w:val="17"/>
              </w:numPr>
              <w:rPr>
                <w:rFonts w:asciiTheme="minorHAnsi" w:hAnsiTheme="minorHAnsi" w:cs="Arial"/>
              </w:rPr>
            </w:pPr>
            <w:r w:rsidRPr="00292CB0">
              <w:rPr>
                <w:rFonts w:asciiTheme="minorHAnsi" w:hAnsiTheme="minorHAnsi" w:cs="Arial"/>
              </w:rPr>
              <w:t>Cost pressures arising from proposed changes to NHS pension scheme regulations partially funded (6.3% increase in employers contributions, 2.5% unfunded; 3.8% funded)</w:t>
            </w:r>
          </w:p>
          <w:p w:rsidR="00292CB0" w:rsidRPr="00292CB0" w:rsidRDefault="00292CB0" w:rsidP="00292CB0">
            <w:pPr>
              <w:pStyle w:val="ListParagraph"/>
              <w:numPr>
                <w:ilvl w:val="0"/>
                <w:numId w:val="17"/>
              </w:numPr>
              <w:rPr>
                <w:rFonts w:asciiTheme="minorHAnsi" w:hAnsiTheme="minorHAnsi" w:cs="Arial"/>
              </w:rPr>
            </w:pPr>
            <w:r w:rsidRPr="00292CB0">
              <w:rPr>
                <w:rFonts w:asciiTheme="minorHAnsi" w:hAnsiTheme="minorHAnsi" w:cs="Arial"/>
              </w:rPr>
              <w:t xml:space="preserve">Research systems second phase development is dependent on securing funding from EU Exit allocation. Decision on this allocation is anticipated by the end of January. </w:t>
            </w:r>
          </w:p>
          <w:p w:rsidR="00292CB0" w:rsidRPr="00292CB0" w:rsidRDefault="00292CB0" w:rsidP="00292CB0">
            <w:pPr>
              <w:pStyle w:val="ListParagraph"/>
              <w:numPr>
                <w:ilvl w:val="0"/>
                <w:numId w:val="17"/>
              </w:numPr>
              <w:rPr>
                <w:rFonts w:asciiTheme="minorHAnsi" w:hAnsiTheme="minorHAnsi" w:cs="Arial"/>
              </w:rPr>
            </w:pPr>
            <w:r w:rsidRPr="00292CB0">
              <w:rPr>
                <w:rFonts w:asciiTheme="minorHAnsi" w:hAnsiTheme="minorHAnsi" w:cs="Arial"/>
              </w:rPr>
              <w:t xml:space="preserve">Organisational change processes have secured savings of £330k in addition to £400k efficiencies achieved in previous years. </w:t>
            </w:r>
          </w:p>
          <w:p w:rsidR="00292CB0" w:rsidRPr="00292CB0" w:rsidRDefault="00292CB0" w:rsidP="00292CB0">
            <w:pPr>
              <w:rPr>
                <w:rFonts w:cs="Arial"/>
                <w:b/>
              </w:rPr>
            </w:pPr>
          </w:p>
          <w:p w:rsidR="00292CB0" w:rsidRPr="00292CB0" w:rsidRDefault="00292CB0" w:rsidP="00292CB0">
            <w:pPr>
              <w:rPr>
                <w:rFonts w:cs="Arial"/>
                <w:b/>
              </w:rPr>
            </w:pPr>
            <w:r w:rsidRPr="00292CB0">
              <w:rPr>
                <w:rFonts w:cs="Arial"/>
                <w:b/>
              </w:rPr>
              <w:t>Year-end preparations</w:t>
            </w:r>
          </w:p>
          <w:p w:rsidR="00292CB0" w:rsidRPr="00292CB0" w:rsidRDefault="00292CB0" w:rsidP="00292CB0">
            <w:pPr>
              <w:rPr>
                <w:rFonts w:cs="Arial"/>
                <w:b/>
              </w:rPr>
            </w:pPr>
          </w:p>
          <w:p w:rsidR="00292CB0" w:rsidRPr="00292CB0" w:rsidRDefault="00292CB0" w:rsidP="00292CB0">
            <w:pPr>
              <w:rPr>
                <w:rFonts w:cs="Arial"/>
              </w:rPr>
            </w:pPr>
            <w:r w:rsidRPr="00292CB0">
              <w:rPr>
                <w:rFonts w:cs="Arial"/>
              </w:rPr>
              <w:t>Following agreement of 2018/19 audit plan at November’s Audit and Risk (ARC) on 7</w:t>
            </w:r>
            <w:r w:rsidRPr="00292CB0">
              <w:rPr>
                <w:rFonts w:cs="Arial"/>
                <w:vertAlign w:val="superscript"/>
              </w:rPr>
              <w:t>th</w:t>
            </w:r>
            <w:r w:rsidRPr="00292CB0">
              <w:rPr>
                <w:rFonts w:cs="Arial"/>
              </w:rPr>
              <w:t xml:space="preserve"> November 2018 we are now preparing for the interim audit, taking place the week commencing, 28</w:t>
            </w:r>
            <w:r w:rsidRPr="00292CB0">
              <w:rPr>
                <w:rFonts w:cs="Arial"/>
                <w:vertAlign w:val="superscript"/>
              </w:rPr>
              <w:t>th</w:t>
            </w:r>
            <w:r w:rsidRPr="00292CB0">
              <w:rPr>
                <w:rFonts w:cs="Arial"/>
              </w:rPr>
              <w:t xml:space="preserve"> January. </w:t>
            </w:r>
          </w:p>
          <w:p w:rsidR="00292CB0" w:rsidRPr="00292CB0" w:rsidRDefault="00292CB0" w:rsidP="00292CB0">
            <w:pPr>
              <w:rPr>
                <w:rFonts w:cs="Arial"/>
              </w:rPr>
            </w:pPr>
          </w:p>
          <w:p w:rsidR="00292CB0" w:rsidRPr="00292CB0" w:rsidRDefault="00292CB0" w:rsidP="00292CB0">
            <w:pPr>
              <w:rPr>
                <w:rFonts w:cs="Arial"/>
              </w:rPr>
            </w:pPr>
            <w:r w:rsidRPr="00292CB0">
              <w:rPr>
                <w:rFonts w:cs="Arial"/>
              </w:rPr>
              <w:t xml:space="preserve">Our accounting treatment, capital / revenue allocation, of our existing research systems expenditure and research systems development programme has been reviewed and proposed changes shared with DHSC as part of our period 9 report. This reflects the decision to replace IRAS and the move to Cloud based, low code software. These proposals will be discussed in more detail at the ARC in February. </w:t>
            </w:r>
          </w:p>
          <w:p w:rsidR="00292CB0" w:rsidRPr="00292CB0" w:rsidRDefault="00292CB0" w:rsidP="00292CB0">
            <w:pPr>
              <w:rPr>
                <w:rFonts w:cs="Arial"/>
                <w:b/>
              </w:rPr>
            </w:pPr>
          </w:p>
          <w:p w:rsidR="00292CB0" w:rsidRPr="00292CB0" w:rsidRDefault="00292CB0" w:rsidP="00292CB0">
            <w:pPr>
              <w:rPr>
                <w:rFonts w:cs="Arial"/>
                <w:b/>
              </w:rPr>
            </w:pPr>
            <w:r w:rsidRPr="00292CB0">
              <w:rPr>
                <w:rFonts w:cs="Arial"/>
                <w:b/>
              </w:rPr>
              <w:t>Procurement</w:t>
            </w:r>
          </w:p>
          <w:p w:rsidR="00292CB0" w:rsidRPr="00292CB0" w:rsidRDefault="00292CB0" w:rsidP="00292CB0">
            <w:pPr>
              <w:rPr>
                <w:rFonts w:cs="Arial"/>
                <w:b/>
              </w:rPr>
            </w:pPr>
          </w:p>
          <w:p w:rsidR="00292CB0" w:rsidRPr="00292CB0" w:rsidRDefault="00292CB0" w:rsidP="00292CB0">
            <w:pPr>
              <w:rPr>
                <w:rFonts w:cs="Arial"/>
              </w:rPr>
            </w:pPr>
            <w:r w:rsidRPr="00292CB0">
              <w:rPr>
                <w:rFonts w:cs="Arial"/>
              </w:rPr>
              <w:t xml:space="preserve">We are supporting research systems team in the negotiation of ‘plus 1’ contract terms with BGO. Discussions are relatively well progressed although there are still some key elements that need to be resolved before terms can be agreed. The draft contract change note (CCN) has been produced and is being discussed with the supplier. This CCN needs to be signed by the end of February. </w:t>
            </w:r>
          </w:p>
          <w:p w:rsidR="00292CB0" w:rsidRPr="00292CB0" w:rsidRDefault="00292CB0" w:rsidP="00292CB0">
            <w:pPr>
              <w:rPr>
                <w:rFonts w:cs="Arial"/>
              </w:rPr>
            </w:pPr>
          </w:p>
          <w:p w:rsidR="00292CB0" w:rsidRPr="00292CB0" w:rsidRDefault="00292CB0" w:rsidP="00292CB0">
            <w:pPr>
              <w:rPr>
                <w:rFonts w:cs="Arial"/>
              </w:rPr>
            </w:pPr>
            <w:r w:rsidRPr="00292CB0">
              <w:rPr>
                <w:rFonts w:cs="Arial"/>
              </w:rPr>
              <w:t>Proposed governance for signing the CCN is through delegated chairs action with review by ARC prior to signing to ensure we meet our delegated authorities and also the tight timelines involved.</w:t>
            </w:r>
          </w:p>
          <w:p w:rsidR="00292CB0" w:rsidRPr="00292CB0" w:rsidRDefault="00292CB0" w:rsidP="00292CB0">
            <w:pPr>
              <w:rPr>
                <w:rFonts w:cs="Arial"/>
              </w:rPr>
            </w:pPr>
            <w:r w:rsidRPr="00292CB0">
              <w:rPr>
                <w:rFonts w:cs="Arial"/>
              </w:rPr>
              <w:t xml:space="preserve"> </w:t>
            </w:r>
          </w:p>
          <w:p w:rsidR="00292CB0" w:rsidRPr="00292CB0" w:rsidRDefault="00292CB0" w:rsidP="00292CB0">
            <w:pPr>
              <w:rPr>
                <w:rFonts w:cs="Arial"/>
                <w:b/>
              </w:rPr>
            </w:pPr>
            <w:r w:rsidRPr="00292CB0">
              <w:rPr>
                <w:rFonts w:cs="Arial"/>
                <w:b/>
              </w:rPr>
              <w:t>Electronic expenses</w:t>
            </w:r>
          </w:p>
          <w:p w:rsidR="00292CB0" w:rsidRPr="00292CB0" w:rsidRDefault="00292CB0" w:rsidP="00292CB0">
            <w:pPr>
              <w:rPr>
                <w:rFonts w:cs="Arial"/>
                <w:b/>
              </w:rPr>
            </w:pPr>
          </w:p>
          <w:p w:rsidR="00292CB0" w:rsidRPr="00292CB0" w:rsidRDefault="00292CB0" w:rsidP="00292CB0">
            <w:pPr>
              <w:rPr>
                <w:rFonts w:cs="Arial"/>
              </w:rPr>
            </w:pPr>
            <w:r w:rsidRPr="00292CB0">
              <w:rPr>
                <w:rFonts w:cs="Arial"/>
              </w:rPr>
              <w:t xml:space="preserve">A project to roll out electronic expenses has been initiated. The software being utilised is part of the ESR (employee staff record) functionality and is provided free of charge to ESR users. The aim is to roll out the functionality from April for all staff with the expectation that this functionality be rolled out to Committee members in 2019/20. </w:t>
            </w:r>
          </w:p>
          <w:p w:rsidR="00292CB0" w:rsidRPr="00292CB0" w:rsidRDefault="00292CB0" w:rsidP="00292CB0">
            <w:pPr>
              <w:rPr>
                <w:rFonts w:cs="Arial"/>
              </w:rPr>
            </w:pPr>
          </w:p>
          <w:p w:rsidR="00292CB0" w:rsidRPr="00292CB0" w:rsidRDefault="00292CB0" w:rsidP="00292CB0">
            <w:pPr>
              <w:rPr>
                <w:rFonts w:cs="Arial"/>
                <w:b/>
              </w:rPr>
            </w:pPr>
            <w:r w:rsidRPr="00292CB0">
              <w:rPr>
                <w:rFonts w:cs="Arial"/>
                <w:b/>
              </w:rPr>
              <w:t>Estates</w:t>
            </w:r>
          </w:p>
          <w:p w:rsidR="00292CB0" w:rsidRPr="00292CB0" w:rsidRDefault="00292CB0" w:rsidP="00292CB0">
            <w:pPr>
              <w:rPr>
                <w:rFonts w:cs="Arial"/>
                <w:b/>
              </w:rPr>
            </w:pPr>
          </w:p>
          <w:p w:rsidR="00292CB0" w:rsidRPr="00292CB0" w:rsidRDefault="00292CB0" w:rsidP="00292CB0">
            <w:pPr>
              <w:rPr>
                <w:rFonts w:cs="Arial"/>
              </w:rPr>
            </w:pPr>
            <w:r w:rsidRPr="00292CB0">
              <w:rPr>
                <w:rFonts w:cs="Arial"/>
              </w:rPr>
              <w:t xml:space="preserve">A revised head lease for our Manchester office is being finalised, extending our term to June 2022 (from June 2020) and providing for the ability to sub-let to government organisations. At the same time we are close to agreeing the sub-lease with HS2 to share one of our Manchester office meeting rooms and </w:t>
            </w:r>
            <w:r w:rsidRPr="00292CB0">
              <w:rPr>
                <w:rFonts w:cs="Arial"/>
              </w:rPr>
              <w:lastRenderedPageBreak/>
              <w:t xml:space="preserve">generate approximately £20k/annum in additional revenue. </w:t>
            </w:r>
          </w:p>
          <w:p w:rsidR="00292CB0" w:rsidRPr="00292CB0" w:rsidRDefault="00292CB0" w:rsidP="00292CB0">
            <w:pPr>
              <w:rPr>
                <w:rFonts w:cs="Arial"/>
              </w:rPr>
            </w:pPr>
          </w:p>
          <w:p w:rsidR="00292CB0" w:rsidRPr="00292CB0" w:rsidRDefault="00292CB0" w:rsidP="00292CB0">
            <w:pPr>
              <w:rPr>
                <w:rFonts w:cs="Arial"/>
                <w:b/>
              </w:rPr>
            </w:pPr>
            <w:r w:rsidRPr="00292CB0">
              <w:rPr>
                <w:rFonts w:cs="Arial"/>
                <w:b/>
              </w:rPr>
              <w:t>Corporate Administration review</w:t>
            </w:r>
          </w:p>
          <w:p w:rsidR="00292CB0" w:rsidRPr="00292CB0" w:rsidRDefault="00292CB0" w:rsidP="00292CB0">
            <w:pPr>
              <w:rPr>
                <w:rFonts w:cs="Arial"/>
                <w:b/>
              </w:rPr>
            </w:pPr>
          </w:p>
          <w:p w:rsidR="00292CB0" w:rsidRPr="00292CB0" w:rsidRDefault="00292CB0" w:rsidP="00292CB0">
            <w:pPr>
              <w:rPr>
                <w:rFonts w:cs="Arial"/>
              </w:rPr>
            </w:pPr>
            <w:r w:rsidRPr="00292CB0">
              <w:rPr>
                <w:rFonts w:cs="Arial"/>
              </w:rPr>
              <w:t xml:space="preserve">A project has been started to review our approach to supporting administration and corporate meetings at the HRA. It is anticipated that this review will be completed by March 2019. </w:t>
            </w:r>
          </w:p>
          <w:p w:rsidR="00292CB0" w:rsidRPr="00292CB0" w:rsidRDefault="00292CB0" w:rsidP="00292CB0">
            <w:pPr>
              <w:rPr>
                <w:rFonts w:cs="Arial"/>
              </w:rPr>
            </w:pPr>
          </w:p>
          <w:p w:rsidR="00292CB0" w:rsidRPr="00292CB0" w:rsidRDefault="00292CB0" w:rsidP="00292CB0">
            <w:pPr>
              <w:rPr>
                <w:rFonts w:cs="Arial"/>
                <w:b/>
              </w:rPr>
            </w:pPr>
            <w:r w:rsidRPr="00292CB0">
              <w:rPr>
                <w:rFonts w:cs="Arial"/>
                <w:b/>
              </w:rPr>
              <w:t>Information governance</w:t>
            </w:r>
          </w:p>
          <w:p w:rsidR="00292CB0" w:rsidRPr="00292CB0" w:rsidRDefault="00292CB0" w:rsidP="00292CB0">
            <w:pPr>
              <w:rPr>
                <w:rFonts w:cs="Arial"/>
                <w:b/>
              </w:rPr>
            </w:pPr>
          </w:p>
          <w:p w:rsidR="00292CB0" w:rsidRPr="00292CB0" w:rsidRDefault="00292CB0" w:rsidP="00292CB0">
            <w:pPr>
              <w:rPr>
                <w:rFonts w:cs="Arial"/>
              </w:rPr>
            </w:pPr>
            <w:r w:rsidRPr="00292CB0">
              <w:rPr>
                <w:rFonts w:cs="Arial"/>
              </w:rPr>
              <w:t xml:space="preserve">The annual review of our information asset register has commenced and is due to be complete by March 2019. In addition, we have submitted an interim report on our completion of the Data Security and Protection Toolkit, with the aim to complete all mandatory questions by 31 March 2019. </w:t>
            </w:r>
          </w:p>
          <w:p w:rsidR="00292CB0" w:rsidRPr="00292CB0" w:rsidRDefault="00292CB0" w:rsidP="00292CB0">
            <w:pPr>
              <w:rPr>
                <w:rFonts w:cs="Arial"/>
              </w:rPr>
            </w:pPr>
          </w:p>
          <w:p w:rsidR="00292CB0" w:rsidRPr="00292CB0" w:rsidRDefault="00292CB0" w:rsidP="00292CB0">
            <w:pPr>
              <w:rPr>
                <w:rFonts w:cs="Arial"/>
              </w:rPr>
            </w:pPr>
            <w:r w:rsidRPr="00292CB0">
              <w:rPr>
                <w:rFonts w:cs="Arial"/>
              </w:rPr>
              <w:t xml:space="preserve">We have now launched our new information governance training, hosted on our learning management system to ensure we meet GDPR requirements. This training is based on an existing NHS BSA module adapted to take into account HRA’s specific policies and requirements. All staff are expected to complete this training module by the end of February.  </w:t>
            </w:r>
          </w:p>
          <w:p w:rsidR="00292CB0" w:rsidRPr="00292CB0" w:rsidRDefault="00292CB0" w:rsidP="00292CB0">
            <w:pPr>
              <w:rPr>
                <w:rFonts w:cs="Arial"/>
              </w:rPr>
            </w:pPr>
          </w:p>
          <w:p w:rsidR="00292CB0" w:rsidRPr="00292CB0" w:rsidRDefault="00292CB0" w:rsidP="00292CB0">
            <w:pPr>
              <w:rPr>
                <w:rFonts w:cs="Arial"/>
                <w:b/>
              </w:rPr>
            </w:pPr>
            <w:r w:rsidRPr="00292CB0">
              <w:rPr>
                <w:rFonts w:cs="Arial"/>
                <w:b/>
              </w:rPr>
              <w:t>RECs audited by Quality Assurance Team</w:t>
            </w:r>
          </w:p>
          <w:p w:rsidR="00292CB0" w:rsidRPr="00292CB0" w:rsidRDefault="00292CB0" w:rsidP="00292CB0">
            <w:pPr>
              <w:rPr>
                <w:rFonts w:cs="Arial"/>
                <w:b/>
              </w:rPr>
            </w:pPr>
          </w:p>
          <w:tbl>
            <w:tblPr>
              <w:tblStyle w:val="TableGrid"/>
              <w:tblW w:w="7258" w:type="dxa"/>
              <w:tblLayout w:type="fixed"/>
              <w:tblLook w:val="04A0" w:firstRow="1" w:lastRow="0" w:firstColumn="1" w:lastColumn="0" w:noHBand="0" w:noVBand="1"/>
            </w:tblPr>
            <w:tblGrid>
              <w:gridCol w:w="3936"/>
              <w:gridCol w:w="3322"/>
            </w:tblGrid>
            <w:tr w:rsidR="00292CB0" w:rsidRPr="00292CB0" w:rsidTr="00292CB0">
              <w:tc>
                <w:tcPr>
                  <w:tcW w:w="7258" w:type="dxa"/>
                  <w:gridSpan w:val="2"/>
                  <w:tcBorders>
                    <w:top w:val="single" w:sz="12" w:space="0" w:color="auto"/>
                    <w:bottom w:val="single" w:sz="4" w:space="0" w:color="auto"/>
                  </w:tcBorders>
                  <w:shd w:val="clear" w:color="auto" w:fill="C6D9F1" w:themeFill="text2" w:themeFillTint="33"/>
                </w:tcPr>
                <w:p w:rsidR="00292CB0" w:rsidRPr="00292CB0" w:rsidRDefault="00292CB0" w:rsidP="00E468A7">
                  <w:pPr>
                    <w:rPr>
                      <w:rFonts w:cs="Arial"/>
                      <w:b/>
                    </w:rPr>
                  </w:pPr>
                  <w:r w:rsidRPr="00292CB0">
                    <w:rPr>
                      <w:rFonts w:cs="Arial"/>
                      <w:b/>
                    </w:rPr>
                    <w:t>RECs accredited under 2016 Accreditation Scheme</w:t>
                  </w:r>
                </w:p>
              </w:tc>
            </w:tr>
            <w:tr w:rsidR="00292CB0" w:rsidRPr="00292CB0" w:rsidTr="00292CB0">
              <w:tc>
                <w:tcPr>
                  <w:tcW w:w="3936" w:type="dxa"/>
                  <w:shd w:val="clear" w:color="auto" w:fill="auto"/>
                </w:tcPr>
                <w:p w:rsidR="00292CB0" w:rsidRPr="00292CB0" w:rsidRDefault="00292CB0" w:rsidP="00E468A7">
                  <w:pPr>
                    <w:rPr>
                      <w:rFonts w:eastAsia="Times New Roman" w:cs="Arial"/>
                      <w:color w:val="000000"/>
                    </w:rPr>
                  </w:pPr>
                  <w:r w:rsidRPr="00292CB0">
                    <w:rPr>
                      <w:rFonts w:eastAsia="Times New Roman" w:cs="Arial"/>
                      <w:color w:val="000000"/>
                    </w:rPr>
                    <w:t>North West – GM East</w:t>
                  </w:r>
                </w:p>
              </w:tc>
              <w:tc>
                <w:tcPr>
                  <w:tcW w:w="3322" w:type="dxa"/>
                  <w:shd w:val="clear" w:color="auto" w:fill="auto"/>
                </w:tcPr>
                <w:p w:rsidR="00292CB0" w:rsidRPr="00292CB0" w:rsidRDefault="00292CB0" w:rsidP="00E468A7">
                  <w:pPr>
                    <w:rPr>
                      <w:rFonts w:cs="Arial"/>
                    </w:rPr>
                  </w:pPr>
                  <w:r w:rsidRPr="00292CB0">
                    <w:rPr>
                      <w:rFonts w:cs="Arial"/>
                    </w:rPr>
                    <w:t>Full accreditation under 2016 scheme (after completion of action plan)</w:t>
                  </w:r>
                </w:p>
              </w:tc>
            </w:tr>
            <w:tr w:rsidR="00292CB0" w:rsidRPr="00292CB0" w:rsidTr="00292CB0">
              <w:tc>
                <w:tcPr>
                  <w:tcW w:w="7258" w:type="dxa"/>
                  <w:gridSpan w:val="2"/>
                  <w:tcBorders>
                    <w:top w:val="single" w:sz="12" w:space="0" w:color="auto"/>
                    <w:bottom w:val="single" w:sz="12" w:space="0" w:color="auto"/>
                  </w:tcBorders>
                  <w:shd w:val="clear" w:color="auto" w:fill="C6D9F1" w:themeFill="text2" w:themeFillTint="33"/>
                </w:tcPr>
                <w:p w:rsidR="00292CB0" w:rsidRPr="00292CB0" w:rsidRDefault="00292CB0" w:rsidP="00E468A7">
                  <w:pPr>
                    <w:rPr>
                      <w:rFonts w:cs="Arial"/>
                      <w:b/>
                    </w:rPr>
                  </w:pPr>
                  <w:r w:rsidRPr="00292CB0">
                    <w:rPr>
                      <w:rFonts w:cs="Arial"/>
                      <w:b/>
                    </w:rPr>
                    <w:t>RECs accredited under 2018 Accreditation Scheme</w:t>
                  </w:r>
                </w:p>
              </w:tc>
            </w:tr>
            <w:tr w:rsidR="00292CB0" w:rsidRPr="00292CB0" w:rsidTr="00292CB0">
              <w:tc>
                <w:tcPr>
                  <w:tcW w:w="3936" w:type="dxa"/>
                  <w:shd w:val="clear" w:color="auto" w:fill="auto"/>
                </w:tcPr>
                <w:p w:rsidR="00292CB0" w:rsidRPr="00292CB0" w:rsidRDefault="00292CB0" w:rsidP="00E468A7">
                  <w:pPr>
                    <w:rPr>
                      <w:rFonts w:eastAsia="Times New Roman" w:cs="Arial"/>
                      <w:color w:val="000000"/>
                    </w:rPr>
                  </w:pPr>
                  <w:r w:rsidRPr="00292CB0">
                    <w:rPr>
                      <w:rFonts w:eastAsia="Times New Roman" w:cs="Arial"/>
                      <w:color w:val="000000"/>
                    </w:rPr>
                    <w:t>Yorkshire &amp; the Humber – South Yorkshire</w:t>
                  </w:r>
                </w:p>
              </w:tc>
              <w:tc>
                <w:tcPr>
                  <w:tcW w:w="3322" w:type="dxa"/>
                  <w:shd w:val="clear" w:color="auto" w:fill="auto"/>
                </w:tcPr>
                <w:p w:rsidR="00292CB0" w:rsidRPr="00292CB0" w:rsidRDefault="00292CB0" w:rsidP="00E468A7">
                  <w:pPr>
                    <w:rPr>
                      <w:rFonts w:cs="Arial"/>
                    </w:rPr>
                  </w:pPr>
                  <w:r w:rsidRPr="00292CB0">
                    <w:rPr>
                      <w:rFonts w:cs="Arial"/>
                    </w:rPr>
                    <w:t>Full accreditation under 2018 scheme</w:t>
                  </w:r>
                </w:p>
              </w:tc>
            </w:tr>
            <w:tr w:rsidR="00292CB0" w:rsidRPr="00292CB0" w:rsidTr="00292CB0">
              <w:tc>
                <w:tcPr>
                  <w:tcW w:w="3936" w:type="dxa"/>
                  <w:shd w:val="clear" w:color="auto" w:fill="auto"/>
                </w:tcPr>
                <w:p w:rsidR="00292CB0" w:rsidRPr="00292CB0" w:rsidRDefault="00292CB0" w:rsidP="00E468A7">
                  <w:pPr>
                    <w:rPr>
                      <w:rFonts w:eastAsia="Times New Roman" w:cs="Arial"/>
                      <w:color w:val="000000"/>
                    </w:rPr>
                  </w:pPr>
                  <w:r w:rsidRPr="00292CB0">
                    <w:rPr>
                      <w:rFonts w:eastAsia="Times New Roman" w:cs="Arial"/>
                      <w:color w:val="000000"/>
                    </w:rPr>
                    <w:t>Social Care REC</w:t>
                  </w:r>
                </w:p>
              </w:tc>
              <w:tc>
                <w:tcPr>
                  <w:tcW w:w="3322" w:type="dxa"/>
                  <w:shd w:val="clear" w:color="auto" w:fill="auto"/>
                </w:tcPr>
                <w:p w:rsidR="00292CB0" w:rsidRPr="00292CB0" w:rsidRDefault="00292CB0" w:rsidP="00E468A7">
                  <w:pPr>
                    <w:rPr>
                      <w:rFonts w:cs="Arial"/>
                    </w:rPr>
                  </w:pPr>
                  <w:r w:rsidRPr="00292CB0">
                    <w:rPr>
                      <w:rFonts w:cs="Arial"/>
                    </w:rPr>
                    <w:t>Full accreditation under 2018 scheme</w:t>
                  </w:r>
                </w:p>
              </w:tc>
            </w:tr>
            <w:tr w:rsidR="00292CB0" w:rsidRPr="00292CB0" w:rsidTr="00292CB0">
              <w:tc>
                <w:tcPr>
                  <w:tcW w:w="3936" w:type="dxa"/>
                  <w:shd w:val="clear" w:color="auto" w:fill="auto"/>
                </w:tcPr>
                <w:p w:rsidR="00292CB0" w:rsidRPr="00292CB0" w:rsidRDefault="00292CB0" w:rsidP="00E468A7">
                  <w:pPr>
                    <w:rPr>
                      <w:rFonts w:cs="Arial"/>
                    </w:rPr>
                  </w:pPr>
                  <w:r w:rsidRPr="00292CB0">
                    <w:rPr>
                      <w:rFonts w:cs="Arial"/>
                    </w:rPr>
                    <w:t>North West – Preston</w:t>
                  </w:r>
                </w:p>
              </w:tc>
              <w:tc>
                <w:tcPr>
                  <w:tcW w:w="3322" w:type="dxa"/>
                  <w:shd w:val="clear" w:color="auto" w:fill="auto"/>
                </w:tcPr>
                <w:p w:rsidR="00292CB0" w:rsidRPr="00292CB0" w:rsidRDefault="00292CB0" w:rsidP="00E468A7">
                  <w:pPr>
                    <w:rPr>
                      <w:rFonts w:cs="Arial"/>
                    </w:rPr>
                  </w:pPr>
                  <w:r w:rsidRPr="00292CB0">
                    <w:rPr>
                      <w:rFonts w:cs="Arial"/>
                    </w:rPr>
                    <w:t>Provisional (action plan pending completion)</w:t>
                  </w:r>
                </w:p>
              </w:tc>
            </w:tr>
            <w:tr w:rsidR="00292CB0" w:rsidRPr="00292CB0" w:rsidTr="00292CB0">
              <w:tc>
                <w:tcPr>
                  <w:tcW w:w="3936" w:type="dxa"/>
                  <w:shd w:val="clear" w:color="auto" w:fill="auto"/>
                </w:tcPr>
                <w:p w:rsidR="00292CB0" w:rsidRPr="00292CB0" w:rsidRDefault="00292CB0" w:rsidP="00E468A7">
                  <w:pPr>
                    <w:rPr>
                      <w:rFonts w:eastAsia="Times New Roman" w:cs="Arial"/>
                      <w:color w:val="000000"/>
                    </w:rPr>
                  </w:pPr>
                  <w:r w:rsidRPr="00292CB0">
                    <w:rPr>
                      <w:rFonts w:eastAsia="Times New Roman" w:cs="Arial"/>
                      <w:color w:val="000000"/>
                    </w:rPr>
                    <w:t>East of England – Cambridge South</w:t>
                  </w:r>
                </w:p>
              </w:tc>
              <w:tc>
                <w:tcPr>
                  <w:tcW w:w="3322" w:type="dxa"/>
                  <w:shd w:val="clear" w:color="auto" w:fill="auto"/>
                </w:tcPr>
                <w:p w:rsidR="00292CB0" w:rsidRPr="00292CB0" w:rsidRDefault="00292CB0" w:rsidP="00E468A7">
                  <w:pPr>
                    <w:rPr>
                      <w:rFonts w:cs="Arial"/>
                    </w:rPr>
                  </w:pPr>
                  <w:r w:rsidRPr="00292CB0">
                    <w:rPr>
                      <w:rFonts w:cs="Arial"/>
                    </w:rPr>
                    <w:t>Provisional (action plan pending completion)</w:t>
                  </w:r>
                </w:p>
              </w:tc>
            </w:tr>
            <w:tr w:rsidR="00292CB0" w:rsidRPr="00292CB0" w:rsidTr="00292CB0">
              <w:tc>
                <w:tcPr>
                  <w:tcW w:w="3936" w:type="dxa"/>
                  <w:shd w:val="clear" w:color="auto" w:fill="auto"/>
                </w:tcPr>
                <w:p w:rsidR="00292CB0" w:rsidRPr="00292CB0" w:rsidRDefault="00292CB0" w:rsidP="00E468A7">
                  <w:pPr>
                    <w:rPr>
                      <w:rFonts w:eastAsia="Times New Roman" w:cs="Arial"/>
                      <w:color w:val="000000"/>
                    </w:rPr>
                  </w:pPr>
                  <w:r w:rsidRPr="00292CB0">
                    <w:rPr>
                      <w:rFonts w:eastAsia="Times New Roman" w:cs="Arial"/>
                      <w:color w:val="000000"/>
                    </w:rPr>
                    <w:t>East of England – Essex</w:t>
                  </w:r>
                </w:p>
              </w:tc>
              <w:tc>
                <w:tcPr>
                  <w:tcW w:w="3322" w:type="dxa"/>
                  <w:shd w:val="clear" w:color="auto" w:fill="auto"/>
                </w:tcPr>
                <w:p w:rsidR="00292CB0" w:rsidRPr="00292CB0" w:rsidRDefault="00292CB0" w:rsidP="00E468A7">
                  <w:pPr>
                    <w:rPr>
                      <w:rFonts w:cs="Arial"/>
                    </w:rPr>
                  </w:pPr>
                  <w:r w:rsidRPr="00292CB0">
                    <w:rPr>
                      <w:rFonts w:cs="Arial"/>
                    </w:rPr>
                    <w:t>Provisional (action plan pending completion)</w:t>
                  </w:r>
                </w:p>
              </w:tc>
            </w:tr>
            <w:tr w:rsidR="00292CB0" w:rsidRPr="00292CB0" w:rsidTr="00292CB0">
              <w:tc>
                <w:tcPr>
                  <w:tcW w:w="3936" w:type="dxa"/>
                  <w:shd w:val="clear" w:color="auto" w:fill="auto"/>
                </w:tcPr>
                <w:p w:rsidR="00292CB0" w:rsidRPr="00292CB0" w:rsidRDefault="00292CB0" w:rsidP="00E468A7">
                  <w:pPr>
                    <w:rPr>
                      <w:rFonts w:eastAsia="Times New Roman" w:cs="Arial"/>
                      <w:color w:val="000000"/>
                    </w:rPr>
                  </w:pPr>
                  <w:r w:rsidRPr="00292CB0">
                    <w:rPr>
                      <w:rFonts w:eastAsia="Times New Roman" w:cs="Arial"/>
                      <w:color w:val="000000"/>
                    </w:rPr>
                    <w:t>London – Dulwich</w:t>
                  </w:r>
                </w:p>
              </w:tc>
              <w:tc>
                <w:tcPr>
                  <w:tcW w:w="3322" w:type="dxa"/>
                  <w:shd w:val="clear" w:color="auto" w:fill="auto"/>
                </w:tcPr>
                <w:p w:rsidR="00292CB0" w:rsidRPr="00292CB0" w:rsidRDefault="00292CB0" w:rsidP="00E468A7">
                  <w:pPr>
                    <w:rPr>
                      <w:rFonts w:cs="Arial"/>
                    </w:rPr>
                  </w:pPr>
                  <w:r w:rsidRPr="00292CB0">
                    <w:rPr>
                      <w:rFonts w:cs="Arial"/>
                    </w:rPr>
                    <w:t>Provisional (action plan pending completion)</w:t>
                  </w:r>
                </w:p>
              </w:tc>
            </w:tr>
            <w:tr w:rsidR="00292CB0" w:rsidRPr="00292CB0" w:rsidTr="00292CB0">
              <w:tc>
                <w:tcPr>
                  <w:tcW w:w="3936" w:type="dxa"/>
                  <w:shd w:val="clear" w:color="auto" w:fill="auto"/>
                </w:tcPr>
                <w:p w:rsidR="00292CB0" w:rsidRPr="00292CB0" w:rsidRDefault="00292CB0" w:rsidP="00E468A7">
                  <w:pPr>
                    <w:rPr>
                      <w:rFonts w:eastAsia="Times New Roman" w:cs="Arial"/>
                      <w:color w:val="000000"/>
                    </w:rPr>
                  </w:pPr>
                  <w:r w:rsidRPr="00292CB0">
                    <w:rPr>
                      <w:rFonts w:eastAsia="Times New Roman" w:cs="Arial"/>
                      <w:color w:val="000000"/>
                    </w:rPr>
                    <w:t>West Midlands – Solihull</w:t>
                  </w:r>
                </w:p>
              </w:tc>
              <w:tc>
                <w:tcPr>
                  <w:tcW w:w="3322" w:type="dxa"/>
                  <w:shd w:val="clear" w:color="auto" w:fill="auto"/>
                </w:tcPr>
                <w:p w:rsidR="00292CB0" w:rsidRPr="00292CB0" w:rsidRDefault="00292CB0" w:rsidP="00E468A7">
                  <w:pPr>
                    <w:rPr>
                      <w:rFonts w:cs="Arial"/>
                    </w:rPr>
                  </w:pPr>
                  <w:r w:rsidRPr="00292CB0">
                    <w:rPr>
                      <w:rFonts w:cs="Arial"/>
                    </w:rPr>
                    <w:t>Accreditation with conditions (action plan pending completion)</w:t>
                  </w:r>
                </w:p>
              </w:tc>
            </w:tr>
            <w:tr w:rsidR="00292CB0" w:rsidRPr="00292CB0" w:rsidTr="00292CB0">
              <w:tc>
                <w:tcPr>
                  <w:tcW w:w="3936" w:type="dxa"/>
                  <w:shd w:val="clear" w:color="auto" w:fill="auto"/>
                </w:tcPr>
                <w:p w:rsidR="00292CB0" w:rsidRPr="00292CB0" w:rsidRDefault="00292CB0" w:rsidP="00E468A7">
                  <w:pPr>
                    <w:rPr>
                      <w:rFonts w:eastAsia="Times New Roman" w:cs="Arial"/>
                      <w:color w:val="000000"/>
                    </w:rPr>
                  </w:pPr>
                  <w:r w:rsidRPr="00292CB0">
                    <w:rPr>
                      <w:rFonts w:eastAsia="Times New Roman" w:cs="Arial"/>
                      <w:color w:val="000000"/>
                    </w:rPr>
                    <w:t>Yorkshire &amp; the Humber – Bradford Leeds</w:t>
                  </w:r>
                </w:p>
              </w:tc>
              <w:tc>
                <w:tcPr>
                  <w:tcW w:w="3322" w:type="dxa"/>
                  <w:shd w:val="clear" w:color="auto" w:fill="auto"/>
                </w:tcPr>
                <w:p w:rsidR="00292CB0" w:rsidRPr="00292CB0" w:rsidRDefault="00292CB0" w:rsidP="00E468A7">
                  <w:pPr>
                    <w:rPr>
                      <w:rFonts w:cs="Arial"/>
                    </w:rPr>
                  </w:pPr>
                  <w:r w:rsidRPr="00292CB0">
                    <w:rPr>
                      <w:rFonts w:cs="Arial"/>
                    </w:rPr>
                    <w:t>Full accreditation under 2018 scheme</w:t>
                  </w:r>
                </w:p>
              </w:tc>
            </w:tr>
            <w:tr w:rsidR="00292CB0" w:rsidRPr="00292CB0" w:rsidTr="00292CB0">
              <w:tc>
                <w:tcPr>
                  <w:tcW w:w="3936" w:type="dxa"/>
                  <w:shd w:val="clear" w:color="auto" w:fill="auto"/>
                </w:tcPr>
                <w:p w:rsidR="00292CB0" w:rsidRPr="00292CB0" w:rsidRDefault="00292CB0" w:rsidP="00E468A7">
                  <w:pPr>
                    <w:rPr>
                      <w:rFonts w:eastAsia="Times New Roman" w:cs="Arial"/>
                      <w:color w:val="000000"/>
                    </w:rPr>
                  </w:pPr>
                  <w:r w:rsidRPr="00292CB0">
                    <w:rPr>
                      <w:rFonts w:eastAsia="Times New Roman" w:cs="Arial"/>
                      <w:color w:val="000000"/>
                    </w:rPr>
                    <w:t>South Central – Hampshire B</w:t>
                  </w:r>
                </w:p>
              </w:tc>
              <w:tc>
                <w:tcPr>
                  <w:tcW w:w="3322" w:type="dxa"/>
                  <w:shd w:val="clear" w:color="auto" w:fill="auto"/>
                </w:tcPr>
                <w:p w:rsidR="00292CB0" w:rsidRPr="00292CB0" w:rsidRDefault="00292CB0" w:rsidP="00E468A7">
                  <w:pPr>
                    <w:rPr>
                      <w:rFonts w:cs="Arial"/>
                    </w:rPr>
                  </w:pPr>
                  <w:r w:rsidRPr="00292CB0">
                    <w:rPr>
                      <w:rFonts w:cs="Arial"/>
                    </w:rPr>
                    <w:t>Provisional (action plan pending completion)</w:t>
                  </w:r>
                </w:p>
              </w:tc>
            </w:tr>
            <w:tr w:rsidR="00292CB0" w:rsidRPr="00292CB0" w:rsidTr="00292CB0">
              <w:tc>
                <w:tcPr>
                  <w:tcW w:w="3936" w:type="dxa"/>
                  <w:shd w:val="clear" w:color="auto" w:fill="auto"/>
                </w:tcPr>
                <w:p w:rsidR="00292CB0" w:rsidRPr="00292CB0" w:rsidRDefault="00292CB0" w:rsidP="00E468A7">
                  <w:pPr>
                    <w:rPr>
                      <w:rFonts w:eastAsia="Times New Roman" w:cs="Arial"/>
                      <w:color w:val="000000"/>
                    </w:rPr>
                  </w:pPr>
                  <w:r w:rsidRPr="00292CB0">
                    <w:rPr>
                      <w:rFonts w:eastAsia="Times New Roman" w:cs="Arial"/>
                      <w:color w:val="000000"/>
                    </w:rPr>
                    <w:t>South West – Frenchay</w:t>
                  </w:r>
                </w:p>
              </w:tc>
              <w:tc>
                <w:tcPr>
                  <w:tcW w:w="3322" w:type="dxa"/>
                  <w:shd w:val="clear" w:color="auto" w:fill="auto"/>
                </w:tcPr>
                <w:p w:rsidR="00292CB0" w:rsidRPr="00292CB0" w:rsidRDefault="00292CB0" w:rsidP="00E468A7">
                  <w:pPr>
                    <w:rPr>
                      <w:rFonts w:cs="Arial"/>
                    </w:rPr>
                  </w:pPr>
                  <w:r w:rsidRPr="00292CB0">
                    <w:rPr>
                      <w:rFonts w:cs="Arial"/>
                    </w:rPr>
                    <w:t>Provisional (action plan pending completion)</w:t>
                  </w:r>
                </w:p>
              </w:tc>
            </w:tr>
            <w:tr w:rsidR="00292CB0" w:rsidRPr="00292CB0" w:rsidTr="00292CB0">
              <w:tc>
                <w:tcPr>
                  <w:tcW w:w="3936" w:type="dxa"/>
                  <w:shd w:val="clear" w:color="auto" w:fill="auto"/>
                </w:tcPr>
                <w:p w:rsidR="00292CB0" w:rsidRPr="00292CB0" w:rsidRDefault="00292CB0" w:rsidP="00E468A7">
                  <w:pPr>
                    <w:rPr>
                      <w:rFonts w:eastAsia="Times New Roman" w:cs="Arial"/>
                      <w:color w:val="000000"/>
                    </w:rPr>
                  </w:pPr>
                  <w:r w:rsidRPr="00292CB0">
                    <w:rPr>
                      <w:rFonts w:eastAsia="Times New Roman" w:cs="Arial"/>
                      <w:color w:val="000000"/>
                    </w:rPr>
                    <w:t>North of Scotland 2</w:t>
                  </w:r>
                </w:p>
              </w:tc>
              <w:tc>
                <w:tcPr>
                  <w:tcW w:w="3322" w:type="dxa"/>
                  <w:shd w:val="clear" w:color="auto" w:fill="auto"/>
                </w:tcPr>
                <w:p w:rsidR="00292CB0" w:rsidRPr="00292CB0" w:rsidRDefault="00292CB0" w:rsidP="00E468A7">
                  <w:pPr>
                    <w:rPr>
                      <w:rFonts w:cs="Arial"/>
                    </w:rPr>
                  </w:pPr>
                  <w:r w:rsidRPr="00292CB0">
                    <w:rPr>
                      <w:rFonts w:cs="Arial"/>
                    </w:rPr>
                    <w:t>Full accreditation under 2018 scheme</w:t>
                  </w:r>
                </w:p>
              </w:tc>
            </w:tr>
          </w:tbl>
          <w:p w:rsidR="00292CB0" w:rsidRPr="00292CB0" w:rsidRDefault="00292CB0" w:rsidP="00292CB0">
            <w:pPr>
              <w:rPr>
                <w:rFonts w:cs="Arial"/>
              </w:rPr>
            </w:pPr>
          </w:p>
          <w:p w:rsidR="005B69AA" w:rsidRPr="00292CB0" w:rsidRDefault="005B69AA" w:rsidP="00273697">
            <w:pPr>
              <w:rPr>
                <w:rFonts w:cs="Arial"/>
                <w:b/>
              </w:rPr>
            </w:pPr>
          </w:p>
        </w:tc>
        <w:tc>
          <w:tcPr>
            <w:tcW w:w="1039" w:type="dxa"/>
            <w:shd w:val="clear" w:color="auto" w:fill="auto"/>
          </w:tcPr>
          <w:p w:rsidR="006A01E7" w:rsidRPr="003C57DE" w:rsidRDefault="006A01E7" w:rsidP="00DE5765">
            <w:pPr>
              <w:jc w:val="center"/>
              <w:rPr>
                <w:rFonts w:cs="Arial"/>
                <w:b/>
              </w:rPr>
            </w:pPr>
          </w:p>
        </w:tc>
      </w:tr>
      <w:tr w:rsidR="00912A60" w:rsidRPr="001657FC" w:rsidTr="003A4715">
        <w:trPr>
          <w:trHeight w:val="295"/>
        </w:trPr>
        <w:tc>
          <w:tcPr>
            <w:tcW w:w="959" w:type="dxa"/>
            <w:shd w:val="clear" w:color="auto" w:fill="auto"/>
          </w:tcPr>
          <w:p w:rsidR="00912A60" w:rsidRPr="001657FC" w:rsidRDefault="00912A60" w:rsidP="00B205DF">
            <w:pPr>
              <w:numPr>
                <w:ilvl w:val="0"/>
                <w:numId w:val="1"/>
              </w:numPr>
              <w:rPr>
                <w:rFonts w:cs="Arial"/>
                <w:b/>
              </w:rPr>
            </w:pPr>
          </w:p>
        </w:tc>
        <w:tc>
          <w:tcPr>
            <w:tcW w:w="7397" w:type="dxa"/>
            <w:shd w:val="clear" w:color="auto" w:fill="auto"/>
          </w:tcPr>
          <w:p w:rsidR="003A7833" w:rsidRDefault="00A72DCD" w:rsidP="008D753F">
            <w:pPr>
              <w:rPr>
                <w:rFonts w:cs="Arial"/>
                <w:b/>
              </w:rPr>
            </w:pPr>
            <w:r>
              <w:rPr>
                <w:rFonts w:cs="Arial"/>
                <w:b/>
              </w:rPr>
              <w:t>Research Transparency Strategy Development</w:t>
            </w:r>
          </w:p>
          <w:p w:rsidR="00DB4E58" w:rsidRDefault="00DB4E58" w:rsidP="00534629"/>
          <w:p w:rsidR="00DB4E58" w:rsidRDefault="00DB4E58" w:rsidP="00534629">
            <w:r>
              <w:t>JT presented the paper which outlined the proposed approach for the development of a research transparency strategy for delivery by December 2019. JT highlighted a draft strategy is intended to be shared with the House of Commons Science &amp; Technology Select Committee in the summer 2019.</w:t>
            </w:r>
          </w:p>
          <w:p w:rsidR="00A47E4B" w:rsidRDefault="00A47E4B" w:rsidP="00534629"/>
          <w:p w:rsidR="00A47E4B" w:rsidRDefault="00A47E4B" w:rsidP="00534629">
            <w:r>
              <w:t xml:space="preserve">JT highlighted the intention to form a small expert reference group to support the development of the strategy. JT advised the Board may wish to consider whether a NED could chair this expert reference group and asked the Board for any suggestions of other potential representatives on the group. JT advised the group would meet three to four times over the year and have approximately six to eight members. </w:t>
            </w:r>
          </w:p>
          <w:p w:rsidR="002927A4" w:rsidRDefault="002927A4" w:rsidP="00534629"/>
          <w:p w:rsidR="00A47E4B" w:rsidRDefault="00FD4F32" w:rsidP="00534629">
            <w:r>
              <w:t xml:space="preserve">The Board noted </w:t>
            </w:r>
            <w:r w:rsidR="002927A4">
              <w:t>the HRA’s relationship with other organisations would be key to the successful development and delivery of any transparency strategy. The Board recognised the need to create alignment across the system and understand any obstacles preventing registration or publication. The Board noted the obstacles may vary depending on the sector involved and agreed a number of different scenarios would be beneficial. The Board recommended the HRA speak to other related parties including Research Fish.</w:t>
            </w:r>
          </w:p>
          <w:p w:rsidR="002927A4" w:rsidRDefault="002927A4" w:rsidP="00534629"/>
          <w:p w:rsidR="002927A4" w:rsidRDefault="002927A4" w:rsidP="00534629">
            <w:r>
              <w:t xml:space="preserve">The Board was supportive of the direction of travel and looked forward to </w:t>
            </w:r>
            <w:r w:rsidR="000309DF">
              <w:t xml:space="preserve">receiving </w:t>
            </w:r>
            <w:r>
              <w:t>further updates in due course.</w:t>
            </w:r>
          </w:p>
          <w:p w:rsidR="002927A4" w:rsidRDefault="002927A4" w:rsidP="00534629"/>
          <w:p w:rsidR="002927A4" w:rsidRPr="00A47E4B" w:rsidRDefault="002927A4" w:rsidP="002927A4">
            <w:pPr>
              <w:jc w:val="right"/>
              <w:rPr>
                <w:b/>
                <w:i/>
              </w:rPr>
            </w:pPr>
            <w:r>
              <w:rPr>
                <w:b/>
                <w:i/>
              </w:rPr>
              <w:t>Action: Board to consider possible expert reference group representatives and forward to JT</w:t>
            </w:r>
          </w:p>
          <w:p w:rsidR="002927A4" w:rsidRDefault="002927A4" w:rsidP="002927A4"/>
          <w:p w:rsidR="00534629" w:rsidRDefault="002927A4" w:rsidP="002927A4">
            <w:pPr>
              <w:jc w:val="right"/>
              <w:rPr>
                <w:b/>
                <w:i/>
              </w:rPr>
            </w:pPr>
            <w:r w:rsidRPr="00A47E4B">
              <w:rPr>
                <w:b/>
                <w:i/>
              </w:rPr>
              <w:t>Action: JMo to consider NED portfolios and identify NED to chair the expert reference group</w:t>
            </w:r>
          </w:p>
          <w:p w:rsidR="002927A4" w:rsidRPr="00EF755E" w:rsidRDefault="002927A4" w:rsidP="002927A4">
            <w:pPr>
              <w:jc w:val="right"/>
              <w:rPr>
                <w:rFonts w:cs="Arial"/>
              </w:rPr>
            </w:pPr>
          </w:p>
        </w:tc>
        <w:tc>
          <w:tcPr>
            <w:tcW w:w="1039" w:type="dxa"/>
            <w:shd w:val="clear" w:color="auto" w:fill="auto"/>
          </w:tcPr>
          <w:p w:rsidR="0067087E" w:rsidRDefault="0067087E" w:rsidP="00DE5765">
            <w:pPr>
              <w:jc w:val="center"/>
              <w:rPr>
                <w:rFonts w:cs="Arial"/>
                <w:b/>
              </w:rPr>
            </w:pPr>
          </w:p>
          <w:p w:rsidR="00A47E4B" w:rsidRDefault="00A47E4B" w:rsidP="00DE5765">
            <w:pPr>
              <w:jc w:val="center"/>
              <w:rPr>
                <w:rFonts w:cs="Arial"/>
                <w:b/>
              </w:rPr>
            </w:pPr>
          </w:p>
          <w:p w:rsidR="00A47E4B" w:rsidRDefault="00A47E4B" w:rsidP="00DE5765">
            <w:pPr>
              <w:jc w:val="center"/>
              <w:rPr>
                <w:rFonts w:cs="Arial"/>
                <w:b/>
              </w:rPr>
            </w:pPr>
          </w:p>
          <w:p w:rsidR="00A47E4B" w:rsidRDefault="00A47E4B" w:rsidP="00DE5765">
            <w:pPr>
              <w:jc w:val="center"/>
              <w:rPr>
                <w:rFonts w:cs="Arial"/>
                <w:b/>
              </w:rPr>
            </w:pPr>
          </w:p>
          <w:p w:rsidR="00A47E4B" w:rsidRDefault="00A47E4B" w:rsidP="00DE5765">
            <w:pPr>
              <w:jc w:val="center"/>
              <w:rPr>
                <w:rFonts w:cs="Arial"/>
                <w:b/>
              </w:rPr>
            </w:pPr>
          </w:p>
          <w:p w:rsidR="00A47E4B" w:rsidRDefault="00A47E4B" w:rsidP="00DE5765">
            <w:pPr>
              <w:jc w:val="center"/>
              <w:rPr>
                <w:rFonts w:cs="Arial"/>
                <w:b/>
              </w:rPr>
            </w:pPr>
          </w:p>
          <w:p w:rsidR="00A47E4B" w:rsidRDefault="00A47E4B" w:rsidP="00DE5765">
            <w:pPr>
              <w:jc w:val="center"/>
              <w:rPr>
                <w:rFonts w:cs="Arial"/>
                <w:b/>
              </w:rPr>
            </w:pPr>
          </w:p>
          <w:p w:rsidR="00A47E4B" w:rsidRDefault="00A47E4B" w:rsidP="00DE5765">
            <w:pPr>
              <w:jc w:val="center"/>
              <w:rPr>
                <w:rFonts w:cs="Arial"/>
                <w:b/>
              </w:rPr>
            </w:pPr>
          </w:p>
          <w:p w:rsidR="00A47E4B" w:rsidRDefault="00A47E4B" w:rsidP="00DE5765">
            <w:pPr>
              <w:jc w:val="center"/>
              <w:rPr>
                <w:rFonts w:cs="Arial"/>
                <w:b/>
              </w:rPr>
            </w:pPr>
          </w:p>
          <w:p w:rsidR="00A47E4B" w:rsidRDefault="00A47E4B" w:rsidP="00DE5765">
            <w:pPr>
              <w:jc w:val="center"/>
              <w:rPr>
                <w:rFonts w:cs="Arial"/>
                <w:b/>
              </w:rPr>
            </w:pPr>
          </w:p>
          <w:p w:rsidR="002927A4" w:rsidRDefault="002927A4" w:rsidP="00DE5765">
            <w:pPr>
              <w:jc w:val="center"/>
              <w:rPr>
                <w:rFonts w:cs="Arial"/>
                <w:b/>
              </w:rPr>
            </w:pPr>
          </w:p>
          <w:p w:rsidR="002927A4" w:rsidRDefault="002927A4" w:rsidP="00DE5765">
            <w:pPr>
              <w:jc w:val="center"/>
              <w:rPr>
                <w:rFonts w:cs="Arial"/>
                <w:b/>
              </w:rPr>
            </w:pPr>
          </w:p>
          <w:p w:rsidR="002927A4" w:rsidRDefault="002927A4" w:rsidP="00DE5765">
            <w:pPr>
              <w:jc w:val="center"/>
              <w:rPr>
                <w:rFonts w:cs="Arial"/>
                <w:b/>
              </w:rPr>
            </w:pPr>
          </w:p>
          <w:p w:rsidR="002927A4" w:rsidRDefault="002927A4" w:rsidP="00DE5765">
            <w:pPr>
              <w:jc w:val="center"/>
              <w:rPr>
                <w:rFonts w:cs="Arial"/>
                <w:b/>
              </w:rPr>
            </w:pPr>
          </w:p>
          <w:p w:rsidR="002927A4" w:rsidRDefault="002927A4" w:rsidP="00DE5765">
            <w:pPr>
              <w:jc w:val="center"/>
              <w:rPr>
                <w:rFonts w:cs="Arial"/>
                <w:b/>
              </w:rPr>
            </w:pPr>
          </w:p>
          <w:p w:rsidR="002927A4" w:rsidRDefault="002927A4" w:rsidP="00DE5765">
            <w:pPr>
              <w:jc w:val="center"/>
              <w:rPr>
                <w:rFonts w:cs="Arial"/>
                <w:b/>
              </w:rPr>
            </w:pPr>
          </w:p>
          <w:p w:rsidR="002927A4" w:rsidRDefault="002927A4" w:rsidP="00DE5765">
            <w:pPr>
              <w:jc w:val="center"/>
              <w:rPr>
                <w:rFonts w:cs="Arial"/>
                <w:b/>
              </w:rPr>
            </w:pPr>
          </w:p>
          <w:p w:rsidR="002927A4" w:rsidRDefault="002927A4" w:rsidP="00DE5765">
            <w:pPr>
              <w:jc w:val="center"/>
              <w:rPr>
                <w:rFonts w:cs="Arial"/>
                <w:b/>
              </w:rPr>
            </w:pPr>
          </w:p>
          <w:p w:rsidR="00A47E4B" w:rsidRDefault="00A47E4B" w:rsidP="00DE5765">
            <w:pPr>
              <w:jc w:val="center"/>
              <w:rPr>
                <w:rFonts w:cs="Arial"/>
                <w:b/>
              </w:rPr>
            </w:pPr>
          </w:p>
          <w:p w:rsidR="00A47E4B" w:rsidRDefault="00A47E4B" w:rsidP="00DE5765">
            <w:pPr>
              <w:jc w:val="center"/>
              <w:rPr>
                <w:rFonts w:cs="Arial"/>
                <w:b/>
              </w:rPr>
            </w:pPr>
          </w:p>
          <w:p w:rsidR="002927A4" w:rsidRDefault="002927A4" w:rsidP="00DE5765">
            <w:pPr>
              <w:jc w:val="center"/>
              <w:rPr>
                <w:rFonts w:cs="Arial"/>
                <w:b/>
              </w:rPr>
            </w:pPr>
          </w:p>
          <w:p w:rsidR="002927A4" w:rsidRDefault="002927A4" w:rsidP="00DE5765">
            <w:pPr>
              <w:jc w:val="center"/>
              <w:rPr>
                <w:rFonts w:cs="Arial"/>
                <w:b/>
              </w:rPr>
            </w:pPr>
          </w:p>
          <w:p w:rsidR="002927A4" w:rsidRDefault="002927A4" w:rsidP="00DE5765">
            <w:pPr>
              <w:jc w:val="center"/>
              <w:rPr>
                <w:rFonts w:cs="Arial"/>
                <w:b/>
              </w:rPr>
            </w:pPr>
          </w:p>
          <w:p w:rsidR="002927A4" w:rsidRDefault="002927A4" w:rsidP="00DE5765">
            <w:pPr>
              <w:jc w:val="center"/>
              <w:rPr>
                <w:rFonts w:cs="Arial"/>
                <w:b/>
              </w:rPr>
            </w:pPr>
          </w:p>
          <w:p w:rsidR="00A47E4B" w:rsidRDefault="00A47E4B" w:rsidP="00DE5765">
            <w:pPr>
              <w:jc w:val="center"/>
              <w:rPr>
                <w:rFonts w:cs="Arial"/>
                <w:b/>
              </w:rPr>
            </w:pPr>
          </w:p>
          <w:p w:rsidR="00A47E4B" w:rsidRDefault="00A47E4B" w:rsidP="00DE5765">
            <w:pPr>
              <w:jc w:val="center"/>
              <w:rPr>
                <w:rFonts w:cs="Arial"/>
                <w:b/>
              </w:rPr>
            </w:pPr>
            <w:r>
              <w:rPr>
                <w:rFonts w:cs="Arial"/>
                <w:b/>
              </w:rPr>
              <w:t>ALL</w:t>
            </w:r>
          </w:p>
          <w:p w:rsidR="00A47E4B" w:rsidRDefault="00A47E4B" w:rsidP="00DE5765">
            <w:pPr>
              <w:jc w:val="center"/>
              <w:rPr>
                <w:rFonts w:cs="Arial"/>
                <w:b/>
              </w:rPr>
            </w:pPr>
          </w:p>
          <w:p w:rsidR="00A47E4B" w:rsidRDefault="00A47E4B" w:rsidP="00DE5765">
            <w:pPr>
              <w:jc w:val="center"/>
              <w:rPr>
                <w:rFonts w:cs="Arial"/>
                <w:b/>
              </w:rPr>
            </w:pPr>
          </w:p>
          <w:p w:rsidR="00A47E4B" w:rsidRDefault="00A47E4B" w:rsidP="002927A4">
            <w:pPr>
              <w:jc w:val="center"/>
              <w:rPr>
                <w:rFonts w:cs="Arial"/>
                <w:b/>
              </w:rPr>
            </w:pPr>
            <w:r>
              <w:rPr>
                <w:rFonts w:cs="Arial"/>
                <w:b/>
              </w:rPr>
              <w:t>JMo</w:t>
            </w:r>
          </w:p>
        </w:tc>
      </w:tr>
      <w:tr w:rsidR="00A72DCD" w:rsidRPr="001657FC" w:rsidTr="003A4715">
        <w:trPr>
          <w:trHeight w:val="295"/>
        </w:trPr>
        <w:tc>
          <w:tcPr>
            <w:tcW w:w="959" w:type="dxa"/>
            <w:shd w:val="clear" w:color="auto" w:fill="auto"/>
          </w:tcPr>
          <w:p w:rsidR="00A72DCD" w:rsidRPr="001657FC" w:rsidRDefault="00A72DCD" w:rsidP="00B205DF">
            <w:pPr>
              <w:numPr>
                <w:ilvl w:val="0"/>
                <w:numId w:val="1"/>
              </w:numPr>
              <w:rPr>
                <w:rFonts w:cs="Arial"/>
                <w:b/>
              </w:rPr>
            </w:pPr>
          </w:p>
        </w:tc>
        <w:tc>
          <w:tcPr>
            <w:tcW w:w="7397" w:type="dxa"/>
            <w:shd w:val="clear" w:color="auto" w:fill="auto"/>
          </w:tcPr>
          <w:p w:rsidR="00A72DCD" w:rsidRDefault="00A72DCD" w:rsidP="00E468A7">
            <w:pPr>
              <w:rPr>
                <w:rFonts w:cs="Arial"/>
                <w:b/>
              </w:rPr>
            </w:pPr>
            <w:r>
              <w:rPr>
                <w:rFonts w:cs="Arial"/>
                <w:b/>
              </w:rPr>
              <w:t>Transformation Programme</w:t>
            </w:r>
            <w:r w:rsidRPr="005D7D73">
              <w:rPr>
                <w:rFonts w:cs="Arial"/>
                <w:b/>
              </w:rPr>
              <w:t xml:space="preserve"> update</w:t>
            </w:r>
          </w:p>
          <w:p w:rsidR="00532602" w:rsidRDefault="00532602" w:rsidP="00E468A7">
            <w:pPr>
              <w:rPr>
                <w:rFonts w:cs="Arial"/>
                <w:b/>
              </w:rPr>
            </w:pPr>
          </w:p>
          <w:p w:rsidR="00B50A10" w:rsidRDefault="00532602" w:rsidP="00E468A7">
            <w:pPr>
              <w:rPr>
                <w:rFonts w:cs="Arial"/>
              </w:rPr>
            </w:pPr>
            <w:r>
              <w:rPr>
                <w:rFonts w:cs="Arial"/>
              </w:rPr>
              <w:t>IC gave a short presentation providing background information to the Transformation Programme.</w:t>
            </w:r>
          </w:p>
          <w:p w:rsidR="00B50A10" w:rsidRDefault="00B50A10" w:rsidP="00E468A7">
            <w:pPr>
              <w:rPr>
                <w:rFonts w:cs="Arial"/>
              </w:rPr>
            </w:pPr>
          </w:p>
          <w:p w:rsidR="00B50A10" w:rsidRDefault="00532602" w:rsidP="00E468A7">
            <w:pPr>
              <w:rPr>
                <w:rFonts w:cs="Arial"/>
              </w:rPr>
            </w:pPr>
            <w:r>
              <w:rPr>
                <w:rFonts w:cs="Arial"/>
              </w:rPr>
              <w:t xml:space="preserve">The Board noted much of the Service Improvement Programme had been completed with the programme to be closed and activity transferred into business as usual by the end of March 2019. </w:t>
            </w:r>
          </w:p>
          <w:p w:rsidR="00B50A10" w:rsidRDefault="00B50A10" w:rsidP="00E468A7">
            <w:pPr>
              <w:rPr>
                <w:rFonts w:cs="Arial"/>
              </w:rPr>
            </w:pPr>
          </w:p>
          <w:p w:rsidR="00532602" w:rsidRDefault="00532602" w:rsidP="00E468A7">
            <w:pPr>
              <w:rPr>
                <w:rFonts w:cs="Arial"/>
              </w:rPr>
            </w:pPr>
            <w:r>
              <w:rPr>
                <w:rFonts w:cs="Arial"/>
              </w:rPr>
              <w:t>The Board noted the Research Systems Programme had a RAG status of red with a conversation to take place in the Board Part 2 – confidential session due to the commercial sensitives involved.</w:t>
            </w:r>
          </w:p>
          <w:p w:rsidR="00B50A10" w:rsidRDefault="00B50A10" w:rsidP="00E468A7">
            <w:pPr>
              <w:rPr>
                <w:rFonts w:cs="Arial"/>
              </w:rPr>
            </w:pPr>
          </w:p>
          <w:p w:rsidR="00B50A10" w:rsidRDefault="00B50A10" w:rsidP="00E468A7">
            <w:pPr>
              <w:rPr>
                <w:rFonts w:cs="Arial"/>
              </w:rPr>
            </w:pPr>
            <w:r>
              <w:rPr>
                <w:rFonts w:cs="Arial"/>
              </w:rPr>
              <w:t>The Board noted another workstream with a red RAG status related to HRA Approval – Amendments (e-submission). The Board noted the HRA did not have sufficient expert people resource available to take this work forward at present due to other competing demands. The Board noted this workstream had complicated dynamics across the UK which require further consideration alongside the necessary technological developments. The Board noted this will be a priority piece of work for the next financial year.</w:t>
            </w:r>
          </w:p>
          <w:p w:rsidR="00A72DCD" w:rsidRDefault="00A72DCD" w:rsidP="00E468A7">
            <w:pPr>
              <w:rPr>
                <w:rFonts w:cs="Arial"/>
                <w:b/>
              </w:rPr>
            </w:pPr>
          </w:p>
        </w:tc>
        <w:tc>
          <w:tcPr>
            <w:tcW w:w="1039" w:type="dxa"/>
            <w:shd w:val="clear" w:color="auto" w:fill="auto"/>
          </w:tcPr>
          <w:p w:rsidR="00A72DCD" w:rsidRDefault="00A72DCD" w:rsidP="00DE5765">
            <w:pPr>
              <w:jc w:val="center"/>
              <w:rPr>
                <w:rFonts w:cs="Arial"/>
                <w:b/>
              </w:rPr>
            </w:pPr>
          </w:p>
        </w:tc>
      </w:tr>
      <w:tr w:rsidR="00A72DCD" w:rsidRPr="001657FC" w:rsidTr="003A4715">
        <w:trPr>
          <w:trHeight w:val="295"/>
        </w:trPr>
        <w:tc>
          <w:tcPr>
            <w:tcW w:w="959" w:type="dxa"/>
            <w:shd w:val="clear" w:color="auto" w:fill="auto"/>
          </w:tcPr>
          <w:p w:rsidR="00A72DCD" w:rsidRPr="001657FC" w:rsidRDefault="00A72DCD" w:rsidP="00B205DF">
            <w:pPr>
              <w:numPr>
                <w:ilvl w:val="0"/>
                <w:numId w:val="1"/>
              </w:numPr>
              <w:rPr>
                <w:rFonts w:cs="Arial"/>
                <w:b/>
              </w:rPr>
            </w:pPr>
          </w:p>
        </w:tc>
        <w:tc>
          <w:tcPr>
            <w:tcW w:w="7397" w:type="dxa"/>
            <w:shd w:val="clear" w:color="auto" w:fill="auto"/>
          </w:tcPr>
          <w:p w:rsidR="00A72DCD" w:rsidRDefault="00A72DCD" w:rsidP="00E468A7">
            <w:pPr>
              <w:rPr>
                <w:rFonts w:cs="Arial"/>
                <w:b/>
              </w:rPr>
            </w:pPr>
            <w:r w:rsidRPr="001C4B69">
              <w:rPr>
                <w:rFonts w:cs="Arial"/>
                <w:b/>
              </w:rPr>
              <w:t>Strategic Risk</w:t>
            </w:r>
            <w:r>
              <w:rPr>
                <w:rFonts w:cs="Arial"/>
                <w:b/>
              </w:rPr>
              <w:t xml:space="preserve"> &amp; Opportunity</w:t>
            </w:r>
            <w:r w:rsidRPr="001C4B69">
              <w:rPr>
                <w:rFonts w:cs="Arial"/>
                <w:b/>
              </w:rPr>
              <w:t xml:space="preserve"> Register</w:t>
            </w:r>
          </w:p>
          <w:p w:rsidR="00A72DCD" w:rsidRPr="007A7C5C" w:rsidRDefault="00A72DCD" w:rsidP="00E468A7">
            <w:pPr>
              <w:rPr>
                <w:rFonts w:cs="Arial"/>
                <w:b/>
              </w:rPr>
            </w:pPr>
          </w:p>
          <w:p w:rsidR="00914FA6" w:rsidRDefault="007A7C5C" w:rsidP="007A7C5C">
            <w:pPr>
              <w:rPr>
                <w:rFonts w:cstheme="minorHAnsi"/>
              </w:rPr>
            </w:pPr>
            <w:r w:rsidRPr="007A7C5C">
              <w:t>The Board</w:t>
            </w:r>
            <w:r>
              <w:t xml:space="preserve"> noted</w:t>
            </w:r>
            <w:r w:rsidRPr="007A7C5C">
              <w:t xml:space="preserve"> </w:t>
            </w:r>
            <w:r>
              <w:t>a number of se</w:t>
            </w:r>
            <w:r>
              <w:rPr>
                <w:rFonts w:cstheme="minorHAnsi"/>
              </w:rPr>
              <w:t>minars were held</w:t>
            </w:r>
            <w:r w:rsidRPr="007A7C5C">
              <w:rPr>
                <w:rFonts w:cstheme="minorHAnsi"/>
              </w:rPr>
              <w:t xml:space="preserve"> in 2017/18 to consider its risks in relation to </w:t>
            </w:r>
            <w:r>
              <w:rPr>
                <w:rFonts w:cstheme="minorHAnsi"/>
              </w:rPr>
              <w:t>the HRA’s</w:t>
            </w:r>
            <w:r w:rsidRPr="007A7C5C">
              <w:rPr>
                <w:rFonts w:cstheme="minorHAnsi"/>
              </w:rPr>
              <w:t xml:space="preserve"> strategic ambition. </w:t>
            </w:r>
            <w:r>
              <w:rPr>
                <w:rFonts w:cstheme="minorHAnsi"/>
              </w:rPr>
              <w:t>The Board noted t</w:t>
            </w:r>
            <w:r w:rsidRPr="007A7C5C">
              <w:rPr>
                <w:rFonts w:cstheme="minorHAnsi"/>
              </w:rPr>
              <w:t>his is the first iteration of the strategic risk register to be received in public meeting.</w:t>
            </w:r>
            <w:r>
              <w:rPr>
                <w:rFonts w:cstheme="minorHAnsi"/>
              </w:rPr>
              <w:t xml:space="preserve"> </w:t>
            </w:r>
          </w:p>
          <w:p w:rsidR="00914FA6" w:rsidRDefault="00914FA6" w:rsidP="007A7C5C">
            <w:pPr>
              <w:rPr>
                <w:rFonts w:cstheme="minorHAnsi"/>
              </w:rPr>
            </w:pPr>
          </w:p>
          <w:p w:rsidR="00914FA6" w:rsidRDefault="00914FA6" w:rsidP="007A7C5C">
            <w:pPr>
              <w:rPr>
                <w:rFonts w:cstheme="minorHAnsi"/>
              </w:rPr>
            </w:pPr>
            <w:r>
              <w:rPr>
                <w:rFonts w:cstheme="minorHAnsi"/>
              </w:rPr>
              <w:t>The Board noted the majority of risks were currently above the tolerance threshold and queried whether more mitigating actions were required or whether the tolerance threshold was set at an appropriate level.</w:t>
            </w:r>
          </w:p>
          <w:p w:rsidR="00914FA6" w:rsidRDefault="00914FA6" w:rsidP="007A7C5C">
            <w:pPr>
              <w:rPr>
                <w:rFonts w:cstheme="minorHAnsi"/>
              </w:rPr>
            </w:pPr>
          </w:p>
          <w:p w:rsidR="007A7C5C" w:rsidRDefault="007A7C5C" w:rsidP="007A7C5C">
            <w:pPr>
              <w:rPr>
                <w:rFonts w:cstheme="minorHAnsi"/>
              </w:rPr>
            </w:pPr>
            <w:r>
              <w:rPr>
                <w:rFonts w:cstheme="minorHAnsi"/>
              </w:rPr>
              <w:t xml:space="preserve">The Board agreed it would be beneficial to undertake a deep dive of the risk register at the next Audit &amp; Risk Committee to </w:t>
            </w:r>
            <w:r w:rsidR="00914FA6">
              <w:rPr>
                <w:rFonts w:cstheme="minorHAnsi"/>
              </w:rPr>
              <w:t>ensure the new NEDs are fully apprised of the risk an</w:t>
            </w:r>
            <w:r w:rsidR="000309DF">
              <w:rPr>
                <w:rFonts w:cstheme="minorHAnsi"/>
              </w:rPr>
              <w:t>d</w:t>
            </w:r>
            <w:r w:rsidR="00914FA6">
              <w:rPr>
                <w:rFonts w:cstheme="minorHAnsi"/>
              </w:rPr>
              <w:t xml:space="preserve"> controls in place or actions planned for the future to help mitigate the risk. The Board agreed a consideration of its tolerance for each risk would also be beneficial.</w:t>
            </w:r>
          </w:p>
          <w:p w:rsidR="007A7C5C" w:rsidRDefault="00914FA6" w:rsidP="00A47E4B">
            <w:pPr>
              <w:jc w:val="right"/>
            </w:pPr>
            <w:r>
              <w:rPr>
                <w:rFonts w:cstheme="minorHAnsi"/>
                <w:b/>
                <w:i/>
              </w:rPr>
              <w:t>Action: ST to add strategic risk register deep dive to next Audit &amp; Risk Committee agenda</w:t>
            </w:r>
          </w:p>
          <w:p w:rsidR="00E85BBF" w:rsidRPr="001C4B69" w:rsidRDefault="00E85BBF" w:rsidP="00914FA6">
            <w:pPr>
              <w:rPr>
                <w:rFonts w:cs="Arial"/>
                <w:b/>
              </w:rPr>
            </w:pPr>
          </w:p>
        </w:tc>
        <w:tc>
          <w:tcPr>
            <w:tcW w:w="1039" w:type="dxa"/>
            <w:shd w:val="clear" w:color="auto" w:fill="auto"/>
          </w:tcPr>
          <w:p w:rsidR="00A72DCD" w:rsidRDefault="00A72DCD" w:rsidP="00DE5765">
            <w:pPr>
              <w:jc w:val="center"/>
              <w:rPr>
                <w:rFonts w:cs="Arial"/>
                <w:b/>
              </w:rPr>
            </w:pPr>
          </w:p>
          <w:p w:rsidR="00914FA6" w:rsidRDefault="00914FA6" w:rsidP="00DE5765">
            <w:pPr>
              <w:jc w:val="center"/>
              <w:rPr>
                <w:rFonts w:cs="Arial"/>
                <w:b/>
              </w:rPr>
            </w:pPr>
          </w:p>
          <w:p w:rsidR="00914FA6" w:rsidRDefault="00914FA6" w:rsidP="00DE5765">
            <w:pPr>
              <w:jc w:val="center"/>
              <w:rPr>
                <w:rFonts w:cs="Arial"/>
                <w:b/>
              </w:rPr>
            </w:pPr>
          </w:p>
          <w:p w:rsidR="00914FA6" w:rsidRDefault="00914FA6" w:rsidP="00DE5765">
            <w:pPr>
              <w:jc w:val="center"/>
              <w:rPr>
                <w:rFonts w:cs="Arial"/>
                <w:b/>
              </w:rPr>
            </w:pPr>
          </w:p>
          <w:p w:rsidR="00914FA6" w:rsidRDefault="00914FA6" w:rsidP="00DE5765">
            <w:pPr>
              <w:jc w:val="center"/>
              <w:rPr>
                <w:rFonts w:cs="Arial"/>
                <w:b/>
              </w:rPr>
            </w:pPr>
          </w:p>
          <w:p w:rsidR="00914FA6" w:rsidRDefault="00914FA6" w:rsidP="00DE5765">
            <w:pPr>
              <w:jc w:val="center"/>
              <w:rPr>
                <w:rFonts w:cs="Arial"/>
                <w:b/>
              </w:rPr>
            </w:pPr>
          </w:p>
          <w:p w:rsidR="00914FA6" w:rsidRDefault="00914FA6" w:rsidP="00DE5765">
            <w:pPr>
              <w:jc w:val="center"/>
              <w:rPr>
                <w:rFonts w:cs="Arial"/>
                <w:b/>
              </w:rPr>
            </w:pPr>
          </w:p>
          <w:p w:rsidR="00914FA6" w:rsidRDefault="00914FA6" w:rsidP="00DE5765">
            <w:pPr>
              <w:jc w:val="center"/>
              <w:rPr>
                <w:rFonts w:cs="Arial"/>
                <w:b/>
              </w:rPr>
            </w:pPr>
          </w:p>
          <w:p w:rsidR="00914FA6" w:rsidRDefault="00914FA6" w:rsidP="00DE5765">
            <w:pPr>
              <w:jc w:val="center"/>
              <w:rPr>
                <w:rFonts w:cs="Arial"/>
                <w:b/>
              </w:rPr>
            </w:pPr>
          </w:p>
          <w:p w:rsidR="00914FA6" w:rsidRDefault="00914FA6" w:rsidP="00DE5765">
            <w:pPr>
              <w:jc w:val="center"/>
              <w:rPr>
                <w:rFonts w:cs="Arial"/>
                <w:b/>
              </w:rPr>
            </w:pPr>
          </w:p>
          <w:p w:rsidR="00914FA6" w:rsidRDefault="00914FA6" w:rsidP="00DE5765">
            <w:pPr>
              <w:jc w:val="center"/>
              <w:rPr>
                <w:rFonts w:cs="Arial"/>
                <w:b/>
              </w:rPr>
            </w:pPr>
          </w:p>
          <w:p w:rsidR="00914FA6" w:rsidRDefault="00914FA6" w:rsidP="00DE5765">
            <w:pPr>
              <w:jc w:val="center"/>
              <w:rPr>
                <w:rFonts w:cs="Arial"/>
                <w:b/>
              </w:rPr>
            </w:pPr>
          </w:p>
          <w:p w:rsidR="00914FA6" w:rsidRDefault="00914FA6" w:rsidP="00DE5765">
            <w:pPr>
              <w:jc w:val="center"/>
              <w:rPr>
                <w:rFonts w:cs="Arial"/>
                <w:b/>
              </w:rPr>
            </w:pPr>
          </w:p>
          <w:p w:rsidR="00914FA6" w:rsidRDefault="00914FA6" w:rsidP="00DE5765">
            <w:pPr>
              <w:jc w:val="center"/>
              <w:rPr>
                <w:rFonts w:cs="Arial"/>
                <w:b/>
              </w:rPr>
            </w:pPr>
          </w:p>
          <w:p w:rsidR="00914FA6" w:rsidRDefault="00914FA6" w:rsidP="00DE5765">
            <w:pPr>
              <w:jc w:val="center"/>
              <w:rPr>
                <w:rFonts w:cs="Arial"/>
                <w:b/>
              </w:rPr>
            </w:pPr>
          </w:p>
          <w:p w:rsidR="00914FA6" w:rsidRDefault="00914FA6" w:rsidP="00DE5765">
            <w:pPr>
              <w:jc w:val="center"/>
              <w:rPr>
                <w:rFonts w:cs="Arial"/>
                <w:b/>
              </w:rPr>
            </w:pPr>
            <w:r>
              <w:rPr>
                <w:rFonts w:cs="Arial"/>
                <w:b/>
              </w:rPr>
              <w:t>ST</w:t>
            </w:r>
          </w:p>
        </w:tc>
      </w:tr>
      <w:tr w:rsidR="00A72DCD" w:rsidRPr="001657FC" w:rsidTr="003A4715">
        <w:trPr>
          <w:trHeight w:val="295"/>
        </w:trPr>
        <w:tc>
          <w:tcPr>
            <w:tcW w:w="959" w:type="dxa"/>
            <w:shd w:val="clear" w:color="auto" w:fill="auto"/>
          </w:tcPr>
          <w:p w:rsidR="00A72DCD" w:rsidRPr="001657FC" w:rsidRDefault="00A72DCD" w:rsidP="00B205DF">
            <w:pPr>
              <w:numPr>
                <w:ilvl w:val="0"/>
                <w:numId w:val="1"/>
              </w:numPr>
              <w:rPr>
                <w:rFonts w:cs="Arial"/>
                <w:b/>
              </w:rPr>
            </w:pPr>
          </w:p>
        </w:tc>
        <w:tc>
          <w:tcPr>
            <w:tcW w:w="7397" w:type="dxa"/>
            <w:shd w:val="clear" w:color="auto" w:fill="auto"/>
          </w:tcPr>
          <w:p w:rsidR="00A72DCD" w:rsidRDefault="00A72DCD" w:rsidP="00E468A7">
            <w:pPr>
              <w:rPr>
                <w:rFonts w:cs="Arial"/>
                <w:b/>
              </w:rPr>
            </w:pPr>
            <w:r>
              <w:rPr>
                <w:rFonts w:cs="Arial"/>
                <w:b/>
              </w:rPr>
              <w:t>Finance Report (November 2018)</w:t>
            </w:r>
          </w:p>
          <w:p w:rsidR="00E85BBF" w:rsidRDefault="00E85BBF" w:rsidP="00E468A7">
            <w:pPr>
              <w:rPr>
                <w:rFonts w:cs="Arial"/>
                <w:b/>
              </w:rPr>
            </w:pPr>
          </w:p>
          <w:p w:rsidR="00E23AE6" w:rsidRDefault="00E23AE6" w:rsidP="00E85BBF">
            <w:r>
              <w:t xml:space="preserve">The Board reviewed and approved the finance report for November 2018. </w:t>
            </w:r>
            <w:r w:rsidR="00513ED3">
              <w:t>The Board noted a balanced financial position was predicted by the end of the financial year based on the current forecast.</w:t>
            </w:r>
          </w:p>
          <w:p w:rsidR="00E85BBF" w:rsidRPr="00D574E4" w:rsidRDefault="00E85BBF" w:rsidP="00513ED3">
            <w:pPr>
              <w:rPr>
                <w:rFonts w:cs="Arial"/>
                <w:b/>
              </w:rPr>
            </w:pPr>
          </w:p>
        </w:tc>
        <w:tc>
          <w:tcPr>
            <w:tcW w:w="1039" w:type="dxa"/>
            <w:shd w:val="clear" w:color="auto" w:fill="auto"/>
          </w:tcPr>
          <w:p w:rsidR="00A72DCD" w:rsidRDefault="00A72DCD" w:rsidP="00DE5765">
            <w:pPr>
              <w:jc w:val="center"/>
              <w:rPr>
                <w:rFonts w:cs="Arial"/>
                <w:b/>
              </w:rPr>
            </w:pPr>
          </w:p>
        </w:tc>
      </w:tr>
      <w:tr w:rsidR="00A72DCD" w:rsidRPr="001657FC" w:rsidTr="003A4715">
        <w:trPr>
          <w:trHeight w:val="295"/>
        </w:trPr>
        <w:tc>
          <w:tcPr>
            <w:tcW w:w="959" w:type="dxa"/>
            <w:shd w:val="clear" w:color="auto" w:fill="auto"/>
          </w:tcPr>
          <w:p w:rsidR="00A72DCD" w:rsidRPr="001657FC" w:rsidRDefault="00A72DCD" w:rsidP="00B205DF">
            <w:pPr>
              <w:numPr>
                <w:ilvl w:val="0"/>
                <w:numId w:val="1"/>
              </w:numPr>
              <w:rPr>
                <w:rFonts w:cs="Arial"/>
                <w:b/>
              </w:rPr>
            </w:pPr>
          </w:p>
        </w:tc>
        <w:tc>
          <w:tcPr>
            <w:tcW w:w="7397" w:type="dxa"/>
            <w:shd w:val="clear" w:color="auto" w:fill="auto"/>
          </w:tcPr>
          <w:p w:rsidR="00A72DCD" w:rsidRDefault="00A72DCD" w:rsidP="00E468A7">
            <w:pPr>
              <w:rPr>
                <w:rFonts w:cstheme="minorHAnsi"/>
                <w:b/>
              </w:rPr>
            </w:pPr>
            <w:r w:rsidRPr="00C759CA">
              <w:rPr>
                <w:rFonts w:cstheme="minorHAnsi"/>
                <w:b/>
              </w:rPr>
              <w:t>Skipton House – Civil Estate Occupancy Agreement</w:t>
            </w:r>
          </w:p>
          <w:p w:rsidR="00E85BBF" w:rsidRDefault="00E85BBF" w:rsidP="00E468A7">
            <w:pPr>
              <w:rPr>
                <w:rFonts w:cstheme="minorHAnsi"/>
                <w:b/>
              </w:rPr>
            </w:pPr>
          </w:p>
          <w:p w:rsidR="00513ED3" w:rsidRDefault="00513ED3" w:rsidP="00E468A7">
            <w:pPr>
              <w:rPr>
                <w:rFonts w:cstheme="minorHAnsi"/>
              </w:rPr>
            </w:pPr>
            <w:r w:rsidRPr="00513ED3">
              <w:rPr>
                <w:rFonts w:cstheme="minorHAnsi"/>
              </w:rPr>
              <w:t>The Board</w:t>
            </w:r>
            <w:r>
              <w:rPr>
                <w:rFonts w:cstheme="minorHAnsi"/>
              </w:rPr>
              <w:t xml:space="preserve"> noted the proposed extension to the Skipton House lease until December 2021. The Board discussed the possible alternative options however agreed Skipton House was the most suitable option at present</w:t>
            </w:r>
            <w:r w:rsidR="00356592">
              <w:rPr>
                <w:rFonts w:cstheme="minorHAnsi"/>
              </w:rPr>
              <w:t xml:space="preserve">. The Board noted the lease included a licence payment of £233,250 per annum. Other costs such as facilities management and utilities recharge would bring the total cost of the agreement to £475,000. The Board approved the extension to the lease and gave delegated authority for </w:t>
            </w:r>
            <w:r>
              <w:rPr>
                <w:rFonts w:cstheme="minorHAnsi"/>
              </w:rPr>
              <w:t>JMo to sign the memorandum of terms of occupation (MOTO).</w:t>
            </w:r>
          </w:p>
          <w:p w:rsidR="00513ED3" w:rsidRDefault="00513ED3" w:rsidP="00E468A7">
            <w:pPr>
              <w:rPr>
                <w:rFonts w:cstheme="minorHAnsi"/>
              </w:rPr>
            </w:pPr>
          </w:p>
          <w:p w:rsidR="00513ED3" w:rsidRPr="00513ED3" w:rsidRDefault="00356592" w:rsidP="00E468A7">
            <w:pPr>
              <w:rPr>
                <w:rFonts w:cstheme="minorHAnsi"/>
              </w:rPr>
            </w:pPr>
            <w:r>
              <w:rPr>
                <w:rFonts w:cstheme="minorHAnsi"/>
              </w:rPr>
              <w:t xml:space="preserve">KW advised a meeting room in Manchester is proposed to be sub-leased to a third party, with a subsequent extension to the Manchester office contract by a further two years. KW flagged, whilst this did not require </w:t>
            </w:r>
            <w:r w:rsidR="000309DF">
              <w:rPr>
                <w:rFonts w:cstheme="minorHAnsi"/>
              </w:rPr>
              <w:t xml:space="preserve">formal </w:t>
            </w:r>
            <w:r>
              <w:rPr>
                <w:rFonts w:cstheme="minorHAnsi"/>
              </w:rPr>
              <w:t xml:space="preserve">Board approval due to the sums involved, it would be appropriate for the Board to delegate authority to JMo to </w:t>
            </w:r>
            <w:r w:rsidR="007A7C5C">
              <w:rPr>
                <w:rFonts w:cstheme="minorHAnsi"/>
              </w:rPr>
              <w:t>approve</w:t>
            </w:r>
            <w:r>
              <w:rPr>
                <w:rFonts w:cstheme="minorHAnsi"/>
              </w:rPr>
              <w:t xml:space="preserve"> the extension. The Board gave delegated authority for JMo to approve the extension, subject to JMo discussing the details with GC as HRA Audit &amp; Risk Committee Chair. </w:t>
            </w:r>
          </w:p>
          <w:p w:rsidR="00E85BBF" w:rsidRPr="00C759CA" w:rsidRDefault="00E85BBF" w:rsidP="007A7C5C">
            <w:pPr>
              <w:rPr>
                <w:rFonts w:cs="Arial"/>
                <w:b/>
              </w:rPr>
            </w:pPr>
          </w:p>
        </w:tc>
        <w:tc>
          <w:tcPr>
            <w:tcW w:w="1039" w:type="dxa"/>
            <w:shd w:val="clear" w:color="auto" w:fill="auto"/>
          </w:tcPr>
          <w:p w:rsidR="00A72DCD" w:rsidRDefault="00A72DCD" w:rsidP="00DE5765">
            <w:pPr>
              <w:jc w:val="center"/>
              <w:rPr>
                <w:rFonts w:cs="Arial"/>
                <w:b/>
              </w:rPr>
            </w:pPr>
          </w:p>
        </w:tc>
      </w:tr>
      <w:tr w:rsidR="00A72DCD" w:rsidRPr="001657FC" w:rsidTr="003A4715">
        <w:trPr>
          <w:trHeight w:val="295"/>
        </w:trPr>
        <w:tc>
          <w:tcPr>
            <w:tcW w:w="959" w:type="dxa"/>
            <w:shd w:val="clear" w:color="auto" w:fill="auto"/>
          </w:tcPr>
          <w:p w:rsidR="00A72DCD" w:rsidRPr="001657FC" w:rsidRDefault="00A72DCD" w:rsidP="00B205DF">
            <w:pPr>
              <w:numPr>
                <w:ilvl w:val="0"/>
                <w:numId w:val="1"/>
              </w:numPr>
              <w:rPr>
                <w:rFonts w:cs="Arial"/>
                <w:b/>
              </w:rPr>
            </w:pPr>
          </w:p>
        </w:tc>
        <w:tc>
          <w:tcPr>
            <w:tcW w:w="7397" w:type="dxa"/>
            <w:shd w:val="clear" w:color="auto" w:fill="auto"/>
          </w:tcPr>
          <w:p w:rsidR="00A72DCD" w:rsidRPr="003637DD" w:rsidRDefault="00A72DCD" w:rsidP="00A72DCD">
            <w:pPr>
              <w:rPr>
                <w:b/>
                <w:szCs w:val="28"/>
              </w:rPr>
            </w:pPr>
            <w:r w:rsidRPr="003637DD">
              <w:rPr>
                <w:b/>
                <w:szCs w:val="28"/>
              </w:rPr>
              <w:t xml:space="preserve">Corporate Calendar – Board </w:t>
            </w:r>
            <w:r>
              <w:rPr>
                <w:b/>
                <w:szCs w:val="28"/>
              </w:rPr>
              <w:t xml:space="preserve">&amp; Audit &amp; Risk Committee </w:t>
            </w:r>
            <w:r w:rsidRPr="003637DD">
              <w:rPr>
                <w:b/>
                <w:szCs w:val="28"/>
              </w:rPr>
              <w:t>cycle</w:t>
            </w:r>
          </w:p>
          <w:p w:rsidR="00A72DCD" w:rsidRDefault="00A72DCD" w:rsidP="00A140AC">
            <w:pPr>
              <w:rPr>
                <w:rFonts w:cs="Arial"/>
                <w:b/>
              </w:rPr>
            </w:pPr>
          </w:p>
          <w:p w:rsidR="00E85BBF" w:rsidRPr="00E262C3" w:rsidRDefault="00E262C3" w:rsidP="00A140AC">
            <w:pPr>
              <w:rPr>
                <w:rFonts w:cs="Arial"/>
              </w:rPr>
            </w:pPr>
            <w:r>
              <w:rPr>
                <w:rFonts w:cs="Arial"/>
              </w:rPr>
              <w:t xml:space="preserve">The Board noted the Corporate Calendar for information. </w:t>
            </w:r>
          </w:p>
          <w:p w:rsidR="00E85BBF" w:rsidRDefault="00E85BBF" w:rsidP="00E262C3">
            <w:pPr>
              <w:rPr>
                <w:rFonts w:cs="Arial"/>
                <w:b/>
              </w:rPr>
            </w:pPr>
          </w:p>
        </w:tc>
        <w:tc>
          <w:tcPr>
            <w:tcW w:w="1039" w:type="dxa"/>
            <w:shd w:val="clear" w:color="auto" w:fill="auto"/>
          </w:tcPr>
          <w:p w:rsidR="00A72DCD" w:rsidRDefault="00A72DCD" w:rsidP="00DE5765">
            <w:pPr>
              <w:jc w:val="center"/>
              <w:rPr>
                <w:rFonts w:cs="Arial"/>
                <w:b/>
              </w:rPr>
            </w:pPr>
          </w:p>
        </w:tc>
      </w:tr>
      <w:tr w:rsidR="00A72DCD" w:rsidRPr="001657FC" w:rsidTr="003A4715">
        <w:trPr>
          <w:trHeight w:val="295"/>
        </w:trPr>
        <w:tc>
          <w:tcPr>
            <w:tcW w:w="959" w:type="dxa"/>
            <w:shd w:val="clear" w:color="auto" w:fill="auto"/>
          </w:tcPr>
          <w:p w:rsidR="00A72DCD" w:rsidRPr="000F3960" w:rsidRDefault="00A72DCD" w:rsidP="00B205DF">
            <w:pPr>
              <w:numPr>
                <w:ilvl w:val="0"/>
                <w:numId w:val="1"/>
              </w:numPr>
              <w:rPr>
                <w:rFonts w:cs="Arial"/>
                <w:b/>
              </w:rPr>
            </w:pPr>
          </w:p>
        </w:tc>
        <w:tc>
          <w:tcPr>
            <w:tcW w:w="7397" w:type="dxa"/>
            <w:shd w:val="clear" w:color="auto" w:fill="auto"/>
          </w:tcPr>
          <w:p w:rsidR="00A72DCD" w:rsidRDefault="00A72DCD" w:rsidP="00A140AC">
            <w:pPr>
              <w:rPr>
                <w:b/>
                <w:szCs w:val="28"/>
              </w:rPr>
            </w:pPr>
            <w:r>
              <w:rPr>
                <w:b/>
                <w:szCs w:val="28"/>
              </w:rPr>
              <w:t>Out of session business conducted / External areas of interest since previous meeting</w:t>
            </w:r>
          </w:p>
          <w:p w:rsidR="00A72DCD" w:rsidRDefault="00A72DCD" w:rsidP="00690B5F">
            <w:pPr>
              <w:pStyle w:val="Default"/>
              <w:rPr>
                <w:sz w:val="22"/>
                <w:szCs w:val="22"/>
              </w:rPr>
            </w:pPr>
          </w:p>
          <w:p w:rsidR="00A72DCD" w:rsidRDefault="006622D2" w:rsidP="006622D2">
            <w:pPr>
              <w:pStyle w:val="Default"/>
              <w:rPr>
                <w:sz w:val="22"/>
                <w:szCs w:val="22"/>
              </w:rPr>
            </w:pPr>
            <w:r>
              <w:rPr>
                <w:sz w:val="22"/>
                <w:szCs w:val="22"/>
              </w:rPr>
              <w:t>None to note</w:t>
            </w:r>
          </w:p>
          <w:p w:rsidR="006622D2" w:rsidRDefault="006622D2" w:rsidP="006622D2">
            <w:pPr>
              <w:pStyle w:val="Default"/>
            </w:pPr>
          </w:p>
        </w:tc>
        <w:tc>
          <w:tcPr>
            <w:tcW w:w="1039" w:type="dxa"/>
            <w:shd w:val="clear" w:color="auto" w:fill="auto"/>
          </w:tcPr>
          <w:p w:rsidR="00A72DCD" w:rsidRDefault="00A72DCD" w:rsidP="00DE5765">
            <w:pPr>
              <w:jc w:val="center"/>
              <w:rPr>
                <w:rFonts w:cs="Arial"/>
                <w:b/>
              </w:rPr>
            </w:pPr>
          </w:p>
        </w:tc>
      </w:tr>
      <w:tr w:rsidR="00A72DCD" w:rsidRPr="001657FC" w:rsidTr="003A4715">
        <w:trPr>
          <w:trHeight w:val="295"/>
        </w:trPr>
        <w:tc>
          <w:tcPr>
            <w:tcW w:w="959" w:type="dxa"/>
            <w:shd w:val="clear" w:color="auto" w:fill="auto"/>
          </w:tcPr>
          <w:p w:rsidR="00A72DCD" w:rsidRPr="000F3960" w:rsidRDefault="00A72DCD" w:rsidP="00B205DF">
            <w:pPr>
              <w:numPr>
                <w:ilvl w:val="0"/>
                <w:numId w:val="1"/>
              </w:numPr>
              <w:rPr>
                <w:rFonts w:cs="Arial"/>
                <w:b/>
              </w:rPr>
            </w:pPr>
          </w:p>
        </w:tc>
        <w:tc>
          <w:tcPr>
            <w:tcW w:w="7397" w:type="dxa"/>
            <w:shd w:val="clear" w:color="auto" w:fill="auto"/>
          </w:tcPr>
          <w:p w:rsidR="00A72DCD" w:rsidRDefault="00A72DCD" w:rsidP="009F5AF1">
            <w:pPr>
              <w:rPr>
                <w:rFonts w:cs="Arial"/>
                <w:b/>
              </w:rPr>
            </w:pPr>
            <w:r>
              <w:rPr>
                <w:rFonts w:cs="Arial"/>
                <w:b/>
              </w:rPr>
              <w:t>Any other business</w:t>
            </w:r>
          </w:p>
          <w:p w:rsidR="00A72DCD" w:rsidRDefault="00A72DCD" w:rsidP="00A216D8">
            <w:pPr>
              <w:rPr>
                <w:szCs w:val="28"/>
              </w:rPr>
            </w:pPr>
          </w:p>
          <w:p w:rsidR="006622D2" w:rsidRDefault="006622D2" w:rsidP="00A216D8">
            <w:pPr>
              <w:rPr>
                <w:szCs w:val="28"/>
              </w:rPr>
            </w:pPr>
            <w:r>
              <w:rPr>
                <w:szCs w:val="28"/>
              </w:rPr>
              <w:t>None to note</w:t>
            </w:r>
          </w:p>
          <w:p w:rsidR="006622D2" w:rsidRPr="005E459A" w:rsidRDefault="006622D2" w:rsidP="00A216D8">
            <w:pPr>
              <w:rPr>
                <w:szCs w:val="28"/>
              </w:rPr>
            </w:pPr>
          </w:p>
        </w:tc>
        <w:tc>
          <w:tcPr>
            <w:tcW w:w="1039" w:type="dxa"/>
            <w:shd w:val="clear" w:color="auto" w:fill="auto"/>
          </w:tcPr>
          <w:p w:rsidR="00A72DCD" w:rsidRDefault="00A72DCD" w:rsidP="00DE5765">
            <w:pPr>
              <w:jc w:val="center"/>
              <w:rPr>
                <w:rFonts w:cs="Arial"/>
                <w:b/>
              </w:rPr>
            </w:pPr>
          </w:p>
        </w:tc>
      </w:tr>
      <w:tr w:rsidR="00A72DCD" w:rsidRPr="001657FC" w:rsidTr="003A4715">
        <w:trPr>
          <w:trHeight w:val="295"/>
        </w:trPr>
        <w:tc>
          <w:tcPr>
            <w:tcW w:w="959" w:type="dxa"/>
            <w:shd w:val="clear" w:color="auto" w:fill="auto"/>
          </w:tcPr>
          <w:p w:rsidR="00A72DCD" w:rsidRPr="001657FC" w:rsidRDefault="00A72DCD" w:rsidP="00B205DF">
            <w:pPr>
              <w:numPr>
                <w:ilvl w:val="0"/>
                <w:numId w:val="1"/>
              </w:numPr>
              <w:rPr>
                <w:rFonts w:cs="Arial"/>
                <w:b/>
              </w:rPr>
            </w:pPr>
          </w:p>
        </w:tc>
        <w:tc>
          <w:tcPr>
            <w:tcW w:w="7397" w:type="dxa"/>
            <w:shd w:val="clear" w:color="auto" w:fill="auto"/>
          </w:tcPr>
          <w:p w:rsidR="00A72DCD" w:rsidRPr="006E73FF" w:rsidRDefault="00A72DCD" w:rsidP="006C1268">
            <w:pPr>
              <w:rPr>
                <w:rFonts w:cs="Arial"/>
                <w:b/>
              </w:rPr>
            </w:pPr>
            <w:r w:rsidRPr="006E73FF">
              <w:rPr>
                <w:rFonts w:cs="Arial"/>
                <w:b/>
              </w:rPr>
              <w:t>Questions from the public</w:t>
            </w:r>
          </w:p>
          <w:p w:rsidR="00A72DCD" w:rsidRDefault="00A72DCD" w:rsidP="006C1268">
            <w:pPr>
              <w:rPr>
                <w:rFonts w:cs="Arial"/>
                <w:b/>
              </w:rPr>
            </w:pPr>
          </w:p>
          <w:p w:rsidR="00A72DCD" w:rsidRDefault="00A72DCD" w:rsidP="006C1268">
            <w:pPr>
              <w:rPr>
                <w:rFonts w:cs="Arial"/>
              </w:rPr>
            </w:pPr>
            <w:r>
              <w:rPr>
                <w:rFonts w:cs="Arial"/>
              </w:rPr>
              <w:t>None to note</w:t>
            </w:r>
          </w:p>
          <w:p w:rsidR="00A72DCD" w:rsidRPr="006E73FF" w:rsidRDefault="00A72DCD" w:rsidP="006C1268">
            <w:pPr>
              <w:rPr>
                <w:rFonts w:cs="Arial"/>
                <w:b/>
              </w:rPr>
            </w:pPr>
          </w:p>
        </w:tc>
        <w:tc>
          <w:tcPr>
            <w:tcW w:w="1039" w:type="dxa"/>
            <w:shd w:val="clear" w:color="auto" w:fill="auto"/>
          </w:tcPr>
          <w:p w:rsidR="00A72DCD" w:rsidRDefault="00A72DCD" w:rsidP="00DE5765">
            <w:pPr>
              <w:jc w:val="center"/>
              <w:rPr>
                <w:rFonts w:cs="Arial"/>
                <w:b/>
              </w:rPr>
            </w:pPr>
          </w:p>
        </w:tc>
      </w:tr>
      <w:tr w:rsidR="00A72DCD" w:rsidRPr="001657FC" w:rsidTr="003A4715">
        <w:trPr>
          <w:trHeight w:val="295"/>
        </w:trPr>
        <w:tc>
          <w:tcPr>
            <w:tcW w:w="959" w:type="dxa"/>
            <w:shd w:val="clear" w:color="auto" w:fill="auto"/>
          </w:tcPr>
          <w:p w:rsidR="00A72DCD" w:rsidRPr="001657FC" w:rsidRDefault="00A72DCD" w:rsidP="00B205DF">
            <w:pPr>
              <w:numPr>
                <w:ilvl w:val="0"/>
                <w:numId w:val="1"/>
              </w:numPr>
              <w:rPr>
                <w:rFonts w:cs="Arial"/>
                <w:b/>
              </w:rPr>
            </w:pPr>
          </w:p>
        </w:tc>
        <w:tc>
          <w:tcPr>
            <w:tcW w:w="7397" w:type="dxa"/>
            <w:shd w:val="clear" w:color="auto" w:fill="auto"/>
          </w:tcPr>
          <w:p w:rsidR="00A72DCD" w:rsidRDefault="00A72DCD" w:rsidP="006C1268">
            <w:pPr>
              <w:rPr>
                <w:rFonts w:cs="Arial"/>
                <w:b/>
              </w:rPr>
            </w:pPr>
            <w:r>
              <w:rPr>
                <w:rFonts w:cs="Arial"/>
                <w:b/>
              </w:rPr>
              <w:t>Date of next meeting</w:t>
            </w:r>
          </w:p>
          <w:p w:rsidR="00A72DCD" w:rsidRDefault="00A72DCD" w:rsidP="00051DD1">
            <w:pPr>
              <w:rPr>
                <w:rFonts w:cs="Arial"/>
                <w:b/>
              </w:rPr>
            </w:pPr>
          </w:p>
          <w:p w:rsidR="00A72DCD" w:rsidRDefault="00A72DCD" w:rsidP="00A72DCD">
            <w:pPr>
              <w:rPr>
                <w:rFonts w:cs="Arial"/>
              </w:rPr>
            </w:pPr>
            <w:r>
              <w:rPr>
                <w:rFonts w:cs="Arial"/>
              </w:rPr>
              <w:t xml:space="preserve">20 March 2019, Nottingham HRA Centre </w:t>
            </w:r>
          </w:p>
          <w:p w:rsidR="00A72DCD" w:rsidRDefault="00A72DCD" w:rsidP="00051DD1">
            <w:pPr>
              <w:rPr>
                <w:rFonts w:cs="Arial"/>
                <w:b/>
              </w:rPr>
            </w:pPr>
          </w:p>
          <w:p w:rsidR="00273697" w:rsidRPr="00327130" w:rsidRDefault="00273697" w:rsidP="00273697">
            <w:pPr>
              <w:rPr>
                <w:rFonts w:cs="Arial"/>
              </w:rPr>
            </w:pPr>
            <w:r>
              <w:rPr>
                <w:rFonts w:cs="Arial"/>
              </w:rPr>
              <w:t>AG gave his apologies for the above meeting.</w:t>
            </w:r>
          </w:p>
          <w:p w:rsidR="00273697" w:rsidRDefault="00273697" w:rsidP="00051DD1">
            <w:pPr>
              <w:rPr>
                <w:rFonts w:cs="Arial"/>
                <w:b/>
              </w:rPr>
            </w:pPr>
          </w:p>
        </w:tc>
        <w:tc>
          <w:tcPr>
            <w:tcW w:w="1039" w:type="dxa"/>
            <w:shd w:val="clear" w:color="auto" w:fill="auto"/>
          </w:tcPr>
          <w:p w:rsidR="00A72DCD" w:rsidRDefault="00A72DCD" w:rsidP="00DE5765">
            <w:pPr>
              <w:jc w:val="center"/>
              <w:rPr>
                <w:rFonts w:cs="Arial"/>
                <w:b/>
              </w:rPr>
            </w:pPr>
          </w:p>
          <w:p w:rsidR="00A72DCD" w:rsidRDefault="00A72DCD" w:rsidP="00DE5765">
            <w:pPr>
              <w:jc w:val="center"/>
              <w:rPr>
                <w:rFonts w:cs="Arial"/>
                <w:b/>
              </w:rPr>
            </w:pPr>
          </w:p>
        </w:tc>
      </w:tr>
    </w:tbl>
    <w:p w:rsidR="00493D78" w:rsidRDefault="00493D78" w:rsidP="00C578D1"/>
    <w:sectPr w:rsidR="00493D78" w:rsidSect="00AE6381">
      <w:headerReference w:type="even" r:id="rId9"/>
      <w:headerReference w:type="default" r:id="rId10"/>
      <w:footerReference w:type="default" r:id="rId11"/>
      <w:headerReference w:type="first" r:id="rId12"/>
      <w:footerReference w:type="first" r:id="rId13"/>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8A7" w:rsidRDefault="00E468A7" w:rsidP="00362FCD">
      <w:r>
        <w:separator/>
      </w:r>
    </w:p>
  </w:endnote>
  <w:endnote w:type="continuationSeparator" w:id="0">
    <w:p w:rsidR="00E468A7" w:rsidRDefault="00E468A7" w:rsidP="0036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184506"/>
      <w:docPartObj>
        <w:docPartGallery w:val="Page Numbers (Top of Page)"/>
        <w:docPartUnique/>
      </w:docPartObj>
    </w:sdtPr>
    <w:sdtEndPr/>
    <w:sdtContent>
      <w:p w:rsidR="00E468A7" w:rsidRDefault="00E468A7" w:rsidP="00F40555">
        <w:pPr>
          <w:pStyle w:val="Footer"/>
          <w:jc w:val="right"/>
          <w:rPr>
            <w:bCs/>
            <w:sz w:val="18"/>
            <w:szCs w:val="18"/>
          </w:rPr>
        </w:pPr>
        <w:r>
          <w:rPr>
            <w:sz w:val="18"/>
            <w:szCs w:val="18"/>
          </w:rPr>
          <w:t xml:space="preserve">Page </w:t>
        </w:r>
        <w:r>
          <w:rPr>
            <w:bCs/>
            <w:sz w:val="18"/>
            <w:szCs w:val="18"/>
          </w:rPr>
          <w:fldChar w:fldCharType="begin"/>
        </w:r>
        <w:r>
          <w:rPr>
            <w:bCs/>
            <w:sz w:val="18"/>
            <w:szCs w:val="18"/>
          </w:rPr>
          <w:instrText xml:space="preserve"> PAGE </w:instrText>
        </w:r>
        <w:r>
          <w:rPr>
            <w:bCs/>
            <w:sz w:val="18"/>
            <w:szCs w:val="18"/>
          </w:rPr>
          <w:fldChar w:fldCharType="separate"/>
        </w:r>
        <w:r w:rsidR="00673F34">
          <w:rPr>
            <w:bCs/>
            <w:noProof/>
            <w:sz w:val="18"/>
            <w:szCs w:val="18"/>
          </w:rPr>
          <w:t>16</w:t>
        </w:r>
        <w:r>
          <w:rPr>
            <w:bCs/>
            <w:sz w:val="18"/>
            <w:szCs w:val="18"/>
          </w:rPr>
          <w:fldChar w:fldCharType="end"/>
        </w:r>
        <w:r>
          <w:rPr>
            <w:sz w:val="18"/>
            <w:szCs w:val="18"/>
          </w:rPr>
          <w:t xml:space="preserve"> of </w:t>
        </w:r>
        <w:r>
          <w:rPr>
            <w:bCs/>
            <w:sz w:val="18"/>
            <w:szCs w:val="18"/>
          </w:rPr>
          <w:fldChar w:fldCharType="begin"/>
        </w:r>
        <w:r>
          <w:rPr>
            <w:bCs/>
            <w:sz w:val="18"/>
            <w:szCs w:val="18"/>
          </w:rPr>
          <w:instrText xml:space="preserve"> NUMPAGES  </w:instrText>
        </w:r>
        <w:r>
          <w:rPr>
            <w:bCs/>
            <w:sz w:val="18"/>
            <w:szCs w:val="18"/>
          </w:rPr>
          <w:fldChar w:fldCharType="separate"/>
        </w:r>
        <w:r w:rsidR="00673F34">
          <w:rPr>
            <w:bCs/>
            <w:noProof/>
            <w:sz w:val="18"/>
            <w:szCs w:val="18"/>
          </w:rPr>
          <w:t>16</w:t>
        </w:r>
        <w:r>
          <w:rPr>
            <w:bCs/>
            <w:sz w:val="18"/>
            <w:szCs w:val="18"/>
          </w:rPr>
          <w:fldChar w:fldCharType="end"/>
        </w:r>
      </w:p>
      <w:p w:rsidR="00E468A7" w:rsidRDefault="00E468A7" w:rsidP="00F40555">
        <w:pPr>
          <w:pStyle w:val="Footer"/>
        </w:pPr>
        <w:r>
          <w:rPr>
            <w:bCs/>
            <w:sz w:val="18"/>
            <w:szCs w:val="18"/>
          </w:rPr>
          <w:t>2019.01.23 HRA Board Minutes – Part 1 Public Session (Management in confidence)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388312"/>
      <w:docPartObj>
        <w:docPartGallery w:val="Page Numbers (Top of Page)"/>
        <w:docPartUnique/>
      </w:docPartObj>
    </w:sdtPr>
    <w:sdtEndPr/>
    <w:sdtContent>
      <w:p w:rsidR="00E468A7" w:rsidRDefault="00E468A7" w:rsidP="009F4640">
        <w:pPr>
          <w:pStyle w:val="Footer"/>
          <w:jc w:val="right"/>
          <w:rPr>
            <w:bCs/>
            <w:sz w:val="18"/>
            <w:szCs w:val="18"/>
          </w:rPr>
        </w:pPr>
        <w:r>
          <w:rPr>
            <w:sz w:val="18"/>
            <w:szCs w:val="18"/>
          </w:rPr>
          <w:t xml:space="preserve">Page </w:t>
        </w:r>
        <w:r>
          <w:rPr>
            <w:bCs/>
            <w:sz w:val="18"/>
            <w:szCs w:val="18"/>
          </w:rPr>
          <w:fldChar w:fldCharType="begin"/>
        </w:r>
        <w:r>
          <w:rPr>
            <w:bCs/>
            <w:sz w:val="18"/>
            <w:szCs w:val="18"/>
          </w:rPr>
          <w:instrText xml:space="preserve"> PAGE </w:instrText>
        </w:r>
        <w:r>
          <w:rPr>
            <w:bCs/>
            <w:sz w:val="18"/>
            <w:szCs w:val="18"/>
          </w:rPr>
          <w:fldChar w:fldCharType="separate"/>
        </w:r>
        <w:r w:rsidR="00673F34">
          <w:rPr>
            <w:bCs/>
            <w:noProof/>
            <w:sz w:val="18"/>
            <w:szCs w:val="18"/>
          </w:rPr>
          <w:t>1</w:t>
        </w:r>
        <w:r>
          <w:rPr>
            <w:bCs/>
            <w:sz w:val="18"/>
            <w:szCs w:val="18"/>
          </w:rPr>
          <w:fldChar w:fldCharType="end"/>
        </w:r>
        <w:r>
          <w:rPr>
            <w:sz w:val="18"/>
            <w:szCs w:val="18"/>
          </w:rPr>
          <w:t xml:space="preserve"> of </w:t>
        </w:r>
        <w:r>
          <w:rPr>
            <w:bCs/>
            <w:sz w:val="18"/>
            <w:szCs w:val="18"/>
          </w:rPr>
          <w:fldChar w:fldCharType="begin"/>
        </w:r>
        <w:r>
          <w:rPr>
            <w:bCs/>
            <w:sz w:val="18"/>
            <w:szCs w:val="18"/>
          </w:rPr>
          <w:instrText xml:space="preserve"> NUMPAGES  </w:instrText>
        </w:r>
        <w:r>
          <w:rPr>
            <w:bCs/>
            <w:sz w:val="18"/>
            <w:szCs w:val="18"/>
          </w:rPr>
          <w:fldChar w:fldCharType="separate"/>
        </w:r>
        <w:r w:rsidR="00673F34">
          <w:rPr>
            <w:bCs/>
            <w:noProof/>
            <w:sz w:val="18"/>
            <w:szCs w:val="18"/>
          </w:rPr>
          <w:t>16</w:t>
        </w:r>
        <w:r>
          <w:rPr>
            <w:bCs/>
            <w:sz w:val="18"/>
            <w:szCs w:val="18"/>
          </w:rPr>
          <w:fldChar w:fldCharType="end"/>
        </w:r>
      </w:p>
      <w:p w:rsidR="00E468A7" w:rsidRDefault="00E468A7" w:rsidP="00D736CF">
        <w:pPr>
          <w:pStyle w:val="Footer"/>
        </w:pPr>
        <w:r>
          <w:rPr>
            <w:bCs/>
            <w:sz w:val="18"/>
            <w:szCs w:val="18"/>
          </w:rPr>
          <w:t>2019.01.23 HRA Board Minutes – Part 1 Public Session (Management in confidence)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8A7" w:rsidRDefault="00E468A7" w:rsidP="00362FCD">
      <w:r>
        <w:separator/>
      </w:r>
    </w:p>
  </w:footnote>
  <w:footnote w:type="continuationSeparator" w:id="0">
    <w:p w:rsidR="00E468A7" w:rsidRDefault="00E468A7" w:rsidP="00362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8A7" w:rsidRDefault="00673F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3267"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8A7" w:rsidRDefault="00673F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3268"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8A7" w:rsidRDefault="00673F34" w:rsidP="00AB5972">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3266" o:spid="_x0000_s2049"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468A7">
      <w:rPr>
        <w:noProof/>
        <w:lang w:eastAsia="en-GB"/>
      </w:rPr>
      <w:drawing>
        <wp:inline distT="0" distB="0" distL="0" distR="0" wp14:anchorId="5A124B57" wp14:editId="0AE12CA3">
          <wp:extent cx="1238250" cy="652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69A7FC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CF477A"/>
    <w:multiLevelType w:val="hybridMultilevel"/>
    <w:tmpl w:val="8B08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53F7B"/>
    <w:multiLevelType w:val="hybridMultilevel"/>
    <w:tmpl w:val="3C8073B0"/>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 w15:restartNumberingAfterBreak="0">
    <w:nsid w:val="1AE751D1"/>
    <w:multiLevelType w:val="hybridMultilevel"/>
    <w:tmpl w:val="3BEE9EA0"/>
    <w:lvl w:ilvl="0" w:tplc="0B28796E">
      <w:start w:val="1"/>
      <w:numFmt w:val="decimal"/>
      <w:lvlText w:val="%1."/>
      <w:lvlJc w:val="left"/>
      <w:pPr>
        <w:ind w:left="720" w:hanging="436"/>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003F5"/>
    <w:multiLevelType w:val="hybridMultilevel"/>
    <w:tmpl w:val="EB92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E3480"/>
    <w:multiLevelType w:val="hybridMultilevel"/>
    <w:tmpl w:val="1A4C3CE0"/>
    <w:lvl w:ilvl="0" w:tplc="8E18AFF2">
      <w:start w:val="1"/>
      <w:numFmt w:val="bullet"/>
      <w:pStyle w:val="BullettedInden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0F2764"/>
    <w:multiLevelType w:val="hybridMultilevel"/>
    <w:tmpl w:val="ACF8110A"/>
    <w:lvl w:ilvl="0" w:tplc="F40AD5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36D36"/>
    <w:multiLevelType w:val="hybridMultilevel"/>
    <w:tmpl w:val="FE326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B93B76"/>
    <w:multiLevelType w:val="hybridMultilevel"/>
    <w:tmpl w:val="B71C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64C7D"/>
    <w:multiLevelType w:val="hybridMultilevel"/>
    <w:tmpl w:val="44D6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676237"/>
    <w:multiLevelType w:val="hybridMultilevel"/>
    <w:tmpl w:val="254ACDAE"/>
    <w:lvl w:ilvl="0" w:tplc="70BAE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239F4"/>
    <w:multiLevelType w:val="hybridMultilevel"/>
    <w:tmpl w:val="034E0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E53A6"/>
    <w:multiLevelType w:val="hybridMultilevel"/>
    <w:tmpl w:val="96C44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D8C5F75"/>
    <w:multiLevelType w:val="hybridMultilevel"/>
    <w:tmpl w:val="BE3A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7213E"/>
    <w:multiLevelType w:val="hybridMultilevel"/>
    <w:tmpl w:val="F22E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30C4F"/>
    <w:multiLevelType w:val="hybridMultilevel"/>
    <w:tmpl w:val="E56E3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4B5A2B"/>
    <w:multiLevelType w:val="hybridMultilevel"/>
    <w:tmpl w:val="D648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6"/>
  </w:num>
  <w:num w:numId="5">
    <w:abstractNumId w:val="7"/>
  </w:num>
  <w:num w:numId="6">
    <w:abstractNumId w:val="11"/>
  </w:num>
  <w:num w:numId="7">
    <w:abstractNumId w:val="1"/>
  </w:num>
  <w:num w:numId="8">
    <w:abstractNumId w:val="4"/>
  </w:num>
  <w:num w:numId="9">
    <w:abstractNumId w:val="13"/>
  </w:num>
  <w:num w:numId="10">
    <w:abstractNumId w:val="2"/>
  </w:num>
  <w:num w:numId="11">
    <w:abstractNumId w:val="9"/>
  </w:num>
  <w:num w:numId="12">
    <w:abstractNumId w:val="6"/>
  </w:num>
  <w:num w:numId="13">
    <w:abstractNumId w:val="8"/>
  </w:num>
  <w:num w:numId="14">
    <w:abstractNumId w:val="0"/>
  </w:num>
  <w:num w:numId="15">
    <w:abstractNumId w:val="15"/>
  </w:num>
  <w:num w:numId="16">
    <w:abstractNumId w:val="12"/>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39"/>
    <w:rsid w:val="0000623D"/>
    <w:rsid w:val="000070D4"/>
    <w:rsid w:val="00013172"/>
    <w:rsid w:val="00013578"/>
    <w:rsid w:val="000135EB"/>
    <w:rsid w:val="00014A06"/>
    <w:rsid w:val="00016FF6"/>
    <w:rsid w:val="000223DC"/>
    <w:rsid w:val="000237B6"/>
    <w:rsid w:val="00026C64"/>
    <w:rsid w:val="00027A9E"/>
    <w:rsid w:val="00030200"/>
    <w:rsid w:val="0003080A"/>
    <w:rsid w:val="000309DF"/>
    <w:rsid w:val="00031C08"/>
    <w:rsid w:val="00032392"/>
    <w:rsid w:val="00034DBB"/>
    <w:rsid w:val="0003546C"/>
    <w:rsid w:val="00035882"/>
    <w:rsid w:val="00035AA6"/>
    <w:rsid w:val="0003706E"/>
    <w:rsid w:val="000378C3"/>
    <w:rsid w:val="00040880"/>
    <w:rsid w:val="00042588"/>
    <w:rsid w:val="00043FA2"/>
    <w:rsid w:val="00044705"/>
    <w:rsid w:val="000454CE"/>
    <w:rsid w:val="00046CB0"/>
    <w:rsid w:val="00047D4E"/>
    <w:rsid w:val="00047FE5"/>
    <w:rsid w:val="000511D9"/>
    <w:rsid w:val="00051DD1"/>
    <w:rsid w:val="00052A81"/>
    <w:rsid w:val="00054C5B"/>
    <w:rsid w:val="00057681"/>
    <w:rsid w:val="00057CD1"/>
    <w:rsid w:val="00057CFB"/>
    <w:rsid w:val="0006088E"/>
    <w:rsid w:val="00061420"/>
    <w:rsid w:val="00061A68"/>
    <w:rsid w:val="00063445"/>
    <w:rsid w:val="00067F89"/>
    <w:rsid w:val="0007215D"/>
    <w:rsid w:val="000721D8"/>
    <w:rsid w:val="00072257"/>
    <w:rsid w:val="00075A29"/>
    <w:rsid w:val="0008046F"/>
    <w:rsid w:val="00080FA4"/>
    <w:rsid w:val="00081B18"/>
    <w:rsid w:val="00083344"/>
    <w:rsid w:val="00086C7B"/>
    <w:rsid w:val="00087C82"/>
    <w:rsid w:val="000902E2"/>
    <w:rsid w:val="0009407A"/>
    <w:rsid w:val="0009422D"/>
    <w:rsid w:val="00097414"/>
    <w:rsid w:val="00097730"/>
    <w:rsid w:val="000A1D30"/>
    <w:rsid w:val="000A23A2"/>
    <w:rsid w:val="000A4581"/>
    <w:rsid w:val="000A46BF"/>
    <w:rsid w:val="000A6355"/>
    <w:rsid w:val="000B3F2C"/>
    <w:rsid w:val="000B4942"/>
    <w:rsid w:val="000B59F8"/>
    <w:rsid w:val="000B5AE3"/>
    <w:rsid w:val="000B5FF8"/>
    <w:rsid w:val="000C0071"/>
    <w:rsid w:val="000C10A2"/>
    <w:rsid w:val="000C13BF"/>
    <w:rsid w:val="000C1BD0"/>
    <w:rsid w:val="000C278F"/>
    <w:rsid w:val="000C3669"/>
    <w:rsid w:val="000C4210"/>
    <w:rsid w:val="000C45A3"/>
    <w:rsid w:val="000C47FD"/>
    <w:rsid w:val="000C66ED"/>
    <w:rsid w:val="000C67C8"/>
    <w:rsid w:val="000C7B51"/>
    <w:rsid w:val="000D0BFE"/>
    <w:rsid w:val="000D465B"/>
    <w:rsid w:val="000D68B9"/>
    <w:rsid w:val="000D724E"/>
    <w:rsid w:val="000E1199"/>
    <w:rsid w:val="000E11DF"/>
    <w:rsid w:val="000E19F0"/>
    <w:rsid w:val="000E34E1"/>
    <w:rsid w:val="000E68C8"/>
    <w:rsid w:val="000E7C28"/>
    <w:rsid w:val="000F074B"/>
    <w:rsid w:val="000F0C65"/>
    <w:rsid w:val="000F17CF"/>
    <w:rsid w:val="000F22E2"/>
    <w:rsid w:val="000F24E1"/>
    <w:rsid w:val="000F3960"/>
    <w:rsid w:val="000F3D87"/>
    <w:rsid w:val="000F3FAF"/>
    <w:rsid w:val="000F46F1"/>
    <w:rsid w:val="000F59E4"/>
    <w:rsid w:val="000F7A52"/>
    <w:rsid w:val="001037DA"/>
    <w:rsid w:val="00104F1A"/>
    <w:rsid w:val="0010538B"/>
    <w:rsid w:val="00105624"/>
    <w:rsid w:val="00106C77"/>
    <w:rsid w:val="00114EBA"/>
    <w:rsid w:val="001205F6"/>
    <w:rsid w:val="00124016"/>
    <w:rsid w:val="001250A2"/>
    <w:rsid w:val="001319D1"/>
    <w:rsid w:val="00133657"/>
    <w:rsid w:val="00133C21"/>
    <w:rsid w:val="00134F1D"/>
    <w:rsid w:val="00135328"/>
    <w:rsid w:val="00136B4B"/>
    <w:rsid w:val="00137ED7"/>
    <w:rsid w:val="00141D28"/>
    <w:rsid w:val="00143511"/>
    <w:rsid w:val="00143F8D"/>
    <w:rsid w:val="001448FE"/>
    <w:rsid w:val="001456D1"/>
    <w:rsid w:val="00145CBB"/>
    <w:rsid w:val="00147AA4"/>
    <w:rsid w:val="001509D2"/>
    <w:rsid w:val="00151DD6"/>
    <w:rsid w:val="00152F12"/>
    <w:rsid w:val="0015312D"/>
    <w:rsid w:val="001551BB"/>
    <w:rsid w:val="00155752"/>
    <w:rsid w:val="00155853"/>
    <w:rsid w:val="001613C8"/>
    <w:rsid w:val="00162991"/>
    <w:rsid w:val="00163127"/>
    <w:rsid w:val="00163A2E"/>
    <w:rsid w:val="00163CCD"/>
    <w:rsid w:val="00165F8D"/>
    <w:rsid w:val="00165F97"/>
    <w:rsid w:val="00165FDE"/>
    <w:rsid w:val="00165FFC"/>
    <w:rsid w:val="00167ECF"/>
    <w:rsid w:val="0017000A"/>
    <w:rsid w:val="00171DBD"/>
    <w:rsid w:val="00172D84"/>
    <w:rsid w:val="001758B8"/>
    <w:rsid w:val="0017678A"/>
    <w:rsid w:val="001776FA"/>
    <w:rsid w:val="00180102"/>
    <w:rsid w:val="00180F7A"/>
    <w:rsid w:val="00181848"/>
    <w:rsid w:val="001824DC"/>
    <w:rsid w:val="00182A14"/>
    <w:rsid w:val="00183464"/>
    <w:rsid w:val="001845F9"/>
    <w:rsid w:val="0018464E"/>
    <w:rsid w:val="00186BCC"/>
    <w:rsid w:val="001904E2"/>
    <w:rsid w:val="001906F5"/>
    <w:rsid w:val="00192155"/>
    <w:rsid w:val="001925AB"/>
    <w:rsid w:val="00193D2A"/>
    <w:rsid w:val="001947CB"/>
    <w:rsid w:val="001960FC"/>
    <w:rsid w:val="00196555"/>
    <w:rsid w:val="00196DA0"/>
    <w:rsid w:val="0019702F"/>
    <w:rsid w:val="0019710B"/>
    <w:rsid w:val="00197224"/>
    <w:rsid w:val="001A00AD"/>
    <w:rsid w:val="001A5587"/>
    <w:rsid w:val="001A6E97"/>
    <w:rsid w:val="001B145D"/>
    <w:rsid w:val="001B48EC"/>
    <w:rsid w:val="001B49E3"/>
    <w:rsid w:val="001B6555"/>
    <w:rsid w:val="001B69D8"/>
    <w:rsid w:val="001C2AD0"/>
    <w:rsid w:val="001C31B2"/>
    <w:rsid w:val="001C3499"/>
    <w:rsid w:val="001C4652"/>
    <w:rsid w:val="001C4F02"/>
    <w:rsid w:val="001D2039"/>
    <w:rsid w:val="001D30B5"/>
    <w:rsid w:val="001D3A31"/>
    <w:rsid w:val="001D415B"/>
    <w:rsid w:val="001D45DF"/>
    <w:rsid w:val="001D4E1B"/>
    <w:rsid w:val="001D5A8B"/>
    <w:rsid w:val="001D6386"/>
    <w:rsid w:val="001D65A6"/>
    <w:rsid w:val="001D7472"/>
    <w:rsid w:val="001D7A81"/>
    <w:rsid w:val="001E15BE"/>
    <w:rsid w:val="001E3F25"/>
    <w:rsid w:val="001E57B3"/>
    <w:rsid w:val="001E7074"/>
    <w:rsid w:val="001F088B"/>
    <w:rsid w:val="001F23E4"/>
    <w:rsid w:val="001F2DF8"/>
    <w:rsid w:val="001F6532"/>
    <w:rsid w:val="002014B7"/>
    <w:rsid w:val="00201B62"/>
    <w:rsid w:val="002022A1"/>
    <w:rsid w:val="0020297F"/>
    <w:rsid w:val="00204F35"/>
    <w:rsid w:val="0020549B"/>
    <w:rsid w:val="00205CA2"/>
    <w:rsid w:val="00205D34"/>
    <w:rsid w:val="0020729A"/>
    <w:rsid w:val="002074EB"/>
    <w:rsid w:val="00210ECD"/>
    <w:rsid w:val="00211723"/>
    <w:rsid w:val="00211E6A"/>
    <w:rsid w:val="00213DA1"/>
    <w:rsid w:val="00216975"/>
    <w:rsid w:val="00217687"/>
    <w:rsid w:val="00217A01"/>
    <w:rsid w:val="00217DB9"/>
    <w:rsid w:val="00220187"/>
    <w:rsid w:val="00222652"/>
    <w:rsid w:val="00222BBE"/>
    <w:rsid w:val="00225D1B"/>
    <w:rsid w:val="00227EDC"/>
    <w:rsid w:val="0023107E"/>
    <w:rsid w:val="002316EA"/>
    <w:rsid w:val="002329CB"/>
    <w:rsid w:val="00233339"/>
    <w:rsid w:val="00233BEA"/>
    <w:rsid w:val="002347F3"/>
    <w:rsid w:val="0023596E"/>
    <w:rsid w:val="00236AE5"/>
    <w:rsid w:val="00237F9D"/>
    <w:rsid w:val="00241897"/>
    <w:rsid w:val="002432FE"/>
    <w:rsid w:val="002440B6"/>
    <w:rsid w:val="00244FC1"/>
    <w:rsid w:val="002465AB"/>
    <w:rsid w:val="00247AF3"/>
    <w:rsid w:val="00247B80"/>
    <w:rsid w:val="00250AA7"/>
    <w:rsid w:val="00251C90"/>
    <w:rsid w:val="00252825"/>
    <w:rsid w:val="0025289B"/>
    <w:rsid w:val="00254165"/>
    <w:rsid w:val="00256E11"/>
    <w:rsid w:val="00261AB4"/>
    <w:rsid w:val="002622D5"/>
    <w:rsid w:val="002649DC"/>
    <w:rsid w:val="002657F6"/>
    <w:rsid w:val="00266B84"/>
    <w:rsid w:val="00266C68"/>
    <w:rsid w:val="00267C70"/>
    <w:rsid w:val="00273697"/>
    <w:rsid w:val="00274F4B"/>
    <w:rsid w:val="00275D27"/>
    <w:rsid w:val="0027672F"/>
    <w:rsid w:val="00280612"/>
    <w:rsid w:val="002807F0"/>
    <w:rsid w:val="00280CF2"/>
    <w:rsid w:val="0028119D"/>
    <w:rsid w:val="002814B9"/>
    <w:rsid w:val="00283D0A"/>
    <w:rsid w:val="00284130"/>
    <w:rsid w:val="00286FAA"/>
    <w:rsid w:val="0028733A"/>
    <w:rsid w:val="00290289"/>
    <w:rsid w:val="00290FEE"/>
    <w:rsid w:val="00291B2A"/>
    <w:rsid w:val="002927A4"/>
    <w:rsid w:val="00292CB0"/>
    <w:rsid w:val="00292D97"/>
    <w:rsid w:val="00296CEF"/>
    <w:rsid w:val="002A0C0D"/>
    <w:rsid w:val="002A12AF"/>
    <w:rsid w:val="002A32A7"/>
    <w:rsid w:val="002A35ED"/>
    <w:rsid w:val="002A3B6F"/>
    <w:rsid w:val="002A475F"/>
    <w:rsid w:val="002A4B57"/>
    <w:rsid w:val="002A58D4"/>
    <w:rsid w:val="002B156C"/>
    <w:rsid w:val="002B33F3"/>
    <w:rsid w:val="002B5A6F"/>
    <w:rsid w:val="002B5F70"/>
    <w:rsid w:val="002B6F2B"/>
    <w:rsid w:val="002B78AB"/>
    <w:rsid w:val="002C74BB"/>
    <w:rsid w:val="002C7DE0"/>
    <w:rsid w:val="002D03FB"/>
    <w:rsid w:val="002D084A"/>
    <w:rsid w:val="002D20C2"/>
    <w:rsid w:val="002D2860"/>
    <w:rsid w:val="002D4B88"/>
    <w:rsid w:val="002D53C3"/>
    <w:rsid w:val="002D7279"/>
    <w:rsid w:val="002D769B"/>
    <w:rsid w:val="002E072B"/>
    <w:rsid w:val="002E1467"/>
    <w:rsid w:val="002E2B20"/>
    <w:rsid w:val="002E682C"/>
    <w:rsid w:val="002E7392"/>
    <w:rsid w:val="002E7D4D"/>
    <w:rsid w:val="002F0109"/>
    <w:rsid w:val="002F1573"/>
    <w:rsid w:val="002F2365"/>
    <w:rsid w:val="002F3415"/>
    <w:rsid w:val="002F42B4"/>
    <w:rsid w:val="002F6A3C"/>
    <w:rsid w:val="002F7493"/>
    <w:rsid w:val="00300ACB"/>
    <w:rsid w:val="0030363B"/>
    <w:rsid w:val="003050F7"/>
    <w:rsid w:val="0030632B"/>
    <w:rsid w:val="0031107A"/>
    <w:rsid w:val="00311E3B"/>
    <w:rsid w:val="0031342C"/>
    <w:rsid w:val="00313C4E"/>
    <w:rsid w:val="00314BC3"/>
    <w:rsid w:val="003152F5"/>
    <w:rsid w:val="00317CC6"/>
    <w:rsid w:val="00322FD3"/>
    <w:rsid w:val="003238AC"/>
    <w:rsid w:val="00323F1C"/>
    <w:rsid w:val="00326203"/>
    <w:rsid w:val="003266DC"/>
    <w:rsid w:val="00326B0E"/>
    <w:rsid w:val="00326EB1"/>
    <w:rsid w:val="003313AF"/>
    <w:rsid w:val="003332A3"/>
    <w:rsid w:val="00333A52"/>
    <w:rsid w:val="00335A7A"/>
    <w:rsid w:val="00336481"/>
    <w:rsid w:val="003365EB"/>
    <w:rsid w:val="00337980"/>
    <w:rsid w:val="003416BA"/>
    <w:rsid w:val="0034517D"/>
    <w:rsid w:val="00346002"/>
    <w:rsid w:val="00351BEB"/>
    <w:rsid w:val="00354CF0"/>
    <w:rsid w:val="003556ED"/>
    <w:rsid w:val="00355B14"/>
    <w:rsid w:val="00355EBA"/>
    <w:rsid w:val="00356592"/>
    <w:rsid w:val="00357947"/>
    <w:rsid w:val="00362652"/>
    <w:rsid w:val="00362FCD"/>
    <w:rsid w:val="00363B89"/>
    <w:rsid w:val="0036536B"/>
    <w:rsid w:val="00367998"/>
    <w:rsid w:val="00370FE1"/>
    <w:rsid w:val="00370FEF"/>
    <w:rsid w:val="00371DFF"/>
    <w:rsid w:val="00372539"/>
    <w:rsid w:val="0037357D"/>
    <w:rsid w:val="00375B06"/>
    <w:rsid w:val="00376010"/>
    <w:rsid w:val="0037681B"/>
    <w:rsid w:val="003776E9"/>
    <w:rsid w:val="00382BC1"/>
    <w:rsid w:val="00383921"/>
    <w:rsid w:val="00384273"/>
    <w:rsid w:val="003863E3"/>
    <w:rsid w:val="003907A5"/>
    <w:rsid w:val="00390B98"/>
    <w:rsid w:val="003920DC"/>
    <w:rsid w:val="00396CD2"/>
    <w:rsid w:val="003A0193"/>
    <w:rsid w:val="003A0281"/>
    <w:rsid w:val="003A1AC0"/>
    <w:rsid w:val="003A36F7"/>
    <w:rsid w:val="003A4715"/>
    <w:rsid w:val="003A5A8D"/>
    <w:rsid w:val="003A73D2"/>
    <w:rsid w:val="003A7833"/>
    <w:rsid w:val="003A78A4"/>
    <w:rsid w:val="003A79EC"/>
    <w:rsid w:val="003B2950"/>
    <w:rsid w:val="003B4A69"/>
    <w:rsid w:val="003B6579"/>
    <w:rsid w:val="003B7D3B"/>
    <w:rsid w:val="003C04A0"/>
    <w:rsid w:val="003C1232"/>
    <w:rsid w:val="003C2DCC"/>
    <w:rsid w:val="003C3162"/>
    <w:rsid w:val="003C57DE"/>
    <w:rsid w:val="003D195E"/>
    <w:rsid w:val="003D2A2A"/>
    <w:rsid w:val="003D4268"/>
    <w:rsid w:val="003D7CCB"/>
    <w:rsid w:val="003E07F6"/>
    <w:rsid w:val="003E1357"/>
    <w:rsid w:val="003E25C1"/>
    <w:rsid w:val="003E36EC"/>
    <w:rsid w:val="003E44DD"/>
    <w:rsid w:val="003E6E78"/>
    <w:rsid w:val="003E7E7B"/>
    <w:rsid w:val="003E7EA4"/>
    <w:rsid w:val="003F1F4A"/>
    <w:rsid w:val="003F3B8C"/>
    <w:rsid w:val="003F3C67"/>
    <w:rsid w:val="003F4732"/>
    <w:rsid w:val="003F517C"/>
    <w:rsid w:val="003F58CB"/>
    <w:rsid w:val="003F5CF0"/>
    <w:rsid w:val="003F6AD4"/>
    <w:rsid w:val="00401B79"/>
    <w:rsid w:val="00402F7D"/>
    <w:rsid w:val="004031E5"/>
    <w:rsid w:val="00404D76"/>
    <w:rsid w:val="004054F0"/>
    <w:rsid w:val="0040767C"/>
    <w:rsid w:val="00410222"/>
    <w:rsid w:val="004121AC"/>
    <w:rsid w:val="00413262"/>
    <w:rsid w:val="00417899"/>
    <w:rsid w:val="0042095A"/>
    <w:rsid w:val="00420B68"/>
    <w:rsid w:val="004215B1"/>
    <w:rsid w:val="00422AB0"/>
    <w:rsid w:val="00424F84"/>
    <w:rsid w:val="00425B2B"/>
    <w:rsid w:val="0042692C"/>
    <w:rsid w:val="00426BFD"/>
    <w:rsid w:val="00427E48"/>
    <w:rsid w:val="0043064E"/>
    <w:rsid w:val="0043271F"/>
    <w:rsid w:val="00434081"/>
    <w:rsid w:val="00435040"/>
    <w:rsid w:val="0043745D"/>
    <w:rsid w:val="00440330"/>
    <w:rsid w:val="00440543"/>
    <w:rsid w:val="00440945"/>
    <w:rsid w:val="004418BE"/>
    <w:rsid w:val="00441E4B"/>
    <w:rsid w:val="004427DD"/>
    <w:rsid w:val="00442B9D"/>
    <w:rsid w:val="00446913"/>
    <w:rsid w:val="00450551"/>
    <w:rsid w:val="00452775"/>
    <w:rsid w:val="00452FF8"/>
    <w:rsid w:val="00454725"/>
    <w:rsid w:val="0045560C"/>
    <w:rsid w:val="0045571B"/>
    <w:rsid w:val="0045575E"/>
    <w:rsid w:val="00455977"/>
    <w:rsid w:val="004560D4"/>
    <w:rsid w:val="004565ED"/>
    <w:rsid w:val="0045667B"/>
    <w:rsid w:val="00460F9B"/>
    <w:rsid w:val="004614C8"/>
    <w:rsid w:val="004618BB"/>
    <w:rsid w:val="0046482E"/>
    <w:rsid w:val="00467D6D"/>
    <w:rsid w:val="0047017D"/>
    <w:rsid w:val="00470D4B"/>
    <w:rsid w:val="00470DD3"/>
    <w:rsid w:val="004722F7"/>
    <w:rsid w:val="00472661"/>
    <w:rsid w:val="004742CB"/>
    <w:rsid w:val="00474FD0"/>
    <w:rsid w:val="00475632"/>
    <w:rsid w:val="00475CA5"/>
    <w:rsid w:val="00477AAE"/>
    <w:rsid w:val="004845F5"/>
    <w:rsid w:val="00485AA5"/>
    <w:rsid w:val="00487EC4"/>
    <w:rsid w:val="00490B0F"/>
    <w:rsid w:val="00493006"/>
    <w:rsid w:val="00493D78"/>
    <w:rsid w:val="00494320"/>
    <w:rsid w:val="00494793"/>
    <w:rsid w:val="00494839"/>
    <w:rsid w:val="00494E81"/>
    <w:rsid w:val="004A021D"/>
    <w:rsid w:val="004A0E17"/>
    <w:rsid w:val="004A1777"/>
    <w:rsid w:val="004A1995"/>
    <w:rsid w:val="004A4489"/>
    <w:rsid w:val="004A4A0A"/>
    <w:rsid w:val="004A5CA2"/>
    <w:rsid w:val="004A7D5B"/>
    <w:rsid w:val="004B073C"/>
    <w:rsid w:val="004B0EE6"/>
    <w:rsid w:val="004B369A"/>
    <w:rsid w:val="004B65C6"/>
    <w:rsid w:val="004B714D"/>
    <w:rsid w:val="004C153F"/>
    <w:rsid w:val="004C29E1"/>
    <w:rsid w:val="004C2DBE"/>
    <w:rsid w:val="004C2E28"/>
    <w:rsid w:val="004C3B4D"/>
    <w:rsid w:val="004C3FC5"/>
    <w:rsid w:val="004C4951"/>
    <w:rsid w:val="004D01AD"/>
    <w:rsid w:val="004D0463"/>
    <w:rsid w:val="004D3862"/>
    <w:rsid w:val="004D61BC"/>
    <w:rsid w:val="004E185D"/>
    <w:rsid w:val="004E1AAE"/>
    <w:rsid w:val="004E1AE4"/>
    <w:rsid w:val="004E23BE"/>
    <w:rsid w:val="004E6133"/>
    <w:rsid w:val="004E66E1"/>
    <w:rsid w:val="004E6887"/>
    <w:rsid w:val="004E6E6C"/>
    <w:rsid w:val="004F050B"/>
    <w:rsid w:val="004F2978"/>
    <w:rsid w:val="004F3984"/>
    <w:rsid w:val="004F3A14"/>
    <w:rsid w:val="004F3AE7"/>
    <w:rsid w:val="004F3B72"/>
    <w:rsid w:val="00500F28"/>
    <w:rsid w:val="005012FC"/>
    <w:rsid w:val="00503420"/>
    <w:rsid w:val="00505BEC"/>
    <w:rsid w:val="00506CD1"/>
    <w:rsid w:val="00507878"/>
    <w:rsid w:val="00513ED3"/>
    <w:rsid w:val="00515B0B"/>
    <w:rsid w:val="005226FA"/>
    <w:rsid w:val="00522F97"/>
    <w:rsid w:val="005242CE"/>
    <w:rsid w:val="00524686"/>
    <w:rsid w:val="00525F04"/>
    <w:rsid w:val="00532602"/>
    <w:rsid w:val="00532DF6"/>
    <w:rsid w:val="005332B8"/>
    <w:rsid w:val="00533A52"/>
    <w:rsid w:val="00533BF0"/>
    <w:rsid w:val="00534629"/>
    <w:rsid w:val="00535CC5"/>
    <w:rsid w:val="005361B3"/>
    <w:rsid w:val="0054103A"/>
    <w:rsid w:val="0054118E"/>
    <w:rsid w:val="005423B6"/>
    <w:rsid w:val="00542A76"/>
    <w:rsid w:val="005447D4"/>
    <w:rsid w:val="00545A28"/>
    <w:rsid w:val="005468ED"/>
    <w:rsid w:val="00547ED4"/>
    <w:rsid w:val="00550566"/>
    <w:rsid w:val="005507DC"/>
    <w:rsid w:val="00550E89"/>
    <w:rsid w:val="005523E4"/>
    <w:rsid w:val="00552590"/>
    <w:rsid w:val="005525B1"/>
    <w:rsid w:val="005570E1"/>
    <w:rsid w:val="00557DFC"/>
    <w:rsid w:val="00560DB4"/>
    <w:rsid w:val="005610DB"/>
    <w:rsid w:val="00562304"/>
    <w:rsid w:val="005646D6"/>
    <w:rsid w:val="0056698A"/>
    <w:rsid w:val="00566EBF"/>
    <w:rsid w:val="00567E2A"/>
    <w:rsid w:val="00570914"/>
    <w:rsid w:val="00573256"/>
    <w:rsid w:val="005734C7"/>
    <w:rsid w:val="00573697"/>
    <w:rsid w:val="005745E4"/>
    <w:rsid w:val="00576B29"/>
    <w:rsid w:val="00580021"/>
    <w:rsid w:val="005813BC"/>
    <w:rsid w:val="0058170B"/>
    <w:rsid w:val="00582FD1"/>
    <w:rsid w:val="00585D25"/>
    <w:rsid w:val="0058794B"/>
    <w:rsid w:val="0059144F"/>
    <w:rsid w:val="0059270A"/>
    <w:rsid w:val="00594797"/>
    <w:rsid w:val="0059599A"/>
    <w:rsid w:val="00596961"/>
    <w:rsid w:val="00596C92"/>
    <w:rsid w:val="005976D5"/>
    <w:rsid w:val="00597C23"/>
    <w:rsid w:val="005A2013"/>
    <w:rsid w:val="005A2865"/>
    <w:rsid w:val="005A28B6"/>
    <w:rsid w:val="005A3E8F"/>
    <w:rsid w:val="005A5A5C"/>
    <w:rsid w:val="005A6394"/>
    <w:rsid w:val="005A67E6"/>
    <w:rsid w:val="005A7A65"/>
    <w:rsid w:val="005B0C37"/>
    <w:rsid w:val="005B3C73"/>
    <w:rsid w:val="005B49CA"/>
    <w:rsid w:val="005B4C0B"/>
    <w:rsid w:val="005B69AA"/>
    <w:rsid w:val="005C02E1"/>
    <w:rsid w:val="005C062D"/>
    <w:rsid w:val="005C088C"/>
    <w:rsid w:val="005C0B95"/>
    <w:rsid w:val="005C41B7"/>
    <w:rsid w:val="005C5DFB"/>
    <w:rsid w:val="005C72F6"/>
    <w:rsid w:val="005D0E9A"/>
    <w:rsid w:val="005D1A89"/>
    <w:rsid w:val="005D3A57"/>
    <w:rsid w:val="005D4D88"/>
    <w:rsid w:val="005D511C"/>
    <w:rsid w:val="005D536D"/>
    <w:rsid w:val="005D5CFE"/>
    <w:rsid w:val="005D5DE2"/>
    <w:rsid w:val="005D6CDE"/>
    <w:rsid w:val="005E1BBD"/>
    <w:rsid w:val="005E210A"/>
    <w:rsid w:val="005E244D"/>
    <w:rsid w:val="005E459A"/>
    <w:rsid w:val="005E4763"/>
    <w:rsid w:val="005E4E82"/>
    <w:rsid w:val="005E5B07"/>
    <w:rsid w:val="005E7AC4"/>
    <w:rsid w:val="005F0C27"/>
    <w:rsid w:val="005F2A3A"/>
    <w:rsid w:val="005F449B"/>
    <w:rsid w:val="005F5A7E"/>
    <w:rsid w:val="005F604E"/>
    <w:rsid w:val="005F6A07"/>
    <w:rsid w:val="005F7661"/>
    <w:rsid w:val="006010F1"/>
    <w:rsid w:val="00601C2C"/>
    <w:rsid w:val="006026BA"/>
    <w:rsid w:val="00603C03"/>
    <w:rsid w:val="00605F22"/>
    <w:rsid w:val="0060681B"/>
    <w:rsid w:val="006073DF"/>
    <w:rsid w:val="006076C9"/>
    <w:rsid w:val="00610E15"/>
    <w:rsid w:val="00615D73"/>
    <w:rsid w:val="00617073"/>
    <w:rsid w:val="00621141"/>
    <w:rsid w:val="00621A6D"/>
    <w:rsid w:val="00622580"/>
    <w:rsid w:val="0062457B"/>
    <w:rsid w:val="00624B76"/>
    <w:rsid w:val="00630135"/>
    <w:rsid w:val="0063166D"/>
    <w:rsid w:val="006323B1"/>
    <w:rsid w:val="00632D70"/>
    <w:rsid w:val="006333BF"/>
    <w:rsid w:val="00635C5C"/>
    <w:rsid w:val="006364D9"/>
    <w:rsid w:val="006365BC"/>
    <w:rsid w:val="006369C5"/>
    <w:rsid w:val="00636A05"/>
    <w:rsid w:val="00636B74"/>
    <w:rsid w:val="00637BD6"/>
    <w:rsid w:val="00640C9B"/>
    <w:rsid w:val="0064253A"/>
    <w:rsid w:val="00643ABD"/>
    <w:rsid w:val="006442BF"/>
    <w:rsid w:val="00644C73"/>
    <w:rsid w:val="00644E4A"/>
    <w:rsid w:val="0064741D"/>
    <w:rsid w:val="00647D27"/>
    <w:rsid w:val="006545E5"/>
    <w:rsid w:val="006554CF"/>
    <w:rsid w:val="00656D5C"/>
    <w:rsid w:val="00661C3F"/>
    <w:rsid w:val="00662115"/>
    <w:rsid w:val="006622D2"/>
    <w:rsid w:val="006639B9"/>
    <w:rsid w:val="00664C2A"/>
    <w:rsid w:val="00664F4A"/>
    <w:rsid w:val="0066505C"/>
    <w:rsid w:val="00665487"/>
    <w:rsid w:val="00665A00"/>
    <w:rsid w:val="00666686"/>
    <w:rsid w:val="0066675C"/>
    <w:rsid w:val="006703DE"/>
    <w:rsid w:val="00670486"/>
    <w:rsid w:val="0067087E"/>
    <w:rsid w:val="006714A2"/>
    <w:rsid w:val="006728E7"/>
    <w:rsid w:val="00673DA9"/>
    <w:rsid w:val="00673F34"/>
    <w:rsid w:val="0067637D"/>
    <w:rsid w:val="0068038A"/>
    <w:rsid w:val="00683BD3"/>
    <w:rsid w:val="00684BB5"/>
    <w:rsid w:val="00685A2F"/>
    <w:rsid w:val="00690029"/>
    <w:rsid w:val="006906D1"/>
    <w:rsid w:val="00690B5F"/>
    <w:rsid w:val="00693BA7"/>
    <w:rsid w:val="00693C2E"/>
    <w:rsid w:val="006953DA"/>
    <w:rsid w:val="006A01E7"/>
    <w:rsid w:val="006A327A"/>
    <w:rsid w:val="006B01CD"/>
    <w:rsid w:val="006B1107"/>
    <w:rsid w:val="006B20E0"/>
    <w:rsid w:val="006B31F7"/>
    <w:rsid w:val="006B4938"/>
    <w:rsid w:val="006B5AA6"/>
    <w:rsid w:val="006B5F05"/>
    <w:rsid w:val="006B6915"/>
    <w:rsid w:val="006B6FBB"/>
    <w:rsid w:val="006B7823"/>
    <w:rsid w:val="006C07FF"/>
    <w:rsid w:val="006C09BF"/>
    <w:rsid w:val="006C1268"/>
    <w:rsid w:val="006C2FD3"/>
    <w:rsid w:val="006C4B9F"/>
    <w:rsid w:val="006C51A6"/>
    <w:rsid w:val="006C53E3"/>
    <w:rsid w:val="006C5B98"/>
    <w:rsid w:val="006C5C46"/>
    <w:rsid w:val="006C5EAD"/>
    <w:rsid w:val="006C610A"/>
    <w:rsid w:val="006C6942"/>
    <w:rsid w:val="006C6948"/>
    <w:rsid w:val="006D0DBB"/>
    <w:rsid w:val="006D104F"/>
    <w:rsid w:val="006D19C8"/>
    <w:rsid w:val="006D3E11"/>
    <w:rsid w:val="006D5AFA"/>
    <w:rsid w:val="006E046D"/>
    <w:rsid w:val="006E2E67"/>
    <w:rsid w:val="006E355D"/>
    <w:rsid w:val="006E4C34"/>
    <w:rsid w:val="006E608D"/>
    <w:rsid w:val="006E60AA"/>
    <w:rsid w:val="006E7978"/>
    <w:rsid w:val="006E7B47"/>
    <w:rsid w:val="006F0154"/>
    <w:rsid w:val="006F32E6"/>
    <w:rsid w:val="006F5782"/>
    <w:rsid w:val="006F66AA"/>
    <w:rsid w:val="006F7080"/>
    <w:rsid w:val="00700209"/>
    <w:rsid w:val="00702354"/>
    <w:rsid w:val="00703416"/>
    <w:rsid w:val="00703D05"/>
    <w:rsid w:val="007048A0"/>
    <w:rsid w:val="007057F6"/>
    <w:rsid w:val="00705EDF"/>
    <w:rsid w:val="00706F51"/>
    <w:rsid w:val="00711052"/>
    <w:rsid w:val="00712645"/>
    <w:rsid w:val="00712CE8"/>
    <w:rsid w:val="007150EA"/>
    <w:rsid w:val="007166C8"/>
    <w:rsid w:val="00716768"/>
    <w:rsid w:val="00716D93"/>
    <w:rsid w:val="007205AD"/>
    <w:rsid w:val="007228AA"/>
    <w:rsid w:val="00722F2A"/>
    <w:rsid w:val="007232DF"/>
    <w:rsid w:val="0072346D"/>
    <w:rsid w:val="00724664"/>
    <w:rsid w:val="00724BF2"/>
    <w:rsid w:val="00725E35"/>
    <w:rsid w:val="00726197"/>
    <w:rsid w:val="00726C96"/>
    <w:rsid w:val="00731309"/>
    <w:rsid w:val="00732135"/>
    <w:rsid w:val="00732782"/>
    <w:rsid w:val="00733D26"/>
    <w:rsid w:val="007344F8"/>
    <w:rsid w:val="00734861"/>
    <w:rsid w:val="00735B29"/>
    <w:rsid w:val="007363A1"/>
    <w:rsid w:val="007370DA"/>
    <w:rsid w:val="00740B8E"/>
    <w:rsid w:val="0074234C"/>
    <w:rsid w:val="0074243A"/>
    <w:rsid w:val="0074285F"/>
    <w:rsid w:val="00743049"/>
    <w:rsid w:val="00744362"/>
    <w:rsid w:val="00745BEF"/>
    <w:rsid w:val="00745EBD"/>
    <w:rsid w:val="00746570"/>
    <w:rsid w:val="007530E5"/>
    <w:rsid w:val="00753933"/>
    <w:rsid w:val="00753952"/>
    <w:rsid w:val="00754BA2"/>
    <w:rsid w:val="00756991"/>
    <w:rsid w:val="00756DCC"/>
    <w:rsid w:val="00761B0F"/>
    <w:rsid w:val="00761CC5"/>
    <w:rsid w:val="007667E0"/>
    <w:rsid w:val="00770091"/>
    <w:rsid w:val="007712D8"/>
    <w:rsid w:val="00772A76"/>
    <w:rsid w:val="00772C81"/>
    <w:rsid w:val="00773748"/>
    <w:rsid w:val="00773D8D"/>
    <w:rsid w:val="00774397"/>
    <w:rsid w:val="00775A2B"/>
    <w:rsid w:val="00776ECC"/>
    <w:rsid w:val="00783110"/>
    <w:rsid w:val="00785DFA"/>
    <w:rsid w:val="00791DB2"/>
    <w:rsid w:val="00792F12"/>
    <w:rsid w:val="00795019"/>
    <w:rsid w:val="00795DA1"/>
    <w:rsid w:val="0079671B"/>
    <w:rsid w:val="007A00CA"/>
    <w:rsid w:val="007A1B65"/>
    <w:rsid w:val="007A4A5A"/>
    <w:rsid w:val="007A5409"/>
    <w:rsid w:val="007A7C5C"/>
    <w:rsid w:val="007A7FB3"/>
    <w:rsid w:val="007B0EB5"/>
    <w:rsid w:val="007B16CA"/>
    <w:rsid w:val="007B190B"/>
    <w:rsid w:val="007B21CF"/>
    <w:rsid w:val="007B345D"/>
    <w:rsid w:val="007B358D"/>
    <w:rsid w:val="007B42BC"/>
    <w:rsid w:val="007B59BB"/>
    <w:rsid w:val="007B6276"/>
    <w:rsid w:val="007B715D"/>
    <w:rsid w:val="007C0718"/>
    <w:rsid w:val="007C3153"/>
    <w:rsid w:val="007C5053"/>
    <w:rsid w:val="007C6199"/>
    <w:rsid w:val="007C71A1"/>
    <w:rsid w:val="007D206E"/>
    <w:rsid w:val="007D3568"/>
    <w:rsid w:val="007D40C9"/>
    <w:rsid w:val="007D6579"/>
    <w:rsid w:val="007E000B"/>
    <w:rsid w:val="007E0057"/>
    <w:rsid w:val="007E204D"/>
    <w:rsid w:val="007E2258"/>
    <w:rsid w:val="007E3D1B"/>
    <w:rsid w:val="007E71B9"/>
    <w:rsid w:val="007E7536"/>
    <w:rsid w:val="007F0844"/>
    <w:rsid w:val="007F0CDC"/>
    <w:rsid w:val="007F5975"/>
    <w:rsid w:val="007F5C6E"/>
    <w:rsid w:val="007F6319"/>
    <w:rsid w:val="007F6CDF"/>
    <w:rsid w:val="008008CA"/>
    <w:rsid w:val="00803610"/>
    <w:rsid w:val="00805963"/>
    <w:rsid w:val="008077F9"/>
    <w:rsid w:val="008078B3"/>
    <w:rsid w:val="0081193F"/>
    <w:rsid w:val="00816433"/>
    <w:rsid w:val="008169B6"/>
    <w:rsid w:val="00817A9B"/>
    <w:rsid w:val="0082437D"/>
    <w:rsid w:val="00824402"/>
    <w:rsid w:val="008246A8"/>
    <w:rsid w:val="00824755"/>
    <w:rsid w:val="00826A5C"/>
    <w:rsid w:val="0082700B"/>
    <w:rsid w:val="00827772"/>
    <w:rsid w:val="00827EC4"/>
    <w:rsid w:val="00832F2E"/>
    <w:rsid w:val="00835249"/>
    <w:rsid w:val="00836CD4"/>
    <w:rsid w:val="00836FB6"/>
    <w:rsid w:val="00837AE2"/>
    <w:rsid w:val="008446BA"/>
    <w:rsid w:val="0084472E"/>
    <w:rsid w:val="008461BF"/>
    <w:rsid w:val="00850F6B"/>
    <w:rsid w:val="0085446F"/>
    <w:rsid w:val="008552C6"/>
    <w:rsid w:val="008568A5"/>
    <w:rsid w:val="00857316"/>
    <w:rsid w:val="00857DC8"/>
    <w:rsid w:val="008611C5"/>
    <w:rsid w:val="008700BF"/>
    <w:rsid w:val="0087116B"/>
    <w:rsid w:val="008744FF"/>
    <w:rsid w:val="00875DB5"/>
    <w:rsid w:val="008760D2"/>
    <w:rsid w:val="008764EB"/>
    <w:rsid w:val="00876ACB"/>
    <w:rsid w:val="00880C14"/>
    <w:rsid w:val="00881809"/>
    <w:rsid w:val="008818CF"/>
    <w:rsid w:val="00883449"/>
    <w:rsid w:val="008834DB"/>
    <w:rsid w:val="008839A5"/>
    <w:rsid w:val="00884116"/>
    <w:rsid w:val="00886237"/>
    <w:rsid w:val="0088699A"/>
    <w:rsid w:val="008909AB"/>
    <w:rsid w:val="00891045"/>
    <w:rsid w:val="00891532"/>
    <w:rsid w:val="0089354D"/>
    <w:rsid w:val="00894FBD"/>
    <w:rsid w:val="008951B0"/>
    <w:rsid w:val="008953AF"/>
    <w:rsid w:val="00895533"/>
    <w:rsid w:val="008956BA"/>
    <w:rsid w:val="00895F09"/>
    <w:rsid w:val="008A182A"/>
    <w:rsid w:val="008A1B97"/>
    <w:rsid w:val="008A3EE7"/>
    <w:rsid w:val="008A6E7D"/>
    <w:rsid w:val="008A7097"/>
    <w:rsid w:val="008B29FF"/>
    <w:rsid w:val="008B2F25"/>
    <w:rsid w:val="008B701B"/>
    <w:rsid w:val="008C0094"/>
    <w:rsid w:val="008C09FA"/>
    <w:rsid w:val="008C205F"/>
    <w:rsid w:val="008C5710"/>
    <w:rsid w:val="008D13E4"/>
    <w:rsid w:val="008D54C6"/>
    <w:rsid w:val="008D5A77"/>
    <w:rsid w:val="008D6B9A"/>
    <w:rsid w:val="008D753F"/>
    <w:rsid w:val="008E0413"/>
    <w:rsid w:val="008E47A0"/>
    <w:rsid w:val="008E4FF0"/>
    <w:rsid w:val="008E6431"/>
    <w:rsid w:val="008E673B"/>
    <w:rsid w:val="008E6B1E"/>
    <w:rsid w:val="008E7235"/>
    <w:rsid w:val="008F0049"/>
    <w:rsid w:val="008F0E9A"/>
    <w:rsid w:val="008F3768"/>
    <w:rsid w:val="008F4056"/>
    <w:rsid w:val="008F659A"/>
    <w:rsid w:val="008F69AD"/>
    <w:rsid w:val="008F7593"/>
    <w:rsid w:val="00900425"/>
    <w:rsid w:val="0090087C"/>
    <w:rsid w:val="00904C07"/>
    <w:rsid w:val="009050C0"/>
    <w:rsid w:val="00906225"/>
    <w:rsid w:val="009064F7"/>
    <w:rsid w:val="009079CF"/>
    <w:rsid w:val="00912A60"/>
    <w:rsid w:val="00913FBC"/>
    <w:rsid w:val="00914472"/>
    <w:rsid w:val="00914FA6"/>
    <w:rsid w:val="00915294"/>
    <w:rsid w:val="009170B9"/>
    <w:rsid w:val="00920946"/>
    <w:rsid w:val="00920CD2"/>
    <w:rsid w:val="00922E48"/>
    <w:rsid w:val="00923EEA"/>
    <w:rsid w:val="00924401"/>
    <w:rsid w:val="00924F65"/>
    <w:rsid w:val="009306B3"/>
    <w:rsid w:val="00931682"/>
    <w:rsid w:val="009327E9"/>
    <w:rsid w:val="00933025"/>
    <w:rsid w:val="009347D5"/>
    <w:rsid w:val="00936680"/>
    <w:rsid w:val="00937786"/>
    <w:rsid w:val="00937EC2"/>
    <w:rsid w:val="00943390"/>
    <w:rsid w:val="0094559A"/>
    <w:rsid w:val="00945BF4"/>
    <w:rsid w:val="00947025"/>
    <w:rsid w:val="00951599"/>
    <w:rsid w:val="00951A27"/>
    <w:rsid w:val="00954159"/>
    <w:rsid w:val="00954ECF"/>
    <w:rsid w:val="0095546A"/>
    <w:rsid w:val="009567DE"/>
    <w:rsid w:val="00960DCE"/>
    <w:rsid w:val="0096151E"/>
    <w:rsid w:val="009660FA"/>
    <w:rsid w:val="00967F01"/>
    <w:rsid w:val="009703BD"/>
    <w:rsid w:val="00970EAE"/>
    <w:rsid w:val="00971509"/>
    <w:rsid w:val="00972731"/>
    <w:rsid w:val="0097415C"/>
    <w:rsid w:val="009743B4"/>
    <w:rsid w:val="00974BFD"/>
    <w:rsid w:val="00975159"/>
    <w:rsid w:val="00982AB8"/>
    <w:rsid w:val="00982E6E"/>
    <w:rsid w:val="009835B1"/>
    <w:rsid w:val="00983765"/>
    <w:rsid w:val="00984899"/>
    <w:rsid w:val="00984BF5"/>
    <w:rsid w:val="00985053"/>
    <w:rsid w:val="00986A36"/>
    <w:rsid w:val="00986A66"/>
    <w:rsid w:val="009902EB"/>
    <w:rsid w:val="009902F4"/>
    <w:rsid w:val="0099117A"/>
    <w:rsid w:val="00992202"/>
    <w:rsid w:val="00992E06"/>
    <w:rsid w:val="00992F5D"/>
    <w:rsid w:val="0099460C"/>
    <w:rsid w:val="009952CE"/>
    <w:rsid w:val="009975E3"/>
    <w:rsid w:val="00997B46"/>
    <w:rsid w:val="009A0FF9"/>
    <w:rsid w:val="009A393E"/>
    <w:rsid w:val="009A4533"/>
    <w:rsid w:val="009A460E"/>
    <w:rsid w:val="009A46FE"/>
    <w:rsid w:val="009A6689"/>
    <w:rsid w:val="009A7005"/>
    <w:rsid w:val="009B1AEA"/>
    <w:rsid w:val="009B4728"/>
    <w:rsid w:val="009B569A"/>
    <w:rsid w:val="009B5F08"/>
    <w:rsid w:val="009C0329"/>
    <w:rsid w:val="009C2D12"/>
    <w:rsid w:val="009C30A9"/>
    <w:rsid w:val="009C38CA"/>
    <w:rsid w:val="009C3B91"/>
    <w:rsid w:val="009C3F3D"/>
    <w:rsid w:val="009C437F"/>
    <w:rsid w:val="009C53E0"/>
    <w:rsid w:val="009C5400"/>
    <w:rsid w:val="009C653C"/>
    <w:rsid w:val="009C6ECE"/>
    <w:rsid w:val="009C741C"/>
    <w:rsid w:val="009C7B8A"/>
    <w:rsid w:val="009C7CDB"/>
    <w:rsid w:val="009D0471"/>
    <w:rsid w:val="009D3576"/>
    <w:rsid w:val="009D3734"/>
    <w:rsid w:val="009D4408"/>
    <w:rsid w:val="009D4CB0"/>
    <w:rsid w:val="009E233C"/>
    <w:rsid w:val="009E24E0"/>
    <w:rsid w:val="009E2EB5"/>
    <w:rsid w:val="009E325F"/>
    <w:rsid w:val="009E38DF"/>
    <w:rsid w:val="009E5E73"/>
    <w:rsid w:val="009E657A"/>
    <w:rsid w:val="009E6622"/>
    <w:rsid w:val="009F01A9"/>
    <w:rsid w:val="009F0E48"/>
    <w:rsid w:val="009F120D"/>
    <w:rsid w:val="009F441B"/>
    <w:rsid w:val="009F4640"/>
    <w:rsid w:val="009F4768"/>
    <w:rsid w:val="009F5AF1"/>
    <w:rsid w:val="009F5D73"/>
    <w:rsid w:val="009F5DAE"/>
    <w:rsid w:val="009F7CA8"/>
    <w:rsid w:val="00A01705"/>
    <w:rsid w:val="00A01D6E"/>
    <w:rsid w:val="00A01DD3"/>
    <w:rsid w:val="00A01F3F"/>
    <w:rsid w:val="00A02568"/>
    <w:rsid w:val="00A04C10"/>
    <w:rsid w:val="00A04E11"/>
    <w:rsid w:val="00A069B2"/>
    <w:rsid w:val="00A1001D"/>
    <w:rsid w:val="00A1118A"/>
    <w:rsid w:val="00A140AC"/>
    <w:rsid w:val="00A145FD"/>
    <w:rsid w:val="00A20B6C"/>
    <w:rsid w:val="00A216D8"/>
    <w:rsid w:val="00A21E0F"/>
    <w:rsid w:val="00A2213B"/>
    <w:rsid w:val="00A245DB"/>
    <w:rsid w:val="00A24CFC"/>
    <w:rsid w:val="00A25055"/>
    <w:rsid w:val="00A2708E"/>
    <w:rsid w:val="00A318AA"/>
    <w:rsid w:val="00A3239F"/>
    <w:rsid w:val="00A3282C"/>
    <w:rsid w:val="00A340F4"/>
    <w:rsid w:val="00A35E6D"/>
    <w:rsid w:val="00A367E9"/>
    <w:rsid w:val="00A375F7"/>
    <w:rsid w:val="00A37BFC"/>
    <w:rsid w:val="00A4029E"/>
    <w:rsid w:val="00A4071B"/>
    <w:rsid w:val="00A422A1"/>
    <w:rsid w:val="00A45742"/>
    <w:rsid w:val="00A464C9"/>
    <w:rsid w:val="00A468EF"/>
    <w:rsid w:val="00A46BA7"/>
    <w:rsid w:val="00A47E4B"/>
    <w:rsid w:val="00A50C9D"/>
    <w:rsid w:val="00A51A3E"/>
    <w:rsid w:val="00A51FA2"/>
    <w:rsid w:val="00A54CC8"/>
    <w:rsid w:val="00A55B10"/>
    <w:rsid w:val="00A564E5"/>
    <w:rsid w:val="00A57E71"/>
    <w:rsid w:val="00A60197"/>
    <w:rsid w:val="00A625EF"/>
    <w:rsid w:val="00A63AE7"/>
    <w:rsid w:val="00A63F78"/>
    <w:rsid w:val="00A64658"/>
    <w:rsid w:val="00A71D68"/>
    <w:rsid w:val="00A71FE0"/>
    <w:rsid w:val="00A72DCD"/>
    <w:rsid w:val="00A72F89"/>
    <w:rsid w:val="00A7309C"/>
    <w:rsid w:val="00A73EBE"/>
    <w:rsid w:val="00A741FF"/>
    <w:rsid w:val="00A74D2D"/>
    <w:rsid w:val="00A74F35"/>
    <w:rsid w:val="00A759FC"/>
    <w:rsid w:val="00A75D26"/>
    <w:rsid w:val="00A77B77"/>
    <w:rsid w:val="00A8001F"/>
    <w:rsid w:val="00A82F6D"/>
    <w:rsid w:val="00A83F9E"/>
    <w:rsid w:val="00A8411E"/>
    <w:rsid w:val="00A85F6E"/>
    <w:rsid w:val="00A8787E"/>
    <w:rsid w:val="00A9011D"/>
    <w:rsid w:val="00A903CA"/>
    <w:rsid w:val="00A90EAA"/>
    <w:rsid w:val="00A920B1"/>
    <w:rsid w:val="00A92246"/>
    <w:rsid w:val="00A9249C"/>
    <w:rsid w:val="00A93BD3"/>
    <w:rsid w:val="00A94076"/>
    <w:rsid w:val="00A94270"/>
    <w:rsid w:val="00A9505E"/>
    <w:rsid w:val="00AA3B41"/>
    <w:rsid w:val="00AA66AB"/>
    <w:rsid w:val="00AB1AD7"/>
    <w:rsid w:val="00AB2910"/>
    <w:rsid w:val="00AB2FBC"/>
    <w:rsid w:val="00AB45E8"/>
    <w:rsid w:val="00AB5155"/>
    <w:rsid w:val="00AB5972"/>
    <w:rsid w:val="00AB5AAB"/>
    <w:rsid w:val="00AB5C7B"/>
    <w:rsid w:val="00AB645E"/>
    <w:rsid w:val="00AB6C1D"/>
    <w:rsid w:val="00AB73AE"/>
    <w:rsid w:val="00AC0C8B"/>
    <w:rsid w:val="00AC449D"/>
    <w:rsid w:val="00AC48A0"/>
    <w:rsid w:val="00AC5EEF"/>
    <w:rsid w:val="00AC6442"/>
    <w:rsid w:val="00AC6E52"/>
    <w:rsid w:val="00AC7733"/>
    <w:rsid w:val="00AD14A2"/>
    <w:rsid w:val="00AD192E"/>
    <w:rsid w:val="00AD22BC"/>
    <w:rsid w:val="00AD6108"/>
    <w:rsid w:val="00AE063B"/>
    <w:rsid w:val="00AE1594"/>
    <w:rsid w:val="00AE1C64"/>
    <w:rsid w:val="00AE1D2D"/>
    <w:rsid w:val="00AE1D87"/>
    <w:rsid w:val="00AE4499"/>
    <w:rsid w:val="00AE5815"/>
    <w:rsid w:val="00AE6381"/>
    <w:rsid w:val="00AF1ABB"/>
    <w:rsid w:val="00AF2261"/>
    <w:rsid w:val="00AF29A8"/>
    <w:rsid w:val="00AF2B65"/>
    <w:rsid w:val="00AF3B56"/>
    <w:rsid w:val="00AF4EB7"/>
    <w:rsid w:val="00AF611A"/>
    <w:rsid w:val="00AF69E1"/>
    <w:rsid w:val="00AF70C4"/>
    <w:rsid w:val="00AF73E9"/>
    <w:rsid w:val="00B002DE"/>
    <w:rsid w:val="00B037C7"/>
    <w:rsid w:val="00B0392C"/>
    <w:rsid w:val="00B040FA"/>
    <w:rsid w:val="00B0430F"/>
    <w:rsid w:val="00B0516F"/>
    <w:rsid w:val="00B05797"/>
    <w:rsid w:val="00B05DF5"/>
    <w:rsid w:val="00B069AB"/>
    <w:rsid w:val="00B10E89"/>
    <w:rsid w:val="00B123B4"/>
    <w:rsid w:val="00B13DAC"/>
    <w:rsid w:val="00B1410A"/>
    <w:rsid w:val="00B14A2B"/>
    <w:rsid w:val="00B17530"/>
    <w:rsid w:val="00B205DF"/>
    <w:rsid w:val="00B21AFD"/>
    <w:rsid w:val="00B2439A"/>
    <w:rsid w:val="00B244C9"/>
    <w:rsid w:val="00B24845"/>
    <w:rsid w:val="00B24D55"/>
    <w:rsid w:val="00B250F6"/>
    <w:rsid w:val="00B25311"/>
    <w:rsid w:val="00B26E99"/>
    <w:rsid w:val="00B27979"/>
    <w:rsid w:val="00B307FB"/>
    <w:rsid w:val="00B31C6C"/>
    <w:rsid w:val="00B34F52"/>
    <w:rsid w:val="00B37154"/>
    <w:rsid w:val="00B44039"/>
    <w:rsid w:val="00B4496D"/>
    <w:rsid w:val="00B46025"/>
    <w:rsid w:val="00B50365"/>
    <w:rsid w:val="00B50A10"/>
    <w:rsid w:val="00B50DC2"/>
    <w:rsid w:val="00B50EF5"/>
    <w:rsid w:val="00B52CBC"/>
    <w:rsid w:val="00B54668"/>
    <w:rsid w:val="00B54C00"/>
    <w:rsid w:val="00B5520A"/>
    <w:rsid w:val="00B55DA3"/>
    <w:rsid w:val="00B604EA"/>
    <w:rsid w:val="00B6275B"/>
    <w:rsid w:val="00B62BEF"/>
    <w:rsid w:val="00B635C4"/>
    <w:rsid w:val="00B63A39"/>
    <w:rsid w:val="00B654CC"/>
    <w:rsid w:val="00B65ADC"/>
    <w:rsid w:val="00B666DC"/>
    <w:rsid w:val="00B66C27"/>
    <w:rsid w:val="00B71875"/>
    <w:rsid w:val="00B76D80"/>
    <w:rsid w:val="00B77418"/>
    <w:rsid w:val="00B77C7D"/>
    <w:rsid w:val="00B82299"/>
    <w:rsid w:val="00B84660"/>
    <w:rsid w:val="00B925AC"/>
    <w:rsid w:val="00B926C8"/>
    <w:rsid w:val="00B929C6"/>
    <w:rsid w:val="00B93305"/>
    <w:rsid w:val="00B93738"/>
    <w:rsid w:val="00B937F5"/>
    <w:rsid w:val="00B93C19"/>
    <w:rsid w:val="00B93E29"/>
    <w:rsid w:val="00B94A21"/>
    <w:rsid w:val="00BA0379"/>
    <w:rsid w:val="00BA0414"/>
    <w:rsid w:val="00BA31B7"/>
    <w:rsid w:val="00BA340F"/>
    <w:rsid w:val="00BA4004"/>
    <w:rsid w:val="00BA493C"/>
    <w:rsid w:val="00BA4BE5"/>
    <w:rsid w:val="00BA5A03"/>
    <w:rsid w:val="00BA646E"/>
    <w:rsid w:val="00BA6B8C"/>
    <w:rsid w:val="00BB0FD1"/>
    <w:rsid w:val="00BB21B6"/>
    <w:rsid w:val="00BB3168"/>
    <w:rsid w:val="00BB3424"/>
    <w:rsid w:val="00BB36C9"/>
    <w:rsid w:val="00BB3C40"/>
    <w:rsid w:val="00BB4565"/>
    <w:rsid w:val="00BB5737"/>
    <w:rsid w:val="00BC15BC"/>
    <w:rsid w:val="00BC5BF3"/>
    <w:rsid w:val="00BC71C2"/>
    <w:rsid w:val="00BC7F08"/>
    <w:rsid w:val="00BD23B0"/>
    <w:rsid w:val="00BD3AB4"/>
    <w:rsid w:val="00BE17D6"/>
    <w:rsid w:val="00BE2CBE"/>
    <w:rsid w:val="00BE2F50"/>
    <w:rsid w:val="00BE5BB9"/>
    <w:rsid w:val="00BE680A"/>
    <w:rsid w:val="00BF20CE"/>
    <w:rsid w:val="00BF311B"/>
    <w:rsid w:val="00BF3489"/>
    <w:rsid w:val="00BF36AA"/>
    <w:rsid w:val="00BF3C40"/>
    <w:rsid w:val="00BF45AC"/>
    <w:rsid w:val="00BF7439"/>
    <w:rsid w:val="00BF743F"/>
    <w:rsid w:val="00BF76B2"/>
    <w:rsid w:val="00BF7C60"/>
    <w:rsid w:val="00C00608"/>
    <w:rsid w:val="00C00D0C"/>
    <w:rsid w:val="00C035D8"/>
    <w:rsid w:val="00C03F51"/>
    <w:rsid w:val="00C044D0"/>
    <w:rsid w:val="00C04EC3"/>
    <w:rsid w:val="00C07536"/>
    <w:rsid w:val="00C10208"/>
    <w:rsid w:val="00C104ED"/>
    <w:rsid w:val="00C127EF"/>
    <w:rsid w:val="00C20E17"/>
    <w:rsid w:val="00C22C50"/>
    <w:rsid w:val="00C236A2"/>
    <w:rsid w:val="00C26040"/>
    <w:rsid w:val="00C26B2B"/>
    <w:rsid w:val="00C275CB"/>
    <w:rsid w:val="00C329EC"/>
    <w:rsid w:val="00C33AEC"/>
    <w:rsid w:val="00C33F66"/>
    <w:rsid w:val="00C34760"/>
    <w:rsid w:val="00C352B4"/>
    <w:rsid w:val="00C35921"/>
    <w:rsid w:val="00C40619"/>
    <w:rsid w:val="00C4079C"/>
    <w:rsid w:val="00C40ED0"/>
    <w:rsid w:val="00C42979"/>
    <w:rsid w:val="00C43ACD"/>
    <w:rsid w:val="00C45539"/>
    <w:rsid w:val="00C4570D"/>
    <w:rsid w:val="00C46D18"/>
    <w:rsid w:val="00C524D8"/>
    <w:rsid w:val="00C5444A"/>
    <w:rsid w:val="00C5455C"/>
    <w:rsid w:val="00C5561F"/>
    <w:rsid w:val="00C559CB"/>
    <w:rsid w:val="00C56731"/>
    <w:rsid w:val="00C571BC"/>
    <w:rsid w:val="00C578D1"/>
    <w:rsid w:val="00C57B14"/>
    <w:rsid w:val="00C60C50"/>
    <w:rsid w:val="00C62312"/>
    <w:rsid w:val="00C6529B"/>
    <w:rsid w:val="00C66505"/>
    <w:rsid w:val="00C71AC3"/>
    <w:rsid w:val="00C734DD"/>
    <w:rsid w:val="00C73D9D"/>
    <w:rsid w:val="00C75A24"/>
    <w:rsid w:val="00C75B65"/>
    <w:rsid w:val="00C75C11"/>
    <w:rsid w:val="00C763A6"/>
    <w:rsid w:val="00C77F21"/>
    <w:rsid w:val="00C812E6"/>
    <w:rsid w:val="00C842E9"/>
    <w:rsid w:val="00C8684B"/>
    <w:rsid w:val="00C87141"/>
    <w:rsid w:val="00C87F81"/>
    <w:rsid w:val="00C9031C"/>
    <w:rsid w:val="00C91C2A"/>
    <w:rsid w:val="00C9462A"/>
    <w:rsid w:val="00C94824"/>
    <w:rsid w:val="00C95C1D"/>
    <w:rsid w:val="00C95C67"/>
    <w:rsid w:val="00CA1207"/>
    <w:rsid w:val="00CA266B"/>
    <w:rsid w:val="00CA3F43"/>
    <w:rsid w:val="00CA528B"/>
    <w:rsid w:val="00CB0A08"/>
    <w:rsid w:val="00CB0FCD"/>
    <w:rsid w:val="00CB2FA5"/>
    <w:rsid w:val="00CB3CF2"/>
    <w:rsid w:val="00CB4FBF"/>
    <w:rsid w:val="00CB6150"/>
    <w:rsid w:val="00CB7116"/>
    <w:rsid w:val="00CC10A3"/>
    <w:rsid w:val="00CC2C2C"/>
    <w:rsid w:val="00CC2E94"/>
    <w:rsid w:val="00CC3746"/>
    <w:rsid w:val="00CC440D"/>
    <w:rsid w:val="00CC4CC0"/>
    <w:rsid w:val="00CC4E67"/>
    <w:rsid w:val="00CC62D1"/>
    <w:rsid w:val="00CC71C2"/>
    <w:rsid w:val="00CC7613"/>
    <w:rsid w:val="00CD0071"/>
    <w:rsid w:val="00CD0C1B"/>
    <w:rsid w:val="00CD14D8"/>
    <w:rsid w:val="00CD20E8"/>
    <w:rsid w:val="00CD4784"/>
    <w:rsid w:val="00CD5367"/>
    <w:rsid w:val="00CD582F"/>
    <w:rsid w:val="00CD7F57"/>
    <w:rsid w:val="00CE0F3A"/>
    <w:rsid w:val="00CE21D8"/>
    <w:rsid w:val="00CE3E6B"/>
    <w:rsid w:val="00CE46DF"/>
    <w:rsid w:val="00CF0CFD"/>
    <w:rsid w:val="00CF2F9A"/>
    <w:rsid w:val="00CF3B4F"/>
    <w:rsid w:val="00CF519C"/>
    <w:rsid w:val="00CF6E47"/>
    <w:rsid w:val="00D01888"/>
    <w:rsid w:val="00D029F9"/>
    <w:rsid w:val="00D04527"/>
    <w:rsid w:val="00D066FB"/>
    <w:rsid w:val="00D06E52"/>
    <w:rsid w:val="00D078B9"/>
    <w:rsid w:val="00D10043"/>
    <w:rsid w:val="00D10652"/>
    <w:rsid w:val="00D10696"/>
    <w:rsid w:val="00D12874"/>
    <w:rsid w:val="00D140BD"/>
    <w:rsid w:val="00D14233"/>
    <w:rsid w:val="00D14DA8"/>
    <w:rsid w:val="00D20BBD"/>
    <w:rsid w:val="00D2191C"/>
    <w:rsid w:val="00D2209E"/>
    <w:rsid w:val="00D25A8A"/>
    <w:rsid w:val="00D25DCA"/>
    <w:rsid w:val="00D267CD"/>
    <w:rsid w:val="00D26885"/>
    <w:rsid w:val="00D277E3"/>
    <w:rsid w:val="00D27FC8"/>
    <w:rsid w:val="00D31164"/>
    <w:rsid w:val="00D3131E"/>
    <w:rsid w:val="00D31624"/>
    <w:rsid w:val="00D323B2"/>
    <w:rsid w:val="00D34D67"/>
    <w:rsid w:val="00D356DB"/>
    <w:rsid w:val="00D367E3"/>
    <w:rsid w:val="00D37B50"/>
    <w:rsid w:val="00D41135"/>
    <w:rsid w:val="00D42767"/>
    <w:rsid w:val="00D45645"/>
    <w:rsid w:val="00D51E2B"/>
    <w:rsid w:val="00D5288E"/>
    <w:rsid w:val="00D530CF"/>
    <w:rsid w:val="00D53410"/>
    <w:rsid w:val="00D541C6"/>
    <w:rsid w:val="00D54742"/>
    <w:rsid w:val="00D55180"/>
    <w:rsid w:val="00D5530C"/>
    <w:rsid w:val="00D5532C"/>
    <w:rsid w:val="00D56AB8"/>
    <w:rsid w:val="00D56DAC"/>
    <w:rsid w:val="00D577DD"/>
    <w:rsid w:val="00D57BBD"/>
    <w:rsid w:val="00D61FFB"/>
    <w:rsid w:val="00D62287"/>
    <w:rsid w:val="00D63216"/>
    <w:rsid w:val="00D65174"/>
    <w:rsid w:val="00D65481"/>
    <w:rsid w:val="00D67774"/>
    <w:rsid w:val="00D733E5"/>
    <w:rsid w:val="00D736CF"/>
    <w:rsid w:val="00D73D67"/>
    <w:rsid w:val="00D74516"/>
    <w:rsid w:val="00D74DCE"/>
    <w:rsid w:val="00D74F76"/>
    <w:rsid w:val="00D76A26"/>
    <w:rsid w:val="00D773D9"/>
    <w:rsid w:val="00D80C04"/>
    <w:rsid w:val="00D81400"/>
    <w:rsid w:val="00D823EE"/>
    <w:rsid w:val="00D831D7"/>
    <w:rsid w:val="00D8407A"/>
    <w:rsid w:val="00D86F96"/>
    <w:rsid w:val="00D90B4E"/>
    <w:rsid w:val="00D916EA"/>
    <w:rsid w:val="00D946B4"/>
    <w:rsid w:val="00D9580B"/>
    <w:rsid w:val="00D9619F"/>
    <w:rsid w:val="00D971F2"/>
    <w:rsid w:val="00DA1436"/>
    <w:rsid w:val="00DA2BED"/>
    <w:rsid w:val="00DA2DC3"/>
    <w:rsid w:val="00DA3951"/>
    <w:rsid w:val="00DA4D97"/>
    <w:rsid w:val="00DA73E6"/>
    <w:rsid w:val="00DB37F1"/>
    <w:rsid w:val="00DB45C8"/>
    <w:rsid w:val="00DB46C7"/>
    <w:rsid w:val="00DB4E58"/>
    <w:rsid w:val="00DB586B"/>
    <w:rsid w:val="00DC074A"/>
    <w:rsid w:val="00DC1656"/>
    <w:rsid w:val="00DC16AB"/>
    <w:rsid w:val="00DC1C36"/>
    <w:rsid w:val="00DC1CA7"/>
    <w:rsid w:val="00DC213A"/>
    <w:rsid w:val="00DC2BC5"/>
    <w:rsid w:val="00DC4671"/>
    <w:rsid w:val="00DC5A28"/>
    <w:rsid w:val="00DC67E4"/>
    <w:rsid w:val="00DC6A72"/>
    <w:rsid w:val="00DC7CF0"/>
    <w:rsid w:val="00DD1F9F"/>
    <w:rsid w:val="00DD2016"/>
    <w:rsid w:val="00DD2070"/>
    <w:rsid w:val="00DD2B90"/>
    <w:rsid w:val="00DD3ACC"/>
    <w:rsid w:val="00DD4737"/>
    <w:rsid w:val="00DD5224"/>
    <w:rsid w:val="00DD607A"/>
    <w:rsid w:val="00DD6189"/>
    <w:rsid w:val="00DD6AE8"/>
    <w:rsid w:val="00DD738A"/>
    <w:rsid w:val="00DD7653"/>
    <w:rsid w:val="00DE0645"/>
    <w:rsid w:val="00DE2A3A"/>
    <w:rsid w:val="00DE2A89"/>
    <w:rsid w:val="00DE4F4E"/>
    <w:rsid w:val="00DE515D"/>
    <w:rsid w:val="00DE5765"/>
    <w:rsid w:val="00DE62B3"/>
    <w:rsid w:val="00DF16D7"/>
    <w:rsid w:val="00DF2F56"/>
    <w:rsid w:val="00DF4477"/>
    <w:rsid w:val="00DF532C"/>
    <w:rsid w:val="00E02984"/>
    <w:rsid w:val="00E02F4E"/>
    <w:rsid w:val="00E06236"/>
    <w:rsid w:val="00E068D8"/>
    <w:rsid w:val="00E069AD"/>
    <w:rsid w:val="00E07AA9"/>
    <w:rsid w:val="00E07BB9"/>
    <w:rsid w:val="00E13C18"/>
    <w:rsid w:val="00E13FBE"/>
    <w:rsid w:val="00E14CC3"/>
    <w:rsid w:val="00E16834"/>
    <w:rsid w:val="00E16A25"/>
    <w:rsid w:val="00E16BAB"/>
    <w:rsid w:val="00E2020A"/>
    <w:rsid w:val="00E20849"/>
    <w:rsid w:val="00E21FAF"/>
    <w:rsid w:val="00E23AE6"/>
    <w:rsid w:val="00E23E2E"/>
    <w:rsid w:val="00E24303"/>
    <w:rsid w:val="00E248AD"/>
    <w:rsid w:val="00E24F0D"/>
    <w:rsid w:val="00E2531A"/>
    <w:rsid w:val="00E262C3"/>
    <w:rsid w:val="00E26B38"/>
    <w:rsid w:val="00E314D4"/>
    <w:rsid w:val="00E315BA"/>
    <w:rsid w:val="00E31D9C"/>
    <w:rsid w:val="00E33380"/>
    <w:rsid w:val="00E35681"/>
    <w:rsid w:val="00E3590B"/>
    <w:rsid w:val="00E37DFF"/>
    <w:rsid w:val="00E40BA3"/>
    <w:rsid w:val="00E42520"/>
    <w:rsid w:val="00E425F9"/>
    <w:rsid w:val="00E433CD"/>
    <w:rsid w:val="00E45257"/>
    <w:rsid w:val="00E468A7"/>
    <w:rsid w:val="00E47989"/>
    <w:rsid w:val="00E50C47"/>
    <w:rsid w:val="00E5130F"/>
    <w:rsid w:val="00E526E6"/>
    <w:rsid w:val="00E55EC1"/>
    <w:rsid w:val="00E566E3"/>
    <w:rsid w:val="00E568CC"/>
    <w:rsid w:val="00E56C3B"/>
    <w:rsid w:val="00E57376"/>
    <w:rsid w:val="00E5780D"/>
    <w:rsid w:val="00E60C7E"/>
    <w:rsid w:val="00E61745"/>
    <w:rsid w:val="00E63ACB"/>
    <w:rsid w:val="00E643B4"/>
    <w:rsid w:val="00E6784D"/>
    <w:rsid w:val="00E7392D"/>
    <w:rsid w:val="00E75706"/>
    <w:rsid w:val="00E75B62"/>
    <w:rsid w:val="00E77331"/>
    <w:rsid w:val="00E81E5E"/>
    <w:rsid w:val="00E85BBF"/>
    <w:rsid w:val="00E86732"/>
    <w:rsid w:val="00E8712A"/>
    <w:rsid w:val="00E87A8D"/>
    <w:rsid w:val="00E87B72"/>
    <w:rsid w:val="00E90C6E"/>
    <w:rsid w:val="00E910BF"/>
    <w:rsid w:val="00E91A2F"/>
    <w:rsid w:val="00E928EA"/>
    <w:rsid w:val="00E92E48"/>
    <w:rsid w:val="00E947E5"/>
    <w:rsid w:val="00E958C9"/>
    <w:rsid w:val="00E96C1D"/>
    <w:rsid w:val="00E9788D"/>
    <w:rsid w:val="00EA0379"/>
    <w:rsid w:val="00EA128E"/>
    <w:rsid w:val="00EA1A90"/>
    <w:rsid w:val="00EA2442"/>
    <w:rsid w:val="00EA4124"/>
    <w:rsid w:val="00EA584C"/>
    <w:rsid w:val="00EB1559"/>
    <w:rsid w:val="00EB1A6D"/>
    <w:rsid w:val="00EB2398"/>
    <w:rsid w:val="00EB2888"/>
    <w:rsid w:val="00EB397C"/>
    <w:rsid w:val="00EB5923"/>
    <w:rsid w:val="00EC01AB"/>
    <w:rsid w:val="00EC0C16"/>
    <w:rsid w:val="00EC2ECE"/>
    <w:rsid w:val="00EC5020"/>
    <w:rsid w:val="00EC5AC0"/>
    <w:rsid w:val="00EC5FCB"/>
    <w:rsid w:val="00EC6678"/>
    <w:rsid w:val="00ED01C5"/>
    <w:rsid w:val="00ED1317"/>
    <w:rsid w:val="00ED1A0A"/>
    <w:rsid w:val="00ED1E9D"/>
    <w:rsid w:val="00ED23FC"/>
    <w:rsid w:val="00ED2E9C"/>
    <w:rsid w:val="00ED6369"/>
    <w:rsid w:val="00ED673B"/>
    <w:rsid w:val="00EE24D2"/>
    <w:rsid w:val="00EE4A4E"/>
    <w:rsid w:val="00EE63AC"/>
    <w:rsid w:val="00EF03F9"/>
    <w:rsid w:val="00EF1C21"/>
    <w:rsid w:val="00EF3B25"/>
    <w:rsid w:val="00EF4EEC"/>
    <w:rsid w:val="00EF55F9"/>
    <w:rsid w:val="00EF755E"/>
    <w:rsid w:val="00EF7B66"/>
    <w:rsid w:val="00F00B2E"/>
    <w:rsid w:val="00F05459"/>
    <w:rsid w:val="00F074FA"/>
    <w:rsid w:val="00F10E88"/>
    <w:rsid w:val="00F11B7C"/>
    <w:rsid w:val="00F120C9"/>
    <w:rsid w:val="00F16EF3"/>
    <w:rsid w:val="00F177F7"/>
    <w:rsid w:val="00F21263"/>
    <w:rsid w:val="00F25260"/>
    <w:rsid w:val="00F25914"/>
    <w:rsid w:val="00F278A6"/>
    <w:rsid w:val="00F27CAD"/>
    <w:rsid w:val="00F304DE"/>
    <w:rsid w:val="00F317B9"/>
    <w:rsid w:val="00F31F23"/>
    <w:rsid w:val="00F31FA6"/>
    <w:rsid w:val="00F370A3"/>
    <w:rsid w:val="00F37BD0"/>
    <w:rsid w:val="00F37D10"/>
    <w:rsid w:val="00F40555"/>
    <w:rsid w:val="00F4481D"/>
    <w:rsid w:val="00F457E9"/>
    <w:rsid w:val="00F475A5"/>
    <w:rsid w:val="00F500D0"/>
    <w:rsid w:val="00F50625"/>
    <w:rsid w:val="00F51905"/>
    <w:rsid w:val="00F51EEC"/>
    <w:rsid w:val="00F52088"/>
    <w:rsid w:val="00F5334D"/>
    <w:rsid w:val="00F56088"/>
    <w:rsid w:val="00F5753B"/>
    <w:rsid w:val="00F60CB4"/>
    <w:rsid w:val="00F60CC9"/>
    <w:rsid w:val="00F61E42"/>
    <w:rsid w:val="00F636FB"/>
    <w:rsid w:val="00F64782"/>
    <w:rsid w:val="00F65B0F"/>
    <w:rsid w:val="00F65C2A"/>
    <w:rsid w:val="00F666C6"/>
    <w:rsid w:val="00F6670C"/>
    <w:rsid w:val="00F66920"/>
    <w:rsid w:val="00F67961"/>
    <w:rsid w:val="00F7143A"/>
    <w:rsid w:val="00F71715"/>
    <w:rsid w:val="00F7180B"/>
    <w:rsid w:val="00F71B29"/>
    <w:rsid w:val="00F7340C"/>
    <w:rsid w:val="00F764FD"/>
    <w:rsid w:val="00F768C3"/>
    <w:rsid w:val="00F77239"/>
    <w:rsid w:val="00F77A8A"/>
    <w:rsid w:val="00F81940"/>
    <w:rsid w:val="00F82FB8"/>
    <w:rsid w:val="00F86329"/>
    <w:rsid w:val="00F87B66"/>
    <w:rsid w:val="00F906CD"/>
    <w:rsid w:val="00F9123A"/>
    <w:rsid w:val="00F918CE"/>
    <w:rsid w:val="00F91CC0"/>
    <w:rsid w:val="00F93A5A"/>
    <w:rsid w:val="00F93F6D"/>
    <w:rsid w:val="00F95CDD"/>
    <w:rsid w:val="00FA0885"/>
    <w:rsid w:val="00FA0A6B"/>
    <w:rsid w:val="00FA1394"/>
    <w:rsid w:val="00FA1CF7"/>
    <w:rsid w:val="00FA31EC"/>
    <w:rsid w:val="00FA3CCA"/>
    <w:rsid w:val="00FA4040"/>
    <w:rsid w:val="00FA446C"/>
    <w:rsid w:val="00FA5744"/>
    <w:rsid w:val="00FA5F43"/>
    <w:rsid w:val="00FA61B1"/>
    <w:rsid w:val="00FA7AEA"/>
    <w:rsid w:val="00FA7CFA"/>
    <w:rsid w:val="00FB0469"/>
    <w:rsid w:val="00FB0812"/>
    <w:rsid w:val="00FB1404"/>
    <w:rsid w:val="00FB16FF"/>
    <w:rsid w:val="00FB4028"/>
    <w:rsid w:val="00FB7278"/>
    <w:rsid w:val="00FB749D"/>
    <w:rsid w:val="00FC02A4"/>
    <w:rsid w:val="00FC2C31"/>
    <w:rsid w:val="00FC33B7"/>
    <w:rsid w:val="00FC4125"/>
    <w:rsid w:val="00FC49DE"/>
    <w:rsid w:val="00FC5E81"/>
    <w:rsid w:val="00FC7CD6"/>
    <w:rsid w:val="00FD065C"/>
    <w:rsid w:val="00FD09DD"/>
    <w:rsid w:val="00FD27E8"/>
    <w:rsid w:val="00FD48F1"/>
    <w:rsid w:val="00FD4F32"/>
    <w:rsid w:val="00FD5138"/>
    <w:rsid w:val="00FD51AF"/>
    <w:rsid w:val="00FD5405"/>
    <w:rsid w:val="00FD5AFC"/>
    <w:rsid w:val="00FD7FA5"/>
    <w:rsid w:val="00FE11C5"/>
    <w:rsid w:val="00FE17B0"/>
    <w:rsid w:val="00FE192C"/>
    <w:rsid w:val="00FE2D3A"/>
    <w:rsid w:val="00FE4ED8"/>
    <w:rsid w:val="00FE67C7"/>
    <w:rsid w:val="00FE771C"/>
    <w:rsid w:val="00FF05AE"/>
    <w:rsid w:val="00FF0B53"/>
    <w:rsid w:val="00FF2E30"/>
    <w:rsid w:val="00FF35B7"/>
    <w:rsid w:val="00FF6C2C"/>
    <w:rsid w:val="00FF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2FF3DA"/>
  <w15:docId w15:val="{06C129BD-4752-4C58-9E7F-A878E90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D2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0914"/>
    <w:pPr>
      <w:outlineLvl w:val="1"/>
    </w:pPr>
    <w:rPr>
      <w:rFonts w:ascii="Helvetica" w:eastAsia="Times New Roman" w:hAnsi="Helvetica" w:cs="Times New Roman"/>
      <w:color w:val="332A85"/>
      <w:sz w:val="30"/>
      <w:szCs w:val="30"/>
      <w:lang w:eastAsia="en-GB"/>
    </w:rPr>
  </w:style>
  <w:style w:type="paragraph" w:styleId="Heading3">
    <w:name w:val="heading 3"/>
    <w:basedOn w:val="Normal"/>
    <w:next w:val="Normal"/>
    <w:link w:val="Heading3Char"/>
    <w:uiPriority w:val="9"/>
    <w:semiHidden/>
    <w:unhideWhenUsed/>
    <w:qFormat/>
    <w:rsid w:val="002D4B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204D"/>
    <w:pPr>
      <w:ind w:left="720"/>
      <w:contextualSpacing/>
    </w:pPr>
    <w:rPr>
      <w:rFonts w:ascii="Calibri" w:eastAsia="Calibri" w:hAnsi="Calibri" w:cs="Times New Roman"/>
    </w:rPr>
  </w:style>
  <w:style w:type="table" w:styleId="TableGrid">
    <w:name w:val="Table Grid"/>
    <w:basedOn w:val="TableNormal"/>
    <w:uiPriority w:val="59"/>
    <w:rsid w:val="007E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FCD"/>
    <w:pPr>
      <w:tabs>
        <w:tab w:val="center" w:pos="4513"/>
        <w:tab w:val="right" w:pos="9026"/>
      </w:tabs>
    </w:pPr>
  </w:style>
  <w:style w:type="character" w:customStyle="1" w:styleId="HeaderChar">
    <w:name w:val="Header Char"/>
    <w:basedOn w:val="DefaultParagraphFont"/>
    <w:link w:val="Header"/>
    <w:uiPriority w:val="99"/>
    <w:rsid w:val="00362FCD"/>
  </w:style>
  <w:style w:type="paragraph" w:styleId="Footer">
    <w:name w:val="footer"/>
    <w:basedOn w:val="Normal"/>
    <w:link w:val="FooterChar"/>
    <w:uiPriority w:val="99"/>
    <w:unhideWhenUsed/>
    <w:rsid w:val="00362FCD"/>
    <w:pPr>
      <w:tabs>
        <w:tab w:val="center" w:pos="4513"/>
        <w:tab w:val="right" w:pos="9026"/>
      </w:tabs>
    </w:pPr>
  </w:style>
  <w:style w:type="character" w:customStyle="1" w:styleId="FooterChar">
    <w:name w:val="Footer Char"/>
    <w:basedOn w:val="DefaultParagraphFont"/>
    <w:link w:val="Footer"/>
    <w:uiPriority w:val="99"/>
    <w:rsid w:val="00362FCD"/>
  </w:style>
  <w:style w:type="paragraph" w:styleId="BalloonText">
    <w:name w:val="Balloon Text"/>
    <w:basedOn w:val="Normal"/>
    <w:link w:val="BalloonTextChar"/>
    <w:uiPriority w:val="99"/>
    <w:semiHidden/>
    <w:unhideWhenUsed/>
    <w:rsid w:val="00AB5972"/>
    <w:rPr>
      <w:rFonts w:ascii="Tahoma" w:hAnsi="Tahoma" w:cs="Tahoma"/>
      <w:sz w:val="16"/>
      <w:szCs w:val="16"/>
    </w:rPr>
  </w:style>
  <w:style w:type="character" w:customStyle="1" w:styleId="BalloonTextChar">
    <w:name w:val="Balloon Text Char"/>
    <w:basedOn w:val="DefaultParagraphFont"/>
    <w:link w:val="BalloonText"/>
    <w:uiPriority w:val="99"/>
    <w:semiHidden/>
    <w:rsid w:val="00AB5972"/>
    <w:rPr>
      <w:rFonts w:ascii="Tahoma" w:hAnsi="Tahoma" w:cs="Tahoma"/>
      <w:sz w:val="16"/>
      <w:szCs w:val="16"/>
    </w:rPr>
  </w:style>
  <w:style w:type="paragraph" w:styleId="PlainText">
    <w:name w:val="Plain Text"/>
    <w:basedOn w:val="Normal"/>
    <w:link w:val="PlainTextChar"/>
    <w:uiPriority w:val="99"/>
    <w:semiHidden/>
    <w:unhideWhenUsed/>
    <w:rsid w:val="00CE0F3A"/>
    <w:rPr>
      <w:rFonts w:ascii="Calibri" w:hAnsi="Calibri"/>
      <w:szCs w:val="21"/>
    </w:rPr>
  </w:style>
  <w:style w:type="character" w:customStyle="1" w:styleId="PlainTextChar">
    <w:name w:val="Plain Text Char"/>
    <w:basedOn w:val="DefaultParagraphFont"/>
    <w:link w:val="PlainText"/>
    <w:uiPriority w:val="99"/>
    <w:semiHidden/>
    <w:rsid w:val="00CE0F3A"/>
    <w:rPr>
      <w:rFonts w:ascii="Calibri" w:hAnsi="Calibri"/>
      <w:szCs w:val="21"/>
    </w:rPr>
  </w:style>
  <w:style w:type="character" w:customStyle="1" w:styleId="Heading2Char">
    <w:name w:val="Heading 2 Char"/>
    <w:basedOn w:val="DefaultParagraphFont"/>
    <w:link w:val="Heading2"/>
    <w:uiPriority w:val="9"/>
    <w:rsid w:val="00570914"/>
    <w:rPr>
      <w:rFonts w:ascii="Helvetica" w:eastAsia="Times New Roman" w:hAnsi="Helvetica" w:cs="Times New Roman"/>
      <w:color w:val="332A85"/>
      <w:sz w:val="30"/>
      <w:szCs w:val="30"/>
      <w:lang w:eastAsia="en-GB"/>
    </w:rPr>
  </w:style>
  <w:style w:type="character" w:styleId="Hyperlink">
    <w:name w:val="Hyperlink"/>
    <w:basedOn w:val="DefaultParagraphFont"/>
    <w:uiPriority w:val="99"/>
    <w:unhideWhenUsed/>
    <w:rsid w:val="00422AB0"/>
    <w:rPr>
      <w:color w:val="0000FF" w:themeColor="hyperlink"/>
      <w:u w:val="single"/>
    </w:rPr>
  </w:style>
  <w:style w:type="paragraph" w:customStyle="1" w:styleId="Body">
    <w:name w:val="Body"/>
    <w:rsid w:val="00985053"/>
    <w:pPr>
      <w:pBdr>
        <w:top w:val="nil"/>
        <w:left w:val="nil"/>
        <w:bottom w:val="nil"/>
        <w:right w:val="nil"/>
        <w:between w:val="nil"/>
        <w:bar w:val="nil"/>
      </w:pBdr>
    </w:pPr>
    <w:rPr>
      <w:rFonts w:ascii="Helvetica" w:eastAsia="Arial Unicode MS" w:hAnsi="Arial Unicode MS" w:cs="Arial Unicode MS"/>
      <w:color w:val="000000"/>
      <w:bdr w:val="nil"/>
      <w:lang w:eastAsia="en-GB"/>
    </w:rPr>
  </w:style>
  <w:style w:type="character" w:styleId="Emphasis">
    <w:name w:val="Emphasis"/>
    <w:basedOn w:val="DefaultParagraphFont"/>
    <w:uiPriority w:val="20"/>
    <w:qFormat/>
    <w:rsid w:val="00F51EEC"/>
    <w:rPr>
      <w:b/>
      <w:bCs/>
      <w:i w:val="0"/>
      <w:iCs w:val="0"/>
    </w:rPr>
  </w:style>
  <w:style w:type="paragraph" w:styleId="NoSpacing">
    <w:name w:val="No Spacing"/>
    <w:uiPriority w:val="1"/>
    <w:qFormat/>
    <w:rsid w:val="00FA446C"/>
    <w:rPr>
      <w:rFonts w:ascii="Calibri" w:eastAsia="Times New Roman" w:hAnsi="Calibri" w:cs="Times New Roman"/>
      <w:lang w:val="en-US"/>
    </w:rPr>
  </w:style>
  <w:style w:type="character" w:customStyle="1" w:styleId="s2">
    <w:name w:val="s2"/>
    <w:basedOn w:val="DefaultParagraphFont"/>
    <w:rsid w:val="009E38DF"/>
  </w:style>
  <w:style w:type="character" w:customStyle="1" w:styleId="Heading1Char">
    <w:name w:val="Heading 1 Char"/>
    <w:basedOn w:val="DefaultParagraphFont"/>
    <w:link w:val="Heading1"/>
    <w:uiPriority w:val="9"/>
    <w:rsid w:val="00A75D2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22652"/>
    <w:rPr>
      <w:color w:val="800080" w:themeColor="followedHyperlink"/>
      <w:u w:val="single"/>
    </w:rPr>
  </w:style>
  <w:style w:type="paragraph" w:customStyle="1" w:styleId="yiv1238096596msolistparagraph">
    <w:name w:val="yiv1238096596msolistparagraph"/>
    <w:basedOn w:val="Normal"/>
    <w:rsid w:val="0059599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9599A"/>
  </w:style>
  <w:style w:type="paragraph" w:customStyle="1" w:styleId="yiv1238096596msonormal">
    <w:name w:val="yiv1238096596msonormal"/>
    <w:basedOn w:val="Normal"/>
    <w:rsid w:val="005959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72452153msonormal">
    <w:name w:val="yiv7472452153msonormal"/>
    <w:basedOn w:val="Normal"/>
    <w:rsid w:val="005959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59599A"/>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664C2A"/>
    <w:rPr>
      <w:b/>
      <w:bCs/>
    </w:rPr>
  </w:style>
  <w:style w:type="character" w:customStyle="1" w:styleId="Heading3Char">
    <w:name w:val="Heading 3 Char"/>
    <w:basedOn w:val="DefaultParagraphFont"/>
    <w:link w:val="Heading3"/>
    <w:uiPriority w:val="9"/>
    <w:semiHidden/>
    <w:rsid w:val="002D4B8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D513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ont-sans-serif">
    <w:name w:val="font-sans-serif"/>
    <w:basedOn w:val="DefaultParagraphFont"/>
    <w:rsid w:val="000C13BF"/>
  </w:style>
  <w:style w:type="character" w:customStyle="1" w:styleId="st">
    <w:name w:val="st"/>
    <w:basedOn w:val="DefaultParagraphFont"/>
    <w:rsid w:val="0009422D"/>
  </w:style>
  <w:style w:type="character" w:customStyle="1" w:styleId="None">
    <w:name w:val="None"/>
    <w:basedOn w:val="DefaultParagraphFont"/>
    <w:rsid w:val="00AE1D87"/>
  </w:style>
  <w:style w:type="character" w:styleId="CommentReference">
    <w:name w:val="annotation reference"/>
    <w:basedOn w:val="DefaultParagraphFont"/>
    <w:uiPriority w:val="99"/>
    <w:semiHidden/>
    <w:unhideWhenUsed/>
    <w:rsid w:val="006E355D"/>
    <w:rPr>
      <w:sz w:val="16"/>
      <w:szCs w:val="16"/>
    </w:rPr>
  </w:style>
  <w:style w:type="paragraph" w:styleId="CommentText">
    <w:name w:val="annotation text"/>
    <w:basedOn w:val="Normal"/>
    <w:link w:val="CommentTextChar"/>
    <w:uiPriority w:val="99"/>
    <w:semiHidden/>
    <w:unhideWhenUsed/>
    <w:rsid w:val="006E355D"/>
    <w:rPr>
      <w:sz w:val="20"/>
      <w:szCs w:val="20"/>
    </w:rPr>
  </w:style>
  <w:style w:type="character" w:customStyle="1" w:styleId="CommentTextChar">
    <w:name w:val="Comment Text Char"/>
    <w:basedOn w:val="DefaultParagraphFont"/>
    <w:link w:val="CommentText"/>
    <w:uiPriority w:val="99"/>
    <w:semiHidden/>
    <w:rsid w:val="006E355D"/>
    <w:rPr>
      <w:sz w:val="20"/>
      <w:szCs w:val="20"/>
    </w:rPr>
  </w:style>
  <w:style w:type="paragraph" w:styleId="CommentSubject">
    <w:name w:val="annotation subject"/>
    <w:basedOn w:val="CommentText"/>
    <w:next w:val="CommentText"/>
    <w:link w:val="CommentSubjectChar"/>
    <w:uiPriority w:val="99"/>
    <w:semiHidden/>
    <w:unhideWhenUsed/>
    <w:rsid w:val="006E355D"/>
    <w:rPr>
      <w:b/>
      <w:bCs/>
    </w:rPr>
  </w:style>
  <w:style w:type="character" w:customStyle="1" w:styleId="CommentSubjectChar">
    <w:name w:val="Comment Subject Char"/>
    <w:basedOn w:val="CommentTextChar"/>
    <w:link w:val="CommentSubject"/>
    <w:uiPriority w:val="99"/>
    <w:semiHidden/>
    <w:rsid w:val="006E355D"/>
    <w:rPr>
      <w:b/>
      <w:bCs/>
      <w:sz w:val="20"/>
      <w:szCs w:val="20"/>
    </w:rPr>
  </w:style>
  <w:style w:type="paragraph" w:styleId="Subtitle">
    <w:name w:val="Subtitle"/>
    <w:basedOn w:val="Normal"/>
    <w:next w:val="Normal"/>
    <w:link w:val="SubtitleChar"/>
    <w:uiPriority w:val="11"/>
    <w:qFormat/>
    <w:rsid w:val="00051DD1"/>
    <w:pPr>
      <w:numPr>
        <w:ilvl w:val="1"/>
      </w:numPr>
      <w:spacing w:after="60"/>
    </w:pPr>
    <w:rPr>
      <w:rFonts w:ascii="Arial" w:eastAsiaTheme="majorEastAsia" w:hAnsi="Arial" w:cstheme="majorBidi"/>
      <w:b/>
      <w:iCs/>
      <w:sz w:val="24"/>
      <w:szCs w:val="24"/>
    </w:rPr>
  </w:style>
  <w:style w:type="character" w:customStyle="1" w:styleId="SubtitleChar">
    <w:name w:val="Subtitle Char"/>
    <w:basedOn w:val="DefaultParagraphFont"/>
    <w:link w:val="Subtitle"/>
    <w:uiPriority w:val="11"/>
    <w:rsid w:val="00051DD1"/>
    <w:rPr>
      <w:rFonts w:ascii="Arial" w:eastAsiaTheme="majorEastAsia" w:hAnsi="Arial" w:cstheme="majorBidi"/>
      <w:b/>
      <w:iCs/>
      <w:sz w:val="24"/>
      <w:szCs w:val="24"/>
    </w:rPr>
  </w:style>
  <w:style w:type="paragraph" w:customStyle="1" w:styleId="BullettedIndent">
    <w:name w:val="Bulletted Indent"/>
    <w:basedOn w:val="Normal"/>
    <w:rsid w:val="00051DD1"/>
    <w:pPr>
      <w:numPr>
        <w:numId w:val="3"/>
      </w:numPr>
      <w:autoSpaceDE w:val="0"/>
      <w:autoSpaceDN w:val="0"/>
      <w:adjustRightInd w:val="0"/>
      <w:spacing w:before="120"/>
    </w:pPr>
    <w:rPr>
      <w:rFonts w:ascii="Arial" w:eastAsia="Times New Roman" w:hAnsi="Arial" w:cs="Times New Roman"/>
      <w:sz w:val="20"/>
      <w:szCs w:val="24"/>
      <w:lang w:eastAsia="en-GB"/>
    </w:rPr>
  </w:style>
  <w:style w:type="character" w:customStyle="1" w:styleId="ListParagraphChar">
    <w:name w:val="List Paragraph Char"/>
    <w:link w:val="ListParagraph"/>
    <w:uiPriority w:val="34"/>
    <w:locked/>
    <w:rsid w:val="00051DD1"/>
    <w:rPr>
      <w:rFonts w:ascii="Calibri" w:eastAsia="Calibri" w:hAnsi="Calibri" w:cs="Times New Roman"/>
    </w:rPr>
  </w:style>
  <w:style w:type="paragraph" w:customStyle="1" w:styleId="Addressee">
    <w:name w:val="Addressee"/>
    <w:qFormat/>
    <w:rsid w:val="007C71A1"/>
    <w:pPr>
      <w:spacing w:before="60" w:after="60" w:line="240" w:lineRule="exact"/>
    </w:pPr>
    <w:rPr>
      <w:rFonts w:eastAsiaTheme="minorEastAsia"/>
    </w:rPr>
  </w:style>
  <w:style w:type="paragraph" w:styleId="ListBullet5">
    <w:name w:val="List Bullet 5"/>
    <w:basedOn w:val="Normal"/>
    <w:uiPriority w:val="99"/>
    <w:unhideWhenUsed/>
    <w:qFormat/>
    <w:rsid w:val="00A564E5"/>
    <w:pPr>
      <w:numPr>
        <w:numId w:val="14"/>
      </w:numPr>
      <w:spacing w:after="120"/>
      <w:ind w:left="1491" w:hanging="357"/>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0588">
      <w:bodyDiv w:val="1"/>
      <w:marLeft w:val="0"/>
      <w:marRight w:val="0"/>
      <w:marTop w:val="0"/>
      <w:marBottom w:val="0"/>
      <w:divBdr>
        <w:top w:val="none" w:sz="0" w:space="0" w:color="auto"/>
        <w:left w:val="none" w:sz="0" w:space="0" w:color="auto"/>
        <w:bottom w:val="none" w:sz="0" w:space="0" w:color="auto"/>
        <w:right w:val="none" w:sz="0" w:space="0" w:color="auto"/>
      </w:divBdr>
    </w:div>
    <w:div w:id="179396673">
      <w:bodyDiv w:val="1"/>
      <w:marLeft w:val="0"/>
      <w:marRight w:val="0"/>
      <w:marTop w:val="0"/>
      <w:marBottom w:val="0"/>
      <w:divBdr>
        <w:top w:val="none" w:sz="0" w:space="0" w:color="auto"/>
        <w:left w:val="none" w:sz="0" w:space="0" w:color="auto"/>
        <w:bottom w:val="none" w:sz="0" w:space="0" w:color="auto"/>
        <w:right w:val="none" w:sz="0" w:space="0" w:color="auto"/>
      </w:divBdr>
    </w:div>
    <w:div w:id="183330423">
      <w:bodyDiv w:val="1"/>
      <w:marLeft w:val="0"/>
      <w:marRight w:val="0"/>
      <w:marTop w:val="0"/>
      <w:marBottom w:val="0"/>
      <w:divBdr>
        <w:top w:val="none" w:sz="0" w:space="0" w:color="auto"/>
        <w:left w:val="none" w:sz="0" w:space="0" w:color="auto"/>
        <w:bottom w:val="none" w:sz="0" w:space="0" w:color="auto"/>
        <w:right w:val="none" w:sz="0" w:space="0" w:color="auto"/>
      </w:divBdr>
      <w:divsChild>
        <w:div w:id="2012482945">
          <w:marLeft w:val="-300"/>
          <w:marRight w:val="0"/>
          <w:marTop w:val="0"/>
          <w:marBottom w:val="0"/>
          <w:divBdr>
            <w:top w:val="none" w:sz="0" w:space="0" w:color="auto"/>
            <w:left w:val="none" w:sz="0" w:space="0" w:color="auto"/>
            <w:bottom w:val="none" w:sz="0" w:space="0" w:color="auto"/>
            <w:right w:val="none" w:sz="0" w:space="0" w:color="auto"/>
          </w:divBdr>
          <w:divsChild>
            <w:div w:id="302270022">
              <w:marLeft w:val="0"/>
              <w:marRight w:val="0"/>
              <w:marTop w:val="0"/>
              <w:marBottom w:val="0"/>
              <w:divBdr>
                <w:top w:val="none" w:sz="0" w:space="0" w:color="auto"/>
                <w:left w:val="none" w:sz="0" w:space="0" w:color="auto"/>
                <w:bottom w:val="none" w:sz="0" w:space="0" w:color="auto"/>
                <w:right w:val="none" w:sz="0" w:space="0" w:color="auto"/>
              </w:divBdr>
              <w:divsChild>
                <w:div w:id="17899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6609">
      <w:bodyDiv w:val="1"/>
      <w:marLeft w:val="0"/>
      <w:marRight w:val="0"/>
      <w:marTop w:val="0"/>
      <w:marBottom w:val="0"/>
      <w:divBdr>
        <w:top w:val="none" w:sz="0" w:space="0" w:color="auto"/>
        <w:left w:val="none" w:sz="0" w:space="0" w:color="auto"/>
        <w:bottom w:val="none" w:sz="0" w:space="0" w:color="auto"/>
        <w:right w:val="none" w:sz="0" w:space="0" w:color="auto"/>
      </w:divBdr>
    </w:div>
    <w:div w:id="223225007">
      <w:bodyDiv w:val="1"/>
      <w:marLeft w:val="0"/>
      <w:marRight w:val="0"/>
      <w:marTop w:val="0"/>
      <w:marBottom w:val="0"/>
      <w:divBdr>
        <w:top w:val="none" w:sz="0" w:space="0" w:color="auto"/>
        <w:left w:val="none" w:sz="0" w:space="0" w:color="auto"/>
        <w:bottom w:val="none" w:sz="0" w:space="0" w:color="auto"/>
        <w:right w:val="none" w:sz="0" w:space="0" w:color="auto"/>
      </w:divBdr>
    </w:div>
    <w:div w:id="277757886">
      <w:bodyDiv w:val="1"/>
      <w:marLeft w:val="0"/>
      <w:marRight w:val="0"/>
      <w:marTop w:val="0"/>
      <w:marBottom w:val="0"/>
      <w:divBdr>
        <w:top w:val="none" w:sz="0" w:space="0" w:color="auto"/>
        <w:left w:val="none" w:sz="0" w:space="0" w:color="auto"/>
        <w:bottom w:val="none" w:sz="0" w:space="0" w:color="auto"/>
        <w:right w:val="none" w:sz="0" w:space="0" w:color="auto"/>
      </w:divBdr>
    </w:div>
    <w:div w:id="283578437">
      <w:bodyDiv w:val="1"/>
      <w:marLeft w:val="0"/>
      <w:marRight w:val="0"/>
      <w:marTop w:val="0"/>
      <w:marBottom w:val="0"/>
      <w:divBdr>
        <w:top w:val="none" w:sz="0" w:space="0" w:color="auto"/>
        <w:left w:val="none" w:sz="0" w:space="0" w:color="auto"/>
        <w:bottom w:val="none" w:sz="0" w:space="0" w:color="auto"/>
        <w:right w:val="none" w:sz="0" w:space="0" w:color="auto"/>
      </w:divBdr>
    </w:div>
    <w:div w:id="290018839">
      <w:bodyDiv w:val="1"/>
      <w:marLeft w:val="0"/>
      <w:marRight w:val="0"/>
      <w:marTop w:val="0"/>
      <w:marBottom w:val="0"/>
      <w:divBdr>
        <w:top w:val="none" w:sz="0" w:space="0" w:color="auto"/>
        <w:left w:val="none" w:sz="0" w:space="0" w:color="auto"/>
        <w:bottom w:val="none" w:sz="0" w:space="0" w:color="auto"/>
        <w:right w:val="none" w:sz="0" w:space="0" w:color="auto"/>
      </w:divBdr>
      <w:divsChild>
        <w:div w:id="1101219099">
          <w:marLeft w:val="0"/>
          <w:marRight w:val="0"/>
          <w:marTop w:val="0"/>
          <w:marBottom w:val="0"/>
          <w:divBdr>
            <w:top w:val="none" w:sz="0" w:space="0" w:color="auto"/>
            <w:left w:val="none" w:sz="0" w:space="0" w:color="auto"/>
            <w:bottom w:val="none" w:sz="0" w:space="0" w:color="auto"/>
            <w:right w:val="none" w:sz="0" w:space="0" w:color="auto"/>
          </w:divBdr>
        </w:div>
        <w:div w:id="1154372107">
          <w:marLeft w:val="0"/>
          <w:marRight w:val="0"/>
          <w:marTop w:val="0"/>
          <w:marBottom w:val="0"/>
          <w:divBdr>
            <w:top w:val="none" w:sz="0" w:space="0" w:color="auto"/>
            <w:left w:val="none" w:sz="0" w:space="0" w:color="auto"/>
            <w:bottom w:val="none" w:sz="0" w:space="0" w:color="auto"/>
            <w:right w:val="none" w:sz="0" w:space="0" w:color="auto"/>
          </w:divBdr>
        </w:div>
      </w:divsChild>
    </w:div>
    <w:div w:id="358623960">
      <w:bodyDiv w:val="1"/>
      <w:marLeft w:val="0"/>
      <w:marRight w:val="0"/>
      <w:marTop w:val="0"/>
      <w:marBottom w:val="0"/>
      <w:divBdr>
        <w:top w:val="none" w:sz="0" w:space="0" w:color="auto"/>
        <w:left w:val="none" w:sz="0" w:space="0" w:color="auto"/>
        <w:bottom w:val="none" w:sz="0" w:space="0" w:color="auto"/>
        <w:right w:val="none" w:sz="0" w:space="0" w:color="auto"/>
      </w:divBdr>
    </w:div>
    <w:div w:id="386227129">
      <w:bodyDiv w:val="1"/>
      <w:marLeft w:val="0"/>
      <w:marRight w:val="0"/>
      <w:marTop w:val="0"/>
      <w:marBottom w:val="0"/>
      <w:divBdr>
        <w:top w:val="none" w:sz="0" w:space="0" w:color="auto"/>
        <w:left w:val="none" w:sz="0" w:space="0" w:color="auto"/>
        <w:bottom w:val="none" w:sz="0" w:space="0" w:color="auto"/>
        <w:right w:val="none" w:sz="0" w:space="0" w:color="auto"/>
      </w:divBdr>
    </w:div>
    <w:div w:id="408771343">
      <w:bodyDiv w:val="1"/>
      <w:marLeft w:val="0"/>
      <w:marRight w:val="0"/>
      <w:marTop w:val="0"/>
      <w:marBottom w:val="0"/>
      <w:divBdr>
        <w:top w:val="none" w:sz="0" w:space="0" w:color="auto"/>
        <w:left w:val="none" w:sz="0" w:space="0" w:color="auto"/>
        <w:bottom w:val="none" w:sz="0" w:space="0" w:color="auto"/>
        <w:right w:val="none" w:sz="0" w:space="0" w:color="auto"/>
      </w:divBdr>
    </w:div>
    <w:div w:id="529801245">
      <w:bodyDiv w:val="1"/>
      <w:marLeft w:val="0"/>
      <w:marRight w:val="0"/>
      <w:marTop w:val="0"/>
      <w:marBottom w:val="0"/>
      <w:divBdr>
        <w:top w:val="none" w:sz="0" w:space="0" w:color="auto"/>
        <w:left w:val="none" w:sz="0" w:space="0" w:color="auto"/>
        <w:bottom w:val="none" w:sz="0" w:space="0" w:color="auto"/>
        <w:right w:val="none" w:sz="0" w:space="0" w:color="auto"/>
      </w:divBdr>
      <w:divsChild>
        <w:div w:id="477646487">
          <w:marLeft w:val="547"/>
          <w:marRight w:val="0"/>
          <w:marTop w:val="106"/>
          <w:marBottom w:val="0"/>
          <w:divBdr>
            <w:top w:val="none" w:sz="0" w:space="0" w:color="auto"/>
            <w:left w:val="none" w:sz="0" w:space="0" w:color="auto"/>
            <w:bottom w:val="none" w:sz="0" w:space="0" w:color="auto"/>
            <w:right w:val="none" w:sz="0" w:space="0" w:color="auto"/>
          </w:divBdr>
        </w:div>
      </w:divsChild>
    </w:div>
    <w:div w:id="531961453">
      <w:bodyDiv w:val="1"/>
      <w:marLeft w:val="0"/>
      <w:marRight w:val="0"/>
      <w:marTop w:val="0"/>
      <w:marBottom w:val="0"/>
      <w:divBdr>
        <w:top w:val="none" w:sz="0" w:space="0" w:color="auto"/>
        <w:left w:val="none" w:sz="0" w:space="0" w:color="auto"/>
        <w:bottom w:val="none" w:sz="0" w:space="0" w:color="auto"/>
        <w:right w:val="none" w:sz="0" w:space="0" w:color="auto"/>
      </w:divBdr>
    </w:div>
    <w:div w:id="561410049">
      <w:bodyDiv w:val="1"/>
      <w:marLeft w:val="0"/>
      <w:marRight w:val="0"/>
      <w:marTop w:val="0"/>
      <w:marBottom w:val="0"/>
      <w:divBdr>
        <w:top w:val="none" w:sz="0" w:space="0" w:color="auto"/>
        <w:left w:val="none" w:sz="0" w:space="0" w:color="auto"/>
        <w:bottom w:val="none" w:sz="0" w:space="0" w:color="auto"/>
        <w:right w:val="none" w:sz="0" w:space="0" w:color="auto"/>
      </w:divBdr>
    </w:div>
    <w:div w:id="677384971">
      <w:bodyDiv w:val="1"/>
      <w:marLeft w:val="0"/>
      <w:marRight w:val="0"/>
      <w:marTop w:val="0"/>
      <w:marBottom w:val="0"/>
      <w:divBdr>
        <w:top w:val="none" w:sz="0" w:space="0" w:color="auto"/>
        <w:left w:val="none" w:sz="0" w:space="0" w:color="auto"/>
        <w:bottom w:val="none" w:sz="0" w:space="0" w:color="auto"/>
        <w:right w:val="none" w:sz="0" w:space="0" w:color="auto"/>
      </w:divBdr>
    </w:div>
    <w:div w:id="734737961">
      <w:bodyDiv w:val="1"/>
      <w:marLeft w:val="0"/>
      <w:marRight w:val="0"/>
      <w:marTop w:val="0"/>
      <w:marBottom w:val="0"/>
      <w:divBdr>
        <w:top w:val="none" w:sz="0" w:space="0" w:color="auto"/>
        <w:left w:val="none" w:sz="0" w:space="0" w:color="auto"/>
        <w:bottom w:val="none" w:sz="0" w:space="0" w:color="auto"/>
        <w:right w:val="none" w:sz="0" w:space="0" w:color="auto"/>
      </w:divBdr>
    </w:div>
    <w:div w:id="736636775">
      <w:bodyDiv w:val="1"/>
      <w:marLeft w:val="0"/>
      <w:marRight w:val="0"/>
      <w:marTop w:val="0"/>
      <w:marBottom w:val="0"/>
      <w:divBdr>
        <w:top w:val="none" w:sz="0" w:space="0" w:color="auto"/>
        <w:left w:val="none" w:sz="0" w:space="0" w:color="auto"/>
        <w:bottom w:val="none" w:sz="0" w:space="0" w:color="auto"/>
        <w:right w:val="none" w:sz="0" w:space="0" w:color="auto"/>
      </w:divBdr>
      <w:divsChild>
        <w:div w:id="667556527">
          <w:marLeft w:val="0"/>
          <w:marRight w:val="0"/>
          <w:marTop w:val="0"/>
          <w:marBottom w:val="225"/>
          <w:divBdr>
            <w:top w:val="none" w:sz="0" w:space="0" w:color="auto"/>
            <w:left w:val="none" w:sz="0" w:space="0" w:color="auto"/>
            <w:bottom w:val="none" w:sz="0" w:space="0" w:color="auto"/>
            <w:right w:val="none" w:sz="0" w:space="0" w:color="auto"/>
          </w:divBdr>
          <w:divsChild>
            <w:div w:id="25063263">
              <w:marLeft w:val="0"/>
              <w:marRight w:val="0"/>
              <w:marTop w:val="0"/>
              <w:marBottom w:val="0"/>
              <w:divBdr>
                <w:top w:val="none" w:sz="0" w:space="0" w:color="auto"/>
                <w:left w:val="none" w:sz="0" w:space="0" w:color="auto"/>
                <w:bottom w:val="none" w:sz="0" w:space="0" w:color="auto"/>
                <w:right w:val="none" w:sz="0" w:space="0" w:color="auto"/>
              </w:divBdr>
              <w:divsChild>
                <w:div w:id="220557283">
                  <w:marLeft w:val="0"/>
                  <w:marRight w:val="0"/>
                  <w:marTop w:val="0"/>
                  <w:marBottom w:val="0"/>
                  <w:divBdr>
                    <w:top w:val="none" w:sz="0" w:space="0" w:color="auto"/>
                    <w:left w:val="none" w:sz="0" w:space="0" w:color="auto"/>
                    <w:bottom w:val="none" w:sz="0" w:space="0" w:color="auto"/>
                    <w:right w:val="none" w:sz="0" w:space="0" w:color="auto"/>
                  </w:divBdr>
                  <w:divsChild>
                    <w:div w:id="542640109">
                      <w:marLeft w:val="150"/>
                      <w:marRight w:val="150"/>
                      <w:marTop w:val="0"/>
                      <w:marBottom w:val="0"/>
                      <w:divBdr>
                        <w:top w:val="none" w:sz="0" w:space="0" w:color="auto"/>
                        <w:left w:val="none" w:sz="0" w:space="0" w:color="auto"/>
                        <w:bottom w:val="none" w:sz="0" w:space="0" w:color="auto"/>
                        <w:right w:val="none" w:sz="0" w:space="0" w:color="auto"/>
                      </w:divBdr>
                      <w:divsChild>
                        <w:div w:id="2105104374">
                          <w:marLeft w:val="0"/>
                          <w:marRight w:val="0"/>
                          <w:marTop w:val="0"/>
                          <w:marBottom w:val="0"/>
                          <w:divBdr>
                            <w:top w:val="none" w:sz="0" w:space="0" w:color="auto"/>
                            <w:left w:val="none" w:sz="0" w:space="0" w:color="auto"/>
                            <w:bottom w:val="none" w:sz="0" w:space="0" w:color="auto"/>
                            <w:right w:val="none" w:sz="0" w:space="0" w:color="auto"/>
                          </w:divBdr>
                          <w:divsChild>
                            <w:div w:id="1148322869">
                              <w:marLeft w:val="0"/>
                              <w:marRight w:val="0"/>
                              <w:marTop w:val="0"/>
                              <w:marBottom w:val="0"/>
                              <w:divBdr>
                                <w:top w:val="none" w:sz="0" w:space="0" w:color="auto"/>
                                <w:left w:val="none" w:sz="0" w:space="0" w:color="auto"/>
                                <w:bottom w:val="none" w:sz="0" w:space="0" w:color="auto"/>
                                <w:right w:val="none" w:sz="0" w:space="0" w:color="auto"/>
                              </w:divBdr>
                              <w:divsChild>
                                <w:div w:id="181943462">
                                  <w:marLeft w:val="0"/>
                                  <w:marRight w:val="0"/>
                                  <w:marTop w:val="0"/>
                                  <w:marBottom w:val="0"/>
                                  <w:divBdr>
                                    <w:top w:val="none" w:sz="0" w:space="0" w:color="auto"/>
                                    <w:left w:val="none" w:sz="0" w:space="0" w:color="auto"/>
                                    <w:bottom w:val="none" w:sz="0" w:space="0" w:color="auto"/>
                                    <w:right w:val="none" w:sz="0" w:space="0" w:color="auto"/>
                                  </w:divBdr>
                                  <w:divsChild>
                                    <w:div w:id="1491018378">
                                      <w:marLeft w:val="0"/>
                                      <w:marRight w:val="0"/>
                                      <w:marTop w:val="0"/>
                                      <w:marBottom w:val="0"/>
                                      <w:divBdr>
                                        <w:top w:val="none" w:sz="0" w:space="0" w:color="auto"/>
                                        <w:left w:val="none" w:sz="0" w:space="0" w:color="auto"/>
                                        <w:bottom w:val="none" w:sz="0" w:space="0" w:color="auto"/>
                                        <w:right w:val="none" w:sz="0" w:space="0" w:color="auto"/>
                                      </w:divBdr>
                                      <w:divsChild>
                                        <w:div w:id="721563076">
                                          <w:marLeft w:val="0"/>
                                          <w:marRight w:val="0"/>
                                          <w:marTop w:val="0"/>
                                          <w:marBottom w:val="0"/>
                                          <w:divBdr>
                                            <w:top w:val="none" w:sz="0" w:space="0" w:color="auto"/>
                                            <w:left w:val="none" w:sz="0" w:space="0" w:color="auto"/>
                                            <w:bottom w:val="none" w:sz="0" w:space="0" w:color="auto"/>
                                            <w:right w:val="none" w:sz="0" w:space="0" w:color="auto"/>
                                          </w:divBdr>
                                          <w:divsChild>
                                            <w:div w:id="159008500">
                                              <w:marLeft w:val="0"/>
                                              <w:marRight w:val="0"/>
                                              <w:marTop w:val="0"/>
                                              <w:marBottom w:val="0"/>
                                              <w:divBdr>
                                                <w:top w:val="none" w:sz="0" w:space="0" w:color="auto"/>
                                                <w:left w:val="none" w:sz="0" w:space="0" w:color="auto"/>
                                                <w:bottom w:val="none" w:sz="0" w:space="0" w:color="auto"/>
                                                <w:right w:val="none" w:sz="0" w:space="0" w:color="auto"/>
                                              </w:divBdr>
                                              <w:divsChild>
                                                <w:div w:id="2137946674">
                                                  <w:marLeft w:val="0"/>
                                                  <w:marRight w:val="0"/>
                                                  <w:marTop w:val="0"/>
                                                  <w:marBottom w:val="0"/>
                                                  <w:divBdr>
                                                    <w:top w:val="none" w:sz="0" w:space="0" w:color="auto"/>
                                                    <w:left w:val="none" w:sz="0" w:space="0" w:color="auto"/>
                                                    <w:bottom w:val="none" w:sz="0" w:space="0" w:color="auto"/>
                                                    <w:right w:val="none" w:sz="0" w:space="0" w:color="auto"/>
                                                  </w:divBdr>
                                                  <w:divsChild>
                                                    <w:div w:id="3166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246862">
      <w:bodyDiv w:val="1"/>
      <w:marLeft w:val="0"/>
      <w:marRight w:val="0"/>
      <w:marTop w:val="0"/>
      <w:marBottom w:val="0"/>
      <w:divBdr>
        <w:top w:val="none" w:sz="0" w:space="0" w:color="auto"/>
        <w:left w:val="none" w:sz="0" w:space="0" w:color="auto"/>
        <w:bottom w:val="none" w:sz="0" w:space="0" w:color="auto"/>
        <w:right w:val="none" w:sz="0" w:space="0" w:color="auto"/>
      </w:divBdr>
    </w:div>
    <w:div w:id="810251732">
      <w:bodyDiv w:val="1"/>
      <w:marLeft w:val="0"/>
      <w:marRight w:val="0"/>
      <w:marTop w:val="0"/>
      <w:marBottom w:val="0"/>
      <w:divBdr>
        <w:top w:val="none" w:sz="0" w:space="0" w:color="auto"/>
        <w:left w:val="none" w:sz="0" w:space="0" w:color="auto"/>
        <w:bottom w:val="none" w:sz="0" w:space="0" w:color="auto"/>
        <w:right w:val="none" w:sz="0" w:space="0" w:color="auto"/>
      </w:divBdr>
    </w:div>
    <w:div w:id="853881992">
      <w:bodyDiv w:val="1"/>
      <w:marLeft w:val="0"/>
      <w:marRight w:val="0"/>
      <w:marTop w:val="0"/>
      <w:marBottom w:val="0"/>
      <w:divBdr>
        <w:top w:val="none" w:sz="0" w:space="0" w:color="auto"/>
        <w:left w:val="none" w:sz="0" w:space="0" w:color="auto"/>
        <w:bottom w:val="none" w:sz="0" w:space="0" w:color="auto"/>
        <w:right w:val="none" w:sz="0" w:space="0" w:color="auto"/>
      </w:divBdr>
    </w:div>
    <w:div w:id="899903822">
      <w:bodyDiv w:val="1"/>
      <w:marLeft w:val="0"/>
      <w:marRight w:val="0"/>
      <w:marTop w:val="0"/>
      <w:marBottom w:val="0"/>
      <w:divBdr>
        <w:top w:val="none" w:sz="0" w:space="0" w:color="auto"/>
        <w:left w:val="none" w:sz="0" w:space="0" w:color="auto"/>
        <w:bottom w:val="none" w:sz="0" w:space="0" w:color="auto"/>
        <w:right w:val="none" w:sz="0" w:space="0" w:color="auto"/>
      </w:divBdr>
    </w:div>
    <w:div w:id="900169699">
      <w:bodyDiv w:val="1"/>
      <w:marLeft w:val="0"/>
      <w:marRight w:val="0"/>
      <w:marTop w:val="0"/>
      <w:marBottom w:val="0"/>
      <w:divBdr>
        <w:top w:val="none" w:sz="0" w:space="0" w:color="auto"/>
        <w:left w:val="none" w:sz="0" w:space="0" w:color="auto"/>
        <w:bottom w:val="none" w:sz="0" w:space="0" w:color="auto"/>
        <w:right w:val="none" w:sz="0" w:space="0" w:color="auto"/>
      </w:divBdr>
      <w:divsChild>
        <w:div w:id="915868200">
          <w:marLeft w:val="0"/>
          <w:marRight w:val="0"/>
          <w:marTop w:val="0"/>
          <w:marBottom w:val="0"/>
          <w:divBdr>
            <w:top w:val="none" w:sz="0" w:space="0" w:color="auto"/>
            <w:left w:val="none" w:sz="0" w:space="0" w:color="auto"/>
            <w:bottom w:val="none" w:sz="0" w:space="0" w:color="auto"/>
            <w:right w:val="none" w:sz="0" w:space="0" w:color="auto"/>
          </w:divBdr>
          <w:divsChild>
            <w:div w:id="1831284370">
              <w:marLeft w:val="150"/>
              <w:marRight w:val="150"/>
              <w:marTop w:val="0"/>
              <w:marBottom w:val="600"/>
              <w:divBdr>
                <w:top w:val="none" w:sz="0" w:space="0" w:color="auto"/>
                <w:left w:val="none" w:sz="0" w:space="0" w:color="auto"/>
                <w:bottom w:val="none" w:sz="0" w:space="0" w:color="auto"/>
                <w:right w:val="none" w:sz="0" w:space="0" w:color="auto"/>
              </w:divBdr>
              <w:divsChild>
                <w:div w:id="15550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2565">
      <w:bodyDiv w:val="1"/>
      <w:marLeft w:val="0"/>
      <w:marRight w:val="0"/>
      <w:marTop w:val="0"/>
      <w:marBottom w:val="0"/>
      <w:divBdr>
        <w:top w:val="none" w:sz="0" w:space="0" w:color="auto"/>
        <w:left w:val="none" w:sz="0" w:space="0" w:color="auto"/>
        <w:bottom w:val="none" w:sz="0" w:space="0" w:color="auto"/>
        <w:right w:val="none" w:sz="0" w:space="0" w:color="auto"/>
      </w:divBdr>
    </w:div>
    <w:div w:id="936910276">
      <w:bodyDiv w:val="1"/>
      <w:marLeft w:val="0"/>
      <w:marRight w:val="0"/>
      <w:marTop w:val="0"/>
      <w:marBottom w:val="0"/>
      <w:divBdr>
        <w:top w:val="none" w:sz="0" w:space="0" w:color="auto"/>
        <w:left w:val="none" w:sz="0" w:space="0" w:color="auto"/>
        <w:bottom w:val="none" w:sz="0" w:space="0" w:color="auto"/>
        <w:right w:val="none" w:sz="0" w:space="0" w:color="auto"/>
      </w:divBdr>
    </w:div>
    <w:div w:id="970794003">
      <w:bodyDiv w:val="1"/>
      <w:marLeft w:val="0"/>
      <w:marRight w:val="0"/>
      <w:marTop w:val="0"/>
      <w:marBottom w:val="0"/>
      <w:divBdr>
        <w:top w:val="none" w:sz="0" w:space="0" w:color="auto"/>
        <w:left w:val="none" w:sz="0" w:space="0" w:color="auto"/>
        <w:bottom w:val="none" w:sz="0" w:space="0" w:color="auto"/>
        <w:right w:val="none" w:sz="0" w:space="0" w:color="auto"/>
      </w:divBdr>
    </w:div>
    <w:div w:id="1079592502">
      <w:bodyDiv w:val="1"/>
      <w:marLeft w:val="0"/>
      <w:marRight w:val="0"/>
      <w:marTop w:val="0"/>
      <w:marBottom w:val="0"/>
      <w:divBdr>
        <w:top w:val="none" w:sz="0" w:space="0" w:color="auto"/>
        <w:left w:val="none" w:sz="0" w:space="0" w:color="auto"/>
        <w:bottom w:val="none" w:sz="0" w:space="0" w:color="auto"/>
        <w:right w:val="none" w:sz="0" w:space="0" w:color="auto"/>
      </w:divBdr>
    </w:div>
    <w:div w:id="1191455838">
      <w:bodyDiv w:val="1"/>
      <w:marLeft w:val="0"/>
      <w:marRight w:val="0"/>
      <w:marTop w:val="0"/>
      <w:marBottom w:val="0"/>
      <w:divBdr>
        <w:top w:val="none" w:sz="0" w:space="0" w:color="auto"/>
        <w:left w:val="none" w:sz="0" w:space="0" w:color="auto"/>
        <w:bottom w:val="none" w:sz="0" w:space="0" w:color="auto"/>
        <w:right w:val="none" w:sz="0" w:space="0" w:color="auto"/>
      </w:divBdr>
    </w:div>
    <w:div w:id="1233585778">
      <w:bodyDiv w:val="1"/>
      <w:marLeft w:val="0"/>
      <w:marRight w:val="0"/>
      <w:marTop w:val="0"/>
      <w:marBottom w:val="0"/>
      <w:divBdr>
        <w:top w:val="none" w:sz="0" w:space="0" w:color="auto"/>
        <w:left w:val="none" w:sz="0" w:space="0" w:color="auto"/>
        <w:bottom w:val="none" w:sz="0" w:space="0" w:color="auto"/>
        <w:right w:val="none" w:sz="0" w:space="0" w:color="auto"/>
      </w:divBdr>
    </w:div>
    <w:div w:id="1265697248">
      <w:bodyDiv w:val="1"/>
      <w:marLeft w:val="0"/>
      <w:marRight w:val="0"/>
      <w:marTop w:val="0"/>
      <w:marBottom w:val="0"/>
      <w:divBdr>
        <w:top w:val="none" w:sz="0" w:space="0" w:color="auto"/>
        <w:left w:val="none" w:sz="0" w:space="0" w:color="auto"/>
        <w:bottom w:val="none" w:sz="0" w:space="0" w:color="auto"/>
        <w:right w:val="none" w:sz="0" w:space="0" w:color="auto"/>
      </w:divBdr>
      <w:divsChild>
        <w:div w:id="107238017">
          <w:marLeft w:val="0"/>
          <w:marRight w:val="0"/>
          <w:marTop w:val="0"/>
          <w:marBottom w:val="225"/>
          <w:divBdr>
            <w:top w:val="none" w:sz="0" w:space="0" w:color="auto"/>
            <w:left w:val="none" w:sz="0" w:space="0" w:color="auto"/>
            <w:bottom w:val="none" w:sz="0" w:space="0" w:color="auto"/>
            <w:right w:val="none" w:sz="0" w:space="0" w:color="auto"/>
          </w:divBdr>
          <w:divsChild>
            <w:div w:id="1297758539">
              <w:marLeft w:val="0"/>
              <w:marRight w:val="0"/>
              <w:marTop w:val="0"/>
              <w:marBottom w:val="0"/>
              <w:divBdr>
                <w:top w:val="none" w:sz="0" w:space="0" w:color="auto"/>
                <w:left w:val="none" w:sz="0" w:space="0" w:color="auto"/>
                <w:bottom w:val="none" w:sz="0" w:space="0" w:color="auto"/>
                <w:right w:val="none" w:sz="0" w:space="0" w:color="auto"/>
              </w:divBdr>
              <w:divsChild>
                <w:div w:id="569312992">
                  <w:marLeft w:val="0"/>
                  <w:marRight w:val="0"/>
                  <w:marTop w:val="0"/>
                  <w:marBottom w:val="0"/>
                  <w:divBdr>
                    <w:top w:val="none" w:sz="0" w:space="0" w:color="auto"/>
                    <w:left w:val="none" w:sz="0" w:space="0" w:color="auto"/>
                    <w:bottom w:val="none" w:sz="0" w:space="0" w:color="auto"/>
                    <w:right w:val="none" w:sz="0" w:space="0" w:color="auto"/>
                  </w:divBdr>
                  <w:divsChild>
                    <w:div w:id="522088683">
                      <w:marLeft w:val="150"/>
                      <w:marRight w:val="150"/>
                      <w:marTop w:val="0"/>
                      <w:marBottom w:val="0"/>
                      <w:divBdr>
                        <w:top w:val="none" w:sz="0" w:space="0" w:color="auto"/>
                        <w:left w:val="none" w:sz="0" w:space="0" w:color="auto"/>
                        <w:bottom w:val="none" w:sz="0" w:space="0" w:color="auto"/>
                        <w:right w:val="none" w:sz="0" w:space="0" w:color="auto"/>
                      </w:divBdr>
                      <w:divsChild>
                        <w:div w:id="264197947">
                          <w:marLeft w:val="0"/>
                          <w:marRight w:val="0"/>
                          <w:marTop w:val="0"/>
                          <w:marBottom w:val="0"/>
                          <w:divBdr>
                            <w:top w:val="none" w:sz="0" w:space="0" w:color="auto"/>
                            <w:left w:val="none" w:sz="0" w:space="0" w:color="auto"/>
                            <w:bottom w:val="none" w:sz="0" w:space="0" w:color="auto"/>
                            <w:right w:val="none" w:sz="0" w:space="0" w:color="auto"/>
                          </w:divBdr>
                          <w:divsChild>
                            <w:div w:id="623582210">
                              <w:marLeft w:val="0"/>
                              <w:marRight w:val="0"/>
                              <w:marTop w:val="0"/>
                              <w:marBottom w:val="0"/>
                              <w:divBdr>
                                <w:top w:val="none" w:sz="0" w:space="0" w:color="auto"/>
                                <w:left w:val="none" w:sz="0" w:space="0" w:color="auto"/>
                                <w:bottom w:val="none" w:sz="0" w:space="0" w:color="auto"/>
                                <w:right w:val="none" w:sz="0" w:space="0" w:color="auto"/>
                              </w:divBdr>
                              <w:divsChild>
                                <w:div w:id="1995596287">
                                  <w:marLeft w:val="0"/>
                                  <w:marRight w:val="0"/>
                                  <w:marTop w:val="0"/>
                                  <w:marBottom w:val="0"/>
                                  <w:divBdr>
                                    <w:top w:val="none" w:sz="0" w:space="0" w:color="auto"/>
                                    <w:left w:val="none" w:sz="0" w:space="0" w:color="auto"/>
                                    <w:bottom w:val="none" w:sz="0" w:space="0" w:color="auto"/>
                                    <w:right w:val="none" w:sz="0" w:space="0" w:color="auto"/>
                                  </w:divBdr>
                                  <w:divsChild>
                                    <w:div w:id="505754027">
                                      <w:marLeft w:val="0"/>
                                      <w:marRight w:val="0"/>
                                      <w:marTop w:val="0"/>
                                      <w:marBottom w:val="0"/>
                                      <w:divBdr>
                                        <w:top w:val="none" w:sz="0" w:space="0" w:color="auto"/>
                                        <w:left w:val="none" w:sz="0" w:space="0" w:color="auto"/>
                                        <w:bottom w:val="none" w:sz="0" w:space="0" w:color="auto"/>
                                        <w:right w:val="none" w:sz="0" w:space="0" w:color="auto"/>
                                      </w:divBdr>
                                      <w:divsChild>
                                        <w:div w:id="2123110886">
                                          <w:marLeft w:val="0"/>
                                          <w:marRight w:val="0"/>
                                          <w:marTop w:val="0"/>
                                          <w:marBottom w:val="0"/>
                                          <w:divBdr>
                                            <w:top w:val="none" w:sz="0" w:space="0" w:color="auto"/>
                                            <w:left w:val="none" w:sz="0" w:space="0" w:color="auto"/>
                                            <w:bottom w:val="none" w:sz="0" w:space="0" w:color="auto"/>
                                            <w:right w:val="none" w:sz="0" w:space="0" w:color="auto"/>
                                          </w:divBdr>
                                          <w:divsChild>
                                            <w:div w:id="1638298405">
                                              <w:marLeft w:val="0"/>
                                              <w:marRight w:val="0"/>
                                              <w:marTop w:val="0"/>
                                              <w:marBottom w:val="0"/>
                                              <w:divBdr>
                                                <w:top w:val="none" w:sz="0" w:space="0" w:color="auto"/>
                                                <w:left w:val="none" w:sz="0" w:space="0" w:color="auto"/>
                                                <w:bottom w:val="none" w:sz="0" w:space="0" w:color="auto"/>
                                                <w:right w:val="none" w:sz="0" w:space="0" w:color="auto"/>
                                              </w:divBdr>
                                              <w:divsChild>
                                                <w:div w:id="1016729156">
                                                  <w:marLeft w:val="0"/>
                                                  <w:marRight w:val="0"/>
                                                  <w:marTop w:val="0"/>
                                                  <w:marBottom w:val="0"/>
                                                  <w:divBdr>
                                                    <w:top w:val="none" w:sz="0" w:space="0" w:color="auto"/>
                                                    <w:left w:val="none" w:sz="0" w:space="0" w:color="auto"/>
                                                    <w:bottom w:val="none" w:sz="0" w:space="0" w:color="auto"/>
                                                    <w:right w:val="none" w:sz="0" w:space="0" w:color="auto"/>
                                                  </w:divBdr>
                                                  <w:divsChild>
                                                    <w:div w:id="10436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393497">
      <w:bodyDiv w:val="1"/>
      <w:marLeft w:val="0"/>
      <w:marRight w:val="0"/>
      <w:marTop w:val="0"/>
      <w:marBottom w:val="0"/>
      <w:divBdr>
        <w:top w:val="none" w:sz="0" w:space="0" w:color="auto"/>
        <w:left w:val="none" w:sz="0" w:space="0" w:color="auto"/>
        <w:bottom w:val="none" w:sz="0" w:space="0" w:color="auto"/>
        <w:right w:val="none" w:sz="0" w:space="0" w:color="auto"/>
      </w:divBdr>
    </w:div>
    <w:div w:id="1291590044">
      <w:bodyDiv w:val="1"/>
      <w:marLeft w:val="0"/>
      <w:marRight w:val="0"/>
      <w:marTop w:val="0"/>
      <w:marBottom w:val="0"/>
      <w:divBdr>
        <w:top w:val="none" w:sz="0" w:space="0" w:color="auto"/>
        <w:left w:val="none" w:sz="0" w:space="0" w:color="auto"/>
        <w:bottom w:val="none" w:sz="0" w:space="0" w:color="auto"/>
        <w:right w:val="none" w:sz="0" w:space="0" w:color="auto"/>
      </w:divBdr>
    </w:div>
    <w:div w:id="1404252380">
      <w:bodyDiv w:val="1"/>
      <w:marLeft w:val="0"/>
      <w:marRight w:val="0"/>
      <w:marTop w:val="0"/>
      <w:marBottom w:val="0"/>
      <w:divBdr>
        <w:top w:val="none" w:sz="0" w:space="0" w:color="auto"/>
        <w:left w:val="none" w:sz="0" w:space="0" w:color="auto"/>
        <w:bottom w:val="none" w:sz="0" w:space="0" w:color="auto"/>
        <w:right w:val="none" w:sz="0" w:space="0" w:color="auto"/>
      </w:divBdr>
    </w:div>
    <w:div w:id="1405643277">
      <w:bodyDiv w:val="1"/>
      <w:marLeft w:val="0"/>
      <w:marRight w:val="0"/>
      <w:marTop w:val="0"/>
      <w:marBottom w:val="0"/>
      <w:divBdr>
        <w:top w:val="none" w:sz="0" w:space="0" w:color="auto"/>
        <w:left w:val="none" w:sz="0" w:space="0" w:color="auto"/>
        <w:bottom w:val="none" w:sz="0" w:space="0" w:color="auto"/>
        <w:right w:val="none" w:sz="0" w:space="0" w:color="auto"/>
      </w:divBdr>
      <w:divsChild>
        <w:div w:id="1261521554">
          <w:marLeft w:val="547"/>
          <w:marRight w:val="0"/>
          <w:marTop w:val="77"/>
          <w:marBottom w:val="0"/>
          <w:divBdr>
            <w:top w:val="none" w:sz="0" w:space="0" w:color="auto"/>
            <w:left w:val="none" w:sz="0" w:space="0" w:color="auto"/>
            <w:bottom w:val="none" w:sz="0" w:space="0" w:color="auto"/>
            <w:right w:val="none" w:sz="0" w:space="0" w:color="auto"/>
          </w:divBdr>
        </w:div>
        <w:div w:id="1086457932">
          <w:marLeft w:val="547"/>
          <w:marRight w:val="0"/>
          <w:marTop w:val="77"/>
          <w:marBottom w:val="0"/>
          <w:divBdr>
            <w:top w:val="none" w:sz="0" w:space="0" w:color="auto"/>
            <w:left w:val="none" w:sz="0" w:space="0" w:color="auto"/>
            <w:bottom w:val="none" w:sz="0" w:space="0" w:color="auto"/>
            <w:right w:val="none" w:sz="0" w:space="0" w:color="auto"/>
          </w:divBdr>
        </w:div>
        <w:div w:id="318267964">
          <w:marLeft w:val="547"/>
          <w:marRight w:val="0"/>
          <w:marTop w:val="77"/>
          <w:marBottom w:val="0"/>
          <w:divBdr>
            <w:top w:val="none" w:sz="0" w:space="0" w:color="auto"/>
            <w:left w:val="none" w:sz="0" w:space="0" w:color="auto"/>
            <w:bottom w:val="none" w:sz="0" w:space="0" w:color="auto"/>
            <w:right w:val="none" w:sz="0" w:space="0" w:color="auto"/>
          </w:divBdr>
        </w:div>
        <w:div w:id="869952768">
          <w:marLeft w:val="547"/>
          <w:marRight w:val="0"/>
          <w:marTop w:val="77"/>
          <w:marBottom w:val="0"/>
          <w:divBdr>
            <w:top w:val="none" w:sz="0" w:space="0" w:color="auto"/>
            <w:left w:val="none" w:sz="0" w:space="0" w:color="auto"/>
            <w:bottom w:val="none" w:sz="0" w:space="0" w:color="auto"/>
            <w:right w:val="none" w:sz="0" w:space="0" w:color="auto"/>
          </w:divBdr>
        </w:div>
        <w:div w:id="1267620899">
          <w:marLeft w:val="547"/>
          <w:marRight w:val="0"/>
          <w:marTop w:val="77"/>
          <w:marBottom w:val="0"/>
          <w:divBdr>
            <w:top w:val="none" w:sz="0" w:space="0" w:color="auto"/>
            <w:left w:val="none" w:sz="0" w:space="0" w:color="auto"/>
            <w:bottom w:val="none" w:sz="0" w:space="0" w:color="auto"/>
            <w:right w:val="none" w:sz="0" w:space="0" w:color="auto"/>
          </w:divBdr>
        </w:div>
        <w:div w:id="1425539764">
          <w:marLeft w:val="547"/>
          <w:marRight w:val="0"/>
          <w:marTop w:val="77"/>
          <w:marBottom w:val="0"/>
          <w:divBdr>
            <w:top w:val="none" w:sz="0" w:space="0" w:color="auto"/>
            <w:left w:val="none" w:sz="0" w:space="0" w:color="auto"/>
            <w:bottom w:val="none" w:sz="0" w:space="0" w:color="auto"/>
            <w:right w:val="none" w:sz="0" w:space="0" w:color="auto"/>
          </w:divBdr>
        </w:div>
        <w:div w:id="343553186">
          <w:marLeft w:val="547"/>
          <w:marRight w:val="0"/>
          <w:marTop w:val="77"/>
          <w:marBottom w:val="0"/>
          <w:divBdr>
            <w:top w:val="none" w:sz="0" w:space="0" w:color="auto"/>
            <w:left w:val="none" w:sz="0" w:space="0" w:color="auto"/>
            <w:bottom w:val="none" w:sz="0" w:space="0" w:color="auto"/>
            <w:right w:val="none" w:sz="0" w:space="0" w:color="auto"/>
          </w:divBdr>
        </w:div>
      </w:divsChild>
    </w:div>
    <w:div w:id="1434979759">
      <w:bodyDiv w:val="1"/>
      <w:marLeft w:val="0"/>
      <w:marRight w:val="0"/>
      <w:marTop w:val="0"/>
      <w:marBottom w:val="0"/>
      <w:divBdr>
        <w:top w:val="none" w:sz="0" w:space="0" w:color="auto"/>
        <w:left w:val="none" w:sz="0" w:space="0" w:color="auto"/>
        <w:bottom w:val="none" w:sz="0" w:space="0" w:color="auto"/>
        <w:right w:val="none" w:sz="0" w:space="0" w:color="auto"/>
      </w:divBdr>
    </w:div>
    <w:div w:id="1452894632">
      <w:bodyDiv w:val="1"/>
      <w:marLeft w:val="0"/>
      <w:marRight w:val="0"/>
      <w:marTop w:val="0"/>
      <w:marBottom w:val="0"/>
      <w:divBdr>
        <w:top w:val="none" w:sz="0" w:space="0" w:color="auto"/>
        <w:left w:val="none" w:sz="0" w:space="0" w:color="auto"/>
        <w:bottom w:val="none" w:sz="0" w:space="0" w:color="auto"/>
        <w:right w:val="none" w:sz="0" w:space="0" w:color="auto"/>
      </w:divBdr>
    </w:div>
    <w:div w:id="1682120919">
      <w:bodyDiv w:val="1"/>
      <w:marLeft w:val="0"/>
      <w:marRight w:val="0"/>
      <w:marTop w:val="0"/>
      <w:marBottom w:val="0"/>
      <w:divBdr>
        <w:top w:val="none" w:sz="0" w:space="0" w:color="auto"/>
        <w:left w:val="none" w:sz="0" w:space="0" w:color="auto"/>
        <w:bottom w:val="none" w:sz="0" w:space="0" w:color="auto"/>
        <w:right w:val="none" w:sz="0" w:space="0" w:color="auto"/>
      </w:divBdr>
    </w:div>
    <w:div w:id="1741321453">
      <w:bodyDiv w:val="1"/>
      <w:marLeft w:val="0"/>
      <w:marRight w:val="0"/>
      <w:marTop w:val="0"/>
      <w:marBottom w:val="0"/>
      <w:divBdr>
        <w:top w:val="none" w:sz="0" w:space="0" w:color="auto"/>
        <w:left w:val="none" w:sz="0" w:space="0" w:color="auto"/>
        <w:bottom w:val="none" w:sz="0" w:space="0" w:color="auto"/>
        <w:right w:val="none" w:sz="0" w:space="0" w:color="auto"/>
      </w:divBdr>
      <w:divsChild>
        <w:div w:id="215237624">
          <w:marLeft w:val="0"/>
          <w:marRight w:val="0"/>
          <w:marTop w:val="0"/>
          <w:marBottom w:val="0"/>
          <w:divBdr>
            <w:top w:val="none" w:sz="0" w:space="0" w:color="auto"/>
            <w:left w:val="none" w:sz="0" w:space="0" w:color="auto"/>
            <w:bottom w:val="none" w:sz="0" w:space="0" w:color="auto"/>
            <w:right w:val="none" w:sz="0" w:space="0" w:color="auto"/>
          </w:divBdr>
        </w:div>
        <w:div w:id="344478792">
          <w:marLeft w:val="0"/>
          <w:marRight w:val="0"/>
          <w:marTop w:val="0"/>
          <w:marBottom w:val="0"/>
          <w:divBdr>
            <w:top w:val="none" w:sz="0" w:space="0" w:color="auto"/>
            <w:left w:val="none" w:sz="0" w:space="0" w:color="auto"/>
            <w:bottom w:val="none" w:sz="0" w:space="0" w:color="auto"/>
            <w:right w:val="none" w:sz="0" w:space="0" w:color="auto"/>
          </w:divBdr>
        </w:div>
        <w:div w:id="2125954121">
          <w:marLeft w:val="0"/>
          <w:marRight w:val="0"/>
          <w:marTop w:val="0"/>
          <w:marBottom w:val="0"/>
          <w:divBdr>
            <w:top w:val="none" w:sz="0" w:space="0" w:color="auto"/>
            <w:left w:val="none" w:sz="0" w:space="0" w:color="auto"/>
            <w:bottom w:val="none" w:sz="0" w:space="0" w:color="auto"/>
            <w:right w:val="none" w:sz="0" w:space="0" w:color="auto"/>
          </w:divBdr>
        </w:div>
        <w:div w:id="912928814">
          <w:marLeft w:val="0"/>
          <w:marRight w:val="0"/>
          <w:marTop w:val="0"/>
          <w:marBottom w:val="0"/>
          <w:divBdr>
            <w:top w:val="none" w:sz="0" w:space="0" w:color="auto"/>
            <w:left w:val="none" w:sz="0" w:space="0" w:color="auto"/>
            <w:bottom w:val="none" w:sz="0" w:space="0" w:color="auto"/>
            <w:right w:val="none" w:sz="0" w:space="0" w:color="auto"/>
          </w:divBdr>
        </w:div>
        <w:div w:id="1538077486">
          <w:marLeft w:val="0"/>
          <w:marRight w:val="0"/>
          <w:marTop w:val="0"/>
          <w:marBottom w:val="0"/>
          <w:divBdr>
            <w:top w:val="none" w:sz="0" w:space="0" w:color="auto"/>
            <w:left w:val="none" w:sz="0" w:space="0" w:color="auto"/>
            <w:bottom w:val="none" w:sz="0" w:space="0" w:color="auto"/>
            <w:right w:val="none" w:sz="0" w:space="0" w:color="auto"/>
          </w:divBdr>
        </w:div>
        <w:div w:id="2121485812">
          <w:marLeft w:val="0"/>
          <w:marRight w:val="0"/>
          <w:marTop w:val="0"/>
          <w:marBottom w:val="0"/>
          <w:divBdr>
            <w:top w:val="none" w:sz="0" w:space="0" w:color="auto"/>
            <w:left w:val="none" w:sz="0" w:space="0" w:color="auto"/>
            <w:bottom w:val="none" w:sz="0" w:space="0" w:color="auto"/>
            <w:right w:val="none" w:sz="0" w:space="0" w:color="auto"/>
          </w:divBdr>
        </w:div>
        <w:div w:id="902373516">
          <w:marLeft w:val="0"/>
          <w:marRight w:val="0"/>
          <w:marTop w:val="0"/>
          <w:marBottom w:val="0"/>
          <w:divBdr>
            <w:top w:val="none" w:sz="0" w:space="0" w:color="auto"/>
            <w:left w:val="none" w:sz="0" w:space="0" w:color="auto"/>
            <w:bottom w:val="none" w:sz="0" w:space="0" w:color="auto"/>
            <w:right w:val="none" w:sz="0" w:space="0" w:color="auto"/>
          </w:divBdr>
        </w:div>
        <w:div w:id="725035199">
          <w:marLeft w:val="0"/>
          <w:marRight w:val="0"/>
          <w:marTop w:val="0"/>
          <w:marBottom w:val="0"/>
          <w:divBdr>
            <w:top w:val="none" w:sz="0" w:space="0" w:color="auto"/>
            <w:left w:val="none" w:sz="0" w:space="0" w:color="auto"/>
            <w:bottom w:val="none" w:sz="0" w:space="0" w:color="auto"/>
            <w:right w:val="none" w:sz="0" w:space="0" w:color="auto"/>
          </w:divBdr>
        </w:div>
        <w:div w:id="919145676">
          <w:marLeft w:val="0"/>
          <w:marRight w:val="0"/>
          <w:marTop w:val="0"/>
          <w:marBottom w:val="0"/>
          <w:divBdr>
            <w:top w:val="none" w:sz="0" w:space="0" w:color="auto"/>
            <w:left w:val="none" w:sz="0" w:space="0" w:color="auto"/>
            <w:bottom w:val="none" w:sz="0" w:space="0" w:color="auto"/>
            <w:right w:val="none" w:sz="0" w:space="0" w:color="auto"/>
          </w:divBdr>
        </w:div>
        <w:div w:id="1744257840">
          <w:marLeft w:val="0"/>
          <w:marRight w:val="0"/>
          <w:marTop w:val="0"/>
          <w:marBottom w:val="0"/>
          <w:divBdr>
            <w:top w:val="none" w:sz="0" w:space="0" w:color="auto"/>
            <w:left w:val="none" w:sz="0" w:space="0" w:color="auto"/>
            <w:bottom w:val="none" w:sz="0" w:space="0" w:color="auto"/>
            <w:right w:val="none" w:sz="0" w:space="0" w:color="auto"/>
          </w:divBdr>
        </w:div>
        <w:div w:id="298269010">
          <w:marLeft w:val="0"/>
          <w:marRight w:val="0"/>
          <w:marTop w:val="0"/>
          <w:marBottom w:val="0"/>
          <w:divBdr>
            <w:top w:val="none" w:sz="0" w:space="0" w:color="auto"/>
            <w:left w:val="none" w:sz="0" w:space="0" w:color="auto"/>
            <w:bottom w:val="none" w:sz="0" w:space="0" w:color="auto"/>
            <w:right w:val="none" w:sz="0" w:space="0" w:color="auto"/>
          </w:divBdr>
        </w:div>
        <w:div w:id="196699565">
          <w:marLeft w:val="0"/>
          <w:marRight w:val="0"/>
          <w:marTop w:val="0"/>
          <w:marBottom w:val="0"/>
          <w:divBdr>
            <w:top w:val="none" w:sz="0" w:space="0" w:color="auto"/>
            <w:left w:val="none" w:sz="0" w:space="0" w:color="auto"/>
            <w:bottom w:val="none" w:sz="0" w:space="0" w:color="auto"/>
            <w:right w:val="none" w:sz="0" w:space="0" w:color="auto"/>
          </w:divBdr>
        </w:div>
        <w:div w:id="974717891">
          <w:marLeft w:val="0"/>
          <w:marRight w:val="0"/>
          <w:marTop w:val="0"/>
          <w:marBottom w:val="0"/>
          <w:divBdr>
            <w:top w:val="none" w:sz="0" w:space="0" w:color="auto"/>
            <w:left w:val="none" w:sz="0" w:space="0" w:color="auto"/>
            <w:bottom w:val="none" w:sz="0" w:space="0" w:color="auto"/>
            <w:right w:val="none" w:sz="0" w:space="0" w:color="auto"/>
          </w:divBdr>
        </w:div>
      </w:divsChild>
    </w:div>
    <w:div w:id="1758209744">
      <w:bodyDiv w:val="1"/>
      <w:marLeft w:val="0"/>
      <w:marRight w:val="0"/>
      <w:marTop w:val="0"/>
      <w:marBottom w:val="0"/>
      <w:divBdr>
        <w:top w:val="none" w:sz="0" w:space="0" w:color="auto"/>
        <w:left w:val="none" w:sz="0" w:space="0" w:color="auto"/>
        <w:bottom w:val="none" w:sz="0" w:space="0" w:color="auto"/>
        <w:right w:val="none" w:sz="0" w:space="0" w:color="auto"/>
      </w:divBdr>
    </w:div>
    <w:div w:id="1796438895">
      <w:bodyDiv w:val="1"/>
      <w:marLeft w:val="0"/>
      <w:marRight w:val="0"/>
      <w:marTop w:val="0"/>
      <w:marBottom w:val="0"/>
      <w:divBdr>
        <w:top w:val="none" w:sz="0" w:space="0" w:color="auto"/>
        <w:left w:val="none" w:sz="0" w:space="0" w:color="auto"/>
        <w:bottom w:val="none" w:sz="0" w:space="0" w:color="auto"/>
        <w:right w:val="none" w:sz="0" w:space="0" w:color="auto"/>
      </w:divBdr>
    </w:div>
    <w:div w:id="1912428665">
      <w:bodyDiv w:val="1"/>
      <w:marLeft w:val="0"/>
      <w:marRight w:val="0"/>
      <w:marTop w:val="0"/>
      <w:marBottom w:val="0"/>
      <w:divBdr>
        <w:top w:val="none" w:sz="0" w:space="0" w:color="auto"/>
        <w:left w:val="none" w:sz="0" w:space="0" w:color="auto"/>
        <w:bottom w:val="none" w:sz="0" w:space="0" w:color="auto"/>
        <w:right w:val="none" w:sz="0" w:space="0" w:color="auto"/>
      </w:divBdr>
    </w:div>
    <w:div w:id="2001234352">
      <w:bodyDiv w:val="1"/>
      <w:marLeft w:val="0"/>
      <w:marRight w:val="0"/>
      <w:marTop w:val="0"/>
      <w:marBottom w:val="0"/>
      <w:divBdr>
        <w:top w:val="none" w:sz="0" w:space="0" w:color="auto"/>
        <w:left w:val="none" w:sz="0" w:space="0" w:color="auto"/>
        <w:bottom w:val="none" w:sz="0" w:space="0" w:color="auto"/>
        <w:right w:val="none" w:sz="0" w:space="0" w:color="auto"/>
      </w:divBdr>
    </w:div>
    <w:div w:id="2011249137">
      <w:bodyDiv w:val="1"/>
      <w:marLeft w:val="0"/>
      <w:marRight w:val="0"/>
      <w:marTop w:val="0"/>
      <w:marBottom w:val="0"/>
      <w:divBdr>
        <w:top w:val="none" w:sz="0" w:space="0" w:color="auto"/>
        <w:left w:val="none" w:sz="0" w:space="0" w:color="auto"/>
        <w:bottom w:val="none" w:sz="0" w:space="0" w:color="auto"/>
        <w:right w:val="none" w:sz="0" w:space="0" w:color="auto"/>
      </w:divBdr>
    </w:div>
    <w:div w:id="21211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a.nhs.uk/about-us/what-we-do/our-transparency-agenda/transparency-research-survey-resul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6E44-CF92-432A-AFF5-59C06597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16</Pages>
  <Words>5385</Words>
  <Characters>30700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Stephen Tebbutt</cp:lastModifiedBy>
  <cp:revision>22</cp:revision>
  <cp:lastPrinted>2018-11-30T14:54:00Z</cp:lastPrinted>
  <dcterms:created xsi:type="dcterms:W3CDTF">2018-12-05T09:59:00Z</dcterms:created>
  <dcterms:modified xsi:type="dcterms:W3CDTF">2019-02-19T15:04:00Z</dcterms:modified>
</cp:coreProperties>
</file>